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58047D" w14:paraId="7992C01F" w14:textId="77777777" w:rsidTr="00B909F2">
        <w:trPr>
          <w:trHeight w:val="4063"/>
        </w:trPr>
        <w:tc>
          <w:tcPr>
            <w:tcW w:w="5951" w:type="dxa"/>
            <w:tcBorders>
              <w:bottom w:val="single" w:sz="18" w:space="0" w:color="808080"/>
              <w:right w:val="single" w:sz="18" w:space="0" w:color="808080"/>
            </w:tcBorders>
            <w:vAlign w:val="center"/>
          </w:tcPr>
          <w:p w14:paraId="2ED7E8FB" w14:textId="77777777" w:rsidR="00023FE7" w:rsidRPr="0058047D" w:rsidRDefault="00023FE7" w:rsidP="0041078A">
            <w:pPr>
              <w:pStyle w:val="Title"/>
              <w:rPr>
                <w:sz w:val="76"/>
                <w:szCs w:val="76"/>
              </w:rPr>
            </w:pPr>
            <w:bookmarkStart w:id="0" w:name="_Toc336337837"/>
            <w:bookmarkStart w:id="1" w:name="_Toc371663243"/>
            <w:r w:rsidRPr="0058047D">
              <w:rPr>
                <w:b w:val="0"/>
                <w:sz w:val="76"/>
                <w:szCs w:val="76"/>
              </w:rPr>
              <w:t>Microsoft</w:t>
            </w:r>
            <w:r w:rsidR="00E53A46" w:rsidRPr="0058047D">
              <w:rPr>
                <w:b w:val="0"/>
                <w:sz w:val="76"/>
                <w:szCs w:val="76"/>
                <w:vertAlign w:val="superscript"/>
              </w:rPr>
              <w:t>®</w:t>
            </w:r>
            <w:bookmarkEnd w:id="0"/>
            <w:bookmarkEnd w:id="1"/>
          </w:p>
          <w:p w14:paraId="2C11AE77" w14:textId="77777777" w:rsidR="00023FE7" w:rsidRPr="0058047D" w:rsidRDefault="00023FE7" w:rsidP="00DE17D5">
            <w:pPr>
              <w:pStyle w:val="NoSpacing1"/>
              <w:ind w:left="994" w:right="936"/>
              <w:rPr>
                <w:rFonts w:ascii="Cambria" w:hAnsi="Cambria" w:cs="Calibri"/>
                <w:sz w:val="76"/>
                <w:szCs w:val="72"/>
              </w:rPr>
            </w:pPr>
            <w:r w:rsidRPr="0058047D">
              <w:rPr>
                <w:rFonts w:ascii="Cambria" w:hAnsi="Cambria" w:cs="Calibri"/>
                <w:sz w:val="76"/>
                <w:szCs w:val="72"/>
              </w:rPr>
              <w:t>Lista dei Prodotti</w:t>
            </w:r>
          </w:p>
        </w:tc>
        <w:tc>
          <w:tcPr>
            <w:tcW w:w="4615" w:type="dxa"/>
            <w:tcBorders>
              <w:left w:val="single" w:sz="18" w:space="0" w:color="808080"/>
              <w:bottom w:val="single" w:sz="18" w:space="0" w:color="808080"/>
            </w:tcBorders>
            <w:vAlign w:val="center"/>
          </w:tcPr>
          <w:p w14:paraId="3D5ED76F" w14:textId="77777777" w:rsidR="00023FE7" w:rsidRPr="0058047D" w:rsidRDefault="00023FE7">
            <w:pPr>
              <w:pStyle w:val="NoSpacing1"/>
              <w:ind w:right="-1797"/>
              <w:rPr>
                <w:sz w:val="72"/>
                <w:szCs w:val="72"/>
              </w:rPr>
            </w:pPr>
          </w:p>
          <w:p w14:paraId="7A7B8CBF" w14:textId="77777777" w:rsidR="00023FE7" w:rsidRPr="0058047D" w:rsidRDefault="006342D5">
            <w:pPr>
              <w:pStyle w:val="NoSpacing1"/>
              <w:ind w:right="-1797"/>
              <w:rPr>
                <w:sz w:val="72"/>
                <w:szCs w:val="72"/>
              </w:rPr>
            </w:pPr>
            <w:r w:rsidRPr="0058047D">
              <w:rPr>
                <w:rFonts w:ascii="Tahoma" w:hAnsi="Tahoma" w:cs="Tahoma"/>
                <w:sz w:val="72"/>
                <w:szCs w:val="72"/>
              </w:rPr>
              <w:t xml:space="preserve">1 </w:t>
            </w:r>
            <w:r w:rsidR="00DE17D5" w:rsidRPr="0058047D">
              <w:rPr>
                <w:rFonts w:ascii="Tahoma" w:hAnsi="Tahoma" w:cs="Tahoma"/>
                <w:sz w:val="72"/>
                <w:szCs w:val="72"/>
              </w:rPr>
              <w:t>D</w:t>
            </w:r>
            <w:r w:rsidRPr="0058047D">
              <w:rPr>
                <w:rFonts w:ascii="Tahoma" w:hAnsi="Tahoma" w:cs="Tahoma"/>
                <w:sz w:val="72"/>
                <w:szCs w:val="72"/>
              </w:rPr>
              <w:t>icembre</w:t>
            </w:r>
          </w:p>
          <w:p w14:paraId="70D369E7" w14:textId="77777777" w:rsidR="00023FE7" w:rsidRPr="0058047D" w:rsidRDefault="0077167D" w:rsidP="00A04495">
            <w:pPr>
              <w:pStyle w:val="NoSpacing1"/>
              <w:ind w:rightChars="-103" w:right="-185"/>
              <w:rPr>
                <w:rFonts w:ascii="Tahoma" w:hAnsi="Tahoma" w:cs="Tahoma"/>
                <w:color w:val="4F81BD"/>
                <w:sz w:val="200"/>
                <w:szCs w:val="200"/>
              </w:rPr>
            </w:pPr>
            <w:r w:rsidRPr="0058047D">
              <w:rPr>
                <w:rFonts w:ascii="Tahoma" w:hAnsi="Tahoma" w:cs="Tahoma"/>
                <w:color w:val="4F81BD"/>
                <w:sz w:val="180"/>
                <w:szCs w:val="200"/>
              </w:rPr>
              <w:t>2013</w:t>
            </w:r>
          </w:p>
        </w:tc>
      </w:tr>
      <w:tr w:rsidR="00023FE7" w:rsidRPr="003F471F" w14:paraId="0F6504DC" w14:textId="77777777" w:rsidTr="00B909F2">
        <w:trPr>
          <w:trHeight w:val="412"/>
        </w:trPr>
        <w:tc>
          <w:tcPr>
            <w:tcW w:w="5951" w:type="dxa"/>
            <w:tcBorders>
              <w:top w:val="single" w:sz="18" w:space="0" w:color="808080"/>
            </w:tcBorders>
            <w:vAlign w:val="center"/>
          </w:tcPr>
          <w:p w14:paraId="0DE1532F" w14:textId="77777777" w:rsidR="00023FE7" w:rsidRPr="003F471F" w:rsidRDefault="00023FE7" w:rsidP="00281082">
            <w:pPr>
              <w:pStyle w:val="NoSpacing1"/>
              <w:ind w:leftChars="122" w:left="220" w:firstLine="2"/>
              <w:rPr>
                <w:rFonts w:ascii="Tahoma" w:hAnsi="Tahoma" w:cs="Tahoma"/>
                <w:sz w:val="22"/>
                <w:szCs w:val="22"/>
                <w:lang w:val="it-IT"/>
              </w:rPr>
            </w:pPr>
            <w:r w:rsidRPr="003F471F">
              <w:rPr>
                <w:rFonts w:ascii="Tahoma" w:hAnsi="Tahoma" w:cs="Tahoma"/>
                <w:szCs w:val="22"/>
                <w:lang w:val="it-IT"/>
              </w:rPr>
              <w:t>La Lista dei Prodotti Microsoft fornisce mensilmente informazioni sul software Microsoft e sui Servizi Online concessi in licenza tramite i Programmi Microsoft Volume Licensing.</w:t>
            </w:r>
          </w:p>
        </w:tc>
        <w:tc>
          <w:tcPr>
            <w:tcW w:w="4615" w:type="dxa"/>
            <w:tcBorders>
              <w:top w:val="single" w:sz="18" w:space="0" w:color="808080"/>
            </w:tcBorders>
            <w:vAlign w:val="center"/>
          </w:tcPr>
          <w:p w14:paraId="1840F789" w14:textId="77777777" w:rsidR="00023FE7" w:rsidRPr="003F471F" w:rsidRDefault="00023FE7" w:rsidP="00A04495">
            <w:pPr>
              <w:pStyle w:val="NoSpacing1"/>
              <w:ind w:rightChars="-15" w:right="-27"/>
              <w:rPr>
                <w:rFonts w:ascii="Tahoma" w:hAnsi="Tahoma" w:cs="Tahoma"/>
                <w:sz w:val="32"/>
                <w:szCs w:val="32"/>
                <w:lang w:val="it-IT"/>
              </w:rPr>
            </w:pPr>
          </w:p>
        </w:tc>
      </w:tr>
    </w:tbl>
    <w:p w14:paraId="31782757" w14:textId="77777777" w:rsidR="00023FE7" w:rsidRPr="003F471F" w:rsidRDefault="00023FE7" w:rsidP="00B0065F">
      <w:pPr>
        <w:pStyle w:val="Heading1"/>
        <w:rPr>
          <w:lang w:val="it-IT"/>
        </w:rPr>
        <w:sectPr w:rsidR="00023FE7" w:rsidRPr="003F471F"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698A1004" w14:textId="77777777" w:rsidR="00023FE7" w:rsidRPr="003F471F" w:rsidRDefault="00023FE7" w:rsidP="00B0065F">
      <w:pPr>
        <w:pStyle w:val="Heading1"/>
        <w:rPr>
          <w:lang w:val="it-IT"/>
        </w:rPr>
      </w:pPr>
      <w:bookmarkStart w:id="2" w:name="_Toc336337838"/>
      <w:bookmarkStart w:id="3" w:name="_Toc371663244"/>
      <w:r w:rsidRPr="003F471F">
        <w:rPr>
          <w:lang w:val="it-IT"/>
        </w:rPr>
        <w:lastRenderedPageBreak/>
        <w:t>INFORMAZIONI SUL PRESENTE Documento</w:t>
      </w:r>
      <w:bookmarkEnd w:id="2"/>
      <w:bookmarkEnd w:id="3"/>
    </w:p>
    <w:p w14:paraId="70955A5E" w14:textId="77777777" w:rsidR="00023FE7" w:rsidRPr="003F471F" w:rsidRDefault="00023FE7">
      <w:pPr>
        <w:pStyle w:val="Body"/>
        <w:ind w:right="720"/>
        <w:rPr>
          <w:lang w:val="it-IT"/>
        </w:rPr>
      </w:pPr>
    </w:p>
    <w:p w14:paraId="2CB8BE16" w14:textId="77777777" w:rsidR="00023FE7" w:rsidRPr="003F471F" w:rsidRDefault="00023FE7">
      <w:pPr>
        <w:pStyle w:val="Body"/>
        <w:ind w:right="720"/>
        <w:rPr>
          <w:lang w:val="it-IT"/>
        </w:rPr>
      </w:pPr>
      <w:r w:rsidRPr="003F471F">
        <w:rPr>
          <w:rFonts w:ascii="Tahoma" w:hAnsi="Tahoma" w:cs="Tahoma"/>
          <w:sz w:val="18"/>
          <w:szCs w:val="18"/>
          <w:lang w:val="it-IT"/>
        </w:rPr>
        <w:t>La Lista dei Prodotti Microsoft fornisce mensilmente informazioni sul software Microsoft e sui Servizi Online concessi in licenza tramite i Programmi Microsoft Volume Licensing. Le informazioni riportate nella Lista dei Prodotti Microsoft includono:</w:t>
      </w:r>
    </w:p>
    <w:p w14:paraId="4661283C" w14:textId="77777777" w:rsidR="00023FE7" w:rsidRPr="003F471F" w:rsidRDefault="00023FE7">
      <w:pPr>
        <w:pStyle w:val="Body"/>
        <w:ind w:right="720"/>
        <w:rPr>
          <w:lang w:val="it-IT"/>
        </w:rPr>
      </w:pPr>
    </w:p>
    <w:p w14:paraId="18516243" w14:textId="77777777" w:rsidR="00023FE7" w:rsidRPr="003F471F" w:rsidRDefault="00023FE7">
      <w:pPr>
        <w:pStyle w:val="BulletedList"/>
        <w:ind w:right="720"/>
        <w:rPr>
          <w:lang w:val="it-IT"/>
        </w:rPr>
      </w:pPr>
      <w:r w:rsidRPr="003F471F">
        <w:rPr>
          <w:rFonts w:ascii="Tahoma" w:hAnsi="Tahoma" w:cs="Tahoma"/>
          <w:sz w:val="18"/>
          <w:szCs w:val="18"/>
          <w:lang w:val="it-IT"/>
        </w:rPr>
        <w:t>Disponibilità di software e prodotti nuovi offerti tramite Microsoft Volume Licensing</w:t>
      </w:r>
    </w:p>
    <w:p w14:paraId="05335D5D" w14:textId="77777777" w:rsidR="00023FE7" w:rsidRPr="003F471F" w:rsidRDefault="00023FE7" w:rsidP="00024C3C">
      <w:pPr>
        <w:pStyle w:val="BulletedList"/>
        <w:numPr>
          <w:ilvl w:val="0"/>
          <w:numId w:val="16"/>
        </w:numPr>
        <w:ind w:right="720"/>
        <w:rPr>
          <w:lang w:val="it-IT"/>
        </w:rPr>
      </w:pPr>
      <w:r w:rsidRPr="003F471F">
        <w:rPr>
          <w:rFonts w:ascii="Tahoma" w:hAnsi="Tahoma" w:cs="Tahoma"/>
          <w:sz w:val="18"/>
          <w:szCs w:val="18"/>
          <w:lang w:val="it-IT"/>
        </w:rPr>
        <w:t>Interruzione della fornitura di software e prodotti offerti tramite Microsoft Volume Licensing</w:t>
      </w:r>
    </w:p>
    <w:p w14:paraId="1E917508" w14:textId="77777777" w:rsidR="00023FE7" w:rsidRPr="003F471F" w:rsidRDefault="00023FE7" w:rsidP="00024C3C">
      <w:pPr>
        <w:pStyle w:val="BulletedList"/>
        <w:numPr>
          <w:ilvl w:val="0"/>
          <w:numId w:val="16"/>
        </w:numPr>
        <w:ind w:right="720"/>
        <w:rPr>
          <w:lang w:val="it-IT"/>
        </w:rPr>
      </w:pPr>
      <w:r w:rsidRPr="003F471F">
        <w:rPr>
          <w:rFonts w:ascii="Tahoma" w:hAnsi="Tahoma" w:cs="Tahoma"/>
          <w:sz w:val="18"/>
          <w:szCs w:val="18"/>
          <w:lang w:val="it-IT"/>
        </w:rPr>
        <w:t xml:space="preserve">Classificazione di software e prodotti relativa al pool di prodotti con Contratti Multilicenza Microsoft (Volume Licensing) </w:t>
      </w:r>
    </w:p>
    <w:p w14:paraId="4D4368E1" w14:textId="77777777" w:rsidR="00023FE7" w:rsidRPr="003F471F" w:rsidRDefault="00023FE7" w:rsidP="00024C3C">
      <w:pPr>
        <w:pStyle w:val="BulletedList"/>
        <w:numPr>
          <w:ilvl w:val="0"/>
          <w:numId w:val="16"/>
        </w:numPr>
        <w:ind w:right="720"/>
        <w:rPr>
          <w:lang w:val="it-IT"/>
        </w:rPr>
      </w:pPr>
      <w:r w:rsidRPr="003F471F">
        <w:rPr>
          <w:rFonts w:ascii="Tahoma" w:hAnsi="Tahoma" w:cs="Tahoma"/>
          <w:sz w:val="18"/>
          <w:szCs w:val="18"/>
          <w:lang w:val="it-IT"/>
        </w:rPr>
        <w:t>Valore di punti per la tecnologia di ciascun software e prodotto</w:t>
      </w:r>
    </w:p>
    <w:p w14:paraId="2E1B69B0" w14:textId="77777777" w:rsidR="00023FE7" w:rsidRPr="0058047D" w:rsidRDefault="00023FE7" w:rsidP="00024C3C">
      <w:pPr>
        <w:pStyle w:val="BulletedList"/>
        <w:numPr>
          <w:ilvl w:val="0"/>
          <w:numId w:val="16"/>
        </w:numPr>
        <w:ind w:right="720"/>
      </w:pPr>
      <w:r w:rsidRPr="0058047D">
        <w:rPr>
          <w:rFonts w:ascii="Tahoma" w:hAnsi="Tahoma" w:cs="Tahoma"/>
          <w:sz w:val="18"/>
          <w:szCs w:val="18"/>
        </w:rPr>
        <w:t>Promozioni disponibili</w:t>
      </w:r>
    </w:p>
    <w:p w14:paraId="6CB258A1" w14:textId="77777777" w:rsidR="00023FE7" w:rsidRPr="003F471F" w:rsidRDefault="00023FE7" w:rsidP="00024C3C">
      <w:pPr>
        <w:pStyle w:val="BulletedList"/>
        <w:numPr>
          <w:ilvl w:val="0"/>
          <w:numId w:val="16"/>
        </w:numPr>
        <w:ind w:right="720"/>
        <w:rPr>
          <w:lang w:val="it-IT"/>
        </w:rPr>
      </w:pPr>
      <w:r w:rsidRPr="003F471F">
        <w:rPr>
          <w:rFonts w:ascii="Tahoma" w:hAnsi="Tahoma" w:cs="Tahoma"/>
          <w:sz w:val="18"/>
          <w:szCs w:val="18"/>
          <w:lang w:val="it-IT"/>
        </w:rPr>
        <w:t>Percorsi di migrazione da una versione di software a un</w:t>
      </w:r>
      <w:r w:rsidR="001C4212" w:rsidRPr="003F471F">
        <w:rPr>
          <w:rFonts w:ascii="Tahoma" w:hAnsi="Tahoma" w:cs="Tahoma"/>
          <w:sz w:val="18"/>
          <w:szCs w:val="18"/>
          <w:lang w:val="it-IT"/>
        </w:rPr>
        <w:t>’</w:t>
      </w:r>
      <w:r w:rsidRPr="003F471F">
        <w:rPr>
          <w:rFonts w:ascii="Tahoma" w:hAnsi="Tahoma" w:cs="Tahoma"/>
          <w:sz w:val="18"/>
          <w:szCs w:val="18"/>
          <w:lang w:val="it-IT"/>
        </w:rPr>
        <w:t>altra versione dello stesso software</w:t>
      </w:r>
    </w:p>
    <w:p w14:paraId="10FF1493" w14:textId="77777777" w:rsidR="00023FE7" w:rsidRPr="003F471F" w:rsidRDefault="00023FE7" w:rsidP="00024C3C">
      <w:pPr>
        <w:pStyle w:val="BulletedList"/>
        <w:numPr>
          <w:ilvl w:val="0"/>
          <w:numId w:val="16"/>
        </w:numPr>
        <w:ind w:right="720"/>
        <w:rPr>
          <w:lang w:val="it-IT"/>
        </w:rPr>
      </w:pPr>
      <w:r w:rsidRPr="003F471F">
        <w:rPr>
          <w:rFonts w:ascii="Tahoma" w:hAnsi="Tahoma" w:cs="Tahoma"/>
          <w:sz w:val="18"/>
          <w:szCs w:val="18"/>
          <w:lang w:val="it-IT"/>
        </w:rPr>
        <w:t>Percorsi di migrazione da un software interrotto a nuove versioni di software</w:t>
      </w:r>
    </w:p>
    <w:p w14:paraId="24C4F716" w14:textId="77777777" w:rsidR="00023FE7" w:rsidRPr="0058047D" w:rsidRDefault="00023FE7" w:rsidP="00024C3C">
      <w:pPr>
        <w:pStyle w:val="BulletedList"/>
        <w:numPr>
          <w:ilvl w:val="0"/>
          <w:numId w:val="16"/>
        </w:numPr>
        <w:ind w:right="720"/>
      </w:pPr>
      <w:r w:rsidRPr="0058047D">
        <w:rPr>
          <w:rFonts w:ascii="Tahoma" w:hAnsi="Tahoma" w:cs="Tahoma"/>
          <w:sz w:val="18"/>
          <w:szCs w:val="18"/>
        </w:rPr>
        <w:t>Vantaggi di Software Assurance</w:t>
      </w:r>
    </w:p>
    <w:p w14:paraId="3347DCDC" w14:textId="77777777" w:rsidR="00023FE7" w:rsidRPr="003F471F" w:rsidRDefault="00023FE7" w:rsidP="00024C3C">
      <w:pPr>
        <w:pStyle w:val="BulletedList"/>
        <w:numPr>
          <w:ilvl w:val="0"/>
          <w:numId w:val="16"/>
        </w:numPr>
        <w:ind w:right="720"/>
        <w:rPr>
          <w:lang w:val="it-IT"/>
        </w:rPr>
      </w:pPr>
      <w:r w:rsidRPr="003F471F">
        <w:rPr>
          <w:rFonts w:ascii="Tahoma" w:hAnsi="Tahoma" w:cs="Tahoma"/>
          <w:sz w:val="18"/>
          <w:szCs w:val="18"/>
          <w:lang w:val="it-IT"/>
        </w:rPr>
        <w:t>Altre Note e informazioni specifiche del software e dei prodotti</w:t>
      </w:r>
    </w:p>
    <w:p w14:paraId="66F0C3E7" w14:textId="77777777" w:rsidR="00023FE7" w:rsidRPr="003F471F" w:rsidRDefault="00023FE7">
      <w:pPr>
        <w:ind w:right="720"/>
        <w:rPr>
          <w:lang w:val="it-IT"/>
        </w:rPr>
      </w:pPr>
    </w:p>
    <w:p w14:paraId="3D9868E8" w14:textId="77777777" w:rsidR="00023FE7" w:rsidRPr="003F471F" w:rsidRDefault="00023FE7">
      <w:pPr>
        <w:ind w:right="720"/>
        <w:rPr>
          <w:lang w:val="it-IT"/>
        </w:rPr>
      </w:pPr>
    </w:p>
    <w:p w14:paraId="1AFD6D04" w14:textId="77777777" w:rsidR="00023FE7" w:rsidRPr="003F471F" w:rsidRDefault="00023FE7" w:rsidP="00B0065F">
      <w:pPr>
        <w:pStyle w:val="Heading1"/>
        <w:rPr>
          <w:lang w:val="it-IT"/>
        </w:rPr>
      </w:pPr>
      <w:bookmarkStart w:id="4" w:name="_Toc336337839"/>
      <w:bookmarkStart w:id="5" w:name="_Toc371663245"/>
      <w:r w:rsidRPr="003F471F">
        <w:rPr>
          <w:lang w:val="it-IT"/>
        </w:rPr>
        <w:t>MODALITà DI Utilizzo deLLA LISTA DEI Prodotti Microsoft</w:t>
      </w:r>
      <w:bookmarkEnd w:id="4"/>
      <w:bookmarkEnd w:id="5"/>
    </w:p>
    <w:p w14:paraId="074BF90A" w14:textId="77777777" w:rsidR="00023FE7" w:rsidRPr="003F471F" w:rsidRDefault="00023FE7">
      <w:pPr>
        <w:pStyle w:val="Body"/>
        <w:ind w:right="-1890"/>
        <w:rPr>
          <w:lang w:val="it-IT"/>
        </w:rPr>
      </w:pPr>
    </w:p>
    <w:p w14:paraId="089DAC29" w14:textId="77777777" w:rsidR="00023FE7" w:rsidRPr="003F471F" w:rsidRDefault="00023FE7" w:rsidP="001C4212">
      <w:pPr>
        <w:pStyle w:val="Body"/>
        <w:rPr>
          <w:lang w:val="it-IT"/>
        </w:rPr>
      </w:pPr>
      <w:r w:rsidRPr="003F471F">
        <w:rPr>
          <w:rFonts w:ascii="Tahoma" w:hAnsi="Tahoma" w:cs="Tahoma"/>
          <w:b/>
          <w:lang w:val="it-IT"/>
        </w:rPr>
        <w:t>Si consiglia di familiarizzare con i codici della tabella riportati dopo i passaggi che seguono.</w:t>
      </w:r>
    </w:p>
    <w:p w14:paraId="23E244DD" w14:textId="77777777" w:rsidR="00023FE7" w:rsidRPr="003F471F" w:rsidRDefault="00023FE7">
      <w:pPr>
        <w:pStyle w:val="Body"/>
        <w:ind w:right="-1890"/>
        <w:rPr>
          <w:lang w:val="it-IT"/>
        </w:rPr>
      </w:pPr>
    </w:p>
    <w:p w14:paraId="3A788CF4" w14:textId="77777777" w:rsidR="00023FE7" w:rsidRPr="003F471F" w:rsidRDefault="00023FE7">
      <w:pPr>
        <w:pStyle w:val="Body"/>
        <w:ind w:right="-1890"/>
        <w:rPr>
          <w:lang w:val="it-IT"/>
        </w:rPr>
      </w:pPr>
      <w:r w:rsidRPr="003F471F">
        <w:rPr>
          <w:rStyle w:val="BodyChar"/>
          <w:rFonts w:ascii="Tahoma" w:hAnsi="Tahoma" w:cs="Tahoma"/>
          <w:b/>
          <w:sz w:val="18"/>
          <w:szCs w:val="18"/>
          <w:lang w:val="it-IT"/>
        </w:rPr>
        <w:t>Punto 1:</w:t>
      </w:r>
      <w:r w:rsidR="00E34ED3" w:rsidRPr="003F471F">
        <w:rPr>
          <w:rStyle w:val="BodyChar"/>
          <w:rFonts w:ascii="Tahoma" w:hAnsi="Tahoma" w:cs="Tahoma"/>
          <w:b/>
          <w:sz w:val="18"/>
          <w:szCs w:val="18"/>
          <w:lang w:val="it-IT"/>
        </w:rPr>
        <w:t xml:space="preserve"> </w:t>
      </w:r>
      <w:r w:rsidRPr="003F471F">
        <w:rPr>
          <w:rFonts w:ascii="Tahoma" w:hAnsi="Tahoma" w:cs="Tahoma"/>
          <w:sz w:val="18"/>
          <w:szCs w:val="18"/>
          <w:lang w:val="it-IT"/>
        </w:rPr>
        <w:t xml:space="preserve">individuare nella tabella il software che interessa. </w:t>
      </w:r>
    </w:p>
    <w:p w14:paraId="3DC44F19" w14:textId="77777777" w:rsidR="00023FE7" w:rsidRPr="003F471F" w:rsidRDefault="00023FE7">
      <w:pPr>
        <w:pStyle w:val="Body"/>
        <w:ind w:right="-1890"/>
        <w:rPr>
          <w:lang w:val="it-IT"/>
        </w:rPr>
      </w:pPr>
    </w:p>
    <w:p w14:paraId="2F1B3F7C" w14:textId="77777777" w:rsidR="00023FE7" w:rsidRPr="0058047D" w:rsidRDefault="00893DE9" w:rsidP="0013361B">
      <w:pPr>
        <w:pStyle w:val="NumberedSteps"/>
        <w:ind w:left="-180" w:right="720"/>
      </w:pPr>
      <w:r>
        <w:rPr>
          <w:noProof/>
        </w:rPr>
        <mc:AlternateContent>
          <mc:Choice Requires="wps">
            <w:drawing>
              <wp:anchor distT="0" distB="0" distL="114300" distR="114300" simplePos="0" relativeHeight="251675651" behindDoc="0" locked="0" layoutInCell="1" allowOverlap="1" wp14:anchorId="3461DC31" wp14:editId="29490C42">
                <wp:simplePos x="0" y="0"/>
                <wp:positionH relativeFrom="column">
                  <wp:posOffset>-171450</wp:posOffset>
                </wp:positionH>
                <wp:positionV relativeFrom="paragraph">
                  <wp:posOffset>1566545</wp:posOffset>
                </wp:positionV>
                <wp:extent cx="1714500" cy="257175"/>
                <wp:effectExtent l="0" t="0" r="19050" b="28575"/>
                <wp:wrapNone/>
                <wp:docPr id="113" name="Oval 113"/>
                <wp:cNvGraphicFramePr/>
                <a:graphic xmlns:a="http://schemas.openxmlformats.org/drawingml/2006/main">
                  <a:graphicData uri="http://schemas.microsoft.com/office/word/2010/wordprocessingShape">
                    <wps:wsp>
                      <wps:cNvSpPr/>
                      <wps:spPr>
                        <a:xfrm>
                          <a:off x="0" y="0"/>
                          <a:ext cx="1714500" cy="257175"/>
                        </a:xfrm>
                        <a:prstGeom prst="ellipse">
                          <a:avLst/>
                        </a:prstGeom>
                        <a:noFill/>
                        <a:ln w="25400" cmpd="sng">
                          <a:solidFill>
                            <a:srgbClr val="FF0000">
                              <a:alpha val="73000"/>
                            </a:srgb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E9B0838" id="Oval 113" o:spid="_x0000_s1026" style="position:absolute;margin-left:-13.5pt;margin-top:123.35pt;width:135pt;height:20.25pt;z-index:2516756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" filled="f" strokecolor="red" strokeweight="2pt">
                <v:stroke opacity="47802f" joinstyle="miter"/>
              </v:oval>
            </w:pict>
          </mc:Fallback>
        </mc:AlternateContent>
      </w:r>
      <w:r w:rsidR="00BC555D">
        <w:rPr>
          <w:noProof/>
        </w:rPr>
        <w:drawing>
          <wp:inline distT="0" distB="0" distL="0" distR="0" wp14:anchorId="72680C40" wp14:editId="1CAAF002">
            <wp:extent cx="5953125" cy="2788286"/>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5615" t="26560" r="5615" b="18003"/>
                    <a:stretch/>
                  </pic:blipFill>
                  <pic:spPr bwMode="auto">
                    <a:xfrm>
                      <a:off x="0" y="0"/>
                      <a:ext cx="5954179" cy="2788780"/>
                    </a:xfrm>
                    <a:prstGeom prst="rect">
                      <a:avLst/>
                    </a:prstGeom>
                    <a:ln>
                      <a:noFill/>
                    </a:ln>
                    <a:extLst>
                      <a:ext uri="{53640926-AAD7-44D8-BBD7-CCE9431645EC}">
                        <a14:shadowObscured xmlns:a14="http://schemas.microsoft.com/office/drawing/2010/main"/>
                      </a:ext>
                    </a:extLst>
                  </pic:spPr>
                </pic:pic>
              </a:graphicData>
            </a:graphic>
          </wp:inline>
        </w:drawing>
      </w:r>
    </w:p>
    <w:p w14:paraId="435F43E0" w14:textId="77777777" w:rsidR="00023FE7" w:rsidRDefault="00023FE7">
      <w:pPr>
        <w:pStyle w:val="NumberedSteps"/>
        <w:ind w:right="720"/>
      </w:pPr>
    </w:p>
    <w:p w14:paraId="38BBBB52" w14:textId="77777777" w:rsidR="00BC555D" w:rsidRPr="0058047D" w:rsidRDefault="00BC555D">
      <w:pPr>
        <w:pStyle w:val="NumberedSteps"/>
        <w:ind w:right="720"/>
      </w:pPr>
    </w:p>
    <w:p w14:paraId="150E158E" w14:textId="77777777" w:rsidR="00023FE7" w:rsidRPr="003F471F" w:rsidRDefault="00023FE7">
      <w:pPr>
        <w:pStyle w:val="NumberedSteps"/>
        <w:ind w:right="720"/>
        <w:rPr>
          <w:lang w:val="it-IT"/>
        </w:rPr>
      </w:pPr>
      <w:r w:rsidRPr="003F471F">
        <w:rPr>
          <w:rStyle w:val="BodyChar"/>
          <w:rFonts w:ascii="Tahoma" w:hAnsi="Tahoma" w:cs="Tahoma"/>
          <w:b/>
          <w:sz w:val="18"/>
          <w:szCs w:val="18"/>
          <w:lang w:val="it-IT"/>
        </w:rPr>
        <w:lastRenderedPageBreak/>
        <w:t>Punto 2:</w:t>
      </w:r>
      <w:r w:rsidR="00E34ED3" w:rsidRPr="003F471F">
        <w:rPr>
          <w:rFonts w:ascii="Tahoma" w:hAnsi="Tahoma" w:cs="Tahoma"/>
          <w:sz w:val="18"/>
          <w:szCs w:val="18"/>
          <w:lang w:val="it-IT"/>
        </w:rPr>
        <w:t xml:space="preserve"> </w:t>
      </w:r>
      <w:r w:rsidRPr="003F471F">
        <w:rPr>
          <w:rFonts w:ascii="Tahoma" w:hAnsi="Tahoma" w:cs="Tahoma"/>
          <w:sz w:val="18"/>
          <w:szCs w:val="18"/>
          <w:lang w:val="it-IT"/>
        </w:rPr>
        <w:t>esaminare le informazioni nelle colonne relative alle promozioni disponibili, ai vantaggi di</w:t>
      </w:r>
      <w:r w:rsidR="0058047D" w:rsidRPr="003F471F">
        <w:rPr>
          <w:rFonts w:ascii="Tahoma" w:hAnsi="Tahoma" w:cs="Tahoma"/>
          <w:sz w:val="18"/>
          <w:szCs w:val="18"/>
          <w:lang w:val="it-IT"/>
        </w:rPr>
        <w:t> </w:t>
      </w:r>
      <w:r w:rsidRPr="003F471F">
        <w:rPr>
          <w:rFonts w:ascii="Tahoma" w:hAnsi="Tahoma" w:cs="Tahoma"/>
          <w:sz w:val="18"/>
          <w:szCs w:val="18"/>
          <w:lang w:val="it-IT"/>
        </w:rPr>
        <w:t>Software Assurance, ai punti accumulati, alla disponibilità dei programmi, ecc.</w:t>
      </w:r>
    </w:p>
    <w:p w14:paraId="585D971E" w14:textId="77777777" w:rsidR="00023FE7" w:rsidRPr="003F471F" w:rsidRDefault="00023FE7" w:rsidP="000E5145">
      <w:pPr>
        <w:pStyle w:val="NumberedSteps"/>
        <w:ind w:right="720"/>
        <w:rPr>
          <w:lang w:val="it-IT"/>
        </w:rPr>
      </w:pPr>
      <w:r w:rsidRPr="003F471F">
        <w:rPr>
          <w:rStyle w:val="BodyChar"/>
          <w:rFonts w:ascii="Tahoma" w:hAnsi="Tahoma" w:cs="Tahoma"/>
          <w:b/>
          <w:sz w:val="18"/>
          <w:szCs w:val="18"/>
          <w:lang w:val="it-IT"/>
        </w:rPr>
        <w:t>Punto 3:</w:t>
      </w:r>
      <w:r w:rsidR="00E34ED3" w:rsidRPr="003F471F">
        <w:rPr>
          <w:rFonts w:ascii="Tahoma" w:hAnsi="Tahoma" w:cs="Tahoma"/>
          <w:sz w:val="18"/>
          <w:szCs w:val="18"/>
          <w:lang w:val="it-IT"/>
        </w:rPr>
        <w:t xml:space="preserve"> </w:t>
      </w:r>
      <w:r w:rsidRPr="003F471F">
        <w:rPr>
          <w:rFonts w:ascii="Tahoma" w:hAnsi="Tahoma" w:cs="Tahoma"/>
          <w:sz w:val="18"/>
          <w:szCs w:val="18"/>
          <w:lang w:val="it-IT"/>
        </w:rPr>
        <w:t>alcuni software saranno anche corredati di note a piè di pagina riguardanti informazioni aggiuntive. Per leggerle, se applicabile, “fare clic” (Ctrl + clic) sul numero della nota a piè di pagina, che indirizzerà immediatamente al testo corrispondente oppure fare riferimento alla nota a piè di pagina identificata nelle pagine che seguono la tabella. Le informazioni aggiuntive includono i</w:t>
      </w:r>
      <w:r w:rsidR="00B03E8D" w:rsidRPr="003F471F">
        <w:rPr>
          <w:rFonts w:ascii="Tahoma" w:hAnsi="Tahoma" w:cs="Tahoma"/>
          <w:sz w:val="18"/>
          <w:szCs w:val="18"/>
          <w:lang w:val="it-IT"/>
        </w:rPr>
        <w:t> </w:t>
      </w:r>
      <w:r w:rsidRPr="003F471F">
        <w:rPr>
          <w:rFonts w:ascii="Tahoma" w:hAnsi="Tahoma" w:cs="Tahoma"/>
          <w:sz w:val="18"/>
          <w:szCs w:val="18"/>
          <w:lang w:val="it-IT"/>
        </w:rPr>
        <w:t>dettagli riguardanti le offerte di migrazione o i criteri di idoneità illustrati nell</w:t>
      </w:r>
      <w:r w:rsidR="001C4212" w:rsidRPr="003F471F">
        <w:rPr>
          <w:rFonts w:ascii="Tahoma" w:hAnsi="Tahoma" w:cs="Tahoma"/>
          <w:sz w:val="18"/>
          <w:szCs w:val="18"/>
          <w:lang w:val="it-IT"/>
        </w:rPr>
        <w:t>’</w:t>
      </w:r>
      <w:r w:rsidRPr="003F471F">
        <w:rPr>
          <w:rFonts w:ascii="Tahoma" w:hAnsi="Tahoma" w:cs="Tahoma"/>
          <w:sz w:val="18"/>
          <w:szCs w:val="18"/>
          <w:lang w:val="it-IT"/>
        </w:rPr>
        <w:t>esempio che segue.</w:t>
      </w:r>
    </w:p>
    <w:p w14:paraId="197B2C06" w14:textId="77777777" w:rsidR="000E5145" w:rsidRPr="003F471F" w:rsidRDefault="000E5145" w:rsidP="000E5145">
      <w:pPr>
        <w:pStyle w:val="NumberedSteps"/>
        <w:ind w:right="720"/>
        <w:rPr>
          <w:lang w:val="it-IT"/>
        </w:rPr>
      </w:pPr>
    </w:p>
    <w:p w14:paraId="255498A8" w14:textId="77777777" w:rsidR="00023FE7" w:rsidRPr="0058047D" w:rsidRDefault="00591E3E">
      <w:pPr>
        <w:pStyle w:val="NumberedSteps"/>
        <w:tabs>
          <w:tab w:val="left" w:pos="9360"/>
        </w:tabs>
        <w:ind w:right="720"/>
      </w:pPr>
      <w:r>
        <w:rPr>
          <w:noProof/>
        </w:rPr>
        <mc:AlternateContent>
          <mc:Choice Requires="wps">
            <w:drawing>
              <wp:anchor distT="0" distB="0" distL="114300" distR="114300" simplePos="0" relativeHeight="251673603" behindDoc="0" locked="0" layoutInCell="1" allowOverlap="1" wp14:anchorId="64C640D6" wp14:editId="24B22FDB">
                <wp:simplePos x="0" y="0"/>
                <wp:positionH relativeFrom="column">
                  <wp:posOffset>1790700</wp:posOffset>
                </wp:positionH>
                <wp:positionV relativeFrom="paragraph">
                  <wp:posOffset>1393825</wp:posOffset>
                </wp:positionV>
                <wp:extent cx="238125" cy="285750"/>
                <wp:effectExtent l="0" t="0" r="28575" b="19050"/>
                <wp:wrapNone/>
                <wp:docPr id="112" name="Oval 112"/>
                <wp:cNvGraphicFramePr/>
                <a:graphic xmlns:a="http://schemas.openxmlformats.org/drawingml/2006/main">
                  <a:graphicData uri="http://schemas.microsoft.com/office/word/2010/wordprocessingShape">
                    <wps:wsp>
                      <wps:cNvSpPr/>
                      <wps:spPr>
                        <a:xfrm>
                          <a:off x="0" y="0"/>
                          <a:ext cx="238125" cy="285750"/>
                        </a:xfrm>
                        <a:prstGeom prst="ellipse">
                          <a:avLst/>
                        </a:prstGeom>
                        <a:noFill/>
                        <a:ln w="25400" cmpd="sng">
                          <a:solidFill>
                            <a:srgbClr val="FF0000">
                              <a:alpha val="73000"/>
                            </a:srgb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4D793C7" id="Oval 112" o:spid="_x0000_s1026" style="position:absolute;margin-left:141pt;margin-top:109.75pt;width:18.75pt;height:22.5pt;z-index:25167360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" filled="f" strokecolor="red" strokeweight="2pt">
                <v:stroke opacity="47802f" joinstyle="miter"/>
              </v:oval>
            </w:pict>
          </mc:Fallback>
        </mc:AlternateContent>
      </w:r>
      <w:r>
        <w:rPr>
          <w:noProof/>
        </w:rPr>
        <mc:AlternateContent>
          <mc:Choice Requires="wps">
            <w:drawing>
              <wp:anchor distT="0" distB="0" distL="114300" distR="114300" simplePos="0" relativeHeight="251671555" behindDoc="0" locked="0" layoutInCell="1" allowOverlap="1" wp14:anchorId="62E29D6D" wp14:editId="2ABE59A2">
                <wp:simplePos x="0" y="0"/>
                <wp:positionH relativeFrom="column">
                  <wp:posOffset>371475</wp:posOffset>
                </wp:positionH>
                <wp:positionV relativeFrom="paragraph">
                  <wp:posOffset>1393825</wp:posOffset>
                </wp:positionV>
                <wp:extent cx="1019175" cy="209550"/>
                <wp:effectExtent l="0" t="0" r="28575" b="19050"/>
                <wp:wrapNone/>
                <wp:docPr id="111" name="Oval 111"/>
                <wp:cNvGraphicFramePr/>
                <a:graphic xmlns:a="http://schemas.openxmlformats.org/drawingml/2006/main">
                  <a:graphicData uri="http://schemas.microsoft.com/office/word/2010/wordprocessingShape">
                    <wps:wsp>
                      <wps:cNvSpPr/>
                      <wps:spPr>
                        <a:xfrm>
                          <a:off x="0" y="0"/>
                          <a:ext cx="1019175" cy="209550"/>
                        </a:xfrm>
                        <a:prstGeom prst="ellipse">
                          <a:avLst/>
                        </a:prstGeom>
                        <a:noFill/>
                        <a:ln w="25400" cmpd="sng">
                          <a:solidFill>
                            <a:srgbClr val="FF0000">
                              <a:alpha val="73000"/>
                            </a:srgb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57AB75A2" id="Oval 111" o:spid="_x0000_s1026" style="position:absolute;margin-left:29.25pt;margin-top:109.75pt;width:80.25pt;height:16.5pt;z-index:251671555;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" filled="f" strokecolor="red" strokeweight="2pt">
                <v:stroke opacity="47802f" joinstyle="miter"/>
              </v:oval>
            </w:pict>
          </mc:Fallback>
        </mc:AlternateContent>
      </w:r>
      <w:r w:rsidR="00BC555D">
        <w:rPr>
          <w:noProof/>
        </w:rPr>
        <w:drawing>
          <wp:inline distT="0" distB="0" distL="0" distR="0" wp14:anchorId="63815911" wp14:editId="7442CA5F">
            <wp:extent cx="2015334" cy="2657475"/>
            <wp:effectExtent l="0" t="0" r="444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5615" t="26560" r="62968" b="18003"/>
                    <a:stretch/>
                  </pic:blipFill>
                  <pic:spPr bwMode="auto">
                    <a:xfrm>
                      <a:off x="0" y="0"/>
                      <a:ext cx="2022034" cy="2666310"/>
                    </a:xfrm>
                    <a:prstGeom prst="rect">
                      <a:avLst/>
                    </a:prstGeom>
                    <a:ln>
                      <a:noFill/>
                    </a:ln>
                    <a:extLst>
                      <a:ext uri="{53640926-AAD7-44D8-BBD7-CCE9431645EC}">
                        <a14:shadowObscured xmlns:a14="http://schemas.microsoft.com/office/drawing/2010/main"/>
                      </a:ext>
                    </a:extLst>
                  </pic:spPr>
                </pic:pic>
              </a:graphicData>
            </a:graphic>
          </wp:inline>
        </w:drawing>
      </w:r>
    </w:p>
    <w:p w14:paraId="39711A88" w14:textId="77777777" w:rsidR="0013361B" w:rsidRPr="0058047D" w:rsidRDefault="0013361B">
      <w:pPr>
        <w:pStyle w:val="NumberedSteps"/>
        <w:tabs>
          <w:tab w:val="left" w:pos="9360"/>
        </w:tabs>
        <w:ind w:right="720"/>
      </w:pPr>
    </w:p>
    <w:p w14:paraId="4313A168" w14:textId="77777777" w:rsidR="00023FE7" w:rsidRPr="0058047D" w:rsidRDefault="009B0C96">
      <w:pPr>
        <w:pStyle w:val="NumberedSteps"/>
        <w:ind w:right="720"/>
      </w:pPr>
      <w:r w:rsidRPr="009B0C96">
        <w:rPr>
          <w:noProof/>
          <w:bdr w:val="single" w:sz="4" w:space="0" w:color="auto"/>
        </w:rPr>
        <w:drawing>
          <wp:inline distT="0" distB="0" distL="0" distR="0" wp14:anchorId="415A9F9D" wp14:editId="4CAA22AD">
            <wp:extent cx="4485736" cy="940279"/>
            <wp:effectExtent l="0" t="0" r="0"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5642" t="52941" r="9893" b="30125"/>
                    <a:stretch/>
                  </pic:blipFill>
                  <pic:spPr bwMode="auto">
                    <a:xfrm>
                      <a:off x="0" y="0"/>
                      <a:ext cx="4491103" cy="941404"/>
                    </a:xfrm>
                    <a:prstGeom prst="rect">
                      <a:avLst/>
                    </a:prstGeom>
                    <a:ln>
                      <a:noFill/>
                    </a:ln>
                    <a:extLst>
                      <a:ext uri="{53640926-AAD7-44D8-BBD7-CCE9431645EC}">
                        <a14:shadowObscured xmlns:a14="http://schemas.microsoft.com/office/drawing/2010/main"/>
                      </a:ext>
                    </a:extLst>
                  </pic:spPr>
                </pic:pic>
              </a:graphicData>
            </a:graphic>
          </wp:inline>
        </w:drawing>
      </w:r>
    </w:p>
    <w:p w14:paraId="6323EFFD" w14:textId="77777777" w:rsidR="0013361B" w:rsidRPr="0058047D" w:rsidRDefault="0013361B">
      <w:pPr>
        <w:pStyle w:val="NumberedSteps"/>
        <w:ind w:right="720"/>
      </w:pPr>
    </w:p>
    <w:p w14:paraId="74BABB9C" w14:textId="77777777" w:rsidR="00023FE7" w:rsidRPr="003F471F" w:rsidRDefault="00023FE7">
      <w:pPr>
        <w:pStyle w:val="NumberedSteps"/>
        <w:ind w:right="720"/>
        <w:rPr>
          <w:lang w:val="it-IT"/>
        </w:rPr>
      </w:pPr>
      <w:r w:rsidRPr="003F471F">
        <w:rPr>
          <w:rStyle w:val="BodyChar"/>
          <w:rFonts w:ascii="Tahoma" w:hAnsi="Tahoma" w:cs="Tahoma"/>
          <w:b/>
          <w:sz w:val="18"/>
          <w:szCs w:val="18"/>
          <w:lang w:val="it-IT"/>
        </w:rPr>
        <w:t>Punto 4:</w:t>
      </w:r>
      <w:r w:rsidR="00E34ED3" w:rsidRPr="003F471F">
        <w:rPr>
          <w:rStyle w:val="BodyChar"/>
          <w:rFonts w:ascii="Tahoma" w:hAnsi="Tahoma" w:cs="Tahoma"/>
          <w:b/>
          <w:sz w:val="18"/>
          <w:szCs w:val="18"/>
          <w:lang w:val="it-IT"/>
        </w:rPr>
        <w:t xml:space="preserve"> </w:t>
      </w:r>
      <w:r w:rsidRPr="003F471F">
        <w:rPr>
          <w:rFonts w:ascii="Tahoma" w:hAnsi="Tahoma" w:cs="Tahoma"/>
          <w:sz w:val="18"/>
          <w:szCs w:val="18"/>
          <w:lang w:val="it-IT"/>
        </w:rPr>
        <w:t>per ulteriori informazioni sui vantaggi di Software Assurance e sulle modalità di acquisto e di rinnovo di Software Assurance, vedere le Appendici 5 e 6.</w:t>
      </w:r>
    </w:p>
    <w:p w14:paraId="3ABC55CB" w14:textId="77777777" w:rsidR="00023FE7" w:rsidRPr="003F471F" w:rsidRDefault="00023FE7">
      <w:pPr>
        <w:pStyle w:val="Body"/>
        <w:ind w:right="720"/>
        <w:rPr>
          <w:lang w:val="it-IT"/>
        </w:rPr>
      </w:pPr>
      <w:r w:rsidRPr="003F471F">
        <w:rPr>
          <w:rFonts w:ascii="Tahoma" w:hAnsi="Tahoma" w:cs="Tahoma"/>
          <w:b/>
          <w:sz w:val="18"/>
          <w:szCs w:val="18"/>
          <w:lang w:val="it-IT"/>
        </w:rPr>
        <w:t>Nota:</w:t>
      </w:r>
      <w:r w:rsidR="00E34ED3" w:rsidRPr="003F471F">
        <w:rPr>
          <w:rFonts w:ascii="Tahoma" w:hAnsi="Tahoma" w:cs="Tahoma"/>
          <w:sz w:val="18"/>
          <w:szCs w:val="18"/>
          <w:lang w:val="it-IT"/>
        </w:rPr>
        <w:t xml:space="preserve"> </w:t>
      </w:r>
      <w:r w:rsidRPr="003F471F">
        <w:rPr>
          <w:rFonts w:ascii="Tahoma" w:hAnsi="Tahoma" w:cs="Tahoma"/>
          <w:sz w:val="18"/>
          <w:szCs w:val="18"/>
          <w:lang w:val="it-IT"/>
        </w:rPr>
        <w:t>la presente Lista dei Prodotti identifica, in base al programma, il software che è disponibile e</w:t>
      </w:r>
      <w:r w:rsidR="0058047D" w:rsidRPr="003F471F">
        <w:rPr>
          <w:rFonts w:ascii="Tahoma" w:hAnsi="Tahoma" w:cs="Tahoma"/>
          <w:sz w:val="18"/>
          <w:szCs w:val="18"/>
          <w:lang w:val="it-IT"/>
        </w:rPr>
        <w:t> </w:t>
      </w:r>
      <w:r w:rsidRPr="003F471F">
        <w:rPr>
          <w:rFonts w:ascii="Tahoma" w:hAnsi="Tahoma" w:cs="Tahoma"/>
          <w:sz w:val="18"/>
          <w:szCs w:val="18"/>
          <w:lang w:val="it-IT"/>
        </w:rPr>
        <w:t>le informazioni specifiche riguardanti l</w:t>
      </w:r>
      <w:r w:rsidR="001C4212" w:rsidRPr="003F471F">
        <w:rPr>
          <w:rFonts w:ascii="Tahoma" w:hAnsi="Tahoma" w:cs="Tahoma"/>
          <w:sz w:val="18"/>
          <w:szCs w:val="18"/>
          <w:lang w:val="it-IT"/>
        </w:rPr>
        <w:t>’</w:t>
      </w:r>
      <w:r w:rsidRPr="003F471F">
        <w:rPr>
          <w:rFonts w:ascii="Tahoma" w:hAnsi="Tahoma" w:cs="Tahoma"/>
          <w:sz w:val="18"/>
          <w:szCs w:val="18"/>
          <w:lang w:val="it-IT"/>
        </w:rPr>
        <w:t>acquisto di Licenze per tale software. È incorporato nel contratto Microsoft Volume Licensing. La disponibilità del software può variare in base al paese. Le</w:t>
      </w:r>
      <w:r w:rsidR="0058047D" w:rsidRPr="003F471F">
        <w:rPr>
          <w:rFonts w:ascii="Tahoma" w:hAnsi="Tahoma" w:cs="Tahoma"/>
          <w:sz w:val="18"/>
          <w:szCs w:val="18"/>
          <w:lang w:val="it-IT"/>
        </w:rPr>
        <w:t> </w:t>
      </w:r>
      <w:r w:rsidRPr="003F471F">
        <w:rPr>
          <w:rFonts w:ascii="Tahoma" w:hAnsi="Tahoma" w:cs="Tahoma"/>
          <w:sz w:val="18"/>
          <w:szCs w:val="18"/>
          <w:lang w:val="it-IT"/>
        </w:rPr>
        <w:t>società dovranno contattare il loro rivenditore o l</w:t>
      </w:r>
      <w:r w:rsidR="001C4212" w:rsidRPr="003F471F">
        <w:rPr>
          <w:rFonts w:ascii="Tahoma" w:hAnsi="Tahoma" w:cs="Tahoma"/>
          <w:sz w:val="18"/>
          <w:szCs w:val="18"/>
          <w:lang w:val="it-IT"/>
        </w:rPr>
        <w:t>’</w:t>
      </w:r>
      <w:r w:rsidRPr="003F471F">
        <w:rPr>
          <w:rFonts w:ascii="Tahoma" w:hAnsi="Tahoma" w:cs="Tahoma"/>
          <w:sz w:val="18"/>
          <w:szCs w:val="18"/>
          <w:lang w:val="it-IT"/>
        </w:rPr>
        <w:t>Account Manager designato da Microsoft per informazioni relative alla disponibilità di un determinato software in base al paese.</w:t>
      </w:r>
    </w:p>
    <w:p w14:paraId="66342BFA" w14:textId="77777777" w:rsidR="00023FE7" w:rsidRPr="003F471F" w:rsidRDefault="00023FE7">
      <w:pPr>
        <w:pStyle w:val="Body"/>
        <w:ind w:right="720"/>
        <w:rPr>
          <w:lang w:val="it-IT"/>
        </w:rPr>
      </w:pPr>
    </w:p>
    <w:p w14:paraId="7A8810D9" w14:textId="77777777" w:rsidR="00023FE7" w:rsidRPr="003F471F" w:rsidRDefault="00023FE7">
      <w:pPr>
        <w:pStyle w:val="Body"/>
        <w:ind w:right="720"/>
        <w:rPr>
          <w:lang w:val="it-IT"/>
        </w:rPr>
      </w:pPr>
      <w:r w:rsidRPr="003F471F">
        <w:rPr>
          <w:rFonts w:ascii="Tahoma" w:hAnsi="Tahoma" w:cs="Tahoma"/>
          <w:sz w:val="18"/>
          <w:szCs w:val="18"/>
          <w:lang w:val="it-IT"/>
        </w:rPr>
        <w:t>Sarà anche possibile prendere in visione il documento Diritti di Utilizzo del Prodotto (Product Use Rights o PUR). Il PUR viene prodotto ogni trimestre e fornisce informazioni sugli ultimi diritti sull</w:t>
      </w:r>
      <w:r w:rsidR="001C4212" w:rsidRPr="003F471F">
        <w:rPr>
          <w:rFonts w:ascii="Tahoma" w:hAnsi="Tahoma" w:cs="Tahoma"/>
          <w:sz w:val="18"/>
          <w:szCs w:val="18"/>
          <w:lang w:val="it-IT"/>
        </w:rPr>
        <w:t>’</w:t>
      </w:r>
      <w:r w:rsidRPr="003F471F">
        <w:rPr>
          <w:rFonts w:ascii="Tahoma" w:hAnsi="Tahoma" w:cs="Tahoma"/>
          <w:sz w:val="18"/>
          <w:szCs w:val="18"/>
          <w:lang w:val="it-IT"/>
        </w:rPr>
        <w:t>utilizzo del software Microsoft ai sensi dei Programmi per i Contratti Multilicenza. Il documento si trova all</w:t>
      </w:r>
      <w:r w:rsidR="001C4212" w:rsidRPr="003F471F">
        <w:rPr>
          <w:rFonts w:ascii="Tahoma" w:hAnsi="Tahoma" w:cs="Tahoma"/>
          <w:sz w:val="18"/>
          <w:szCs w:val="18"/>
          <w:lang w:val="it-IT"/>
        </w:rPr>
        <w:t>’</w:t>
      </w:r>
      <w:r w:rsidRPr="003F471F">
        <w:rPr>
          <w:rFonts w:ascii="Tahoma" w:hAnsi="Tahoma" w:cs="Tahoma"/>
          <w:sz w:val="18"/>
          <w:szCs w:val="18"/>
          <w:lang w:val="it-IT"/>
        </w:rPr>
        <w:t>indirizzo:</w:t>
      </w:r>
      <w:r w:rsidR="00E34ED3" w:rsidRPr="003F471F">
        <w:rPr>
          <w:rFonts w:ascii="Tahoma" w:hAnsi="Tahoma" w:cs="Tahoma"/>
          <w:sz w:val="18"/>
          <w:szCs w:val="18"/>
          <w:lang w:val="it-IT"/>
        </w:rPr>
        <w:t xml:space="preserve"> </w:t>
      </w:r>
      <w:r w:rsidR="0058047D" w:rsidRPr="003F471F">
        <w:rPr>
          <w:rFonts w:ascii="Tahoma" w:hAnsi="Tahoma" w:cs="Tahoma"/>
          <w:sz w:val="18"/>
          <w:szCs w:val="18"/>
          <w:lang w:val="it-IT"/>
        </w:rPr>
        <w:t>http://www.microsoftvolumelicensing.com/userights/Default.aspx</w:t>
      </w:r>
      <w:r w:rsidR="0058047D" w:rsidRPr="003F471F">
        <w:rPr>
          <w:lang w:val="it-IT"/>
        </w:rPr>
        <w:t xml:space="preserve"> </w:t>
      </w:r>
      <w:hyperlink w:history="1"/>
    </w:p>
    <w:p w14:paraId="50FB5EC6" w14:textId="77777777" w:rsidR="00465757" w:rsidRPr="003F471F" w:rsidRDefault="00465757" w:rsidP="00465757">
      <w:pPr>
        <w:rPr>
          <w:lang w:val="it-IT"/>
        </w:rPr>
      </w:pPr>
    </w:p>
    <w:p w14:paraId="566FBB34" w14:textId="77777777" w:rsidR="00B03E8D" w:rsidRPr="003F471F" w:rsidRDefault="00023FE7" w:rsidP="0051046C">
      <w:pPr>
        <w:pStyle w:val="TOC1"/>
        <w:rPr>
          <w:lang w:val="it-IT"/>
        </w:rPr>
      </w:pPr>
      <w:r w:rsidRPr="003F471F">
        <w:rPr>
          <w:lang w:val="it-IT"/>
        </w:rPr>
        <w:br w:type="page"/>
      </w:r>
      <w:r w:rsidR="00BF5FC6" w:rsidRPr="0058047D">
        <w:rPr>
          <w:color w:val="000000" w:themeColor="text1"/>
        </w:rPr>
        <w:fldChar w:fldCharType="begin"/>
      </w:r>
      <w:r w:rsidRPr="003F471F">
        <w:rPr>
          <w:color w:val="000000" w:themeColor="text1"/>
          <w:lang w:val="it-IT"/>
        </w:rPr>
        <w:instrText xml:space="preserve"> TOC \o "1-2" \t "Heading 3,3,Heading 4,4,Product Names,2" </w:instrText>
      </w:r>
      <w:r w:rsidR="00BF5FC6" w:rsidRPr="0058047D">
        <w:rPr>
          <w:color w:val="000000" w:themeColor="text1"/>
        </w:rPr>
        <w:fldChar w:fldCharType="separate"/>
      </w:r>
    </w:p>
    <w:p w14:paraId="176D9B9A" w14:textId="77777777" w:rsidR="00B03E8D" w:rsidRPr="003F471F" w:rsidRDefault="00B03E8D">
      <w:pPr>
        <w:pStyle w:val="TOC1"/>
        <w:rPr>
          <w:rFonts w:asciiTheme="minorHAnsi" w:eastAsiaTheme="minorEastAsia" w:hAnsiTheme="minorHAnsi" w:cstheme="minorBidi"/>
          <w:b w:val="0"/>
          <w:caps w:val="0"/>
          <w:color w:val="auto"/>
          <w:szCs w:val="22"/>
          <w:lang w:val="it-IT"/>
        </w:rPr>
      </w:pPr>
      <w:r w:rsidRPr="003F471F">
        <w:rPr>
          <w:b w:val="0"/>
          <w:lang w:val="it-IT"/>
        </w:rPr>
        <w:t>Microsoft</w:t>
      </w:r>
      <w:r w:rsidRPr="003F471F">
        <w:rPr>
          <w:b w:val="0"/>
          <w:vertAlign w:val="superscript"/>
          <w:lang w:val="it-IT"/>
        </w:rPr>
        <w:t>®</w:t>
      </w:r>
      <w:r w:rsidRPr="003F471F">
        <w:rPr>
          <w:lang w:val="it-IT"/>
        </w:rPr>
        <w:tab/>
      </w:r>
      <w:r>
        <w:fldChar w:fldCharType="begin"/>
      </w:r>
      <w:r w:rsidRPr="003F471F">
        <w:rPr>
          <w:lang w:val="it-IT"/>
        </w:rPr>
        <w:instrText xml:space="preserve"> PAGEREF _Toc371663243 \h </w:instrText>
      </w:r>
      <w:r>
        <w:fldChar w:fldCharType="separate"/>
      </w:r>
      <w:r w:rsidR="003F471F" w:rsidRPr="003F471F">
        <w:rPr>
          <w:lang w:val="it-IT"/>
        </w:rPr>
        <w:t>1</w:t>
      </w:r>
      <w:r>
        <w:fldChar w:fldCharType="end"/>
      </w:r>
    </w:p>
    <w:p w14:paraId="62F71106" w14:textId="77777777" w:rsidR="00B03E8D" w:rsidRPr="003F471F" w:rsidRDefault="00B03E8D">
      <w:pPr>
        <w:pStyle w:val="TOC1"/>
        <w:rPr>
          <w:rFonts w:asciiTheme="minorHAnsi" w:eastAsiaTheme="minorEastAsia" w:hAnsiTheme="minorHAnsi" w:cstheme="minorBidi"/>
          <w:b w:val="0"/>
          <w:caps w:val="0"/>
          <w:color w:val="auto"/>
          <w:szCs w:val="22"/>
          <w:lang w:val="it-IT"/>
        </w:rPr>
      </w:pPr>
      <w:r w:rsidRPr="003F471F">
        <w:rPr>
          <w:lang w:val="it-IT"/>
        </w:rPr>
        <w:t>INFORMAZIONI SUL PRESENTE Documento</w:t>
      </w:r>
      <w:r w:rsidRPr="003F471F">
        <w:rPr>
          <w:lang w:val="it-IT"/>
        </w:rPr>
        <w:tab/>
      </w:r>
      <w:r>
        <w:fldChar w:fldCharType="begin"/>
      </w:r>
      <w:r w:rsidRPr="003F471F">
        <w:rPr>
          <w:lang w:val="it-IT"/>
        </w:rPr>
        <w:instrText xml:space="preserve"> PAGEREF _Toc371663244 \h </w:instrText>
      </w:r>
      <w:r>
        <w:fldChar w:fldCharType="separate"/>
      </w:r>
      <w:r w:rsidR="003F471F" w:rsidRPr="003F471F">
        <w:rPr>
          <w:lang w:val="it-IT"/>
        </w:rPr>
        <w:t>2</w:t>
      </w:r>
      <w:r>
        <w:fldChar w:fldCharType="end"/>
      </w:r>
    </w:p>
    <w:p w14:paraId="3B550838" w14:textId="77777777" w:rsidR="00B03E8D" w:rsidRPr="003F471F" w:rsidRDefault="00B03E8D">
      <w:pPr>
        <w:pStyle w:val="TOC1"/>
        <w:rPr>
          <w:rFonts w:asciiTheme="minorHAnsi" w:eastAsiaTheme="minorEastAsia" w:hAnsiTheme="minorHAnsi" w:cstheme="minorBidi"/>
          <w:b w:val="0"/>
          <w:caps w:val="0"/>
          <w:color w:val="auto"/>
          <w:szCs w:val="22"/>
          <w:lang w:val="it-IT"/>
        </w:rPr>
      </w:pPr>
      <w:r w:rsidRPr="003F471F">
        <w:rPr>
          <w:lang w:val="it-IT"/>
        </w:rPr>
        <w:t>MODALITà DI Utilizzo deLLA LISTA DEI Prodotti Microsoft</w:t>
      </w:r>
      <w:r w:rsidRPr="003F471F">
        <w:rPr>
          <w:lang w:val="it-IT"/>
        </w:rPr>
        <w:tab/>
      </w:r>
      <w:r>
        <w:fldChar w:fldCharType="begin"/>
      </w:r>
      <w:r w:rsidRPr="003F471F">
        <w:rPr>
          <w:lang w:val="it-IT"/>
        </w:rPr>
        <w:instrText xml:space="preserve"> PAGEREF _Toc371663245 \h </w:instrText>
      </w:r>
      <w:r>
        <w:fldChar w:fldCharType="separate"/>
      </w:r>
      <w:r w:rsidR="003F471F" w:rsidRPr="003F471F">
        <w:rPr>
          <w:lang w:val="it-IT"/>
        </w:rPr>
        <w:t>2</w:t>
      </w:r>
      <w:r>
        <w:fldChar w:fldCharType="end"/>
      </w:r>
    </w:p>
    <w:p w14:paraId="48291B8B"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Codici Tabella</w:t>
      </w:r>
      <w:r w:rsidRPr="003F471F">
        <w:rPr>
          <w:lang w:val="it-IT"/>
        </w:rPr>
        <w:tab/>
      </w:r>
      <w:r>
        <w:fldChar w:fldCharType="begin"/>
      </w:r>
      <w:r w:rsidRPr="003F471F">
        <w:rPr>
          <w:lang w:val="it-IT"/>
        </w:rPr>
        <w:instrText xml:space="preserve"> PAGEREF _Toc371663246 \h </w:instrText>
      </w:r>
      <w:r>
        <w:fldChar w:fldCharType="separate"/>
      </w:r>
      <w:r w:rsidR="003F471F" w:rsidRPr="003F471F">
        <w:rPr>
          <w:lang w:val="it-IT"/>
        </w:rPr>
        <w:t>14</w:t>
      </w:r>
      <w:r>
        <w:fldChar w:fldCharType="end"/>
      </w:r>
    </w:p>
    <w:p w14:paraId="6C127D1C" w14:textId="77777777" w:rsidR="00B03E8D" w:rsidRPr="003F471F" w:rsidRDefault="00B03E8D">
      <w:pPr>
        <w:pStyle w:val="TOC1"/>
        <w:rPr>
          <w:rFonts w:asciiTheme="minorHAnsi" w:eastAsiaTheme="minorEastAsia" w:hAnsiTheme="minorHAnsi" w:cstheme="minorBidi"/>
          <w:b w:val="0"/>
          <w:caps w:val="0"/>
          <w:color w:val="auto"/>
          <w:szCs w:val="22"/>
          <w:lang w:val="it-IT"/>
        </w:rPr>
      </w:pPr>
      <w:r w:rsidRPr="003F471F">
        <w:rPr>
          <w:lang w:val="it-IT"/>
        </w:rPr>
        <w:t>LISTA DEI ProdottI</w:t>
      </w:r>
      <w:r w:rsidRPr="003F471F">
        <w:rPr>
          <w:lang w:val="it-IT"/>
        </w:rPr>
        <w:tab/>
      </w:r>
      <w:r>
        <w:fldChar w:fldCharType="begin"/>
      </w:r>
      <w:r w:rsidRPr="003F471F">
        <w:rPr>
          <w:lang w:val="it-IT"/>
        </w:rPr>
        <w:instrText xml:space="preserve"> PAGEREF _Toc371663247 \h </w:instrText>
      </w:r>
      <w:r>
        <w:fldChar w:fldCharType="separate"/>
      </w:r>
      <w:r w:rsidR="003F471F" w:rsidRPr="003F471F">
        <w:rPr>
          <w:lang w:val="it-IT"/>
        </w:rPr>
        <w:t>16</w:t>
      </w:r>
      <w:r>
        <w:fldChar w:fldCharType="end"/>
      </w:r>
    </w:p>
    <w:p w14:paraId="1C567E4E" w14:textId="77777777" w:rsidR="00B03E8D" w:rsidRPr="003F471F" w:rsidRDefault="00B03E8D">
      <w:pPr>
        <w:pStyle w:val="TOC3"/>
        <w:rPr>
          <w:rFonts w:asciiTheme="minorHAnsi" w:eastAsiaTheme="minorEastAsia" w:hAnsiTheme="minorHAnsi" w:cstheme="minorBidi"/>
          <w:bCs w:val="0"/>
          <w:color w:val="auto"/>
          <w:sz w:val="22"/>
          <w:szCs w:val="22"/>
          <w:lang w:val="it-IT"/>
        </w:rPr>
      </w:pPr>
      <w:r w:rsidRPr="003F471F">
        <w:rPr>
          <w:lang w:val="it-IT"/>
        </w:rPr>
        <w:t>POOL DI APPLICAZIONI</w:t>
      </w:r>
      <w:r w:rsidRPr="003F471F">
        <w:rPr>
          <w:lang w:val="it-IT"/>
        </w:rPr>
        <w:tab/>
      </w:r>
      <w:r>
        <w:fldChar w:fldCharType="begin"/>
      </w:r>
      <w:r w:rsidRPr="003F471F">
        <w:rPr>
          <w:lang w:val="it-IT"/>
        </w:rPr>
        <w:instrText xml:space="preserve"> PAGEREF _Toc371663248 \h </w:instrText>
      </w:r>
      <w:r>
        <w:fldChar w:fldCharType="separate"/>
      </w:r>
      <w:r w:rsidR="003F471F" w:rsidRPr="003F471F">
        <w:rPr>
          <w:lang w:val="it-IT"/>
        </w:rPr>
        <w:t>16</w:t>
      </w:r>
      <w:r>
        <w:fldChar w:fldCharType="end"/>
      </w:r>
    </w:p>
    <w:p w14:paraId="3D3835CD"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Access 2013</w:t>
      </w:r>
      <w:r w:rsidRPr="003F471F">
        <w:rPr>
          <w:lang w:val="it-IT"/>
        </w:rPr>
        <w:tab/>
      </w:r>
      <w:r>
        <w:fldChar w:fldCharType="begin"/>
      </w:r>
      <w:r w:rsidRPr="003F471F">
        <w:rPr>
          <w:lang w:val="it-IT"/>
        </w:rPr>
        <w:instrText xml:space="preserve"> PAGEREF _Toc371663249 \h </w:instrText>
      </w:r>
      <w:r>
        <w:fldChar w:fldCharType="separate"/>
      </w:r>
      <w:r w:rsidR="003F471F" w:rsidRPr="003F471F">
        <w:rPr>
          <w:lang w:val="it-IT"/>
        </w:rPr>
        <w:t>16</w:t>
      </w:r>
      <w:r>
        <w:fldChar w:fldCharType="end"/>
      </w:r>
    </w:p>
    <w:p w14:paraId="3074CD8B"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AutoRoute 2013</w:t>
      </w:r>
      <w:r w:rsidRPr="003F471F">
        <w:rPr>
          <w:lang w:val="it-IT"/>
        </w:rPr>
        <w:tab/>
      </w:r>
      <w:r>
        <w:fldChar w:fldCharType="begin"/>
      </w:r>
      <w:r w:rsidRPr="003F471F">
        <w:rPr>
          <w:lang w:val="it-IT"/>
        </w:rPr>
        <w:instrText xml:space="preserve"> PAGEREF _Toc371663250 \h </w:instrText>
      </w:r>
      <w:r>
        <w:fldChar w:fldCharType="separate"/>
      </w:r>
      <w:r w:rsidR="003F471F" w:rsidRPr="003F471F">
        <w:rPr>
          <w:lang w:val="it-IT"/>
        </w:rPr>
        <w:t>16</w:t>
      </w:r>
      <w:r>
        <w:fldChar w:fldCharType="end"/>
      </w:r>
    </w:p>
    <w:p w14:paraId="0BFE1FB2" w14:textId="77777777" w:rsidR="00B03E8D" w:rsidRDefault="00B03E8D">
      <w:pPr>
        <w:pStyle w:val="TOC2"/>
        <w:rPr>
          <w:rFonts w:asciiTheme="minorHAnsi" w:eastAsiaTheme="minorEastAsia" w:hAnsiTheme="minorHAnsi" w:cstheme="minorBidi"/>
          <w:sz w:val="22"/>
          <w:szCs w:val="22"/>
        </w:rPr>
      </w:pPr>
      <w:r w:rsidRPr="000F4C33">
        <w:rPr>
          <w:rFonts w:cs="Tahoma"/>
        </w:rPr>
        <w:t>Excel 2013</w:t>
      </w:r>
      <w:r>
        <w:tab/>
      </w:r>
      <w:r>
        <w:fldChar w:fldCharType="begin"/>
      </w:r>
      <w:r>
        <w:instrText xml:space="preserve"> PAGEREF _Toc371663251 \h </w:instrText>
      </w:r>
      <w:r>
        <w:fldChar w:fldCharType="separate"/>
      </w:r>
      <w:r w:rsidR="003F471F">
        <w:t>16</w:t>
      </w:r>
      <w:r>
        <w:fldChar w:fldCharType="end"/>
      </w:r>
    </w:p>
    <w:p w14:paraId="2F12AD1B" w14:textId="77777777" w:rsidR="00B03E8D" w:rsidRDefault="00B03E8D">
      <w:pPr>
        <w:pStyle w:val="TOC2"/>
        <w:rPr>
          <w:rFonts w:asciiTheme="minorHAnsi" w:eastAsiaTheme="minorEastAsia" w:hAnsiTheme="minorHAnsi" w:cstheme="minorBidi"/>
          <w:sz w:val="22"/>
          <w:szCs w:val="22"/>
        </w:rPr>
      </w:pPr>
      <w:r w:rsidRPr="000F4C33">
        <w:rPr>
          <w:rFonts w:cs="Tahoma"/>
        </w:rPr>
        <w:t>Excel per Mac 2011</w:t>
      </w:r>
      <w:r>
        <w:tab/>
      </w:r>
      <w:r>
        <w:fldChar w:fldCharType="begin"/>
      </w:r>
      <w:r>
        <w:instrText xml:space="preserve"> PAGEREF _Toc371663252 \h </w:instrText>
      </w:r>
      <w:r>
        <w:fldChar w:fldCharType="separate"/>
      </w:r>
      <w:r w:rsidR="003F471F">
        <w:t>16</w:t>
      </w:r>
      <w:r>
        <w:fldChar w:fldCharType="end"/>
      </w:r>
    </w:p>
    <w:p w14:paraId="7A87BC8C" w14:textId="77777777" w:rsidR="00B03E8D" w:rsidRDefault="00B03E8D">
      <w:pPr>
        <w:pStyle w:val="TOC2"/>
        <w:rPr>
          <w:rFonts w:asciiTheme="minorHAnsi" w:eastAsiaTheme="minorEastAsia" w:hAnsiTheme="minorHAnsi" w:cstheme="minorBidi"/>
          <w:sz w:val="22"/>
          <w:szCs w:val="22"/>
        </w:rPr>
      </w:pPr>
      <w:r w:rsidRPr="000F4C33">
        <w:rPr>
          <w:rFonts w:cs="Tahoma"/>
        </w:rPr>
        <w:t>Expression Encoder Pro 4</w:t>
      </w:r>
      <w:r>
        <w:tab/>
      </w:r>
      <w:r>
        <w:fldChar w:fldCharType="begin"/>
      </w:r>
      <w:r>
        <w:instrText xml:space="preserve"> PAGEREF _Toc371663253 \h </w:instrText>
      </w:r>
      <w:r>
        <w:fldChar w:fldCharType="separate"/>
      </w:r>
      <w:r w:rsidR="003F471F">
        <w:t>16</w:t>
      </w:r>
      <w:r>
        <w:fldChar w:fldCharType="end"/>
      </w:r>
    </w:p>
    <w:p w14:paraId="44593B99" w14:textId="77777777" w:rsidR="00B03E8D" w:rsidRDefault="00B03E8D">
      <w:pPr>
        <w:pStyle w:val="TOC2"/>
        <w:rPr>
          <w:rFonts w:asciiTheme="minorHAnsi" w:eastAsiaTheme="minorEastAsia" w:hAnsiTheme="minorHAnsi" w:cstheme="minorBidi"/>
          <w:sz w:val="22"/>
          <w:szCs w:val="22"/>
        </w:rPr>
      </w:pPr>
      <w:r w:rsidRPr="000F4C33">
        <w:rPr>
          <w:rFonts w:cs="Tahoma"/>
        </w:rPr>
        <w:t>InfoPath</w:t>
      </w:r>
      <w:r w:rsidRPr="000F4C33">
        <w:rPr>
          <w:rFonts w:cs="Tahoma"/>
          <w:vertAlign w:val="superscript"/>
        </w:rPr>
        <w:t>®</w:t>
      </w:r>
      <w:r w:rsidRPr="000F4C33">
        <w:rPr>
          <w:rFonts w:cs="Tahoma"/>
        </w:rPr>
        <w:t xml:space="preserve"> 2013</w:t>
      </w:r>
      <w:r>
        <w:tab/>
      </w:r>
      <w:r>
        <w:fldChar w:fldCharType="begin"/>
      </w:r>
      <w:r>
        <w:instrText xml:space="preserve"> PAGEREF _Toc371663254 \h </w:instrText>
      </w:r>
      <w:r>
        <w:fldChar w:fldCharType="separate"/>
      </w:r>
      <w:r w:rsidR="003F471F">
        <w:t>16</w:t>
      </w:r>
      <w:r>
        <w:fldChar w:fldCharType="end"/>
      </w:r>
    </w:p>
    <w:p w14:paraId="2E50366C" w14:textId="77777777" w:rsidR="00B03E8D" w:rsidRDefault="00B03E8D">
      <w:pPr>
        <w:pStyle w:val="TOC2"/>
        <w:rPr>
          <w:rFonts w:asciiTheme="minorHAnsi" w:eastAsiaTheme="minorEastAsia" w:hAnsiTheme="minorHAnsi" w:cstheme="minorBidi"/>
          <w:sz w:val="22"/>
          <w:szCs w:val="22"/>
        </w:rPr>
      </w:pPr>
      <w:r w:rsidRPr="000F4C33">
        <w:rPr>
          <w:rFonts w:cs="Tahoma"/>
        </w:rPr>
        <w:t>Lync 2013</w:t>
      </w:r>
      <w:r>
        <w:tab/>
      </w:r>
      <w:r>
        <w:fldChar w:fldCharType="begin"/>
      </w:r>
      <w:r>
        <w:instrText xml:space="preserve"> PAGEREF _Toc371663255 \h </w:instrText>
      </w:r>
      <w:r>
        <w:fldChar w:fldCharType="separate"/>
      </w:r>
      <w:r w:rsidR="003F471F">
        <w:t>16</w:t>
      </w:r>
      <w:r>
        <w:fldChar w:fldCharType="end"/>
      </w:r>
    </w:p>
    <w:p w14:paraId="56449EE8" w14:textId="77777777" w:rsidR="00B03E8D" w:rsidRDefault="00B03E8D">
      <w:pPr>
        <w:pStyle w:val="TOC2"/>
        <w:rPr>
          <w:rFonts w:asciiTheme="minorHAnsi" w:eastAsiaTheme="minorEastAsia" w:hAnsiTheme="minorHAnsi" w:cstheme="minorBidi"/>
          <w:sz w:val="22"/>
          <w:szCs w:val="22"/>
        </w:rPr>
      </w:pPr>
      <w:r w:rsidRPr="000F4C33">
        <w:rPr>
          <w:rFonts w:cs="Tahoma"/>
        </w:rPr>
        <w:t>Lync per Mac 2011</w:t>
      </w:r>
      <w:r>
        <w:tab/>
      </w:r>
      <w:r>
        <w:fldChar w:fldCharType="begin"/>
      </w:r>
      <w:r>
        <w:instrText xml:space="preserve"> PAGEREF _Toc371663256 \h </w:instrText>
      </w:r>
      <w:r>
        <w:fldChar w:fldCharType="separate"/>
      </w:r>
      <w:r w:rsidR="003F471F">
        <w:t>16</w:t>
      </w:r>
      <w:r>
        <w:fldChar w:fldCharType="end"/>
      </w:r>
    </w:p>
    <w:p w14:paraId="219103AC" w14:textId="77777777" w:rsidR="00B03E8D" w:rsidRDefault="00B03E8D">
      <w:pPr>
        <w:pStyle w:val="TOC2"/>
        <w:rPr>
          <w:rFonts w:asciiTheme="minorHAnsi" w:eastAsiaTheme="minorEastAsia" w:hAnsiTheme="minorHAnsi" w:cstheme="minorBidi"/>
          <w:sz w:val="22"/>
          <w:szCs w:val="22"/>
        </w:rPr>
      </w:pPr>
      <w:r w:rsidRPr="000F4C33">
        <w:rPr>
          <w:rFonts w:cs="Tahoma"/>
        </w:rPr>
        <w:t>MapPoint</w:t>
      </w:r>
      <w:r w:rsidRPr="000F4C33">
        <w:rPr>
          <w:rFonts w:cs="Tahoma"/>
          <w:vertAlign w:val="superscript"/>
        </w:rPr>
        <w:t>®</w:t>
      </w:r>
      <w:r w:rsidRPr="000F4C33">
        <w:rPr>
          <w:rFonts w:cs="Tahoma"/>
        </w:rPr>
        <w:t xml:space="preserve"> Fleet Edition 2013</w:t>
      </w:r>
      <w:r>
        <w:tab/>
      </w:r>
      <w:r>
        <w:fldChar w:fldCharType="begin"/>
      </w:r>
      <w:r>
        <w:instrText xml:space="preserve"> PAGEREF _Toc371663257 \h </w:instrText>
      </w:r>
      <w:r>
        <w:fldChar w:fldCharType="separate"/>
      </w:r>
      <w:r w:rsidR="003F471F">
        <w:t>16</w:t>
      </w:r>
      <w:r>
        <w:fldChar w:fldCharType="end"/>
      </w:r>
    </w:p>
    <w:p w14:paraId="5346ABB5" w14:textId="77777777" w:rsidR="00B03E8D" w:rsidRDefault="00B03E8D">
      <w:pPr>
        <w:pStyle w:val="TOC2"/>
        <w:rPr>
          <w:rFonts w:asciiTheme="minorHAnsi" w:eastAsiaTheme="minorEastAsia" w:hAnsiTheme="minorHAnsi" w:cstheme="minorBidi"/>
          <w:sz w:val="22"/>
          <w:szCs w:val="22"/>
        </w:rPr>
      </w:pPr>
      <w:r w:rsidRPr="000F4C33">
        <w:rPr>
          <w:rFonts w:cs="Tahoma"/>
        </w:rPr>
        <w:t>MapPoint</w:t>
      </w:r>
      <w:r w:rsidRPr="000F4C33">
        <w:rPr>
          <w:rFonts w:cs="Tahoma"/>
          <w:vertAlign w:val="superscript"/>
        </w:rPr>
        <w:t>®</w:t>
      </w:r>
      <w:r w:rsidRPr="000F4C33">
        <w:rPr>
          <w:rFonts w:cs="Tahoma"/>
        </w:rPr>
        <w:t xml:space="preserve"> 2013 per Windows</w:t>
      </w:r>
      <w:r>
        <w:tab/>
      </w:r>
      <w:r>
        <w:fldChar w:fldCharType="begin"/>
      </w:r>
      <w:r>
        <w:instrText xml:space="preserve"> PAGEREF _Toc371663258 \h </w:instrText>
      </w:r>
      <w:r>
        <w:fldChar w:fldCharType="separate"/>
      </w:r>
      <w:r w:rsidR="003F471F">
        <w:t>16</w:t>
      </w:r>
      <w:r>
        <w:fldChar w:fldCharType="end"/>
      </w:r>
    </w:p>
    <w:p w14:paraId="593630DE"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Sistemi Operativi MSDN</w:t>
      </w:r>
      <w:r w:rsidRPr="003F471F">
        <w:rPr>
          <w:lang w:val="it-IT"/>
        </w:rPr>
        <w:tab/>
      </w:r>
      <w:r>
        <w:fldChar w:fldCharType="begin"/>
      </w:r>
      <w:r w:rsidRPr="003F471F">
        <w:rPr>
          <w:lang w:val="it-IT"/>
        </w:rPr>
        <w:instrText xml:space="preserve"> PAGEREF _Toc371663259 \h </w:instrText>
      </w:r>
      <w:r>
        <w:fldChar w:fldCharType="separate"/>
      </w:r>
      <w:r w:rsidR="003F471F" w:rsidRPr="003F471F">
        <w:rPr>
          <w:lang w:val="it-IT"/>
        </w:rPr>
        <w:t>16</w:t>
      </w:r>
      <w:r>
        <w:fldChar w:fldCharType="end"/>
      </w:r>
    </w:p>
    <w:p w14:paraId="0EFDA6FE"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Piattaforme MSDN</w:t>
      </w:r>
      <w:r w:rsidRPr="003F471F">
        <w:rPr>
          <w:lang w:val="it-IT"/>
        </w:rPr>
        <w:tab/>
      </w:r>
      <w:r>
        <w:fldChar w:fldCharType="begin"/>
      </w:r>
      <w:r w:rsidRPr="003F471F">
        <w:rPr>
          <w:lang w:val="it-IT"/>
        </w:rPr>
        <w:instrText xml:space="preserve"> PAGEREF _Toc371663260 \h </w:instrText>
      </w:r>
      <w:r>
        <w:fldChar w:fldCharType="separate"/>
      </w:r>
      <w:r w:rsidR="003F471F" w:rsidRPr="003F471F">
        <w:rPr>
          <w:lang w:val="it-IT"/>
        </w:rPr>
        <w:t>16</w:t>
      </w:r>
      <w:r>
        <w:fldChar w:fldCharType="end"/>
      </w:r>
    </w:p>
    <w:p w14:paraId="33FC18CB"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Office 365 Education A3</w:t>
      </w:r>
      <w:r w:rsidR="001F5E7D" w:rsidRPr="003F471F">
        <w:rPr>
          <w:rFonts w:cs="Tahoma"/>
          <w:lang w:val="it-IT"/>
        </w:rPr>
        <w:t xml:space="preserve"> </w:t>
      </w:r>
      <w:r w:rsidRPr="003F471F">
        <w:rPr>
          <w:rFonts w:cs="Tahoma"/>
          <w:lang w:val="it-IT"/>
        </w:rPr>
        <w:t>(SL per Utente)</w:t>
      </w:r>
      <w:r w:rsidRPr="003F471F">
        <w:rPr>
          <w:lang w:val="it-IT"/>
        </w:rPr>
        <w:tab/>
      </w:r>
      <w:r>
        <w:fldChar w:fldCharType="begin"/>
      </w:r>
      <w:r w:rsidRPr="003F471F">
        <w:rPr>
          <w:lang w:val="it-IT"/>
        </w:rPr>
        <w:instrText xml:space="preserve"> PAGEREF _Toc371663261 \h </w:instrText>
      </w:r>
      <w:r>
        <w:fldChar w:fldCharType="separate"/>
      </w:r>
      <w:r w:rsidR="003F471F" w:rsidRPr="003F471F">
        <w:rPr>
          <w:lang w:val="it-IT"/>
        </w:rPr>
        <w:t>16</w:t>
      </w:r>
      <w:r>
        <w:fldChar w:fldCharType="end"/>
      </w:r>
    </w:p>
    <w:p w14:paraId="694FF843"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Office 365 Education A4</w:t>
      </w:r>
      <w:r w:rsidR="001F5E7D" w:rsidRPr="003F471F">
        <w:rPr>
          <w:rFonts w:cs="Tahoma"/>
          <w:lang w:val="it-IT"/>
        </w:rPr>
        <w:t xml:space="preserve"> </w:t>
      </w:r>
      <w:r w:rsidRPr="003F471F">
        <w:rPr>
          <w:rFonts w:cs="Tahoma"/>
          <w:lang w:val="it-IT"/>
        </w:rPr>
        <w:t>(SL per Utente)</w:t>
      </w:r>
      <w:r w:rsidRPr="003F471F">
        <w:rPr>
          <w:lang w:val="it-IT"/>
        </w:rPr>
        <w:tab/>
      </w:r>
      <w:r>
        <w:fldChar w:fldCharType="begin"/>
      </w:r>
      <w:r w:rsidRPr="003F471F">
        <w:rPr>
          <w:lang w:val="it-IT"/>
        </w:rPr>
        <w:instrText xml:space="preserve"> PAGEREF _Toc371663262 \h </w:instrText>
      </w:r>
      <w:r>
        <w:fldChar w:fldCharType="separate"/>
      </w:r>
      <w:r w:rsidR="003F471F" w:rsidRPr="003F471F">
        <w:rPr>
          <w:lang w:val="it-IT"/>
        </w:rPr>
        <w:t>16</w:t>
      </w:r>
      <w:r>
        <w:fldChar w:fldCharType="end"/>
      </w:r>
    </w:p>
    <w:p w14:paraId="3BF41E59"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Office 365 Midsize Business</w:t>
      </w:r>
      <w:r w:rsidR="001F5E7D" w:rsidRPr="003F471F">
        <w:rPr>
          <w:rFonts w:cs="Tahoma"/>
          <w:lang w:val="it-IT"/>
        </w:rPr>
        <w:t xml:space="preserve"> </w:t>
      </w:r>
      <w:r w:rsidRPr="003F471F">
        <w:rPr>
          <w:rFonts w:cs="Tahoma"/>
          <w:lang w:val="it-IT"/>
        </w:rPr>
        <w:t>(SL per Utente)</w:t>
      </w:r>
      <w:r w:rsidRPr="003F471F">
        <w:rPr>
          <w:lang w:val="it-IT"/>
        </w:rPr>
        <w:tab/>
      </w:r>
      <w:r>
        <w:fldChar w:fldCharType="begin"/>
      </w:r>
      <w:r w:rsidRPr="003F471F">
        <w:rPr>
          <w:lang w:val="it-IT"/>
        </w:rPr>
        <w:instrText xml:space="preserve"> PAGEREF _Toc371663263 \h </w:instrText>
      </w:r>
      <w:r>
        <w:fldChar w:fldCharType="separate"/>
      </w:r>
      <w:r w:rsidR="003F471F" w:rsidRPr="003F471F">
        <w:rPr>
          <w:lang w:val="it-IT"/>
        </w:rPr>
        <w:t>16</w:t>
      </w:r>
      <w:r>
        <w:fldChar w:fldCharType="end"/>
      </w:r>
    </w:p>
    <w:p w14:paraId="1F3D076A"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Componente Aggiuntivo di Office 365 Enterprise E3, E4 (SL per Utente)</w:t>
      </w:r>
      <w:r w:rsidRPr="003F471F">
        <w:rPr>
          <w:lang w:val="it-IT"/>
        </w:rPr>
        <w:tab/>
      </w:r>
      <w:r>
        <w:fldChar w:fldCharType="begin"/>
      </w:r>
      <w:r w:rsidRPr="003F471F">
        <w:rPr>
          <w:lang w:val="it-IT"/>
        </w:rPr>
        <w:instrText xml:space="preserve"> PAGEREF _Toc371663264 \h </w:instrText>
      </w:r>
      <w:r>
        <w:fldChar w:fldCharType="separate"/>
      </w:r>
      <w:r w:rsidR="003F471F" w:rsidRPr="003F471F">
        <w:rPr>
          <w:lang w:val="it-IT"/>
        </w:rPr>
        <w:t>16</w:t>
      </w:r>
      <w:r>
        <w:fldChar w:fldCharType="end"/>
      </w:r>
    </w:p>
    <w:p w14:paraId="03522123"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Office 365 Enterprise E3</w:t>
      </w:r>
      <w:r w:rsidR="001F5E7D" w:rsidRPr="003F471F">
        <w:rPr>
          <w:rFonts w:cs="Tahoma"/>
          <w:lang w:val="it-IT"/>
        </w:rPr>
        <w:t xml:space="preserve"> </w:t>
      </w:r>
      <w:r w:rsidRPr="003F471F">
        <w:rPr>
          <w:rFonts w:cs="Tahoma"/>
          <w:lang w:val="it-IT"/>
        </w:rPr>
        <w:t>(SL per Utente)</w:t>
      </w:r>
      <w:r w:rsidRPr="003F471F">
        <w:rPr>
          <w:lang w:val="it-IT"/>
        </w:rPr>
        <w:tab/>
      </w:r>
      <w:r>
        <w:fldChar w:fldCharType="begin"/>
      </w:r>
      <w:r w:rsidRPr="003F471F">
        <w:rPr>
          <w:lang w:val="it-IT"/>
        </w:rPr>
        <w:instrText xml:space="preserve"> PAGEREF _Toc371663265 \h </w:instrText>
      </w:r>
      <w:r>
        <w:fldChar w:fldCharType="separate"/>
      </w:r>
      <w:r w:rsidR="003F471F" w:rsidRPr="003F471F">
        <w:rPr>
          <w:lang w:val="it-IT"/>
        </w:rPr>
        <w:t>16</w:t>
      </w:r>
      <w:r>
        <w:fldChar w:fldCharType="end"/>
      </w:r>
    </w:p>
    <w:p w14:paraId="00CDF4F7"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Office 365 Enterprise E4</w:t>
      </w:r>
      <w:r w:rsidR="001F5E7D" w:rsidRPr="003F471F">
        <w:rPr>
          <w:rFonts w:cs="Tahoma"/>
          <w:lang w:val="it-IT"/>
        </w:rPr>
        <w:t xml:space="preserve"> </w:t>
      </w:r>
      <w:r w:rsidRPr="003F471F">
        <w:rPr>
          <w:rFonts w:cs="Tahoma"/>
          <w:lang w:val="it-IT"/>
        </w:rPr>
        <w:t>(SL per Utente)</w:t>
      </w:r>
      <w:r w:rsidRPr="003F471F">
        <w:rPr>
          <w:lang w:val="it-IT"/>
        </w:rPr>
        <w:tab/>
      </w:r>
      <w:r>
        <w:fldChar w:fldCharType="begin"/>
      </w:r>
      <w:r w:rsidRPr="003F471F">
        <w:rPr>
          <w:lang w:val="it-IT"/>
        </w:rPr>
        <w:instrText xml:space="preserve"> PAGEREF _Toc371663266 \h </w:instrText>
      </w:r>
      <w:r>
        <w:fldChar w:fldCharType="separate"/>
      </w:r>
      <w:r w:rsidR="003F471F" w:rsidRPr="003F471F">
        <w:rPr>
          <w:lang w:val="it-IT"/>
        </w:rPr>
        <w:t>16</w:t>
      </w:r>
      <w:r>
        <w:fldChar w:fldCharType="end"/>
      </w:r>
    </w:p>
    <w:p w14:paraId="783B5284"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Componente Aggiuntivo di Office 365 Government G3, G4 (SL per Utente)</w:t>
      </w:r>
      <w:r w:rsidRPr="003F471F">
        <w:rPr>
          <w:lang w:val="it-IT"/>
        </w:rPr>
        <w:tab/>
      </w:r>
      <w:r>
        <w:fldChar w:fldCharType="begin"/>
      </w:r>
      <w:r w:rsidRPr="003F471F">
        <w:rPr>
          <w:lang w:val="it-IT"/>
        </w:rPr>
        <w:instrText xml:space="preserve"> PAGEREF _Toc371663267 \h </w:instrText>
      </w:r>
      <w:r>
        <w:fldChar w:fldCharType="separate"/>
      </w:r>
      <w:r w:rsidR="003F471F" w:rsidRPr="003F471F">
        <w:rPr>
          <w:lang w:val="it-IT"/>
        </w:rPr>
        <w:t>16</w:t>
      </w:r>
      <w:r>
        <w:fldChar w:fldCharType="end"/>
      </w:r>
    </w:p>
    <w:p w14:paraId="16D977ED" w14:textId="77777777" w:rsidR="00B03E8D" w:rsidRDefault="00B03E8D">
      <w:pPr>
        <w:pStyle w:val="TOC2"/>
        <w:rPr>
          <w:rFonts w:asciiTheme="minorHAnsi" w:eastAsiaTheme="minorEastAsia" w:hAnsiTheme="minorHAnsi" w:cstheme="minorBidi"/>
          <w:sz w:val="22"/>
          <w:szCs w:val="22"/>
        </w:rPr>
      </w:pPr>
      <w:r w:rsidRPr="000F4C33">
        <w:rPr>
          <w:rFonts w:cs="Tahoma"/>
        </w:rPr>
        <w:t>Office 365 Government G3—G4</w:t>
      </w:r>
      <w:r w:rsidR="001F5E7D">
        <w:rPr>
          <w:rFonts w:cs="Tahoma"/>
        </w:rPr>
        <w:t xml:space="preserve"> </w:t>
      </w:r>
      <w:r w:rsidRPr="000F4C33">
        <w:rPr>
          <w:rFonts w:cs="Tahoma"/>
        </w:rPr>
        <w:t>(SL per Utente)</w:t>
      </w:r>
      <w:r>
        <w:tab/>
      </w:r>
      <w:r>
        <w:fldChar w:fldCharType="begin"/>
      </w:r>
      <w:r>
        <w:instrText xml:space="preserve"> PAGEREF _Toc371663268 \h </w:instrText>
      </w:r>
      <w:r>
        <w:fldChar w:fldCharType="separate"/>
      </w:r>
      <w:r w:rsidR="003F471F">
        <w:t>16</w:t>
      </w:r>
      <w:r>
        <w:fldChar w:fldCharType="end"/>
      </w:r>
    </w:p>
    <w:p w14:paraId="2FDA8E00"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Diritti di Utilizzo Commerciale di Office Home and Student RT 2013</w:t>
      </w:r>
      <w:r w:rsidRPr="003F471F">
        <w:rPr>
          <w:lang w:val="it-IT"/>
        </w:rPr>
        <w:tab/>
      </w:r>
      <w:r>
        <w:fldChar w:fldCharType="begin"/>
      </w:r>
      <w:r w:rsidRPr="003F471F">
        <w:rPr>
          <w:lang w:val="it-IT"/>
        </w:rPr>
        <w:instrText xml:space="preserve"> PAGEREF _Toc371663269 \h </w:instrText>
      </w:r>
      <w:r>
        <w:fldChar w:fldCharType="separate"/>
      </w:r>
      <w:r w:rsidR="003F471F" w:rsidRPr="003F471F">
        <w:rPr>
          <w:lang w:val="it-IT"/>
        </w:rPr>
        <w:t>16</w:t>
      </w:r>
      <w:r>
        <w:fldChar w:fldCharType="end"/>
      </w:r>
    </w:p>
    <w:p w14:paraId="6E8653BD"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Office per Mac Standard 2011</w:t>
      </w:r>
      <w:r w:rsidRPr="003F471F">
        <w:rPr>
          <w:lang w:val="it-IT"/>
        </w:rPr>
        <w:tab/>
      </w:r>
      <w:r>
        <w:fldChar w:fldCharType="begin"/>
      </w:r>
      <w:r w:rsidRPr="003F471F">
        <w:rPr>
          <w:lang w:val="it-IT"/>
        </w:rPr>
        <w:instrText xml:space="preserve"> PAGEREF _Toc371663270 \h </w:instrText>
      </w:r>
      <w:r>
        <w:fldChar w:fldCharType="separate"/>
      </w:r>
      <w:r w:rsidR="003F471F" w:rsidRPr="003F471F">
        <w:rPr>
          <w:lang w:val="it-IT"/>
        </w:rPr>
        <w:t>16</w:t>
      </w:r>
      <w:r>
        <w:fldChar w:fldCharType="end"/>
      </w:r>
    </w:p>
    <w:p w14:paraId="32476D47"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Office Multi-Language Pack 2013</w:t>
      </w:r>
      <w:r w:rsidRPr="003F471F">
        <w:rPr>
          <w:lang w:val="it-IT"/>
        </w:rPr>
        <w:tab/>
      </w:r>
      <w:r>
        <w:fldChar w:fldCharType="begin"/>
      </w:r>
      <w:r w:rsidRPr="003F471F">
        <w:rPr>
          <w:lang w:val="it-IT"/>
        </w:rPr>
        <w:instrText xml:space="preserve"> PAGEREF _Toc371663271 \h </w:instrText>
      </w:r>
      <w:r>
        <w:fldChar w:fldCharType="separate"/>
      </w:r>
      <w:r w:rsidR="003F471F" w:rsidRPr="003F471F">
        <w:rPr>
          <w:lang w:val="it-IT"/>
        </w:rPr>
        <w:t>16</w:t>
      </w:r>
      <w:r>
        <w:fldChar w:fldCharType="end"/>
      </w:r>
    </w:p>
    <w:p w14:paraId="7937FAC1"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Office Professional Plus 2013</w:t>
      </w:r>
      <w:r w:rsidRPr="003F471F">
        <w:rPr>
          <w:lang w:val="it-IT"/>
        </w:rPr>
        <w:tab/>
      </w:r>
      <w:r>
        <w:fldChar w:fldCharType="begin"/>
      </w:r>
      <w:r w:rsidRPr="003F471F">
        <w:rPr>
          <w:lang w:val="it-IT"/>
        </w:rPr>
        <w:instrText xml:space="preserve"> PAGEREF _Toc371663272 \h </w:instrText>
      </w:r>
      <w:r>
        <w:fldChar w:fldCharType="separate"/>
      </w:r>
      <w:r w:rsidR="003F471F" w:rsidRPr="003F471F">
        <w:rPr>
          <w:lang w:val="it-IT"/>
        </w:rPr>
        <w:t>16</w:t>
      </w:r>
      <w:r>
        <w:fldChar w:fldCharType="end"/>
      </w:r>
    </w:p>
    <w:p w14:paraId="739BC6A1" w14:textId="77777777" w:rsidR="00B03E8D" w:rsidRPr="003F471F" w:rsidRDefault="00B03E8D">
      <w:pPr>
        <w:pStyle w:val="TOC3"/>
        <w:rPr>
          <w:rFonts w:asciiTheme="minorHAnsi" w:eastAsiaTheme="minorEastAsia" w:hAnsiTheme="minorHAnsi" w:cstheme="minorBidi"/>
          <w:bCs w:val="0"/>
          <w:color w:val="auto"/>
          <w:sz w:val="22"/>
          <w:szCs w:val="22"/>
          <w:lang w:val="it-IT"/>
        </w:rPr>
      </w:pPr>
      <w:r w:rsidRPr="003F471F">
        <w:rPr>
          <w:lang w:val="it-IT"/>
        </w:rPr>
        <w:t>Office Standard 2013</w:t>
      </w:r>
      <w:r w:rsidRPr="003F471F">
        <w:rPr>
          <w:lang w:val="it-IT"/>
        </w:rPr>
        <w:tab/>
      </w:r>
      <w:r>
        <w:fldChar w:fldCharType="begin"/>
      </w:r>
      <w:r w:rsidRPr="003F471F">
        <w:rPr>
          <w:lang w:val="it-IT"/>
        </w:rPr>
        <w:instrText xml:space="preserve"> PAGEREF _Toc371663273 \h </w:instrText>
      </w:r>
      <w:r>
        <w:fldChar w:fldCharType="separate"/>
      </w:r>
      <w:r w:rsidR="003F471F" w:rsidRPr="003F471F">
        <w:rPr>
          <w:lang w:val="it-IT"/>
        </w:rPr>
        <w:t>16</w:t>
      </w:r>
      <w:r>
        <w:fldChar w:fldCharType="end"/>
      </w:r>
    </w:p>
    <w:p w14:paraId="3A200CE5"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Office 365 ProPlus (SL per Utente)</w:t>
      </w:r>
      <w:r w:rsidRPr="003F471F">
        <w:rPr>
          <w:lang w:val="it-IT"/>
        </w:rPr>
        <w:tab/>
      </w:r>
      <w:r>
        <w:fldChar w:fldCharType="begin"/>
      </w:r>
      <w:r w:rsidRPr="003F471F">
        <w:rPr>
          <w:lang w:val="it-IT"/>
        </w:rPr>
        <w:instrText xml:space="preserve"> PAGEREF _Toc371663274 \h </w:instrText>
      </w:r>
      <w:r>
        <w:fldChar w:fldCharType="separate"/>
      </w:r>
      <w:r w:rsidR="003F471F" w:rsidRPr="003F471F">
        <w:rPr>
          <w:lang w:val="it-IT"/>
        </w:rPr>
        <w:t>16</w:t>
      </w:r>
      <w:r>
        <w:fldChar w:fldCharType="end"/>
      </w:r>
    </w:p>
    <w:p w14:paraId="7A9B7126"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Office 365 ProPlus SA Transition</w:t>
      </w:r>
      <w:r w:rsidR="001F5E7D" w:rsidRPr="003F471F">
        <w:rPr>
          <w:rFonts w:cs="Tahoma"/>
          <w:lang w:val="it-IT"/>
        </w:rPr>
        <w:t xml:space="preserve"> </w:t>
      </w:r>
      <w:r w:rsidRPr="003F471F">
        <w:rPr>
          <w:rFonts w:cs="Tahoma"/>
          <w:lang w:val="it-IT"/>
        </w:rPr>
        <w:t>(SL per Utente)</w:t>
      </w:r>
      <w:r w:rsidRPr="003F471F">
        <w:rPr>
          <w:lang w:val="it-IT"/>
        </w:rPr>
        <w:tab/>
      </w:r>
      <w:r>
        <w:fldChar w:fldCharType="begin"/>
      </w:r>
      <w:r w:rsidRPr="003F471F">
        <w:rPr>
          <w:lang w:val="it-IT"/>
        </w:rPr>
        <w:instrText xml:space="preserve"> PAGEREF _Toc371663275 \h </w:instrText>
      </w:r>
      <w:r>
        <w:fldChar w:fldCharType="separate"/>
      </w:r>
      <w:r w:rsidR="003F471F" w:rsidRPr="003F471F">
        <w:rPr>
          <w:lang w:val="it-IT"/>
        </w:rPr>
        <w:t>16</w:t>
      </w:r>
      <w:r>
        <w:fldChar w:fldCharType="end"/>
      </w:r>
    </w:p>
    <w:p w14:paraId="3850B558"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Sottoscrizione Office Professional Plus A (SL per Utente)</w:t>
      </w:r>
      <w:r w:rsidRPr="003F471F">
        <w:rPr>
          <w:lang w:val="it-IT"/>
        </w:rPr>
        <w:tab/>
      </w:r>
      <w:r>
        <w:fldChar w:fldCharType="begin"/>
      </w:r>
      <w:r w:rsidRPr="003F471F">
        <w:rPr>
          <w:lang w:val="it-IT"/>
        </w:rPr>
        <w:instrText xml:space="preserve"> PAGEREF _Toc371663276 \h </w:instrText>
      </w:r>
      <w:r>
        <w:fldChar w:fldCharType="separate"/>
      </w:r>
      <w:r w:rsidR="003F471F" w:rsidRPr="003F471F">
        <w:rPr>
          <w:lang w:val="it-IT"/>
        </w:rPr>
        <w:t>17</w:t>
      </w:r>
      <w:r>
        <w:fldChar w:fldCharType="end"/>
      </w:r>
    </w:p>
    <w:p w14:paraId="0B49B23C" w14:textId="77777777" w:rsidR="00B03E8D" w:rsidRDefault="00B03E8D">
      <w:pPr>
        <w:pStyle w:val="TOC2"/>
        <w:rPr>
          <w:rFonts w:asciiTheme="minorHAnsi" w:eastAsiaTheme="minorEastAsia" w:hAnsiTheme="minorHAnsi" w:cstheme="minorBidi"/>
          <w:sz w:val="22"/>
          <w:szCs w:val="22"/>
        </w:rPr>
      </w:pPr>
      <w:r w:rsidRPr="000F4C33">
        <w:rPr>
          <w:rFonts w:cs="Tahoma"/>
        </w:rPr>
        <w:t>OneNote</w:t>
      </w:r>
      <w:r w:rsidRPr="000F4C33">
        <w:rPr>
          <w:rFonts w:cs="Tahoma"/>
          <w:vertAlign w:val="superscript"/>
        </w:rPr>
        <w:t>®</w:t>
      </w:r>
      <w:r w:rsidRPr="000F4C33">
        <w:rPr>
          <w:rFonts w:cs="Tahoma"/>
        </w:rPr>
        <w:t xml:space="preserve"> 2013</w:t>
      </w:r>
      <w:r>
        <w:tab/>
      </w:r>
      <w:r>
        <w:fldChar w:fldCharType="begin"/>
      </w:r>
      <w:r>
        <w:instrText xml:space="preserve"> PAGEREF _Toc371663277 \h </w:instrText>
      </w:r>
      <w:r>
        <w:fldChar w:fldCharType="separate"/>
      </w:r>
      <w:r w:rsidR="003F471F">
        <w:t>17</w:t>
      </w:r>
      <w:r>
        <w:fldChar w:fldCharType="end"/>
      </w:r>
    </w:p>
    <w:p w14:paraId="2547634B" w14:textId="77777777" w:rsidR="00B03E8D" w:rsidRDefault="00B03E8D">
      <w:pPr>
        <w:pStyle w:val="TOC2"/>
        <w:rPr>
          <w:rFonts w:asciiTheme="minorHAnsi" w:eastAsiaTheme="minorEastAsia" w:hAnsiTheme="minorHAnsi" w:cstheme="minorBidi"/>
          <w:sz w:val="22"/>
          <w:szCs w:val="22"/>
        </w:rPr>
      </w:pPr>
      <w:r w:rsidRPr="000F4C33">
        <w:rPr>
          <w:rFonts w:cs="Tahoma"/>
        </w:rPr>
        <w:t>Outlook</w:t>
      </w:r>
      <w:r w:rsidRPr="000F4C33">
        <w:rPr>
          <w:rFonts w:cs="Tahoma"/>
          <w:vertAlign w:val="superscript"/>
        </w:rPr>
        <w:t>®</w:t>
      </w:r>
      <w:r w:rsidRPr="000F4C33">
        <w:rPr>
          <w:rFonts w:cs="Tahoma"/>
        </w:rPr>
        <w:t xml:space="preserve"> 2013</w:t>
      </w:r>
      <w:r>
        <w:tab/>
      </w:r>
      <w:r>
        <w:fldChar w:fldCharType="begin"/>
      </w:r>
      <w:r>
        <w:instrText xml:space="preserve"> PAGEREF _Toc371663278 \h </w:instrText>
      </w:r>
      <w:r>
        <w:fldChar w:fldCharType="separate"/>
      </w:r>
      <w:r w:rsidR="003F471F">
        <w:t>17</w:t>
      </w:r>
      <w:r>
        <w:fldChar w:fldCharType="end"/>
      </w:r>
    </w:p>
    <w:p w14:paraId="3EB8F044" w14:textId="77777777" w:rsidR="00B03E8D" w:rsidRDefault="00B03E8D">
      <w:pPr>
        <w:pStyle w:val="TOC2"/>
        <w:rPr>
          <w:rFonts w:asciiTheme="minorHAnsi" w:eastAsiaTheme="minorEastAsia" w:hAnsiTheme="minorHAnsi" w:cstheme="minorBidi"/>
          <w:sz w:val="22"/>
          <w:szCs w:val="22"/>
        </w:rPr>
      </w:pPr>
      <w:r w:rsidRPr="000F4C33">
        <w:rPr>
          <w:rFonts w:cs="Tahoma"/>
        </w:rPr>
        <w:t>Outlook per Mac 2011</w:t>
      </w:r>
      <w:r>
        <w:tab/>
      </w:r>
      <w:r>
        <w:fldChar w:fldCharType="begin"/>
      </w:r>
      <w:r>
        <w:instrText xml:space="preserve"> PAGEREF _Toc371663279 \h </w:instrText>
      </w:r>
      <w:r>
        <w:fldChar w:fldCharType="separate"/>
      </w:r>
      <w:r w:rsidR="003F471F">
        <w:t>17</w:t>
      </w:r>
      <w:r>
        <w:fldChar w:fldCharType="end"/>
      </w:r>
    </w:p>
    <w:p w14:paraId="57E62722" w14:textId="77777777" w:rsidR="00B03E8D" w:rsidRDefault="00B03E8D">
      <w:pPr>
        <w:pStyle w:val="TOC3"/>
        <w:rPr>
          <w:rFonts w:asciiTheme="minorHAnsi" w:eastAsiaTheme="minorEastAsia" w:hAnsiTheme="minorHAnsi" w:cstheme="minorBidi"/>
          <w:bCs w:val="0"/>
          <w:color w:val="auto"/>
          <w:sz w:val="22"/>
          <w:szCs w:val="22"/>
        </w:rPr>
      </w:pPr>
      <w:r w:rsidRPr="000F4C33">
        <w:t>PowerPoint 2013</w:t>
      </w:r>
      <w:r>
        <w:tab/>
      </w:r>
      <w:r>
        <w:fldChar w:fldCharType="begin"/>
      </w:r>
      <w:r>
        <w:instrText xml:space="preserve"> PAGEREF _Toc371663280 \h </w:instrText>
      </w:r>
      <w:r>
        <w:fldChar w:fldCharType="separate"/>
      </w:r>
      <w:r w:rsidR="003F471F">
        <w:t>17</w:t>
      </w:r>
      <w:r>
        <w:fldChar w:fldCharType="end"/>
      </w:r>
    </w:p>
    <w:p w14:paraId="337839AA" w14:textId="77777777" w:rsidR="00B03E8D" w:rsidRDefault="00B03E8D">
      <w:pPr>
        <w:pStyle w:val="TOC3"/>
        <w:rPr>
          <w:rFonts w:asciiTheme="minorHAnsi" w:eastAsiaTheme="minorEastAsia" w:hAnsiTheme="minorHAnsi" w:cstheme="minorBidi"/>
          <w:bCs w:val="0"/>
          <w:color w:val="auto"/>
          <w:sz w:val="22"/>
          <w:szCs w:val="22"/>
        </w:rPr>
      </w:pPr>
      <w:r w:rsidRPr="000F4C33">
        <w:t>Powerpoint per Mac 2011</w:t>
      </w:r>
      <w:r>
        <w:tab/>
      </w:r>
      <w:r>
        <w:fldChar w:fldCharType="begin"/>
      </w:r>
      <w:r>
        <w:instrText xml:space="preserve"> PAGEREF _Toc371663281 \h </w:instrText>
      </w:r>
      <w:r>
        <w:fldChar w:fldCharType="separate"/>
      </w:r>
      <w:r w:rsidR="003F471F">
        <w:t>17</w:t>
      </w:r>
      <w:r>
        <w:fldChar w:fldCharType="end"/>
      </w:r>
    </w:p>
    <w:p w14:paraId="26490155" w14:textId="77777777" w:rsidR="00B03E8D" w:rsidRDefault="00B03E8D">
      <w:pPr>
        <w:pStyle w:val="TOC3"/>
        <w:rPr>
          <w:rFonts w:asciiTheme="minorHAnsi" w:eastAsiaTheme="minorEastAsia" w:hAnsiTheme="minorHAnsi" w:cstheme="minorBidi"/>
          <w:bCs w:val="0"/>
          <w:color w:val="auto"/>
          <w:sz w:val="22"/>
          <w:szCs w:val="22"/>
        </w:rPr>
      </w:pPr>
      <w:r w:rsidRPr="000F4C33">
        <w:t>Project Standard 2013</w:t>
      </w:r>
      <w:r>
        <w:tab/>
      </w:r>
      <w:r>
        <w:fldChar w:fldCharType="begin"/>
      </w:r>
      <w:r>
        <w:instrText xml:space="preserve"> PAGEREF _Toc371663282 \h </w:instrText>
      </w:r>
      <w:r>
        <w:fldChar w:fldCharType="separate"/>
      </w:r>
      <w:r w:rsidR="003F471F">
        <w:t>17</w:t>
      </w:r>
      <w:r>
        <w:fldChar w:fldCharType="end"/>
      </w:r>
    </w:p>
    <w:p w14:paraId="59C4D3CC" w14:textId="77777777" w:rsidR="00B03E8D" w:rsidRDefault="00B03E8D">
      <w:pPr>
        <w:pStyle w:val="TOC3"/>
        <w:rPr>
          <w:rFonts w:asciiTheme="minorHAnsi" w:eastAsiaTheme="minorEastAsia" w:hAnsiTheme="minorHAnsi" w:cstheme="minorBidi"/>
          <w:bCs w:val="0"/>
          <w:color w:val="auto"/>
          <w:sz w:val="22"/>
          <w:szCs w:val="22"/>
        </w:rPr>
      </w:pPr>
      <w:r w:rsidRPr="000F4C33">
        <w:t>Project Professional 2013</w:t>
      </w:r>
      <w:r>
        <w:tab/>
      </w:r>
      <w:r>
        <w:fldChar w:fldCharType="begin"/>
      </w:r>
      <w:r>
        <w:instrText xml:space="preserve"> PAGEREF _Toc371663283 \h </w:instrText>
      </w:r>
      <w:r>
        <w:fldChar w:fldCharType="separate"/>
      </w:r>
      <w:r w:rsidR="003F471F">
        <w:t>17</w:t>
      </w:r>
      <w:r>
        <w:fldChar w:fldCharType="end"/>
      </w:r>
    </w:p>
    <w:p w14:paraId="6EFE229B" w14:textId="77777777" w:rsidR="00B03E8D" w:rsidRDefault="00B03E8D">
      <w:pPr>
        <w:pStyle w:val="TOC3"/>
        <w:rPr>
          <w:rFonts w:asciiTheme="minorHAnsi" w:eastAsiaTheme="minorEastAsia" w:hAnsiTheme="minorHAnsi" w:cstheme="minorBidi"/>
          <w:bCs w:val="0"/>
          <w:color w:val="auto"/>
          <w:sz w:val="22"/>
          <w:szCs w:val="22"/>
        </w:rPr>
      </w:pPr>
      <w:r w:rsidRPr="000F4C33">
        <w:t>Project Pro per Office 365</w:t>
      </w:r>
      <w:r>
        <w:tab/>
      </w:r>
      <w:r>
        <w:fldChar w:fldCharType="begin"/>
      </w:r>
      <w:r>
        <w:instrText xml:space="preserve"> PAGEREF _Toc371663284 \h </w:instrText>
      </w:r>
      <w:r>
        <w:fldChar w:fldCharType="separate"/>
      </w:r>
      <w:r w:rsidR="003F471F">
        <w:t>17</w:t>
      </w:r>
      <w:r>
        <w:fldChar w:fldCharType="end"/>
      </w:r>
    </w:p>
    <w:p w14:paraId="26828AEC" w14:textId="77777777" w:rsidR="00B03E8D" w:rsidRDefault="00B03E8D">
      <w:pPr>
        <w:pStyle w:val="TOC3"/>
        <w:rPr>
          <w:rFonts w:asciiTheme="minorHAnsi" w:eastAsiaTheme="minorEastAsia" w:hAnsiTheme="minorHAnsi" w:cstheme="minorBidi"/>
          <w:bCs w:val="0"/>
          <w:color w:val="auto"/>
          <w:sz w:val="22"/>
          <w:szCs w:val="22"/>
        </w:rPr>
      </w:pPr>
      <w:r w:rsidRPr="000F4C33">
        <w:t>Project Pro per Office 365 A</w:t>
      </w:r>
      <w:r>
        <w:tab/>
      </w:r>
      <w:r>
        <w:fldChar w:fldCharType="begin"/>
      </w:r>
      <w:r>
        <w:instrText xml:space="preserve"> PAGEREF _Toc371663285 \h </w:instrText>
      </w:r>
      <w:r>
        <w:fldChar w:fldCharType="separate"/>
      </w:r>
      <w:r w:rsidR="003F471F">
        <w:t>17</w:t>
      </w:r>
      <w:r>
        <w:fldChar w:fldCharType="end"/>
      </w:r>
    </w:p>
    <w:p w14:paraId="791847E3" w14:textId="77777777" w:rsidR="00B03E8D" w:rsidRPr="003F471F" w:rsidRDefault="00B03E8D">
      <w:pPr>
        <w:pStyle w:val="TOC3"/>
        <w:rPr>
          <w:rFonts w:asciiTheme="minorHAnsi" w:eastAsiaTheme="minorEastAsia" w:hAnsiTheme="minorHAnsi" w:cstheme="minorBidi"/>
          <w:bCs w:val="0"/>
          <w:color w:val="auto"/>
          <w:sz w:val="22"/>
          <w:szCs w:val="22"/>
          <w:lang w:val="it-IT"/>
        </w:rPr>
      </w:pPr>
      <w:r w:rsidRPr="003F471F">
        <w:rPr>
          <w:lang w:val="it-IT"/>
        </w:rPr>
        <w:t>Publisher 2013</w:t>
      </w:r>
      <w:r w:rsidRPr="003F471F">
        <w:rPr>
          <w:lang w:val="it-IT"/>
        </w:rPr>
        <w:tab/>
      </w:r>
      <w:r>
        <w:fldChar w:fldCharType="begin"/>
      </w:r>
      <w:r w:rsidRPr="003F471F">
        <w:rPr>
          <w:lang w:val="it-IT"/>
        </w:rPr>
        <w:instrText xml:space="preserve"> PAGEREF _Toc371663286 \h </w:instrText>
      </w:r>
      <w:r>
        <w:fldChar w:fldCharType="separate"/>
      </w:r>
      <w:r w:rsidR="003F471F" w:rsidRPr="003F471F">
        <w:rPr>
          <w:lang w:val="it-IT"/>
        </w:rPr>
        <w:t>17</w:t>
      </w:r>
      <w:r>
        <w:fldChar w:fldCharType="end"/>
      </w:r>
    </w:p>
    <w:p w14:paraId="338ACC99" w14:textId="77777777" w:rsidR="00B03E8D" w:rsidRPr="003F471F" w:rsidRDefault="00B03E8D">
      <w:pPr>
        <w:pStyle w:val="TOC3"/>
        <w:rPr>
          <w:rFonts w:asciiTheme="minorHAnsi" w:eastAsiaTheme="minorEastAsia" w:hAnsiTheme="minorHAnsi" w:cstheme="minorBidi"/>
          <w:bCs w:val="0"/>
          <w:color w:val="auto"/>
          <w:sz w:val="22"/>
          <w:szCs w:val="22"/>
          <w:lang w:val="it-IT"/>
        </w:rPr>
      </w:pPr>
      <w:r w:rsidRPr="003F471F">
        <w:rPr>
          <w:lang w:val="it-IT"/>
        </w:rPr>
        <w:t>Diritti di Noleggio per Office Standard</w:t>
      </w:r>
      <w:r w:rsidRPr="003F471F">
        <w:rPr>
          <w:lang w:val="it-IT"/>
        </w:rPr>
        <w:tab/>
      </w:r>
      <w:r>
        <w:fldChar w:fldCharType="begin"/>
      </w:r>
      <w:r w:rsidRPr="003F471F">
        <w:rPr>
          <w:lang w:val="it-IT"/>
        </w:rPr>
        <w:instrText xml:space="preserve"> PAGEREF _Toc371663287 \h </w:instrText>
      </w:r>
      <w:r>
        <w:fldChar w:fldCharType="separate"/>
      </w:r>
      <w:r w:rsidR="003F471F" w:rsidRPr="003F471F">
        <w:rPr>
          <w:lang w:val="it-IT"/>
        </w:rPr>
        <w:t>17</w:t>
      </w:r>
      <w:r>
        <w:fldChar w:fldCharType="end"/>
      </w:r>
    </w:p>
    <w:p w14:paraId="6ED7CA3E" w14:textId="77777777" w:rsidR="00B03E8D" w:rsidRPr="003F471F" w:rsidRDefault="00B03E8D">
      <w:pPr>
        <w:pStyle w:val="TOC3"/>
        <w:rPr>
          <w:rFonts w:asciiTheme="minorHAnsi" w:eastAsiaTheme="minorEastAsia" w:hAnsiTheme="minorHAnsi" w:cstheme="minorBidi"/>
          <w:bCs w:val="0"/>
          <w:color w:val="auto"/>
          <w:sz w:val="22"/>
          <w:szCs w:val="22"/>
          <w:lang w:val="it-IT"/>
        </w:rPr>
      </w:pPr>
      <w:r w:rsidRPr="003F471F">
        <w:rPr>
          <w:lang w:val="it-IT"/>
        </w:rPr>
        <w:t>Diritto di Noleggio per Office Professional Plus</w:t>
      </w:r>
      <w:r w:rsidRPr="003F471F">
        <w:rPr>
          <w:lang w:val="it-IT"/>
        </w:rPr>
        <w:tab/>
      </w:r>
      <w:r>
        <w:fldChar w:fldCharType="begin"/>
      </w:r>
      <w:r w:rsidRPr="003F471F">
        <w:rPr>
          <w:lang w:val="it-IT"/>
        </w:rPr>
        <w:instrText xml:space="preserve"> PAGEREF _Toc371663288 \h </w:instrText>
      </w:r>
      <w:r>
        <w:fldChar w:fldCharType="separate"/>
      </w:r>
      <w:r w:rsidR="003F471F" w:rsidRPr="003F471F">
        <w:rPr>
          <w:lang w:val="it-IT"/>
        </w:rPr>
        <w:t>17</w:t>
      </w:r>
      <w:r>
        <w:fldChar w:fldCharType="end"/>
      </w:r>
    </w:p>
    <w:p w14:paraId="6776A35C" w14:textId="77777777" w:rsidR="00B03E8D" w:rsidRDefault="00B03E8D">
      <w:pPr>
        <w:pStyle w:val="TOC3"/>
        <w:rPr>
          <w:rFonts w:asciiTheme="minorHAnsi" w:eastAsiaTheme="minorEastAsia" w:hAnsiTheme="minorHAnsi" w:cstheme="minorBidi"/>
          <w:bCs w:val="0"/>
          <w:color w:val="auto"/>
          <w:sz w:val="22"/>
          <w:szCs w:val="22"/>
        </w:rPr>
      </w:pPr>
      <w:r w:rsidRPr="000F4C33">
        <w:t>Streets and Trips 2013</w:t>
      </w:r>
      <w:r>
        <w:tab/>
      </w:r>
      <w:r>
        <w:fldChar w:fldCharType="begin"/>
      </w:r>
      <w:r>
        <w:instrText xml:space="preserve"> PAGEREF _Toc371663289 \h </w:instrText>
      </w:r>
      <w:r>
        <w:fldChar w:fldCharType="separate"/>
      </w:r>
      <w:r w:rsidR="003F471F">
        <w:t>17</w:t>
      </w:r>
      <w:r>
        <w:fldChar w:fldCharType="end"/>
      </w:r>
    </w:p>
    <w:p w14:paraId="4D65DD8F" w14:textId="77777777" w:rsidR="00B03E8D" w:rsidRDefault="00B03E8D">
      <w:pPr>
        <w:pStyle w:val="TOC3"/>
        <w:rPr>
          <w:rFonts w:asciiTheme="minorHAnsi" w:eastAsiaTheme="minorEastAsia" w:hAnsiTheme="minorHAnsi" w:cstheme="minorBidi"/>
          <w:bCs w:val="0"/>
          <w:color w:val="auto"/>
          <w:sz w:val="22"/>
          <w:szCs w:val="22"/>
        </w:rPr>
      </w:pPr>
      <w:r w:rsidRPr="000F4C33">
        <w:t>Visio</w:t>
      </w:r>
      <w:r w:rsidRPr="000F4C33">
        <w:rPr>
          <w:vertAlign w:val="superscript"/>
        </w:rPr>
        <w:t>®</w:t>
      </w:r>
      <w:r w:rsidRPr="000F4C33">
        <w:t xml:space="preserve"> 2013 Professional</w:t>
      </w:r>
      <w:r>
        <w:tab/>
      </w:r>
      <w:r>
        <w:fldChar w:fldCharType="begin"/>
      </w:r>
      <w:r>
        <w:instrText xml:space="preserve"> PAGEREF _Toc371663290 \h </w:instrText>
      </w:r>
      <w:r>
        <w:fldChar w:fldCharType="separate"/>
      </w:r>
      <w:r w:rsidR="003F471F">
        <w:t>17</w:t>
      </w:r>
      <w:r>
        <w:fldChar w:fldCharType="end"/>
      </w:r>
    </w:p>
    <w:p w14:paraId="57F18852" w14:textId="77777777" w:rsidR="00B03E8D" w:rsidRPr="003F471F" w:rsidRDefault="00B03E8D">
      <w:pPr>
        <w:pStyle w:val="TOC3"/>
        <w:rPr>
          <w:rFonts w:asciiTheme="minorHAnsi" w:eastAsiaTheme="minorEastAsia" w:hAnsiTheme="minorHAnsi" w:cstheme="minorBidi"/>
          <w:bCs w:val="0"/>
          <w:color w:val="auto"/>
          <w:sz w:val="22"/>
          <w:szCs w:val="22"/>
          <w:lang w:val="it-IT"/>
        </w:rPr>
      </w:pPr>
      <w:r w:rsidRPr="003F471F">
        <w:rPr>
          <w:lang w:val="it-IT"/>
        </w:rPr>
        <w:t>Visio</w:t>
      </w:r>
      <w:r w:rsidRPr="003F471F">
        <w:rPr>
          <w:vertAlign w:val="superscript"/>
          <w:lang w:val="it-IT"/>
        </w:rPr>
        <w:t>®</w:t>
      </w:r>
      <w:r w:rsidRPr="003F471F">
        <w:rPr>
          <w:lang w:val="it-IT"/>
        </w:rPr>
        <w:t xml:space="preserve"> 2013 Standard</w:t>
      </w:r>
      <w:r w:rsidRPr="003F471F">
        <w:rPr>
          <w:lang w:val="it-IT"/>
        </w:rPr>
        <w:tab/>
      </w:r>
      <w:r>
        <w:fldChar w:fldCharType="begin"/>
      </w:r>
      <w:r w:rsidRPr="003F471F">
        <w:rPr>
          <w:lang w:val="it-IT"/>
        </w:rPr>
        <w:instrText xml:space="preserve"> PAGEREF _Toc371663291 \h </w:instrText>
      </w:r>
      <w:r>
        <w:fldChar w:fldCharType="separate"/>
      </w:r>
      <w:r w:rsidR="003F471F" w:rsidRPr="003F471F">
        <w:rPr>
          <w:lang w:val="it-IT"/>
        </w:rPr>
        <w:t>17</w:t>
      </w:r>
      <w:r>
        <w:fldChar w:fldCharType="end"/>
      </w:r>
    </w:p>
    <w:p w14:paraId="680795AB"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Visio Pro per Office 365</w:t>
      </w:r>
      <w:r w:rsidRPr="003F471F">
        <w:rPr>
          <w:lang w:val="it-IT"/>
        </w:rPr>
        <w:tab/>
      </w:r>
      <w:r>
        <w:fldChar w:fldCharType="begin"/>
      </w:r>
      <w:r w:rsidRPr="003F471F">
        <w:rPr>
          <w:lang w:val="it-IT"/>
        </w:rPr>
        <w:instrText xml:space="preserve"> PAGEREF _Toc371663292 \h </w:instrText>
      </w:r>
      <w:r>
        <w:fldChar w:fldCharType="separate"/>
      </w:r>
      <w:r w:rsidR="003F471F" w:rsidRPr="003F471F">
        <w:rPr>
          <w:lang w:val="it-IT"/>
        </w:rPr>
        <w:t>17</w:t>
      </w:r>
      <w:r>
        <w:fldChar w:fldCharType="end"/>
      </w:r>
    </w:p>
    <w:p w14:paraId="06059FD6"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Visio Pro per Office 365 A</w:t>
      </w:r>
      <w:r w:rsidRPr="003F471F">
        <w:rPr>
          <w:lang w:val="it-IT"/>
        </w:rPr>
        <w:tab/>
      </w:r>
      <w:r>
        <w:fldChar w:fldCharType="begin"/>
      </w:r>
      <w:r w:rsidRPr="003F471F">
        <w:rPr>
          <w:lang w:val="it-IT"/>
        </w:rPr>
        <w:instrText xml:space="preserve"> PAGEREF _Toc371663293 \h </w:instrText>
      </w:r>
      <w:r>
        <w:fldChar w:fldCharType="separate"/>
      </w:r>
      <w:r w:rsidR="003F471F" w:rsidRPr="003F471F">
        <w:rPr>
          <w:lang w:val="it-IT"/>
        </w:rPr>
        <w:t>17</w:t>
      </w:r>
      <w:r>
        <w:fldChar w:fldCharType="end"/>
      </w:r>
    </w:p>
    <w:p w14:paraId="20D178A3"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Visual Studio</w:t>
      </w:r>
      <w:r w:rsidRPr="003F471F">
        <w:rPr>
          <w:rFonts w:cs="Tahoma"/>
          <w:vertAlign w:val="superscript"/>
          <w:lang w:val="it-IT"/>
        </w:rPr>
        <w:t>®</w:t>
      </w:r>
      <w:r w:rsidRPr="003F471F">
        <w:rPr>
          <w:rFonts w:cs="Tahoma"/>
          <w:lang w:val="it-IT"/>
        </w:rPr>
        <w:t xml:space="preserve"> Professional 2013</w:t>
      </w:r>
      <w:r w:rsidRPr="003F471F">
        <w:rPr>
          <w:lang w:val="it-IT"/>
        </w:rPr>
        <w:tab/>
      </w:r>
      <w:r>
        <w:fldChar w:fldCharType="begin"/>
      </w:r>
      <w:r w:rsidRPr="003F471F">
        <w:rPr>
          <w:lang w:val="it-IT"/>
        </w:rPr>
        <w:instrText xml:space="preserve"> PAGEREF _Toc371663294 \h </w:instrText>
      </w:r>
      <w:r>
        <w:fldChar w:fldCharType="separate"/>
      </w:r>
      <w:r w:rsidR="003F471F" w:rsidRPr="003F471F">
        <w:rPr>
          <w:lang w:val="it-IT"/>
        </w:rPr>
        <w:t>17</w:t>
      </w:r>
      <w:r>
        <w:fldChar w:fldCharType="end"/>
      </w:r>
    </w:p>
    <w:p w14:paraId="1F0DB8EB"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Visual Studio</w:t>
      </w:r>
      <w:r w:rsidRPr="003F471F">
        <w:rPr>
          <w:rFonts w:cs="Tahoma"/>
          <w:vertAlign w:val="superscript"/>
          <w:lang w:val="it-IT"/>
        </w:rPr>
        <w:t>®</w:t>
      </w:r>
      <w:r w:rsidRPr="003F471F">
        <w:rPr>
          <w:rFonts w:cs="Tahoma"/>
          <w:lang w:val="it-IT"/>
        </w:rPr>
        <w:t xml:space="preserve"> Professional 2013 con MSDN</w:t>
      </w:r>
      <w:r w:rsidRPr="003F471F">
        <w:rPr>
          <w:lang w:val="it-IT"/>
        </w:rPr>
        <w:tab/>
      </w:r>
      <w:r>
        <w:fldChar w:fldCharType="begin"/>
      </w:r>
      <w:r w:rsidRPr="003F471F">
        <w:rPr>
          <w:lang w:val="it-IT"/>
        </w:rPr>
        <w:instrText xml:space="preserve"> PAGEREF _Toc371663295 \h </w:instrText>
      </w:r>
      <w:r>
        <w:fldChar w:fldCharType="separate"/>
      </w:r>
      <w:r w:rsidR="003F471F" w:rsidRPr="003F471F">
        <w:rPr>
          <w:lang w:val="it-IT"/>
        </w:rPr>
        <w:t>17</w:t>
      </w:r>
      <w:r>
        <w:fldChar w:fldCharType="end"/>
      </w:r>
    </w:p>
    <w:p w14:paraId="6C7BCF95"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Visual Studio</w:t>
      </w:r>
      <w:r w:rsidRPr="003F471F">
        <w:rPr>
          <w:rFonts w:cs="Tahoma"/>
          <w:vertAlign w:val="superscript"/>
          <w:lang w:val="it-IT"/>
        </w:rPr>
        <w:t>®</w:t>
      </w:r>
      <w:r w:rsidRPr="003F471F">
        <w:rPr>
          <w:rFonts w:cs="Tahoma"/>
          <w:lang w:val="it-IT"/>
        </w:rPr>
        <w:t xml:space="preserve"> Premium 2013 con MSDN</w:t>
      </w:r>
      <w:r w:rsidRPr="003F471F">
        <w:rPr>
          <w:lang w:val="it-IT"/>
        </w:rPr>
        <w:tab/>
      </w:r>
      <w:r>
        <w:fldChar w:fldCharType="begin"/>
      </w:r>
      <w:r w:rsidRPr="003F471F">
        <w:rPr>
          <w:lang w:val="it-IT"/>
        </w:rPr>
        <w:instrText xml:space="preserve"> PAGEREF _Toc371663296 \h </w:instrText>
      </w:r>
      <w:r>
        <w:fldChar w:fldCharType="separate"/>
      </w:r>
      <w:r w:rsidR="003F471F" w:rsidRPr="003F471F">
        <w:rPr>
          <w:lang w:val="it-IT"/>
        </w:rPr>
        <w:t>17</w:t>
      </w:r>
      <w:r>
        <w:fldChar w:fldCharType="end"/>
      </w:r>
    </w:p>
    <w:p w14:paraId="64D77A84"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Visual Studio</w:t>
      </w:r>
      <w:r w:rsidRPr="003F471F">
        <w:rPr>
          <w:rFonts w:cs="Tahoma"/>
          <w:vertAlign w:val="superscript"/>
          <w:lang w:val="it-IT"/>
        </w:rPr>
        <w:t>®</w:t>
      </w:r>
      <w:r w:rsidRPr="003F471F">
        <w:rPr>
          <w:rFonts w:cs="Tahoma"/>
          <w:lang w:val="it-IT"/>
        </w:rPr>
        <w:t xml:space="preserve"> Ultimate 2013 con MSDN</w:t>
      </w:r>
      <w:r w:rsidRPr="003F471F">
        <w:rPr>
          <w:lang w:val="it-IT"/>
        </w:rPr>
        <w:tab/>
      </w:r>
      <w:r>
        <w:fldChar w:fldCharType="begin"/>
      </w:r>
      <w:r w:rsidRPr="003F471F">
        <w:rPr>
          <w:lang w:val="it-IT"/>
        </w:rPr>
        <w:instrText xml:space="preserve"> PAGEREF _Toc371663297 \h </w:instrText>
      </w:r>
      <w:r>
        <w:fldChar w:fldCharType="separate"/>
      </w:r>
      <w:r w:rsidR="003F471F" w:rsidRPr="003F471F">
        <w:rPr>
          <w:lang w:val="it-IT"/>
        </w:rPr>
        <w:t>17</w:t>
      </w:r>
      <w:r>
        <w:fldChar w:fldCharType="end"/>
      </w:r>
    </w:p>
    <w:p w14:paraId="39840FAB"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Visual Studio</w:t>
      </w:r>
      <w:r w:rsidRPr="003F471F">
        <w:rPr>
          <w:rFonts w:cs="Tahoma"/>
          <w:vertAlign w:val="superscript"/>
          <w:lang w:val="it-IT"/>
        </w:rPr>
        <w:t>®</w:t>
      </w:r>
      <w:r w:rsidRPr="003F471F">
        <w:rPr>
          <w:rFonts w:cs="Tahoma"/>
          <w:lang w:val="it-IT"/>
        </w:rPr>
        <w:t xml:space="preserve"> Test Professional 2013 con MSDN</w:t>
      </w:r>
      <w:r w:rsidRPr="003F471F">
        <w:rPr>
          <w:lang w:val="it-IT"/>
        </w:rPr>
        <w:tab/>
      </w:r>
      <w:r>
        <w:fldChar w:fldCharType="begin"/>
      </w:r>
      <w:r w:rsidRPr="003F471F">
        <w:rPr>
          <w:lang w:val="it-IT"/>
        </w:rPr>
        <w:instrText xml:space="preserve"> PAGEREF _Toc371663298 \h </w:instrText>
      </w:r>
      <w:r>
        <w:fldChar w:fldCharType="separate"/>
      </w:r>
      <w:r w:rsidR="003F471F" w:rsidRPr="003F471F">
        <w:rPr>
          <w:lang w:val="it-IT"/>
        </w:rPr>
        <w:t>17</w:t>
      </w:r>
      <w:r>
        <w:fldChar w:fldCharType="end"/>
      </w:r>
    </w:p>
    <w:p w14:paraId="1A59D450" w14:textId="77777777" w:rsidR="00B03E8D" w:rsidRDefault="00B03E8D">
      <w:pPr>
        <w:pStyle w:val="TOC2"/>
        <w:rPr>
          <w:rFonts w:asciiTheme="minorHAnsi" w:eastAsiaTheme="minorEastAsia" w:hAnsiTheme="minorHAnsi" w:cstheme="minorBidi"/>
          <w:sz w:val="22"/>
          <w:szCs w:val="22"/>
        </w:rPr>
      </w:pPr>
      <w:r w:rsidRPr="000F4C33">
        <w:rPr>
          <w:rFonts w:cs="Tahoma"/>
        </w:rPr>
        <w:t>Word 2013</w:t>
      </w:r>
      <w:r>
        <w:tab/>
      </w:r>
      <w:r>
        <w:fldChar w:fldCharType="begin"/>
      </w:r>
      <w:r>
        <w:instrText xml:space="preserve"> PAGEREF _Toc371663299 \h </w:instrText>
      </w:r>
      <w:r>
        <w:fldChar w:fldCharType="separate"/>
      </w:r>
      <w:r w:rsidR="003F471F">
        <w:t>17</w:t>
      </w:r>
      <w:r>
        <w:fldChar w:fldCharType="end"/>
      </w:r>
    </w:p>
    <w:p w14:paraId="0332B597" w14:textId="77777777" w:rsidR="00B03E8D" w:rsidRDefault="00B03E8D">
      <w:pPr>
        <w:pStyle w:val="TOC2"/>
        <w:rPr>
          <w:rFonts w:asciiTheme="minorHAnsi" w:eastAsiaTheme="minorEastAsia" w:hAnsiTheme="minorHAnsi" w:cstheme="minorBidi"/>
          <w:sz w:val="22"/>
          <w:szCs w:val="22"/>
        </w:rPr>
      </w:pPr>
      <w:r w:rsidRPr="000F4C33">
        <w:rPr>
          <w:rFonts w:cs="Tahoma"/>
        </w:rPr>
        <w:t>Word per Mac 2011</w:t>
      </w:r>
      <w:r>
        <w:tab/>
      </w:r>
      <w:r>
        <w:fldChar w:fldCharType="begin"/>
      </w:r>
      <w:r>
        <w:instrText xml:space="preserve"> PAGEREF _Toc371663300 \h </w:instrText>
      </w:r>
      <w:r>
        <w:fldChar w:fldCharType="separate"/>
      </w:r>
      <w:r w:rsidR="003F471F">
        <w:t>17</w:t>
      </w:r>
      <w:r>
        <w:fldChar w:fldCharType="end"/>
      </w:r>
    </w:p>
    <w:p w14:paraId="4B6D21FE" w14:textId="77777777" w:rsidR="00B03E8D" w:rsidRDefault="00B03E8D">
      <w:pPr>
        <w:pStyle w:val="TOC3"/>
        <w:rPr>
          <w:rFonts w:asciiTheme="minorHAnsi" w:eastAsiaTheme="minorEastAsia" w:hAnsiTheme="minorHAnsi" w:cstheme="minorBidi"/>
          <w:bCs w:val="0"/>
          <w:color w:val="auto"/>
          <w:sz w:val="22"/>
          <w:szCs w:val="22"/>
        </w:rPr>
      </w:pPr>
      <w:r w:rsidRPr="000F4C33">
        <w:t>POOL DI SISTEMI</w:t>
      </w:r>
      <w:r>
        <w:tab/>
      </w:r>
      <w:r>
        <w:fldChar w:fldCharType="begin"/>
      </w:r>
      <w:r>
        <w:instrText xml:space="preserve"> PAGEREF _Toc371663301 \h </w:instrText>
      </w:r>
      <w:r>
        <w:fldChar w:fldCharType="separate"/>
      </w:r>
      <w:r w:rsidR="003F471F">
        <w:t>18</w:t>
      </w:r>
      <w:r>
        <w:fldChar w:fldCharType="end"/>
      </w:r>
    </w:p>
    <w:p w14:paraId="34BDF9B3" w14:textId="77777777" w:rsidR="00B03E8D" w:rsidRDefault="00B03E8D">
      <w:pPr>
        <w:pStyle w:val="TOC2"/>
        <w:rPr>
          <w:rFonts w:asciiTheme="minorHAnsi" w:eastAsiaTheme="minorEastAsia" w:hAnsiTheme="minorHAnsi" w:cstheme="minorBidi"/>
          <w:sz w:val="22"/>
          <w:szCs w:val="22"/>
        </w:rPr>
      </w:pPr>
      <w:r w:rsidRPr="000F4C33">
        <w:rPr>
          <w:rFonts w:cs="Tahoma"/>
        </w:rPr>
        <w:t>Enterprise Sideloading per Windows Embedded 8.1</w:t>
      </w:r>
      <w:r>
        <w:tab/>
      </w:r>
      <w:r>
        <w:fldChar w:fldCharType="begin"/>
      </w:r>
      <w:r>
        <w:instrText xml:space="preserve"> PAGEREF _Toc371663302 \h </w:instrText>
      </w:r>
      <w:r>
        <w:fldChar w:fldCharType="separate"/>
      </w:r>
      <w:r w:rsidR="003F471F">
        <w:t>18</w:t>
      </w:r>
      <w:r>
        <w:fldChar w:fldCharType="end"/>
      </w:r>
    </w:p>
    <w:p w14:paraId="77210C22" w14:textId="77777777" w:rsidR="00B03E8D" w:rsidRDefault="00B03E8D">
      <w:pPr>
        <w:pStyle w:val="TOC2"/>
        <w:rPr>
          <w:rFonts w:asciiTheme="minorHAnsi" w:eastAsiaTheme="minorEastAsia" w:hAnsiTheme="minorHAnsi" w:cstheme="minorBidi"/>
          <w:sz w:val="22"/>
          <w:szCs w:val="22"/>
        </w:rPr>
      </w:pPr>
      <w:r w:rsidRPr="000F4C33">
        <w:rPr>
          <w:rFonts w:cs="Tahoma"/>
        </w:rPr>
        <w:t>Microsoft Desktop Optimization Pack per Software Assurance</w:t>
      </w:r>
      <w:r>
        <w:tab/>
      </w:r>
      <w:r>
        <w:fldChar w:fldCharType="begin"/>
      </w:r>
      <w:r>
        <w:instrText xml:space="preserve"> PAGEREF _Toc371663303 \h </w:instrText>
      </w:r>
      <w:r>
        <w:fldChar w:fldCharType="separate"/>
      </w:r>
      <w:r w:rsidR="003F471F">
        <w:t>18</w:t>
      </w:r>
      <w:r>
        <w:fldChar w:fldCharType="end"/>
      </w:r>
    </w:p>
    <w:p w14:paraId="49DB78D3"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Diritti di Noleggio per Windows</w:t>
      </w:r>
      <w:r w:rsidRPr="003F471F">
        <w:rPr>
          <w:lang w:val="it-IT"/>
        </w:rPr>
        <w:tab/>
      </w:r>
      <w:r>
        <w:fldChar w:fldCharType="begin"/>
      </w:r>
      <w:r w:rsidRPr="003F471F">
        <w:rPr>
          <w:lang w:val="it-IT"/>
        </w:rPr>
        <w:instrText xml:space="preserve"> PAGEREF _Toc371663304 \h </w:instrText>
      </w:r>
      <w:r>
        <w:fldChar w:fldCharType="separate"/>
      </w:r>
      <w:r w:rsidR="003F471F" w:rsidRPr="003F471F">
        <w:rPr>
          <w:lang w:val="it-IT"/>
        </w:rPr>
        <w:t>18</w:t>
      </w:r>
      <w:r>
        <w:fldChar w:fldCharType="end"/>
      </w:r>
    </w:p>
    <w:p w14:paraId="03B715E4" w14:textId="77777777" w:rsidR="00B03E8D" w:rsidRDefault="00B03E8D">
      <w:pPr>
        <w:pStyle w:val="TOC2"/>
        <w:rPr>
          <w:rFonts w:asciiTheme="minorHAnsi" w:eastAsiaTheme="minorEastAsia" w:hAnsiTheme="minorHAnsi" w:cstheme="minorBidi"/>
          <w:sz w:val="22"/>
          <w:szCs w:val="22"/>
        </w:rPr>
      </w:pPr>
      <w:r w:rsidRPr="000F4C33">
        <w:rPr>
          <w:rFonts w:cs="Tahoma"/>
        </w:rPr>
        <w:t>Windows</w:t>
      </w:r>
      <w:r w:rsidRPr="000F4C33">
        <w:rPr>
          <w:rFonts w:cs="Tahoma"/>
          <w:vertAlign w:val="superscript"/>
        </w:rPr>
        <w:t>®</w:t>
      </w:r>
      <w:r w:rsidRPr="000F4C33">
        <w:rPr>
          <w:rFonts w:cs="Tahoma"/>
        </w:rPr>
        <w:t xml:space="preserve"> 7 Partners in Learning</w:t>
      </w:r>
      <w:r>
        <w:tab/>
      </w:r>
      <w:r>
        <w:fldChar w:fldCharType="begin"/>
      </w:r>
      <w:r>
        <w:instrText xml:space="preserve"> PAGEREF _Toc371663305 \h </w:instrText>
      </w:r>
      <w:r>
        <w:fldChar w:fldCharType="separate"/>
      </w:r>
      <w:r w:rsidR="003F471F">
        <w:t>18</w:t>
      </w:r>
      <w:r>
        <w:fldChar w:fldCharType="end"/>
      </w:r>
    </w:p>
    <w:p w14:paraId="21CF7A23" w14:textId="77777777" w:rsidR="00B03E8D" w:rsidRDefault="00B03E8D">
      <w:pPr>
        <w:pStyle w:val="TOC2"/>
        <w:rPr>
          <w:rFonts w:asciiTheme="minorHAnsi" w:eastAsiaTheme="minorEastAsia" w:hAnsiTheme="minorHAnsi" w:cstheme="minorBidi"/>
          <w:sz w:val="22"/>
          <w:szCs w:val="22"/>
        </w:rPr>
      </w:pPr>
      <w:r w:rsidRPr="000F4C33">
        <w:rPr>
          <w:rFonts w:cs="Tahoma"/>
        </w:rPr>
        <w:t>Windows 8.1 Enterprise Sideloading (100 Confezioni)</w:t>
      </w:r>
      <w:r>
        <w:tab/>
      </w:r>
      <w:r>
        <w:fldChar w:fldCharType="begin"/>
      </w:r>
      <w:r>
        <w:instrText xml:space="preserve"> PAGEREF _Toc371663306 \h </w:instrText>
      </w:r>
      <w:r>
        <w:fldChar w:fldCharType="separate"/>
      </w:r>
      <w:r w:rsidR="003F471F">
        <w:t>18</w:t>
      </w:r>
      <w:r>
        <w:fldChar w:fldCharType="end"/>
      </w:r>
    </w:p>
    <w:p w14:paraId="2F8D4DEF" w14:textId="77777777" w:rsidR="00B03E8D" w:rsidRDefault="00B03E8D">
      <w:pPr>
        <w:pStyle w:val="TOC2"/>
        <w:rPr>
          <w:rFonts w:asciiTheme="minorHAnsi" w:eastAsiaTheme="minorEastAsia" w:hAnsiTheme="minorHAnsi" w:cstheme="minorBidi"/>
          <w:sz w:val="22"/>
          <w:szCs w:val="22"/>
        </w:rPr>
      </w:pPr>
      <w:r w:rsidRPr="000F4C33">
        <w:rPr>
          <w:rFonts w:cs="Tahoma"/>
        </w:rPr>
        <w:t>Windows</w:t>
      </w:r>
      <w:r w:rsidRPr="000F4C33">
        <w:rPr>
          <w:rFonts w:cs="Tahoma"/>
          <w:vertAlign w:val="superscript"/>
        </w:rPr>
        <w:t>®</w:t>
      </w:r>
      <w:r w:rsidRPr="000F4C33">
        <w:rPr>
          <w:rFonts w:cs="Tahoma"/>
        </w:rPr>
        <w:t xml:space="preserve"> 8.1 Pro</w:t>
      </w:r>
      <w:r>
        <w:tab/>
      </w:r>
      <w:r>
        <w:fldChar w:fldCharType="begin"/>
      </w:r>
      <w:r>
        <w:instrText xml:space="preserve"> PAGEREF _Toc371663307 \h </w:instrText>
      </w:r>
      <w:r>
        <w:fldChar w:fldCharType="separate"/>
      </w:r>
      <w:r w:rsidR="003F471F">
        <w:t>18</w:t>
      </w:r>
      <w:r>
        <w:fldChar w:fldCharType="end"/>
      </w:r>
    </w:p>
    <w:p w14:paraId="5AF38CA9" w14:textId="77777777" w:rsidR="00B03E8D" w:rsidRDefault="00B03E8D">
      <w:pPr>
        <w:pStyle w:val="TOC2"/>
        <w:rPr>
          <w:rFonts w:asciiTheme="minorHAnsi" w:eastAsiaTheme="minorEastAsia" w:hAnsiTheme="minorHAnsi" w:cstheme="minorBidi"/>
          <w:sz w:val="22"/>
          <w:szCs w:val="22"/>
        </w:rPr>
      </w:pPr>
      <w:r w:rsidRPr="000F4C33">
        <w:rPr>
          <w:rFonts w:cs="Tahoma"/>
        </w:rPr>
        <w:t>Windows</w:t>
      </w:r>
      <w:r w:rsidRPr="000F4C33">
        <w:rPr>
          <w:rFonts w:cs="Tahoma"/>
          <w:vertAlign w:val="superscript"/>
        </w:rPr>
        <w:t>®</w:t>
      </w:r>
      <w:r w:rsidRPr="000F4C33">
        <w:rPr>
          <w:rFonts w:cs="Tahoma"/>
        </w:rPr>
        <w:t xml:space="preserve"> 8.1 Pro con MDOP</w:t>
      </w:r>
      <w:r>
        <w:tab/>
      </w:r>
      <w:r>
        <w:fldChar w:fldCharType="begin"/>
      </w:r>
      <w:r>
        <w:instrText xml:space="preserve"> PAGEREF _Toc371663308 \h </w:instrText>
      </w:r>
      <w:r>
        <w:fldChar w:fldCharType="separate"/>
      </w:r>
      <w:r w:rsidR="003F471F">
        <w:t>18</w:t>
      </w:r>
      <w:r>
        <w:fldChar w:fldCharType="end"/>
      </w:r>
    </w:p>
    <w:p w14:paraId="4C680A22" w14:textId="77777777" w:rsidR="00B03E8D" w:rsidRDefault="00B03E8D">
      <w:pPr>
        <w:pStyle w:val="TOC2"/>
        <w:rPr>
          <w:rFonts w:asciiTheme="minorHAnsi" w:eastAsiaTheme="minorEastAsia" w:hAnsiTheme="minorHAnsi" w:cstheme="minorBidi"/>
          <w:sz w:val="22"/>
          <w:szCs w:val="22"/>
        </w:rPr>
      </w:pPr>
      <w:r w:rsidRPr="000F4C33">
        <w:rPr>
          <w:rFonts w:cs="Tahoma"/>
        </w:rPr>
        <w:t>Licenza “Subscription” per Windows Companion</w:t>
      </w:r>
      <w:r>
        <w:tab/>
      </w:r>
      <w:r>
        <w:fldChar w:fldCharType="begin"/>
      </w:r>
      <w:r>
        <w:instrText xml:space="preserve"> PAGEREF _Toc371663309 \h </w:instrText>
      </w:r>
      <w:r>
        <w:fldChar w:fldCharType="separate"/>
      </w:r>
      <w:r w:rsidR="003F471F">
        <w:t>18</w:t>
      </w:r>
      <w:r>
        <w:fldChar w:fldCharType="end"/>
      </w:r>
    </w:p>
    <w:p w14:paraId="4E5992EB" w14:textId="77777777" w:rsidR="00B03E8D" w:rsidRDefault="00B03E8D">
      <w:pPr>
        <w:pStyle w:val="TOC2"/>
        <w:rPr>
          <w:rFonts w:asciiTheme="minorHAnsi" w:eastAsiaTheme="minorEastAsia" w:hAnsiTheme="minorHAnsi" w:cstheme="minorBidi"/>
          <w:sz w:val="22"/>
          <w:szCs w:val="22"/>
        </w:rPr>
      </w:pPr>
      <w:r w:rsidRPr="000F4C33">
        <w:rPr>
          <w:rFonts w:cs="Tahoma"/>
        </w:rPr>
        <w:t>Windows</w:t>
      </w:r>
      <w:r w:rsidRPr="000F4C33">
        <w:rPr>
          <w:rFonts w:cs="Tahoma"/>
          <w:vertAlign w:val="superscript"/>
        </w:rPr>
        <w:t>®</w:t>
      </w:r>
      <w:r w:rsidRPr="000F4C33">
        <w:rPr>
          <w:rFonts w:cs="Tahoma"/>
        </w:rPr>
        <w:t xml:space="preserve"> Embedded 8 Standard Enterprise Kit</w:t>
      </w:r>
      <w:r>
        <w:tab/>
      </w:r>
      <w:r>
        <w:fldChar w:fldCharType="begin"/>
      </w:r>
      <w:r>
        <w:instrText xml:space="preserve"> PAGEREF _Toc371663310 \h </w:instrText>
      </w:r>
      <w:r>
        <w:fldChar w:fldCharType="separate"/>
      </w:r>
      <w:r w:rsidR="003F471F">
        <w:t>18</w:t>
      </w:r>
      <w:r>
        <w:fldChar w:fldCharType="end"/>
      </w:r>
    </w:p>
    <w:p w14:paraId="5D660FAB" w14:textId="77777777" w:rsidR="00B03E8D" w:rsidRDefault="00B03E8D">
      <w:pPr>
        <w:pStyle w:val="TOC2"/>
        <w:rPr>
          <w:rFonts w:asciiTheme="minorHAnsi" w:eastAsiaTheme="minorEastAsia" w:hAnsiTheme="minorHAnsi" w:cstheme="minorBidi"/>
          <w:sz w:val="22"/>
          <w:szCs w:val="22"/>
        </w:rPr>
      </w:pPr>
      <w:r w:rsidRPr="000F4C33">
        <w:rPr>
          <w:rFonts w:cs="Tahoma"/>
        </w:rPr>
        <w:t>Windows</w:t>
      </w:r>
      <w:r w:rsidRPr="000F4C33">
        <w:rPr>
          <w:rFonts w:cs="Tahoma"/>
          <w:vertAlign w:val="superscript"/>
        </w:rPr>
        <w:t>®</w:t>
      </w:r>
      <w:r w:rsidRPr="000F4C33">
        <w:rPr>
          <w:rFonts w:cs="Tahoma"/>
        </w:rPr>
        <w:t xml:space="preserve"> Embedded 8.1 Industry Pro</w:t>
      </w:r>
      <w:r>
        <w:tab/>
      </w:r>
      <w:r>
        <w:fldChar w:fldCharType="begin"/>
      </w:r>
      <w:r>
        <w:instrText xml:space="preserve"> PAGEREF _Toc371663311 \h </w:instrText>
      </w:r>
      <w:r>
        <w:fldChar w:fldCharType="separate"/>
      </w:r>
      <w:r w:rsidR="003F471F">
        <w:t>18</w:t>
      </w:r>
      <w:r>
        <w:fldChar w:fldCharType="end"/>
      </w:r>
    </w:p>
    <w:p w14:paraId="2F740C35" w14:textId="77777777" w:rsidR="00B03E8D" w:rsidRDefault="00B03E8D">
      <w:pPr>
        <w:pStyle w:val="TOC2"/>
        <w:rPr>
          <w:rFonts w:asciiTheme="minorHAnsi" w:eastAsiaTheme="minorEastAsia" w:hAnsiTheme="minorHAnsi" w:cstheme="minorBidi"/>
          <w:sz w:val="22"/>
          <w:szCs w:val="22"/>
        </w:rPr>
      </w:pPr>
      <w:r w:rsidRPr="000F4C33">
        <w:rPr>
          <w:rFonts w:cs="Tahoma"/>
        </w:rPr>
        <w:t>Windows Intune (Per Dispositivo)</w:t>
      </w:r>
      <w:r>
        <w:tab/>
      </w:r>
      <w:r>
        <w:fldChar w:fldCharType="begin"/>
      </w:r>
      <w:r>
        <w:instrText xml:space="preserve"> PAGEREF _Toc371663312 \h </w:instrText>
      </w:r>
      <w:r>
        <w:fldChar w:fldCharType="separate"/>
      </w:r>
      <w:r w:rsidR="003F471F">
        <w:t>18</w:t>
      </w:r>
      <w:r>
        <w:fldChar w:fldCharType="end"/>
      </w:r>
    </w:p>
    <w:p w14:paraId="1205151D"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Componente Aggiuntivo per Windows Intune (Per Dispositivo)</w:t>
      </w:r>
      <w:r w:rsidRPr="003F471F">
        <w:rPr>
          <w:lang w:val="it-IT"/>
        </w:rPr>
        <w:tab/>
      </w:r>
      <w:r>
        <w:fldChar w:fldCharType="begin"/>
      </w:r>
      <w:r w:rsidRPr="003F471F">
        <w:rPr>
          <w:lang w:val="it-IT"/>
        </w:rPr>
        <w:instrText xml:space="preserve"> PAGEREF _Toc371663313 \h </w:instrText>
      </w:r>
      <w:r>
        <w:fldChar w:fldCharType="separate"/>
      </w:r>
      <w:r w:rsidR="003F471F" w:rsidRPr="003F471F">
        <w:rPr>
          <w:lang w:val="it-IT"/>
        </w:rPr>
        <w:t>18</w:t>
      </w:r>
      <w:r>
        <w:fldChar w:fldCharType="end"/>
      </w:r>
    </w:p>
    <w:p w14:paraId="6807B46D" w14:textId="77777777" w:rsidR="00B03E8D" w:rsidRDefault="00B03E8D">
      <w:pPr>
        <w:pStyle w:val="TOC2"/>
        <w:rPr>
          <w:rFonts w:asciiTheme="minorHAnsi" w:eastAsiaTheme="minorEastAsia" w:hAnsiTheme="minorHAnsi" w:cstheme="minorBidi"/>
          <w:sz w:val="22"/>
          <w:szCs w:val="22"/>
        </w:rPr>
      </w:pPr>
      <w:r w:rsidRPr="000F4C33">
        <w:rPr>
          <w:rFonts w:cs="Tahoma"/>
        </w:rPr>
        <w:t>Windows Virtual Desktop Access (VDA)</w:t>
      </w:r>
      <w:r>
        <w:tab/>
      </w:r>
      <w:r>
        <w:fldChar w:fldCharType="begin"/>
      </w:r>
      <w:r>
        <w:instrText xml:space="preserve"> PAGEREF _Toc371663314 \h </w:instrText>
      </w:r>
      <w:r>
        <w:fldChar w:fldCharType="separate"/>
      </w:r>
      <w:r w:rsidR="003F471F">
        <w:t>18</w:t>
      </w:r>
      <w:r>
        <w:fldChar w:fldCharType="end"/>
      </w:r>
    </w:p>
    <w:p w14:paraId="0AA1B0F6" w14:textId="77777777" w:rsidR="00B03E8D" w:rsidRDefault="00B03E8D">
      <w:pPr>
        <w:pStyle w:val="TOC3"/>
        <w:rPr>
          <w:rFonts w:asciiTheme="minorHAnsi" w:eastAsiaTheme="minorEastAsia" w:hAnsiTheme="minorHAnsi" w:cstheme="minorBidi"/>
          <w:bCs w:val="0"/>
          <w:color w:val="auto"/>
          <w:sz w:val="22"/>
          <w:szCs w:val="22"/>
        </w:rPr>
      </w:pPr>
      <w:r w:rsidRPr="000F4C33">
        <w:t>POOL DI SERVER</w:t>
      </w:r>
      <w:r>
        <w:tab/>
      </w:r>
      <w:r>
        <w:fldChar w:fldCharType="begin"/>
      </w:r>
      <w:r>
        <w:instrText xml:space="preserve"> PAGEREF _Toc371663315 \h </w:instrText>
      </w:r>
      <w:r>
        <w:fldChar w:fldCharType="separate"/>
      </w:r>
      <w:r w:rsidR="003F471F">
        <w:t>18</w:t>
      </w:r>
      <w:r>
        <w:fldChar w:fldCharType="end"/>
      </w:r>
    </w:p>
    <w:p w14:paraId="780E8E67" w14:textId="77777777" w:rsidR="00B03E8D" w:rsidRDefault="00B03E8D">
      <w:pPr>
        <w:pStyle w:val="TOC2"/>
        <w:rPr>
          <w:rFonts w:asciiTheme="minorHAnsi" w:eastAsiaTheme="minorEastAsia" w:hAnsiTheme="minorHAnsi" w:cstheme="minorBidi"/>
          <w:sz w:val="22"/>
          <w:szCs w:val="22"/>
        </w:rPr>
      </w:pPr>
      <w:r w:rsidRPr="000F4C33">
        <w:rPr>
          <w:rFonts w:cs="Tahoma"/>
        </w:rPr>
        <w:t>Bing Maps Consumer Tracked Per Asset Monthly Sub</w:t>
      </w:r>
      <w:r>
        <w:tab/>
      </w:r>
      <w:r>
        <w:fldChar w:fldCharType="begin"/>
      </w:r>
      <w:r>
        <w:instrText xml:space="preserve"> PAGEREF _Toc371663316 \h </w:instrText>
      </w:r>
      <w:r>
        <w:fldChar w:fldCharType="separate"/>
      </w:r>
      <w:r w:rsidR="003F471F">
        <w:t>18</w:t>
      </w:r>
      <w:r>
        <w:fldChar w:fldCharType="end"/>
      </w:r>
    </w:p>
    <w:p w14:paraId="6179F8BB" w14:textId="77777777" w:rsidR="00B03E8D" w:rsidRDefault="00B03E8D">
      <w:pPr>
        <w:pStyle w:val="TOC2"/>
        <w:rPr>
          <w:rFonts w:asciiTheme="minorHAnsi" w:eastAsiaTheme="minorEastAsia" w:hAnsiTheme="minorHAnsi" w:cstheme="minorBidi"/>
          <w:sz w:val="22"/>
          <w:szCs w:val="22"/>
        </w:rPr>
      </w:pPr>
      <w:r w:rsidRPr="000F4C33">
        <w:rPr>
          <w:rFonts w:cs="Tahoma"/>
        </w:rPr>
        <w:t>Bing Maps Enterprise Fee Monthly Sub</w:t>
      </w:r>
      <w:r>
        <w:tab/>
      </w:r>
      <w:r>
        <w:fldChar w:fldCharType="begin"/>
      </w:r>
      <w:r>
        <w:instrText xml:space="preserve"> PAGEREF _Toc371663317 \h </w:instrText>
      </w:r>
      <w:r>
        <w:fldChar w:fldCharType="separate"/>
      </w:r>
      <w:r w:rsidR="003F471F">
        <w:t>18</w:t>
      </w:r>
      <w:r>
        <w:fldChar w:fldCharType="end"/>
      </w:r>
    </w:p>
    <w:p w14:paraId="1F480CC1" w14:textId="77777777" w:rsidR="00B03E8D" w:rsidRDefault="00B03E8D">
      <w:pPr>
        <w:pStyle w:val="TOC2"/>
        <w:rPr>
          <w:rFonts w:asciiTheme="minorHAnsi" w:eastAsiaTheme="minorEastAsia" w:hAnsiTheme="minorHAnsi" w:cstheme="minorBidi"/>
          <w:sz w:val="22"/>
          <w:szCs w:val="22"/>
        </w:rPr>
      </w:pPr>
      <w:r w:rsidRPr="000F4C33">
        <w:rPr>
          <w:rFonts w:cs="Tahoma"/>
        </w:rPr>
        <w:t>Bing Maps Public Website Usage 100K Transactions Monthly Sub</w:t>
      </w:r>
      <w:r>
        <w:tab/>
      </w:r>
      <w:r>
        <w:fldChar w:fldCharType="begin"/>
      </w:r>
      <w:r>
        <w:instrText xml:space="preserve"> PAGEREF _Toc371663318 \h </w:instrText>
      </w:r>
      <w:r>
        <w:fldChar w:fldCharType="separate"/>
      </w:r>
      <w:r w:rsidR="003F471F">
        <w:t>18</w:t>
      </w:r>
      <w:r>
        <w:fldChar w:fldCharType="end"/>
      </w:r>
    </w:p>
    <w:p w14:paraId="2A1E1464" w14:textId="77777777" w:rsidR="00B03E8D" w:rsidRDefault="00B03E8D">
      <w:pPr>
        <w:pStyle w:val="TOC2"/>
        <w:rPr>
          <w:rFonts w:asciiTheme="minorHAnsi" w:eastAsiaTheme="minorEastAsia" w:hAnsiTheme="minorHAnsi" w:cstheme="minorBidi"/>
          <w:sz w:val="22"/>
          <w:szCs w:val="22"/>
        </w:rPr>
      </w:pPr>
      <w:r w:rsidRPr="000F4C33">
        <w:rPr>
          <w:rFonts w:cs="Tahoma"/>
        </w:rPr>
        <w:t>Bing Maps Public Website Usage 420K (and higher) Transactions Monthly Sub</w:t>
      </w:r>
      <w:r>
        <w:tab/>
      </w:r>
      <w:r>
        <w:fldChar w:fldCharType="begin"/>
      </w:r>
      <w:r>
        <w:instrText xml:space="preserve"> PAGEREF _Toc371663319 \h </w:instrText>
      </w:r>
      <w:r>
        <w:fldChar w:fldCharType="separate"/>
      </w:r>
      <w:r w:rsidR="003F471F">
        <w:t>18</w:t>
      </w:r>
      <w:r>
        <w:fldChar w:fldCharType="end"/>
      </w:r>
    </w:p>
    <w:p w14:paraId="5F0116B8" w14:textId="77777777" w:rsidR="00B03E8D" w:rsidRDefault="00B03E8D">
      <w:pPr>
        <w:pStyle w:val="TOC2"/>
        <w:rPr>
          <w:rFonts w:asciiTheme="minorHAnsi" w:eastAsiaTheme="minorEastAsia" w:hAnsiTheme="minorHAnsi" w:cstheme="minorBidi"/>
          <w:sz w:val="22"/>
          <w:szCs w:val="22"/>
        </w:rPr>
      </w:pPr>
      <w:r w:rsidRPr="000F4C33">
        <w:rPr>
          <w:rFonts w:cs="Tahoma"/>
        </w:rPr>
        <w:t>Bing Maps Internal Website Usage 100K Transactions Monthly Sub</w:t>
      </w:r>
      <w:r>
        <w:tab/>
      </w:r>
      <w:r>
        <w:fldChar w:fldCharType="begin"/>
      </w:r>
      <w:r>
        <w:instrText xml:space="preserve"> PAGEREF _Toc371663320 \h </w:instrText>
      </w:r>
      <w:r>
        <w:fldChar w:fldCharType="separate"/>
      </w:r>
      <w:r w:rsidR="003F471F">
        <w:t>18</w:t>
      </w:r>
      <w:r>
        <w:fldChar w:fldCharType="end"/>
      </w:r>
    </w:p>
    <w:p w14:paraId="47D17B3E" w14:textId="77777777" w:rsidR="00B03E8D" w:rsidRDefault="00B03E8D">
      <w:pPr>
        <w:pStyle w:val="TOC2"/>
        <w:rPr>
          <w:rFonts w:asciiTheme="minorHAnsi" w:eastAsiaTheme="minorEastAsia" w:hAnsiTheme="minorHAnsi" w:cstheme="minorBidi"/>
          <w:sz w:val="22"/>
          <w:szCs w:val="22"/>
        </w:rPr>
      </w:pPr>
      <w:r w:rsidRPr="000F4C33">
        <w:rPr>
          <w:rFonts w:cs="Tahoma"/>
        </w:rPr>
        <w:t>Bing Maps Internal Website Usage 250K (and higher) Transactions Monthly Sub</w:t>
      </w:r>
      <w:r>
        <w:tab/>
      </w:r>
      <w:r>
        <w:fldChar w:fldCharType="begin"/>
      </w:r>
      <w:r>
        <w:instrText xml:space="preserve"> PAGEREF _Toc371663321 \h </w:instrText>
      </w:r>
      <w:r>
        <w:fldChar w:fldCharType="separate"/>
      </w:r>
      <w:r w:rsidR="003F471F">
        <w:t>18</w:t>
      </w:r>
      <w:r>
        <w:fldChar w:fldCharType="end"/>
      </w:r>
    </w:p>
    <w:p w14:paraId="4A71D0AA" w14:textId="77777777" w:rsidR="00B03E8D" w:rsidRDefault="00B03E8D">
      <w:pPr>
        <w:pStyle w:val="TOC2"/>
        <w:rPr>
          <w:rFonts w:asciiTheme="minorHAnsi" w:eastAsiaTheme="minorEastAsia" w:hAnsiTheme="minorHAnsi" w:cstheme="minorBidi"/>
          <w:sz w:val="22"/>
          <w:szCs w:val="22"/>
        </w:rPr>
      </w:pPr>
      <w:r w:rsidRPr="000F4C33">
        <w:rPr>
          <w:rFonts w:cs="Tahoma"/>
        </w:rPr>
        <w:t>Bing Maps Per Known User Monthly Sub</w:t>
      </w:r>
      <w:r>
        <w:tab/>
      </w:r>
      <w:r>
        <w:fldChar w:fldCharType="begin"/>
      </w:r>
      <w:r>
        <w:instrText xml:space="preserve"> PAGEREF _Toc371663322 \h </w:instrText>
      </w:r>
      <w:r>
        <w:fldChar w:fldCharType="separate"/>
      </w:r>
      <w:r w:rsidR="003F471F">
        <w:t>18</w:t>
      </w:r>
      <w:r>
        <w:fldChar w:fldCharType="end"/>
      </w:r>
    </w:p>
    <w:p w14:paraId="0B5EED1E" w14:textId="77777777" w:rsidR="00B03E8D" w:rsidRDefault="00B03E8D">
      <w:pPr>
        <w:pStyle w:val="TOC2"/>
        <w:rPr>
          <w:rFonts w:asciiTheme="minorHAnsi" w:eastAsiaTheme="minorEastAsia" w:hAnsiTheme="minorHAnsi" w:cstheme="minorBidi"/>
          <w:sz w:val="22"/>
          <w:szCs w:val="22"/>
        </w:rPr>
      </w:pPr>
      <w:r w:rsidRPr="000F4C33">
        <w:rPr>
          <w:rFonts w:cs="Tahoma"/>
        </w:rPr>
        <w:t>Bing Maps Known User 5K Bundle Monthly Sub</w:t>
      </w:r>
      <w:r>
        <w:tab/>
      </w:r>
      <w:r>
        <w:fldChar w:fldCharType="begin"/>
      </w:r>
      <w:r>
        <w:instrText xml:space="preserve"> PAGEREF _Toc371663323 \h </w:instrText>
      </w:r>
      <w:r>
        <w:fldChar w:fldCharType="separate"/>
      </w:r>
      <w:r w:rsidR="003F471F">
        <w:t>18</w:t>
      </w:r>
      <w:r>
        <w:fldChar w:fldCharType="end"/>
      </w:r>
    </w:p>
    <w:p w14:paraId="53BB45D4" w14:textId="77777777" w:rsidR="00B03E8D" w:rsidRDefault="00B03E8D">
      <w:pPr>
        <w:pStyle w:val="TOC2"/>
        <w:rPr>
          <w:rFonts w:asciiTheme="minorHAnsi" w:eastAsiaTheme="minorEastAsia" w:hAnsiTheme="minorHAnsi" w:cstheme="minorBidi"/>
          <w:sz w:val="22"/>
          <w:szCs w:val="22"/>
        </w:rPr>
      </w:pPr>
      <w:r w:rsidRPr="000F4C33">
        <w:rPr>
          <w:rFonts w:cs="Tahoma"/>
        </w:rPr>
        <w:t>Bing Maps Light Known Per User Monthly Sub</w:t>
      </w:r>
      <w:r>
        <w:tab/>
      </w:r>
      <w:r>
        <w:fldChar w:fldCharType="begin"/>
      </w:r>
      <w:r>
        <w:instrText xml:space="preserve"> PAGEREF _Toc371663324 \h </w:instrText>
      </w:r>
      <w:r>
        <w:fldChar w:fldCharType="separate"/>
      </w:r>
      <w:r w:rsidR="003F471F">
        <w:t>18</w:t>
      </w:r>
      <w:r>
        <w:fldChar w:fldCharType="end"/>
      </w:r>
    </w:p>
    <w:p w14:paraId="5272BD1E" w14:textId="77777777" w:rsidR="00B03E8D" w:rsidRDefault="00B03E8D">
      <w:pPr>
        <w:pStyle w:val="TOC2"/>
        <w:rPr>
          <w:rFonts w:asciiTheme="minorHAnsi" w:eastAsiaTheme="minorEastAsia" w:hAnsiTheme="minorHAnsi" w:cstheme="minorBidi"/>
          <w:sz w:val="22"/>
          <w:szCs w:val="22"/>
        </w:rPr>
      </w:pPr>
      <w:r w:rsidRPr="000F4C33">
        <w:rPr>
          <w:rFonts w:cs="Tahoma"/>
        </w:rPr>
        <w:t>Bing Maps Light Known 5K User Bundle Monthly Sub</w:t>
      </w:r>
      <w:r>
        <w:tab/>
      </w:r>
      <w:r>
        <w:fldChar w:fldCharType="begin"/>
      </w:r>
      <w:r>
        <w:instrText xml:space="preserve"> PAGEREF _Toc371663325 \h </w:instrText>
      </w:r>
      <w:r>
        <w:fldChar w:fldCharType="separate"/>
      </w:r>
      <w:r w:rsidR="003F471F">
        <w:t>18</w:t>
      </w:r>
      <w:r>
        <w:fldChar w:fldCharType="end"/>
      </w:r>
    </w:p>
    <w:p w14:paraId="16CDFF58" w14:textId="77777777" w:rsidR="00B03E8D" w:rsidRDefault="00B03E8D">
      <w:pPr>
        <w:pStyle w:val="TOC2"/>
        <w:rPr>
          <w:rFonts w:asciiTheme="minorHAnsi" w:eastAsiaTheme="minorEastAsia" w:hAnsiTheme="minorHAnsi" w:cstheme="minorBidi"/>
          <w:sz w:val="22"/>
          <w:szCs w:val="22"/>
        </w:rPr>
      </w:pPr>
      <w:r w:rsidRPr="000F4C33">
        <w:rPr>
          <w:rFonts w:cs="Tahoma"/>
        </w:rPr>
        <w:t>Bing Maps Mobile Asset Management Platform Fee Monthly Sub</w:t>
      </w:r>
      <w:r>
        <w:tab/>
      </w:r>
      <w:r>
        <w:fldChar w:fldCharType="begin"/>
      </w:r>
      <w:r>
        <w:instrText xml:space="preserve"> PAGEREF _Toc371663326 \h </w:instrText>
      </w:r>
      <w:r>
        <w:fldChar w:fldCharType="separate"/>
      </w:r>
      <w:r w:rsidR="003F471F">
        <w:t>18</w:t>
      </w:r>
      <w:r>
        <w:fldChar w:fldCharType="end"/>
      </w:r>
    </w:p>
    <w:p w14:paraId="77C98578" w14:textId="77777777" w:rsidR="00B03E8D" w:rsidRDefault="00B03E8D">
      <w:pPr>
        <w:pStyle w:val="TOC2"/>
        <w:rPr>
          <w:rFonts w:asciiTheme="minorHAnsi" w:eastAsiaTheme="minorEastAsia" w:hAnsiTheme="minorHAnsi" w:cstheme="minorBidi"/>
          <w:sz w:val="22"/>
          <w:szCs w:val="22"/>
        </w:rPr>
      </w:pPr>
      <w:r w:rsidRPr="000F4C33">
        <w:rPr>
          <w:rFonts w:cs="Tahoma"/>
        </w:rPr>
        <w:t>Bing Maps Mobile Asset Management NA w routing Per Asset Monthly Sub</w:t>
      </w:r>
      <w:r>
        <w:tab/>
      </w:r>
      <w:r>
        <w:fldChar w:fldCharType="begin"/>
      </w:r>
      <w:r>
        <w:instrText xml:space="preserve"> PAGEREF _Toc371663327 \h </w:instrText>
      </w:r>
      <w:r>
        <w:fldChar w:fldCharType="separate"/>
      </w:r>
      <w:r w:rsidR="003F471F">
        <w:t>18</w:t>
      </w:r>
      <w:r>
        <w:fldChar w:fldCharType="end"/>
      </w:r>
    </w:p>
    <w:p w14:paraId="091236C5" w14:textId="77777777" w:rsidR="00B03E8D" w:rsidRDefault="00B03E8D">
      <w:pPr>
        <w:pStyle w:val="TOC2"/>
        <w:rPr>
          <w:rFonts w:asciiTheme="minorHAnsi" w:eastAsiaTheme="minorEastAsia" w:hAnsiTheme="minorHAnsi" w:cstheme="minorBidi"/>
          <w:sz w:val="22"/>
          <w:szCs w:val="22"/>
        </w:rPr>
      </w:pPr>
      <w:r w:rsidRPr="000F4C33">
        <w:rPr>
          <w:rFonts w:cs="Tahoma"/>
        </w:rPr>
        <w:t>Bing Maps Mobile Asset Management NA w/o routing Per Asset Monthly Sub</w:t>
      </w:r>
      <w:r>
        <w:tab/>
      </w:r>
      <w:r>
        <w:fldChar w:fldCharType="begin"/>
      </w:r>
      <w:r>
        <w:instrText xml:space="preserve"> PAGEREF _Toc371663328 \h </w:instrText>
      </w:r>
      <w:r>
        <w:fldChar w:fldCharType="separate"/>
      </w:r>
      <w:r w:rsidR="003F471F">
        <w:t>18</w:t>
      </w:r>
      <w:r>
        <w:fldChar w:fldCharType="end"/>
      </w:r>
    </w:p>
    <w:p w14:paraId="1ACBE5E1" w14:textId="77777777" w:rsidR="00B03E8D" w:rsidRDefault="00B03E8D">
      <w:pPr>
        <w:pStyle w:val="TOC2"/>
        <w:rPr>
          <w:rFonts w:asciiTheme="minorHAnsi" w:eastAsiaTheme="minorEastAsia" w:hAnsiTheme="minorHAnsi" w:cstheme="minorBidi"/>
          <w:sz w:val="22"/>
          <w:szCs w:val="22"/>
        </w:rPr>
      </w:pPr>
      <w:r w:rsidRPr="000F4C33">
        <w:rPr>
          <w:rFonts w:cs="Tahoma"/>
        </w:rPr>
        <w:t>Bing Maps Mobile Asset Management Europe w routing Per Asset Monthly Sub</w:t>
      </w:r>
      <w:r>
        <w:tab/>
      </w:r>
      <w:r>
        <w:fldChar w:fldCharType="begin"/>
      </w:r>
      <w:r>
        <w:instrText xml:space="preserve"> PAGEREF _Toc371663329 \h </w:instrText>
      </w:r>
      <w:r>
        <w:fldChar w:fldCharType="separate"/>
      </w:r>
      <w:r w:rsidR="003F471F">
        <w:t>18</w:t>
      </w:r>
      <w:r>
        <w:fldChar w:fldCharType="end"/>
      </w:r>
    </w:p>
    <w:p w14:paraId="1B3EB910" w14:textId="77777777" w:rsidR="00B03E8D" w:rsidRDefault="00B03E8D">
      <w:pPr>
        <w:pStyle w:val="TOC2"/>
        <w:rPr>
          <w:rFonts w:asciiTheme="minorHAnsi" w:eastAsiaTheme="minorEastAsia" w:hAnsiTheme="minorHAnsi" w:cstheme="minorBidi"/>
          <w:sz w:val="22"/>
          <w:szCs w:val="22"/>
        </w:rPr>
      </w:pPr>
      <w:r w:rsidRPr="000F4C33">
        <w:rPr>
          <w:rFonts w:cs="Tahoma"/>
        </w:rPr>
        <w:t>Bing Maps Mobile Asset Management Europe w/o routing Per Asset Monthly Sub</w:t>
      </w:r>
      <w:r>
        <w:tab/>
      </w:r>
      <w:r>
        <w:fldChar w:fldCharType="begin"/>
      </w:r>
      <w:r>
        <w:instrText xml:space="preserve"> PAGEREF _Toc371663330 \h </w:instrText>
      </w:r>
      <w:r>
        <w:fldChar w:fldCharType="separate"/>
      </w:r>
      <w:r w:rsidR="003F471F">
        <w:t>19</w:t>
      </w:r>
      <w:r>
        <w:fldChar w:fldCharType="end"/>
      </w:r>
    </w:p>
    <w:p w14:paraId="504E69DC" w14:textId="77777777" w:rsidR="00B03E8D" w:rsidRDefault="00B03E8D">
      <w:pPr>
        <w:pStyle w:val="TOC2"/>
        <w:rPr>
          <w:rFonts w:asciiTheme="minorHAnsi" w:eastAsiaTheme="minorEastAsia" w:hAnsiTheme="minorHAnsi" w:cstheme="minorBidi"/>
          <w:sz w:val="22"/>
          <w:szCs w:val="22"/>
        </w:rPr>
      </w:pPr>
      <w:r w:rsidRPr="000F4C33">
        <w:rPr>
          <w:rFonts w:cs="Tahoma"/>
        </w:rPr>
        <w:t>BizTalk</w:t>
      </w:r>
      <w:r w:rsidRPr="000F4C33">
        <w:rPr>
          <w:rFonts w:cs="Tahoma"/>
          <w:vertAlign w:val="superscript"/>
        </w:rPr>
        <w:t>®</w:t>
      </w:r>
      <w:r w:rsidRPr="000F4C33">
        <w:rPr>
          <w:rFonts w:cs="Tahoma"/>
        </w:rPr>
        <w:t xml:space="preserve"> Server 2013 Branch Edition</w:t>
      </w:r>
      <w:r>
        <w:tab/>
      </w:r>
      <w:r>
        <w:fldChar w:fldCharType="begin"/>
      </w:r>
      <w:r>
        <w:instrText xml:space="preserve"> PAGEREF _Toc371663331 \h </w:instrText>
      </w:r>
      <w:r>
        <w:fldChar w:fldCharType="separate"/>
      </w:r>
      <w:r w:rsidR="003F471F">
        <w:t>19</w:t>
      </w:r>
      <w:r>
        <w:fldChar w:fldCharType="end"/>
      </w:r>
    </w:p>
    <w:p w14:paraId="6B400EF6" w14:textId="77777777" w:rsidR="00B03E8D" w:rsidRDefault="00B03E8D">
      <w:pPr>
        <w:pStyle w:val="TOC2"/>
        <w:rPr>
          <w:rFonts w:asciiTheme="minorHAnsi" w:eastAsiaTheme="minorEastAsia" w:hAnsiTheme="minorHAnsi" w:cstheme="minorBidi"/>
          <w:sz w:val="22"/>
          <w:szCs w:val="22"/>
        </w:rPr>
      </w:pPr>
      <w:r w:rsidRPr="000F4C33">
        <w:rPr>
          <w:rFonts w:cs="Tahoma"/>
        </w:rPr>
        <w:t>BizTalk</w:t>
      </w:r>
      <w:r w:rsidRPr="000F4C33">
        <w:rPr>
          <w:rFonts w:cs="Tahoma"/>
          <w:vertAlign w:val="superscript"/>
        </w:rPr>
        <w:t>®</w:t>
      </w:r>
      <w:r w:rsidRPr="000F4C33">
        <w:rPr>
          <w:rFonts w:cs="Tahoma"/>
        </w:rPr>
        <w:t xml:space="preserve"> Server 2013 Enterprise Edition</w:t>
      </w:r>
      <w:r>
        <w:tab/>
      </w:r>
      <w:r>
        <w:fldChar w:fldCharType="begin"/>
      </w:r>
      <w:r>
        <w:instrText xml:space="preserve"> PAGEREF _Toc371663332 \h </w:instrText>
      </w:r>
      <w:r>
        <w:fldChar w:fldCharType="separate"/>
      </w:r>
      <w:r w:rsidR="003F471F">
        <w:t>19</w:t>
      </w:r>
      <w:r>
        <w:fldChar w:fldCharType="end"/>
      </w:r>
    </w:p>
    <w:p w14:paraId="138ADEBE" w14:textId="77777777" w:rsidR="00B03E8D" w:rsidRDefault="00B03E8D">
      <w:pPr>
        <w:pStyle w:val="TOC2"/>
        <w:rPr>
          <w:rFonts w:asciiTheme="minorHAnsi" w:eastAsiaTheme="minorEastAsia" w:hAnsiTheme="minorHAnsi" w:cstheme="minorBidi"/>
          <w:sz w:val="22"/>
          <w:szCs w:val="22"/>
        </w:rPr>
      </w:pPr>
      <w:r w:rsidRPr="000F4C33">
        <w:rPr>
          <w:rFonts w:cs="Tahoma"/>
        </w:rPr>
        <w:t>BizTalk</w:t>
      </w:r>
      <w:r w:rsidRPr="000F4C33">
        <w:rPr>
          <w:rFonts w:cs="Tahoma"/>
          <w:vertAlign w:val="superscript"/>
        </w:rPr>
        <w:t>®</w:t>
      </w:r>
      <w:r w:rsidRPr="000F4C33">
        <w:rPr>
          <w:rFonts w:cs="Tahoma"/>
        </w:rPr>
        <w:t xml:space="preserve"> Server 2013 Branch IDC</w:t>
      </w:r>
      <w:r>
        <w:tab/>
      </w:r>
      <w:r>
        <w:fldChar w:fldCharType="begin"/>
      </w:r>
      <w:r>
        <w:instrText xml:space="preserve"> PAGEREF _Toc371663333 \h </w:instrText>
      </w:r>
      <w:r>
        <w:fldChar w:fldCharType="separate"/>
      </w:r>
      <w:r w:rsidR="003F471F">
        <w:t>19</w:t>
      </w:r>
      <w:r>
        <w:fldChar w:fldCharType="end"/>
      </w:r>
    </w:p>
    <w:p w14:paraId="518FDDBD" w14:textId="77777777" w:rsidR="00B03E8D" w:rsidRDefault="00B03E8D">
      <w:pPr>
        <w:pStyle w:val="TOC2"/>
        <w:rPr>
          <w:rFonts w:asciiTheme="minorHAnsi" w:eastAsiaTheme="minorEastAsia" w:hAnsiTheme="minorHAnsi" w:cstheme="minorBidi"/>
          <w:sz w:val="22"/>
          <w:szCs w:val="22"/>
        </w:rPr>
      </w:pPr>
      <w:r w:rsidRPr="000F4C33">
        <w:rPr>
          <w:rFonts w:cs="Tahoma"/>
        </w:rPr>
        <w:t>BizTalk</w:t>
      </w:r>
      <w:r w:rsidRPr="000F4C33">
        <w:rPr>
          <w:rFonts w:cs="Tahoma"/>
          <w:vertAlign w:val="superscript"/>
        </w:rPr>
        <w:t>®</w:t>
      </w:r>
      <w:r w:rsidRPr="000F4C33">
        <w:rPr>
          <w:rFonts w:cs="Tahoma"/>
        </w:rPr>
        <w:t xml:space="preserve"> Server 2013 Standard Edition</w:t>
      </w:r>
      <w:r>
        <w:tab/>
      </w:r>
      <w:r>
        <w:fldChar w:fldCharType="begin"/>
      </w:r>
      <w:r>
        <w:instrText xml:space="preserve"> PAGEREF _Toc371663334 \h </w:instrText>
      </w:r>
      <w:r>
        <w:fldChar w:fldCharType="separate"/>
      </w:r>
      <w:r w:rsidR="003F471F">
        <w:t>19</w:t>
      </w:r>
      <w:r>
        <w:fldChar w:fldCharType="end"/>
      </w:r>
    </w:p>
    <w:p w14:paraId="173A76C7" w14:textId="77777777" w:rsidR="00B03E8D" w:rsidRDefault="00B03E8D">
      <w:pPr>
        <w:pStyle w:val="TOC2"/>
        <w:rPr>
          <w:rFonts w:asciiTheme="minorHAnsi" w:eastAsiaTheme="minorEastAsia" w:hAnsiTheme="minorHAnsi" w:cstheme="minorBidi"/>
          <w:sz w:val="22"/>
          <w:szCs w:val="22"/>
        </w:rPr>
      </w:pPr>
      <w:r w:rsidRPr="000F4C33">
        <w:rPr>
          <w:rFonts w:cs="Tahoma"/>
        </w:rPr>
        <w:t>BizTalk</w:t>
      </w:r>
      <w:r w:rsidRPr="000F4C33">
        <w:rPr>
          <w:rFonts w:cs="Tahoma"/>
          <w:vertAlign w:val="superscript"/>
        </w:rPr>
        <w:t>®</w:t>
      </w:r>
      <w:r w:rsidRPr="000F4C33">
        <w:rPr>
          <w:rFonts w:cs="Tahoma"/>
        </w:rPr>
        <w:t xml:space="preserve"> Server 2013 Standard Edition IDC</w:t>
      </w:r>
      <w:r>
        <w:tab/>
      </w:r>
      <w:r>
        <w:fldChar w:fldCharType="begin"/>
      </w:r>
      <w:r>
        <w:instrText xml:space="preserve"> PAGEREF _Toc371663335 \h </w:instrText>
      </w:r>
      <w:r>
        <w:fldChar w:fldCharType="separate"/>
      </w:r>
      <w:r w:rsidR="003F471F">
        <w:t>19</w:t>
      </w:r>
      <w:r>
        <w:fldChar w:fldCharType="end"/>
      </w:r>
    </w:p>
    <w:p w14:paraId="38EB5EF9" w14:textId="77777777" w:rsidR="00B03E8D" w:rsidRDefault="00B03E8D">
      <w:pPr>
        <w:pStyle w:val="TOC2"/>
        <w:rPr>
          <w:rFonts w:asciiTheme="minorHAnsi" w:eastAsiaTheme="minorEastAsia" w:hAnsiTheme="minorHAnsi" w:cstheme="minorBidi"/>
          <w:sz w:val="22"/>
          <w:szCs w:val="22"/>
        </w:rPr>
      </w:pPr>
      <w:r w:rsidRPr="000F4C33">
        <w:rPr>
          <w:rFonts w:cs="Tahoma"/>
        </w:rPr>
        <w:t>Business Intelligence Appliance 2012</w:t>
      </w:r>
      <w:r>
        <w:tab/>
      </w:r>
      <w:r>
        <w:fldChar w:fldCharType="begin"/>
      </w:r>
      <w:r>
        <w:instrText xml:space="preserve"> PAGEREF _Toc371663336 \h </w:instrText>
      </w:r>
      <w:r>
        <w:fldChar w:fldCharType="separate"/>
      </w:r>
      <w:r w:rsidR="003F471F">
        <w:t>19</w:t>
      </w:r>
      <w:r>
        <w:fldChar w:fldCharType="end"/>
      </w:r>
    </w:p>
    <w:p w14:paraId="38A75684"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Core CAL Suite Bridge per Office 365 (Utente e Dispositivo)</w:t>
      </w:r>
      <w:r w:rsidRPr="003F471F">
        <w:rPr>
          <w:lang w:val="it-IT"/>
        </w:rPr>
        <w:tab/>
      </w:r>
      <w:r>
        <w:fldChar w:fldCharType="begin"/>
      </w:r>
      <w:r w:rsidRPr="003F471F">
        <w:rPr>
          <w:lang w:val="it-IT"/>
        </w:rPr>
        <w:instrText xml:space="preserve"> PAGEREF _Toc371663337 \h </w:instrText>
      </w:r>
      <w:r>
        <w:fldChar w:fldCharType="separate"/>
      </w:r>
      <w:r w:rsidR="003F471F" w:rsidRPr="003F471F">
        <w:rPr>
          <w:lang w:val="it-IT"/>
        </w:rPr>
        <w:t>19</w:t>
      </w:r>
      <w:r>
        <w:fldChar w:fldCharType="end"/>
      </w:r>
    </w:p>
    <w:p w14:paraId="06AEDA8D"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Core CAL Suite Bridge per Office 365 e Windows</w:t>
      </w:r>
      <w:r w:rsidRPr="003F471F">
        <w:rPr>
          <w:rFonts w:cs="Tahoma"/>
          <w:vertAlign w:val="superscript"/>
          <w:lang w:val="it-IT"/>
        </w:rPr>
        <w:t>®</w:t>
      </w:r>
      <w:r w:rsidRPr="003F471F">
        <w:rPr>
          <w:rFonts w:cs="Tahoma"/>
          <w:lang w:val="it-IT"/>
        </w:rPr>
        <w:t xml:space="preserve"> Intune (Utente e Dispositivo)</w:t>
      </w:r>
      <w:r w:rsidRPr="003F471F">
        <w:rPr>
          <w:lang w:val="it-IT"/>
        </w:rPr>
        <w:tab/>
      </w:r>
      <w:r>
        <w:fldChar w:fldCharType="begin"/>
      </w:r>
      <w:r w:rsidRPr="003F471F">
        <w:rPr>
          <w:lang w:val="it-IT"/>
        </w:rPr>
        <w:instrText xml:space="preserve"> PAGEREF _Toc371663338 \h </w:instrText>
      </w:r>
      <w:r>
        <w:fldChar w:fldCharType="separate"/>
      </w:r>
      <w:r w:rsidR="003F471F" w:rsidRPr="003F471F">
        <w:rPr>
          <w:lang w:val="it-IT"/>
        </w:rPr>
        <w:t>19</w:t>
      </w:r>
      <w:r>
        <w:fldChar w:fldCharType="end"/>
      </w:r>
    </w:p>
    <w:p w14:paraId="7D030978"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Core CAL Bridge per Windows</w:t>
      </w:r>
      <w:r w:rsidRPr="003F471F">
        <w:rPr>
          <w:rFonts w:cs="Tahoma"/>
          <w:vertAlign w:val="superscript"/>
          <w:lang w:val="it-IT"/>
        </w:rPr>
        <w:t>®</w:t>
      </w:r>
      <w:r w:rsidRPr="003F471F">
        <w:rPr>
          <w:rFonts w:cs="Tahoma"/>
          <w:lang w:val="it-IT"/>
        </w:rPr>
        <w:t xml:space="preserve"> Intune (Utente e Dispositivo)</w:t>
      </w:r>
      <w:r w:rsidRPr="003F471F">
        <w:rPr>
          <w:lang w:val="it-IT"/>
        </w:rPr>
        <w:tab/>
      </w:r>
      <w:r>
        <w:fldChar w:fldCharType="begin"/>
      </w:r>
      <w:r w:rsidRPr="003F471F">
        <w:rPr>
          <w:lang w:val="it-IT"/>
        </w:rPr>
        <w:instrText xml:space="preserve"> PAGEREF _Toc371663339 \h </w:instrText>
      </w:r>
      <w:r>
        <w:fldChar w:fldCharType="separate"/>
      </w:r>
      <w:r w:rsidR="003F471F" w:rsidRPr="003F471F">
        <w:rPr>
          <w:lang w:val="it-IT"/>
        </w:rPr>
        <w:t>19</w:t>
      </w:r>
      <w:r>
        <w:fldChar w:fldCharType="end"/>
      </w:r>
    </w:p>
    <w:p w14:paraId="788F2DE9"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Core CAL Suite (Utente e Dispositivo)</w:t>
      </w:r>
      <w:r w:rsidRPr="003F471F">
        <w:rPr>
          <w:lang w:val="it-IT"/>
        </w:rPr>
        <w:tab/>
      </w:r>
      <w:r>
        <w:fldChar w:fldCharType="begin"/>
      </w:r>
      <w:r w:rsidRPr="003F471F">
        <w:rPr>
          <w:lang w:val="it-IT"/>
        </w:rPr>
        <w:instrText xml:space="preserve"> PAGEREF _Toc371663340 \h </w:instrText>
      </w:r>
      <w:r>
        <w:fldChar w:fldCharType="separate"/>
      </w:r>
      <w:r w:rsidR="003F471F" w:rsidRPr="003F471F">
        <w:rPr>
          <w:lang w:val="it-IT"/>
        </w:rPr>
        <w:t>19</w:t>
      </w:r>
      <w:r>
        <w:fldChar w:fldCharType="end"/>
      </w:r>
    </w:p>
    <w:p w14:paraId="27E14473" w14:textId="77777777" w:rsidR="00B03E8D" w:rsidRPr="003F471F" w:rsidRDefault="00B03E8D">
      <w:pPr>
        <w:pStyle w:val="TOC2"/>
        <w:rPr>
          <w:rFonts w:asciiTheme="minorHAnsi" w:eastAsiaTheme="minorEastAsia" w:hAnsiTheme="minorHAnsi" w:cstheme="minorBidi"/>
          <w:sz w:val="22"/>
          <w:szCs w:val="22"/>
          <w:lang w:val="fr-FR"/>
        </w:rPr>
      </w:pPr>
      <w:r w:rsidRPr="003F471F">
        <w:rPr>
          <w:rFonts w:cs="Tahoma"/>
          <w:lang w:val="fr-FR"/>
        </w:rPr>
        <w:t>Core Infrastructure Server Suite Standard</w:t>
      </w:r>
      <w:r w:rsidRPr="003F471F">
        <w:rPr>
          <w:lang w:val="fr-FR"/>
        </w:rPr>
        <w:tab/>
      </w:r>
      <w:r>
        <w:fldChar w:fldCharType="begin"/>
      </w:r>
      <w:r w:rsidRPr="003F471F">
        <w:rPr>
          <w:lang w:val="fr-FR"/>
        </w:rPr>
        <w:instrText xml:space="preserve"> PAGEREF _Toc371663341 \h </w:instrText>
      </w:r>
      <w:r>
        <w:fldChar w:fldCharType="separate"/>
      </w:r>
      <w:r w:rsidR="003F471F" w:rsidRPr="003F471F">
        <w:rPr>
          <w:lang w:val="fr-FR"/>
        </w:rPr>
        <w:t>19</w:t>
      </w:r>
      <w:r>
        <w:fldChar w:fldCharType="end"/>
      </w:r>
    </w:p>
    <w:p w14:paraId="080BAC8C" w14:textId="77777777" w:rsidR="00B03E8D" w:rsidRPr="003F471F" w:rsidRDefault="00B03E8D">
      <w:pPr>
        <w:pStyle w:val="TOC2"/>
        <w:rPr>
          <w:rFonts w:asciiTheme="minorHAnsi" w:eastAsiaTheme="minorEastAsia" w:hAnsiTheme="minorHAnsi" w:cstheme="minorBidi"/>
          <w:sz w:val="22"/>
          <w:szCs w:val="22"/>
          <w:lang w:val="fr-FR"/>
        </w:rPr>
      </w:pPr>
      <w:r w:rsidRPr="003F471F">
        <w:rPr>
          <w:rFonts w:cs="Tahoma"/>
          <w:lang w:val="fr-FR"/>
        </w:rPr>
        <w:t>Core Infrastructure Server Suite Enterprise</w:t>
      </w:r>
      <w:r w:rsidRPr="003F471F">
        <w:rPr>
          <w:lang w:val="fr-FR"/>
        </w:rPr>
        <w:tab/>
      </w:r>
      <w:r>
        <w:fldChar w:fldCharType="begin"/>
      </w:r>
      <w:r w:rsidRPr="003F471F">
        <w:rPr>
          <w:lang w:val="fr-FR"/>
        </w:rPr>
        <w:instrText xml:space="preserve"> PAGEREF _Toc371663342 \h </w:instrText>
      </w:r>
      <w:r>
        <w:fldChar w:fldCharType="separate"/>
      </w:r>
      <w:r w:rsidR="003F471F" w:rsidRPr="003F471F">
        <w:rPr>
          <w:lang w:val="fr-FR"/>
        </w:rPr>
        <w:t>19</w:t>
      </w:r>
      <w:r>
        <w:fldChar w:fldCharType="end"/>
      </w:r>
    </w:p>
    <w:p w14:paraId="42E73640" w14:textId="77777777" w:rsidR="00B03E8D" w:rsidRPr="003F471F" w:rsidRDefault="00B03E8D">
      <w:pPr>
        <w:pStyle w:val="TOC2"/>
        <w:rPr>
          <w:rFonts w:asciiTheme="minorHAnsi" w:eastAsiaTheme="minorEastAsia" w:hAnsiTheme="minorHAnsi" w:cstheme="minorBidi"/>
          <w:sz w:val="22"/>
          <w:szCs w:val="22"/>
          <w:lang w:val="fr-FR"/>
        </w:rPr>
      </w:pPr>
      <w:r w:rsidRPr="003F471F">
        <w:rPr>
          <w:rFonts w:cs="Tahoma"/>
          <w:lang w:val="fr-FR"/>
        </w:rPr>
        <w:t>Core Infrastructure Server Suite Datacenter</w:t>
      </w:r>
      <w:r w:rsidRPr="003F471F">
        <w:rPr>
          <w:lang w:val="fr-FR"/>
        </w:rPr>
        <w:tab/>
      </w:r>
      <w:r>
        <w:fldChar w:fldCharType="begin"/>
      </w:r>
      <w:r w:rsidRPr="003F471F">
        <w:rPr>
          <w:lang w:val="fr-FR"/>
        </w:rPr>
        <w:instrText xml:space="preserve"> PAGEREF _Toc371663343 \h </w:instrText>
      </w:r>
      <w:r>
        <w:fldChar w:fldCharType="separate"/>
      </w:r>
      <w:r w:rsidR="003F471F" w:rsidRPr="003F471F">
        <w:rPr>
          <w:lang w:val="fr-FR"/>
        </w:rPr>
        <w:t>19</w:t>
      </w:r>
      <w:r>
        <w:fldChar w:fldCharType="end"/>
      </w:r>
    </w:p>
    <w:p w14:paraId="3B19025A" w14:textId="77777777" w:rsidR="00B03E8D" w:rsidRPr="003F471F" w:rsidRDefault="00B03E8D">
      <w:pPr>
        <w:pStyle w:val="TOC2"/>
        <w:rPr>
          <w:rFonts w:asciiTheme="minorHAnsi" w:eastAsiaTheme="minorEastAsia" w:hAnsiTheme="minorHAnsi" w:cstheme="minorBidi"/>
          <w:sz w:val="22"/>
          <w:szCs w:val="22"/>
          <w:lang w:val="fr-FR"/>
        </w:rPr>
      </w:pPr>
      <w:r w:rsidRPr="003F471F">
        <w:rPr>
          <w:rFonts w:cs="Tahoma"/>
          <w:color w:val="000000"/>
          <w:lang w:val="fr-FR"/>
        </w:rPr>
        <w:t>Duet Enterprise 2.0</w:t>
      </w:r>
      <w:r w:rsidRPr="003F471F">
        <w:rPr>
          <w:lang w:val="fr-FR"/>
        </w:rPr>
        <w:tab/>
      </w:r>
      <w:r>
        <w:fldChar w:fldCharType="begin"/>
      </w:r>
      <w:r w:rsidRPr="003F471F">
        <w:rPr>
          <w:lang w:val="fr-FR"/>
        </w:rPr>
        <w:instrText xml:space="preserve"> PAGEREF _Toc371663344 \h </w:instrText>
      </w:r>
      <w:r>
        <w:fldChar w:fldCharType="separate"/>
      </w:r>
      <w:r w:rsidR="003F471F" w:rsidRPr="003F471F">
        <w:rPr>
          <w:lang w:val="fr-FR"/>
        </w:rPr>
        <w:t>19</w:t>
      </w:r>
      <w:r>
        <w:fldChar w:fldCharType="end"/>
      </w:r>
    </w:p>
    <w:p w14:paraId="497C0D03" w14:textId="77777777" w:rsidR="00B03E8D" w:rsidRPr="003F471F" w:rsidRDefault="00B03E8D">
      <w:pPr>
        <w:pStyle w:val="TOC2"/>
        <w:rPr>
          <w:rFonts w:asciiTheme="minorHAnsi" w:eastAsiaTheme="minorEastAsia" w:hAnsiTheme="minorHAnsi" w:cstheme="minorBidi"/>
          <w:sz w:val="22"/>
          <w:szCs w:val="22"/>
          <w:lang w:val="fr-FR"/>
        </w:rPr>
      </w:pPr>
      <w:r w:rsidRPr="003F471F">
        <w:rPr>
          <w:rFonts w:cs="Tahoma"/>
          <w:lang w:val="fr-FR"/>
        </w:rPr>
        <w:t>Enterprise CAL Suite Bridge per Office 365 (Utente e Dispositivo)</w:t>
      </w:r>
      <w:r w:rsidRPr="003F471F">
        <w:rPr>
          <w:lang w:val="fr-FR"/>
        </w:rPr>
        <w:tab/>
      </w:r>
      <w:r>
        <w:fldChar w:fldCharType="begin"/>
      </w:r>
      <w:r w:rsidRPr="003F471F">
        <w:rPr>
          <w:lang w:val="fr-FR"/>
        </w:rPr>
        <w:instrText xml:space="preserve"> PAGEREF _Toc371663345 \h </w:instrText>
      </w:r>
      <w:r>
        <w:fldChar w:fldCharType="separate"/>
      </w:r>
      <w:r w:rsidR="003F471F" w:rsidRPr="003F471F">
        <w:rPr>
          <w:lang w:val="fr-FR"/>
        </w:rPr>
        <w:t>19</w:t>
      </w:r>
      <w:r>
        <w:fldChar w:fldCharType="end"/>
      </w:r>
    </w:p>
    <w:p w14:paraId="370C0F85" w14:textId="77777777" w:rsidR="00B03E8D" w:rsidRPr="003F471F" w:rsidRDefault="00B03E8D">
      <w:pPr>
        <w:pStyle w:val="TOC2"/>
        <w:rPr>
          <w:rFonts w:asciiTheme="minorHAnsi" w:eastAsiaTheme="minorEastAsia" w:hAnsiTheme="minorHAnsi" w:cstheme="minorBidi"/>
          <w:sz w:val="22"/>
          <w:szCs w:val="22"/>
          <w:lang w:val="fr-FR"/>
        </w:rPr>
      </w:pPr>
      <w:r w:rsidRPr="003F471F">
        <w:rPr>
          <w:rFonts w:cs="Tahoma"/>
          <w:lang w:val="fr-FR"/>
        </w:rPr>
        <w:t>Enterprise CAL Suite Bridge per Office 365 e Windows</w:t>
      </w:r>
      <w:r w:rsidRPr="003F471F">
        <w:rPr>
          <w:rFonts w:cs="Tahoma"/>
          <w:vertAlign w:val="superscript"/>
          <w:lang w:val="fr-FR"/>
        </w:rPr>
        <w:t>®</w:t>
      </w:r>
      <w:r w:rsidRPr="003F471F">
        <w:rPr>
          <w:rFonts w:cs="Tahoma"/>
          <w:lang w:val="fr-FR"/>
        </w:rPr>
        <w:t xml:space="preserve"> Intune (Utente e Dispositivo)</w:t>
      </w:r>
      <w:r w:rsidRPr="003F471F">
        <w:rPr>
          <w:lang w:val="fr-FR"/>
        </w:rPr>
        <w:tab/>
      </w:r>
      <w:r>
        <w:fldChar w:fldCharType="begin"/>
      </w:r>
      <w:r w:rsidRPr="003F471F">
        <w:rPr>
          <w:lang w:val="fr-FR"/>
        </w:rPr>
        <w:instrText xml:space="preserve"> PAGEREF _Toc371663346 \h </w:instrText>
      </w:r>
      <w:r>
        <w:fldChar w:fldCharType="separate"/>
      </w:r>
      <w:r w:rsidR="003F471F" w:rsidRPr="003F471F">
        <w:rPr>
          <w:lang w:val="fr-FR"/>
        </w:rPr>
        <w:t>19</w:t>
      </w:r>
      <w:r>
        <w:fldChar w:fldCharType="end"/>
      </w:r>
    </w:p>
    <w:p w14:paraId="64BC3C94"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Enterprise CAL Suite Bridge per Windows</w:t>
      </w:r>
      <w:r w:rsidRPr="003F471F">
        <w:rPr>
          <w:rFonts w:cs="Tahoma"/>
          <w:vertAlign w:val="superscript"/>
          <w:lang w:val="it-IT"/>
        </w:rPr>
        <w:t>®</w:t>
      </w:r>
      <w:r w:rsidRPr="003F471F">
        <w:rPr>
          <w:rFonts w:cs="Tahoma"/>
          <w:lang w:val="it-IT"/>
        </w:rPr>
        <w:t xml:space="preserve"> Intune (Utente e Dispositivo)</w:t>
      </w:r>
      <w:r w:rsidRPr="003F471F">
        <w:rPr>
          <w:lang w:val="it-IT"/>
        </w:rPr>
        <w:tab/>
      </w:r>
      <w:r>
        <w:fldChar w:fldCharType="begin"/>
      </w:r>
      <w:r w:rsidRPr="003F471F">
        <w:rPr>
          <w:lang w:val="it-IT"/>
        </w:rPr>
        <w:instrText xml:space="preserve"> PAGEREF _Toc371663347 \h </w:instrText>
      </w:r>
      <w:r>
        <w:fldChar w:fldCharType="separate"/>
      </w:r>
      <w:r w:rsidR="003F471F" w:rsidRPr="003F471F">
        <w:rPr>
          <w:lang w:val="it-IT"/>
        </w:rPr>
        <w:t>19</w:t>
      </w:r>
      <w:r>
        <w:fldChar w:fldCharType="end"/>
      </w:r>
    </w:p>
    <w:p w14:paraId="246CDCBF"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Enterprise CAL Suite (Utente e Dispositivo)</w:t>
      </w:r>
      <w:r w:rsidRPr="003F471F">
        <w:rPr>
          <w:lang w:val="it-IT"/>
        </w:rPr>
        <w:tab/>
      </w:r>
      <w:r>
        <w:fldChar w:fldCharType="begin"/>
      </w:r>
      <w:r w:rsidRPr="003F471F">
        <w:rPr>
          <w:lang w:val="it-IT"/>
        </w:rPr>
        <w:instrText xml:space="preserve"> PAGEREF _Toc371663348 \h </w:instrText>
      </w:r>
      <w:r>
        <w:fldChar w:fldCharType="separate"/>
      </w:r>
      <w:r w:rsidR="003F471F" w:rsidRPr="003F471F">
        <w:rPr>
          <w:lang w:val="it-IT"/>
        </w:rPr>
        <w:t>19</w:t>
      </w:r>
      <w:r>
        <w:fldChar w:fldCharType="end"/>
      </w:r>
    </w:p>
    <w:p w14:paraId="7F5D6333"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Enterprise CAL per Exchange 2013 con Servizi</w:t>
      </w:r>
      <w:r w:rsidRPr="003F471F">
        <w:rPr>
          <w:lang w:val="it-IT"/>
        </w:rPr>
        <w:tab/>
      </w:r>
      <w:r>
        <w:fldChar w:fldCharType="begin"/>
      </w:r>
      <w:r w:rsidRPr="003F471F">
        <w:rPr>
          <w:lang w:val="it-IT"/>
        </w:rPr>
        <w:instrText xml:space="preserve"> PAGEREF _Toc371663349 \h </w:instrText>
      </w:r>
      <w:r>
        <w:fldChar w:fldCharType="separate"/>
      </w:r>
      <w:r w:rsidR="003F471F" w:rsidRPr="003F471F">
        <w:rPr>
          <w:lang w:val="it-IT"/>
        </w:rPr>
        <w:t>19</w:t>
      </w:r>
      <w:r>
        <w:fldChar w:fldCharType="end"/>
      </w:r>
    </w:p>
    <w:p w14:paraId="3CB3973C"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Enterprise CAL per Exchange 2013 senza Servizi</w:t>
      </w:r>
      <w:r w:rsidRPr="003F471F">
        <w:rPr>
          <w:lang w:val="it-IT"/>
        </w:rPr>
        <w:tab/>
      </w:r>
      <w:r>
        <w:fldChar w:fldCharType="begin"/>
      </w:r>
      <w:r w:rsidRPr="003F471F">
        <w:rPr>
          <w:lang w:val="it-IT"/>
        </w:rPr>
        <w:instrText xml:space="preserve"> PAGEREF _Toc371663350 \h </w:instrText>
      </w:r>
      <w:r>
        <w:fldChar w:fldCharType="separate"/>
      </w:r>
      <w:r w:rsidR="003F471F" w:rsidRPr="003F471F">
        <w:rPr>
          <w:lang w:val="it-IT"/>
        </w:rPr>
        <w:t>19</w:t>
      </w:r>
      <w:r>
        <w:fldChar w:fldCharType="end"/>
      </w:r>
    </w:p>
    <w:p w14:paraId="50BDAE70"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Archiviazione Exchange Online per Exchange Server A (SL per Utente)</w:t>
      </w:r>
      <w:r w:rsidRPr="003F471F">
        <w:rPr>
          <w:lang w:val="it-IT"/>
        </w:rPr>
        <w:tab/>
      </w:r>
      <w:r>
        <w:fldChar w:fldCharType="begin"/>
      </w:r>
      <w:r w:rsidRPr="003F471F">
        <w:rPr>
          <w:lang w:val="it-IT"/>
        </w:rPr>
        <w:instrText xml:space="preserve"> PAGEREF _Toc371663351 \h </w:instrText>
      </w:r>
      <w:r>
        <w:fldChar w:fldCharType="separate"/>
      </w:r>
      <w:r w:rsidR="003F471F" w:rsidRPr="003F471F">
        <w:rPr>
          <w:lang w:val="it-IT"/>
        </w:rPr>
        <w:t>19</w:t>
      </w:r>
      <w:r>
        <w:fldChar w:fldCharType="end"/>
      </w:r>
    </w:p>
    <w:p w14:paraId="17D9F022" w14:textId="77777777" w:rsidR="00B03E8D" w:rsidRPr="003F471F" w:rsidRDefault="00B03E8D">
      <w:pPr>
        <w:pStyle w:val="TOC3"/>
        <w:rPr>
          <w:rFonts w:asciiTheme="minorHAnsi" w:eastAsiaTheme="minorEastAsia" w:hAnsiTheme="minorHAnsi" w:cstheme="minorBidi"/>
          <w:bCs w:val="0"/>
          <w:color w:val="auto"/>
          <w:sz w:val="22"/>
          <w:szCs w:val="22"/>
          <w:lang w:val="it-IT"/>
        </w:rPr>
      </w:pPr>
      <w:r w:rsidRPr="003F471F">
        <w:rPr>
          <w:lang w:val="it-IT"/>
        </w:rPr>
        <w:t>Archiviazione Exchange Online per Exchange Server A (SL per Utente)</w:t>
      </w:r>
      <w:r w:rsidRPr="003F471F">
        <w:rPr>
          <w:lang w:val="it-IT"/>
        </w:rPr>
        <w:tab/>
      </w:r>
      <w:r>
        <w:fldChar w:fldCharType="begin"/>
      </w:r>
      <w:r w:rsidRPr="003F471F">
        <w:rPr>
          <w:lang w:val="it-IT"/>
        </w:rPr>
        <w:instrText xml:space="preserve"> PAGEREF _Toc371663352 \h </w:instrText>
      </w:r>
      <w:r>
        <w:fldChar w:fldCharType="separate"/>
      </w:r>
      <w:r w:rsidR="003F471F" w:rsidRPr="003F471F">
        <w:rPr>
          <w:lang w:val="it-IT"/>
        </w:rPr>
        <w:t>19</w:t>
      </w:r>
      <w:r>
        <w:fldChar w:fldCharType="end"/>
      </w:r>
    </w:p>
    <w:p w14:paraId="1EDDFBFB"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Exchange Hosted Archive (SL per Utente)</w:t>
      </w:r>
      <w:r w:rsidRPr="003F471F">
        <w:rPr>
          <w:lang w:val="it-IT"/>
        </w:rPr>
        <w:tab/>
      </w:r>
      <w:r>
        <w:fldChar w:fldCharType="begin"/>
      </w:r>
      <w:r w:rsidRPr="003F471F">
        <w:rPr>
          <w:lang w:val="it-IT"/>
        </w:rPr>
        <w:instrText xml:space="preserve"> PAGEREF _Toc371663353 \h </w:instrText>
      </w:r>
      <w:r>
        <w:fldChar w:fldCharType="separate"/>
      </w:r>
      <w:r w:rsidR="003F471F" w:rsidRPr="003F471F">
        <w:rPr>
          <w:lang w:val="it-IT"/>
        </w:rPr>
        <w:t>19</w:t>
      </w:r>
      <w:r>
        <w:fldChar w:fldCharType="end"/>
      </w:r>
    </w:p>
    <w:p w14:paraId="4518856E"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Exchange Hosted Archive Extra Storage (SL per Utente)</w:t>
      </w:r>
      <w:r w:rsidRPr="003F471F">
        <w:rPr>
          <w:lang w:val="it-IT"/>
        </w:rPr>
        <w:tab/>
      </w:r>
      <w:r>
        <w:fldChar w:fldCharType="begin"/>
      </w:r>
      <w:r w:rsidRPr="003F471F">
        <w:rPr>
          <w:lang w:val="it-IT"/>
        </w:rPr>
        <w:instrText xml:space="preserve"> PAGEREF _Toc371663354 \h </w:instrText>
      </w:r>
      <w:r>
        <w:fldChar w:fldCharType="separate"/>
      </w:r>
      <w:r w:rsidR="003F471F" w:rsidRPr="003F471F">
        <w:rPr>
          <w:lang w:val="it-IT"/>
        </w:rPr>
        <w:t>19</w:t>
      </w:r>
      <w:r>
        <w:fldChar w:fldCharType="end"/>
      </w:r>
    </w:p>
    <w:p w14:paraId="58C39E1B"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Exchange Hosted Encryption (SL per Utente)</w:t>
      </w:r>
      <w:r w:rsidRPr="003F471F">
        <w:rPr>
          <w:lang w:val="it-IT"/>
        </w:rPr>
        <w:tab/>
      </w:r>
      <w:r>
        <w:fldChar w:fldCharType="begin"/>
      </w:r>
      <w:r w:rsidRPr="003F471F">
        <w:rPr>
          <w:lang w:val="it-IT"/>
        </w:rPr>
        <w:instrText xml:space="preserve"> PAGEREF _Toc371663355 \h </w:instrText>
      </w:r>
      <w:r>
        <w:fldChar w:fldCharType="separate"/>
      </w:r>
      <w:r w:rsidR="003F471F" w:rsidRPr="003F471F">
        <w:rPr>
          <w:lang w:val="it-IT"/>
        </w:rPr>
        <w:t>19</w:t>
      </w:r>
      <w:r>
        <w:fldChar w:fldCharType="end"/>
      </w:r>
    </w:p>
    <w:p w14:paraId="63956725"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Archiviazione Exchange Online per Exchange Online A</w:t>
      </w:r>
      <w:r w:rsidRPr="003F471F">
        <w:rPr>
          <w:lang w:val="it-IT"/>
        </w:rPr>
        <w:tab/>
      </w:r>
      <w:r>
        <w:fldChar w:fldCharType="begin"/>
      </w:r>
      <w:r w:rsidRPr="003F471F">
        <w:rPr>
          <w:lang w:val="it-IT"/>
        </w:rPr>
        <w:instrText xml:space="preserve"> PAGEREF _Toc371663356 \h </w:instrText>
      </w:r>
      <w:r>
        <w:fldChar w:fldCharType="separate"/>
      </w:r>
      <w:r w:rsidR="003F471F" w:rsidRPr="003F471F">
        <w:rPr>
          <w:lang w:val="it-IT"/>
        </w:rPr>
        <w:t>19</w:t>
      </w:r>
      <w:r>
        <w:fldChar w:fldCharType="end"/>
      </w:r>
    </w:p>
    <w:p w14:paraId="75A2E183"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Archiviazione Exchange Online per Exchange Online</w:t>
      </w:r>
      <w:r w:rsidRPr="003F471F">
        <w:rPr>
          <w:lang w:val="it-IT"/>
        </w:rPr>
        <w:tab/>
      </w:r>
      <w:r>
        <w:fldChar w:fldCharType="begin"/>
      </w:r>
      <w:r w:rsidRPr="003F471F">
        <w:rPr>
          <w:lang w:val="it-IT"/>
        </w:rPr>
        <w:instrText xml:space="preserve"> PAGEREF _Toc371663357 \h </w:instrText>
      </w:r>
      <w:r>
        <w:fldChar w:fldCharType="separate"/>
      </w:r>
      <w:r w:rsidR="003F471F" w:rsidRPr="003F471F">
        <w:rPr>
          <w:lang w:val="it-IT"/>
        </w:rPr>
        <w:t>19</w:t>
      </w:r>
      <w:r>
        <w:fldChar w:fldCharType="end"/>
      </w:r>
    </w:p>
    <w:p w14:paraId="04B24E16"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Chiosco Exchange Online (SL per Utente)</w:t>
      </w:r>
      <w:r w:rsidRPr="003F471F">
        <w:rPr>
          <w:lang w:val="it-IT"/>
        </w:rPr>
        <w:tab/>
      </w:r>
      <w:r>
        <w:fldChar w:fldCharType="begin"/>
      </w:r>
      <w:r w:rsidRPr="003F471F">
        <w:rPr>
          <w:lang w:val="it-IT"/>
        </w:rPr>
        <w:instrText xml:space="preserve"> PAGEREF _Toc371663358 \h </w:instrText>
      </w:r>
      <w:r>
        <w:fldChar w:fldCharType="separate"/>
      </w:r>
      <w:r w:rsidR="003F471F" w:rsidRPr="003F471F">
        <w:rPr>
          <w:lang w:val="it-IT"/>
        </w:rPr>
        <w:t>19</w:t>
      </w:r>
      <w:r>
        <w:fldChar w:fldCharType="end"/>
      </w:r>
    </w:p>
    <w:p w14:paraId="476A6042"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Componente Aggiuntivo di Exchange Online Piano 1 (SL per Utente)</w:t>
      </w:r>
      <w:r w:rsidRPr="003F471F">
        <w:rPr>
          <w:lang w:val="it-IT"/>
        </w:rPr>
        <w:tab/>
      </w:r>
      <w:r>
        <w:fldChar w:fldCharType="begin"/>
      </w:r>
      <w:r w:rsidRPr="003F471F">
        <w:rPr>
          <w:lang w:val="it-IT"/>
        </w:rPr>
        <w:instrText xml:space="preserve"> PAGEREF _Toc371663359 \h </w:instrText>
      </w:r>
      <w:r>
        <w:fldChar w:fldCharType="separate"/>
      </w:r>
      <w:r w:rsidR="003F471F" w:rsidRPr="003F471F">
        <w:rPr>
          <w:lang w:val="it-IT"/>
        </w:rPr>
        <w:t>20</w:t>
      </w:r>
      <w:r>
        <w:fldChar w:fldCharType="end"/>
      </w:r>
    </w:p>
    <w:p w14:paraId="56FB9BA4"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Exchange Online Piano 1 (SL per Utente)</w:t>
      </w:r>
      <w:r w:rsidRPr="003F471F">
        <w:rPr>
          <w:lang w:val="it-IT"/>
        </w:rPr>
        <w:tab/>
      </w:r>
      <w:r>
        <w:fldChar w:fldCharType="begin"/>
      </w:r>
      <w:r w:rsidRPr="003F471F">
        <w:rPr>
          <w:lang w:val="it-IT"/>
        </w:rPr>
        <w:instrText xml:space="preserve"> PAGEREF _Toc371663360 \h </w:instrText>
      </w:r>
      <w:r>
        <w:fldChar w:fldCharType="separate"/>
      </w:r>
      <w:r w:rsidR="003F471F" w:rsidRPr="003F471F">
        <w:rPr>
          <w:lang w:val="it-IT"/>
        </w:rPr>
        <w:t>20</w:t>
      </w:r>
      <w:r>
        <w:fldChar w:fldCharType="end"/>
      </w:r>
    </w:p>
    <w:p w14:paraId="0D8ED05A"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Exchange Online Piano 2 (SL per Utente)</w:t>
      </w:r>
      <w:r w:rsidRPr="003F471F">
        <w:rPr>
          <w:lang w:val="it-IT"/>
        </w:rPr>
        <w:tab/>
      </w:r>
      <w:r>
        <w:fldChar w:fldCharType="begin"/>
      </w:r>
      <w:r w:rsidRPr="003F471F">
        <w:rPr>
          <w:lang w:val="it-IT"/>
        </w:rPr>
        <w:instrText xml:space="preserve"> PAGEREF _Toc371663361 \h </w:instrText>
      </w:r>
      <w:r>
        <w:fldChar w:fldCharType="separate"/>
      </w:r>
      <w:r w:rsidR="003F471F" w:rsidRPr="003F471F">
        <w:rPr>
          <w:lang w:val="it-IT"/>
        </w:rPr>
        <w:t>20</w:t>
      </w:r>
      <w:r>
        <w:fldChar w:fldCharType="end"/>
      </w:r>
    </w:p>
    <w:p w14:paraId="3ADBC425" w14:textId="77777777" w:rsidR="00B03E8D" w:rsidRPr="003F471F" w:rsidRDefault="00B03E8D">
      <w:pPr>
        <w:pStyle w:val="TOC3"/>
        <w:rPr>
          <w:rFonts w:asciiTheme="minorHAnsi" w:eastAsiaTheme="minorEastAsia" w:hAnsiTheme="minorHAnsi" w:cstheme="minorBidi"/>
          <w:bCs w:val="0"/>
          <w:color w:val="auto"/>
          <w:sz w:val="22"/>
          <w:szCs w:val="22"/>
          <w:lang w:val="it-IT"/>
        </w:rPr>
      </w:pPr>
      <w:r w:rsidRPr="003F471F">
        <w:rPr>
          <w:lang w:val="it-IT"/>
        </w:rPr>
        <w:t>Exchange Online Piano 1A per Ex Allievi (SL per Utente)</w:t>
      </w:r>
      <w:r w:rsidRPr="003F471F">
        <w:rPr>
          <w:lang w:val="it-IT"/>
        </w:rPr>
        <w:tab/>
      </w:r>
      <w:r>
        <w:fldChar w:fldCharType="begin"/>
      </w:r>
      <w:r w:rsidRPr="003F471F">
        <w:rPr>
          <w:lang w:val="it-IT"/>
        </w:rPr>
        <w:instrText xml:space="preserve"> PAGEREF _Toc371663362 \h </w:instrText>
      </w:r>
      <w:r>
        <w:fldChar w:fldCharType="separate"/>
      </w:r>
      <w:r w:rsidR="003F471F" w:rsidRPr="003F471F">
        <w:rPr>
          <w:lang w:val="it-IT"/>
        </w:rPr>
        <w:t>20</w:t>
      </w:r>
      <w:r>
        <w:fldChar w:fldCharType="end"/>
      </w:r>
    </w:p>
    <w:p w14:paraId="1C0082CE" w14:textId="77777777" w:rsidR="00B03E8D" w:rsidRPr="003F471F" w:rsidRDefault="00B03E8D">
      <w:pPr>
        <w:pStyle w:val="TOC3"/>
        <w:rPr>
          <w:rFonts w:asciiTheme="minorHAnsi" w:eastAsiaTheme="minorEastAsia" w:hAnsiTheme="minorHAnsi" w:cstheme="minorBidi"/>
          <w:bCs w:val="0"/>
          <w:color w:val="auto"/>
          <w:sz w:val="22"/>
          <w:szCs w:val="22"/>
          <w:lang w:val="it-IT"/>
        </w:rPr>
      </w:pPr>
      <w:r w:rsidRPr="003F471F">
        <w:rPr>
          <w:lang w:val="it-IT"/>
        </w:rPr>
        <w:t>Exchange Online Piano 2A</w:t>
      </w:r>
      <w:r w:rsidR="001F5E7D" w:rsidRPr="003F471F">
        <w:rPr>
          <w:lang w:val="it-IT"/>
        </w:rPr>
        <w:t xml:space="preserve"> </w:t>
      </w:r>
      <w:r w:rsidRPr="003F471F">
        <w:rPr>
          <w:lang w:val="it-IT"/>
        </w:rPr>
        <w:t>(SL per Utente)</w:t>
      </w:r>
      <w:r w:rsidRPr="003F471F">
        <w:rPr>
          <w:lang w:val="it-IT"/>
        </w:rPr>
        <w:tab/>
      </w:r>
      <w:r>
        <w:fldChar w:fldCharType="begin"/>
      </w:r>
      <w:r w:rsidRPr="003F471F">
        <w:rPr>
          <w:lang w:val="it-IT"/>
        </w:rPr>
        <w:instrText xml:space="preserve"> PAGEREF _Toc371663363 \h </w:instrText>
      </w:r>
      <w:r>
        <w:fldChar w:fldCharType="separate"/>
      </w:r>
      <w:r w:rsidR="003F471F" w:rsidRPr="003F471F">
        <w:rPr>
          <w:lang w:val="it-IT"/>
        </w:rPr>
        <w:t>20</w:t>
      </w:r>
      <w:r>
        <w:fldChar w:fldCharType="end"/>
      </w:r>
    </w:p>
    <w:p w14:paraId="5AA6D7A0" w14:textId="77777777" w:rsidR="00B03E8D" w:rsidRPr="003F471F" w:rsidRDefault="00B03E8D">
      <w:pPr>
        <w:pStyle w:val="TOC2"/>
        <w:rPr>
          <w:rFonts w:asciiTheme="minorHAnsi" w:eastAsiaTheme="minorEastAsia" w:hAnsiTheme="minorHAnsi" w:cstheme="minorBidi"/>
          <w:sz w:val="22"/>
          <w:szCs w:val="22"/>
          <w:lang w:val="fr-FR"/>
        </w:rPr>
      </w:pPr>
      <w:r w:rsidRPr="003F471F">
        <w:rPr>
          <w:rFonts w:cs="Tahoma"/>
          <w:lang w:val="fr-FR"/>
        </w:rPr>
        <w:t>Exchange Online Protection</w:t>
      </w:r>
      <w:r w:rsidR="001F5E7D" w:rsidRPr="003F471F">
        <w:rPr>
          <w:rFonts w:cs="Tahoma"/>
          <w:lang w:val="fr-FR"/>
        </w:rPr>
        <w:t xml:space="preserve"> </w:t>
      </w:r>
      <w:r w:rsidRPr="003F471F">
        <w:rPr>
          <w:rFonts w:cs="Tahoma"/>
          <w:lang w:val="fr-FR"/>
        </w:rPr>
        <w:t>(SL per Utente)</w:t>
      </w:r>
      <w:r w:rsidRPr="003F471F">
        <w:rPr>
          <w:lang w:val="fr-FR"/>
        </w:rPr>
        <w:tab/>
      </w:r>
      <w:r>
        <w:fldChar w:fldCharType="begin"/>
      </w:r>
      <w:r w:rsidRPr="003F471F">
        <w:rPr>
          <w:lang w:val="fr-FR"/>
        </w:rPr>
        <w:instrText xml:space="preserve"> PAGEREF _Toc371663364 \h </w:instrText>
      </w:r>
      <w:r>
        <w:fldChar w:fldCharType="separate"/>
      </w:r>
      <w:r w:rsidR="003F471F" w:rsidRPr="003F471F">
        <w:rPr>
          <w:lang w:val="fr-FR"/>
        </w:rPr>
        <w:t>20</w:t>
      </w:r>
      <w:r>
        <w:fldChar w:fldCharType="end"/>
      </w:r>
    </w:p>
    <w:p w14:paraId="4DAAF735" w14:textId="77777777" w:rsidR="00B03E8D" w:rsidRPr="003F471F" w:rsidRDefault="00B03E8D">
      <w:pPr>
        <w:pStyle w:val="TOC2"/>
        <w:rPr>
          <w:rFonts w:asciiTheme="minorHAnsi" w:eastAsiaTheme="minorEastAsia" w:hAnsiTheme="minorHAnsi" w:cstheme="minorBidi"/>
          <w:sz w:val="22"/>
          <w:szCs w:val="22"/>
          <w:lang w:val="fr-FR"/>
        </w:rPr>
      </w:pPr>
      <w:r w:rsidRPr="003F471F">
        <w:rPr>
          <w:rFonts w:cs="Tahoma"/>
          <w:lang w:val="fr-FR"/>
        </w:rPr>
        <w:t>Exchange Server Enterprise 2013</w:t>
      </w:r>
      <w:r w:rsidRPr="003F471F">
        <w:rPr>
          <w:lang w:val="fr-FR"/>
        </w:rPr>
        <w:tab/>
      </w:r>
      <w:r>
        <w:fldChar w:fldCharType="begin"/>
      </w:r>
      <w:r w:rsidRPr="003F471F">
        <w:rPr>
          <w:lang w:val="fr-FR"/>
        </w:rPr>
        <w:instrText xml:space="preserve"> PAGEREF _Toc371663365 \h </w:instrText>
      </w:r>
      <w:r>
        <w:fldChar w:fldCharType="separate"/>
      </w:r>
      <w:r w:rsidR="003F471F" w:rsidRPr="003F471F">
        <w:rPr>
          <w:lang w:val="fr-FR"/>
        </w:rPr>
        <w:t>20</w:t>
      </w:r>
      <w:r>
        <w:fldChar w:fldCharType="end"/>
      </w:r>
    </w:p>
    <w:p w14:paraId="32DA7D2D" w14:textId="77777777" w:rsidR="00B03E8D" w:rsidRDefault="00B03E8D">
      <w:pPr>
        <w:pStyle w:val="TOC2"/>
        <w:rPr>
          <w:rFonts w:asciiTheme="minorHAnsi" w:eastAsiaTheme="minorEastAsia" w:hAnsiTheme="minorHAnsi" w:cstheme="minorBidi"/>
          <w:sz w:val="22"/>
          <w:szCs w:val="22"/>
        </w:rPr>
      </w:pPr>
      <w:r w:rsidRPr="000F4C33">
        <w:rPr>
          <w:rFonts w:cs="Tahoma"/>
        </w:rPr>
        <w:t>Exchange Server Standard 2013</w:t>
      </w:r>
      <w:r>
        <w:tab/>
      </w:r>
      <w:r>
        <w:fldChar w:fldCharType="begin"/>
      </w:r>
      <w:r>
        <w:instrText xml:space="preserve"> PAGEREF _Toc371663366 \h </w:instrText>
      </w:r>
      <w:r>
        <w:fldChar w:fldCharType="separate"/>
      </w:r>
      <w:r w:rsidR="003F471F">
        <w:t>20</w:t>
      </w:r>
      <w:r>
        <w:fldChar w:fldCharType="end"/>
      </w:r>
    </w:p>
    <w:p w14:paraId="030107C9" w14:textId="77777777" w:rsidR="00B03E8D" w:rsidRDefault="00B03E8D">
      <w:pPr>
        <w:pStyle w:val="TOC2"/>
        <w:rPr>
          <w:rFonts w:asciiTheme="minorHAnsi" w:eastAsiaTheme="minorEastAsia" w:hAnsiTheme="minorHAnsi" w:cstheme="minorBidi"/>
          <w:sz w:val="22"/>
          <w:szCs w:val="22"/>
        </w:rPr>
      </w:pPr>
      <w:r w:rsidRPr="000F4C33">
        <w:rPr>
          <w:rFonts w:cs="Tahoma"/>
        </w:rPr>
        <w:t>Exchange Server 2007 Standard for Small Business</w:t>
      </w:r>
      <w:r>
        <w:tab/>
      </w:r>
      <w:r>
        <w:fldChar w:fldCharType="begin"/>
      </w:r>
      <w:r>
        <w:instrText xml:space="preserve"> PAGEREF _Toc371663367 \h </w:instrText>
      </w:r>
      <w:r>
        <w:fldChar w:fldCharType="separate"/>
      </w:r>
      <w:r w:rsidR="003F471F">
        <w:t>20</w:t>
      </w:r>
      <w:r>
        <w:fldChar w:fldCharType="end"/>
      </w:r>
    </w:p>
    <w:p w14:paraId="599454BA" w14:textId="77777777" w:rsidR="00B03E8D" w:rsidRDefault="00B03E8D">
      <w:pPr>
        <w:pStyle w:val="TOC2"/>
        <w:rPr>
          <w:rFonts w:asciiTheme="minorHAnsi" w:eastAsiaTheme="minorEastAsia" w:hAnsiTheme="minorHAnsi" w:cstheme="minorBidi"/>
          <w:sz w:val="22"/>
          <w:szCs w:val="22"/>
        </w:rPr>
      </w:pPr>
      <w:r w:rsidRPr="000F4C33">
        <w:rPr>
          <w:rFonts w:cs="Tahoma"/>
        </w:rPr>
        <w:t>CAL per Exchange Server 2007 Standard for Small Business</w:t>
      </w:r>
      <w:r>
        <w:tab/>
      </w:r>
      <w:r>
        <w:fldChar w:fldCharType="begin"/>
      </w:r>
      <w:r>
        <w:instrText xml:space="preserve"> PAGEREF _Toc371663368 \h </w:instrText>
      </w:r>
      <w:r>
        <w:fldChar w:fldCharType="separate"/>
      </w:r>
      <w:r w:rsidR="003F471F">
        <w:t>20</w:t>
      </w:r>
      <w:r>
        <w:fldChar w:fldCharType="end"/>
      </w:r>
    </w:p>
    <w:p w14:paraId="2A8351F2" w14:textId="77777777" w:rsidR="00B03E8D" w:rsidRPr="003F471F" w:rsidRDefault="00B03E8D">
      <w:pPr>
        <w:pStyle w:val="TOC2"/>
        <w:rPr>
          <w:rFonts w:asciiTheme="minorHAnsi" w:eastAsiaTheme="minorEastAsia" w:hAnsiTheme="minorHAnsi" w:cstheme="minorBidi"/>
          <w:sz w:val="22"/>
          <w:szCs w:val="22"/>
          <w:lang w:val="fr-FR"/>
        </w:rPr>
      </w:pPr>
      <w:r w:rsidRPr="003F471F">
        <w:rPr>
          <w:rFonts w:cs="Tahoma"/>
          <w:lang w:val="fr-FR"/>
        </w:rPr>
        <w:t>Exchange Server 2010 Standard CAL (Dispositivo e Utente)</w:t>
      </w:r>
      <w:r w:rsidRPr="003F471F">
        <w:rPr>
          <w:lang w:val="fr-FR"/>
        </w:rPr>
        <w:tab/>
      </w:r>
      <w:r>
        <w:fldChar w:fldCharType="begin"/>
      </w:r>
      <w:r w:rsidRPr="003F471F">
        <w:rPr>
          <w:lang w:val="fr-FR"/>
        </w:rPr>
        <w:instrText xml:space="preserve"> PAGEREF _Toc371663369 \h </w:instrText>
      </w:r>
      <w:r>
        <w:fldChar w:fldCharType="separate"/>
      </w:r>
      <w:r w:rsidR="003F471F" w:rsidRPr="003F471F">
        <w:rPr>
          <w:lang w:val="fr-FR"/>
        </w:rPr>
        <w:t>20</w:t>
      </w:r>
      <w:r>
        <w:fldChar w:fldCharType="end"/>
      </w:r>
    </w:p>
    <w:p w14:paraId="0AEB6A63" w14:textId="77777777" w:rsidR="00B03E8D" w:rsidRPr="003F471F" w:rsidRDefault="00B03E8D">
      <w:pPr>
        <w:pStyle w:val="TOC2"/>
        <w:rPr>
          <w:rFonts w:asciiTheme="minorHAnsi" w:eastAsiaTheme="minorEastAsia" w:hAnsiTheme="minorHAnsi" w:cstheme="minorBidi"/>
          <w:sz w:val="22"/>
          <w:szCs w:val="22"/>
          <w:lang w:val="fr-FR"/>
        </w:rPr>
      </w:pPr>
      <w:r w:rsidRPr="003F471F">
        <w:rPr>
          <w:rFonts w:cs="Tahoma"/>
          <w:lang w:val="fr-FR"/>
        </w:rPr>
        <w:t>Forefront Endpoint Protection</w:t>
      </w:r>
      <w:r w:rsidRPr="003F471F">
        <w:rPr>
          <w:lang w:val="fr-FR"/>
        </w:rPr>
        <w:tab/>
      </w:r>
      <w:r>
        <w:fldChar w:fldCharType="begin"/>
      </w:r>
      <w:r w:rsidRPr="003F471F">
        <w:rPr>
          <w:lang w:val="fr-FR"/>
        </w:rPr>
        <w:instrText xml:space="preserve"> PAGEREF _Toc371663370 \h </w:instrText>
      </w:r>
      <w:r>
        <w:fldChar w:fldCharType="separate"/>
      </w:r>
      <w:r w:rsidR="003F471F" w:rsidRPr="003F471F">
        <w:rPr>
          <w:lang w:val="fr-FR"/>
        </w:rPr>
        <w:t>20</w:t>
      </w:r>
      <w:r>
        <w:fldChar w:fldCharType="end"/>
      </w:r>
    </w:p>
    <w:p w14:paraId="045D17A8"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CAL per Forefront Identity Manager 2010 R2 (solo Utente)</w:t>
      </w:r>
      <w:r w:rsidRPr="003F471F">
        <w:rPr>
          <w:lang w:val="it-IT"/>
        </w:rPr>
        <w:tab/>
      </w:r>
      <w:r>
        <w:fldChar w:fldCharType="begin"/>
      </w:r>
      <w:r w:rsidRPr="003F471F">
        <w:rPr>
          <w:lang w:val="it-IT"/>
        </w:rPr>
        <w:instrText xml:space="preserve"> PAGEREF _Toc371663371 \h </w:instrText>
      </w:r>
      <w:r>
        <w:fldChar w:fldCharType="separate"/>
      </w:r>
      <w:r w:rsidR="003F471F" w:rsidRPr="003F471F">
        <w:rPr>
          <w:lang w:val="it-IT"/>
        </w:rPr>
        <w:t>20</w:t>
      </w:r>
      <w:r>
        <w:fldChar w:fldCharType="end"/>
      </w:r>
    </w:p>
    <w:p w14:paraId="02614AA6" w14:textId="77777777" w:rsidR="00B03E8D" w:rsidRDefault="00B03E8D">
      <w:pPr>
        <w:pStyle w:val="TOC2"/>
        <w:rPr>
          <w:rFonts w:asciiTheme="minorHAnsi" w:eastAsiaTheme="minorEastAsia" w:hAnsiTheme="minorHAnsi" w:cstheme="minorBidi"/>
          <w:sz w:val="22"/>
          <w:szCs w:val="22"/>
        </w:rPr>
      </w:pPr>
      <w:r w:rsidRPr="000F4C33">
        <w:rPr>
          <w:rFonts w:cs="Tahoma"/>
        </w:rPr>
        <w:t>External Connector per Forefront Identity Manager 2010 R2</w:t>
      </w:r>
      <w:r>
        <w:tab/>
      </w:r>
      <w:r>
        <w:fldChar w:fldCharType="begin"/>
      </w:r>
      <w:r>
        <w:instrText xml:space="preserve"> PAGEREF _Toc371663372 \h </w:instrText>
      </w:r>
      <w:r>
        <w:fldChar w:fldCharType="separate"/>
      </w:r>
      <w:r w:rsidR="003F471F">
        <w:t>20</w:t>
      </w:r>
      <w:r>
        <w:fldChar w:fldCharType="end"/>
      </w:r>
    </w:p>
    <w:p w14:paraId="697961C6" w14:textId="77777777" w:rsidR="00B03E8D" w:rsidRDefault="00B03E8D">
      <w:pPr>
        <w:pStyle w:val="TOC2"/>
        <w:rPr>
          <w:rFonts w:asciiTheme="minorHAnsi" w:eastAsiaTheme="minorEastAsia" w:hAnsiTheme="minorHAnsi" w:cstheme="minorBidi"/>
          <w:sz w:val="22"/>
          <w:szCs w:val="22"/>
        </w:rPr>
      </w:pPr>
      <w:r w:rsidRPr="000F4C33">
        <w:rPr>
          <w:rFonts w:cs="Tahoma"/>
        </w:rPr>
        <w:t>Forefront Identity Manager 2010 R2 Server</w:t>
      </w:r>
      <w:r>
        <w:tab/>
      </w:r>
      <w:r>
        <w:fldChar w:fldCharType="begin"/>
      </w:r>
      <w:r>
        <w:instrText xml:space="preserve"> PAGEREF _Toc371663373 \h </w:instrText>
      </w:r>
      <w:r>
        <w:fldChar w:fldCharType="separate"/>
      </w:r>
      <w:r w:rsidR="003F471F">
        <w:t>20</w:t>
      </w:r>
      <w:r>
        <w:fldChar w:fldCharType="end"/>
      </w:r>
    </w:p>
    <w:p w14:paraId="70A8CDDC" w14:textId="77777777" w:rsidR="00B03E8D" w:rsidRDefault="00B03E8D">
      <w:pPr>
        <w:pStyle w:val="TOC2"/>
        <w:rPr>
          <w:rFonts w:asciiTheme="minorHAnsi" w:eastAsiaTheme="minorEastAsia" w:hAnsiTheme="minorHAnsi" w:cstheme="minorBidi"/>
          <w:sz w:val="22"/>
          <w:szCs w:val="22"/>
        </w:rPr>
      </w:pPr>
      <w:r w:rsidRPr="000F4C33">
        <w:rPr>
          <w:rFonts w:cs="Tahoma"/>
        </w:rPr>
        <w:t>Forefront Identity Manager 2010 R2 - Windows Live Edition</w:t>
      </w:r>
      <w:r>
        <w:tab/>
      </w:r>
      <w:r>
        <w:fldChar w:fldCharType="begin"/>
      </w:r>
      <w:r>
        <w:instrText xml:space="preserve"> PAGEREF _Toc371663374 \h </w:instrText>
      </w:r>
      <w:r>
        <w:fldChar w:fldCharType="separate"/>
      </w:r>
      <w:r w:rsidR="003F471F">
        <w:t>20</w:t>
      </w:r>
      <w:r>
        <w:fldChar w:fldCharType="end"/>
      </w:r>
    </w:p>
    <w:p w14:paraId="16EE551B" w14:textId="77777777" w:rsidR="00B03E8D" w:rsidRDefault="00B03E8D">
      <w:pPr>
        <w:pStyle w:val="TOC2"/>
        <w:rPr>
          <w:rFonts w:asciiTheme="minorHAnsi" w:eastAsiaTheme="minorEastAsia" w:hAnsiTheme="minorHAnsi" w:cstheme="minorBidi"/>
          <w:sz w:val="22"/>
          <w:szCs w:val="22"/>
        </w:rPr>
      </w:pPr>
      <w:r w:rsidRPr="000F4C33">
        <w:rPr>
          <w:rFonts w:cs="Tahoma"/>
        </w:rPr>
        <w:t>Forefront Online Protection for Exchange (SL per Dispositivo e Utente)</w:t>
      </w:r>
      <w:r>
        <w:tab/>
      </w:r>
      <w:r>
        <w:fldChar w:fldCharType="begin"/>
      </w:r>
      <w:r>
        <w:instrText xml:space="preserve"> PAGEREF _Toc371663375 \h </w:instrText>
      </w:r>
      <w:r>
        <w:fldChar w:fldCharType="separate"/>
      </w:r>
      <w:r w:rsidR="003F471F">
        <w:t>20</w:t>
      </w:r>
      <w:r>
        <w:fldChar w:fldCharType="end"/>
      </w:r>
    </w:p>
    <w:p w14:paraId="50439ABD" w14:textId="77777777" w:rsidR="00B03E8D" w:rsidRDefault="00B03E8D">
      <w:pPr>
        <w:pStyle w:val="TOC2"/>
        <w:rPr>
          <w:rFonts w:asciiTheme="minorHAnsi" w:eastAsiaTheme="minorEastAsia" w:hAnsiTheme="minorHAnsi" w:cstheme="minorBidi"/>
          <w:sz w:val="22"/>
          <w:szCs w:val="22"/>
        </w:rPr>
      </w:pPr>
      <w:r w:rsidRPr="000F4C33">
        <w:rPr>
          <w:rFonts w:cs="Tahoma"/>
        </w:rPr>
        <w:t>Forefront Protection 2010 for Exchange Server (SL per Dispositivo e Utente)</w:t>
      </w:r>
      <w:r>
        <w:tab/>
      </w:r>
      <w:r>
        <w:fldChar w:fldCharType="begin"/>
      </w:r>
      <w:r>
        <w:instrText xml:space="preserve"> PAGEREF _Toc371663376 \h </w:instrText>
      </w:r>
      <w:r>
        <w:fldChar w:fldCharType="separate"/>
      </w:r>
      <w:r w:rsidR="003F471F">
        <w:t>20</w:t>
      </w:r>
      <w:r>
        <w:fldChar w:fldCharType="end"/>
      </w:r>
    </w:p>
    <w:p w14:paraId="4C942BC3" w14:textId="77777777" w:rsidR="00B03E8D" w:rsidRDefault="00B03E8D">
      <w:pPr>
        <w:pStyle w:val="TOC2"/>
        <w:rPr>
          <w:rFonts w:asciiTheme="minorHAnsi" w:eastAsiaTheme="minorEastAsia" w:hAnsiTheme="minorHAnsi" w:cstheme="minorBidi"/>
          <w:sz w:val="22"/>
          <w:szCs w:val="22"/>
        </w:rPr>
      </w:pPr>
      <w:r w:rsidRPr="000F4C33">
        <w:rPr>
          <w:rFonts w:cs="Tahoma"/>
        </w:rPr>
        <w:t>Forefront Protection 2010 for SharePoint (SL per Dispositivo e Utente)</w:t>
      </w:r>
      <w:r>
        <w:tab/>
      </w:r>
      <w:r>
        <w:fldChar w:fldCharType="begin"/>
      </w:r>
      <w:r>
        <w:instrText xml:space="preserve"> PAGEREF _Toc371663377 \h </w:instrText>
      </w:r>
      <w:r>
        <w:fldChar w:fldCharType="separate"/>
      </w:r>
      <w:r w:rsidR="003F471F">
        <w:t>20</w:t>
      </w:r>
      <w:r>
        <w:fldChar w:fldCharType="end"/>
      </w:r>
    </w:p>
    <w:p w14:paraId="6B5FAF47" w14:textId="77777777" w:rsidR="00B03E8D" w:rsidRDefault="00B03E8D">
      <w:pPr>
        <w:pStyle w:val="TOC2"/>
        <w:rPr>
          <w:rFonts w:asciiTheme="minorHAnsi" w:eastAsiaTheme="minorEastAsia" w:hAnsiTheme="minorHAnsi" w:cstheme="minorBidi"/>
          <w:sz w:val="22"/>
          <w:szCs w:val="22"/>
        </w:rPr>
      </w:pPr>
      <w:r w:rsidRPr="000F4C33">
        <w:rPr>
          <w:rFonts w:cs="Tahoma"/>
        </w:rPr>
        <w:t>Forefront Protection 2010 for SharePoint per Siti Internet (SL Add-on)</w:t>
      </w:r>
      <w:r>
        <w:tab/>
      </w:r>
      <w:r>
        <w:fldChar w:fldCharType="begin"/>
      </w:r>
      <w:r>
        <w:instrText xml:space="preserve"> PAGEREF _Toc371663378 \h </w:instrText>
      </w:r>
      <w:r>
        <w:fldChar w:fldCharType="separate"/>
      </w:r>
      <w:r w:rsidR="003F471F">
        <w:t>20</w:t>
      </w:r>
      <w:r>
        <w:fldChar w:fldCharType="end"/>
      </w:r>
    </w:p>
    <w:p w14:paraId="50D43605" w14:textId="77777777" w:rsidR="00B03E8D" w:rsidRDefault="00B03E8D">
      <w:pPr>
        <w:pStyle w:val="TOC2"/>
        <w:rPr>
          <w:rFonts w:asciiTheme="minorHAnsi" w:eastAsiaTheme="minorEastAsia" w:hAnsiTheme="minorHAnsi" w:cstheme="minorBidi"/>
          <w:sz w:val="22"/>
          <w:szCs w:val="22"/>
        </w:rPr>
      </w:pPr>
      <w:r w:rsidRPr="000F4C33">
        <w:rPr>
          <w:rFonts w:cs="Tahoma"/>
        </w:rPr>
        <w:t>Forefront Protection Suite (SL per Dispositivo e Utente)</w:t>
      </w:r>
      <w:r>
        <w:tab/>
      </w:r>
      <w:r>
        <w:fldChar w:fldCharType="begin"/>
      </w:r>
      <w:r>
        <w:instrText xml:space="preserve"> PAGEREF _Toc371663379 \h </w:instrText>
      </w:r>
      <w:r>
        <w:fldChar w:fldCharType="separate"/>
      </w:r>
      <w:r w:rsidR="003F471F">
        <w:t>20</w:t>
      </w:r>
      <w:r>
        <w:fldChar w:fldCharType="end"/>
      </w:r>
    </w:p>
    <w:p w14:paraId="78294823" w14:textId="77777777" w:rsidR="00B03E8D" w:rsidRDefault="00B03E8D">
      <w:pPr>
        <w:pStyle w:val="TOC2"/>
        <w:rPr>
          <w:rFonts w:asciiTheme="minorHAnsi" w:eastAsiaTheme="minorEastAsia" w:hAnsiTheme="minorHAnsi" w:cstheme="minorBidi"/>
          <w:sz w:val="22"/>
          <w:szCs w:val="22"/>
        </w:rPr>
      </w:pPr>
      <w:r w:rsidRPr="000F4C33">
        <w:rPr>
          <w:rFonts w:cs="Tahoma"/>
        </w:rPr>
        <w:t>Forefront Security for Office Communications Server (SL per Dispositivo e Utente)</w:t>
      </w:r>
      <w:r>
        <w:tab/>
      </w:r>
      <w:r>
        <w:fldChar w:fldCharType="begin"/>
      </w:r>
      <w:r>
        <w:instrText xml:space="preserve"> PAGEREF _Toc371663380 \h </w:instrText>
      </w:r>
      <w:r>
        <w:fldChar w:fldCharType="separate"/>
      </w:r>
      <w:r w:rsidR="003F471F">
        <w:t>20</w:t>
      </w:r>
      <w:r>
        <w:fldChar w:fldCharType="end"/>
      </w:r>
    </w:p>
    <w:p w14:paraId="62C15D40" w14:textId="77777777" w:rsidR="00B03E8D" w:rsidRDefault="00B03E8D">
      <w:pPr>
        <w:pStyle w:val="TOC2"/>
        <w:rPr>
          <w:rFonts w:asciiTheme="minorHAnsi" w:eastAsiaTheme="minorEastAsia" w:hAnsiTheme="minorHAnsi" w:cstheme="minorBidi"/>
          <w:sz w:val="22"/>
          <w:szCs w:val="22"/>
        </w:rPr>
      </w:pPr>
      <w:r w:rsidRPr="000F4C33">
        <w:rPr>
          <w:rFonts w:cs="Tahoma"/>
        </w:rPr>
        <w:t>Forefront Threat Management Gateway Web Protection Services</w:t>
      </w:r>
      <w:r>
        <w:tab/>
      </w:r>
      <w:r>
        <w:fldChar w:fldCharType="begin"/>
      </w:r>
      <w:r>
        <w:instrText xml:space="preserve"> PAGEREF _Toc371663381 \h </w:instrText>
      </w:r>
      <w:r>
        <w:fldChar w:fldCharType="separate"/>
      </w:r>
      <w:r w:rsidR="003F471F">
        <w:t>20</w:t>
      </w:r>
      <w:r>
        <w:fldChar w:fldCharType="end"/>
      </w:r>
    </w:p>
    <w:p w14:paraId="2F2347E1" w14:textId="77777777" w:rsidR="00B03E8D" w:rsidRDefault="00B03E8D">
      <w:pPr>
        <w:pStyle w:val="TOC2"/>
        <w:rPr>
          <w:rFonts w:asciiTheme="minorHAnsi" w:eastAsiaTheme="minorEastAsia" w:hAnsiTheme="minorHAnsi" w:cstheme="minorBidi"/>
          <w:sz w:val="22"/>
          <w:szCs w:val="22"/>
        </w:rPr>
      </w:pPr>
      <w:r w:rsidRPr="000F4C33">
        <w:rPr>
          <w:rFonts w:cs="Tahoma"/>
        </w:rPr>
        <w:t>Forefront Unified Access Gateway Server 2010</w:t>
      </w:r>
      <w:r>
        <w:tab/>
      </w:r>
      <w:r>
        <w:fldChar w:fldCharType="begin"/>
      </w:r>
      <w:r>
        <w:instrText xml:space="preserve"> PAGEREF _Toc371663382 \h </w:instrText>
      </w:r>
      <w:r>
        <w:fldChar w:fldCharType="separate"/>
      </w:r>
      <w:r w:rsidR="003F471F">
        <w:t>20</w:t>
      </w:r>
      <w:r>
        <w:fldChar w:fldCharType="end"/>
      </w:r>
    </w:p>
    <w:p w14:paraId="77893E3A" w14:textId="77777777" w:rsidR="00B03E8D" w:rsidRDefault="00B03E8D">
      <w:pPr>
        <w:pStyle w:val="TOC2"/>
        <w:rPr>
          <w:rFonts w:asciiTheme="minorHAnsi" w:eastAsiaTheme="minorEastAsia" w:hAnsiTheme="minorHAnsi" w:cstheme="minorBidi"/>
          <w:sz w:val="22"/>
          <w:szCs w:val="22"/>
        </w:rPr>
      </w:pPr>
      <w:r w:rsidRPr="000F4C33">
        <w:rPr>
          <w:rFonts w:cs="Tahoma"/>
        </w:rPr>
        <w:t>External Connector per Forefront Unified Access Gateway 2010</w:t>
      </w:r>
      <w:r>
        <w:tab/>
      </w:r>
      <w:r>
        <w:fldChar w:fldCharType="begin"/>
      </w:r>
      <w:r>
        <w:instrText xml:space="preserve"> PAGEREF _Toc371663383 \h </w:instrText>
      </w:r>
      <w:r>
        <w:fldChar w:fldCharType="separate"/>
      </w:r>
      <w:r w:rsidR="003F471F">
        <w:t>20</w:t>
      </w:r>
      <w:r>
        <w:fldChar w:fldCharType="end"/>
      </w:r>
    </w:p>
    <w:p w14:paraId="67253FD0" w14:textId="77777777" w:rsidR="00B03E8D" w:rsidRDefault="00B03E8D">
      <w:pPr>
        <w:pStyle w:val="TOC2"/>
        <w:rPr>
          <w:rFonts w:asciiTheme="minorHAnsi" w:eastAsiaTheme="minorEastAsia" w:hAnsiTheme="minorHAnsi" w:cstheme="minorBidi"/>
          <w:sz w:val="22"/>
          <w:szCs w:val="22"/>
        </w:rPr>
      </w:pPr>
      <w:r w:rsidRPr="000F4C33">
        <w:rPr>
          <w:rFonts w:cs="Tahoma"/>
        </w:rPr>
        <w:t>CAL per Forefront Unified Access Gateway 2010</w:t>
      </w:r>
      <w:r>
        <w:tab/>
      </w:r>
      <w:r>
        <w:fldChar w:fldCharType="begin"/>
      </w:r>
      <w:r>
        <w:instrText xml:space="preserve"> PAGEREF _Toc371663384 \h </w:instrText>
      </w:r>
      <w:r>
        <w:fldChar w:fldCharType="separate"/>
      </w:r>
      <w:r w:rsidR="003F471F">
        <w:t>20</w:t>
      </w:r>
      <w:r>
        <w:fldChar w:fldCharType="end"/>
      </w:r>
    </w:p>
    <w:p w14:paraId="1B0DFB70"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Pacchetto di 10.000 CAL per Forefront Unified Access Gateway 2010</w:t>
      </w:r>
      <w:r w:rsidRPr="003F471F">
        <w:rPr>
          <w:lang w:val="it-IT"/>
        </w:rPr>
        <w:tab/>
      </w:r>
      <w:r>
        <w:fldChar w:fldCharType="begin"/>
      </w:r>
      <w:r w:rsidRPr="003F471F">
        <w:rPr>
          <w:lang w:val="it-IT"/>
        </w:rPr>
        <w:instrText xml:space="preserve"> PAGEREF _Toc371663385 \h </w:instrText>
      </w:r>
      <w:r>
        <w:fldChar w:fldCharType="separate"/>
      </w:r>
      <w:r w:rsidR="003F471F" w:rsidRPr="003F471F">
        <w:rPr>
          <w:lang w:val="it-IT"/>
        </w:rPr>
        <w:t>20</w:t>
      </w:r>
      <w:r>
        <w:fldChar w:fldCharType="end"/>
      </w:r>
    </w:p>
    <w:p w14:paraId="0273A83F" w14:textId="77777777" w:rsidR="00B03E8D" w:rsidRDefault="00B03E8D">
      <w:pPr>
        <w:pStyle w:val="TOC2"/>
        <w:rPr>
          <w:rFonts w:asciiTheme="minorHAnsi" w:eastAsiaTheme="minorEastAsia" w:hAnsiTheme="minorHAnsi" w:cstheme="minorBidi"/>
          <w:sz w:val="22"/>
          <w:szCs w:val="22"/>
        </w:rPr>
      </w:pPr>
      <w:r w:rsidRPr="000F4C33">
        <w:rPr>
          <w:rFonts w:cs="Tahoma"/>
        </w:rPr>
        <w:t>HPC Pack 2008 R2 Enterprise</w:t>
      </w:r>
      <w:r>
        <w:tab/>
      </w:r>
      <w:r>
        <w:fldChar w:fldCharType="begin"/>
      </w:r>
      <w:r>
        <w:instrText xml:space="preserve"> PAGEREF _Toc371663386 \h </w:instrText>
      </w:r>
      <w:r>
        <w:fldChar w:fldCharType="separate"/>
      </w:r>
      <w:r w:rsidR="003F471F">
        <w:t>20</w:t>
      </w:r>
      <w:r>
        <w:fldChar w:fldCharType="end"/>
      </w:r>
    </w:p>
    <w:p w14:paraId="2A0A20FA" w14:textId="77777777" w:rsidR="00B03E8D" w:rsidRDefault="00B03E8D">
      <w:pPr>
        <w:pStyle w:val="TOC2"/>
        <w:rPr>
          <w:rFonts w:asciiTheme="minorHAnsi" w:eastAsiaTheme="minorEastAsia" w:hAnsiTheme="minorHAnsi" w:cstheme="minorBidi"/>
          <w:sz w:val="22"/>
          <w:szCs w:val="22"/>
        </w:rPr>
      </w:pPr>
      <w:r w:rsidRPr="000F4C33">
        <w:rPr>
          <w:rFonts w:cs="Tahoma"/>
        </w:rPr>
        <w:t>HPC Pack 2008 R2 per Workstation</w:t>
      </w:r>
      <w:r>
        <w:tab/>
      </w:r>
      <w:r>
        <w:fldChar w:fldCharType="begin"/>
      </w:r>
      <w:r>
        <w:instrText xml:space="preserve"> PAGEREF _Toc371663387 \h </w:instrText>
      </w:r>
      <w:r>
        <w:fldChar w:fldCharType="separate"/>
      </w:r>
      <w:r w:rsidR="003F471F">
        <w:t>20</w:t>
      </w:r>
      <w:r>
        <w:fldChar w:fldCharType="end"/>
      </w:r>
    </w:p>
    <w:p w14:paraId="619FD11D"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Componente Aggiuntivo di Lync Online Piano 1 (SL per Utente)</w:t>
      </w:r>
      <w:r w:rsidRPr="003F471F">
        <w:rPr>
          <w:lang w:val="it-IT"/>
        </w:rPr>
        <w:tab/>
      </w:r>
      <w:r>
        <w:fldChar w:fldCharType="begin"/>
      </w:r>
      <w:r w:rsidRPr="003F471F">
        <w:rPr>
          <w:lang w:val="it-IT"/>
        </w:rPr>
        <w:instrText xml:space="preserve"> PAGEREF _Toc371663388 \h </w:instrText>
      </w:r>
      <w:r>
        <w:fldChar w:fldCharType="separate"/>
      </w:r>
      <w:r w:rsidR="003F471F" w:rsidRPr="003F471F">
        <w:rPr>
          <w:lang w:val="it-IT"/>
        </w:rPr>
        <w:t>20</w:t>
      </w:r>
      <w:r>
        <w:fldChar w:fldCharType="end"/>
      </w:r>
    </w:p>
    <w:p w14:paraId="4B264284" w14:textId="77777777" w:rsidR="00B03E8D" w:rsidRPr="003F471F" w:rsidRDefault="00B03E8D">
      <w:pPr>
        <w:pStyle w:val="TOC2"/>
        <w:rPr>
          <w:rFonts w:asciiTheme="minorHAnsi" w:eastAsiaTheme="minorEastAsia" w:hAnsiTheme="minorHAnsi" w:cstheme="minorBidi"/>
          <w:sz w:val="22"/>
          <w:szCs w:val="22"/>
          <w:lang w:val="it-IT"/>
        </w:rPr>
      </w:pPr>
      <w:r w:rsidRPr="003F471F">
        <w:rPr>
          <w:rFonts w:cs="Tahoma"/>
          <w:lang w:val="it-IT"/>
        </w:rPr>
        <w:t>Lync Online Piano 1 (SL per Utente)</w:t>
      </w:r>
      <w:r w:rsidRPr="003F471F">
        <w:rPr>
          <w:lang w:val="it-IT"/>
        </w:rPr>
        <w:tab/>
      </w:r>
      <w:r>
        <w:fldChar w:fldCharType="begin"/>
      </w:r>
      <w:r w:rsidRPr="003F471F">
        <w:rPr>
          <w:lang w:val="it-IT"/>
        </w:rPr>
        <w:instrText xml:space="preserve"> PAGEREF _Toc371663389 \h </w:instrText>
      </w:r>
      <w:r>
        <w:fldChar w:fldCharType="separate"/>
      </w:r>
      <w:r w:rsidR="003F471F" w:rsidRPr="003F471F">
        <w:rPr>
          <w:lang w:val="it-IT"/>
        </w:rPr>
        <w:t>20</w:t>
      </w:r>
      <w:r>
        <w:fldChar w:fldCharType="end"/>
      </w:r>
    </w:p>
    <w:p w14:paraId="15D29AE5"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Lync Online Piano 2 (SL per Utente)</w:t>
      </w:r>
      <w:r w:rsidRPr="00F04412">
        <w:rPr>
          <w:lang w:val="it-IT"/>
        </w:rPr>
        <w:tab/>
      </w:r>
      <w:r>
        <w:fldChar w:fldCharType="begin"/>
      </w:r>
      <w:r w:rsidRPr="00F04412">
        <w:rPr>
          <w:lang w:val="it-IT"/>
        </w:rPr>
        <w:instrText xml:space="preserve"> PAGEREF _Toc371663390 \h </w:instrText>
      </w:r>
      <w:r>
        <w:fldChar w:fldCharType="separate"/>
      </w:r>
      <w:r w:rsidR="003F471F" w:rsidRPr="00F04412">
        <w:rPr>
          <w:lang w:val="it-IT"/>
        </w:rPr>
        <w:t>20</w:t>
      </w:r>
      <w:r>
        <w:fldChar w:fldCharType="end"/>
      </w:r>
    </w:p>
    <w:p w14:paraId="4B8D0DF8"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Lync Online Piano 3 (SL per Utente)</w:t>
      </w:r>
      <w:r w:rsidRPr="00F04412">
        <w:rPr>
          <w:lang w:val="it-IT"/>
        </w:rPr>
        <w:tab/>
      </w:r>
      <w:r>
        <w:fldChar w:fldCharType="begin"/>
      </w:r>
      <w:r w:rsidRPr="00F04412">
        <w:rPr>
          <w:lang w:val="it-IT"/>
        </w:rPr>
        <w:instrText xml:space="preserve"> PAGEREF _Toc371663391 \h </w:instrText>
      </w:r>
      <w:r>
        <w:fldChar w:fldCharType="separate"/>
      </w:r>
      <w:r w:rsidR="003F471F" w:rsidRPr="00F04412">
        <w:rPr>
          <w:lang w:val="it-IT"/>
        </w:rPr>
        <w:t>21</w:t>
      </w:r>
      <w:r>
        <w:fldChar w:fldCharType="end"/>
      </w:r>
    </w:p>
    <w:p w14:paraId="7D5DC792"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Lync Online Piano 3A (SL per Utente)</w:t>
      </w:r>
      <w:r w:rsidRPr="00F04412">
        <w:rPr>
          <w:lang w:val="it-IT"/>
        </w:rPr>
        <w:tab/>
      </w:r>
      <w:r>
        <w:fldChar w:fldCharType="begin"/>
      </w:r>
      <w:r w:rsidRPr="00F04412">
        <w:rPr>
          <w:lang w:val="it-IT"/>
        </w:rPr>
        <w:instrText xml:space="preserve"> PAGEREF _Toc371663392 \h </w:instrText>
      </w:r>
      <w:r>
        <w:fldChar w:fldCharType="separate"/>
      </w:r>
      <w:r w:rsidR="003F471F" w:rsidRPr="00F04412">
        <w:rPr>
          <w:lang w:val="it-IT"/>
        </w:rPr>
        <w:t>21</w:t>
      </w:r>
      <w:r>
        <w:fldChar w:fldCharType="end"/>
      </w:r>
    </w:p>
    <w:p w14:paraId="11BE1C23" w14:textId="77777777" w:rsidR="00B03E8D" w:rsidRPr="00F04412" w:rsidRDefault="00B03E8D">
      <w:pPr>
        <w:pStyle w:val="TOC2"/>
        <w:rPr>
          <w:rFonts w:asciiTheme="minorHAnsi" w:eastAsiaTheme="minorEastAsia" w:hAnsiTheme="minorHAnsi" w:cstheme="minorBidi"/>
          <w:sz w:val="22"/>
          <w:szCs w:val="22"/>
          <w:lang w:val="fr-FR"/>
        </w:rPr>
      </w:pPr>
      <w:r w:rsidRPr="00F04412">
        <w:rPr>
          <w:rFonts w:cs="Tahoma"/>
          <w:lang w:val="fr-FR"/>
        </w:rPr>
        <w:t>Lync Server 2013</w:t>
      </w:r>
      <w:r w:rsidRPr="00F04412">
        <w:rPr>
          <w:lang w:val="fr-FR"/>
        </w:rPr>
        <w:tab/>
      </w:r>
      <w:r>
        <w:fldChar w:fldCharType="begin"/>
      </w:r>
      <w:r w:rsidRPr="00F04412">
        <w:rPr>
          <w:lang w:val="fr-FR"/>
        </w:rPr>
        <w:instrText xml:space="preserve"> PAGEREF _Toc371663393 \h </w:instrText>
      </w:r>
      <w:r>
        <w:fldChar w:fldCharType="separate"/>
      </w:r>
      <w:r w:rsidR="003F471F" w:rsidRPr="00F04412">
        <w:rPr>
          <w:lang w:val="fr-FR"/>
        </w:rPr>
        <w:t>21</w:t>
      </w:r>
      <w:r>
        <w:fldChar w:fldCharType="end"/>
      </w:r>
    </w:p>
    <w:p w14:paraId="454A1400" w14:textId="77777777" w:rsidR="00B03E8D" w:rsidRPr="00F04412" w:rsidRDefault="00B03E8D">
      <w:pPr>
        <w:pStyle w:val="TOC2"/>
        <w:rPr>
          <w:rFonts w:asciiTheme="minorHAnsi" w:eastAsiaTheme="minorEastAsia" w:hAnsiTheme="minorHAnsi" w:cstheme="minorBidi"/>
          <w:sz w:val="22"/>
          <w:szCs w:val="22"/>
          <w:lang w:val="fr-FR"/>
        </w:rPr>
      </w:pPr>
      <w:r w:rsidRPr="00F04412">
        <w:rPr>
          <w:rFonts w:cs="Tahoma"/>
          <w:lang w:val="fr-FR"/>
        </w:rPr>
        <w:t>Enterprise CAL per Lync Server 2013</w:t>
      </w:r>
      <w:r w:rsidRPr="00F04412">
        <w:rPr>
          <w:lang w:val="fr-FR"/>
        </w:rPr>
        <w:tab/>
      </w:r>
      <w:r>
        <w:fldChar w:fldCharType="begin"/>
      </w:r>
      <w:r w:rsidRPr="00F04412">
        <w:rPr>
          <w:lang w:val="fr-FR"/>
        </w:rPr>
        <w:instrText xml:space="preserve"> PAGEREF _Toc371663394 \h </w:instrText>
      </w:r>
      <w:r>
        <w:fldChar w:fldCharType="separate"/>
      </w:r>
      <w:r w:rsidR="003F471F" w:rsidRPr="00F04412">
        <w:rPr>
          <w:lang w:val="fr-FR"/>
        </w:rPr>
        <w:t>21</w:t>
      </w:r>
      <w:r>
        <w:fldChar w:fldCharType="end"/>
      </w:r>
    </w:p>
    <w:p w14:paraId="45EE2110" w14:textId="77777777" w:rsidR="00B03E8D" w:rsidRPr="00F04412" w:rsidRDefault="00B03E8D">
      <w:pPr>
        <w:pStyle w:val="TOC2"/>
        <w:rPr>
          <w:rFonts w:asciiTheme="minorHAnsi" w:eastAsiaTheme="minorEastAsia" w:hAnsiTheme="minorHAnsi" w:cstheme="minorBidi"/>
          <w:sz w:val="22"/>
          <w:szCs w:val="22"/>
          <w:lang w:val="fr-FR"/>
        </w:rPr>
      </w:pPr>
      <w:r w:rsidRPr="00F04412">
        <w:rPr>
          <w:rFonts w:cs="Tahoma"/>
          <w:lang w:val="fr-FR"/>
        </w:rPr>
        <w:t>Plus CAL per Lync Server 2013</w:t>
      </w:r>
      <w:r w:rsidRPr="00F04412">
        <w:rPr>
          <w:lang w:val="fr-FR"/>
        </w:rPr>
        <w:tab/>
      </w:r>
      <w:r>
        <w:fldChar w:fldCharType="begin"/>
      </w:r>
      <w:r w:rsidRPr="00F04412">
        <w:rPr>
          <w:lang w:val="fr-FR"/>
        </w:rPr>
        <w:instrText xml:space="preserve"> PAGEREF _Toc371663395 \h </w:instrText>
      </w:r>
      <w:r>
        <w:fldChar w:fldCharType="separate"/>
      </w:r>
      <w:r w:rsidR="003F471F" w:rsidRPr="00F04412">
        <w:rPr>
          <w:lang w:val="fr-FR"/>
        </w:rPr>
        <w:t>21</w:t>
      </w:r>
      <w:r>
        <w:fldChar w:fldCharType="end"/>
      </w:r>
    </w:p>
    <w:p w14:paraId="5B772D37"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Standard CAL per Lync Server 2013</w:t>
      </w:r>
      <w:r w:rsidRPr="00F04412">
        <w:rPr>
          <w:lang w:val="it-IT"/>
        </w:rPr>
        <w:tab/>
      </w:r>
      <w:r>
        <w:fldChar w:fldCharType="begin"/>
      </w:r>
      <w:r w:rsidRPr="00F04412">
        <w:rPr>
          <w:lang w:val="it-IT"/>
        </w:rPr>
        <w:instrText xml:space="preserve"> PAGEREF _Toc371663396 \h </w:instrText>
      </w:r>
      <w:r>
        <w:fldChar w:fldCharType="separate"/>
      </w:r>
      <w:r w:rsidR="003F471F" w:rsidRPr="00F04412">
        <w:rPr>
          <w:lang w:val="it-IT"/>
        </w:rPr>
        <w:t>21</w:t>
      </w:r>
      <w:r>
        <w:fldChar w:fldCharType="end"/>
      </w:r>
    </w:p>
    <w:p w14:paraId="060E7EFC"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Enterprise Additive CAL per Microsoft Dynamics AX 2012 R2 (Utente e Dispositivo)</w:t>
      </w:r>
      <w:r w:rsidRPr="00F04412">
        <w:rPr>
          <w:lang w:val="it-IT"/>
        </w:rPr>
        <w:tab/>
      </w:r>
      <w:r>
        <w:fldChar w:fldCharType="begin"/>
      </w:r>
      <w:r w:rsidRPr="00F04412">
        <w:rPr>
          <w:lang w:val="it-IT"/>
        </w:rPr>
        <w:instrText xml:space="preserve"> PAGEREF _Toc371663397 \h </w:instrText>
      </w:r>
      <w:r>
        <w:fldChar w:fldCharType="separate"/>
      </w:r>
      <w:r w:rsidR="003F471F" w:rsidRPr="00F04412">
        <w:rPr>
          <w:lang w:val="it-IT"/>
        </w:rPr>
        <w:t>21</w:t>
      </w:r>
      <w:r>
        <w:fldChar w:fldCharType="end"/>
      </w:r>
    </w:p>
    <w:p w14:paraId="752A4184"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Enterprise CAL per Microsoft Dynamics AX 2012 R2 (Utente e Dispositivo)</w:t>
      </w:r>
      <w:r w:rsidRPr="00F04412">
        <w:rPr>
          <w:lang w:val="it-IT"/>
        </w:rPr>
        <w:tab/>
      </w:r>
      <w:r>
        <w:fldChar w:fldCharType="begin"/>
      </w:r>
      <w:r w:rsidRPr="00F04412">
        <w:rPr>
          <w:lang w:val="it-IT"/>
        </w:rPr>
        <w:instrText xml:space="preserve"> PAGEREF _Toc371663398 \h </w:instrText>
      </w:r>
      <w:r>
        <w:fldChar w:fldCharType="separate"/>
      </w:r>
      <w:r w:rsidR="003F471F" w:rsidRPr="00F04412">
        <w:rPr>
          <w:lang w:val="it-IT"/>
        </w:rPr>
        <w:t>21</w:t>
      </w:r>
      <w:r>
        <w:fldChar w:fldCharType="end"/>
      </w:r>
    </w:p>
    <w:p w14:paraId="71205917"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Functional Additive CAL per Microsoft Dynamics AX 2012 R2 (Utente e Dispositivo)</w:t>
      </w:r>
      <w:r w:rsidRPr="00F04412">
        <w:rPr>
          <w:lang w:val="it-IT"/>
        </w:rPr>
        <w:tab/>
      </w:r>
      <w:r>
        <w:fldChar w:fldCharType="begin"/>
      </w:r>
      <w:r w:rsidRPr="00F04412">
        <w:rPr>
          <w:lang w:val="it-IT"/>
        </w:rPr>
        <w:instrText xml:space="preserve"> PAGEREF _Toc371663399 \h </w:instrText>
      </w:r>
      <w:r>
        <w:fldChar w:fldCharType="separate"/>
      </w:r>
      <w:r w:rsidR="003F471F" w:rsidRPr="00F04412">
        <w:rPr>
          <w:lang w:val="it-IT"/>
        </w:rPr>
        <w:t>21</w:t>
      </w:r>
      <w:r>
        <w:fldChar w:fldCharType="end"/>
      </w:r>
    </w:p>
    <w:p w14:paraId="0106B62E"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Functional CAL per Microsoft Dynamics AX 2012 R2 (Utente e Dispositivo)</w:t>
      </w:r>
      <w:r w:rsidRPr="00F04412">
        <w:rPr>
          <w:lang w:val="it-IT"/>
        </w:rPr>
        <w:tab/>
      </w:r>
      <w:r>
        <w:fldChar w:fldCharType="begin"/>
      </w:r>
      <w:r w:rsidRPr="00F04412">
        <w:rPr>
          <w:lang w:val="it-IT"/>
        </w:rPr>
        <w:instrText xml:space="preserve"> PAGEREF _Toc371663400 \h </w:instrText>
      </w:r>
      <w:r>
        <w:fldChar w:fldCharType="separate"/>
      </w:r>
      <w:r w:rsidR="003F471F" w:rsidRPr="00F04412">
        <w:rPr>
          <w:lang w:val="it-IT"/>
        </w:rPr>
        <w:t>21</w:t>
      </w:r>
      <w:r>
        <w:fldChar w:fldCharType="end"/>
      </w:r>
    </w:p>
    <w:p w14:paraId="7987A8B2"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Self Serve CAL per Microsoft Dynamics AX 2012 R2 (Utente e Dispositivo)</w:t>
      </w:r>
      <w:r w:rsidRPr="00F04412">
        <w:rPr>
          <w:lang w:val="it-IT"/>
        </w:rPr>
        <w:tab/>
      </w:r>
      <w:r>
        <w:fldChar w:fldCharType="begin"/>
      </w:r>
      <w:r w:rsidRPr="00F04412">
        <w:rPr>
          <w:lang w:val="it-IT"/>
        </w:rPr>
        <w:instrText xml:space="preserve"> PAGEREF _Toc371663401 \h </w:instrText>
      </w:r>
      <w:r>
        <w:fldChar w:fldCharType="separate"/>
      </w:r>
      <w:r w:rsidR="003F471F" w:rsidRPr="00F04412">
        <w:rPr>
          <w:lang w:val="it-IT"/>
        </w:rPr>
        <w:t>21</w:t>
      </w:r>
      <w:r>
        <w:fldChar w:fldCharType="end"/>
      </w:r>
    </w:p>
    <w:p w14:paraId="645FB863" w14:textId="77777777" w:rsidR="00B03E8D" w:rsidRPr="00F04412" w:rsidRDefault="00B03E8D">
      <w:pPr>
        <w:pStyle w:val="TOC2"/>
        <w:rPr>
          <w:rFonts w:asciiTheme="minorHAnsi" w:eastAsiaTheme="minorEastAsia" w:hAnsiTheme="minorHAnsi" w:cstheme="minorBidi"/>
          <w:sz w:val="22"/>
          <w:szCs w:val="22"/>
          <w:lang w:val="pt-BR"/>
        </w:rPr>
      </w:pPr>
      <w:r w:rsidRPr="00F04412">
        <w:rPr>
          <w:rFonts w:cs="Tahoma"/>
          <w:lang w:val="pt-BR"/>
        </w:rPr>
        <w:t>Microsoft Dynamics AX 2012 R2 Server</w:t>
      </w:r>
      <w:r w:rsidRPr="00F04412">
        <w:rPr>
          <w:lang w:val="pt-BR"/>
        </w:rPr>
        <w:tab/>
      </w:r>
      <w:r>
        <w:fldChar w:fldCharType="begin"/>
      </w:r>
      <w:r w:rsidRPr="00F04412">
        <w:rPr>
          <w:lang w:val="pt-BR"/>
        </w:rPr>
        <w:instrText xml:space="preserve"> PAGEREF _Toc371663402 \h </w:instrText>
      </w:r>
      <w:r>
        <w:fldChar w:fldCharType="separate"/>
      </w:r>
      <w:r w:rsidR="003F471F" w:rsidRPr="00F04412">
        <w:rPr>
          <w:lang w:val="pt-BR"/>
        </w:rPr>
        <w:t>21</w:t>
      </w:r>
      <w:r>
        <w:fldChar w:fldCharType="end"/>
      </w:r>
    </w:p>
    <w:p w14:paraId="47319FC8"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Task Additive CAL per Microsoft Dynamics AX 2012 R2 (Utente e Dispositivo)</w:t>
      </w:r>
      <w:r w:rsidRPr="00F04412">
        <w:rPr>
          <w:lang w:val="it-IT"/>
        </w:rPr>
        <w:tab/>
      </w:r>
      <w:r>
        <w:fldChar w:fldCharType="begin"/>
      </w:r>
      <w:r w:rsidRPr="00F04412">
        <w:rPr>
          <w:lang w:val="it-IT"/>
        </w:rPr>
        <w:instrText xml:space="preserve"> PAGEREF _Toc371663403 \h </w:instrText>
      </w:r>
      <w:r>
        <w:fldChar w:fldCharType="separate"/>
      </w:r>
      <w:r w:rsidR="003F471F" w:rsidRPr="00F04412">
        <w:rPr>
          <w:lang w:val="it-IT"/>
        </w:rPr>
        <w:t>21</w:t>
      </w:r>
      <w:r>
        <w:fldChar w:fldCharType="end"/>
      </w:r>
    </w:p>
    <w:p w14:paraId="55CB921F"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Task CAL per Microsoft Dynamics AX 2012 R2 (Utente e Dispositivo)</w:t>
      </w:r>
      <w:r w:rsidRPr="00F04412">
        <w:rPr>
          <w:lang w:val="it-IT"/>
        </w:rPr>
        <w:tab/>
      </w:r>
      <w:r>
        <w:fldChar w:fldCharType="begin"/>
      </w:r>
      <w:r w:rsidRPr="00F04412">
        <w:rPr>
          <w:lang w:val="it-IT"/>
        </w:rPr>
        <w:instrText xml:space="preserve"> PAGEREF _Toc371663404 \h </w:instrText>
      </w:r>
      <w:r>
        <w:fldChar w:fldCharType="separate"/>
      </w:r>
      <w:r w:rsidR="003F471F" w:rsidRPr="00F04412">
        <w:rPr>
          <w:lang w:val="it-IT"/>
        </w:rPr>
        <w:t>21</w:t>
      </w:r>
      <w:r>
        <w:fldChar w:fldCharType="end"/>
      </w:r>
    </w:p>
    <w:p w14:paraId="7DB1A0A0"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CAL per Microsoft Dynamics CRM 2013 Basic (Utente e Dispositivo)</w:t>
      </w:r>
      <w:r w:rsidRPr="00F04412">
        <w:rPr>
          <w:lang w:val="it-IT"/>
        </w:rPr>
        <w:tab/>
      </w:r>
      <w:r>
        <w:fldChar w:fldCharType="begin"/>
      </w:r>
      <w:r w:rsidRPr="00F04412">
        <w:rPr>
          <w:lang w:val="it-IT"/>
        </w:rPr>
        <w:instrText xml:space="preserve"> PAGEREF _Toc371663405 \h </w:instrText>
      </w:r>
      <w:r>
        <w:fldChar w:fldCharType="separate"/>
      </w:r>
      <w:r w:rsidR="003F471F" w:rsidRPr="00F04412">
        <w:rPr>
          <w:lang w:val="it-IT"/>
        </w:rPr>
        <w:t>21</w:t>
      </w:r>
      <w:r>
        <w:fldChar w:fldCharType="end"/>
      </w:r>
    </w:p>
    <w:p w14:paraId="226C1383"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CAL Aggiuntiva per l</w:t>
      </w:r>
      <w:r w:rsidR="001C4212" w:rsidRPr="00F04412">
        <w:rPr>
          <w:rFonts w:cs="Tahoma"/>
          <w:lang w:val="it-IT"/>
        </w:rPr>
        <w:t>’</w:t>
      </w:r>
      <w:r w:rsidRPr="00F04412">
        <w:rPr>
          <w:rFonts w:cs="Tahoma"/>
          <w:lang w:val="it-IT"/>
        </w:rPr>
        <w:t>Utilizzo di Microsoft Dynamics 2013 CRM Basic (Utente e Dispositivo)</w:t>
      </w:r>
      <w:r w:rsidRPr="00F04412">
        <w:rPr>
          <w:lang w:val="it-IT"/>
        </w:rPr>
        <w:tab/>
      </w:r>
      <w:r>
        <w:fldChar w:fldCharType="begin"/>
      </w:r>
      <w:r w:rsidRPr="00F04412">
        <w:rPr>
          <w:lang w:val="it-IT"/>
        </w:rPr>
        <w:instrText xml:space="preserve"> PAGEREF _Toc371663406 \h </w:instrText>
      </w:r>
      <w:r>
        <w:fldChar w:fldCharType="separate"/>
      </w:r>
      <w:r w:rsidR="003F471F" w:rsidRPr="00F04412">
        <w:rPr>
          <w:lang w:val="it-IT"/>
        </w:rPr>
        <w:t>21</w:t>
      </w:r>
      <w:r>
        <w:fldChar w:fldCharType="end"/>
      </w:r>
    </w:p>
    <w:p w14:paraId="273545F5"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CAL per Microsoft Dynamics 2013 CRM Essential</w:t>
      </w:r>
      <w:r w:rsidRPr="00F04412">
        <w:rPr>
          <w:lang w:val="it-IT"/>
        </w:rPr>
        <w:tab/>
      </w:r>
      <w:r>
        <w:fldChar w:fldCharType="begin"/>
      </w:r>
      <w:r w:rsidRPr="00F04412">
        <w:rPr>
          <w:lang w:val="it-IT"/>
        </w:rPr>
        <w:instrText xml:space="preserve"> PAGEREF _Toc371663407 \h </w:instrText>
      </w:r>
      <w:r>
        <w:fldChar w:fldCharType="separate"/>
      </w:r>
      <w:r w:rsidR="003F471F" w:rsidRPr="00F04412">
        <w:rPr>
          <w:lang w:val="it-IT"/>
        </w:rPr>
        <w:t>21</w:t>
      </w:r>
      <w:r>
        <w:fldChar w:fldCharType="end"/>
      </w:r>
    </w:p>
    <w:p w14:paraId="41C998C7"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CAL per Microsoft Dynamics 2013 CRM Professional (Utente e Dispositivo)</w:t>
      </w:r>
      <w:r w:rsidRPr="00F04412">
        <w:rPr>
          <w:lang w:val="it-IT"/>
        </w:rPr>
        <w:tab/>
      </w:r>
      <w:r>
        <w:fldChar w:fldCharType="begin"/>
      </w:r>
      <w:r w:rsidRPr="00F04412">
        <w:rPr>
          <w:lang w:val="it-IT"/>
        </w:rPr>
        <w:instrText xml:space="preserve"> PAGEREF _Toc371663408 \h </w:instrText>
      </w:r>
      <w:r>
        <w:fldChar w:fldCharType="separate"/>
      </w:r>
      <w:r w:rsidR="003F471F" w:rsidRPr="00F04412">
        <w:rPr>
          <w:lang w:val="it-IT"/>
        </w:rPr>
        <w:t>21</w:t>
      </w:r>
      <w:r>
        <w:fldChar w:fldCharType="end"/>
      </w:r>
    </w:p>
    <w:p w14:paraId="6DF6DCC9"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CAL Aggiuntiva per l</w:t>
      </w:r>
      <w:r w:rsidR="001C4212" w:rsidRPr="00F04412">
        <w:rPr>
          <w:rFonts w:cs="Tahoma"/>
          <w:lang w:val="it-IT"/>
        </w:rPr>
        <w:t>’</w:t>
      </w:r>
      <w:r w:rsidRPr="00F04412">
        <w:rPr>
          <w:rFonts w:cs="Tahoma"/>
          <w:lang w:val="it-IT"/>
        </w:rPr>
        <w:t>Utilizzo di Microsoft Dynamics 2013 CRM Professional (Utente e Dispositivo)</w:t>
      </w:r>
      <w:r w:rsidRPr="00F04412">
        <w:rPr>
          <w:lang w:val="it-IT"/>
        </w:rPr>
        <w:tab/>
      </w:r>
      <w:r>
        <w:fldChar w:fldCharType="begin"/>
      </w:r>
      <w:r w:rsidRPr="00F04412">
        <w:rPr>
          <w:lang w:val="it-IT"/>
        </w:rPr>
        <w:instrText xml:space="preserve"> PAGEREF _Toc371663409 \h </w:instrText>
      </w:r>
      <w:r>
        <w:fldChar w:fldCharType="separate"/>
      </w:r>
      <w:r w:rsidR="003F471F" w:rsidRPr="00F04412">
        <w:rPr>
          <w:lang w:val="it-IT"/>
        </w:rPr>
        <w:t>21</w:t>
      </w:r>
      <w:r>
        <w:fldChar w:fldCharType="end"/>
      </w:r>
    </w:p>
    <w:p w14:paraId="32810AB3"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Microsoft Dynamics CRM 2013 Server</w:t>
      </w:r>
      <w:r w:rsidRPr="00F04412">
        <w:rPr>
          <w:lang w:val="it-IT"/>
        </w:rPr>
        <w:tab/>
      </w:r>
      <w:r>
        <w:fldChar w:fldCharType="begin"/>
      </w:r>
      <w:r w:rsidRPr="00F04412">
        <w:rPr>
          <w:lang w:val="it-IT"/>
        </w:rPr>
        <w:instrText xml:space="preserve"> PAGEREF _Toc371663410 \h </w:instrText>
      </w:r>
      <w:r>
        <w:fldChar w:fldCharType="separate"/>
      </w:r>
      <w:r w:rsidR="003F471F" w:rsidRPr="00F04412">
        <w:rPr>
          <w:lang w:val="it-IT"/>
        </w:rPr>
        <w:t>21</w:t>
      </w:r>
      <w:r>
        <w:fldChar w:fldCharType="end"/>
      </w:r>
    </w:p>
    <w:p w14:paraId="1B843C49"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Microsoft Dynamics CRM Workgroup Server 2013</w:t>
      </w:r>
      <w:r w:rsidRPr="00F04412">
        <w:rPr>
          <w:lang w:val="it-IT"/>
        </w:rPr>
        <w:tab/>
      </w:r>
      <w:r>
        <w:fldChar w:fldCharType="begin"/>
      </w:r>
      <w:r w:rsidRPr="00F04412">
        <w:rPr>
          <w:lang w:val="it-IT"/>
        </w:rPr>
        <w:instrText xml:space="preserve"> PAGEREF _Toc371663411 \h </w:instrText>
      </w:r>
      <w:r>
        <w:fldChar w:fldCharType="separate"/>
      </w:r>
      <w:r w:rsidR="003F471F" w:rsidRPr="00F04412">
        <w:rPr>
          <w:lang w:val="it-IT"/>
        </w:rPr>
        <w:t>21</w:t>
      </w:r>
      <w:r>
        <w:fldChar w:fldCharType="end"/>
      </w:r>
    </w:p>
    <w:p w14:paraId="3B098C65"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Microsoft Dynamics CRM 2011 External Connector</w:t>
      </w:r>
      <w:r w:rsidRPr="00F04412">
        <w:rPr>
          <w:lang w:val="it-IT"/>
        </w:rPr>
        <w:tab/>
      </w:r>
      <w:r>
        <w:fldChar w:fldCharType="begin"/>
      </w:r>
      <w:r w:rsidRPr="00F04412">
        <w:rPr>
          <w:lang w:val="it-IT"/>
        </w:rPr>
        <w:instrText xml:space="preserve"> PAGEREF _Toc371663412 \h </w:instrText>
      </w:r>
      <w:r>
        <w:fldChar w:fldCharType="separate"/>
      </w:r>
      <w:r w:rsidR="003F471F" w:rsidRPr="00F04412">
        <w:rPr>
          <w:lang w:val="it-IT"/>
        </w:rPr>
        <w:t>21</w:t>
      </w:r>
      <w:r>
        <w:fldChar w:fldCharType="end"/>
      </w:r>
    </w:p>
    <w:p w14:paraId="785BCA4A"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Microsoft Dynamics CRM Online Basic</w:t>
      </w:r>
      <w:r w:rsidRPr="00F04412">
        <w:rPr>
          <w:lang w:val="it-IT"/>
        </w:rPr>
        <w:tab/>
      </w:r>
      <w:r>
        <w:fldChar w:fldCharType="begin"/>
      </w:r>
      <w:r w:rsidRPr="00F04412">
        <w:rPr>
          <w:lang w:val="it-IT"/>
        </w:rPr>
        <w:instrText xml:space="preserve"> PAGEREF _Toc371663413 \h </w:instrText>
      </w:r>
      <w:r>
        <w:fldChar w:fldCharType="separate"/>
      </w:r>
      <w:r w:rsidR="003F471F" w:rsidRPr="00F04412">
        <w:rPr>
          <w:lang w:val="it-IT"/>
        </w:rPr>
        <w:t>21</w:t>
      </w:r>
      <w:r>
        <w:fldChar w:fldCharType="end"/>
      </w:r>
    </w:p>
    <w:p w14:paraId="746C83A6" w14:textId="77777777" w:rsidR="00B03E8D" w:rsidRDefault="00B03E8D">
      <w:pPr>
        <w:pStyle w:val="TOC2"/>
        <w:rPr>
          <w:rFonts w:asciiTheme="minorHAnsi" w:eastAsiaTheme="minorEastAsia" w:hAnsiTheme="minorHAnsi" w:cstheme="minorBidi"/>
          <w:sz w:val="22"/>
          <w:szCs w:val="22"/>
        </w:rPr>
      </w:pPr>
      <w:r w:rsidRPr="000F4C33">
        <w:rPr>
          <w:rFonts w:cs="Tahoma"/>
        </w:rPr>
        <w:t>Microsoft Dynamics CRM Online Enhanced Support</w:t>
      </w:r>
      <w:r>
        <w:tab/>
      </w:r>
      <w:r>
        <w:fldChar w:fldCharType="begin"/>
      </w:r>
      <w:r>
        <w:instrText xml:space="preserve"> PAGEREF _Toc371663414 \h </w:instrText>
      </w:r>
      <w:r>
        <w:fldChar w:fldCharType="separate"/>
      </w:r>
      <w:r w:rsidR="003F471F">
        <w:t>21</w:t>
      </w:r>
      <w:r>
        <w:fldChar w:fldCharType="end"/>
      </w:r>
    </w:p>
    <w:p w14:paraId="0203606F" w14:textId="77777777" w:rsidR="00B03E8D" w:rsidRDefault="00B03E8D">
      <w:pPr>
        <w:pStyle w:val="TOC2"/>
        <w:rPr>
          <w:rFonts w:asciiTheme="minorHAnsi" w:eastAsiaTheme="minorEastAsia" w:hAnsiTheme="minorHAnsi" w:cstheme="minorBidi"/>
          <w:sz w:val="22"/>
          <w:szCs w:val="22"/>
        </w:rPr>
      </w:pPr>
      <w:r w:rsidRPr="000F4C33">
        <w:rPr>
          <w:rFonts w:cs="Tahoma"/>
        </w:rPr>
        <w:t>Microsoft Dynamics CRM Online Essential</w:t>
      </w:r>
      <w:r>
        <w:tab/>
      </w:r>
      <w:r>
        <w:fldChar w:fldCharType="begin"/>
      </w:r>
      <w:r>
        <w:instrText xml:space="preserve"> PAGEREF _Toc371663415 \h </w:instrText>
      </w:r>
      <w:r>
        <w:fldChar w:fldCharType="separate"/>
      </w:r>
      <w:r w:rsidR="003F471F">
        <w:t>21</w:t>
      </w:r>
      <w:r>
        <w:fldChar w:fldCharType="end"/>
      </w:r>
    </w:p>
    <w:p w14:paraId="56972FCE" w14:textId="77777777" w:rsidR="00B03E8D" w:rsidRDefault="00B03E8D">
      <w:pPr>
        <w:pStyle w:val="TOC2"/>
        <w:rPr>
          <w:rFonts w:asciiTheme="minorHAnsi" w:eastAsiaTheme="minorEastAsia" w:hAnsiTheme="minorHAnsi" w:cstheme="minorBidi"/>
          <w:sz w:val="22"/>
          <w:szCs w:val="22"/>
        </w:rPr>
      </w:pPr>
      <w:r w:rsidRPr="000F4C33">
        <w:rPr>
          <w:rFonts w:cs="Tahoma"/>
        </w:rPr>
        <w:t>Microsoft Dynamics CRM Online</w:t>
      </w:r>
      <w:r w:rsidR="001F5E7D">
        <w:rPr>
          <w:rFonts w:cs="Tahoma"/>
        </w:rPr>
        <w:t xml:space="preserve"> </w:t>
      </w:r>
      <w:r w:rsidRPr="000F4C33">
        <w:rPr>
          <w:rFonts w:cs="Tahoma"/>
        </w:rPr>
        <w:t>Non-Production Instance</w:t>
      </w:r>
      <w:r>
        <w:tab/>
      </w:r>
      <w:r>
        <w:fldChar w:fldCharType="begin"/>
      </w:r>
      <w:r>
        <w:instrText xml:space="preserve"> PAGEREF _Toc371663416 \h </w:instrText>
      </w:r>
      <w:r>
        <w:fldChar w:fldCharType="separate"/>
      </w:r>
      <w:r w:rsidR="003F471F">
        <w:t>21</w:t>
      </w:r>
      <w:r>
        <w:fldChar w:fldCharType="end"/>
      </w:r>
    </w:p>
    <w:p w14:paraId="0111D57F" w14:textId="77777777" w:rsidR="00B03E8D" w:rsidRDefault="00B03E8D">
      <w:pPr>
        <w:pStyle w:val="TOC2"/>
        <w:rPr>
          <w:rFonts w:asciiTheme="minorHAnsi" w:eastAsiaTheme="minorEastAsia" w:hAnsiTheme="minorHAnsi" w:cstheme="minorBidi"/>
          <w:sz w:val="22"/>
          <w:szCs w:val="22"/>
        </w:rPr>
      </w:pPr>
      <w:r w:rsidRPr="000F4C33">
        <w:rPr>
          <w:rFonts w:cs="Tahoma"/>
        </w:rPr>
        <w:t>Microsoft Dynamics CRM Online Production Instance</w:t>
      </w:r>
      <w:r>
        <w:tab/>
      </w:r>
      <w:r>
        <w:fldChar w:fldCharType="begin"/>
      </w:r>
      <w:r>
        <w:instrText xml:space="preserve"> PAGEREF _Toc371663417 \h </w:instrText>
      </w:r>
      <w:r>
        <w:fldChar w:fldCharType="separate"/>
      </w:r>
      <w:r w:rsidR="003F471F">
        <w:t>21</w:t>
      </w:r>
      <w:r>
        <w:fldChar w:fldCharType="end"/>
      </w:r>
    </w:p>
    <w:p w14:paraId="24382395" w14:textId="77777777" w:rsidR="00B03E8D" w:rsidRDefault="00B03E8D">
      <w:pPr>
        <w:pStyle w:val="TOC2"/>
        <w:rPr>
          <w:rFonts w:asciiTheme="minorHAnsi" w:eastAsiaTheme="minorEastAsia" w:hAnsiTheme="minorHAnsi" w:cstheme="minorBidi"/>
          <w:sz w:val="22"/>
          <w:szCs w:val="22"/>
        </w:rPr>
      </w:pPr>
      <w:r w:rsidRPr="000F4C33">
        <w:rPr>
          <w:rFonts w:cs="Tahoma"/>
        </w:rPr>
        <w:t>Microsoft Dynamics CRM Online Professional</w:t>
      </w:r>
      <w:r>
        <w:tab/>
      </w:r>
      <w:r>
        <w:fldChar w:fldCharType="begin"/>
      </w:r>
      <w:r>
        <w:instrText xml:space="preserve"> PAGEREF _Toc371663418 \h </w:instrText>
      </w:r>
      <w:r>
        <w:fldChar w:fldCharType="separate"/>
      </w:r>
      <w:r w:rsidR="003F471F">
        <w:t>21</w:t>
      </w:r>
      <w:r>
        <w:fldChar w:fldCharType="end"/>
      </w:r>
    </w:p>
    <w:p w14:paraId="18B9D8AF" w14:textId="77777777" w:rsidR="00B03E8D" w:rsidRDefault="00B03E8D">
      <w:pPr>
        <w:pStyle w:val="TOC2"/>
        <w:rPr>
          <w:rFonts w:asciiTheme="minorHAnsi" w:eastAsiaTheme="minorEastAsia" w:hAnsiTheme="minorHAnsi" w:cstheme="minorBidi"/>
          <w:sz w:val="22"/>
          <w:szCs w:val="22"/>
        </w:rPr>
      </w:pPr>
      <w:r w:rsidRPr="000F4C33">
        <w:rPr>
          <w:rFonts w:cs="Tahoma"/>
        </w:rPr>
        <w:t>Microsoft Dynamics CRM Online Professional Direct Support</w:t>
      </w:r>
      <w:r>
        <w:tab/>
      </w:r>
      <w:r>
        <w:fldChar w:fldCharType="begin"/>
      </w:r>
      <w:r>
        <w:instrText xml:space="preserve"> PAGEREF _Toc371663419 \h </w:instrText>
      </w:r>
      <w:r>
        <w:fldChar w:fldCharType="separate"/>
      </w:r>
      <w:r w:rsidR="003F471F">
        <w:t>21</w:t>
      </w:r>
      <w:r>
        <w:fldChar w:fldCharType="end"/>
      </w:r>
    </w:p>
    <w:p w14:paraId="2CBA707A" w14:textId="77777777" w:rsidR="00B03E8D" w:rsidRDefault="00B03E8D">
      <w:pPr>
        <w:pStyle w:val="TOC2"/>
        <w:rPr>
          <w:rFonts w:asciiTheme="minorHAnsi" w:eastAsiaTheme="minorEastAsia" w:hAnsiTheme="minorHAnsi" w:cstheme="minorBidi"/>
          <w:sz w:val="22"/>
          <w:szCs w:val="22"/>
        </w:rPr>
      </w:pPr>
      <w:r w:rsidRPr="000F4C33">
        <w:rPr>
          <w:rFonts w:cs="Tahoma"/>
        </w:rPr>
        <w:t>Microsoft Dynamics CRM Online Storage</w:t>
      </w:r>
      <w:r>
        <w:tab/>
      </w:r>
      <w:r>
        <w:fldChar w:fldCharType="begin"/>
      </w:r>
      <w:r>
        <w:instrText xml:space="preserve"> PAGEREF _Toc371663420 \h </w:instrText>
      </w:r>
      <w:r>
        <w:fldChar w:fldCharType="separate"/>
      </w:r>
      <w:r w:rsidR="003F471F">
        <w:t>21</w:t>
      </w:r>
      <w:r>
        <w:fldChar w:fldCharType="end"/>
      </w:r>
    </w:p>
    <w:p w14:paraId="0779D1AD" w14:textId="77777777" w:rsidR="00B03E8D" w:rsidRDefault="00B03E8D">
      <w:pPr>
        <w:pStyle w:val="TOC2"/>
        <w:rPr>
          <w:rFonts w:asciiTheme="minorHAnsi" w:eastAsiaTheme="minorEastAsia" w:hAnsiTheme="minorHAnsi" w:cstheme="minorBidi"/>
          <w:sz w:val="22"/>
          <w:szCs w:val="22"/>
        </w:rPr>
      </w:pPr>
      <w:r w:rsidRPr="000F4C33">
        <w:rPr>
          <w:rFonts w:cs="Tahoma"/>
        </w:rPr>
        <w:t>Microsoft Learning E-Reference Library (SL per Utente)</w:t>
      </w:r>
      <w:r>
        <w:tab/>
      </w:r>
      <w:r>
        <w:fldChar w:fldCharType="begin"/>
      </w:r>
      <w:r>
        <w:instrText xml:space="preserve"> PAGEREF _Toc371663421 \h </w:instrText>
      </w:r>
      <w:r>
        <w:fldChar w:fldCharType="separate"/>
      </w:r>
      <w:r w:rsidR="003F471F">
        <w:t>21</w:t>
      </w:r>
      <w:r>
        <w:fldChar w:fldCharType="end"/>
      </w:r>
    </w:p>
    <w:p w14:paraId="676D9168" w14:textId="77777777" w:rsidR="00B03E8D" w:rsidRDefault="00B03E8D">
      <w:pPr>
        <w:pStyle w:val="TOC2"/>
        <w:rPr>
          <w:rFonts w:asciiTheme="minorHAnsi" w:eastAsiaTheme="minorEastAsia" w:hAnsiTheme="minorHAnsi" w:cstheme="minorBidi"/>
          <w:sz w:val="22"/>
          <w:szCs w:val="22"/>
        </w:rPr>
      </w:pPr>
      <w:r w:rsidRPr="000F4C33">
        <w:rPr>
          <w:rFonts w:cs="Tahoma"/>
        </w:rPr>
        <w:t>Microsoft Learning IT Academy (SL Servizi)</w:t>
      </w:r>
      <w:r>
        <w:tab/>
      </w:r>
      <w:r>
        <w:fldChar w:fldCharType="begin"/>
      </w:r>
      <w:r>
        <w:instrText xml:space="preserve"> PAGEREF _Toc371663422 \h </w:instrText>
      </w:r>
      <w:r>
        <w:fldChar w:fldCharType="separate"/>
      </w:r>
      <w:r w:rsidR="003F471F">
        <w:t>21</w:t>
      </w:r>
      <w:r>
        <w:fldChar w:fldCharType="end"/>
      </w:r>
    </w:p>
    <w:p w14:paraId="717023C6" w14:textId="77777777" w:rsidR="00B03E8D" w:rsidRDefault="00B03E8D">
      <w:pPr>
        <w:pStyle w:val="TOC2"/>
        <w:rPr>
          <w:rFonts w:asciiTheme="minorHAnsi" w:eastAsiaTheme="minorEastAsia" w:hAnsiTheme="minorHAnsi" w:cstheme="minorBidi"/>
          <w:sz w:val="22"/>
          <w:szCs w:val="22"/>
        </w:rPr>
      </w:pPr>
      <w:r w:rsidRPr="000F4C33">
        <w:rPr>
          <w:rFonts w:cs="Tahoma"/>
        </w:rPr>
        <w:t>Microsoft Learning MCP 1 Exam Vouchers (SL Servizi)</w:t>
      </w:r>
      <w:r>
        <w:tab/>
      </w:r>
      <w:r>
        <w:fldChar w:fldCharType="begin"/>
      </w:r>
      <w:r>
        <w:instrText xml:space="preserve"> PAGEREF _Toc371663423 \h </w:instrText>
      </w:r>
      <w:r>
        <w:fldChar w:fldCharType="separate"/>
      </w:r>
      <w:r w:rsidR="003F471F">
        <w:t>22</w:t>
      </w:r>
      <w:r>
        <w:fldChar w:fldCharType="end"/>
      </w:r>
    </w:p>
    <w:p w14:paraId="7619551E" w14:textId="77777777" w:rsidR="00B03E8D" w:rsidRDefault="00B03E8D">
      <w:pPr>
        <w:pStyle w:val="TOC2"/>
        <w:rPr>
          <w:rFonts w:asciiTheme="minorHAnsi" w:eastAsiaTheme="minorEastAsia" w:hAnsiTheme="minorHAnsi" w:cstheme="minorBidi"/>
          <w:sz w:val="22"/>
          <w:szCs w:val="22"/>
        </w:rPr>
      </w:pPr>
      <w:r w:rsidRPr="000F4C33">
        <w:rPr>
          <w:rFonts w:cs="Tahoma"/>
        </w:rPr>
        <w:t>Microsoft Learning MCP 30 Exam Vouchers (SL per Utente)</w:t>
      </w:r>
      <w:r>
        <w:tab/>
      </w:r>
      <w:r>
        <w:fldChar w:fldCharType="begin"/>
      </w:r>
      <w:r>
        <w:instrText xml:space="preserve"> PAGEREF _Toc371663424 \h </w:instrText>
      </w:r>
      <w:r>
        <w:fldChar w:fldCharType="separate"/>
      </w:r>
      <w:r w:rsidR="003F471F">
        <w:t>22</w:t>
      </w:r>
      <w:r>
        <w:fldChar w:fldCharType="end"/>
      </w:r>
    </w:p>
    <w:p w14:paraId="44E35935" w14:textId="77777777" w:rsidR="00B03E8D" w:rsidRDefault="00B03E8D">
      <w:pPr>
        <w:pStyle w:val="TOC2"/>
        <w:rPr>
          <w:rFonts w:asciiTheme="minorHAnsi" w:eastAsiaTheme="minorEastAsia" w:hAnsiTheme="minorHAnsi" w:cstheme="minorBidi"/>
          <w:sz w:val="22"/>
          <w:szCs w:val="22"/>
        </w:rPr>
      </w:pPr>
      <w:r w:rsidRPr="000F4C33">
        <w:rPr>
          <w:rFonts w:cs="Tahoma"/>
        </w:rPr>
        <w:t>Microsoft Learning MOS 500 Exam Site License (SL Servizi)</w:t>
      </w:r>
      <w:r>
        <w:tab/>
      </w:r>
      <w:r>
        <w:fldChar w:fldCharType="begin"/>
      </w:r>
      <w:r>
        <w:instrText xml:space="preserve"> PAGEREF _Toc371663425 \h </w:instrText>
      </w:r>
      <w:r>
        <w:fldChar w:fldCharType="separate"/>
      </w:r>
      <w:r w:rsidR="003F471F">
        <w:t>22</w:t>
      </w:r>
      <w:r>
        <w:fldChar w:fldCharType="end"/>
      </w:r>
    </w:p>
    <w:p w14:paraId="60E22317" w14:textId="77777777" w:rsidR="00B03E8D" w:rsidRDefault="00B03E8D">
      <w:pPr>
        <w:pStyle w:val="TOC2"/>
        <w:rPr>
          <w:rFonts w:asciiTheme="minorHAnsi" w:eastAsiaTheme="minorEastAsia" w:hAnsiTheme="minorHAnsi" w:cstheme="minorBidi"/>
          <w:sz w:val="22"/>
          <w:szCs w:val="22"/>
        </w:rPr>
      </w:pPr>
      <w:r w:rsidRPr="000F4C33">
        <w:rPr>
          <w:rFonts w:cs="Tahoma"/>
        </w:rPr>
        <w:t>Microsoft Learning MTA 250 Exam Site License (SL Servizi)</w:t>
      </w:r>
      <w:r>
        <w:tab/>
      </w:r>
      <w:r>
        <w:fldChar w:fldCharType="begin"/>
      </w:r>
      <w:r>
        <w:instrText xml:space="preserve"> PAGEREF _Toc371663426 \h </w:instrText>
      </w:r>
      <w:r>
        <w:fldChar w:fldCharType="separate"/>
      </w:r>
      <w:r w:rsidR="003F471F">
        <w:t>22</w:t>
      </w:r>
      <w:r>
        <w:fldChar w:fldCharType="end"/>
      </w:r>
    </w:p>
    <w:p w14:paraId="5E690537" w14:textId="77777777" w:rsidR="00B03E8D" w:rsidRDefault="00B03E8D">
      <w:pPr>
        <w:pStyle w:val="TOC2"/>
        <w:rPr>
          <w:rFonts w:asciiTheme="minorHAnsi" w:eastAsiaTheme="minorEastAsia" w:hAnsiTheme="minorHAnsi" w:cstheme="minorBidi"/>
          <w:sz w:val="22"/>
          <w:szCs w:val="22"/>
        </w:rPr>
      </w:pPr>
      <w:r w:rsidRPr="000F4C33">
        <w:rPr>
          <w:rFonts w:cs="Tahoma"/>
        </w:rPr>
        <w:t>Microsoft Office Audit and Control Management Server</w:t>
      </w:r>
      <w:r>
        <w:tab/>
      </w:r>
      <w:r>
        <w:fldChar w:fldCharType="begin"/>
      </w:r>
      <w:r>
        <w:instrText xml:space="preserve"> PAGEREF _Toc371663427 \h </w:instrText>
      </w:r>
      <w:r>
        <w:fldChar w:fldCharType="separate"/>
      </w:r>
      <w:r w:rsidR="003F471F">
        <w:t>22</w:t>
      </w:r>
      <w:r>
        <w:fldChar w:fldCharType="end"/>
      </w:r>
    </w:p>
    <w:p w14:paraId="7DFA0357" w14:textId="77777777" w:rsidR="00B03E8D" w:rsidRDefault="00B03E8D">
      <w:pPr>
        <w:pStyle w:val="TOC2"/>
        <w:rPr>
          <w:rFonts w:asciiTheme="minorHAnsi" w:eastAsiaTheme="minorEastAsia" w:hAnsiTheme="minorHAnsi" w:cstheme="minorBidi"/>
          <w:sz w:val="22"/>
          <w:szCs w:val="22"/>
        </w:rPr>
      </w:pPr>
      <w:r w:rsidRPr="000F4C33">
        <w:rPr>
          <w:rFonts w:cs="Tahoma"/>
        </w:rPr>
        <w:t>Microsoft Translator API</w:t>
      </w:r>
      <w:r>
        <w:tab/>
      </w:r>
      <w:r>
        <w:fldChar w:fldCharType="begin"/>
      </w:r>
      <w:r>
        <w:instrText xml:space="preserve"> PAGEREF _Toc371663428 \h </w:instrText>
      </w:r>
      <w:r>
        <w:fldChar w:fldCharType="separate"/>
      </w:r>
      <w:r w:rsidR="003F471F">
        <w:t>22</w:t>
      </w:r>
      <w:r>
        <w:fldChar w:fldCharType="end"/>
      </w:r>
    </w:p>
    <w:p w14:paraId="7B5F242D" w14:textId="77777777" w:rsidR="00B03E8D" w:rsidRDefault="00B03E8D">
      <w:pPr>
        <w:pStyle w:val="TOC2"/>
        <w:rPr>
          <w:rFonts w:asciiTheme="minorHAnsi" w:eastAsiaTheme="minorEastAsia" w:hAnsiTheme="minorHAnsi" w:cstheme="minorBidi"/>
          <w:sz w:val="22"/>
          <w:szCs w:val="22"/>
        </w:rPr>
      </w:pPr>
      <w:r w:rsidRPr="000F4C33">
        <w:rPr>
          <w:rFonts w:cs="Tahoma"/>
        </w:rPr>
        <w:t>Office 365 Midsize Business (SL per Utente)</w:t>
      </w:r>
      <w:r>
        <w:tab/>
      </w:r>
      <w:r>
        <w:fldChar w:fldCharType="begin"/>
      </w:r>
      <w:r>
        <w:instrText xml:space="preserve"> PAGEREF _Toc371663429 \h </w:instrText>
      </w:r>
      <w:r>
        <w:fldChar w:fldCharType="separate"/>
      </w:r>
      <w:r w:rsidR="003F471F">
        <w:t>22</w:t>
      </w:r>
      <w:r>
        <w:fldChar w:fldCharType="end"/>
      </w:r>
    </w:p>
    <w:p w14:paraId="0BFBD10E" w14:textId="77777777" w:rsidR="00B03E8D" w:rsidRDefault="00B03E8D">
      <w:pPr>
        <w:pStyle w:val="TOC2"/>
        <w:rPr>
          <w:rFonts w:asciiTheme="minorHAnsi" w:eastAsiaTheme="minorEastAsia" w:hAnsiTheme="minorHAnsi" w:cstheme="minorBidi"/>
          <w:sz w:val="22"/>
          <w:szCs w:val="22"/>
        </w:rPr>
      </w:pPr>
      <w:r w:rsidRPr="000F4C33">
        <w:rPr>
          <w:rFonts w:cs="Tahoma"/>
        </w:rPr>
        <w:t>Office 365 Education A2 (SL per Utente)</w:t>
      </w:r>
      <w:r>
        <w:tab/>
      </w:r>
      <w:r>
        <w:fldChar w:fldCharType="begin"/>
      </w:r>
      <w:r>
        <w:instrText xml:space="preserve"> PAGEREF _Toc371663430 \h </w:instrText>
      </w:r>
      <w:r>
        <w:fldChar w:fldCharType="separate"/>
      </w:r>
      <w:r w:rsidR="003F471F">
        <w:t>22</w:t>
      </w:r>
      <w:r>
        <w:fldChar w:fldCharType="end"/>
      </w:r>
    </w:p>
    <w:p w14:paraId="568FBF8E" w14:textId="77777777" w:rsidR="00B03E8D" w:rsidRDefault="00B03E8D">
      <w:pPr>
        <w:pStyle w:val="TOC2"/>
        <w:rPr>
          <w:rFonts w:asciiTheme="minorHAnsi" w:eastAsiaTheme="minorEastAsia" w:hAnsiTheme="minorHAnsi" w:cstheme="minorBidi"/>
          <w:sz w:val="22"/>
          <w:szCs w:val="22"/>
        </w:rPr>
      </w:pPr>
      <w:r w:rsidRPr="000F4C33">
        <w:rPr>
          <w:rFonts w:cs="Tahoma"/>
        </w:rPr>
        <w:t>Office 365 Education A3 (SL per Utente)</w:t>
      </w:r>
      <w:r>
        <w:tab/>
      </w:r>
      <w:r>
        <w:fldChar w:fldCharType="begin"/>
      </w:r>
      <w:r>
        <w:instrText xml:space="preserve"> PAGEREF _Toc371663431 \h </w:instrText>
      </w:r>
      <w:r>
        <w:fldChar w:fldCharType="separate"/>
      </w:r>
      <w:r w:rsidR="003F471F">
        <w:t>22</w:t>
      </w:r>
      <w:r>
        <w:fldChar w:fldCharType="end"/>
      </w:r>
    </w:p>
    <w:p w14:paraId="63B490A3" w14:textId="77777777" w:rsidR="00B03E8D" w:rsidRDefault="00B03E8D">
      <w:pPr>
        <w:pStyle w:val="TOC2"/>
        <w:rPr>
          <w:rFonts w:asciiTheme="minorHAnsi" w:eastAsiaTheme="minorEastAsia" w:hAnsiTheme="minorHAnsi" w:cstheme="minorBidi"/>
          <w:sz w:val="22"/>
          <w:szCs w:val="22"/>
        </w:rPr>
      </w:pPr>
      <w:r w:rsidRPr="000F4C33">
        <w:rPr>
          <w:rFonts w:cs="Tahoma"/>
        </w:rPr>
        <w:t>Office 365 Education A4 (SL per Utente)</w:t>
      </w:r>
      <w:r>
        <w:tab/>
      </w:r>
      <w:r>
        <w:fldChar w:fldCharType="begin"/>
      </w:r>
      <w:r>
        <w:instrText xml:space="preserve"> PAGEREF _Toc371663432 \h </w:instrText>
      </w:r>
      <w:r>
        <w:fldChar w:fldCharType="separate"/>
      </w:r>
      <w:r w:rsidR="003F471F">
        <w:t>22</w:t>
      </w:r>
      <w:r>
        <w:fldChar w:fldCharType="end"/>
      </w:r>
    </w:p>
    <w:p w14:paraId="211DA631" w14:textId="77777777" w:rsidR="00B03E8D" w:rsidRDefault="00B03E8D">
      <w:pPr>
        <w:pStyle w:val="TOC2"/>
        <w:rPr>
          <w:rFonts w:asciiTheme="minorHAnsi" w:eastAsiaTheme="minorEastAsia" w:hAnsiTheme="minorHAnsi" w:cstheme="minorBidi"/>
          <w:sz w:val="22"/>
          <w:szCs w:val="22"/>
        </w:rPr>
      </w:pPr>
      <w:r w:rsidRPr="000F4C33">
        <w:rPr>
          <w:rFonts w:cs="Tahoma"/>
        </w:rPr>
        <w:t>Office 365 Enterprise E3 (SL per Utente)</w:t>
      </w:r>
      <w:r>
        <w:tab/>
      </w:r>
      <w:r>
        <w:fldChar w:fldCharType="begin"/>
      </w:r>
      <w:r>
        <w:instrText xml:space="preserve"> PAGEREF _Toc371663433 \h </w:instrText>
      </w:r>
      <w:r>
        <w:fldChar w:fldCharType="separate"/>
      </w:r>
      <w:r w:rsidR="003F471F">
        <w:t>22</w:t>
      </w:r>
      <w:r>
        <w:fldChar w:fldCharType="end"/>
      </w:r>
    </w:p>
    <w:p w14:paraId="097D6BA3"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Office 365 Enterprise E4 (SL per Utente)</w:t>
      </w:r>
      <w:r w:rsidRPr="00F04412">
        <w:rPr>
          <w:lang w:val="it-IT"/>
        </w:rPr>
        <w:tab/>
      </w:r>
      <w:r>
        <w:fldChar w:fldCharType="begin"/>
      </w:r>
      <w:r w:rsidRPr="00F04412">
        <w:rPr>
          <w:lang w:val="it-IT"/>
        </w:rPr>
        <w:instrText xml:space="preserve"> PAGEREF _Toc371663434 \h </w:instrText>
      </w:r>
      <w:r>
        <w:fldChar w:fldCharType="separate"/>
      </w:r>
      <w:r w:rsidR="003F471F" w:rsidRPr="00F04412">
        <w:rPr>
          <w:lang w:val="it-IT"/>
        </w:rPr>
        <w:t>22</w:t>
      </w:r>
      <w:r>
        <w:fldChar w:fldCharType="end"/>
      </w:r>
    </w:p>
    <w:p w14:paraId="2B970AC8"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Componente Aggiuntivo di Office 365 Enterprise E1, E3, E4 (SL per Utente)</w:t>
      </w:r>
      <w:r w:rsidRPr="00F04412">
        <w:rPr>
          <w:lang w:val="it-IT"/>
        </w:rPr>
        <w:tab/>
      </w:r>
      <w:r>
        <w:fldChar w:fldCharType="begin"/>
      </w:r>
      <w:r w:rsidRPr="00F04412">
        <w:rPr>
          <w:lang w:val="it-IT"/>
        </w:rPr>
        <w:instrText xml:space="preserve"> PAGEREF _Toc371663435 \h </w:instrText>
      </w:r>
      <w:r>
        <w:fldChar w:fldCharType="separate"/>
      </w:r>
      <w:r w:rsidR="003F471F" w:rsidRPr="00F04412">
        <w:rPr>
          <w:lang w:val="it-IT"/>
        </w:rPr>
        <w:t>22</w:t>
      </w:r>
      <w:r>
        <w:fldChar w:fldCharType="end"/>
      </w:r>
    </w:p>
    <w:p w14:paraId="5C8567D5"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Office 365 Enterprise E3, E4 senza Componente Aggiuntivo di Office Pro Plus (SL per Utente)</w:t>
      </w:r>
      <w:r w:rsidRPr="00F04412">
        <w:rPr>
          <w:lang w:val="it-IT"/>
        </w:rPr>
        <w:tab/>
      </w:r>
      <w:r>
        <w:fldChar w:fldCharType="begin"/>
      </w:r>
      <w:r w:rsidRPr="00F04412">
        <w:rPr>
          <w:lang w:val="it-IT"/>
        </w:rPr>
        <w:instrText xml:space="preserve"> PAGEREF _Toc371663436 \h </w:instrText>
      </w:r>
      <w:r>
        <w:fldChar w:fldCharType="separate"/>
      </w:r>
      <w:r w:rsidR="003F471F" w:rsidRPr="00F04412">
        <w:rPr>
          <w:lang w:val="it-IT"/>
        </w:rPr>
        <w:t>22</w:t>
      </w:r>
      <w:r>
        <w:fldChar w:fldCharType="end"/>
      </w:r>
    </w:p>
    <w:p w14:paraId="04ED33AB"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Office 365 Enterprise K1 (SL per Utente)</w:t>
      </w:r>
      <w:r w:rsidRPr="00F04412">
        <w:rPr>
          <w:lang w:val="it-IT"/>
        </w:rPr>
        <w:tab/>
      </w:r>
      <w:r>
        <w:fldChar w:fldCharType="begin"/>
      </w:r>
      <w:r w:rsidRPr="00F04412">
        <w:rPr>
          <w:lang w:val="it-IT"/>
        </w:rPr>
        <w:instrText xml:space="preserve"> PAGEREF _Toc371663437 \h </w:instrText>
      </w:r>
      <w:r>
        <w:fldChar w:fldCharType="separate"/>
      </w:r>
      <w:r w:rsidR="003F471F" w:rsidRPr="00F04412">
        <w:rPr>
          <w:lang w:val="it-IT"/>
        </w:rPr>
        <w:t>22</w:t>
      </w:r>
      <w:r>
        <w:fldChar w:fldCharType="end"/>
      </w:r>
    </w:p>
    <w:p w14:paraId="1AE3E012"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Office 365 Government G1, G3, G4 (SL per Utente)</w:t>
      </w:r>
      <w:r w:rsidRPr="00F04412">
        <w:rPr>
          <w:lang w:val="it-IT"/>
        </w:rPr>
        <w:tab/>
      </w:r>
      <w:r>
        <w:fldChar w:fldCharType="begin"/>
      </w:r>
      <w:r w:rsidRPr="00F04412">
        <w:rPr>
          <w:lang w:val="it-IT"/>
        </w:rPr>
        <w:instrText xml:space="preserve"> PAGEREF _Toc371663438 \h </w:instrText>
      </w:r>
      <w:r>
        <w:fldChar w:fldCharType="separate"/>
      </w:r>
      <w:r w:rsidR="003F471F" w:rsidRPr="00F04412">
        <w:rPr>
          <w:lang w:val="it-IT"/>
        </w:rPr>
        <w:t>22</w:t>
      </w:r>
      <w:r>
        <w:fldChar w:fldCharType="end"/>
      </w:r>
    </w:p>
    <w:p w14:paraId="3317C7D0"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Componente Aggiuntivo di Office 365 Government G1, G3, G4 (SL per Utente)</w:t>
      </w:r>
      <w:r w:rsidRPr="00F04412">
        <w:rPr>
          <w:lang w:val="it-IT"/>
        </w:rPr>
        <w:tab/>
      </w:r>
      <w:r>
        <w:fldChar w:fldCharType="begin"/>
      </w:r>
      <w:r w:rsidRPr="00F04412">
        <w:rPr>
          <w:lang w:val="it-IT"/>
        </w:rPr>
        <w:instrText xml:space="preserve"> PAGEREF _Toc371663439 \h </w:instrText>
      </w:r>
      <w:r>
        <w:fldChar w:fldCharType="separate"/>
      </w:r>
      <w:r w:rsidR="003F471F" w:rsidRPr="00F04412">
        <w:rPr>
          <w:lang w:val="it-IT"/>
        </w:rPr>
        <w:t>22</w:t>
      </w:r>
      <w:r>
        <w:fldChar w:fldCharType="end"/>
      </w:r>
    </w:p>
    <w:p w14:paraId="32595606"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Office 365 Government G3, G4 senza Componente Aggiuntivo di Office Pro Plus (SL per Utente)</w:t>
      </w:r>
      <w:r w:rsidRPr="00F04412">
        <w:rPr>
          <w:lang w:val="it-IT"/>
        </w:rPr>
        <w:tab/>
      </w:r>
      <w:r>
        <w:fldChar w:fldCharType="begin"/>
      </w:r>
      <w:r w:rsidRPr="00F04412">
        <w:rPr>
          <w:lang w:val="it-IT"/>
        </w:rPr>
        <w:instrText xml:space="preserve"> PAGEREF _Toc371663440 \h </w:instrText>
      </w:r>
      <w:r>
        <w:fldChar w:fldCharType="separate"/>
      </w:r>
      <w:r w:rsidR="003F471F" w:rsidRPr="00F04412">
        <w:rPr>
          <w:lang w:val="it-IT"/>
        </w:rPr>
        <w:t>22</w:t>
      </w:r>
      <w:r>
        <w:fldChar w:fldCharType="end"/>
      </w:r>
    </w:p>
    <w:p w14:paraId="2845E764" w14:textId="77777777" w:rsidR="00B03E8D" w:rsidRDefault="00B03E8D">
      <w:pPr>
        <w:pStyle w:val="TOC2"/>
        <w:rPr>
          <w:rFonts w:asciiTheme="minorHAnsi" w:eastAsiaTheme="minorEastAsia" w:hAnsiTheme="minorHAnsi" w:cstheme="minorBidi"/>
          <w:sz w:val="22"/>
          <w:szCs w:val="22"/>
        </w:rPr>
      </w:pPr>
      <w:r w:rsidRPr="000F4C33">
        <w:rPr>
          <w:rFonts w:cs="Tahoma"/>
        </w:rPr>
        <w:t>Office Web Applications con SharePoint Piano 2A (SL per utente)</w:t>
      </w:r>
      <w:r>
        <w:tab/>
      </w:r>
      <w:r>
        <w:fldChar w:fldCharType="begin"/>
      </w:r>
      <w:r>
        <w:instrText xml:space="preserve"> PAGEREF _Toc371663441 \h </w:instrText>
      </w:r>
      <w:r>
        <w:fldChar w:fldCharType="separate"/>
      </w:r>
      <w:r w:rsidR="003F471F">
        <w:t>22</w:t>
      </w:r>
      <w:r>
        <w:fldChar w:fldCharType="end"/>
      </w:r>
    </w:p>
    <w:p w14:paraId="1CCABE8C" w14:textId="77777777" w:rsidR="00B03E8D" w:rsidRDefault="00B03E8D">
      <w:pPr>
        <w:pStyle w:val="TOC2"/>
        <w:rPr>
          <w:rFonts w:asciiTheme="minorHAnsi" w:eastAsiaTheme="minorEastAsia" w:hAnsiTheme="minorHAnsi" w:cstheme="minorBidi"/>
          <w:sz w:val="22"/>
          <w:szCs w:val="22"/>
        </w:rPr>
      </w:pPr>
      <w:r w:rsidRPr="000F4C33">
        <w:rPr>
          <w:rFonts w:cs="Tahoma"/>
        </w:rPr>
        <w:t>Project Online</w:t>
      </w:r>
      <w:r>
        <w:tab/>
      </w:r>
      <w:r>
        <w:fldChar w:fldCharType="begin"/>
      </w:r>
      <w:r>
        <w:instrText xml:space="preserve"> PAGEREF _Toc371663442 \h </w:instrText>
      </w:r>
      <w:r>
        <w:fldChar w:fldCharType="separate"/>
      </w:r>
      <w:r w:rsidR="003F471F">
        <w:t>22</w:t>
      </w:r>
      <w:r>
        <w:fldChar w:fldCharType="end"/>
      </w:r>
    </w:p>
    <w:p w14:paraId="28FCC4D2" w14:textId="77777777" w:rsidR="00B03E8D" w:rsidRDefault="00B03E8D">
      <w:pPr>
        <w:pStyle w:val="TOC2"/>
        <w:rPr>
          <w:rFonts w:asciiTheme="minorHAnsi" w:eastAsiaTheme="minorEastAsia" w:hAnsiTheme="minorHAnsi" w:cstheme="minorBidi"/>
          <w:sz w:val="22"/>
          <w:szCs w:val="22"/>
        </w:rPr>
      </w:pPr>
      <w:r w:rsidRPr="000F4C33">
        <w:rPr>
          <w:rFonts w:cs="Tahoma"/>
        </w:rPr>
        <w:t>Project Online A</w:t>
      </w:r>
      <w:r>
        <w:tab/>
      </w:r>
      <w:r>
        <w:fldChar w:fldCharType="begin"/>
      </w:r>
      <w:r>
        <w:instrText xml:space="preserve"> PAGEREF _Toc371663443 \h </w:instrText>
      </w:r>
      <w:r>
        <w:fldChar w:fldCharType="separate"/>
      </w:r>
      <w:r w:rsidR="003F471F">
        <w:t>22</w:t>
      </w:r>
      <w:r>
        <w:fldChar w:fldCharType="end"/>
      </w:r>
    </w:p>
    <w:p w14:paraId="04177C77" w14:textId="77777777" w:rsidR="00B03E8D" w:rsidRDefault="00B03E8D">
      <w:pPr>
        <w:pStyle w:val="TOC2"/>
        <w:rPr>
          <w:rFonts w:asciiTheme="minorHAnsi" w:eastAsiaTheme="minorEastAsia" w:hAnsiTheme="minorHAnsi" w:cstheme="minorBidi"/>
          <w:sz w:val="22"/>
          <w:szCs w:val="22"/>
        </w:rPr>
      </w:pPr>
      <w:r w:rsidRPr="000F4C33">
        <w:rPr>
          <w:rFonts w:cs="Tahoma"/>
        </w:rPr>
        <w:t>Project Server 2013</w:t>
      </w:r>
      <w:r>
        <w:tab/>
      </w:r>
      <w:r>
        <w:fldChar w:fldCharType="begin"/>
      </w:r>
      <w:r>
        <w:instrText xml:space="preserve"> PAGEREF _Toc371663444 \h </w:instrText>
      </w:r>
      <w:r>
        <w:fldChar w:fldCharType="separate"/>
      </w:r>
      <w:r w:rsidR="003F471F">
        <w:t>22</w:t>
      </w:r>
      <w:r>
        <w:fldChar w:fldCharType="end"/>
      </w:r>
    </w:p>
    <w:p w14:paraId="140EA259" w14:textId="77777777" w:rsidR="00B03E8D" w:rsidRDefault="00B03E8D">
      <w:pPr>
        <w:pStyle w:val="TOC2"/>
        <w:rPr>
          <w:rFonts w:asciiTheme="minorHAnsi" w:eastAsiaTheme="minorEastAsia" w:hAnsiTheme="minorHAnsi" w:cstheme="minorBidi"/>
          <w:sz w:val="22"/>
          <w:szCs w:val="22"/>
        </w:rPr>
      </w:pPr>
      <w:r w:rsidRPr="000F4C33">
        <w:rPr>
          <w:rFonts w:cs="Tahoma"/>
        </w:rPr>
        <w:t>CAL per Project Server 2013</w:t>
      </w:r>
      <w:r>
        <w:tab/>
      </w:r>
      <w:r>
        <w:fldChar w:fldCharType="begin"/>
      </w:r>
      <w:r>
        <w:instrText xml:space="preserve"> PAGEREF _Toc371663445 \h </w:instrText>
      </w:r>
      <w:r>
        <w:fldChar w:fldCharType="separate"/>
      </w:r>
      <w:r w:rsidR="003F471F">
        <w:t>22</w:t>
      </w:r>
      <w:r>
        <w:fldChar w:fldCharType="end"/>
      </w:r>
    </w:p>
    <w:p w14:paraId="1076DDE4" w14:textId="77777777" w:rsidR="00B03E8D" w:rsidRDefault="00B03E8D">
      <w:pPr>
        <w:pStyle w:val="TOC2"/>
        <w:rPr>
          <w:rFonts w:asciiTheme="minorHAnsi" w:eastAsiaTheme="minorEastAsia" w:hAnsiTheme="minorHAnsi" w:cstheme="minorBidi"/>
          <w:sz w:val="22"/>
          <w:szCs w:val="22"/>
        </w:rPr>
      </w:pPr>
      <w:r w:rsidRPr="000F4C33">
        <w:rPr>
          <w:rFonts w:cs="Tahoma"/>
        </w:rPr>
        <w:t>SharePoint™ Online Extra Storage 1 GB (SL Add-on)</w:t>
      </w:r>
      <w:r>
        <w:tab/>
      </w:r>
      <w:r>
        <w:fldChar w:fldCharType="begin"/>
      </w:r>
      <w:r>
        <w:instrText xml:space="preserve"> PAGEREF _Toc371663446 \h </w:instrText>
      </w:r>
      <w:r>
        <w:fldChar w:fldCharType="separate"/>
      </w:r>
      <w:r w:rsidR="003F471F">
        <w:t>22</w:t>
      </w:r>
      <w:r>
        <w:fldChar w:fldCharType="end"/>
      </w:r>
    </w:p>
    <w:p w14:paraId="3B2B3817" w14:textId="77777777" w:rsidR="00B03E8D" w:rsidRDefault="00B03E8D">
      <w:pPr>
        <w:pStyle w:val="TOC2"/>
        <w:rPr>
          <w:rFonts w:asciiTheme="minorHAnsi" w:eastAsiaTheme="minorEastAsia" w:hAnsiTheme="minorHAnsi" w:cstheme="minorBidi"/>
          <w:sz w:val="22"/>
          <w:szCs w:val="22"/>
        </w:rPr>
      </w:pPr>
      <w:r w:rsidRPr="000F4C33">
        <w:rPr>
          <w:rFonts w:cs="Tahoma"/>
        </w:rPr>
        <w:t>SharePoint™ Online Extra Storage 1 GB A (SL Add-on)</w:t>
      </w:r>
      <w:r>
        <w:tab/>
      </w:r>
      <w:r>
        <w:fldChar w:fldCharType="begin"/>
      </w:r>
      <w:r>
        <w:instrText xml:space="preserve"> PAGEREF _Toc371663447 \h </w:instrText>
      </w:r>
      <w:r>
        <w:fldChar w:fldCharType="separate"/>
      </w:r>
      <w:r w:rsidR="003F471F">
        <w:t>22</w:t>
      </w:r>
      <w:r>
        <w:fldChar w:fldCharType="end"/>
      </w:r>
    </w:p>
    <w:p w14:paraId="0413900B"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Componente Aggiuntivo di SharePoint™ Online Piano 1 (SL per Utente)</w:t>
      </w:r>
      <w:r w:rsidRPr="00F04412">
        <w:rPr>
          <w:lang w:val="it-IT"/>
        </w:rPr>
        <w:tab/>
      </w:r>
      <w:r>
        <w:fldChar w:fldCharType="begin"/>
      </w:r>
      <w:r w:rsidRPr="00F04412">
        <w:rPr>
          <w:lang w:val="it-IT"/>
        </w:rPr>
        <w:instrText xml:space="preserve"> PAGEREF _Toc371663448 \h </w:instrText>
      </w:r>
      <w:r>
        <w:fldChar w:fldCharType="separate"/>
      </w:r>
      <w:r w:rsidR="003F471F" w:rsidRPr="00F04412">
        <w:rPr>
          <w:lang w:val="it-IT"/>
        </w:rPr>
        <w:t>22</w:t>
      </w:r>
      <w:r>
        <w:fldChar w:fldCharType="end"/>
      </w:r>
    </w:p>
    <w:p w14:paraId="7D89A69F"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SharePoint™ Online Piano 1</w:t>
      </w:r>
      <w:r w:rsidR="001F5E7D" w:rsidRPr="00F04412">
        <w:rPr>
          <w:rFonts w:cs="Tahoma"/>
          <w:lang w:val="it-IT"/>
        </w:rPr>
        <w:t xml:space="preserve"> </w:t>
      </w:r>
      <w:r w:rsidRPr="00F04412">
        <w:rPr>
          <w:rFonts w:cs="Tahoma"/>
          <w:lang w:val="it-IT"/>
        </w:rPr>
        <w:t>(SL per Utente)</w:t>
      </w:r>
      <w:r w:rsidRPr="00F04412">
        <w:rPr>
          <w:lang w:val="it-IT"/>
        </w:rPr>
        <w:tab/>
      </w:r>
      <w:r>
        <w:fldChar w:fldCharType="begin"/>
      </w:r>
      <w:r w:rsidRPr="00F04412">
        <w:rPr>
          <w:lang w:val="it-IT"/>
        </w:rPr>
        <w:instrText xml:space="preserve"> PAGEREF _Toc371663449 \h </w:instrText>
      </w:r>
      <w:r>
        <w:fldChar w:fldCharType="separate"/>
      </w:r>
      <w:r w:rsidR="003F471F" w:rsidRPr="00F04412">
        <w:rPr>
          <w:lang w:val="it-IT"/>
        </w:rPr>
        <w:t>22</w:t>
      </w:r>
      <w:r>
        <w:fldChar w:fldCharType="end"/>
      </w:r>
    </w:p>
    <w:p w14:paraId="24CA1D8C"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SharePoint™ Online Piano 1 con Componente Aggiuntivo di Yammer (SL per Utente)</w:t>
      </w:r>
      <w:r w:rsidRPr="00F04412">
        <w:rPr>
          <w:lang w:val="it-IT"/>
        </w:rPr>
        <w:tab/>
      </w:r>
      <w:r>
        <w:fldChar w:fldCharType="begin"/>
      </w:r>
      <w:r w:rsidRPr="00F04412">
        <w:rPr>
          <w:lang w:val="it-IT"/>
        </w:rPr>
        <w:instrText xml:space="preserve"> PAGEREF _Toc371663450 \h </w:instrText>
      </w:r>
      <w:r>
        <w:fldChar w:fldCharType="separate"/>
      </w:r>
      <w:r w:rsidR="003F471F" w:rsidRPr="00F04412">
        <w:rPr>
          <w:lang w:val="it-IT"/>
        </w:rPr>
        <w:t>23</w:t>
      </w:r>
      <w:r>
        <w:fldChar w:fldCharType="end"/>
      </w:r>
    </w:p>
    <w:p w14:paraId="78DC3A08"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SharePoint™ Online Piano 2</w:t>
      </w:r>
      <w:r w:rsidR="001F5E7D" w:rsidRPr="00F04412">
        <w:rPr>
          <w:rFonts w:cs="Tahoma"/>
          <w:lang w:val="it-IT"/>
        </w:rPr>
        <w:t xml:space="preserve"> </w:t>
      </w:r>
      <w:r w:rsidRPr="00F04412">
        <w:rPr>
          <w:rFonts w:cs="Tahoma"/>
          <w:lang w:val="it-IT"/>
        </w:rPr>
        <w:t>(SL per Utente)</w:t>
      </w:r>
      <w:r w:rsidRPr="00F04412">
        <w:rPr>
          <w:lang w:val="it-IT"/>
        </w:rPr>
        <w:tab/>
      </w:r>
      <w:r>
        <w:fldChar w:fldCharType="begin"/>
      </w:r>
      <w:r w:rsidRPr="00F04412">
        <w:rPr>
          <w:lang w:val="it-IT"/>
        </w:rPr>
        <w:instrText xml:space="preserve"> PAGEREF _Toc371663451 \h </w:instrText>
      </w:r>
      <w:r>
        <w:fldChar w:fldCharType="separate"/>
      </w:r>
      <w:r w:rsidR="003F471F" w:rsidRPr="00F04412">
        <w:rPr>
          <w:lang w:val="it-IT"/>
        </w:rPr>
        <w:t>23</w:t>
      </w:r>
      <w:r>
        <w:fldChar w:fldCharType="end"/>
      </w:r>
    </w:p>
    <w:p w14:paraId="33AB2B42" w14:textId="77777777" w:rsidR="00B03E8D" w:rsidRDefault="00B03E8D">
      <w:pPr>
        <w:pStyle w:val="TOC2"/>
        <w:rPr>
          <w:rFonts w:asciiTheme="minorHAnsi" w:eastAsiaTheme="minorEastAsia" w:hAnsiTheme="minorHAnsi" w:cstheme="minorBidi"/>
          <w:sz w:val="22"/>
          <w:szCs w:val="22"/>
        </w:rPr>
      </w:pPr>
      <w:r w:rsidRPr="000F4C33">
        <w:rPr>
          <w:rFonts w:cs="Tahoma"/>
        </w:rPr>
        <w:t>SharePoint™ Server 2013</w:t>
      </w:r>
      <w:r>
        <w:tab/>
      </w:r>
      <w:r>
        <w:fldChar w:fldCharType="begin"/>
      </w:r>
      <w:r>
        <w:instrText xml:space="preserve"> PAGEREF _Toc371663452 \h </w:instrText>
      </w:r>
      <w:r>
        <w:fldChar w:fldCharType="separate"/>
      </w:r>
      <w:r w:rsidR="003F471F">
        <w:t>23</w:t>
      </w:r>
      <w:r>
        <w:fldChar w:fldCharType="end"/>
      </w:r>
    </w:p>
    <w:p w14:paraId="48A7619C" w14:textId="77777777" w:rsidR="00B03E8D" w:rsidRDefault="00B03E8D">
      <w:pPr>
        <w:pStyle w:val="TOC2"/>
        <w:rPr>
          <w:rFonts w:asciiTheme="minorHAnsi" w:eastAsiaTheme="minorEastAsia" w:hAnsiTheme="minorHAnsi" w:cstheme="minorBidi"/>
          <w:sz w:val="22"/>
          <w:szCs w:val="22"/>
        </w:rPr>
      </w:pPr>
      <w:r w:rsidRPr="000F4C33">
        <w:rPr>
          <w:rFonts w:cs="Tahoma"/>
        </w:rPr>
        <w:t>Enterprise CAL per SharePoint™ Server 2013</w:t>
      </w:r>
      <w:r>
        <w:tab/>
      </w:r>
      <w:r>
        <w:fldChar w:fldCharType="begin"/>
      </w:r>
      <w:r>
        <w:instrText xml:space="preserve"> PAGEREF _Toc371663453 \h </w:instrText>
      </w:r>
      <w:r>
        <w:fldChar w:fldCharType="separate"/>
      </w:r>
      <w:r w:rsidR="003F471F">
        <w:t>23</w:t>
      </w:r>
      <w:r>
        <w:fldChar w:fldCharType="end"/>
      </w:r>
    </w:p>
    <w:p w14:paraId="58588752" w14:textId="77777777" w:rsidR="00B03E8D" w:rsidRDefault="00B03E8D">
      <w:pPr>
        <w:pStyle w:val="TOC2"/>
        <w:rPr>
          <w:rFonts w:asciiTheme="minorHAnsi" w:eastAsiaTheme="minorEastAsia" w:hAnsiTheme="minorHAnsi" w:cstheme="minorBidi"/>
          <w:sz w:val="22"/>
          <w:szCs w:val="22"/>
        </w:rPr>
      </w:pPr>
      <w:r w:rsidRPr="000F4C33">
        <w:rPr>
          <w:rFonts w:cs="Tahoma"/>
        </w:rPr>
        <w:t>Standard CAL per SharePoint™ Server 2013</w:t>
      </w:r>
      <w:r>
        <w:tab/>
      </w:r>
      <w:r>
        <w:fldChar w:fldCharType="begin"/>
      </w:r>
      <w:r>
        <w:instrText xml:space="preserve"> PAGEREF _Toc371663454 \h </w:instrText>
      </w:r>
      <w:r>
        <w:fldChar w:fldCharType="separate"/>
      </w:r>
      <w:r w:rsidR="003F471F">
        <w:t>23</w:t>
      </w:r>
      <w:r>
        <w:fldChar w:fldCharType="end"/>
      </w:r>
    </w:p>
    <w:p w14:paraId="574C32F9"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1 Licenza per Processore per SQL Server</w:t>
      </w:r>
      <w:r w:rsidRPr="00F04412">
        <w:rPr>
          <w:rFonts w:eastAsia="Times New Roman" w:cs="Tahoma"/>
          <w:color w:val="000000"/>
          <w:vertAlign w:val="superscript"/>
          <w:lang w:val="it-IT"/>
        </w:rPr>
        <w:t>®</w:t>
      </w:r>
      <w:r w:rsidRPr="00F04412">
        <w:rPr>
          <w:rFonts w:cs="Tahoma"/>
          <w:lang w:val="it-IT"/>
        </w:rPr>
        <w:t xml:space="preserve"> 2008 R2 Datacenter</w:t>
      </w:r>
      <w:r w:rsidRPr="00F04412">
        <w:rPr>
          <w:lang w:val="it-IT"/>
        </w:rPr>
        <w:tab/>
      </w:r>
      <w:r>
        <w:fldChar w:fldCharType="begin"/>
      </w:r>
      <w:r w:rsidRPr="00F04412">
        <w:rPr>
          <w:lang w:val="it-IT"/>
        </w:rPr>
        <w:instrText xml:space="preserve"> PAGEREF _Toc371663455 \h </w:instrText>
      </w:r>
      <w:r>
        <w:fldChar w:fldCharType="separate"/>
      </w:r>
      <w:r w:rsidR="003F471F" w:rsidRPr="00F04412">
        <w:rPr>
          <w:lang w:val="it-IT"/>
        </w:rPr>
        <w:t>23</w:t>
      </w:r>
      <w:r>
        <w:fldChar w:fldCharType="end"/>
      </w:r>
    </w:p>
    <w:p w14:paraId="214C60A9" w14:textId="77777777" w:rsidR="00B03E8D" w:rsidRDefault="00B03E8D">
      <w:pPr>
        <w:pStyle w:val="TOC2"/>
        <w:rPr>
          <w:rFonts w:asciiTheme="minorHAnsi" w:eastAsiaTheme="minorEastAsia" w:hAnsiTheme="minorHAnsi" w:cstheme="minorBidi"/>
          <w:sz w:val="22"/>
          <w:szCs w:val="22"/>
        </w:rPr>
      </w:pPr>
      <w:r w:rsidRPr="000F4C33">
        <w:rPr>
          <w:rFonts w:cs="Tahoma"/>
        </w:rPr>
        <w:t>SQL Server</w:t>
      </w:r>
      <w:r w:rsidRPr="000F4C33">
        <w:rPr>
          <w:rFonts w:eastAsia="Times New Roman" w:cs="Tahoma"/>
          <w:color w:val="000000"/>
          <w:vertAlign w:val="superscript"/>
        </w:rPr>
        <w:t>®</w:t>
      </w:r>
      <w:r w:rsidRPr="000F4C33">
        <w:rPr>
          <w:rFonts w:cs="Tahoma"/>
        </w:rPr>
        <w:t xml:space="preserve"> 2008 R2 Small Business</w:t>
      </w:r>
      <w:r>
        <w:tab/>
      </w:r>
      <w:r>
        <w:fldChar w:fldCharType="begin"/>
      </w:r>
      <w:r>
        <w:instrText xml:space="preserve"> PAGEREF _Toc371663456 \h </w:instrText>
      </w:r>
      <w:r>
        <w:fldChar w:fldCharType="separate"/>
      </w:r>
      <w:r w:rsidR="003F471F">
        <w:t>23</w:t>
      </w:r>
      <w:r>
        <w:fldChar w:fldCharType="end"/>
      </w:r>
    </w:p>
    <w:p w14:paraId="0A2503F2"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Licenza CAL per SQL Server</w:t>
      </w:r>
      <w:r w:rsidRPr="00F04412">
        <w:rPr>
          <w:rFonts w:eastAsia="Times New Roman" w:cs="Tahoma"/>
          <w:color w:val="000000"/>
          <w:vertAlign w:val="superscript"/>
          <w:lang w:val="it-IT"/>
        </w:rPr>
        <w:t>®</w:t>
      </w:r>
      <w:r w:rsidRPr="00F04412">
        <w:rPr>
          <w:rFonts w:cs="Tahoma"/>
          <w:lang w:val="it-IT"/>
        </w:rPr>
        <w:t xml:space="preserve"> 2008 R2 Small Business</w:t>
      </w:r>
      <w:r w:rsidRPr="00F04412">
        <w:rPr>
          <w:lang w:val="it-IT"/>
        </w:rPr>
        <w:tab/>
      </w:r>
      <w:r>
        <w:fldChar w:fldCharType="begin"/>
      </w:r>
      <w:r w:rsidRPr="00F04412">
        <w:rPr>
          <w:lang w:val="it-IT"/>
        </w:rPr>
        <w:instrText xml:space="preserve"> PAGEREF _Toc371663457 \h </w:instrText>
      </w:r>
      <w:r>
        <w:fldChar w:fldCharType="separate"/>
      </w:r>
      <w:r w:rsidR="003F471F" w:rsidRPr="00F04412">
        <w:rPr>
          <w:lang w:val="it-IT"/>
        </w:rPr>
        <w:t>23</w:t>
      </w:r>
      <w:r>
        <w:fldChar w:fldCharType="end"/>
      </w:r>
    </w:p>
    <w:p w14:paraId="49151881"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Licenza Per Processore per SQL Server</w:t>
      </w:r>
      <w:r w:rsidRPr="00F04412">
        <w:rPr>
          <w:rFonts w:eastAsia="Times New Roman" w:cs="Tahoma"/>
          <w:color w:val="000000"/>
          <w:vertAlign w:val="superscript"/>
          <w:lang w:val="it-IT"/>
        </w:rPr>
        <w:t>®</w:t>
      </w:r>
      <w:r w:rsidRPr="00F04412">
        <w:rPr>
          <w:rFonts w:cs="Tahoma"/>
          <w:lang w:val="it-IT"/>
        </w:rPr>
        <w:t xml:space="preserve"> 2008 R2 Web</w:t>
      </w:r>
      <w:r w:rsidRPr="00F04412">
        <w:rPr>
          <w:lang w:val="it-IT"/>
        </w:rPr>
        <w:tab/>
      </w:r>
      <w:r>
        <w:fldChar w:fldCharType="begin"/>
      </w:r>
      <w:r w:rsidRPr="00F04412">
        <w:rPr>
          <w:lang w:val="it-IT"/>
        </w:rPr>
        <w:instrText xml:space="preserve"> PAGEREF _Toc371663458 \h </w:instrText>
      </w:r>
      <w:r>
        <w:fldChar w:fldCharType="separate"/>
      </w:r>
      <w:r w:rsidR="003F471F" w:rsidRPr="00F04412">
        <w:rPr>
          <w:lang w:val="it-IT"/>
        </w:rPr>
        <w:t>23</w:t>
      </w:r>
      <w:r>
        <w:fldChar w:fldCharType="end"/>
      </w:r>
    </w:p>
    <w:p w14:paraId="4959F28A"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Licenza CAL per SQL Server</w:t>
      </w:r>
      <w:r w:rsidRPr="00F04412">
        <w:rPr>
          <w:rFonts w:eastAsia="Times New Roman" w:cs="Tahoma"/>
          <w:color w:val="000000"/>
          <w:vertAlign w:val="superscript"/>
          <w:lang w:val="it-IT"/>
        </w:rPr>
        <w:t>®</w:t>
      </w:r>
      <w:r w:rsidRPr="00F04412">
        <w:rPr>
          <w:rFonts w:cs="Tahoma"/>
          <w:lang w:val="it-IT"/>
        </w:rPr>
        <w:t xml:space="preserve"> 2008 R2 Workgroup</w:t>
      </w:r>
      <w:r w:rsidRPr="00F04412">
        <w:rPr>
          <w:lang w:val="it-IT"/>
        </w:rPr>
        <w:tab/>
      </w:r>
      <w:r>
        <w:fldChar w:fldCharType="begin"/>
      </w:r>
      <w:r w:rsidRPr="00F04412">
        <w:rPr>
          <w:lang w:val="it-IT"/>
        </w:rPr>
        <w:instrText xml:space="preserve"> PAGEREF _Toc371663459 \h </w:instrText>
      </w:r>
      <w:r>
        <w:fldChar w:fldCharType="separate"/>
      </w:r>
      <w:r w:rsidR="003F471F" w:rsidRPr="00F04412">
        <w:rPr>
          <w:lang w:val="it-IT"/>
        </w:rPr>
        <w:t>23</w:t>
      </w:r>
      <w:r>
        <w:fldChar w:fldCharType="end"/>
      </w:r>
    </w:p>
    <w:p w14:paraId="1ABA84A2" w14:textId="77777777" w:rsidR="00B03E8D" w:rsidRDefault="00B03E8D">
      <w:pPr>
        <w:pStyle w:val="TOC2"/>
        <w:rPr>
          <w:rFonts w:asciiTheme="minorHAnsi" w:eastAsiaTheme="minorEastAsia" w:hAnsiTheme="minorHAnsi" w:cstheme="minorBidi"/>
          <w:sz w:val="22"/>
          <w:szCs w:val="22"/>
        </w:rPr>
      </w:pPr>
      <w:r w:rsidRPr="000F4C33">
        <w:rPr>
          <w:rFonts w:cs="Tahoma"/>
        </w:rPr>
        <w:t>SQL Server</w:t>
      </w:r>
      <w:r w:rsidRPr="000F4C33">
        <w:rPr>
          <w:rFonts w:eastAsia="Times New Roman" w:cs="Tahoma"/>
          <w:color w:val="000000"/>
          <w:vertAlign w:val="superscript"/>
        </w:rPr>
        <w:t>®</w:t>
      </w:r>
      <w:r w:rsidRPr="000F4C33">
        <w:rPr>
          <w:rFonts w:cs="Tahoma"/>
        </w:rPr>
        <w:t xml:space="preserve"> 2008 R2 Workgroup</w:t>
      </w:r>
      <w:r w:rsidR="001F5E7D">
        <w:rPr>
          <w:rFonts w:cs="Tahoma"/>
        </w:rPr>
        <w:t xml:space="preserve"> </w:t>
      </w:r>
      <w:r w:rsidRPr="000F4C33">
        <w:rPr>
          <w:rFonts w:cs="Tahoma"/>
        </w:rPr>
        <w:t>(5 Add On Client)</w:t>
      </w:r>
      <w:r>
        <w:tab/>
      </w:r>
      <w:r>
        <w:fldChar w:fldCharType="begin"/>
      </w:r>
      <w:r>
        <w:instrText xml:space="preserve"> PAGEREF _Toc371663460 \h </w:instrText>
      </w:r>
      <w:r>
        <w:fldChar w:fldCharType="separate"/>
      </w:r>
      <w:r w:rsidR="003F471F">
        <w:t>23</w:t>
      </w:r>
      <w:r>
        <w:fldChar w:fldCharType="end"/>
      </w:r>
    </w:p>
    <w:p w14:paraId="007EEEEE"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1 Licenza per Processore per SQL Server</w:t>
      </w:r>
      <w:r w:rsidRPr="00F04412">
        <w:rPr>
          <w:rFonts w:eastAsia="Times New Roman" w:cs="Tahoma"/>
          <w:color w:val="000000"/>
          <w:vertAlign w:val="superscript"/>
          <w:lang w:val="it-IT"/>
        </w:rPr>
        <w:t>®</w:t>
      </w:r>
      <w:r w:rsidRPr="00F04412">
        <w:rPr>
          <w:rFonts w:cs="Tahoma"/>
          <w:lang w:val="it-IT"/>
        </w:rPr>
        <w:t xml:space="preserve"> 2008 R2 Workgroup</w:t>
      </w:r>
      <w:r w:rsidRPr="00F04412">
        <w:rPr>
          <w:lang w:val="it-IT"/>
        </w:rPr>
        <w:tab/>
      </w:r>
      <w:r>
        <w:fldChar w:fldCharType="begin"/>
      </w:r>
      <w:r w:rsidRPr="00F04412">
        <w:rPr>
          <w:lang w:val="it-IT"/>
        </w:rPr>
        <w:instrText xml:space="preserve"> PAGEREF _Toc371663461 \h </w:instrText>
      </w:r>
      <w:r>
        <w:fldChar w:fldCharType="separate"/>
      </w:r>
      <w:r w:rsidR="003F471F" w:rsidRPr="00F04412">
        <w:rPr>
          <w:lang w:val="it-IT"/>
        </w:rPr>
        <w:t>23</w:t>
      </w:r>
      <w:r>
        <w:fldChar w:fldCharType="end"/>
      </w:r>
    </w:p>
    <w:p w14:paraId="20A0DD28"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SQL Server</w:t>
      </w:r>
      <w:r w:rsidRPr="00F04412">
        <w:rPr>
          <w:rFonts w:eastAsia="Times New Roman" w:cs="Tahoma"/>
          <w:color w:val="000000"/>
          <w:vertAlign w:val="superscript"/>
          <w:lang w:val="it-IT"/>
        </w:rPr>
        <w:t>®</w:t>
      </w:r>
      <w:r w:rsidRPr="00F04412">
        <w:rPr>
          <w:rFonts w:cs="Tahoma"/>
          <w:lang w:val="it-IT"/>
        </w:rPr>
        <w:t xml:space="preserve"> 2012 Business Intelligence</w:t>
      </w:r>
      <w:r w:rsidRPr="00F04412">
        <w:rPr>
          <w:lang w:val="it-IT"/>
        </w:rPr>
        <w:tab/>
      </w:r>
      <w:r>
        <w:fldChar w:fldCharType="begin"/>
      </w:r>
      <w:r w:rsidRPr="00F04412">
        <w:rPr>
          <w:lang w:val="it-IT"/>
        </w:rPr>
        <w:instrText xml:space="preserve"> PAGEREF _Toc371663462 \h </w:instrText>
      </w:r>
      <w:r>
        <w:fldChar w:fldCharType="separate"/>
      </w:r>
      <w:r w:rsidR="003F471F" w:rsidRPr="00F04412">
        <w:rPr>
          <w:lang w:val="it-IT"/>
        </w:rPr>
        <w:t>23</w:t>
      </w:r>
      <w:r>
        <w:fldChar w:fldCharType="end"/>
      </w:r>
    </w:p>
    <w:p w14:paraId="5650FFF4"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Licenza CAL per SQL Server</w:t>
      </w:r>
      <w:r w:rsidRPr="00F04412">
        <w:rPr>
          <w:rFonts w:eastAsia="Times New Roman" w:cs="Tahoma"/>
          <w:color w:val="000000"/>
          <w:vertAlign w:val="superscript"/>
          <w:lang w:val="it-IT"/>
        </w:rPr>
        <w:t>®</w:t>
      </w:r>
      <w:r w:rsidRPr="00F04412">
        <w:rPr>
          <w:rFonts w:cs="Tahoma"/>
          <w:lang w:val="it-IT"/>
        </w:rPr>
        <w:t xml:space="preserve"> 2012 (SL per Dispositivo e Utente)</w:t>
      </w:r>
      <w:r w:rsidRPr="00F04412">
        <w:rPr>
          <w:lang w:val="it-IT"/>
        </w:rPr>
        <w:tab/>
      </w:r>
      <w:r>
        <w:fldChar w:fldCharType="begin"/>
      </w:r>
      <w:r w:rsidRPr="00F04412">
        <w:rPr>
          <w:lang w:val="it-IT"/>
        </w:rPr>
        <w:instrText xml:space="preserve"> PAGEREF _Toc371663463 \h </w:instrText>
      </w:r>
      <w:r>
        <w:fldChar w:fldCharType="separate"/>
      </w:r>
      <w:r w:rsidR="003F471F" w:rsidRPr="00F04412">
        <w:rPr>
          <w:lang w:val="it-IT"/>
        </w:rPr>
        <w:t>23</w:t>
      </w:r>
      <w:r>
        <w:fldChar w:fldCharType="end"/>
      </w:r>
    </w:p>
    <w:p w14:paraId="7C78105C"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SQL Server</w:t>
      </w:r>
      <w:r w:rsidRPr="00F04412">
        <w:rPr>
          <w:rFonts w:eastAsia="Times New Roman" w:cs="Tahoma"/>
          <w:color w:val="000000"/>
          <w:vertAlign w:val="superscript"/>
          <w:lang w:val="it-IT"/>
        </w:rPr>
        <w:t>®</w:t>
      </w:r>
      <w:r w:rsidRPr="00F04412">
        <w:rPr>
          <w:rFonts w:cs="Tahoma"/>
          <w:lang w:val="it-IT"/>
        </w:rPr>
        <w:t xml:space="preserve"> 2012 Developer</w:t>
      </w:r>
      <w:r w:rsidRPr="00F04412">
        <w:rPr>
          <w:lang w:val="it-IT"/>
        </w:rPr>
        <w:tab/>
      </w:r>
      <w:r>
        <w:fldChar w:fldCharType="begin"/>
      </w:r>
      <w:r w:rsidRPr="00F04412">
        <w:rPr>
          <w:lang w:val="it-IT"/>
        </w:rPr>
        <w:instrText xml:space="preserve"> PAGEREF _Toc371663464 \h </w:instrText>
      </w:r>
      <w:r>
        <w:fldChar w:fldCharType="separate"/>
      </w:r>
      <w:r w:rsidR="003F471F" w:rsidRPr="00F04412">
        <w:rPr>
          <w:lang w:val="it-IT"/>
        </w:rPr>
        <w:t>23</w:t>
      </w:r>
      <w:r>
        <w:fldChar w:fldCharType="end"/>
      </w:r>
    </w:p>
    <w:p w14:paraId="2518A457"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SQL Server</w:t>
      </w:r>
      <w:r w:rsidRPr="00F04412">
        <w:rPr>
          <w:rFonts w:eastAsia="Times New Roman" w:cs="Tahoma"/>
          <w:color w:val="000000"/>
          <w:vertAlign w:val="superscript"/>
          <w:lang w:val="it-IT"/>
        </w:rPr>
        <w:t>®</w:t>
      </w:r>
      <w:r w:rsidRPr="00F04412">
        <w:rPr>
          <w:rFonts w:cs="Tahoma"/>
          <w:lang w:val="it-IT"/>
        </w:rPr>
        <w:t xml:space="preserve"> 2012 Enterprise</w:t>
      </w:r>
      <w:r w:rsidRPr="00F04412">
        <w:rPr>
          <w:lang w:val="it-IT"/>
        </w:rPr>
        <w:tab/>
      </w:r>
      <w:r>
        <w:fldChar w:fldCharType="begin"/>
      </w:r>
      <w:r w:rsidRPr="00F04412">
        <w:rPr>
          <w:lang w:val="it-IT"/>
        </w:rPr>
        <w:instrText xml:space="preserve"> PAGEREF _Toc371663465 \h </w:instrText>
      </w:r>
      <w:r>
        <w:fldChar w:fldCharType="separate"/>
      </w:r>
      <w:r w:rsidR="003F471F" w:rsidRPr="00F04412">
        <w:rPr>
          <w:lang w:val="it-IT"/>
        </w:rPr>
        <w:t>23</w:t>
      </w:r>
      <w:r>
        <w:fldChar w:fldCharType="end"/>
      </w:r>
    </w:p>
    <w:p w14:paraId="3D656E74"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SQL Server</w:t>
      </w:r>
      <w:r w:rsidRPr="00F04412">
        <w:rPr>
          <w:rFonts w:eastAsia="Times New Roman" w:cs="Tahoma"/>
          <w:color w:val="000000"/>
          <w:vertAlign w:val="superscript"/>
          <w:lang w:val="it-IT"/>
        </w:rPr>
        <w:t>®</w:t>
      </w:r>
      <w:r w:rsidRPr="00F04412">
        <w:rPr>
          <w:rFonts w:cs="Tahoma"/>
          <w:lang w:val="it-IT"/>
        </w:rPr>
        <w:t xml:space="preserve"> 2012 Enterprise Core (2 Licenze Core per confezione)</w:t>
      </w:r>
      <w:r w:rsidRPr="00F04412">
        <w:rPr>
          <w:lang w:val="it-IT"/>
        </w:rPr>
        <w:tab/>
      </w:r>
      <w:r>
        <w:fldChar w:fldCharType="begin"/>
      </w:r>
      <w:r w:rsidRPr="00F04412">
        <w:rPr>
          <w:lang w:val="it-IT"/>
        </w:rPr>
        <w:instrText xml:space="preserve"> PAGEREF _Toc371663466 \h </w:instrText>
      </w:r>
      <w:r>
        <w:fldChar w:fldCharType="separate"/>
      </w:r>
      <w:r w:rsidR="003F471F" w:rsidRPr="00F04412">
        <w:rPr>
          <w:lang w:val="it-IT"/>
        </w:rPr>
        <w:t>23</w:t>
      </w:r>
      <w:r>
        <w:fldChar w:fldCharType="end"/>
      </w:r>
    </w:p>
    <w:p w14:paraId="774B319A" w14:textId="77777777" w:rsidR="00B03E8D" w:rsidRDefault="00B03E8D">
      <w:pPr>
        <w:pStyle w:val="TOC2"/>
        <w:rPr>
          <w:rFonts w:asciiTheme="minorHAnsi" w:eastAsiaTheme="minorEastAsia" w:hAnsiTheme="minorHAnsi" w:cstheme="minorBidi"/>
          <w:sz w:val="22"/>
          <w:szCs w:val="22"/>
        </w:rPr>
      </w:pPr>
      <w:r w:rsidRPr="000F4C33">
        <w:rPr>
          <w:rFonts w:cs="Tahoma"/>
        </w:rPr>
        <w:t>SQL Server</w:t>
      </w:r>
      <w:r w:rsidRPr="000F4C33">
        <w:rPr>
          <w:rFonts w:eastAsia="Times New Roman" w:cs="Tahoma"/>
          <w:color w:val="000000"/>
          <w:vertAlign w:val="superscript"/>
        </w:rPr>
        <w:t>®</w:t>
      </w:r>
      <w:r w:rsidRPr="000F4C33">
        <w:rPr>
          <w:rFonts w:cs="Tahoma"/>
        </w:rPr>
        <w:t xml:space="preserve"> 2012 Parallel Data Warehouse</w:t>
      </w:r>
      <w:r>
        <w:tab/>
      </w:r>
      <w:r>
        <w:fldChar w:fldCharType="begin"/>
      </w:r>
      <w:r>
        <w:instrText xml:space="preserve"> PAGEREF _Toc371663467 \h </w:instrText>
      </w:r>
      <w:r>
        <w:fldChar w:fldCharType="separate"/>
      </w:r>
      <w:r w:rsidR="003F471F">
        <w:t>23</w:t>
      </w:r>
      <w:r>
        <w:fldChar w:fldCharType="end"/>
      </w:r>
    </w:p>
    <w:p w14:paraId="1ABADC81" w14:textId="77777777" w:rsidR="00B03E8D" w:rsidRDefault="00B03E8D">
      <w:pPr>
        <w:pStyle w:val="TOC2"/>
        <w:rPr>
          <w:rFonts w:asciiTheme="minorHAnsi" w:eastAsiaTheme="minorEastAsia" w:hAnsiTheme="minorHAnsi" w:cstheme="minorBidi"/>
          <w:sz w:val="22"/>
          <w:szCs w:val="22"/>
        </w:rPr>
      </w:pPr>
      <w:r w:rsidRPr="000F4C33">
        <w:rPr>
          <w:rFonts w:cs="Tahoma"/>
        </w:rPr>
        <w:t>SQL Server</w:t>
      </w:r>
      <w:r w:rsidRPr="000F4C33">
        <w:rPr>
          <w:rFonts w:eastAsia="Times New Roman" w:cs="Tahoma"/>
          <w:color w:val="000000"/>
          <w:vertAlign w:val="superscript"/>
        </w:rPr>
        <w:t>®</w:t>
      </w:r>
      <w:r w:rsidRPr="000F4C33">
        <w:rPr>
          <w:rFonts w:cs="Tahoma"/>
        </w:rPr>
        <w:t xml:space="preserve"> 2012 Parallel Data Warehouse Developer</w:t>
      </w:r>
      <w:r>
        <w:tab/>
      </w:r>
      <w:r>
        <w:fldChar w:fldCharType="begin"/>
      </w:r>
      <w:r>
        <w:instrText xml:space="preserve"> PAGEREF _Toc371663468 \h </w:instrText>
      </w:r>
      <w:r>
        <w:fldChar w:fldCharType="separate"/>
      </w:r>
      <w:r w:rsidR="003F471F">
        <w:t>23</w:t>
      </w:r>
      <w:r>
        <w:fldChar w:fldCharType="end"/>
      </w:r>
    </w:p>
    <w:p w14:paraId="0DAA0893"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SQL Server</w:t>
      </w:r>
      <w:r w:rsidRPr="00F04412">
        <w:rPr>
          <w:rFonts w:eastAsia="Times New Roman" w:cs="Tahoma"/>
          <w:color w:val="000000"/>
          <w:vertAlign w:val="superscript"/>
          <w:lang w:val="it-IT"/>
        </w:rPr>
        <w:t>®</w:t>
      </w:r>
      <w:r w:rsidRPr="00F04412">
        <w:rPr>
          <w:rFonts w:cs="Tahoma"/>
          <w:lang w:val="it-IT"/>
        </w:rPr>
        <w:t xml:space="preserve"> 2012 Standard</w:t>
      </w:r>
      <w:r w:rsidRPr="00F04412">
        <w:rPr>
          <w:lang w:val="it-IT"/>
        </w:rPr>
        <w:tab/>
      </w:r>
      <w:r>
        <w:fldChar w:fldCharType="begin"/>
      </w:r>
      <w:r w:rsidRPr="00F04412">
        <w:rPr>
          <w:lang w:val="it-IT"/>
        </w:rPr>
        <w:instrText xml:space="preserve"> PAGEREF _Toc371663469 \h </w:instrText>
      </w:r>
      <w:r>
        <w:fldChar w:fldCharType="separate"/>
      </w:r>
      <w:r w:rsidR="003F471F" w:rsidRPr="00F04412">
        <w:rPr>
          <w:lang w:val="it-IT"/>
        </w:rPr>
        <w:t>23</w:t>
      </w:r>
      <w:r>
        <w:fldChar w:fldCharType="end"/>
      </w:r>
    </w:p>
    <w:p w14:paraId="4F179C5C"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SQL Server</w:t>
      </w:r>
      <w:r w:rsidRPr="00F04412">
        <w:rPr>
          <w:rFonts w:eastAsia="Times New Roman" w:cs="Tahoma"/>
          <w:color w:val="000000"/>
          <w:vertAlign w:val="superscript"/>
          <w:lang w:val="it-IT"/>
        </w:rPr>
        <w:t>®</w:t>
      </w:r>
      <w:r w:rsidRPr="00F04412">
        <w:rPr>
          <w:rFonts w:cs="Tahoma"/>
          <w:lang w:val="it-IT"/>
        </w:rPr>
        <w:t xml:space="preserve"> 2012 Standard Core (2 Licenze Core per confezione)</w:t>
      </w:r>
      <w:r w:rsidRPr="00F04412">
        <w:rPr>
          <w:lang w:val="it-IT"/>
        </w:rPr>
        <w:tab/>
      </w:r>
      <w:r>
        <w:fldChar w:fldCharType="begin"/>
      </w:r>
      <w:r w:rsidRPr="00F04412">
        <w:rPr>
          <w:lang w:val="it-IT"/>
        </w:rPr>
        <w:instrText xml:space="preserve"> PAGEREF _Toc371663470 \h </w:instrText>
      </w:r>
      <w:r>
        <w:fldChar w:fldCharType="separate"/>
      </w:r>
      <w:r w:rsidR="003F471F" w:rsidRPr="00F04412">
        <w:rPr>
          <w:lang w:val="it-IT"/>
        </w:rPr>
        <w:t>23</w:t>
      </w:r>
      <w:r>
        <w:fldChar w:fldCharType="end"/>
      </w:r>
    </w:p>
    <w:p w14:paraId="57D64EA9"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Licenza di Gestione Server Enterprise per System Center Configuration Manager 2007 R3</w:t>
      </w:r>
      <w:r w:rsidRPr="00F04412">
        <w:rPr>
          <w:lang w:val="it-IT"/>
        </w:rPr>
        <w:tab/>
      </w:r>
      <w:r>
        <w:fldChar w:fldCharType="begin"/>
      </w:r>
      <w:r w:rsidRPr="00F04412">
        <w:rPr>
          <w:lang w:val="it-IT"/>
        </w:rPr>
        <w:instrText xml:space="preserve"> PAGEREF _Toc371663471 \h </w:instrText>
      </w:r>
      <w:r>
        <w:fldChar w:fldCharType="separate"/>
      </w:r>
      <w:r w:rsidR="003F471F" w:rsidRPr="00F04412">
        <w:rPr>
          <w:lang w:val="it-IT"/>
        </w:rPr>
        <w:t>23</w:t>
      </w:r>
      <w:r>
        <w:fldChar w:fldCharType="end"/>
      </w:r>
    </w:p>
    <w:p w14:paraId="5394900C"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Licenza di Gestione Server Standard (Standard Server ML) per System Center Configuration Manager 2007 R3</w:t>
      </w:r>
      <w:r w:rsidRPr="00F04412">
        <w:rPr>
          <w:lang w:val="it-IT"/>
        </w:rPr>
        <w:tab/>
      </w:r>
      <w:r>
        <w:fldChar w:fldCharType="begin"/>
      </w:r>
      <w:r w:rsidRPr="00F04412">
        <w:rPr>
          <w:lang w:val="it-IT"/>
        </w:rPr>
        <w:instrText xml:space="preserve"> PAGEREF _Toc371663472 \h </w:instrText>
      </w:r>
      <w:r>
        <w:fldChar w:fldCharType="separate"/>
      </w:r>
      <w:r w:rsidR="003F471F" w:rsidRPr="00F04412">
        <w:rPr>
          <w:lang w:val="it-IT"/>
        </w:rPr>
        <w:t>23</w:t>
      </w:r>
      <w:r>
        <w:fldChar w:fldCharType="end"/>
      </w:r>
    </w:p>
    <w:p w14:paraId="0566F05C"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Licenza di Gestione Server Enterprise per System Center Data Protection Manager 2010</w:t>
      </w:r>
      <w:r w:rsidRPr="00F04412">
        <w:rPr>
          <w:lang w:val="it-IT"/>
        </w:rPr>
        <w:tab/>
      </w:r>
      <w:r>
        <w:fldChar w:fldCharType="begin"/>
      </w:r>
      <w:r w:rsidRPr="00F04412">
        <w:rPr>
          <w:lang w:val="it-IT"/>
        </w:rPr>
        <w:instrText xml:space="preserve"> PAGEREF _Toc371663473 \h </w:instrText>
      </w:r>
      <w:r>
        <w:fldChar w:fldCharType="separate"/>
      </w:r>
      <w:r w:rsidR="003F471F" w:rsidRPr="00F04412">
        <w:rPr>
          <w:lang w:val="it-IT"/>
        </w:rPr>
        <w:t>23</w:t>
      </w:r>
      <w:r>
        <w:fldChar w:fldCharType="end"/>
      </w:r>
    </w:p>
    <w:p w14:paraId="591F9E49"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Licenza di Gestione Server Standard per System Center Data Protection Manager 2010</w:t>
      </w:r>
      <w:r w:rsidRPr="00F04412">
        <w:rPr>
          <w:lang w:val="it-IT"/>
        </w:rPr>
        <w:tab/>
      </w:r>
      <w:r>
        <w:fldChar w:fldCharType="begin"/>
      </w:r>
      <w:r w:rsidRPr="00F04412">
        <w:rPr>
          <w:lang w:val="it-IT"/>
        </w:rPr>
        <w:instrText xml:space="preserve"> PAGEREF _Toc371663474 \h </w:instrText>
      </w:r>
      <w:r>
        <w:fldChar w:fldCharType="separate"/>
      </w:r>
      <w:r w:rsidR="003F471F" w:rsidRPr="00F04412">
        <w:rPr>
          <w:lang w:val="it-IT"/>
        </w:rPr>
        <w:t>23</w:t>
      </w:r>
      <w:r>
        <w:fldChar w:fldCharType="end"/>
      </w:r>
    </w:p>
    <w:p w14:paraId="2D083E72" w14:textId="77777777" w:rsidR="00B03E8D" w:rsidRDefault="00B03E8D">
      <w:pPr>
        <w:pStyle w:val="TOC2"/>
        <w:rPr>
          <w:rFonts w:asciiTheme="minorHAnsi" w:eastAsiaTheme="minorEastAsia" w:hAnsiTheme="minorHAnsi" w:cstheme="minorBidi"/>
          <w:sz w:val="22"/>
          <w:szCs w:val="22"/>
        </w:rPr>
      </w:pPr>
      <w:r w:rsidRPr="000F4C33">
        <w:rPr>
          <w:rFonts w:cs="Tahoma"/>
        </w:rPr>
        <w:t>System Center Essentials 2010</w:t>
      </w:r>
      <w:r>
        <w:tab/>
      </w:r>
      <w:r>
        <w:fldChar w:fldCharType="begin"/>
      </w:r>
      <w:r>
        <w:instrText xml:space="preserve"> PAGEREF _Toc371663475 \h </w:instrText>
      </w:r>
      <w:r>
        <w:fldChar w:fldCharType="separate"/>
      </w:r>
      <w:r w:rsidR="003F471F">
        <w:t>24</w:t>
      </w:r>
      <w:r>
        <w:fldChar w:fldCharType="end"/>
      </w:r>
    </w:p>
    <w:p w14:paraId="305072C8" w14:textId="77777777" w:rsidR="00B03E8D" w:rsidRDefault="00B03E8D">
      <w:pPr>
        <w:pStyle w:val="TOC2"/>
        <w:rPr>
          <w:rFonts w:asciiTheme="minorHAnsi" w:eastAsiaTheme="minorEastAsia" w:hAnsiTheme="minorHAnsi" w:cstheme="minorBidi"/>
          <w:sz w:val="22"/>
          <w:szCs w:val="22"/>
        </w:rPr>
      </w:pPr>
      <w:r w:rsidRPr="000F4C33">
        <w:rPr>
          <w:rFonts w:cs="Tahoma"/>
        </w:rPr>
        <w:t>Client ML per System Center Essentials 2010</w:t>
      </w:r>
      <w:r>
        <w:tab/>
      </w:r>
      <w:r>
        <w:fldChar w:fldCharType="begin"/>
      </w:r>
      <w:r>
        <w:instrText xml:space="preserve"> PAGEREF _Toc371663476 \h </w:instrText>
      </w:r>
      <w:r>
        <w:fldChar w:fldCharType="separate"/>
      </w:r>
      <w:r w:rsidR="003F471F">
        <w:t>24</w:t>
      </w:r>
      <w:r>
        <w:fldChar w:fldCharType="end"/>
      </w:r>
    </w:p>
    <w:p w14:paraId="1950348E" w14:textId="77777777" w:rsidR="00B03E8D" w:rsidRDefault="00B03E8D">
      <w:pPr>
        <w:pStyle w:val="TOC2"/>
        <w:rPr>
          <w:rFonts w:asciiTheme="minorHAnsi" w:eastAsiaTheme="minorEastAsia" w:hAnsiTheme="minorHAnsi" w:cstheme="minorBidi"/>
          <w:sz w:val="22"/>
          <w:szCs w:val="22"/>
        </w:rPr>
      </w:pPr>
      <w:r w:rsidRPr="000F4C33">
        <w:rPr>
          <w:rFonts w:cs="Tahoma"/>
        </w:rPr>
        <w:t>Server ML per System Center Essentials 2010</w:t>
      </w:r>
      <w:r>
        <w:tab/>
      </w:r>
      <w:r>
        <w:fldChar w:fldCharType="begin"/>
      </w:r>
      <w:r>
        <w:instrText xml:space="preserve"> PAGEREF _Toc371663477 \h </w:instrText>
      </w:r>
      <w:r>
        <w:fldChar w:fldCharType="separate"/>
      </w:r>
      <w:r w:rsidR="003F471F">
        <w:t>24</w:t>
      </w:r>
      <w:r>
        <w:fldChar w:fldCharType="end"/>
      </w:r>
    </w:p>
    <w:p w14:paraId="34FCF385" w14:textId="77777777" w:rsidR="00B03E8D" w:rsidRDefault="00B03E8D">
      <w:pPr>
        <w:pStyle w:val="TOC2"/>
        <w:rPr>
          <w:rFonts w:asciiTheme="minorHAnsi" w:eastAsiaTheme="minorEastAsia" w:hAnsiTheme="minorHAnsi" w:cstheme="minorBidi"/>
          <w:sz w:val="22"/>
          <w:szCs w:val="22"/>
        </w:rPr>
      </w:pPr>
      <w:r w:rsidRPr="000F4C33">
        <w:rPr>
          <w:rFonts w:cs="Tahoma"/>
        </w:rPr>
        <w:t>System Center Essentials 2010 con Tecnologia SQL Server 2008</w:t>
      </w:r>
      <w:r>
        <w:tab/>
      </w:r>
      <w:r>
        <w:fldChar w:fldCharType="begin"/>
      </w:r>
      <w:r>
        <w:instrText xml:space="preserve"> PAGEREF _Toc371663478 \h </w:instrText>
      </w:r>
      <w:r>
        <w:fldChar w:fldCharType="separate"/>
      </w:r>
      <w:r w:rsidR="003F471F">
        <w:t>24</w:t>
      </w:r>
      <w:r>
        <w:fldChar w:fldCharType="end"/>
      </w:r>
    </w:p>
    <w:p w14:paraId="6716F72D" w14:textId="77777777" w:rsidR="00B03E8D" w:rsidRDefault="00B03E8D">
      <w:pPr>
        <w:pStyle w:val="TOC2"/>
        <w:rPr>
          <w:rFonts w:asciiTheme="minorHAnsi" w:eastAsiaTheme="minorEastAsia" w:hAnsiTheme="minorHAnsi" w:cstheme="minorBidi"/>
          <w:sz w:val="22"/>
          <w:szCs w:val="22"/>
        </w:rPr>
      </w:pPr>
      <w:r w:rsidRPr="000F4C33">
        <w:rPr>
          <w:rFonts w:cs="Tahoma"/>
        </w:rPr>
        <w:t>Suite di Licenza di Gestione Client per System Center Essentials Plus 2010</w:t>
      </w:r>
      <w:r>
        <w:tab/>
      </w:r>
      <w:r>
        <w:fldChar w:fldCharType="begin"/>
      </w:r>
      <w:r>
        <w:instrText xml:space="preserve"> PAGEREF _Toc371663479 \h </w:instrText>
      </w:r>
      <w:r>
        <w:fldChar w:fldCharType="separate"/>
      </w:r>
      <w:r w:rsidR="003F471F">
        <w:t>24</w:t>
      </w:r>
      <w:r>
        <w:fldChar w:fldCharType="end"/>
      </w:r>
    </w:p>
    <w:p w14:paraId="77156C96"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Licenza di Gestione Server Standard per System Center Operations Manager 2007 R2</w:t>
      </w:r>
      <w:r w:rsidRPr="00F04412">
        <w:rPr>
          <w:lang w:val="it-IT"/>
        </w:rPr>
        <w:tab/>
      </w:r>
      <w:r>
        <w:fldChar w:fldCharType="begin"/>
      </w:r>
      <w:r w:rsidRPr="00F04412">
        <w:rPr>
          <w:lang w:val="it-IT"/>
        </w:rPr>
        <w:instrText xml:space="preserve"> PAGEREF _Toc371663480 \h </w:instrText>
      </w:r>
      <w:r>
        <w:fldChar w:fldCharType="separate"/>
      </w:r>
      <w:r w:rsidR="003F471F" w:rsidRPr="00F04412">
        <w:rPr>
          <w:lang w:val="it-IT"/>
        </w:rPr>
        <w:t>24</w:t>
      </w:r>
      <w:r>
        <w:fldChar w:fldCharType="end"/>
      </w:r>
    </w:p>
    <w:p w14:paraId="0BF39E45"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Licenza di Gestione Server Enterprise per System Center Operations Manager 2007 R2</w:t>
      </w:r>
      <w:r w:rsidRPr="00F04412">
        <w:rPr>
          <w:lang w:val="it-IT"/>
        </w:rPr>
        <w:tab/>
      </w:r>
      <w:r>
        <w:fldChar w:fldCharType="begin"/>
      </w:r>
      <w:r w:rsidRPr="00F04412">
        <w:rPr>
          <w:lang w:val="it-IT"/>
        </w:rPr>
        <w:instrText xml:space="preserve"> PAGEREF _Toc371663481 \h </w:instrText>
      </w:r>
      <w:r>
        <w:fldChar w:fldCharType="separate"/>
      </w:r>
      <w:r w:rsidR="003F471F" w:rsidRPr="00F04412">
        <w:rPr>
          <w:lang w:val="it-IT"/>
        </w:rPr>
        <w:t>24</w:t>
      </w:r>
      <w:r>
        <w:fldChar w:fldCharType="end"/>
      </w:r>
    </w:p>
    <w:p w14:paraId="1C0B8693"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Licenza di Gestione Client per OSE per System Center Operations Manager 2007 R2</w:t>
      </w:r>
      <w:r w:rsidRPr="00F04412">
        <w:rPr>
          <w:lang w:val="it-IT"/>
        </w:rPr>
        <w:tab/>
      </w:r>
      <w:r>
        <w:fldChar w:fldCharType="begin"/>
      </w:r>
      <w:r w:rsidRPr="00F04412">
        <w:rPr>
          <w:lang w:val="it-IT"/>
        </w:rPr>
        <w:instrText xml:space="preserve"> PAGEREF _Toc371663482 \h </w:instrText>
      </w:r>
      <w:r>
        <w:fldChar w:fldCharType="separate"/>
      </w:r>
      <w:r w:rsidR="003F471F" w:rsidRPr="00F04412">
        <w:rPr>
          <w:lang w:val="it-IT"/>
        </w:rPr>
        <w:t>24</w:t>
      </w:r>
      <w:r>
        <w:fldChar w:fldCharType="end"/>
      </w:r>
    </w:p>
    <w:p w14:paraId="01367026"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Licenza di Gestione Client per Utente per System Center Operations Manager 2007 R2</w:t>
      </w:r>
      <w:r w:rsidRPr="00F04412">
        <w:rPr>
          <w:lang w:val="it-IT"/>
        </w:rPr>
        <w:tab/>
      </w:r>
      <w:r>
        <w:fldChar w:fldCharType="begin"/>
      </w:r>
      <w:r w:rsidRPr="00F04412">
        <w:rPr>
          <w:lang w:val="it-IT"/>
        </w:rPr>
        <w:instrText xml:space="preserve"> PAGEREF _Toc371663483 \h </w:instrText>
      </w:r>
      <w:r>
        <w:fldChar w:fldCharType="separate"/>
      </w:r>
      <w:r w:rsidR="003F471F" w:rsidRPr="00F04412">
        <w:rPr>
          <w:lang w:val="it-IT"/>
        </w:rPr>
        <w:t>24</w:t>
      </w:r>
      <w:r>
        <w:fldChar w:fldCharType="end"/>
      </w:r>
    </w:p>
    <w:p w14:paraId="207924DE"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System Center Reporting Manager 2006</w:t>
      </w:r>
      <w:r w:rsidRPr="00F04412">
        <w:rPr>
          <w:lang w:val="it-IT"/>
        </w:rPr>
        <w:tab/>
      </w:r>
      <w:r>
        <w:fldChar w:fldCharType="begin"/>
      </w:r>
      <w:r w:rsidRPr="00F04412">
        <w:rPr>
          <w:lang w:val="it-IT"/>
        </w:rPr>
        <w:instrText xml:space="preserve"> PAGEREF _Toc371663484 \h </w:instrText>
      </w:r>
      <w:r>
        <w:fldChar w:fldCharType="separate"/>
      </w:r>
      <w:r w:rsidR="003F471F" w:rsidRPr="00F04412">
        <w:rPr>
          <w:lang w:val="it-IT"/>
        </w:rPr>
        <w:t>24</w:t>
      </w:r>
      <w:r>
        <w:fldChar w:fldCharType="end"/>
      </w:r>
    </w:p>
    <w:p w14:paraId="628821ED"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System Center Server Management Suite Enterprise</w:t>
      </w:r>
      <w:r w:rsidRPr="00F04412">
        <w:rPr>
          <w:lang w:val="it-IT"/>
        </w:rPr>
        <w:tab/>
      </w:r>
      <w:r>
        <w:fldChar w:fldCharType="begin"/>
      </w:r>
      <w:r w:rsidRPr="00F04412">
        <w:rPr>
          <w:lang w:val="it-IT"/>
        </w:rPr>
        <w:instrText xml:space="preserve"> PAGEREF _Toc371663485 \h </w:instrText>
      </w:r>
      <w:r>
        <w:fldChar w:fldCharType="separate"/>
      </w:r>
      <w:r w:rsidR="003F471F" w:rsidRPr="00F04412">
        <w:rPr>
          <w:lang w:val="it-IT"/>
        </w:rPr>
        <w:t>24</w:t>
      </w:r>
      <w:r>
        <w:fldChar w:fldCharType="end"/>
      </w:r>
    </w:p>
    <w:p w14:paraId="1B8A7F2B" w14:textId="77777777" w:rsidR="00B03E8D" w:rsidRPr="00F04412" w:rsidRDefault="00B03E8D">
      <w:pPr>
        <w:pStyle w:val="TOC4"/>
        <w:rPr>
          <w:rFonts w:asciiTheme="minorHAnsi" w:eastAsiaTheme="minorEastAsia" w:hAnsiTheme="minorHAnsi" w:cstheme="minorBidi"/>
          <w:noProof/>
          <w:sz w:val="22"/>
          <w:szCs w:val="22"/>
          <w:lang w:val="it-IT"/>
        </w:rPr>
      </w:pPr>
      <w:r w:rsidRPr="00F04412">
        <w:rPr>
          <w:rFonts w:cs="Tahoma"/>
          <w:noProof/>
          <w:lang w:val="it-IT"/>
        </w:rPr>
        <w:t>System Center Server Management Suite Datacenter</w:t>
      </w:r>
      <w:r w:rsidRPr="00F04412">
        <w:rPr>
          <w:noProof/>
          <w:lang w:val="it-IT"/>
        </w:rPr>
        <w:tab/>
      </w:r>
      <w:r>
        <w:rPr>
          <w:noProof/>
        </w:rPr>
        <w:fldChar w:fldCharType="begin"/>
      </w:r>
      <w:r w:rsidRPr="00F04412">
        <w:rPr>
          <w:noProof/>
          <w:lang w:val="it-IT"/>
        </w:rPr>
        <w:instrText xml:space="preserve"> PAGEREF _Toc371663486 \h </w:instrText>
      </w:r>
      <w:r>
        <w:rPr>
          <w:noProof/>
        </w:rPr>
      </w:r>
      <w:r>
        <w:rPr>
          <w:noProof/>
        </w:rPr>
        <w:fldChar w:fldCharType="separate"/>
      </w:r>
      <w:r w:rsidR="003F471F" w:rsidRPr="00F04412">
        <w:rPr>
          <w:noProof/>
          <w:lang w:val="it-IT"/>
        </w:rPr>
        <w:t>24</w:t>
      </w:r>
      <w:r>
        <w:rPr>
          <w:noProof/>
        </w:rPr>
        <w:fldChar w:fldCharType="end"/>
      </w:r>
    </w:p>
    <w:p w14:paraId="2B3D4C5F"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Licenza di Gestione Client (Client ML) per OSE per System Center Service Manager 2010</w:t>
      </w:r>
      <w:r w:rsidRPr="00F04412">
        <w:rPr>
          <w:lang w:val="it-IT"/>
        </w:rPr>
        <w:tab/>
      </w:r>
      <w:r>
        <w:fldChar w:fldCharType="begin"/>
      </w:r>
      <w:r w:rsidRPr="00F04412">
        <w:rPr>
          <w:lang w:val="it-IT"/>
        </w:rPr>
        <w:instrText xml:space="preserve"> PAGEREF _Toc371663487 \h </w:instrText>
      </w:r>
      <w:r>
        <w:fldChar w:fldCharType="separate"/>
      </w:r>
      <w:r w:rsidR="003F471F" w:rsidRPr="00F04412">
        <w:rPr>
          <w:lang w:val="it-IT"/>
        </w:rPr>
        <w:t>24</w:t>
      </w:r>
      <w:r>
        <w:fldChar w:fldCharType="end"/>
      </w:r>
    </w:p>
    <w:p w14:paraId="69A79161"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Licenza di Gestione Client (Client ML) per Utente per System Center Service Manager 2010</w:t>
      </w:r>
      <w:r w:rsidRPr="00F04412">
        <w:rPr>
          <w:lang w:val="it-IT"/>
        </w:rPr>
        <w:tab/>
      </w:r>
      <w:r>
        <w:fldChar w:fldCharType="begin"/>
      </w:r>
      <w:r w:rsidRPr="00F04412">
        <w:rPr>
          <w:lang w:val="it-IT"/>
        </w:rPr>
        <w:instrText xml:space="preserve"> PAGEREF _Toc371663488 \h </w:instrText>
      </w:r>
      <w:r>
        <w:fldChar w:fldCharType="separate"/>
      </w:r>
      <w:r w:rsidR="003F471F" w:rsidRPr="00F04412">
        <w:rPr>
          <w:lang w:val="it-IT"/>
        </w:rPr>
        <w:t>24</w:t>
      </w:r>
      <w:r>
        <w:fldChar w:fldCharType="end"/>
      </w:r>
    </w:p>
    <w:p w14:paraId="5C813145" w14:textId="77777777" w:rsidR="00B03E8D" w:rsidRPr="00F04412" w:rsidRDefault="00B03E8D">
      <w:pPr>
        <w:pStyle w:val="TOC3"/>
        <w:rPr>
          <w:rFonts w:asciiTheme="minorHAnsi" w:eastAsiaTheme="minorEastAsia" w:hAnsiTheme="minorHAnsi" w:cstheme="minorBidi"/>
          <w:bCs w:val="0"/>
          <w:color w:val="auto"/>
          <w:sz w:val="22"/>
          <w:szCs w:val="22"/>
          <w:lang w:val="it-IT"/>
        </w:rPr>
      </w:pPr>
      <w:r w:rsidRPr="00F04412">
        <w:rPr>
          <w:lang w:val="it-IT"/>
        </w:rPr>
        <w:t>Licenza di Gestione Server (Server ML) per OSE per System Center Service Manager 2010</w:t>
      </w:r>
      <w:r w:rsidRPr="00F04412">
        <w:rPr>
          <w:lang w:val="it-IT"/>
        </w:rPr>
        <w:tab/>
      </w:r>
      <w:r>
        <w:fldChar w:fldCharType="begin"/>
      </w:r>
      <w:r w:rsidRPr="00F04412">
        <w:rPr>
          <w:lang w:val="it-IT"/>
        </w:rPr>
        <w:instrText xml:space="preserve"> PAGEREF _Toc371663489 \h </w:instrText>
      </w:r>
      <w:r>
        <w:fldChar w:fldCharType="separate"/>
      </w:r>
      <w:r w:rsidR="003F471F" w:rsidRPr="00F04412">
        <w:rPr>
          <w:lang w:val="it-IT"/>
        </w:rPr>
        <w:t>24</w:t>
      </w:r>
      <w:r>
        <w:fldChar w:fldCharType="end"/>
      </w:r>
    </w:p>
    <w:p w14:paraId="634C07A5" w14:textId="77777777" w:rsidR="00B03E8D" w:rsidRPr="00F04412" w:rsidRDefault="00B03E8D">
      <w:pPr>
        <w:pStyle w:val="TOC2"/>
        <w:rPr>
          <w:rFonts w:asciiTheme="minorHAnsi" w:eastAsiaTheme="minorEastAsia" w:hAnsiTheme="minorHAnsi" w:cstheme="minorBidi"/>
          <w:sz w:val="22"/>
          <w:szCs w:val="22"/>
          <w:lang w:val="fr-FR"/>
        </w:rPr>
      </w:pPr>
      <w:r w:rsidRPr="00F04412">
        <w:rPr>
          <w:rFonts w:cs="Tahoma"/>
          <w:lang w:val="fr-FR"/>
        </w:rPr>
        <w:t>System Center 2012 R2 Client Management Suite (Client ML) per OSE</w:t>
      </w:r>
      <w:r w:rsidRPr="00F04412">
        <w:rPr>
          <w:lang w:val="fr-FR"/>
        </w:rPr>
        <w:tab/>
      </w:r>
      <w:r>
        <w:fldChar w:fldCharType="begin"/>
      </w:r>
      <w:r w:rsidRPr="00F04412">
        <w:rPr>
          <w:lang w:val="fr-FR"/>
        </w:rPr>
        <w:instrText xml:space="preserve"> PAGEREF _Toc371663490 \h </w:instrText>
      </w:r>
      <w:r>
        <w:fldChar w:fldCharType="separate"/>
      </w:r>
      <w:r w:rsidR="003F471F" w:rsidRPr="00F04412">
        <w:rPr>
          <w:lang w:val="fr-FR"/>
        </w:rPr>
        <w:t>24</w:t>
      </w:r>
      <w:r>
        <w:fldChar w:fldCharType="end"/>
      </w:r>
    </w:p>
    <w:p w14:paraId="76CE2E23" w14:textId="77777777" w:rsidR="00B03E8D" w:rsidRPr="00F04412" w:rsidRDefault="00B03E8D">
      <w:pPr>
        <w:pStyle w:val="TOC2"/>
        <w:rPr>
          <w:rFonts w:asciiTheme="minorHAnsi" w:eastAsiaTheme="minorEastAsia" w:hAnsiTheme="minorHAnsi" w:cstheme="minorBidi"/>
          <w:sz w:val="22"/>
          <w:szCs w:val="22"/>
          <w:lang w:val="fr-FR"/>
        </w:rPr>
      </w:pPr>
      <w:r w:rsidRPr="00F04412">
        <w:rPr>
          <w:rFonts w:cs="Tahoma"/>
          <w:lang w:val="fr-FR"/>
        </w:rPr>
        <w:t>System Center 2012 R2 Client Management Suite (Client ML) per Utente</w:t>
      </w:r>
      <w:r w:rsidRPr="00F04412">
        <w:rPr>
          <w:lang w:val="fr-FR"/>
        </w:rPr>
        <w:tab/>
      </w:r>
      <w:r>
        <w:fldChar w:fldCharType="begin"/>
      </w:r>
      <w:r w:rsidRPr="00F04412">
        <w:rPr>
          <w:lang w:val="fr-FR"/>
        </w:rPr>
        <w:instrText xml:space="preserve"> PAGEREF _Toc371663491 \h </w:instrText>
      </w:r>
      <w:r>
        <w:fldChar w:fldCharType="separate"/>
      </w:r>
      <w:r w:rsidR="003F471F" w:rsidRPr="00F04412">
        <w:rPr>
          <w:lang w:val="fr-FR"/>
        </w:rPr>
        <w:t>24</w:t>
      </w:r>
      <w:r>
        <w:fldChar w:fldCharType="end"/>
      </w:r>
    </w:p>
    <w:p w14:paraId="5ECCF5D1"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Licenza di Gestione Client (Client ML) per System Center 2012 R2 Configuration Manager (Solo Studenti)</w:t>
      </w:r>
      <w:r w:rsidRPr="00F04412">
        <w:rPr>
          <w:lang w:val="it-IT"/>
        </w:rPr>
        <w:tab/>
      </w:r>
      <w:r>
        <w:fldChar w:fldCharType="begin"/>
      </w:r>
      <w:r w:rsidRPr="00F04412">
        <w:rPr>
          <w:lang w:val="it-IT"/>
        </w:rPr>
        <w:instrText xml:space="preserve"> PAGEREF _Toc371663492 \h </w:instrText>
      </w:r>
      <w:r>
        <w:fldChar w:fldCharType="separate"/>
      </w:r>
      <w:r w:rsidR="003F471F" w:rsidRPr="00F04412">
        <w:rPr>
          <w:lang w:val="it-IT"/>
        </w:rPr>
        <w:t>24</w:t>
      </w:r>
      <w:r>
        <w:fldChar w:fldCharType="end"/>
      </w:r>
    </w:p>
    <w:p w14:paraId="77FF2B90"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Licenza di Gestione Client per OSE per System Center 2012 R2 Configuration Manager</w:t>
      </w:r>
      <w:r w:rsidRPr="00F04412">
        <w:rPr>
          <w:lang w:val="it-IT"/>
        </w:rPr>
        <w:tab/>
      </w:r>
      <w:r>
        <w:fldChar w:fldCharType="begin"/>
      </w:r>
      <w:r w:rsidRPr="00F04412">
        <w:rPr>
          <w:lang w:val="it-IT"/>
        </w:rPr>
        <w:instrText xml:space="preserve"> PAGEREF _Toc371663493 \h </w:instrText>
      </w:r>
      <w:r>
        <w:fldChar w:fldCharType="separate"/>
      </w:r>
      <w:r w:rsidR="003F471F" w:rsidRPr="00F04412">
        <w:rPr>
          <w:lang w:val="it-IT"/>
        </w:rPr>
        <w:t>24</w:t>
      </w:r>
      <w:r>
        <w:fldChar w:fldCharType="end"/>
      </w:r>
    </w:p>
    <w:p w14:paraId="13372EF2"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Licenza di Gestione Client per Utente per System Center 2012 R2 Configuration Manager</w:t>
      </w:r>
      <w:r w:rsidRPr="00F04412">
        <w:rPr>
          <w:lang w:val="it-IT"/>
        </w:rPr>
        <w:tab/>
      </w:r>
      <w:r>
        <w:fldChar w:fldCharType="begin"/>
      </w:r>
      <w:r w:rsidRPr="00F04412">
        <w:rPr>
          <w:lang w:val="it-IT"/>
        </w:rPr>
        <w:instrText xml:space="preserve"> PAGEREF _Toc371663494 \h </w:instrText>
      </w:r>
      <w:r>
        <w:fldChar w:fldCharType="separate"/>
      </w:r>
      <w:r w:rsidR="003F471F" w:rsidRPr="00F04412">
        <w:rPr>
          <w:lang w:val="it-IT"/>
        </w:rPr>
        <w:t>24</w:t>
      </w:r>
      <w:r>
        <w:fldChar w:fldCharType="end"/>
      </w:r>
    </w:p>
    <w:p w14:paraId="4710C8AA"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Licenza di Gestione Server per System Center 2012 R2 Datacenter (2 processori)</w:t>
      </w:r>
      <w:r w:rsidRPr="00F04412">
        <w:rPr>
          <w:lang w:val="it-IT"/>
        </w:rPr>
        <w:tab/>
      </w:r>
      <w:r>
        <w:fldChar w:fldCharType="begin"/>
      </w:r>
      <w:r w:rsidRPr="00F04412">
        <w:rPr>
          <w:lang w:val="it-IT"/>
        </w:rPr>
        <w:instrText xml:space="preserve"> PAGEREF _Toc371663495 \h </w:instrText>
      </w:r>
      <w:r>
        <w:fldChar w:fldCharType="separate"/>
      </w:r>
      <w:r w:rsidR="003F471F" w:rsidRPr="00F04412">
        <w:rPr>
          <w:lang w:val="it-IT"/>
        </w:rPr>
        <w:t>24</w:t>
      </w:r>
      <w:r>
        <w:fldChar w:fldCharType="end"/>
      </w:r>
    </w:p>
    <w:p w14:paraId="69EEF7EC"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System Center 2012 R2 Endpoint Protection</w:t>
      </w:r>
      <w:r w:rsidRPr="00F04412">
        <w:rPr>
          <w:lang w:val="it-IT"/>
        </w:rPr>
        <w:tab/>
      </w:r>
      <w:r>
        <w:fldChar w:fldCharType="begin"/>
      </w:r>
      <w:r w:rsidRPr="00F04412">
        <w:rPr>
          <w:lang w:val="it-IT"/>
        </w:rPr>
        <w:instrText xml:space="preserve"> PAGEREF _Toc371663496 \h </w:instrText>
      </w:r>
      <w:r>
        <w:fldChar w:fldCharType="separate"/>
      </w:r>
      <w:r w:rsidR="003F471F" w:rsidRPr="00F04412">
        <w:rPr>
          <w:lang w:val="it-IT"/>
        </w:rPr>
        <w:t>24</w:t>
      </w:r>
      <w:r>
        <w:fldChar w:fldCharType="end"/>
      </w:r>
    </w:p>
    <w:p w14:paraId="0FAA1498"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Licenza di Gestione Server per System Center 2012 R2 Standard (2 processori)</w:t>
      </w:r>
      <w:r w:rsidRPr="00F04412">
        <w:rPr>
          <w:lang w:val="it-IT"/>
        </w:rPr>
        <w:tab/>
      </w:r>
      <w:r>
        <w:fldChar w:fldCharType="begin"/>
      </w:r>
      <w:r w:rsidRPr="00F04412">
        <w:rPr>
          <w:lang w:val="it-IT"/>
        </w:rPr>
        <w:instrText xml:space="preserve"> PAGEREF _Toc371663497 \h </w:instrText>
      </w:r>
      <w:r>
        <w:fldChar w:fldCharType="separate"/>
      </w:r>
      <w:r w:rsidR="003F471F" w:rsidRPr="00F04412">
        <w:rPr>
          <w:lang w:val="it-IT"/>
        </w:rPr>
        <w:t>25</w:t>
      </w:r>
      <w:r>
        <w:fldChar w:fldCharType="end"/>
      </w:r>
    </w:p>
    <w:p w14:paraId="0AE4C85D"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VDI Suite</w:t>
      </w:r>
      <w:r w:rsidRPr="00F04412">
        <w:rPr>
          <w:lang w:val="it-IT"/>
        </w:rPr>
        <w:tab/>
      </w:r>
      <w:r>
        <w:fldChar w:fldCharType="begin"/>
      </w:r>
      <w:r w:rsidRPr="00F04412">
        <w:rPr>
          <w:lang w:val="it-IT"/>
        </w:rPr>
        <w:instrText xml:space="preserve"> PAGEREF _Toc371663498 \h </w:instrText>
      </w:r>
      <w:r>
        <w:fldChar w:fldCharType="separate"/>
      </w:r>
      <w:r w:rsidR="003F471F" w:rsidRPr="00F04412">
        <w:rPr>
          <w:lang w:val="it-IT"/>
        </w:rPr>
        <w:t>25</w:t>
      </w:r>
      <w:r>
        <w:fldChar w:fldCharType="end"/>
      </w:r>
    </w:p>
    <w:p w14:paraId="05E753A8"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VDI Suite con MDOP</w:t>
      </w:r>
      <w:r w:rsidRPr="00F04412">
        <w:rPr>
          <w:lang w:val="it-IT"/>
        </w:rPr>
        <w:tab/>
      </w:r>
      <w:r>
        <w:fldChar w:fldCharType="begin"/>
      </w:r>
      <w:r w:rsidRPr="00F04412">
        <w:rPr>
          <w:lang w:val="it-IT"/>
        </w:rPr>
        <w:instrText xml:space="preserve"> PAGEREF _Toc371663499 \h </w:instrText>
      </w:r>
      <w:r>
        <w:fldChar w:fldCharType="separate"/>
      </w:r>
      <w:r w:rsidR="003F471F" w:rsidRPr="00F04412">
        <w:rPr>
          <w:lang w:val="it-IT"/>
        </w:rPr>
        <w:t>25</w:t>
      </w:r>
      <w:r>
        <w:fldChar w:fldCharType="end"/>
      </w:r>
    </w:p>
    <w:p w14:paraId="16810C88"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Virtual Server 2005 R2 Enterprise Edition</w:t>
      </w:r>
      <w:r w:rsidRPr="00F04412">
        <w:rPr>
          <w:lang w:val="it-IT"/>
        </w:rPr>
        <w:tab/>
      </w:r>
      <w:r>
        <w:fldChar w:fldCharType="begin"/>
      </w:r>
      <w:r w:rsidRPr="00F04412">
        <w:rPr>
          <w:lang w:val="it-IT"/>
        </w:rPr>
        <w:instrText xml:space="preserve"> PAGEREF _Toc371663500 \h </w:instrText>
      </w:r>
      <w:r>
        <w:fldChar w:fldCharType="separate"/>
      </w:r>
      <w:r w:rsidR="003F471F" w:rsidRPr="00F04412">
        <w:rPr>
          <w:lang w:val="it-IT"/>
        </w:rPr>
        <w:t>25</w:t>
      </w:r>
      <w:r>
        <w:fldChar w:fldCharType="end"/>
      </w:r>
    </w:p>
    <w:p w14:paraId="6FCA6F3B"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Visual Studio Deployment 2013 Datacenter</w:t>
      </w:r>
      <w:r w:rsidRPr="00F04412">
        <w:rPr>
          <w:lang w:val="it-IT"/>
        </w:rPr>
        <w:tab/>
      </w:r>
      <w:r>
        <w:fldChar w:fldCharType="begin"/>
      </w:r>
      <w:r w:rsidRPr="00F04412">
        <w:rPr>
          <w:lang w:val="it-IT"/>
        </w:rPr>
        <w:instrText xml:space="preserve"> PAGEREF _Toc371663501 \h </w:instrText>
      </w:r>
      <w:r>
        <w:fldChar w:fldCharType="separate"/>
      </w:r>
      <w:r w:rsidR="003F471F" w:rsidRPr="00F04412">
        <w:rPr>
          <w:lang w:val="it-IT"/>
        </w:rPr>
        <w:t>25</w:t>
      </w:r>
      <w:r>
        <w:fldChar w:fldCharType="end"/>
      </w:r>
    </w:p>
    <w:p w14:paraId="441A229E"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Visual Studio Deployment 2013 Datacenter</w:t>
      </w:r>
      <w:r w:rsidRPr="00F04412">
        <w:rPr>
          <w:lang w:val="it-IT"/>
        </w:rPr>
        <w:tab/>
      </w:r>
      <w:r>
        <w:fldChar w:fldCharType="begin"/>
      </w:r>
      <w:r w:rsidRPr="00F04412">
        <w:rPr>
          <w:lang w:val="it-IT"/>
        </w:rPr>
        <w:instrText xml:space="preserve"> PAGEREF _Toc371663502 \h </w:instrText>
      </w:r>
      <w:r>
        <w:fldChar w:fldCharType="separate"/>
      </w:r>
      <w:r w:rsidR="003F471F" w:rsidRPr="00F04412">
        <w:rPr>
          <w:lang w:val="it-IT"/>
        </w:rPr>
        <w:t>25</w:t>
      </w:r>
      <w:r>
        <w:fldChar w:fldCharType="end"/>
      </w:r>
    </w:p>
    <w:p w14:paraId="39AEEEBA"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Visual Studio</w:t>
      </w:r>
      <w:r w:rsidRPr="00F04412">
        <w:rPr>
          <w:rFonts w:eastAsia="Times New Roman" w:cs="Tahoma"/>
          <w:color w:val="000000"/>
          <w:vertAlign w:val="superscript"/>
          <w:lang w:val="it-IT"/>
        </w:rPr>
        <w:t>®</w:t>
      </w:r>
      <w:r w:rsidRPr="00F04412">
        <w:rPr>
          <w:rFonts w:cs="Tahoma"/>
          <w:lang w:val="it-IT"/>
        </w:rPr>
        <w:t xml:space="preserve"> Team Foundation Server 2013 con Tecnologia SQL Server 2012</w:t>
      </w:r>
      <w:r w:rsidRPr="00F04412">
        <w:rPr>
          <w:lang w:val="it-IT"/>
        </w:rPr>
        <w:tab/>
      </w:r>
      <w:r>
        <w:fldChar w:fldCharType="begin"/>
      </w:r>
      <w:r w:rsidRPr="00F04412">
        <w:rPr>
          <w:lang w:val="it-IT"/>
        </w:rPr>
        <w:instrText xml:space="preserve"> PAGEREF _Toc371663503 \h </w:instrText>
      </w:r>
      <w:r>
        <w:fldChar w:fldCharType="separate"/>
      </w:r>
      <w:r w:rsidR="003F471F" w:rsidRPr="00F04412">
        <w:rPr>
          <w:lang w:val="it-IT"/>
        </w:rPr>
        <w:t>25</w:t>
      </w:r>
      <w:r>
        <w:fldChar w:fldCharType="end"/>
      </w:r>
    </w:p>
    <w:p w14:paraId="07091B8F"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CAL per Dispositivo per Visual Studio</w:t>
      </w:r>
      <w:r w:rsidRPr="00F04412">
        <w:rPr>
          <w:rFonts w:cs="Tahoma"/>
          <w:vertAlign w:val="superscript"/>
          <w:lang w:val="it-IT"/>
        </w:rPr>
        <w:t>®</w:t>
      </w:r>
      <w:r w:rsidRPr="00F04412">
        <w:rPr>
          <w:rFonts w:cs="Tahoma"/>
          <w:lang w:val="it-IT"/>
        </w:rPr>
        <w:t xml:space="preserve"> Team Foundation Server 2013</w:t>
      </w:r>
      <w:r w:rsidRPr="00F04412">
        <w:rPr>
          <w:lang w:val="it-IT"/>
        </w:rPr>
        <w:tab/>
      </w:r>
      <w:r>
        <w:fldChar w:fldCharType="begin"/>
      </w:r>
      <w:r w:rsidRPr="00F04412">
        <w:rPr>
          <w:lang w:val="it-IT"/>
        </w:rPr>
        <w:instrText xml:space="preserve"> PAGEREF _Toc371663504 \h </w:instrText>
      </w:r>
      <w:r>
        <w:fldChar w:fldCharType="separate"/>
      </w:r>
      <w:r w:rsidR="003F471F" w:rsidRPr="00F04412">
        <w:rPr>
          <w:lang w:val="it-IT"/>
        </w:rPr>
        <w:t>25</w:t>
      </w:r>
      <w:r>
        <w:fldChar w:fldCharType="end"/>
      </w:r>
    </w:p>
    <w:p w14:paraId="0372E317" w14:textId="77777777" w:rsidR="00B03E8D" w:rsidRDefault="00B03E8D">
      <w:pPr>
        <w:pStyle w:val="TOC2"/>
        <w:rPr>
          <w:rFonts w:asciiTheme="minorHAnsi" w:eastAsiaTheme="minorEastAsia" w:hAnsiTheme="minorHAnsi" w:cstheme="minorBidi"/>
          <w:sz w:val="22"/>
          <w:szCs w:val="22"/>
        </w:rPr>
      </w:pPr>
      <w:r w:rsidRPr="000F4C33">
        <w:rPr>
          <w:rFonts w:cs="Tahoma"/>
        </w:rPr>
        <w:t>User CAL per Visual Studio</w:t>
      </w:r>
      <w:r w:rsidRPr="000F4C33">
        <w:rPr>
          <w:rFonts w:cs="Tahoma"/>
          <w:vertAlign w:val="superscript"/>
        </w:rPr>
        <w:t>®</w:t>
      </w:r>
      <w:r w:rsidRPr="000F4C33">
        <w:rPr>
          <w:rFonts w:cs="Tahoma"/>
        </w:rPr>
        <w:t xml:space="preserve"> Team Foundation Server 2013</w:t>
      </w:r>
      <w:r>
        <w:tab/>
      </w:r>
      <w:r>
        <w:fldChar w:fldCharType="begin"/>
      </w:r>
      <w:r>
        <w:instrText xml:space="preserve"> PAGEREF _Toc371663505 \h </w:instrText>
      </w:r>
      <w:r>
        <w:fldChar w:fldCharType="separate"/>
      </w:r>
      <w:r w:rsidR="003F471F">
        <w:t>25</w:t>
      </w:r>
      <w:r>
        <w:fldChar w:fldCharType="end"/>
      </w:r>
    </w:p>
    <w:p w14:paraId="697EAE4A" w14:textId="77777777" w:rsidR="00B03E8D" w:rsidRDefault="00B03E8D">
      <w:pPr>
        <w:pStyle w:val="TOC2"/>
        <w:rPr>
          <w:rFonts w:asciiTheme="minorHAnsi" w:eastAsiaTheme="minorEastAsia" w:hAnsiTheme="minorHAnsi" w:cstheme="minorBidi"/>
          <w:sz w:val="22"/>
          <w:szCs w:val="22"/>
        </w:rPr>
      </w:pPr>
      <w:r w:rsidRPr="000F4C33">
        <w:rPr>
          <w:rFonts w:cs="Tahoma"/>
        </w:rPr>
        <w:t>Windows Azure Active Directory Rights Management (SL per Utente)</w:t>
      </w:r>
      <w:r>
        <w:tab/>
      </w:r>
      <w:r>
        <w:fldChar w:fldCharType="begin"/>
      </w:r>
      <w:r>
        <w:instrText xml:space="preserve"> PAGEREF _Toc371663506 \h </w:instrText>
      </w:r>
      <w:r>
        <w:fldChar w:fldCharType="separate"/>
      </w:r>
      <w:r w:rsidR="003F471F">
        <w:t>25</w:t>
      </w:r>
      <w:r>
        <w:fldChar w:fldCharType="end"/>
      </w:r>
    </w:p>
    <w:p w14:paraId="3BF12AEB" w14:textId="77777777" w:rsidR="00B03E8D" w:rsidRDefault="00B03E8D">
      <w:pPr>
        <w:pStyle w:val="TOC2"/>
        <w:rPr>
          <w:rFonts w:asciiTheme="minorHAnsi" w:eastAsiaTheme="minorEastAsia" w:hAnsiTheme="minorHAnsi" w:cstheme="minorBidi"/>
          <w:sz w:val="22"/>
          <w:szCs w:val="22"/>
        </w:rPr>
      </w:pPr>
      <w:r w:rsidRPr="000F4C33">
        <w:rPr>
          <w:rFonts w:cs="Tahoma"/>
        </w:rPr>
        <w:t>Windows Azure Active Directory Rights Management Academic (SL per Utente)</w:t>
      </w:r>
      <w:r>
        <w:tab/>
      </w:r>
      <w:r>
        <w:fldChar w:fldCharType="begin"/>
      </w:r>
      <w:r>
        <w:instrText xml:space="preserve"> PAGEREF _Toc371663507 \h </w:instrText>
      </w:r>
      <w:r>
        <w:fldChar w:fldCharType="separate"/>
      </w:r>
      <w:r w:rsidR="003F471F">
        <w:t>25</w:t>
      </w:r>
      <w:r>
        <w:fldChar w:fldCharType="end"/>
      </w:r>
    </w:p>
    <w:p w14:paraId="2E0851A3" w14:textId="77777777" w:rsidR="00B03E8D" w:rsidRDefault="00B03E8D">
      <w:pPr>
        <w:pStyle w:val="TOC2"/>
        <w:rPr>
          <w:rFonts w:asciiTheme="minorHAnsi" w:eastAsiaTheme="minorEastAsia" w:hAnsiTheme="minorHAnsi" w:cstheme="minorBidi"/>
          <w:sz w:val="22"/>
          <w:szCs w:val="22"/>
        </w:rPr>
      </w:pPr>
      <w:r w:rsidRPr="000F4C33">
        <w:rPr>
          <w:rFonts w:cs="Tahoma"/>
        </w:rPr>
        <w:t>Windows Azure Active Directory Rights Management Add-on (SL per Utente)</w:t>
      </w:r>
      <w:r>
        <w:tab/>
      </w:r>
      <w:r>
        <w:fldChar w:fldCharType="begin"/>
      </w:r>
      <w:r>
        <w:instrText xml:space="preserve"> PAGEREF _Toc371663508 \h </w:instrText>
      </w:r>
      <w:r>
        <w:fldChar w:fldCharType="separate"/>
      </w:r>
      <w:r w:rsidR="003F471F">
        <w:t>25</w:t>
      </w:r>
      <w:r>
        <w:fldChar w:fldCharType="end"/>
      </w:r>
    </w:p>
    <w:p w14:paraId="1030B302" w14:textId="77777777" w:rsidR="00B03E8D" w:rsidRDefault="00B03E8D">
      <w:pPr>
        <w:pStyle w:val="TOC2"/>
        <w:rPr>
          <w:rFonts w:asciiTheme="minorHAnsi" w:eastAsiaTheme="minorEastAsia" w:hAnsiTheme="minorHAnsi" w:cstheme="minorBidi"/>
          <w:sz w:val="22"/>
          <w:szCs w:val="22"/>
        </w:rPr>
      </w:pPr>
      <w:r w:rsidRPr="000F4C33">
        <w:rPr>
          <w:rFonts w:cs="Tahoma"/>
        </w:rPr>
        <w:t>Servizi di Windows Azure</w:t>
      </w:r>
      <w:r>
        <w:tab/>
      </w:r>
      <w:r>
        <w:fldChar w:fldCharType="begin"/>
      </w:r>
      <w:r>
        <w:instrText xml:space="preserve"> PAGEREF _Toc371663509 \h </w:instrText>
      </w:r>
      <w:r>
        <w:fldChar w:fldCharType="separate"/>
      </w:r>
      <w:r w:rsidR="003F471F">
        <w:t>25</w:t>
      </w:r>
      <w:r>
        <w:fldChar w:fldCharType="end"/>
      </w:r>
    </w:p>
    <w:p w14:paraId="37501092" w14:textId="77777777" w:rsidR="00B03E8D" w:rsidRDefault="00B03E8D">
      <w:pPr>
        <w:pStyle w:val="TOC2"/>
        <w:rPr>
          <w:rFonts w:asciiTheme="minorHAnsi" w:eastAsiaTheme="minorEastAsia" w:hAnsiTheme="minorHAnsi" w:cstheme="minorBidi"/>
          <w:sz w:val="22"/>
          <w:szCs w:val="22"/>
        </w:rPr>
      </w:pPr>
      <w:r w:rsidRPr="000F4C33">
        <w:rPr>
          <w:rFonts w:cs="Tahoma"/>
        </w:rPr>
        <w:t>Windows</w:t>
      </w:r>
      <w:r w:rsidRPr="000F4C33">
        <w:rPr>
          <w:rFonts w:cs="Tahoma"/>
          <w:vertAlign w:val="superscript"/>
        </w:rPr>
        <w:t>®</w:t>
      </w:r>
      <w:r w:rsidRPr="000F4C33">
        <w:rPr>
          <w:rFonts w:cs="Tahoma"/>
        </w:rPr>
        <w:t xml:space="preserve"> Embedded Device Manager 2011</w:t>
      </w:r>
      <w:r>
        <w:tab/>
      </w:r>
      <w:r>
        <w:fldChar w:fldCharType="begin"/>
      </w:r>
      <w:r>
        <w:instrText xml:space="preserve"> PAGEREF _Toc371663510 \h </w:instrText>
      </w:r>
      <w:r>
        <w:fldChar w:fldCharType="separate"/>
      </w:r>
      <w:r w:rsidR="003F471F">
        <w:t>25</w:t>
      </w:r>
      <w:r>
        <w:fldChar w:fldCharType="end"/>
      </w:r>
    </w:p>
    <w:p w14:paraId="15987766"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Licenza di Gestione Client per OSE per Windows</w:t>
      </w:r>
      <w:r w:rsidRPr="00F04412">
        <w:rPr>
          <w:rFonts w:cs="Tahoma"/>
          <w:vertAlign w:val="superscript"/>
          <w:lang w:val="it-IT"/>
        </w:rPr>
        <w:t>®</w:t>
      </w:r>
      <w:r w:rsidRPr="00F04412">
        <w:rPr>
          <w:rFonts w:cs="Tahoma"/>
          <w:lang w:val="it-IT"/>
        </w:rPr>
        <w:t xml:space="preserve"> Embedded Device Manager 2011</w:t>
      </w:r>
      <w:r w:rsidRPr="00F04412">
        <w:rPr>
          <w:lang w:val="it-IT"/>
        </w:rPr>
        <w:tab/>
      </w:r>
      <w:r>
        <w:fldChar w:fldCharType="begin"/>
      </w:r>
      <w:r w:rsidRPr="00F04412">
        <w:rPr>
          <w:lang w:val="it-IT"/>
        </w:rPr>
        <w:instrText xml:space="preserve"> PAGEREF _Toc371663511 \h </w:instrText>
      </w:r>
      <w:r>
        <w:fldChar w:fldCharType="separate"/>
      </w:r>
      <w:r w:rsidR="003F471F" w:rsidRPr="00F04412">
        <w:rPr>
          <w:lang w:val="it-IT"/>
        </w:rPr>
        <w:t>25</w:t>
      </w:r>
      <w:r>
        <w:fldChar w:fldCharType="end"/>
      </w:r>
    </w:p>
    <w:p w14:paraId="15294D0A"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Licenza di Gestione Client per Utente per Windows</w:t>
      </w:r>
      <w:r w:rsidRPr="00F04412">
        <w:rPr>
          <w:rFonts w:cs="Tahoma"/>
          <w:vertAlign w:val="superscript"/>
          <w:lang w:val="it-IT"/>
        </w:rPr>
        <w:t>®</w:t>
      </w:r>
      <w:r w:rsidRPr="00F04412">
        <w:rPr>
          <w:rFonts w:cs="Tahoma"/>
          <w:lang w:val="it-IT"/>
        </w:rPr>
        <w:t xml:space="preserve"> Embedded Device Manager 2011</w:t>
      </w:r>
      <w:r w:rsidRPr="00F04412">
        <w:rPr>
          <w:lang w:val="it-IT"/>
        </w:rPr>
        <w:tab/>
      </w:r>
      <w:r>
        <w:fldChar w:fldCharType="begin"/>
      </w:r>
      <w:r w:rsidRPr="00F04412">
        <w:rPr>
          <w:lang w:val="it-IT"/>
        </w:rPr>
        <w:instrText xml:space="preserve"> PAGEREF _Toc371663512 \h </w:instrText>
      </w:r>
      <w:r>
        <w:fldChar w:fldCharType="separate"/>
      </w:r>
      <w:r w:rsidR="003F471F" w:rsidRPr="00F04412">
        <w:rPr>
          <w:lang w:val="it-IT"/>
        </w:rPr>
        <w:t>25</w:t>
      </w:r>
      <w:r>
        <w:fldChar w:fldCharType="end"/>
      </w:r>
    </w:p>
    <w:p w14:paraId="6C7D28F6" w14:textId="77777777" w:rsidR="00B03E8D" w:rsidRDefault="00B03E8D">
      <w:pPr>
        <w:pStyle w:val="TOC2"/>
        <w:rPr>
          <w:rFonts w:asciiTheme="minorHAnsi" w:eastAsiaTheme="minorEastAsia" w:hAnsiTheme="minorHAnsi" w:cstheme="minorBidi"/>
          <w:sz w:val="22"/>
          <w:szCs w:val="22"/>
        </w:rPr>
      </w:pPr>
      <w:r w:rsidRPr="000F4C33">
        <w:rPr>
          <w:rFonts w:cs="Tahoma"/>
        </w:rPr>
        <w:t>Windows</w:t>
      </w:r>
      <w:r w:rsidRPr="000F4C33">
        <w:rPr>
          <w:rFonts w:cs="Tahoma"/>
          <w:vertAlign w:val="superscript"/>
        </w:rPr>
        <w:t>®</w:t>
      </w:r>
      <w:r w:rsidRPr="000F4C33">
        <w:rPr>
          <w:rFonts w:cs="Tahoma"/>
        </w:rPr>
        <w:t xml:space="preserve"> Embedded Device Manager 2011 con Tecnologia SQL Server</w:t>
      </w:r>
      <w:r w:rsidRPr="000F4C33">
        <w:rPr>
          <w:rFonts w:cs="Tahoma"/>
          <w:vertAlign w:val="superscript"/>
        </w:rPr>
        <w:t>®</w:t>
      </w:r>
      <w:r w:rsidRPr="000F4C33">
        <w:rPr>
          <w:rFonts w:cs="Tahoma"/>
        </w:rPr>
        <w:t xml:space="preserve"> 2008</w:t>
      </w:r>
      <w:r>
        <w:tab/>
      </w:r>
      <w:r>
        <w:fldChar w:fldCharType="begin"/>
      </w:r>
      <w:r>
        <w:instrText xml:space="preserve"> PAGEREF _Toc371663513 \h </w:instrText>
      </w:r>
      <w:r>
        <w:fldChar w:fldCharType="separate"/>
      </w:r>
      <w:r w:rsidR="003F471F">
        <w:t>25</w:t>
      </w:r>
      <w:r>
        <w:fldChar w:fldCharType="end"/>
      </w:r>
    </w:p>
    <w:p w14:paraId="18994547" w14:textId="77777777" w:rsidR="00B03E8D" w:rsidRDefault="00B03E8D">
      <w:pPr>
        <w:pStyle w:val="TOC2"/>
        <w:rPr>
          <w:rFonts w:asciiTheme="minorHAnsi" w:eastAsiaTheme="minorEastAsia" w:hAnsiTheme="minorHAnsi" w:cstheme="minorBidi"/>
          <w:sz w:val="22"/>
          <w:szCs w:val="22"/>
        </w:rPr>
      </w:pPr>
      <w:r w:rsidRPr="000F4C33">
        <w:rPr>
          <w:rFonts w:cs="Tahoma"/>
        </w:rPr>
        <w:t>Windows Essential Business Server 2008 Standard</w:t>
      </w:r>
      <w:r>
        <w:tab/>
      </w:r>
      <w:r>
        <w:fldChar w:fldCharType="begin"/>
      </w:r>
      <w:r>
        <w:instrText xml:space="preserve"> PAGEREF _Toc371663514 \h </w:instrText>
      </w:r>
      <w:r>
        <w:fldChar w:fldCharType="separate"/>
      </w:r>
      <w:r w:rsidR="003F471F">
        <w:t>25</w:t>
      </w:r>
      <w:r>
        <w:fldChar w:fldCharType="end"/>
      </w:r>
    </w:p>
    <w:p w14:paraId="4B037B73" w14:textId="77777777" w:rsidR="00B03E8D" w:rsidRDefault="00B03E8D">
      <w:pPr>
        <w:pStyle w:val="TOC2"/>
        <w:rPr>
          <w:rFonts w:asciiTheme="minorHAnsi" w:eastAsiaTheme="minorEastAsia" w:hAnsiTheme="minorHAnsi" w:cstheme="minorBidi"/>
          <w:sz w:val="22"/>
          <w:szCs w:val="22"/>
        </w:rPr>
      </w:pPr>
      <w:r w:rsidRPr="000F4C33">
        <w:rPr>
          <w:rFonts w:cs="Tahoma"/>
        </w:rPr>
        <w:t>CAL Suite per Windows Essential Business Server 2008</w:t>
      </w:r>
      <w:r>
        <w:tab/>
      </w:r>
      <w:r>
        <w:fldChar w:fldCharType="begin"/>
      </w:r>
      <w:r>
        <w:instrText xml:space="preserve"> PAGEREF _Toc371663515 \h </w:instrText>
      </w:r>
      <w:r>
        <w:fldChar w:fldCharType="separate"/>
      </w:r>
      <w:r w:rsidR="003F471F">
        <w:t>25</w:t>
      </w:r>
      <w:r>
        <w:fldChar w:fldCharType="end"/>
      </w:r>
    </w:p>
    <w:p w14:paraId="5FA3CFA1" w14:textId="77777777" w:rsidR="00B03E8D" w:rsidRDefault="00B03E8D">
      <w:pPr>
        <w:pStyle w:val="TOC2"/>
        <w:rPr>
          <w:rFonts w:asciiTheme="minorHAnsi" w:eastAsiaTheme="minorEastAsia" w:hAnsiTheme="minorHAnsi" w:cstheme="minorBidi"/>
          <w:sz w:val="22"/>
          <w:szCs w:val="22"/>
        </w:rPr>
      </w:pPr>
      <w:r w:rsidRPr="000F4C33">
        <w:rPr>
          <w:rFonts w:cs="Tahoma"/>
        </w:rPr>
        <w:t>CAL Suite per Windows Essential Business Server 2008 (5 client)</w:t>
      </w:r>
      <w:r>
        <w:tab/>
      </w:r>
      <w:r>
        <w:fldChar w:fldCharType="begin"/>
      </w:r>
      <w:r>
        <w:instrText xml:space="preserve"> PAGEREF _Toc371663516 \h </w:instrText>
      </w:r>
      <w:r>
        <w:fldChar w:fldCharType="separate"/>
      </w:r>
      <w:r w:rsidR="003F471F">
        <w:t>25</w:t>
      </w:r>
      <w:r>
        <w:fldChar w:fldCharType="end"/>
      </w:r>
    </w:p>
    <w:p w14:paraId="2A614010" w14:textId="77777777" w:rsidR="00B03E8D" w:rsidRDefault="00B03E8D">
      <w:pPr>
        <w:pStyle w:val="TOC2"/>
        <w:rPr>
          <w:rFonts w:asciiTheme="minorHAnsi" w:eastAsiaTheme="minorEastAsia" w:hAnsiTheme="minorHAnsi" w:cstheme="minorBidi"/>
          <w:sz w:val="22"/>
          <w:szCs w:val="22"/>
        </w:rPr>
      </w:pPr>
      <w:r w:rsidRPr="000F4C33">
        <w:rPr>
          <w:rFonts w:cs="Tahoma"/>
          <w:color w:val="000000"/>
        </w:rPr>
        <w:t>CAL Suite per Windows Essential Business Server 2008 (20 client)</w:t>
      </w:r>
      <w:r>
        <w:tab/>
      </w:r>
      <w:r>
        <w:fldChar w:fldCharType="begin"/>
      </w:r>
      <w:r>
        <w:instrText xml:space="preserve"> PAGEREF _Toc371663517 \h </w:instrText>
      </w:r>
      <w:r>
        <w:fldChar w:fldCharType="separate"/>
      </w:r>
      <w:r w:rsidR="003F471F">
        <w:t>25</w:t>
      </w:r>
      <w:r>
        <w:fldChar w:fldCharType="end"/>
      </w:r>
    </w:p>
    <w:p w14:paraId="6FE360DA" w14:textId="77777777" w:rsidR="00B03E8D" w:rsidRDefault="00B03E8D">
      <w:pPr>
        <w:pStyle w:val="TOC2"/>
        <w:rPr>
          <w:rFonts w:asciiTheme="minorHAnsi" w:eastAsiaTheme="minorEastAsia" w:hAnsiTheme="minorHAnsi" w:cstheme="minorBidi"/>
          <w:sz w:val="22"/>
          <w:szCs w:val="22"/>
        </w:rPr>
      </w:pPr>
      <w:r w:rsidRPr="000F4C33">
        <w:rPr>
          <w:rFonts w:cs="Tahoma"/>
        </w:rPr>
        <w:t>CAL Suite per Windows Essential Business Server 2008 (50 client)</w:t>
      </w:r>
      <w:r>
        <w:tab/>
      </w:r>
      <w:r>
        <w:fldChar w:fldCharType="begin"/>
      </w:r>
      <w:r>
        <w:instrText xml:space="preserve"> PAGEREF _Toc371663518 \h </w:instrText>
      </w:r>
      <w:r>
        <w:fldChar w:fldCharType="separate"/>
      </w:r>
      <w:r w:rsidR="003F471F">
        <w:t>25</w:t>
      </w:r>
      <w:r>
        <w:fldChar w:fldCharType="end"/>
      </w:r>
    </w:p>
    <w:p w14:paraId="0107907F" w14:textId="77777777" w:rsidR="00B03E8D" w:rsidRDefault="00B03E8D">
      <w:pPr>
        <w:pStyle w:val="TOC2"/>
        <w:rPr>
          <w:rFonts w:asciiTheme="minorHAnsi" w:eastAsiaTheme="minorEastAsia" w:hAnsiTheme="minorHAnsi" w:cstheme="minorBidi"/>
          <w:sz w:val="22"/>
          <w:szCs w:val="22"/>
        </w:rPr>
      </w:pPr>
      <w:r w:rsidRPr="000F4C33">
        <w:rPr>
          <w:rFonts w:cs="Tahoma"/>
        </w:rPr>
        <w:t>Windows Essential Business Server 2008 Premium</w:t>
      </w:r>
      <w:r>
        <w:tab/>
      </w:r>
      <w:r>
        <w:fldChar w:fldCharType="begin"/>
      </w:r>
      <w:r>
        <w:instrText xml:space="preserve"> PAGEREF _Toc371663519 \h </w:instrText>
      </w:r>
      <w:r>
        <w:fldChar w:fldCharType="separate"/>
      </w:r>
      <w:r w:rsidR="003F471F">
        <w:t>25</w:t>
      </w:r>
      <w:r>
        <w:fldChar w:fldCharType="end"/>
      </w:r>
    </w:p>
    <w:p w14:paraId="1A3F1103"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CAL Suite per Windows Essential Business Server 2008 per Utenti o Dispositivi Premium</w:t>
      </w:r>
      <w:r w:rsidRPr="00F04412">
        <w:rPr>
          <w:lang w:val="it-IT"/>
        </w:rPr>
        <w:tab/>
      </w:r>
      <w:r>
        <w:fldChar w:fldCharType="begin"/>
      </w:r>
      <w:r w:rsidRPr="00F04412">
        <w:rPr>
          <w:lang w:val="it-IT"/>
        </w:rPr>
        <w:instrText xml:space="preserve"> PAGEREF _Toc371663520 \h </w:instrText>
      </w:r>
      <w:r>
        <w:fldChar w:fldCharType="separate"/>
      </w:r>
      <w:r w:rsidR="003F471F" w:rsidRPr="00F04412">
        <w:rPr>
          <w:lang w:val="it-IT"/>
        </w:rPr>
        <w:t>25</w:t>
      </w:r>
      <w:r>
        <w:fldChar w:fldCharType="end"/>
      </w:r>
    </w:p>
    <w:p w14:paraId="007C4E67"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CAL Suite per Windows Essential Business Server 2008 per Utenti o Dispositivi Premium (5 client)</w:t>
      </w:r>
      <w:r w:rsidRPr="00F04412">
        <w:rPr>
          <w:lang w:val="it-IT"/>
        </w:rPr>
        <w:tab/>
      </w:r>
      <w:r>
        <w:fldChar w:fldCharType="begin"/>
      </w:r>
      <w:r w:rsidRPr="00F04412">
        <w:rPr>
          <w:lang w:val="it-IT"/>
        </w:rPr>
        <w:instrText xml:space="preserve"> PAGEREF _Toc371663521 \h </w:instrText>
      </w:r>
      <w:r>
        <w:fldChar w:fldCharType="separate"/>
      </w:r>
      <w:r w:rsidR="003F471F" w:rsidRPr="00F04412">
        <w:rPr>
          <w:lang w:val="it-IT"/>
        </w:rPr>
        <w:t>25</w:t>
      </w:r>
      <w:r>
        <w:fldChar w:fldCharType="end"/>
      </w:r>
    </w:p>
    <w:p w14:paraId="3BD867C6"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CAL Suite per Windows Essential Business Server 2008 per Utenti o Dispositivi Premium (20 client)</w:t>
      </w:r>
      <w:r w:rsidRPr="00F04412">
        <w:rPr>
          <w:lang w:val="it-IT"/>
        </w:rPr>
        <w:tab/>
      </w:r>
      <w:r>
        <w:fldChar w:fldCharType="begin"/>
      </w:r>
      <w:r w:rsidRPr="00F04412">
        <w:rPr>
          <w:lang w:val="it-IT"/>
        </w:rPr>
        <w:instrText xml:space="preserve"> PAGEREF _Toc371663522 \h </w:instrText>
      </w:r>
      <w:r>
        <w:fldChar w:fldCharType="separate"/>
      </w:r>
      <w:r w:rsidR="003F471F" w:rsidRPr="00F04412">
        <w:rPr>
          <w:lang w:val="it-IT"/>
        </w:rPr>
        <w:t>25</w:t>
      </w:r>
      <w:r>
        <w:fldChar w:fldCharType="end"/>
      </w:r>
    </w:p>
    <w:p w14:paraId="7811E86A"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CAL Suite per Windows Essential Business Server 2008 per Utenti o Dispositivi Premium (50 client)</w:t>
      </w:r>
      <w:r w:rsidRPr="00F04412">
        <w:rPr>
          <w:lang w:val="it-IT"/>
        </w:rPr>
        <w:tab/>
      </w:r>
      <w:r>
        <w:fldChar w:fldCharType="begin"/>
      </w:r>
      <w:r w:rsidRPr="00F04412">
        <w:rPr>
          <w:lang w:val="it-IT"/>
        </w:rPr>
        <w:instrText xml:space="preserve"> PAGEREF _Toc371663523 \h </w:instrText>
      </w:r>
      <w:r>
        <w:fldChar w:fldCharType="separate"/>
      </w:r>
      <w:r w:rsidR="003F471F" w:rsidRPr="00F04412">
        <w:rPr>
          <w:lang w:val="it-IT"/>
        </w:rPr>
        <w:t>25</w:t>
      </w:r>
      <w:r>
        <w:fldChar w:fldCharType="end"/>
      </w:r>
    </w:p>
    <w:p w14:paraId="620E1128" w14:textId="77777777" w:rsidR="00B03E8D" w:rsidRDefault="00B03E8D">
      <w:pPr>
        <w:pStyle w:val="TOC2"/>
        <w:rPr>
          <w:rFonts w:asciiTheme="minorHAnsi" w:eastAsiaTheme="minorEastAsia" w:hAnsiTheme="minorHAnsi" w:cstheme="minorBidi"/>
          <w:sz w:val="22"/>
          <w:szCs w:val="22"/>
        </w:rPr>
      </w:pPr>
      <w:r w:rsidRPr="000F4C33">
        <w:rPr>
          <w:rFonts w:cs="Tahoma"/>
        </w:rPr>
        <w:t>Windows HPC Server 2008 R2 Suite</w:t>
      </w:r>
      <w:r>
        <w:tab/>
      </w:r>
      <w:r>
        <w:fldChar w:fldCharType="begin"/>
      </w:r>
      <w:r>
        <w:instrText xml:space="preserve"> PAGEREF _Toc371663524 \h </w:instrText>
      </w:r>
      <w:r>
        <w:fldChar w:fldCharType="separate"/>
      </w:r>
      <w:r w:rsidR="003F471F">
        <w:t>26</w:t>
      </w:r>
      <w:r>
        <w:fldChar w:fldCharType="end"/>
      </w:r>
    </w:p>
    <w:p w14:paraId="50B5260A" w14:textId="77777777" w:rsidR="00B03E8D" w:rsidRDefault="00B03E8D">
      <w:pPr>
        <w:pStyle w:val="TOC2"/>
        <w:rPr>
          <w:rFonts w:asciiTheme="minorHAnsi" w:eastAsiaTheme="minorEastAsia" w:hAnsiTheme="minorHAnsi" w:cstheme="minorBidi"/>
          <w:sz w:val="22"/>
          <w:szCs w:val="22"/>
        </w:rPr>
      </w:pPr>
      <w:r w:rsidRPr="000F4C33">
        <w:rPr>
          <w:rFonts w:cs="Tahoma"/>
        </w:rPr>
        <w:t xml:space="preserve">Componente Aggiuntivo per Windows Intune per System Center Configuration Manager e System Center </w:t>
      </w:r>
      <w:r w:rsidR="00737018">
        <w:rPr>
          <w:rFonts w:cs="Tahoma"/>
        </w:rPr>
        <w:br/>
      </w:r>
      <w:r w:rsidRPr="000F4C33">
        <w:rPr>
          <w:rFonts w:cs="Tahoma"/>
        </w:rPr>
        <w:t>EndPoint Protection (Per Utente)</w:t>
      </w:r>
      <w:r>
        <w:tab/>
      </w:r>
      <w:r>
        <w:fldChar w:fldCharType="begin"/>
      </w:r>
      <w:r>
        <w:instrText xml:space="preserve"> PAGEREF _Toc371663525 \h </w:instrText>
      </w:r>
      <w:r>
        <w:fldChar w:fldCharType="separate"/>
      </w:r>
      <w:r w:rsidR="003F471F">
        <w:t>26</w:t>
      </w:r>
      <w:r>
        <w:fldChar w:fldCharType="end"/>
      </w:r>
    </w:p>
    <w:p w14:paraId="508126CC" w14:textId="77777777" w:rsidR="00B03E8D" w:rsidRDefault="00B03E8D">
      <w:pPr>
        <w:pStyle w:val="TOC2"/>
        <w:rPr>
          <w:rFonts w:asciiTheme="minorHAnsi" w:eastAsiaTheme="minorEastAsia" w:hAnsiTheme="minorHAnsi" w:cstheme="minorBidi"/>
          <w:sz w:val="22"/>
          <w:szCs w:val="22"/>
        </w:rPr>
      </w:pPr>
      <w:r w:rsidRPr="000F4C33">
        <w:rPr>
          <w:rFonts w:cs="Tahoma"/>
        </w:rPr>
        <w:t>Windows Intune (Per Utente)</w:t>
      </w:r>
      <w:r>
        <w:tab/>
      </w:r>
      <w:r>
        <w:fldChar w:fldCharType="begin"/>
      </w:r>
      <w:r>
        <w:instrText xml:space="preserve"> PAGEREF _Toc371663526 \h </w:instrText>
      </w:r>
      <w:r>
        <w:fldChar w:fldCharType="separate"/>
      </w:r>
      <w:r w:rsidR="003F471F">
        <w:t>26</w:t>
      </w:r>
      <w:r>
        <w:fldChar w:fldCharType="end"/>
      </w:r>
    </w:p>
    <w:p w14:paraId="05BA3FCC" w14:textId="77777777" w:rsidR="00B03E8D" w:rsidRDefault="00B03E8D">
      <w:pPr>
        <w:pStyle w:val="TOC2"/>
        <w:rPr>
          <w:rFonts w:asciiTheme="minorHAnsi" w:eastAsiaTheme="minorEastAsia" w:hAnsiTheme="minorHAnsi" w:cstheme="minorBidi"/>
          <w:sz w:val="22"/>
          <w:szCs w:val="22"/>
        </w:rPr>
      </w:pPr>
      <w:r w:rsidRPr="000F4C33">
        <w:rPr>
          <w:rFonts w:cs="Tahoma"/>
        </w:rPr>
        <w:t>USL Add-On per Windows Intune Extra Storage 1 GB</w:t>
      </w:r>
      <w:r>
        <w:tab/>
      </w:r>
      <w:r>
        <w:fldChar w:fldCharType="begin"/>
      </w:r>
      <w:r>
        <w:instrText xml:space="preserve"> PAGEREF _Toc371663527 \h </w:instrText>
      </w:r>
      <w:r>
        <w:fldChar w:fldCharType="separate"/>
      </w:r>
      <w:r w:rsidR="003F471F">
        <w:t>26</w:t>
      </w:r>
      <w:r>
        <w:fldChar w:fldCharType="end"/>
      </w:r>
    </w:p>
    <w:p w14:paraId="552E26DC" w14:textId="77777777" w:rsidR="00B03E8D" w:rsidRDefault="00B03E8D">
      <w:pPr>
        <w:pStyle w:val="TOC2"/>
        <w:rPr>
          <w:rFonts w:asciiTheme="minorHAnsi" w:eastAsiaTheme="minorEastAsia" w:hAnsiTheme="minorHAnsi" w:cstheme="minorBidi"/>
          <w:sz w:val="22"/>
          <w:szCs w:val="22"/>
        </w:rPr>
      </w:pPr>
      <w:r w:rsidRPr="000F4C33">
        <w:rPr>
          <w:rFonts w:cs="Tahoma"/>
        </w:rPr>
        <w:t>Windows MultiPoint Server 2012 Standard</w:t>
      </w:r>
      <w:r>
        <w:tab/>
      </w:r>
      <w:r>
        <w:fldChar w:fldCharType="begin"/>
      </w:r>
      <w:r>
        <w:instrText xml:space="preserve"> PAGEREF _Toc371663528 \h </w:instrText>
      </w:r>
      <w:r>
        <w:fldChar w:fldCharType="separate"/>
      </w:r>
      <w:r w:rsidR="003F471F">
        <w:t>26</w:t>
      </w:r>
      <w:r>
        <w:fldChar w:fldCharType="end"/>
      </w:r>
    </w:p>
    <w:p w14:paraId="6695B723" w14:textId="77777777" w:rsidR="00B03E8D" w:rsidRDefault="00B03E8D">
      <w:pPr>
        <w:pStyle w:val="TOC2"/>
        <w:rPr>
          <w:rFonts w:asciiTheme="minorHAnsi" w:eastAsiaTheme="minorEastAsia" w:hAnsiTheme="minorHAnsi" w:cstheme="minorBidi"/>
          <w:sz w:val="22"/>
          <w:szCs w:val="22"/>
        </w:rPr>
      </w:pPr>
      <w:r w:rsidRPr="000F4C33">
        <w:rPr>
          <w:rFonts w:cs="Tahoma"/>
        </w:rPr>
        <w:t>Windows MultiPoint Server 2012 Premium</w:t>
      </w:r>
      <w:r>
        <w:tab/>
      </w:r>
      <w:r>
        <w:fldChar w:fldCharType="begin"/>
      </w:r>
      <w:r>
        <w:instrText xml:space="preserve"> PAGEREF _Toc371663529 \h </w:instrText>
      </w:r>
      <w:r>
        <w:fldChar w:fldCharType="separate"/>
      </w:r>
      <w:r w:rsidR="003F471F">
        <w:t>26</w:t>
      </w:r>
      <w:r>
        <w:fldChar w:fldCharType="end"/>
      </w:r>
    </w:p>
    <w:p w14:paraId="189FA52A" w14:textId="77777777" w:rsidR="00B03E8D" w:rsidRDefault="00B03E8D">
      <w:pPr>
        <w:pStyle w:val="TOC2"/>
        <w:rPr>
          <w:rFonts w:asciiTheme="minorHAnsi" w:eastAsiaTheme="minorEastAsia" w:hAnsiTheme="minorHAnsi" w:cstheme="minorBidi"/>
          <w:sz w:val="22"/>
          <w:szCs w:val="22"/>
        </w:rPr>
      </w:pPr>
      <w:r w:rsidRPr="000F4C33">
        <w:rPr>
          <w:rFonts w:cs="Tahoma"/>
        </w:rPr>
        <w:t>CAL per Windows MultiPoint Server 2012</w:t>
      </w:r>
      <w:r>
        <w:tab/>
      </w:r>
      <w:r>
        <w:fldChar w:fldCharType="begin"/>
      </w:r>
      <w:r>
        <w:instrText xml:space="preserve"> PAGEREF _Toc371663530 \h </w:instrText>
      </w:r>
      <w:r>
        <w:fldChar w:fldCharType="separate"/>
      </w:r>
      <w:r w:rsidR="003F471F">
        <w:t>26</w:t>
      </w:r>
      <w:r>
        <w:fldChar w:fldCharType="end"/>
      </w:r>
    </w:p>
    <w:p w14:paraId="3F9001DE" w14:textId="77777777" w:rsidR="00B03E8D" w:rsidRDefault="00B03E8D">
      <w:pPr>
        <w:pStyle w:val="TOC2"/>
        <w:rPr>
          <w:rFonts w:asciiTheme="minorHAnsi" w:eastAsiaTheme="minorEastAsia" w:hAnsiTheme="minorHAnsi" w:cstheme="minorBidi"/>
          <w:sz w:val="22"/>
          <w:szCs w:val="22"/>
        </w:rPr>
      </w:pPr>
      <w:r w:rsidRPr="000F4C33">
        <w:rPr>
          <w:rFonts w:cs="Tahoma"/>
        </w:rPr>
        <w:t>CAL per Windows MultiPoint Server 2012 con CAL per Windows Server 2012</w:t>
      </w:r>
      <w:r>
        <w:tab/>
      </w:r>
      <w:r>
        <w:fldChar w:fldCharType="begin"/>
      </w:r>
      <w:r>
        <w:instrText xml:space="preserve"> PAGEREF _Toc371663531 \h </w:instrText>
      </w:r>
      <w:r>
        <w:fldChar w:fldCharType="separate"/>
      </w:r>
      <w:r w:rsidR="003F471F">
        <w:t>26</w:t>
      </w:r>
      <w:r>
        <w:fldChar w:fldCharType="end"/>
      </w:r>
    </w:p>
    <w:p w14:paraId="12A471AD" w14:textId="77777777" w:rsidR="00B03E8D" w:rsidRDefault="00B03E8D">
      <w:pPr>
        <w:pStyle w:val="TOC2"/>
        <w:rPr>
          <w:rFonts w:asciiTheme="minorHAnsi" w:eastAsiaTheme="minorEastAsia" w:hAnsiTheme="minorHAnsi" w:cstheme="minorBidi"/>
          <w:sz w:val="22"/>
          <w:szCs w:val="22"/>
        </w:rPr>
      </w:pPr>
      <w:r w:rsidRPr="000F4C33">
        <w:rPr>
          <w:rFonts w:cs="Tahoma"/>
        </w:rPr>
        <w:t>Windows MultiPoint Server 2012 Premium con Windows MultiPoint Server 2012 (CAL) (5 Client)</w:t>
      </w:r>
      <w:r>
        <w:tab/>
      </w:r>
      <w:r>
        <w:fldChar w:fldCharType="begin"/>
      </w:r>
      <w:r>
        <w:instrText xml:space="preserve"> PAGEREF _Toc371663532 \h </w:instrText>
      </w:r>
      <w:r>
        <w:fldChar w:fldCharType="separate"/>
      </w:r>
      <w:r w:rsidR="003F471F">
        <w:t>26</w:t>
      </w:r>
      <w:r>
        <w:fldChar w:fldCharType="end"/>
      </w:r>
    </w:p>
    <w:p w14:paraId="49A9AD06" w14:textId="77777777" w:rsidR="00B03E8D" w:rsidRDefault="00B03E8D">
      <w:pPr>
        <w:pStyle w:val="TOC2"/>
        <w:rPr>
          <w:rFonts w:asciiTheme="minorHAnsi" w:eastAsiaTheme="minorEastAsia" w:hAnsiTheme="minorHAnsi" w:cstheme="minorBidi"/>
          <w:sz w:val="22"/>
          <w:szCs w:val="22"/>
        </w:rPr>
      </w:pPr>
      <w:r w:rsidRPr="000F4C33">
        <w:rPr>
          <w:rFonts w:cs="Tahoma"/>
        </w:rPr>
        <w:t xml:space="preserve">Windows MultiPoint Server 2012 Premium con Windows MultiPoint Server 2012 (CAL) (5 Client) </w:t>
      </w:r>
      <w:r w:rsidR="00737018">
        <w:rPr>
          <w:rFonts w:cs="Tahoma"/>
        </w:rPr>
        <w:br/>
      </w:r>
      <w:r w:rsidRPr="000F4C33">
        <w:rPr>
          <w:rFonts w:cs="Tahoma"/>
        </w:rPr>
        <w:t>con Windows Server 2012 (CAL) (5 Client)</w:t>
      </w:r>
      <w:r>
        <w:tab/>
      </w:r>
      <w:r>
        <w:fldChar w:fldCharType="begin"/>
      </w:r>
      <w:r>
        <w:instrText xml:space="preserve"> PAGEREF _Toc371663533 \h </w:instrText>
      </w:r>
      <w:r>
        <w:fldChar w:fldCharType="separate"/>
      </w:r>
      <w:r w:rsidR="003F471F">
        <w:t>26</w:t>
      </w:r>
      <w:r>
        <w:fldChar w:fldCharType="end"/>
      </w:r>
    </w:p>
    <w:p w14:paraId="0D5F9B58" w14:textId="77777777" w:rsidR="00B03E8D" w:rsidRDefault="00B03E8D">
      <w:pPr>
        <w:pStyle w:val="TOC2"/>
        <w:rPr>
          <w:rFonts w:asciiTheme="minorHAnsi" w:eastAsiaTheme="minorEastAsia" w:hAnsiTheme="minorHAnsi" w:cstheme="minorBidi"/>
          <w:sz w:val="22"/>
          <w:szCs w:val="22"/>
        </w:rPr>
      </w:pPr>
      <w:r w:rsidRPr="000F4C33">
        <w:rPr>
          <w:rFonts w:cs="Tahoma"/>
        </w:rPr>
        <w:t>Windows Server™ 2008 R2 HPC Edition</w:t>
      </w:r>
      <w:r>
        <w:tab/>
      </w:r>
      <w:r>
        <w:fldChar w:fldCharType="begin"/>
      </w:r>
      <w:r>
        <w:instrText xml:space="preserve"> PAGEREF _Toc371663534 \h </w:instrText>
      </w:r>
      <w:r>
        <w:fldChar w:fldCharType="separate"/>
      </w:r>
      <w:r w:rsidR="003F471F">
        <w:t>26</w:t>
      </w:r>
      <w:r>
        <w:fldChar w:fldCharType="end"/>
      </w:r>
    </w:p>
    <w:p w14:paraId="27D7427B" w14:textId="77777777" w:rsidR="00B03E8D" w:rsidRDefault="00B03E8D">
      <w:pPr>
        <w:pStyle w:val="TOC2"/>
        <w:rPr>
          <w:rFonts w:asciiTheme="minorHAnsi" w:eastAsiaTheme="minorEastAsia" w:hAnsiTheme="minorHAnsi" w:cstheme="minorBidi"/>
          <w:sz w:val="22"/>
          <w:szCs w:val="22"/>
        </w:rPr>
      </w:pPr>
      <w:r w:rsidRPr="000F4C33">
        <w:rPr>
          <w:rFonts w:cs="Tahoma"/>
        </w:rPr>
        <w:t>Windows Server™ 2008 R2 Enterprise</w:t>
      </w:r>
      <w:r>
        <w:tab/>
      </w:r>
      <w:r>
        <w:fldChar w:fldCharType="begin"/>
      </w:r>
      <w:r>
        <w:instrText xml:space="preserve"> PAGEREF _Toc371663535 \h </w:instrText>
      </w:r>
      <w:r>
        <w:fldChar w:fldCharType="separate"/>
      </w:r>
      <w:r w:rsidR="003F471F">
        <w:t>26</w:t>
      </w:r>
      <w:r>
        <w:fldChar w:fldCharType="end"/>
      </w:r>
    </w:p>
    <w:p w14:paraId="081E356A" w14:textId="77777777" w:rsidR="00B03E8D" w:rsidRDefault="00B03E8D">
      <w:pPr>
        <w:pStyle w:val="TOC2"/>
        <w:rPr>
          <w:rFonts w:asciiTheme="minorHAnsi" w:eastAsiaTheme="minorEastAsia" w:hAnsiTheme="minorHAnsi" w:cstheme="minorBidi"/>
          <w:sz w:val="22"/>
          <w:szCs w:val="22"/>
        </w:rPr>
      </w:pPr>
      <w:r w:rsidRPr="000F4C33">
        <w:rPr>
          <w:rFonts w:cs="Tahoma"/>
        </w:rPr>
        <w:t>Windows Server™ 2008 R2 per Sistemi Basati su Itanium</w:t>
      </w:r>
      <w:r>
        <w:tab/>
      </w:r>
      <w:r>
        <w:fldChar w:fldCharType="begin"/>
      </w:r>
      <w:r>
        <w:instrText xml:space="preserve"> PAGEREF _Toc371663536 \h </w:instrText>
      </w:r>
      <w:r>
        <w:fldChar w:fldCharType="separate"/>
      </w:r>
      <w:r w:rsidR="003F471F">
        <w:t>26</w:t>
      </w:r>
      <w:r>
        <w:fldChar w:fldCharType="end"/>
      </w:r>
    </w:p>
    <w:p w14:paraId="09F3D6FD"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CAL per Windows Server™ 2012 (Dispositivo e Utente)</w:t>
      </w:r>
      <w:r w:rsidRPr="00F04412">
        <w:rPr>
          <w:lang w:val="it-IT"/>
        </w:rPr>
        <w:tab/>
      </w:r>
      <w:r>
        <w:fldChar w:fldCharType="begin"/>
      </w:r>
      <w:r w:rsidRPr="00F04412">
        <w:rPr>
          <w:lang w:val="it-IT"/>
        </w:rPr>
        <w:instrText xml:space="preserve"> PAGEREF _Toc371663537 \h </w:instrText>
      </w:r>
      <w:r>
        <w:fldChar w:fldCharType="separate"/>
      </w:r>
      <w:r w:rsidR="003F471F" w:rsidRPr="00F04412">
        <w:rPr>
          <w:lang w:val="it-IT"/>
        </w:rPr>
        <w:t>26</w:t>
      </w:r>
      <w:r>
        <w:fldChar w:fldCharType="end"/>
      </w:r>
    </w:p>
    <w:p w14:paraId="6A8B5337" w14:textId="77777777" w:rsidR="00B03E8D" w:rsidRPr="00F04412" w:rsidRDefault="00B03E8D">
      <w:pPr>
        <w:pStyle w:val="TOC2"/>
        <w:rPr>
          <w:rFonts w:asciiTheme="minorHAnsi" w:eastAsiaTheme="minorEastAsia" w:hAnsiTheme="minorHAnsi" w:cstheme="minorBidi"/>
          <w:sz w:val="22"/>
          <w:szCs w:val="22"/>
          <w:lang w:val="pt-BR"/>
        </w:rPr>
      </w:pPr>
      <w:r w:rsidRPr="00F04412">
        <w:rPr>
          <w:rFonts w:cs="Tahoma"/>
          <w:lang w:val="pt-BR"/>
        </w:rPr>
        <w:t>Windows Server™ 2012 R2 Datacenter</w:t>
      </w:r>
      <w:r w:rsidRPr="00F04412">
        <w:rPr>
          <w:lang w:val="pt-BR"/>
        </w:rPr>
        <w:tab/>
      </w:r>
      <w:r>
        <w:fldChar w:fldCharType="begin"/>
      </w:r>
      <w:r w:rsidRPr="00F04412">
        <w:rPr>
          <w:lang w:val="pt-BR"/>
        </w:rPr>
        <w:instrText xml:space="preserve"> PAGEREF _Toc371663538 \h </w:instrText>
      </w:r>
      <w:r>
        <w:fldChar w:fldCharType="separate"/>
      </w:r>
      <w:r w:rsidR="003F471F" w:rsidRPr="00F04412">
        <w:rPr>
          <w:lang w:val="pt-BR"/>
        </w:rPr>
        <w:t>26</w:t>
      </w:r>
      <w:r>
        <w:fldChar w:fldCharType="end"/>
      </w:r>
    </w:p>
    <w:p w14:paraId="7E0464BB" w14:textId="77777777" w:rsidR="00B03E8D" w:rsidRPr="00F04412" w:rsidRDefault="00B03E8D">
      <w:pPr>
        <w:pStyle w:val="TOC2"/>
        <w:rPr>
          <w:rFonts w:asciiTheme="minorHAnsi" w:eastAsiaTheme="minorEastAsia" w:hAnsiTheme="minorHAnsi" w:cstheme="minorBidi"/>
          <w:sz w:val="22"/>
          <w:szCs w:val="22"/>
          <w:lang w:val="pt-BR"/>
        </w:rPr>
      </w:pPr>
      <w:r w:rsidRPr="00F04412">
        <w:rPr>
          <w:rFonts w:cs="Tahoma"/>
          <w:lang w:val="pt-BR"/>
        </w:rPr>
        <w:t>Windows Server™ 2012 R2 Standard</w:t>
      </w:r>
      <w:r w:rsidRPr="00F04412">
        <w:rPr>
          <w:lang w:val="pt-BR"/>
        </w:rPr>
        <w:tab/>
      </w:r>
      <w:r>
        <w:fldChar w:fldCharType="begin"/>
      </w:r>
      <w:r w:rsidRPr="00F04412">
        <w:rPr>
          <w:lang w:val="pt-BR"/>
        </w:rPr>
        <w:instrText xml:space="preserve"> PAGEREF _Toc371663539 \h </w:instrText>
      </w:r>
      <w:r>
        <w:fldChar w:fldCharType="separate"/>
      </w:r>
      <w:r w:rsidR="003F471F" w:rsidRPr="00F04412">
        <w:rPr>
          <w:lang w:val="pt-BR"/>
        </w:rPr>
        <w:t>26</w:t>
      </w:r>
      <w:r>
        <w:fldChar w:fldCharType="end"/>
      </w:r>
    </w:p>
    <w:p w14:paraId="09994E87" w14:textId="77777777" w:rsidR="00B03E8D" w:rsidRDefault="00B03E8D">
      <w:pPr>
        <w:pStyle w:val="TOC2"/>
        <w:rPr>
          <w:rFonts w:asciiTheme="minorHAnsi" w:eastAsiaTheme="minorEastAsia" w:hAnsiTheme="minorHAnsi" w:cstheme="minorBidi"/>
          <w:sz w:val="22"/>
          <w:szCs w:val="22"/>
        </w:rPr>
      </w:pPr>
      <w:r w:rsidRPr="000F4C33">
        <w:rPr>
          <w:rFonts w:cs="Tahoma"/>
        </w:rPr>
        <w:t>External Connector per Windows Server™</w:t>
      </w:r>
      <w:r>
        <w:tab/>
      </w:r>
      <w:r>
        <w:fldChar w:fldCharType="begin"/>
      </w:r>
      <w:r>
        <w:instrText xml:space="preserve"> PAGEREF _Toc371663540 \h </w:instrText>
      </w:r>
      <w:r>
        <w:fldChar w:fldCharType="separate"/>
      </w:r>
      <w:r w:rsidR="003F471F">
        <w:t>26</w:t>
      </w:r>
      <w:r>
        <w:fldChar w:fldCharType="end"/>
      </w:r>
    </w:p>
    <w:p w14:paraId="5966366E"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CAL per Servizi Desktop Remoto Windows Server™ 2012</w:t>
      </w:r>
      <w:r w:rsidRPr="00F04412">
        <w:rPr>
          <w:lang w:val="it-IT"/>
        </w:rPr>
        <w:tab/>
      </w:r>
      <w:r>
        <w:fldChar w:fldCharType="begin"/>
      </w:r>
      <w:r w:rsidRPr="00F04412">
        <w:rPr>
          <w:lang w:val="it-IT"/>
        </w:rPr>
        <w:instrText xml:space="preserve"> PAGEREF _Toc371663541 \h </w:instrText>
      </w:r>
      <w:r>
        <w:fldChar w:fldCharType="separate"/>
      </w:r>
      <w:r w:rsidR="003F471F" w:rsidRPr="00F04412">
        <w:rPr>
          <w:lang w:val="it-IT"/>
        </w:rPr>
        <w:t>26</w:t>
      </w:r>
      <w:r>
        <w:fldChar w:fldCharType="end"/>
      </w:r>
    </w:p>
    <w:p w14:paraId="41430C4D" w14:textId="77777777" w:rsidR="00B03E8D" w:rsidRDefault="00B03E8D">
      <w:pPr>
        <w:pStyle w:val="TOC2"/>
        <w:rPr>
          <w:rFonts w:asciiTheme="minorHAnsi" w:eastAsiaTheme="minorEastAsia" w:hAnsiTheme="minorHAnsi" w:cstheme="minorBidi"/>
          <w:sz w:val="22"/>
          <w:szCs w:val="22"/>
        </w:rPr>
      </w:pPr>
      <w:r w:rsidRPr="000F4C33">
        <w:rPr>
          <w:rFonts w:cs="Tahoma"/>
        </w:rPr>
        <w:t>External Connector per Servizi Desktop Remoto Windows Server™ 2012</w:t>
      </w:r>
      <w:r>
        <w:tab/>
      </w:r>
      <w:r>
        <w:fldChar w:fldCharType="begin"/>
      </w:r>
      <w:r>
        <w:instrText xml:space="preserve"> PAGEREF _Toc371663542 \h </w:instrText>
      </w:r>
      <w:r>
        <w:fldChar w:fldCharType="separate"/>
      </w:r>
      <w:r w:rsidR="003F471F">
        <w:t>26</w:t>
      </w:r>
      <w:r>
        <w:fldChar w:fldCharType="end"/>
      </w:r>
    </w:p>
    <w:p w14:paraId="443BC6DB" w14:textId="77777777" w:rsidR="00B03E8D" w:rsidRDefault="00B03E8D">
      <w:pPr>
        <w:pStyle w:val="TOC2"/>
        <w:rPr>
          <w:rFonts w:asciiTheme="minorHAnsi" w:eastAsiaTheme="minorEastAsia" w:hAnsiTheme="minorHAnsi" w:cstheme="minorBidi"/>
          <w:sz w:val="22"/>
          <w:szCs w:val="22"/>
        </w:rPr>
      </w:pPr>
      <w:r w:rsidRPr="000F4C33">
        <w:rPr>
          <w:rFonts w:cs="Tahoma"/>
        </w:rPr>
        <w:t>CAL per Windows Server™ 2012 Active Directory Rights Management Services</w:t>
      </w:r>
      <w:r>
        <w:tab/>
      </w:r>
      <w:r>
        <w:fldChar w:fldCharType="begin"/>
      </w:r>
      <w:r>
        <w:instrText xml:space="preserve"> PAGEREF _Toc371663543 \h </w:instrText>
      </w:r>
      <w:r>
        <w:fldChar w:fldCharType="separate"/>
      </w:r>
      <w:r w:rsidR="003F471F">
        <w:t>26</w:t>
      </w:r>
      <w:r>
        <w:fldChar w:fldCharType="end"/>
      </w:r>
    </w:p>
    <w:p w14:paraId="44489414" w14:textId="77777777" w:rsidR="00B03E8D" w:rsidRDefault="00B03E8D">
      <w:pPr>
        <w:pStyle w:val="TOC2"/>
        <w:rPr>
          <w:rFonts w:asciiTheme="minorHAnsi" w:eastAsiaTheme="minorEastAsia" w:hAnsiTheme="minorHAnsi" w:cstheme="minorBidi"/>
          <w:sz w:val="22"/>
          <w:szCs w:val="22"/>
        </w:rPr>
      </w:pPr>
      <w:r w:rsidRPr="000F4C33">
        <w:rPr>
          <w:rFonts w:cs="Tahoma"/>
        </w:rPr>
        <w:t>External Connector per Windows Server™ Active Directory Rights Management Services</w:t>
      </w:r>
      <w:r>
        <w:tab/>
      </w:r>
      <w:r>
        <w:fldChar w:fldCharType="begin"/>
      </w:r>
      <w:r>
        <w:instrText xml:space="preserve"> PAGEREF _Toc371663544 \h </w:instrText>
      </w:r>
      <w:r>
        <w:fldChar w:fldCharType="separate"/>
      </w:r>
      <w:r w:rsidR="003F471F">
        <w:t>26</w:t>
      </w:r>
      <w:r>
        <w:fldChar w:fldCharType="end"/>
      </w:r>
    </w:p>
    <w:p w14:paraId="2F6598E9" w14:textId="77777777" w:rsidR="00B03E8D" w:rsidRDefault="00B03E8D">
      <w:pPr>
        <w:pStyle w:val="TOC2"/>
        <w:rPr>
          <w:rFonts w:asciiTheme="minorHAnsi" w:eastAsiaTheme="minorEastAsia" w:hAnsiTheme="minorHAnsi" w:cstheme="minorBidi"/>
          <w:sz w:val="22"/>
          <w:szCs w:val="22"/>
        </w:rPr>
      </w:pPr>
      <w:r w:rsidRPr="000F4C33">
        <w:rPr>
          <w:rFonts w:cs="Tahoma"/>
        </w:rPr>
        <w:t>Windows Small Business Server 2008 Premium</w:t>
      </w:r>
      <w:r>
        <w:tab/>
      </w:r>
      <w:r>
        <w:fldChar w:fldCharType="begin"/>
      </w:r>
      <w:r>
        <w:instrText xml:space="preserve"> PAGEREF _Toc371663545 \h </w:instrText>
      </w:r>
      <w:r>
        <w:fldChar w:fldCharType="separate"/>
      </w:r>
      <w:r w:rsidR="003F471F">
        <w:t>26</w:t>
      </w:r>
      <w:r>
        <w:fldChar w:fldCharType="end"/>
      </w:r>
    </w:p>
    <w:p w14:paraId="67A7EDB8" w14:textId="77777777" w:rsidR="00B03E8D" w:rsidRDefault="00B03E8D">
      <w:pPr>
        <w:pStyle w:val="TOC2"/>
        <w:rPr>
          <w:rFonts w:asciiTheme="minorHAnsi" w:eastAsiaTheme="minorEastAsia" w:hAnsiTheme="minorHAnsi" w:cstheme="minorBidi"/>
          <w:sz w:val="22"/>
          <w:szCs w:val="22"/>
        </w:rPr>
      </w:pPr>
      <w:r w:rsidRPr="000F4C33">
        <w:rPr>
          <w:rFonts w:cs="Tahoma"/>
        </w:rPr>
        <w:t>Windows Small Business Server 2011 Standard</w:t>
      </w:r>
      <w:r>
        <w:tab/>
      </w:r>
      <w:r>
        <w:fldChar w:fldCharType="begin"/>
      </w:r>
      <w:r>
        <w:instrText xml:space="preserve"> PAGEREF _Toc371663546 \h </w:instrText>
      </w:r>
      <w:r>
        <w:fldChar w:fldCharType="separate"/>
      </w:r>
      <w:r w:rsidR="003F471F">
        <w:t>26</w:t>
      </w:r>
      <w:r>
        <w:fldChar w:fldCharType="end"/>
      </w:r>
    </w:p>
    <w:p w14:paraId="3057AC32" w14:textId="77777777" w:rsidR="00B03E8D" w:rsidRDefault="00B03E8D">
      <w:pPr>
        <w:pStyle w:val="TOC2"/>
        <w:rPr>
          <w:rFonts w:asciiTheme="minorHAnsi" w:eastAsiaTheme="minorEastAsia" w:hAnsiTheme="minorHAnsi" w:cstheme="minorBidi"/>
          <w:sz w:val="22"/>
          <w:szCs w:val="22"/>
        </w:rPr>
      </w:pPr>
      <w:r w:rsidRPr="000F4C33">
        <w:rPr>
          <w:rFonts w:cs="Tahoma"/>
        </w:rPr>
        <w:t>CAL Suite per Windows Small Business Server 2011 (1 client)</w:t>
      </w:r>
      <w:r>
        <w:tab/>
      </w:r>
      <w:r>
        <w:fldChar w:fldCharType="begin"/>
      </w:r>
      <w:r>
        <w:instrText xml:space="preserve"> PAGEREF _Toc371663547 \h </w:instrText>
      </w:r>
      <w:r>
        <w:fldChar w:fldCharType="separate"/>
      </w:r>
      <w:r w:rsidR="003F471F">
        <w:t>26</w:t>
      </w:r>
      <w:r>
        <w:fldChar w:fldCharType="end"/>
      </w:r>
    </w:p>
    <w:p w14:paraId="2E75D9C6" w14:textId="77777777" w:rsidR="00B03E8D" w:rsidRDefault="00B03E8D">
      <w:pPr>
        <w:pStyle w:val="TOC2"/>
        <w:rPr>
          <w:rFonts w:asciiTheme="minorHAnsi" w:eastAsiaTheme="minorEastAsia" w:hAnsiTheme="minorHAnsi" w:cstheme="minorBidi"/>
          <w:sz w:val="22"/>
          <w:szCs w:val="22"/>
        </w:rPr>
      </w:pPr>
      <w:r w:rsidRPr="000F4C33">
        <w:rPr>
          <w:rFonts w:cs="Tahoma"/>
        </w:rPr>
        <w:t>CAL Suite per Windows Small Business Server 2011 (5 client)</w:t>
      </w:r>
      <w:r>
        <w:tab/>
      </w:r>
      <w:r>
        <w:fldChar w:fldCharType="begin"/>
      </w:r>
      <w:r>
        <w:instrText xml:space="preserve"> PAGEREF _Toc371663548 \h </w:instrText>
      </w:r>
      <w:r>
        <w:fldChar w:fldCharType="separate"/>
      </w:r>
      <w:r w:rsidR="003F471F">
        <w:t>26</w:t>
      </w:r>
      <w:r>
        <w:fldChar w:fldCharType="end"/>
      </w:r>
    </w:p>
    <w:p w14:paraId="7A305213" w14:textId="77777777" w:rsidR="00B03E8D" w:rsidRDefault="00B03E8D">
      <w:pPr>
        <w:pStyle w:val="TOC2"/>
        <w:rPr>
          <w:rFonts w:asciiTheme="minorHAnsi" w:eastAsiaTheme="minorEastAsia" w:hAnsiTheme="minorHAnsi" w:cstheme="minorBidi"/>
          <w:sz w:val="22"/>
          <w:szCs w:val="22"/>
        </w:rPr>
      </w:pPr>
      <w:r w:rsidRPr="000F4C33">
        <w:rPr>
          <w:rFonts w:cs="Tahoma"/>
        </w:rPr>
        <w:t>CAL Suite per Windows Small Business Server 2011 (20 client)</w:t>
      </w:r>
      <w:r>
        <w:tab/>
      </w:r>
      <w:r>
        <w:fldChar w:fldCharType="begin"/>
      </w:r>
      <w:r>
        <w:instrText xml:space="preserve"> PAGEREF _Toc371663549 \h </w:instrText>
      </w:r>
      <w:r>
        <w:fldChar w:fldCharType="separate"/>
      </w:r>
      <w:r w:rsidR="003F471F">
        <w:t>26</w:t>
      </w:r>
      <w:r>
        <w:fldChar w:fldCharType="end"/>
      </w:r>
    </w:p>
    <w:p w14:paraId="2AC9983E" w14:textId="77777777" w:rsidR="00B03E8D" w:rsidRDefault="00B03E8D">
      <w:pPr>
        <w:pStyle w:val="TOC2"/>
        <w:rPr>
          <w:rFonts w:asciiTheme="minorHAnsi" w:eastAsiaTheme="minorEastAsia" w:hAnsiTheme="minorHAnsi" w:cstheme="minorBidi"/>
          <w:sz w:val="22"/>
          <w:szCs w:val="22"/>
        </w:rPr>
      </w:pPr>
      <w:r w:rsidRPr="000F4C33">
        <w:rPr>
          <w:rFonts w:cs="Tahoma"/>
        </w:rPr>
        <w:t>Premium Add-on per Windows Small Business Server 2011</w:t>
      </w:r>
      <w:r>
        <w:tab/>
      </w:r>
      <w:r>
        <w:fldChar w:fldCharType="begin"/>
      </w:r>
      <w:r>
        <w:instrText xml:space="preserve"> PAGEREF _Toc371663550 \h </w:instrText>
      </w:r>
      <w:r>
        <w:fldChar w:fldCharType="separate"/>
      </w:r>
      <w:r w:rsidR="003F471F">
        <w:t>26</w:t>
      </w:r>
      <w:r>
        <w:fldChar w:fldCharType="end"/>
      </w:r>
    </w:p>
    <w:p w14:paraId="12E24763" w14:textId="77777777" w:rsidR="00B03E8D" w:rsidRDefault="00B03E8D">
      <w:pPr>
        <w:pStyle w:val="TOC2"/>
        <w:rPr>
          <w:rFonts w:asciiTheme="minorHAnsi" w:eastAsiaTheme="minorEastAsia" w:hAnsiTheme="minorHAnsi" w:cstheme="minorBidi"/>
          <w:sz w:val="22"/>
          <w:szCs w:val="22"/>
        </w:rPr>
      </w:pPr>
      <w:r w:rsidRPr="000F4C33">
        <w:rPr>
          <w:rFonts w:cs="Tahoma"/>
        </w:rPr>
        <w:t>Premium Add-on CAL Suite per Windows Small Business Server 2011</w:t>
      </w:r>
      <w:r>
        <w:tab/>
      </w:r>
      <w:r>
        <w:fldChar w:fldCharType="begin"/>
      </w:r>
      <w:r>
        <w:instrText xml:space="preserve"> PAGEREF _Toc371663551 \h </w:instrText>
      </w:r>
      <w:r>
        <w:fldChar w:fldCharType="separate"/>
      </w:r>
      <w:r w:rsidR="003F471F">
        <w:t>26</w:t>
      </w:r>
      <w:r>
        <w:fldChar w:fldCharType="end"/>
      </w:r>
    </w:p>
    <w:p w14:paraId="0DD951AC" w14:textId="77777777" w:rsidR="00B03E8D" w:rsidRDefault="00B03E8D">
      <w:pPr>
        <w:pStyle w:val="TOC2"/>
        <w:rPr>
          <w:rFonts w:asciiTheme="minorHAnsi" w:eastAsiaTheme="minorEastAsia" w:hAnsiTheme="minorHAnsi" w:cstheme="minorBidi"/>
          <w:sz w:val="22"/>
          <w:szCs w:val="22"/>
        </w:rPr>
      </w:pPr>
      <w:r w:rsidRPr="000F4C33">
        <w:rPr>
          <w:rFonts w:cs="Tahoma"/>
        </w:rPr>
        <w:t>Premium Add-on CAL Suite per Windows Small Business Server 2011 (5 client)</w:t>
      </w:r>
      <w:r>
        <w:tab/>
      </w:r>
      <w:r>
        <w:fldChar w:fldCharType="begin"/>
      </w:r>
      <w:r>
        <w:instrText xml:space="preserve"> PAGEREF _Toc371663552 \h </w:instrText>
      </w:r>
      <w:r>
        <w:fldChar w:fldCharType="separate"/>
      </w:r>
      <w:r w:rsidR="003F471F">
        <w:t>26</w:t>
      </w:r>
      <w:r>
        <w:fldChar w:fldCharType="end"/>
      </w:r>
    </w:p>
    <w:p w14:paraId="651EE981" w14:textId="77777777" w:rsidR="00B03E8D" w:rsidRDefault="00B03E8D">
      <w:pPr>
        <w:pStyle w:val="TOC2"/>
        <w:rPr>
          <w:rFonts w:asciiTheme="minorHAnsi" w:eastAsiaTheme="minorEastAsia" w:hAnsiTheme="minorHAnsi" w:cstheme="minorBidi"/>
          <w:sz w:val="22"/>
          <w:szCs w:val="22"/>
        </w:rPr>
      </w:pPr>
      <w:r w:rsidRPr="000F4C33">
        <w:rPr>
          <w:rFonts w:cs="Tahoma"/>
        </w:rPr>
        <w:t>Premium Add-on CAL Suite per Windows Small Business Server 2011 (20 client)</w:t>
      </w:r>
      <w:r>
        <w:tab/>
      </w:r>
      <w:r>
        <w:fldChar w:fldCharType="begin"/>
      </w:r>
      <w:r>
        <w:instrText xml:space="preserve"> PAGEREF _Toc371663553 \h </w:instrText>
      </w:r>
      <w:r>
        <w:fldChar w:fldCharType="separate"/>
      </w:r>
      <w:r w:rsidR="003F471F">
        <w:t>26</w:t>
      </w:r>
      <w:r>
        <w:fldChar w:fldCharType="end"/>
      </w:r>
    </w:p>
    <w:p w14:paraId="6DF0F8A4" w14:textId="77777777" w:rsidR="00B03E8D" w:rsidRDefault="00B03E8D">
      <w:pPr>
        <w:pStyle w:val="TOC2"/>
        <w:rPr>
          <w:rFonts w:asciiTheme="minorHAnsi" w:eastAsiaTheme="minorEastAsia" w:hAnsiTheme="minorHAnsi" w:cstheme="minorBidi"/>
          <w:sz w:val="22"/>
          <w:szCs w:val="22"/>
        </w:rPr>
      </w:pPr>
      <w:r w:rsidRPr="000F4C33">
        <w:rPr>
          <w:rFonts w:cs="Tahoma"/>
        </w:rPr>
        <w:t>Windows Server 2012 R2 Essentials</w:t>
      </w:r>
      <w:r>
        <w:tab/>
      </w:r>
      <w:r>
        <w:fldChar w:fldCharType="begin"/>
      </w:r>
      <w:r>
        <w:instrText xml:space="preserve"> PAGEREF _Toc371663554 \h </w:instrText>
      </w:r>
      <w:r>
        <w:fldChar w:fldCharType="separate"/>
      </w:r>
      <w:r w:rsidR="003F471F">
        <w:t>27</w:t>
      </w:r>
      <w:r>
        <w:fldChar w:fldCharType="end"/>
      </w:r>
    </w:p>
    <w:p w14:paraId="507F924E" w14:textId="77777777" w:rsidR="00B03E8D" w:rsidRDefault="00B03E8D">
      <w:pPr>
        <w:pStyle w:val="TOC2"/>
        <w:rPr>
          <w:rFonts w:asciiTheme="minorHAnsi" w:eastAsiaTheme="minorEastAsia" w:hAnsiTheme="minorHAnsi" w:cstheme="minorBidi"/>
          <w:sz w:val="22"/>
          <w:szCs w:val="22"/>
        </w:rPr>
      </w:pPr>
      <w:r w:rsidRPr="000F4C33">
        <w:rPr>
          <w:rFonts w:cs="Tahoma"/>
        </w:rPr>
        <w:t>Windows Small Business Server 2011 Essentials</w:t>
      </w:r>
      <w:r>
        <w:tab/>
      </w:r>
      <w:r>
        <w:fldChar w:fldCharType="begin"/>
      </w:r>
      <w:r>
        <w:instrText xml:space="preserve"> PAGEREF _Toc371663555 \h </w:instrText>
      </w:r>
      <w:r>
        <w:fldChar w:fldCharType="separate"/>
      </w:r>
      <w:r w:rsidR="003F471F">
        <w:t>27</w:t>
      </w:r>
      <w:r>
        <w:fldChar w:fldCharType="end"/>
      </w:r>
    </w:p>
    <w:p w14:paraId="491C9560"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Windows Web Server 2008 R2</w:t>
      </w:r>
      <w:r w:rsidRPr="00F04412">
        <w:rPr>
          <w:lang w:val="it-IT"/>
        </w:rPr>
        <w:tab/>
      </w:r>
      <w:r>
        <w:fldChar w:fldCharType="begin"/>
      </w:r>
      <w:r w:rsidRPr="00F04412">
        <w:rPr>
          <w:lang w:val="it-IT"/>
        </w:rPr>
        <w:instrText xml:space="preserve"> PAGEREF _Toc371663556 \h </w:instrText>
      </w:r>
      <w:r>
        <w:fldChar w:fldCharType="separate"/>
      </w:r>
      <w:r w:rsidR="003F471F" w:rsidRPr="00F04412">
        <w:rPr>
          <w:lang w:val="it-IT"/>
        </w:rPr>
        <w:t>27</w:t>
      </w:r>
      <w:r>
        <w:fldChar w:fldCharType="end"/>
      </w:r>
    </w:p>
    <w:p w14:paraId="689B51F3"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Yammer Enterprise</w:t>
      </w:r>
      <w:r w:rsidRPr="00F04412">
        <w:rPr>
          <w:lang w:val="it-IT"/>
        </w:rPr>
        <w:tab/>
      </w:r>
      <w:r>
        <w:fldChar w:fldCharType="begin"/>
      </w:r>
      <w:r w:rsidRPr="00F04412">
        <w:rPr>
          <w:lang w:val="it-IT"/>
        </w:rPr>
        <w:instrText xml:space="preserve"> PAGEREF _Toc371663557 \h </w:instrText>
      </w:r>
      <w:r>
        <w:fldChar w:fldCharType="separate"/>
      </w:r>
      <w:r w:rsidR="003F471F" w:rsidRPr="00F04412">
        <w:rPr>
          <w:lang w:val="it-IT"/>
        </w:rPr>
        <w:t>27</w:t>
      </w:r>
      <w:r>
        <w:fldChar w:fldCharType="end"/>
      </w:r>
    </w:p>
    <w:p w14:paraId="29A3BB75" w14:textId="77777777" w:rsidR="00B03E8D" w:rsidRPr="00F04412" w:rsidRDefault="00B03E8D">
      <w:pPr>
        <w:pStyle w:val="TOC1"/>
        <w:rPr>
          <w:rFonts w:asciiTheme="minorHAnsi" w:eastAsiaTheme="minorEastAsia" w:hAnsiTheme="minorHAnsi" w:cstheme="minorBidi"/>
          <w:b w:val="0"/>
          <w:caps w:val="0"/>
          <w:color w:val="auto"/>
          <w:szCs w:val="22"/>
          <w:lang w:val="it-IT"/>
        </w:rPr>
      </w:pPr>
      <w:r w:rsidRPr="00F04412">
        <w:rPr>
          <w:lang w:val="it-IT"/>
        </w:rPr>
        <w:t xml:space="preserve">ARTICOLO 1 - Modifiche apportate alla LISTA DEI PRODOTTI </w:t>
      </w:r>
      <w:r w:rsidR="00737018" w:rsidRPr="00F04412">
        <w:rPr>
          <w:lang w:val="it-IT"/>
        </w:rPr>
        <w:br/>
      </w:r>
      <w:r w:rsidRPr="00F04412">
        <w:rPr>
          <w:lang w:val="it-IT"/>
        </w:rPr>
        <w:t>negli ultimi 12 mesi</w:t>
      </w:r>
      <w:r w:rsidRPr="00F04412">
        <w:rPr>
          <w:lang w:val="it-IT"/>
        </w:rPr>
        <w:tab/>
      </w:r>
      <w:r>
        <w:fldChar w:fldCharType="begin"/>
      </w:r>
      <w:r w:rsidRPr="00F04412">
        <w:rPr>
          <w:lang w:val="it-IT"/>
        </w:rPr>
        <w:instrText xml:space="preserve"> PAGEREF _Toc371663558 \h </w:instrText>
      </w:r>
      <w:r>
        <w:fldChar w:fldCharType="separate"/>
      </w:r>
      <w:r w:rsidR="003F471F" w:rsidRPr="00F04412">
        <w:rPr>
          <w:lang w:val="it-IT"/>
        </w:rPr>
        <w:t>28</w:t>
      </w:r>
      <w:r>
        <w:fldChar w:fldCharType="end"/>
      </w:r>
    </w:p>
    <w:p w14:paraId="095B4BBA"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MODIFICHE APPORTATE NEL MESE DI DICEMBRE 2013</w:t>
      </w:r>
      <w:r w:rsidRPr="00F04412">
        <w:rPr>
          <w:lang w:val="it-IT"/>
        </w:rPr>
        <w:tab/>
      </w:r>
      <w:r w:rsidRPr="00B03E8D">
        <w:fldChar w:fldCharType="begin"/>
      </w:r>
      <w:r w:rsidRPr="00F04412">
        <w:rPr>
          <w:lang w:val="it-IT"/>
        </w:rPr>
        <w:instrText xml:space="preserve"> PAGEREF _Toc371663559 \h </w:instrText>
      </w:r>
      <w:r w:rsidRPr="00B03E8D">
        <w:fldChar w:fldCharType="separate"/>
      </w:r>
      <w:r w:rsidR="003F471F" w:rsidRPr="00F04412">
        <w:rPr>
          <w:lang w:val="it-IT"/>
        </w:rPr>
        <w:t>28</w:t>
      </w:r>
      <w:r w:rsidRPr="00B03E8D">
        <w:fldChar w:fldCharType="end"/>
      </w:r>
    </w:p>
    <w:p w14:paraId="0E74D858"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MODIFICHE APPORTATE NEL MESE DI NOVEMBRE 2013</w:t>
      </w:r>
      <w:r w:rsidRPr="00F04412">
        <w:rPr>
          <w:lang w:val="it-IT"/>
        </w:rPr>
        <w:tab/>
      </w:r>
      <w:r w:rsidRPr="00B03E8D">
        <w:fldChar w:fldCharType="begin"/>
      </w:r>
      <w:r w:rsidRPr="00F04412">
        <w:rPr>
          <w:lang w:val="it-IT"/>
        </w:rPr>
        <w:instrText xml:space="preserve"> PAGEREF _Toc371663560 \h </w:instrText>
      </w:r>
      <w:r w:rsidRPr="00B03E8D">
        <w:fldChar w:fldCharType="separate"/>
      </w:r>
      <w:r w:rsidR="003F471F" w:rsidRPr="00F04412">
        <w:rPr>
          <w:lang w:val="it-IT"/>
        </w:rPr>
        <w:t>28</w:t>
      </w:r>
      <w:r w:rsidRPr="00B03E8D">
        <w:fldChar w:fldCharType="end"/>
      </w:r>
    </w:p>
    <w:p w14:paraId="339C5D2B"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MODIFICHE APPORTATE NEL MESE DI OTTOBRE 2013</w:t>
      </w:r>
      <w:r w:rsidRPr="00F04412">
        <w:rPr>
          <w:lang w:val="it-IT"/>
        </w:rPr>
        <w:tab/>
      </w:r>
      <w:r w:rsidRPr="00B03E8D">
        <w:fldChar w:fldCharType="begin"/>
      </w:r>
      <w:r w:rsidRPr="00F04412">
        <w:rPr>
          <w:lang w:val="it-IT"/>
        </w:rPr>
        <w:instrText xml:space="preserve"> PAGEREF _Toc371663561 \h </w:instrText>
      </w:r>
      <w:r w:rsidRPr="00B03E8D">
        <w:fldChar w:fldCharType="separate"/>
      </w:r>
      <w:r w:rsidR="003F471F" w:rsidRPr="00F04412">
        <w:rPr>
          <w:lang w:val="it-IT"/>
        </w:rPr>
        <w:t>29</w:t>
      </w:r>
      <w:r w:rsidRPr="00B03E8D">
        <w:fldChar w:fldCharType="end"/>
      </w:r>
    </w:p>
    <w:p w14:paraId="10AF131D"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MODIFICHE APPORTATE NEL MESE DI SETTEMBRE 2013</w:t>
      </w:r>
      <w:r w:rsidRPr="00F04412">
        <w:rPr>
          <w:lang w:val="it-IT"/>
        </w:rPr>
        <w:tab/>
      </w:r>
      <w:r w:rsidRPr="00B03E8D">
        <w:fldChar w:fldCharType="begin"/>
      </w:r>
      <w:r w:rsidRPr="00F04412">
        <w:rPr>
          <w:lang w:val="it-IT"/>
        </w:rPr>
        <w:instrText xml:space="preserve"> PAGEREF _Toc371663562 \h </w:instrText>
      </w:r>
      <w:r w:rsidRPr="00B03E8D">
        <w:fldChar w:fldCharType="separate"/>
      </w:r>
      <w:r w:rsidR="003F471F" w:rsidRPr="00F04412">
        <w:rPr>
          <w:lang w:val="it-IT"/>
        </w:rPr>
        <w:t>30</w:t>
      </w:r>
      <w:r w:rsidRPr="00B03E8D">
        <w:fldChar w:fldCharType="end"/>
      </w:r>
    </w:p>
    <w:p w14:paraId="277D06DE"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MODIFICHE APPORTATE NEL MESE DI AGOSTO 2013</w:t>
      </w:r>
      <w:r w:rsidRPr="00F04412">
        <w:rPr>
          <w:lang w:val="it-IT"/>
        </w:rPr>
        <w:tab/>
      </w:r>
      <w:r w:rsidRPr="00B03E8D">
        <w:fldChar w:fldCharType="begin"/>
      </w:r>
      <w:r w:rsidRPr="00F04412">
        <w:rPr>
          <w:lang w:val="it-IT"/>
        </w:rPr>
        <w:instrText xml:space="preserve"> PAGEREF _Toc371663563 \h </w:instrText>
      </w:r>
      <w:r w:rsidRPr="00B03E8D">
        <w:fldChar w:fldCharType="separate"/>
      </w:r>
      <w:r w:rsidR="003F471F" w:rsidRPr="00F04412">
        <w:rPr>
          <w:lang w:val="it-IT"/>
        </w:rPr>
        <w:t>30</w:t>
      </w:r>
      <w:r w:rsidRPr="00B03E8D">
        <w:fldChar w:fldCharType="end"/>
      </w:r>
    </w:p>
    <w:p w14:paraId="027D497F"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MODIFICHE APPORTATE NEL MESE DI LUGLIO 2013</w:t>
      </w:r>
      <w:r w:rsidRPr="00F04412">
        <w:rPr>
          <w:lang w:val="it-IT"/>
        </w:rPr>
        <w:tab/>
      </w:r>
      <w:r w:rsidRPr="00B03E8D">
        <w:fldChar w:fldCharType="begin"/>
      </w:r>
      <w:r w:rsidRPr="00F04412">
        <w:rPr>
          <w:lang w:val="it-IT"/>
        </w:rPr>
        <w:instrText xml:space="preserve"> PAGEREF _Toc371663564 \h </w:instrText>
      </w:r>
      <w:r w:rsidRPr="00B03E8D">
        <w:fldChar w:fldCharType="separate"/>
      </w:r>
      <w:r w:rsidR="003F471F" w:rsidRPr="00F04412">
        <w:rPr>
          <w:lang w:val="it-IT"/>
        </w:rPr>
        <w:t>31</w:t>
      </w:r>
      <w:r w:rsidRPr="00B03E8D">
        <w:fldChar w:fldCharType="end"/>
      </w:r>
    </w:p>
    <w:p w14:paraId="1B792E42"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MODIFICHE APPORTATE NEL MESE DI GIUGNO 2013</w:t>
      </w:r>
      <w:r w:rsidRPr="00F04412">
        <w:rPr>
          <w:lang w:val="it-IT"/>
        </w:rPr>
        <w:tab/>
      </w:r>
      <w:r w:rsidRPr="00B03E8D">
        <w:fldChar w:fldCharType="begin"/>
      </w:r>
      <w:r w:rsidRPr="00F04412">
        <w:rPr>
          <w:lang w:val="it-IT"/>
        </w:rPr>
        <w:instrText xml:space="preserve"> PAGEREF _Toc371663565 \h </w:instrText>
      </w:r>
      <w:r w:rsidRPr="00B03E8D">
        <w:fldChar w:fldCharType="separate"/>
      </w:r>
      <w:r w:rsidR="003F471F" w:rsidRPr="00F04412">
        <w:rPr>
          <w:lang w:val="it-IT"/>
        </w:rPr>
        <w:t>31</w:t>
      </w:r>
      <w:r w:rsidRPr="00B03E8D">
        <w:fldChar w:fldCharType="end"/>
      </w:r>
    </w:p>
    <w:p w14:paraId="12F05866"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MODIFICHE APPORTATE NEL MESE DI MAGGIO 2013</w:t>
      </w:r>
      <w:r w:rsidRPr="00F04412">
        <w:rPr>
          <w:lang w:val="it-IT"/>
        </w:rPr>
        <w:tab/>
      </w:r>
      <w:r w:rsidRPr="00B03E8D">
        <w:fldChar w:fldCharType="begin"/>
      </w:r>
      <w:r w:rsidRPr="00F04412">
        <w:rPr>
          <w:lang w:val="it-IT"/>
        </w:rPr>
        <w:instrText xml:space="preserve"> PAGEREF _Toc371663566 \h </w:instrText>
      </w:r>
      <w:r w:rsidRPr="00B03E8D">
        <w:fldChar w:fldCharType="separate"/>
      </w:r>
      <w:r w:rsidR="003F471F" w:rsidRPr="00F04412">
        <w:rPr>
          <w:lang w:val="it-IT"/>
        </w:rPr>
        <w:t>32</w:t>
      </w:r>
      <w:r w:rsidRPr="00B03E8D">
        <w:fldChar w:fldCharType="end"/>
      </w:r>
    </w:p>
    <w:p w14:paraId="297BF0F0"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MODIFICHE APPORTATE NEL MESE DI APRILE 2013</w:t>
      </w:r>
      <w:r w:rsidRPr="00F04412">
        <w:rPr>
          <w:lang w:val="it-IT"/>
        </w:rPr>
        <w:tab/>
      </w:r>
      <w:r w:rsidRPr="00B03E8D">
        <w:fldChar w:fldCharType="begin"/>
      </w:r>
      <w:r w:rsidRPr="00F04412">
        <w:rPr>
          <w:lang w:val="it-IT"/>
        </w:rPr>
        <w:instrText xml:space="preserve"> PAGEREF _Toc371663567 \h </w:instrText>
      </w:r>
      <w:r w:rsidRPr="00B03E8D">
        <w:fldChar w:fldCharType="separate"/>
      </w:r>
      <w:r w:rsidR="003F471F" w:rsidRPr="00F04412">
        <w:rPr>
          <w:lang w:val="it-IT"/>
        </w:rPr>
        <w:t>32</w:t>
      </w:r>
      <w:r w:rsidRPr="00B03E8D">
        <w:fldChar w:fldCharType="end"/>
      </w:r>
    </w:p>
    <w:p w14:paraId="12D6DD4A"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MODIFICHE APPORTATE NEL MESE DI MARZO 2013</w:t>
      </w:r>
      <w:r w:rsidRPr="00F04412">
        <w:rPr>
          <w:lang w:val="it-IT"/>
        </w:rPr>
        <w:tab/>
      </w:r>
      <w:r w:rsidRPr="00B03E8D">
        <w:fldChar w:fldCharType="begin"/>
      </w:r>
      <w:r w:rsidRPr="00F04412">
        <w:rPr>
          <w:lang w:val="it-IT"/>
        </w:rPr>
        <w:instrText xml:space="preserve"> PAGEREF _Toc371663568 \h </w:instrText>
      </w:r>
      <w:r w:rsidRPr="00B03E8D">
        <w:fldChar w:fldCharType="separate"/>
      </w:r>
      <w:r w:rsidR="003F471F" w:rsidRPr="00F04412">
        <w:rPr>
          <w:lang w:val="it-IT"/>
        </w:rPr>
        <w:t>34</w:t>
      </w:r>
      <w:r w:rsidRPr="00B03E8D">
        <w:fldChar w:fldCharType="end"/>
      </w:r>
    </w:p>
    <w:p w14:paraId="57F418E7"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MODIFICHE APPORTATE NEL MESE DI FEBBRAIO 2013</w:t>
      </w:r>
      <w:r w:rsidRPr="00F04412">
        <w:rPr>
          <w:lang w:val="it-IT"/>
        </w:rPr>
        <w:tab/>
      </w:r>
      <w:r w:rsidRPr="00B03E8D">
        <w:fldChar w:fldCharType="begin"/>
      </w:r>
      <w:r w:rsidRPr="00F04412">
        <w:rPr>
          <w:lang w:val="it-IT"/>
        </w:rPr>
        <w:instrText xml:space="preserve"> PAGEREF _Toc371663569 \h </w:instrText>
      </w:r>
      <w:r w:rsidRPr="00B03E8D">
        <w:fldChar w:fldCharType="separate"/>
      </w:r>
      <w:r w:rsidR="003F471F" w:rsidRPr="00F04412">
        <w:rPr>
          <w:lang w:val="it-IT"/>
        </w:rPr>
        <w:t>35</w:t>
      </w:r>
      <w:r w:rsidRPr="00B03E8D">
        <w:fldChar w:fldCharType="end"/>
      </w:r>
    </w:p>
    <w:p w14:paraId="4A6C3886"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MODIFICHE APPORTATE NEL MESE DI GENNAIO 2013</w:t>
      </w:r>
      <w:r w:rsidRPr="00F04412">
        <w:rPr>
          <w:lang w:val="it-IT"/>
        </w:rPr>
        <w:tab/>
      </w:r>
      <w:r w:rsidRPr="00B03E8D">
        <w:fldChar w:fldCharType="begin"/>
      </w:r>
      <w:r w:rsidRPr="00F04412">
        <w:rPr>
          <w:lang w:val="it-IT"/>
        </w:rPr>
        <w:instrText xml:space="preserve"> PAGEREF _Toc371663570 \h </w:instrText>
      </w:r>
      <w:r w:rsidRPr="00B03E8D">
        <w:fldChar w:fldCharType="separate"/>
      </w:r>
      <w:r w:rsidR="003F471F" w:rsidRPr="00F04412">
        <w:rPr>
          <w:lang w:val="it-IT"/>
        </w:rPr>
        <w:t>36</w:t>
      </w:r>
      <w:r w:rsidRPr="00B03E8D">
        <w:fldChar w:fldCharType="end"/>
      </w:r>
    </w:p>
    <w:p w14:paraId="34C14805" w14:textId="77777777" w:rsidR="00B03E8D" w:rsidRPr="00F04412" w:rsidRDefault="00B03E8D">
      <w:pPr>
        <w:pStyle w:val="TOC1"/>
        <w:rPr>
          <w:rFonts w:asciiTheme="minorHAnsi" w:eastAsiaTheme="minorEastAsia" w:hAnsiTheme="minorHAnsi" w:cstheme="minorBidi"/>
          <w:b w:val="0"/>
          <w:caps w:val="0"/>
          <w:color w:val="auto"/>
          <w:szCs w:val="22"/>
          <w:lang w:val="it-IT"/>
        </w:rPr>
      </w:pPr>
      <w:r w:rsidRPr="00F04412">
        <w:rPr>
          <w:lang w:val="it-IT"/>
        </w:rPr>
        <w:t>ARTICOLO 2 - PROMOZIONI DI PRODOTTI</w:t>
      </w:r>
      <w:r w:rsidRPr="00F04412">
        <w:rPr>
          <w:lang w:val="it-IT"/>
        </w:rPr>
        <w:tab/>
      </w:r>
      <w:r>
        <w:fldChar w:fldCharType="begin"/>
      </w:r>
      <w:r w:rsidRPr="00F04412">
        <w:rPr>
          <w:lang w:val="it-IT"/>
        </w:rPr>
        <w:instrText xml:space="preserve"> PAGEREF _Toc371663571 \h </w:instrText>
      </w:r>
      <w:r>
        <w:fldChar w:fldCharType="separate"/>
      </w:r>
      <w:r w:rsidR="003F471F" w:rsidRPr="00F04412">
        <w:rPr>
          <w:lang w:val="it-IT"/>
        </w:rPr>
        <w:t>37</w:t>
      </w:r>
      <w:r>
        <w:fldChar w:fldCharType="end"/>
      </w:r>
    </w:p>
    <w:p w14:paraId="75F4AB66"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Microsoft Dynamics AX 2012 R2 - Promozione EA Starter</w:t>
      </w:r>
      <w:r w:rsidRPr="00F04412">
        <w:rPr>
          <w:lang w:val="it-IT"/>
        </w:rPr>
        <w:tab/>
      </w:r>
      <w:r w:rsidRPr="00B03E8D">
        <w:fldChar w:fldCharType="begin"/>
      </w:r>
      <w:r w:rsidRPr="00F04412">
        <w:rPr>
          <w:lang w:val="it-IT"/>
        </w:rPr>
        <w:instrText xml:space="preserve"> PAGEREF _Toc371663572 \h </w:instrText>
      </w:r>
      <w:r w:rsidRPr="00B03E8D">
        <w:fldChar w:fldCharType="separate"/>
      </w:r>
      <w:r w:rsidR="003F471F" w:rsidRPr="00F04412">
        <w:rPr>
          <w:lang w:val="it-IT"/>
        </w:rPr>
        <w:t>37</w:t>
      </w:r>
      <w:r w:rsidRPr="00B03E8D">
        <w:fldChar w:fldCharType="end"/>
      </w:r>
    </w:p>
    <w:p w14:paraId="4660621D"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eastAsia="Times New Roman" w:cs="Tahoma"/>
          <w:lang w:val="it-IT"/>
        </w:rPr>
        <w:t>Promozione di Windows Intune e del Componente Aggiuntivo per Intune</w:t>
      </w:r>
      <w:r w:rsidRPr="00F04412">
        <w:rPr>
          <w:lang w:val="it-IT"/>
        </w:rPr>
        <w:tab/>
      </w:r>
      <w:r w:rsidRPr="00B03E8D">
        <w:fldChar w:fldCharType="begin"/>
      </w:r>
      <w:r w:rsidRPr="00F04412">
        <w:rPr>
          <w:lang w:val="it-IT"/>
        </w:rPr>
        <w:instrText xml:space="preserve"> PAGEREF _Toc371663573 \h </w:instrText>
      </w:r>
      <w:r w:rsidRPr="00B03E8D">
        <w:fldChar w:fldCharType="separate"/>
      </w:r>
      <w:r w:rsidR="003F471F" w:rsidRPr="00F04412">
        <w:rPr>
          <w:lang w:val="it-IT"/>
        </w:rPr>
        <w:t>37</w:t>
      </w:r>
      <w:r w:rsidRPr="00B03E8D">
        <w:fldChar w:fldCharType="end"/>
      </w:r>
    </w:p>
    <w:p w14:paraId="7AA0C853"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eastAsia="Times New Roman" w:cs="Tahoma"/>
          <w:lang w:val="it-IT"/>
        </w:rPr>
        <w:t>Windows Azure Adoption Acceleration</w:t>
      </w:r>
      <w:r w:rsidRPr="00F04412">
        <w:rPr>
          <w:lang w:val="it-IT"/>
        </w:rPr>
        <w:tab/>
      </w:r>
      <w:r w:rsidRPr="00B03E8D">
        <w:fldChar w:fldCharType="begin"/>
      </w:r>
      <w:r w:rsidRPr="00F04412">
        <w:rPr>
          <w:lang w:val="it-IT"/>
        </w:rPr>
        <w:instrText xml:space="preserve"> PAGEREF _Toc371663574 \h </w:instrText>
      </w:r>
      <w:r w:rsidRPr="00B03E8D">
        <w:fldChar w:fldCharType="separate"/>
      </w:r>
      <w:r w:rsidR="003F471F" w:rsidRPr="00F04412">
        <w:rPr>
          <w:lang w:val="it-IT"/>
        </w:rPr>
        <w:t>37</w:t>
      </w:r>
      <w:r w:rsidRPr="00B03E8D">
        <w:fldChar w:fldCharType="end"/>
      </w:r>
    </w:p>
    <w:p w14:paraId="05321789"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eastAsia="Times New Roman" w:cs="Tahoma"/>
          <w:lang w:val="it-IT"/>
        </w:rPr>
        <w:t>Promozione di Visual Studio Test Pro con MSDN</w:t>
      </w:r>
      <w:r w:rsidRPr="00F04412">
        <w:rPr>
          <w:lang w:val="it-IT"/>
        </w:rPr>
        <w:tab/>
      </w:r>
      <w:r w:rsidRPr="00B03E8D">
        <w:fldChar w:fldCharType="begin"/>
      </w:r>
      <w:r w:rsidRPr="00F04412">
        <w:rPr>
          <w:lang w:val="it-IT"/>
        </w:rPr>
        <w:instrText xml:space="preserve"> PAGEREF _Toc371663575 \h </w:instrText>
      </w:r>
      <w:r w:rsidRPr="00B03E8D">
        <w:fldChar w:fldCharType="separate"/>
      </w:r>
      <w:r w:rsidR="003F471F" w:rsidRPr="00F04412">
        <w:rPr>
          <w:lang w:val="it-IT"/>
        </w:rPr>
        <w:t>38</w:t>
      </w:r>
      <w:r w:rsidRPr="00B03E8D">
        <w:fldChar w:fldCharType="end"/>
      </w:r>
    </w:p>
    <w:p w14:paraId="6DBD8E27" w14:textId="77777777" w:rsidR="00B03E8D" w:rsidRPr="00B03E8D" w:rsidRDefault="00B03E8D">
      <w:pPr>
        <w:pStyle w:val="TOC2"/>
        <w:rPr>
          <w:rFonts w:asciiTheme="minorHAnsi" w:eastAsiaTheme="minorEastAsia" w:hAnsiTheme="minorHAnsi" w:cstheme="minorBidi"/>
          <w:sz w:val="22"/>
          <w:szCs w:val="22"/>
        </w:rPr>
      </w:pPr>
      <w:r w:rsidRPr="00B03E8D">
        <w:rPr>
          <w:rFonts w:eastAsia="Times New Roman" w:cs="Tahoma"/>
        </w:rPr>
        <w:t>Iscrizione Server and Cloud Jumpstart AF14</w:t>
      </w:r>
      <w:r w:rsidRPr="00B03E8D">
        <w:tab/>
      </w:r>
      <w:r w:rsidRPr="00B03E8D">
        <w:fldChar w:fldCharType="begin"/>
      </w:r>
      <w:r w:rsidRPr="00B03E8D">
        <w:instrText xml:space="preserve"> PAGEREF _Toc371663576 \h </w:instrText>
      </w:r>
      <w:r w:rsidRPr="00B03E8D">
        <w:fldChar w:fldCharType="separate"/>
      </w:r>
      <w:r w:rsidR="003F471F">
        <w:t>38</w:t>
      </w:r>
      <w:r w:rsidRPr="00B03E8D">
        <w:fldChar w:fldCharType="end"/>
      </w:r>
    </w:p>
    <w:p w14:paraId="1C034E87"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eastAsia="Times New Roman" w:cs="Tahoma"/>
          <w:lang w:val="it-IT"/>
        </w:rPr>
        <w:t>Promozione della Gestione dei Portfolio e dei Progetti nel Cloud</w:t>
      </w:r>
      <w:r w:rsidRPr="00F04412">
        <w:rPr>
          <w:lang w:val="it-IT"/>
        </w:rPr>
        <w:tab/>
      </w:r>
      <w:r w:rsidRPr="00B03E8D">
        <w:fldChar w:fldCharType="begin"/>
      </w:r>
      <w:r w:rsidRPr="00F04412">
        <w:rPr>
          <w:lang w:val="it-IT"/>
        </w:rPr>
        <w:instrText xml:space="preserve"> PAGEREF _Toc371663577 \h </w:instrText>
      </w:r>
      <w:r w:rsidRPr="00B03E8D">
        <w:fldChar w:fldCharType="separate"/>
      </w:r>
      <w:r w:rsidR="003F471F" w:rsidRPr="00F04412">
        <w:rPr>
          <w:lang w:val="it-IT"/>
        </w:rPr>
        <w:t>38</w:t>
      </w:r>
      <w:r w:rsidRPr="00B03E8D">
        <w:fldChar w:fldCharType="end"/>
      </w:r>
    </w:p>
    <w:p w14:paraId="45E85B4C"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Promozione Project e Visio SA Transition</w:t>
      </w:r>
      <w:r w:rsidRPr="00F04412">
        <w:rPr>
          <w:lang w:val="it-IT"/>
        </w:rPr>
        <w:tab/>
      </w:r>
      <w:r w:rsidRPr="00B03E8D">
        <w:fldChar w:fldCharType="begin"/>
      </w:r>
      <w:r w:rsidRPr="00F04412">
        <w:rPr>
          <w:lang w:val="it-IT"/>
        </w:rPr>
        <w:instrText xml:space="preserve"> PAGEREF _Toc371663578 \h </w:instrText>
      </w:r>
      <w:r w:rsidRPr="00B03E8D">
        <w:fldChar w:fldCharType="separate"/>
      </w:r>
      <w:r w:rsidR="003F471F" w:rsidRPr="00F04412">
        <w:rPr>
          <w:lang w:val="it-IT"/>
        </w:rPr>
        <w:t>38</w:t>
      </w:r>
      <w:r w:rsidRPr="00B03E8D">
        <w:fldChar w:fldCharType="end"/>
      </w:r>
    </w:p>
    <w:p w14:paraId="7E034CAB"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Promozione Step-Up per Project e Visio SA</w:t>
      </w:r>
      <w:r w:rsidRPr="00F04412">
        <w:rPr>
          <w:lang w:val="it-IT"/>
        </w:rPr>
        <w:tab/>
      </w:r>
      <w:r w:rsidRPr="00B03E8D">
        <w:fldChar w:fldCharType="begin"/>
      </w:r>
      <w:r w:rsidRPr="00F04412">
        <w:rPr>
          <w:lang w:val="it-IT"/>
        </w:rPr>
        <w:instrText xml:space="preserve"> PAGEREF _Toc371663579 \h </w:instrText>
      </w:r>
      <w:r w:rsidRPr="00B03E8D">
        <w:fldChar w:fldCharType="separate"/>
      </w:r>
      <w:r w:rsidR="003F471F" w:rsidRPr="00F04412">
        <w:rPr>
          <w:lang w:val="it-IT"/>
        </w:rPr>
        <w:t>38</w:t>
      </w:r>
      <w:r w:rsidRPr="00B03E8D">
        <w:fldChar w:fldCharType="end"/>
      </w:r>
    </w:p>
    <w:p w14:paraId="5FA1490F" w14:textId="77777777" w:rsidR="00B03E8D" w:rsidRPr="00B03E8D" w:rsidRDefault="00B03E8D">
      <w:pPr>
        <w:pStyle w:val="TOC2"/>
        <w:rPr>
          <w:rFonts w:asciiTheme="minorHAnsi" w:eastAsiaTheme="minorEastAsia" w:hAnsiTheme="minorHAnsi" w:cstheme="minorBidi"/>
          <w:sz w:val="22"/>
          <w:szCs w:val="22"/>
        </w:rPr>
      </w:pPr>
      <w:r w:rsidRPr="00B03E8D">
        <w:rPr>
          <w:rFonts w:cs="Tahoma"/>
        </w:rPr>
        <w:t>Promozione per Windows Embedded VL</w:t>
      </w:r>
      <w:r w:rsidRPr="00B03E8D">
        <w:tab/>
      </w:r>
      <w:r w:rsidRPr="00B03E8D">
        <w:fldChar w:fldCharType="begin"/>
      </w:r>
      <w:r w:rsidRPr="00B03E8D">
        <w:instrText xml:space="preserve"> PAGEREF _Toc371663580 \h </w:instrText>
      </w:r>
      <w:r w:rsidRPr="00B03E8D">
        <w:fldChar w:fldCharType="separate"/>
      </w:r>
      <w:r w:rsidR="003F471F">
        <w:t>38</w:t>
      </w:r>
      <w:r w:rsidRPr="00B03E8D">
        <w:fldChar w:fldCharType="end"/>
      </w:r>
    </w:p>
    <w:p w14:paraId="497CB7EA" w14:textId="77777777" w:rsidR="00B03E8D" w:rsidRPr="00F04412" w:rsidRDefault="00B03E8D">
      <w:pPr>
        <w:pStyle w:val="TOC1"/>
        <w:rPr>
          <w:rFonts w:asciiTheme="minorHAnsi" w:eastAsiaTheme="minorEastAsia" w:hAnsiTheme="minorHAnsi" w:cstheme="minorBidi"/>
          <w:b w:val="0"/>
          <w:caps w:val="0"/>
          <w:color w:val="auto"/>
          <w:szCs w:val="22"/>
          <w:lang w:val="it-IT"/>
        </w:rPr>
      </w:pPr>
      <w:r w:rsidRPr="00F04412">
        <w:rPr>
          <w:lang w:val="it-IT"/>
        </w:rPr>
        <w:t>ARTICOLO 3 - CONDIZIONI Dei Programmi Multilicenza</w:t>
      </w:r>
      <w:r w:rsidRPr="00F04412">
        <w:rPr>
          <w:lang w:val="it-IT"/>
        </w:rPr>
        <w:tab/>
      </w:r>
      <w:r>
        <w:fldChar w:fldCharType="begin"/>
      </w:r>
      <w:r w:rsidRPr="00F04412">
        <w:rPr>
          <w:lang w:val="it-IT"/>
        </w:rPr>
        <w:instrText xml:space="preserve"> PAGEREF _Toc371663581 \h </w:instrText>
      </w:r>
      <w:r>
        <w:fldChar w:fldCharType="separate"/>
      </w:r>
      <w:r w:rsidR="003F471F" w:rsidRPr="00F04412">
        <w:rPr>
          <w:lang w:val="it-IT"/>
        </w:rPr>
        <w:t>39</w:t>
      </w:r>
      <w:r>
        <w:fldChar w:fldCharType="end"/>
      </w:r>
    </w:p>
    <w:p w14:paraId="50A86253" w14:textId="77777777" w:rsidR="00B03E8D" w:rsidRPr="00F04412" w:rsidRDefault="00B03E8D">
      <w:pPr>
        <w:pStyle w:val="TOC3"/>
        <w:rPr>
          <w:rFonts w:asciiTheme="minorHAnsi" w:eastAsiaTheme="minorEastAsia" w:hAnsiTheme="minorHAnsi" w:cstheme="minorBidi"/>
          <w:bCs w:val="0"/>
          <w:color w:val="auto"/>
          <w:sz w:val="22"/>
          <w:szCs w:val="22"/>
          <w:lang w:val="it-IT"/>
        </w:rPr>
      </w:pPr>
      <w:r w:rsidRPr="00F04412">
        <w:rPr>
          <w:lang w:val="it-IT"/>
        </w:rPr>
        <w:t>Programmi di Contratti Multilicenza Applicabili</w:t>
      </w:r>
      <w:r w:rsidRPr="00F04412">
        <w:rPr>
          <w:lang w:val="it-IT"/>
        </w:rPr>
        <w:tab/>
      </w:r>
      <w:r>
        <w:fldChar w:fldCharType="begin"/>
      </w:r>
      <w:r w:rsidRPr="00F04412">
        <w:rPr>
          <w:lang w:val="it-IT"/>
        </w:rPr>
        <w:instrText xml:space="preserve"> PAGEREF _Toc371663582 \h </w:instrText>
      </w:r>
      <w:r>
        <w:fldChar w:fldCharType="separate"/>
      </w:r>
      <w:r w:rsidR="003F471F" w:rsidRPr="00F04412">
        <w:rPr>
          <w:lang w:val="it-IT"/>
        </w:rPr>
        <w:t>39</w:t>
      </w:r>
      <w:r>
        <w:fldChar w:fldCharType="end"/>
      </w:r>
    </w:p>
    <w:p w14:paraId="66D0ED95" w14:textId="77777777" w:rsidR="00B03E8D" w:rsidRPr="00F04412" w:rsidRDefault="00B03E8D">
      <w:pPr>
        <w:pStyle w:val="TOC3"/>
        <w:rPr>
          <w:rFonts w:asciiTheme="minorHAnsi" w:eastAsiaTheme="minorEastAsia" w:hAnsiTheme="minorHAnsi" w:cstheme="minorBidi"/>
          <w:bCs w:val="0"/>
          <w:color w:val="auto"/>
          <w:sz w:val="22"/>
          <w:szCs w:val="22"/>
          <w:lang w:val="it-IT"/>
        </w:rPr>
      </w:pPr>
      <w:r w:rsidRPr="00F04412">
        <w:rPr>
          <w:lang w:val="it-IT"/>
        </w:rPr>
        <w:t>Punti e Requisiti Minimi per gli Ordini</w:t>
      </w:r>
      <w:r w:rsidRPr="00F04412">
        <w:rPr>
          <w:lang w:val="it-IT"/>
        </w:rPr>
        <w:tab/>
      </w:r>
      <w:r>
        <w:fldChar w:fldCharType="begin"/>
      </w:r>
      <w:r w:rsidRPr="00F04412">
        <w:rPr>
          <w:lang w:val="it-IT"/>
        </w:rPr>
        <w:instrText xml:space="preserve"> PAGEREF _Toc371663583 \h </w:instrText>
      </w:r>
      <w:r>
        <w:fldChar w:fldCharType="separate"/>
      </w:r>
      <w:r w:rsidR="003F471F" w:rsidRPr="00F04412">
        <w:rPr>
          <w:lang w:val="it-IT"/>
        </w:rPr>
        <w:t>39</w:t>
      </w:r>
      <w:r>
        <w:fldChar w:fldCharType="end"/>
      </w:r>
    </w:p>
    <w:p w14:paraId="78374863"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Requisiti Minimi dell</w:t>
      </w:r>
      <w:r w:rsidR="001C4212" w:rsidRPr="00F04412">
        <w:rPr>
          <w:rFonts w:cs="Tahoma"/>
          <w:lang w:val="it-IT"/>
        </w:rPr>
        <w:t>’</w:t>
      </w:r>
      <w:r w:rsidRPr="00F04412">
        <w:rPr>
          <w:rFonts w:cs="Tahoma"/>
          <w:lang w:val="it-IT"/>
        </w:rPr>
        <w:t>Ordine</w:t>
      </w:r>
      <w:r w:rsidRPr="00F04412">
        <w:rPr>
          <w:lang w:val="it-IT"/>
        </w:rPr>
        <w:tab/>
      </w:r>
      <w:r>
        <w:fldChar w:fldCharType="begin"/>
      </w:r>
      <w:r w:rsidRPr="00F04412">
        <w:rPr>
          <w:lang w:val="it-IT"/>
        </w:rPr>
        <w:instrText xml:space="preserve"> PAGEREF _Toc371663584 \h </w:instrText>
      </w:r>
      <w:r>
        <w:fldChar w:fldCharType="separate"/>
      </w:r>
      <w:r w:rsidR="003F471F" w:rsidRPr="00F04412">
        <w:rPr>
          <w:lang w:val="it-IT"/>
        </w:rPr>
        <w:t>40</w:t>
      </w:r>
      <w:r>
        <w:fldChar w:fldCharType="end"/>
      </w:r>
    </w:p>
    <w:p w14:paraId="7BE1074E" w14:textId="77777777" w:rsidR="00B03E8D" w:rsidRPr="00F04412" w:rsidRDefault="00B03E8D">
      <w:pPr>
        <w:pStyle w:val="TOC3"/>
        <w:rPr>
          <w:rFonts w:asciiTheme="minorHAnsi" w:eastAsiaTheme="minorEastAsia" w:hAnsiTheme="minorHAnsi" w:cstheme="minorBidi"/>
          <w:bCs w:val="0"/>
          <w:color w:val="auto"/>
          <w:sz w:val="22"/>
          <w:szCs w:val="22"/>
          <w:lang w:val="it-IT"/>
        </w:rPr>
      </w:pPr>
      <w:r w:rsidRPr="00F04412">
        <w:rPr>
          <w:lang w:val="it-IT"/>
        </w:rPr>
        <w:t>Piattaforme</w:t>
      </w:r>
      <w:r w:rsidRPr="00F04412">
        <w:rPr>
          <w:lang w:val="it-IT"/>
        </w:rPr>
        <w:tab/>
      </w:r>
      <w:r>
        <w:fldChar w:fldCharType="begin"/>
      </w:r>
      <w:r w:rsidRPr="00F04412">
        <w:rPr>
          <w:lang w:val="it-IT"/>
        </w:rPr>
        <w:instrText xml:space="preserve"> PAGEREF _Toc371663585 \h </w:instrText>
      </w:r>
      <w:r>
        <w:fldChar w:fldCharType="separate"/>
      </w:r>
      <w:r w:rsidR="003F471F" w:rsidRPr="00F04412">
        <w:rPr>
          <w:lang w:val="it-IT"/>
        </w:rPr>
        <w:t>43</w:t>
      </w:r>
      <w:r>
        <w:fldChar w:fldCharType="end"/>
      </w:r>
    </w:p>
    <w:p w14:paraId="02E23998" w14:textId="77777777" w:rsidR="00B03E8D" w:rsidRPr="00F04412" w:rsidRDefault="00B03E8D">
      <w:pPr>
        <w:pStyle w:val="TOC3"/>
        <w:rPr>
          <w:rFonts w:asciiTheme="minorHAnsi" w:eastAsiaTheme="minorEastAsia" w:hAnsiTheme="minorHAnsi" w:cstheme="minorBidi"/>
          <w:bCs w:val="0"/>
          <w:color w:val="auto"/>
          <w:sz w:val="22"/>
          <w:szCs w:val="22"/>
          <w:lang w:val="it-IT"/>
        </w:rPr>
      </w:pPr>
      <w:r w:rsidRPr="00F04412">
        <w:rPr>
          <w:lang w:val="it-IT"/>
        </w:rPr>
        <w:t>Definizione di Gestione per i Dispositivi Qualificanti</w:t>
      </w:r>
      <w:r w:rsidRPr="00F04412">
        <w:rPr>
          <w:lang w:val="it-IT"/>
        </w:rPr>
        <w:tab/>
      </w:r>
      <w:r>
        <w:fldChar w:fldCharType="begin"/>
      </w:r>
      <w:r w:rsidRPr="00F04412">
        <w:rPr>
          <w:lang w:val="it-IT"/>
        </w:rPr>
        <w:instrText xml:space="preserve"> PAGEREF _Toc371663586 \h </w:instrText>
      </w:r>
      <w:r>
        <w:fldChar w:fldCharType="separate"/>
      </w:r>
      <w:r w:rsidR="003F471F" w:rsidRPr="00F04412">
        <w:rPr>
          <w:lang w:val="it-IT"/>
        </w:rPr>
        <w:t>44</w:t>
      </w:r>
      <w:r>
        <w:fldChar w:fldCharType="end"/>
      </w:r>
    </w:p>
    <w:p w14:paraId="3BC8323E" w14:textId="77777777" w:rsidR="00B03E8D" w:rsidRPr="00F04412" w:rsidRDefault="00B03E8D">
      <w:pPr>
        <w:pStyle w:val="TOC3"/>
        <w:rPr>
          <w:rFonts w:asciiTheme="minorHAnsi" w:eastAsiaTheme="minorEastAsia" w:hAnsiTheme="minorHAnsi" w:cstheme="minorBidi"/>
          <w:bCs w:val="0"/>
          <w:color w:val="auto"/>
          <w:sz w:val="22"/>
          <w:szCs w:val="22"/>
          <w:lang w:val="it-IT"/>
        </w:rPr>
      </w:pPr>
      <w:r w:rsidRPr="00F04412">
        <w:rPr>
          <w:lang w:val="it-IT"/>
        </w:rPr>
        <w:t>Prodotti Qualificati per lo Sconto Up-to-Date (UTD)</w:t>
      </w:r>
      <w:r w:rsidRPr="00F04412">
        <w:rPr>
          <w:lang w:val="it-IT"/>
        </w:rPr>
        <w:tab/>
      </w:r>
      <w:r>
        <w:fldChar w:fldCharType="begin"/>
      </w:r>
      <w:r w:rsidRPr="00F04412">
        <w:rPr>
          <w:lang w:val="it-IT"/>
        </w:rPr>
        <w:instrText xml:space="preserve"> PAGEREF _Toc371663587 \h </w:instrText>
      </w:r>
      <w:r>
        <w:fldChar w:fldCharType="separate"/>
      </w:r>
      <w:r w:rsidR="003F471F" w:rsidRPr="00F04412">
        <w:rPr>
          <w:lang w:val="it-IT"/>
        </w:rPr>
        <w:t>45</w:t>
      </w:r>
      <w:r>
        <w:fldChar w:fldCharType="end"/>
      </w:r>
    </w:p>
    <w:p w14:paraId="0A3C4CF2"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Condizioni Aggiornate per i Programmi Contratto Enterprise e Contratto Subscription</w:t>
      </w:r>
      <w:r w:rsidRPr="00F04412">
        <w:rPr>
          <w:lang w:val="it-IT"/>
        </w:rPr>
        <w:tab/>
      </w:r>
      <w:r>
        <w:fldChar w:fldCharType="begin"/>
      </w:r>
      <w:r w:rsidRPr="00F04412">
        <w:rPr>
          <w:lang w:val="it-IT"/>
        </w:rPr>
        <w:instrText xml:space="preserve"> PAGEREF _Toc371663588 \h </w:instrText>
      </w:r>
      <w:r>
        <w:fldChar w:fldCharType="separate"/>
      </w:r>
      <w:r w:rsidR="003F471F" w:rsidRPr="00F04412">
        <w:rPr>
          <w:lang w:val="it-IT"/>
        </w:rPr>
        <w:t>46</w:t>
      </w:r>
      <w:r>
        <w:fldChar w:fldCharType="end"/>
      </w:r>
    </w:p>
    <w:p w14:paraId="466090EB"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Continuità del Servizio per Proroga del Periodo di Validità</w:t>
      </w:r>
      <w:r w:rsidRPr="00F04412">
        <w:rPr>
          <w:lang w:val="it-IT"/>
        </w:rPr>
        <w:tab/>
      </w:r>
      <w:r>
        <w:fldChar w:fldCharType="begin"/>
      </w:r>
      <w:r w:rsidRPr="00F04412">
        <w:rPr>
          <w:lang w:val="it-IT"/>
        </w:rPr>
        <w:instrText xml:space="preserve"> PAGEREF _Toc371663589 \h </w:instrText>
      </w:r>
      <w:r>
        <w:fldChar w:fldCharType="separate"/>
      </w:r>
      <w:r w:rsidR="003F471F" w:rsidRPr="00F04412">
        <w:rPr>
          <w:lang w:val="it-IT"/>
        </w:rPr>
        <w:t>50</w:t>
      </w:r>
      <w:r>
        <w:fldChar w:fldCharType="end"/>
      </w:r>
    </w:p>
    <w:p w14:paraId="01A45946" w14:textId="77777777" w:rsidR="00B03E8D" w:rsidRPr="00F04412" w:rsidRDefault="00B03E8D">
      <w:pPr>
        <w:pStyle w:val="TOC1"/>
        <w:rPr>
          <w:rFonts w:asciiTheme="minorHAnsi" w:eastAsiaTheme="minorEastAsia" w:hAnsiTheme="minorHAnsi" w:cstheme="minorBidi"/>
          <w:b w:val="0"/>
          <w:caps w:val="0"/>
          <w:color w:val="auto"/>
          <w:szCs w:val="22"/>
          <w:lang w:val="it-IT"/>
        </w:rPr>
      </w:pPr>
      <w:r w:rsidRPr="00F04412">
        <w:rPr>
          <w:lang w:val="it-IT"/>
        </w:rPr>
        <w:t>ARTICOLO 4 - Tipi di Licenze e Corrispettivi</w:t>
      </w:r>
      <w:r w:rsidRPr="00F04412">
        <w:rPr>
          <w:lang w:val="it-IT"/>
        </w:rPr>
        <w:tab/>
      </w:r>
      <w:r>
        <w:fldChar w:fldCharType="begin"/>
      </w:r>
      <w:r w:rsidRPr="00F04412">
        <w:rPr>
          <w:lang w:val="it-IT"/>
        </w:rPr>
        <w:instrText xml:space="preserve"> PAGEREF _Toc371663590 \h </w:instrText>
      </w:r>
      <w:r>
        <w:fldChar w:fldCharType="separate"/>
      </w:r>
      <w:r w:rsidR="003F471F" w:rsidRPr="00F04412">
        <w:rPr>
          <w:lang w:val="it-IT"/>
        </w:rPr>
        <w:t>51</w:t>
      </w:r>
      <w:r>
        <w:fldChar w:fldCharType="end"/>
      </w:r>
    </w:p>
    <w:p w14:paraId="19017400"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Corrispettivi</w:t>
      </w:r>
      <w:r w:rsidRPr="00F04412">
        <w:rPr>
          <w:lang w:val="it-IT"/>
        </w:rPr>
        <w:tab/>
      </w:r>
      <w:r>
        <w:fldChar w:fldCharType="begin"/>
      </w:r>
      <w:r w:rsidRPr="00F04412">
        <w:rPr>
          <w:lang w:val="it-IT"/>
        </w:rPr>
        <w:instrText xml:space="preserve"> PAGEREF _Toc371663591 \h </w:instrText>
      </w:r>
      <w:r>
        <w:fldChar w:fldCharType="separate"/>
      </w:r>
      <w:r w:rsidR="003F471F" w:rsidRPr="00F04412">
        <w:rPr>
          <w:lang w:val="it-IT"/>
        </w:rPr>
        <w:t>51</w:t>
      </w:r>
      <w:r>
        <w:fldChar w:fldCharType="end"/>
      </w:r>
    </w:p>
    <w:p w14:paraId="67CBE5DC"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Licenza</w:t>
      </w:r>
      <w:r w:rsidRPr="00F04412">
        <w:rPr>
          <w:lang w:val="it-IT"/>
        </w:rPr>
        <w:tab/>
      </w:r>
      <w:r>
        <w:fldChar w:fldCharType="begin"/>
      </w:r>
      <w:r w:rsidRPr="00F04412">
        <w:rPr>
          <w:lang w:val="it-IT"/>
        </w:rPr>
        <w:instrText xml:space="preserve"> PAGEREF _Toc371663592 \h </w:instrText>
      </w:r>
      <w:r>
        <w:fldChar w:fldCharType="separate"/>
      </w:r>
      <w:r w:rsidR="003F471F" w:rsidRPr="00F04412">
        <w:rPr>
          <w:lang w:val="it-IT"/>
        </w:rPr>
        <w:t>51</w:t>
      </w:r>
      <w:r>
        <w:fldChar w:fldCharType="end"/>
      </w:r>
    </w:p>
    <w:p w14:paraId="143E27AB"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Licenza e Software Assurance (L&amp;SA)</w:t>
      </w:r>
      <w:r w:rsidRPr="00F04412">
        <w:rPr>
          <w:lang w:val="it-IT"/>
        </w:rPr>
        <w:tab/>
      </w:r>
      <w:r>
        <w:fldChar w:fldCharType="begin"/>
      </w:r>
      <w:r w:rsidRPr="00F04412">
        <w:rPr>
          <w:lang w:val="it-IT"/>
        </w:rPr>
        <w:instrText xml:space="preserve"> PAGEREF _Toc371663593 \h </w:instrText>
      </w:r>
      <w:r>
        <w:fldChar w:fldCharType="separate"/>
      </w:r>
      <w:r w:rsidR="003F471F" w:rsidRPr="00F04412">
        <w:rPr>
          <w:lang w:val="it-IT"/>
        </w:rPr>
        <w:t>51</w:t>
      </w:r>
      <w:r>
        <w:fldChar w:fldCharType="end"/>
      </w:r>
    </w:p>
    <w:p w14:paraId="2F8474C8" w14:textId="77777777" w:rsidR="00B03E8D" w:rsidRDefault="00B03E8D">
      <w:pPr>
        <w:pStyle w:val="TOC2"/>
        <w:rPr>
          <w:rFonts w:asciiTheme="minorHAnsi" w:eastAsiaTheme="minorEastAsia" w:hAnsiTheme="minorHAnsi" w:cstheme="minorBidi"/>
          <w:sz w:val="22"/>
          <w:szCs w:val="22"/>
        </w:rPr>
      </w:pPr>
      <w:r w:rsidRPr="000F4C33">
        <w:rPr>
          <w:rFonts w:cs="Tahoma"/>
        </w:rPr>
        <w:t>Software Assurance</w:t>
      </w:r>
      <w:r>
        <w:tab/>
      </w:r>
      <w:r>
        <w:fldChar w:fldCharType="begin"/>
      </w:r>
      <w:r>
        <w:instrText xml:space="preserve"> PAGEREF _Toc371663594 \h </w:instrText>
      </w:r>
      <w:r>
        <w:fldChar w:fldCharType="separate"/>
      </w:r>
      <w:r w:rsidR="003F471F">
        <w:t>52</w:t>
      </w:r>
      <w:r>
        <w:fldChar w:fldCharType="end"/>
      </w:r>
    </w:p>
    <w:p w14:paraId="0780F633" w14:textId="77777777" w:rsidR="00B03E8D" w:rsidRDefault="00B03E8D">
      <w:pPr>
        <w:pStyle w:val="TOC2"/>
        <w:rPr>
          <w:rFonts w:asciiTheme="minorHAnsi" w:eastAsiaTheme="minorEastAsia" w:hAnsiTheme="minorHAnsi" w:cstheme="minorBidi"/>
          <w:sz w:val="22"/>
          <w:szCs w:val="22"/>
        </w:rPr>
      </w:pPr>
      <w:r w:rsidRPr="000F4C33">
        <w:rPr>
          <w:rFonts w:cs="Tahoma"/>
        </w:rPr>
        <w:t>Licenze Step-Up</w:t>
      </w:r>
      <w:r>
        <w:tab/>
      </w:r>
      <w:r>
        <w:fldChar w:fldCharType="begin"/>
      </w:r>
      <w:r>
        <w:instrText xml:space="preserve"> PAGEREF _Toc371663595 \h </w:instrText>
      </w:r>
      <w:r>
        <w:fldChar w:fldCharType="separate"/>
      </w:r>
      <w:r w:rsidR="003F471F">
        <w:t>53</w:t>
      </w:r>
      <w:r>
        <w:fldChar w:fldCharType="end"/>
      </w:r>
    </w:p>
    <w:p w14:paraId="7971B853"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Licenze “Subscription”</w:t>
      </w:r>
      <w:r w:rsidRPr="00F04412">
        <w:rPr>
          <w:lang w:val="it-IT"/>
        </w:rPr>
        <w:tab/>
      </w:r>
      <w:r>
        <w:fldChar w:fldCharType="begin"/>
      </w:r>
      <w:r w:rsidRPr="00F04412">
        <w:rPr>
          <w:lang w:val="it-IT"/>
        </w:rPr>
        <w:instrText xml:space="preserve"> PAGEREF _Toc371663596 \h </w:instrText>
      </w:r>
      <w:r>
        <w:fldChar w:fldCharType="separate"/>
      </w:r>
      <w:r w:rsidR="003F471F" w:rsidRPr="00F04412">
        <w:rPr>
          <w:lang w:val="it-IT"/>
        </w:rPr>
        <w:t>53</w:t>
      </w:r>
      <w:r>
        <w:fldChar w:fldCharType="end"/>
      </w:r>
    </w:p>
    <w:p w14:paraId="1AB93207"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Aggiornamento</w:t>
      </w:r>
      <w:r w:rsidRPr="00F04412">
        <w:rPr>
          <w:lang w:val="it-IT"/>
        </w:rPr>
        <w:tab/>
      </w:r>
      <w:r>
        <w:fldChar w:fldCharType="begin"/>
      </w:r>
      <w:r w:rsidRPr="00F04412">
        <w:rPr>
          <w:lang w:val="it-IT"/>
        </w:rPr>
        <w:instrText xml:space="preserve"> PAGEREF _Toc371663597 \h </w:instrText>
      </w:r>
      <w:r>
        <w:fldChar w:fldCharType="separate"/>
      </w:r>
      <w:r w:rsidR="003F471F" w:rsidRPr="00F04412">
        <w:rPr>
          <w:lang w:val="it-IT"/>
        </w:rPr>
        <w:t>54</w:t>
      </w:r>
      <w:r>
        <w:fldChar w:fldCharType="end"/>
      </w:r>
    </w:p>
    <w:p w14:paraId="4DC10358"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Aggiornamento e Software Assurance</w:t>
      </w:r>
      <w:r w:rsidRPr="00F04412">
        <w:rPr>
          <w:lang w:val="it-IT"/>
        </w:rPr>
        <w:tab/>
      </w:r>
      <w:r>
        <w:fldChar w:fldCharType="begin"/>
      </w:r>
      <w:r w:rsidRPr="00F04412">
        <w:rPr>
          <w:lang w:val="it-IT"/>
        </w:rPr>
        <w:instrText xml:space="preserve"> PAGEREF _Toc371663598 \h </w:instrText>
      </w:r>
      <w:r>
        <w:fldChar w:fldCharType="separate"/>
      </w:r>
      <w:r w:rsidR="003F471F" w:rsidRPr="00F04412">
        <w:rPr>
          <w:lang w:val="it-IT"/>
        </w:rPr>
        <w:t>54</w:t>
      </w:r>
      <w:r>
        <w:fldChar w:fldCharType="end"/>
      </w:r>
    </w:p>
    <w:p w14:paraId="00AA27C8"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Licenze Work at Home</w:t>
      </w:r>
      <w:r w:rsidRPr="00F04412">
        <w:rPr>
          <w:lang w:val="it-IT"/>
        </w:rPr>
        <w:tab/>
      </w:r>
      <w:r>
        <w:fldChar w:fldCharType="begin"/>
      </w:r>
      <w:r w:rsidRPr="00F04412">
        <w:rPr>
          <w:lang w:val="it-IT"/>
        </w:rPr>
        <w:instrText xml:space="preserve"> PAGEREF _Toc371663599 \h </w:instrText>
      </w:r>
      <w:r>
        <w:fldChar w:fldCharType="separate"/>
      </w:r>
      <w:r w:rsidR="003F471F" w:rsidRPr="00F04412">
        <w:rPr>
          <w:lang w:val="it-IT"/>
        </w:rPr>
        <w:t>54</w:t>
      </w:r>
      <w:r>
        <w:fldChar w:fldCharType="end"/>
      </w:r>
    </w:p>
    <w:p w14:paraId="1AC4CAD9" w14:textId="77777777" w:rsidR="00B03E8D" w:rsidRPr="00F04412" w:rsidRDefault="00B03E8D">
      <w:pPr>
        <w:pStyle w:val="TOC1"/>
        <w:rPr>
          <w:rFonts w:asciiTheme="minorHAnsi" w:eastAsiaTheme="minorEastAsia" w:hAnsiTheme="minorHAnsi" w:cstheme="minorBidi"/>
          <w:b w:val="0"/>
          <w:caps w:val="0"/>
          <w:color w:val="auto"/>
          <w:szCs w:val="22"/>
          <w:lang w:val="it-IT"/>
        </w:rPr>
      </w:pPr>
      <w:r w:rsidRPr="00F04412">
        <w:rPr>
          <w:lang w:val="it-IT"/>
        </w:rPr>
        <w:t>Articolo 5 - PREZZI DEI SERVIZI ONLINE e CONDIZIONI DI PAGAMENTO</w:t>
      </w:r>
      <w:r w:rsidRPr="00F04412">
        <w:rPr>
          <w:lang w:val="it-IT"/>
        </w:rPr>
        <w:tab/>
      </w:r>
      <w:r>
        <w:fldChar w:fldCharType="begin"/>
      </w:r>
      <w:r w:rsidRPr="00F04412">
        <w:rPr>
          <w:lang w:val="it-IT"/>
        </w:rPr>
        <w:instrText xml:space="preserve"> PAGEREF _Toc371663600 \h </w:instrText>
      </w:r>
      <w:r>
        <w:fldChar w:fldCharType="separate"/>
      </w:r>
      <w:r w:rsidR="003F471F" w:rsidRPr="00F04412">
        <w:rPr>
          <w:lang w:val="it-IT"/>
        </w:rPr>
        <w:t>55</w:t>
      </w:r>
      <w:r>
        <w:fldChar w:fldCharType="end"/>
      </w:r>
    </w:p>
    <w:p w14:paraId="0AA69A3D"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Prezzi dei Servizi Online e Condizioni di Pagamento</w:t>
      </w:r>
      <w:r w:rsidRPr="00F04412">
        <w:rPr>
          <w:lang w:val="it-IT"/>
        </w:rPr>
        <w:tab/>
      </w:r>
      <w:r>
        <w:fldChar w:fldCharType="begin"/>
      </w:r>
      <w:r w:rsidRPr="00F04412">
        <w:rPr>
          <w:lang w:val="it-IT"/>
        </w:rPr>
        <w:instrText xml:space="preserve"> PAGEREF _Toc371663601 \h </w:instrText>
      </w:r>
      <w:r>
        <w:fldChar w:fldCharType="separate"/>
      </w:r>
      <w:r w:rsidR="003F471F" w:rsidRPr="00F04412">
        <w:rPr>
          <w:lang w:val="it-IT"/>
        </w:rPr>
        <w:t>55</w:t>
      </w:r>
      <w:r>
        <w:fldChar w:fldCharType="end"/>
      </w:r>
    </w:p>
    <w:p w14:paraId="3477C601"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Periodo di Validità dell</w:t>
      </w:r>
      <w:r w:rsidR="001C4212" w:rsidRPr="00F04412">
        <w:rPr>
          <w:rFonts w:cs="Tahoma"/>
          <w:lang w:val="it-IT"/>
        </w:rPr>
        <w:t>’</w:t>
      </w:r>
      <w:r w:rsidRPr="00F04412">
        <w:rPr>
          <w:rFonts w:cs="Tahoma"/>
          <w:lang w:val="it-IT"/>
        </w:rPr>
        <w:t>Abbonamento ai Servizi Online</w:t>
      </w:r>
      <w:r w:rsidRPr="00F04412">
        <w:rPr>
          <w:lang w:val="it-IT"/>
        </w:rPr>
        <w:tab/>
      </w:r>
      <w:r>
        <w:fldChar w:fldCharType="begin"/>
      </w:r>
      <w:r w:rsidRPr="00F04412">
        <w:rPr>
          <w:lang w:val="it-IT"/>
        </w:rPr>
        <w:instrText xml:space="preserve"> PAGEREF _Toc371663602 \h </w:instrText>
      </w:r>
      <w:r>
        <w:fldChar w:fldCharType="separate"/>
      </w:r>
      <w:r w:rsidR="003F471F" w:rsidRPr="00F04412">
        <w:rPr>
          <w:lang w:val="it-IT"/>
        </w:rPr>
        <w:t>56</w:t>
      </w:r>
      <w:r>
        <w:fldChar w:fldCharType="end"/>
      </w:r>
    </w:p>
    <w:p w14:paraId="71F3DA28"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Acquisti e Rinnovo Automatico di Servizi Online</w:t>
      </w:r>
      <w:r w:rsidRPr="00F04412">
        <w:rPr>
          <w:lang w:val="it-IT"/>
        </w:rPr>
        <w:tab/>
      </w:r>
      <w:r>
        <w:fldChar w:fldCharType="begin"/>
      </w:r>
      <w:r w:rsidRPr="00F04412">
        <w:rPr>
          <w:lang w:val="it-IT"/>
        </w:rPr>
        <w:instrText xml:space="preserve"> PAGEREF _Toc371663603 \h </w:instrText>
      </w:r>
      <w:r>
        <w:fldChar w:fldCharType="separate"/>
      </w:r>
      <w:r w:rsidR="003F471F" w:rsidRPr="00F04412">
        <w:rPr>
          <w:lang w:val="it-IT"/>
        </w:rPr>
        <w:t>57</w:t>
      </w:r>
      <w:r>
        <w:fldChar w:fldCharType="end"/>
      </w:r>
    </w:p>
    <w:p w14:paraId="33052529"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Gestione degli Stati di Rinnovo e di Rinnovo Automatico</w:t>
      </w:r>
      <w:r w:rsidRPr="00F04412">
        <w:rPr>
          <w:lang w:val="it-IT"/>
        </w:rPr>
        <w:tab/>
      </w:r>
      <w:r>
        <w:fldChar w:fldCharType="begin"/>
      </w:r>
      <w:r w:rsidRPr="00F04412">
        <w:rPr>
          <w:lang w:val="it-IT"/>
        </w:rPr>
        <w:instrText xml:space="preserve"> PAGEREF _Toc371663604 \h </w:instrText>
      </w:r>
      <w:r>
        <w:fldChar w:fldCharType="separate"/>
      </w:r>
      <w:r w:rsidR="003F471F" w:rsidRPr="00F04412">
        <w:rPr>
          <w:lang w:val="it-IT"/>
        </w:rPr>
        <w:t>57</w:t>
      </w:r>
      <w:r>
        <w:fldChar w:fldCharType="end"/>
      </w:r>
    </w:p>
    <w:p w14:paraId="676F520F"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Annullamento dei Servizi Online</w:t>
      </w:r>
      <w:r w:rsidRPr="00F04412">
        <w:rPr>
          <w:lang w:val="it-IT"/>
        </w:rPr>
        <w:tab/>
      </w:r>
      <w:r>
        <w:fldChar w:fldCharType="begin"/>
      </w:r>
      <w:r w:rsidRPr="00F04412">
        <w:rPr>
          <w:lang w:val="it-IT"/>
        </w:rPr>
        <w:instrText xml:space="preserve"> PAGEREF _Toc371663605 \h </w:instrText>
      </w:r>
      <w:r>
        <w:fldChar w:fldCharType="separate"/>
      </w:r>
      <w:r w:rsidR="003F471F" w:rsidRPr="00F04412">
        <w:rPr>
          <w:lang w:val="it-IT"/>
        </w:rPr>
        <w:t>57</w:t>
      </w:r>
      <w:r>
        <w:fldChar w:fldCharType="end"/>
      </w:r>
    </w:p>
    <w:p w14:paraId="34AC042F"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Opzioni relative alle Condizioni di Pagamento dei Servizi Online</w:t>
      </w:r>
      <w:r w:rsidRPr="00F04412">
        <w:rPr>
          <w:lang w:val="it-IT"/>
        </w:rPr>
        <w:tab/>
      </w:r>
      <w:r>
        <w:fldChar w:fldCharType="begin"/>
      </w:r>
      <w:r w:rsidRPr="00F04412">
        <w:rPr>
          <w:lang w:val="it-IT"/>
        </w:rPr>
        <w:instrText xml:space="preserve"> PAGEREF _Toc371663606 \h </w:instrText>
      </w:r>
      <w:r>
        <w:fldChar w:fldCharType="separate"/>
      </w:r>
      <w:r w:rsidR="003F471F" w:rsidRPr="00F04412">
        <w:rPr>
          <w:lang w:val="it-IT"/>
        </w:rPr>
        <w:t>57</w:t>
      </w:r>
      <w:r>
        <w:fldChar w:fldCharType="end"/>
      </w:r>
    </w:p>
    <w:p w14:paraId="462946C8"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Requisiti di Acquisto Minimo per i Servizi Online in Volume Licensing</w:t>
      </w:r>
      <w:r w:rsidRPr="00F04412">
        <w:rPr>
          <w:lang w:val="it-IT"/>
        </w:rPr>
        <w:tab/>
      </w:r>
      <w:r>
        <w:fldChar w:fldCharType="begin"/>
      </w:r>
      <w:r w:rsidRPr="00F04412">
        <w:rPr>
          <w:lang w:val="it-IT"/>
        </w:rPr>
        <w:instrText xml:space="preserve"> PAGEREF _Toc371663607 \h </w:instrText>
      </w:r>
      <w:r>
        <w:fldChar w:fldCharType="separate"/>
      </w:r>
      <w:r w:rsidR="003F471F" w:rsidRPr="00F04412">
        <w:rPr>
          <w:lang w:val="it-IT"/>
        </w:rPr>
        <w:t>58</w:t>
      </w:r>
      <w:r>
        <w:fldChar w:fldCharType="end"/>
      </w:r>
    </w:p>
    <w:p w14:paraId="388D39FA" w14:textId="77777777" w:rsidR="00B03E8D" w:rsidRPr="00F04412" w:rsidRDefault="00B03E8D">
      <w:pPr>
        <w:pStyle w:val="TOC3"/>
        <w:rPr>
          <w:rFonts w:asciiTheme="minorHAnsi" w:eastAsiaTheme="minorEastAsia" w:hAnsiTheme="minorHAnsi" w:cstheme="minorBidi"/>
          <w:bCs w:val="0"/>
          <w:color w:val="auto"/>
          <w:sz w:val="22"/>
          <w:szCs w:val="22"/>
          <w:lang w:val="it-IT"/>
        </w:rPr>
      </w:pPr>
      <w:r w:rsidRPr="00F04412">
        <w:rPr>
          <w:lang w:val="it-IT"/>
        </w:rPr>
        <w:t>Servizi di Windows Azure</w:t>
      </w:r>
      <w:r w:rsidRPr="00F04412">
        <w:rPr>
          <w:lang w:val="it-IT"/>
        </w:rPr>
        <w:tab/>
      </w:r>
      <w:r>
        <w:fldChar w:fldCharType="begin"/>
      </w:r>
      <w:r w:rsidRPr="00F04412">
        <w:rPr>
          <w:lang w:val="it-IT"/>
        </w:rPr>
        <w:instrText xml:space="preserve"> PAGEREF _Toc371663608 \h </w:instrText>
      </w:r>
      <w:r>
        <w:fldChar w:fldCharType="separate"/>
      </w:r>
      <w:r w:rsidR="003F471F" w:rsidRPr="00F04412">
        <w:rPr>
          <w:lang w:val="it-IT"/>
        </w:rPr>
        <w:t>58</w:t>
      </w:r>
      <w:r>
        <w:fldChar w:fldCharType="end"/>
      </w:r>
    </w:p>
    <w:p w14:paraId="1CF60510"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Disponibilità internazionale del Servizio Online</w:t>
      </w:r>
      <w:r w:rsidRPr="00F04412">
        <w:rPr>
          <w:lang w:val="it-IT"/>
        </w:rPr>
        <w:tab/>
      </w:r>
      <w:r>
        <w:fldChar w:fldCharType="begin"/>
      </w:r>
      <w:r w:rsidRPr="00F04412">
        <w:rPr>
          <w:lang w:val="it-IT"/>
        </w:rPr>
        <w:instrText xml:space="preserve"> PAGEREF _Toc371663609 \h </w:instrText>
      </w:r>
      <w:r>
        <w:fldChar w:fldCharType="separate"/>
      </w:r>
      <w:r w:rsidR="003F471F" w:rsidRPr="00F04412">
        <w:rPr>
          <w:lang w:val="it-IT"/>
        </w:rPr>
        <w:t>59</w:t>
      </w:r>
      <w:r>
        <w:fldChar w:fldCharType="end"/>
      </w:r>
    </w:p>
    <w:p w14:paraId="252CF71A" w14:textId="77777777" w:rsidR="00B03E8D" w:rsidRPr="00F04412" w:rsidRDefault="00B03E8D">
      <w:pPr>
        <w:pStyle w:val="TOC2"/>
        <w:rPr>
          <w:rFonts w:asciiTheme="minorHAnsi" w:eastAsiaTheme="minorEastAsia" w:hAnsiTheme="minorHAnsi" w:cstheme="minorBidi"/>
          <w:sz w:val="22"/>
          <w:szCs w:val="22"/>
          <w:lang w:val="it-IT"/>
        </w:rPr>
      </w:pPr>
      <w:r w:rsidRPr="00F04412">
        <w:rPr>
          <w:rFonts w:cs="Tahoma"/>
          <w:lang w:val="it-IT"/>
        </w:rPr>
        <w:t>Condizioni Aggiuntive per i Servizi Online</w:t>
      </w:r>
      <w:r w:rsidRPr="00F04412">
        <w:rPr>
          <w:lang w:val="it-IT"/>
        </w:rPr>
        <w:tab/>
      </w:r>
      <w:r>
        <w:fldChar w:fldCharType="begin"/>
      </w:r>
      <w:r w:rsidRPr="00F04412">
        <w:rPr>
          <w:lang w:val="it-IT"/>
        </w:rPr>
        <w:instrText xml:space="preserve"> PAGEREF _Toc371663610 \h </w:instrText>
      </w:r>
      <w:r>
        <w:fldChar w:fldCharType="separate"/>
      </w:r>
      <w:r w:rsidR="003F471F" w:rsidRPr="00F04412">
        <w:rPr>
          <w:lang w:val="it-IT"/>
        </w:rPr>
        <w:t>60</w:t>
      </w:r>
      <w:r>
        <w:fldChar w:fldCharType="end"/>
      </w:r>
    </w:p>
    <w:p w14:paraId="49107471" w14:textId="77777777" w:rsidR="00B03E8D" w:rsidRPr="00F04412" w:rsidRDefault="00B03E8D">
      <w:pPr>
        <w:pStyle w:val="TOC1"/>
        <w:rPr>
          <w:rFonts w:asciiTheme="minorHAnsi" w:eastAsiaTheme="minorEastAsia" w:hAnsiTheme="minorHAnsi" w:cstheme="minorBidi"/>
          <w:b w:val="0"/>
          <w:caps w:val="0"/>
          <w:color w:val="auto"/>
          <w:szCs w:val="22"/>
          <w:lang w:val="it-IT"/>
        </w:rPr>
      </w:pPr>
      <w:r w:rsidRPr="00F04412">
        <w:rPr>
          <w:lang w:val="it-IT"/>
        </w:rPr>
        <w:t>ARTICOLO 6 - Regole per il Rinnovo di Software Assurance</w:t>
      </w:r>
      <w:r w:rsidRPr="00F04412">
        <w:rPr>
          <w:lang w:val="it-IT"/>
        </w:rPr>
        <w:tab/>
      </w:r>
      <w:r>
        <w:fldChar w:fldCharType="begin"/>
      </w:r>
      <w:r w:rsidRPr="00F04412">
        <w:rPr>
          <w:lang w:val="it-IT"/>
        </w:rPr>
        <w:instrText xml:space="preserve"> PAGEREF _Toc371663611 \h </w:instrText>
      </w:r>
      <w:r>
        <w:fldChar w:fldCharType="separate"/>
      </w:r>
      <w:r w:rsidR="003F471F" w:rsidRPr="00F04412">
        <w:rPr>
          <w:lang w:val="it-IT"/>
        </w:rPr>
        <w:t>61</w:t>
      </w:r>
      <w:r>
        <w:fldChar w:fldCharType="end"/>
      </w:r>
    </w:p>
    <w:p w14:paraId="174FDE48" w14:textId="77777777" w:rsidR="00B03E8D" w:rsidRPr="00F04412" w:rsidRDefault="00B03E8D">
      <w:pPr>
        <w:pStyle w:val="TOC4"/>
        <w:rPr>
          <w:rFonts w:asciiTheme="minorHAnsi" w:eastAsiaTheme="minorEastAsia" w:hAnsiTheme="minorHAnsi" w:cstheme="minorBidi"/>
          <w:noProof/>
          <w:sz w:val="22"/>
          <w:szCs w:val="22"/>
          <w:lang w:val="it-IT"/>
        </w:rPr>
      </w:pPr>
      <w:r w:rsidRPr="00F04412">
        <w:rPr>
          <w:rFonts w:cs="Tahoma"/>
          <w:noProof/>
          <w:lang w:val="it-IT"/>
        </w:rPr>
        <w:t>Licenza Open</w:t>
      </w:r>
      <w:r w:rsidRPr="00F04412">
        <w:rPr>
          <w:noProof/>
          <w:lang w:val="it-IT"/>
        </w:rPr>
        <w:tab/>
      </w:r>
      <w:r>
        <w:rPr>
          <w:noProof/>
        </w:rPr>
        <w:fldChar w:fldCharType="begin"/>
      </w:r>
      <w:r w:rsidRPr="00F04412">
        <w:rPr>
          <w:noProof/>
          <w:lang w:val="it-IT"/>
        </w:rPr>
        <w:instrText xml:space="preserve"> PAGEREF _Toc371663612 \h </w:instrText>
      </w:r>
      <w:r>
        <w:rPr>
          <w:noProof/>
        </w:rPr>
      </w:r>
      <w:r>
        <w:rPr>
          <w:noProof/>
        </w:rPr>
        <w:fldChar w:fldCharType="separate"/>
      </w:r>
      <w:r w:rsidR="003F471F" w:rsidRPr="00F04412">
        <w:rPr>
          <w:noProof/>
          <w:lang w:val="it-IT"/>
        </w:rPr>
        <w:t>61</w:t>
      </w:r>
      <w:r>
        <w:rPr>
          <w:noProof/>
        </w:rPr>
        <w:fldChar w:fldCharType="end"/>
      </w:r>
    </w:p>
    <w:p w14:paraId="6E0F31B7" w14:textId="77777777" w:rsidR="00B03E8D" w:rsidRPr="00F04412" w:rsidRDefault="00B03E8D">
      <w:pPr>
        <w:pStyle w:val="TOC4"/>
        <w:rPr>
          <w:rFonts w:asciiTheme="minorHAnsi" w:eastAsiaTheme="minorEastAsia" w:hAnsiTheme="minorHAnsi" w:cstheme="minorBidi"/>
          <w:noProof/>
          <w:sz w:val="22"/>
          <w:szCs w:val="22"/>
          <w:lang w:val="it-IT"/>
        </w:rPr>
      </w:pPr>
      <w:r w:rsidRPr="00F04412">
        <w:rPr>
          <w:rFonts w:cs="Tahoma"/>
          <w:noProof/>
          <w:lang w:val="it-IT"/>
        </w:rPr>
        <w:t>Open Value 20xx</w:t>
      </w:r>
      <w:r w:rsidRPr="00F04412">
        <w:rPr>
          <w:noProof/>
          <w:lang w:val="it-IT"/>
        </w:rPr>
        <w:tab/>
      </w:r>
      <w:r>
        <w:rPr>
          <w:noProof/>
        </w:rPr>
        <w:fldChar w:fldCharType="begin"/>
      </w:r>
      <w:r w:rsidRPr="00F04412">
        <w:rPr>
          <w:noProof/>
          <w:lang w:val="it-IT"/>
        </w:rPr>
        <w:instrText xml:space="preserve"> PAGEREF _Toc371663613 \h </w:instrText>
      </w:r>
      <w:r>
        <w:rPr>
          <w:noProof/>
        </w:rPr>
      </w:r>
      <w:r>
        <w:rPr>
          <w:noProof/>
        </w:rPr>
        <w:fldChar w:fldCharType="separate"/>
      </w:r>
      <w:r w:rsidR="003F471F" w:rsidRPr="00F04412">
        <w:rPr>
          <w:noProof/>
          <w:lang w:val="it-IT"/>
        </w:rPr>
        <w:t>61</w:t>
      </w:r>
      <w:r>
        <w:rPr>
          <w:noProof/>
        </w:rPr>
        <w:fldChar w:fldCharType="end"/>
      </w:r>
    </w:p>
    <w:p w14:paraId="57F33736" w14:textId="77777777" w:rsidR="00B03E8D" w:rsidRPr="00F04412" w:rsidRDefault="00B03E8D">
      <w:pPr>
        <w:pStyle w:val="TOC4"/>
        <w:rPr>
          <w:rFonts w:asciiTheme="minorHAnsi" w:eastAsiaTheme="minorEastAsia" w:hAnsiTheme="minorHAnsi" w:cstheme="minorBidi"/>
          <w:noProof/>
          <w:sz w:val="22"/>
          <w:szCs w:val="22"/>
          <w:lang w:val="it-IT"/>
        </w:rPr>
      </w:pPr>
      <w:r w:rsidRPr="00F04412">
        <w:rPr>
          <w:rFonts w:cs="Tahoma"/>
          <w:noProof/>
          <w:lang w:val="it-IT"/>
        </w:rPr>
        <w:t>Select 20xx</w:t>
      </w:r>
      <w:r w:rsidRPr="00F04412">
        <w:rPr>
          <w:noProof/>
          <w:lang w:val="it-IT"/>
        </w:rPr>
        <w:tab/>
      </w:r>
      <w:r>
        <w:rPr>
          <w:noProof/>
        </w:rPr>
        <w:fldChar w:fldCharType="begin"/>
      </w:r>
      <w:r w:rsidRPr="00F04412">
        <w:rPr>
          <w:noProof/>
          <w:lang w:val="it-IT"/>
        </w:rPr>
        <w:instrText xml:space="preserve"> PAGEREF _Toc371663614 \h </w:instrText>
      </w:r>
      <w:r>
        <w:rPr>
          <w:noProof/>
        </w:rPr>
      </w:r>
      <w:r>
        <w:rPr>
          <w:noProof/>
        </w:rPr>
        <w:fldChar w:fldCharType="separate"/>
      </w:r>
      <w:r w:rsidR="003F471F" w:rsidRPr="00F04412">
        <w:rPr>
          <w:noProof/>
          <w:lang w:val="it-IT"/>
        </w:rPr>
        <w:t>61</w:t>
      </w:r>
      <w:r>
        <w:rPr>
          <w:noProof/>
        </w:rPr>
        <w:fldChar w:fldCharType="end"/>
      </w:r>
    </w:p>
    <w:p w14:paraId="2899E4AA" w14:textId="77777777" w:rsidR="00B03E8D" w:rsidRPr="00F04412" w:rsidRDefault="00B03E8D">
      <w:pPr>
        <w:pStyle w:val="TOC4"/>
        <w:rPr>
          <w:rFonts w:asciiTheme="minorHAnsi" w:eastAsiaTheme="minorEastAsia" w:hAnsiTheme="minorHAnsi" w:cstheme="minorBidi"/>
          <w:noProof/>
          <w:sz w:val="22"/>
          <w:szCs w:val="22"/>
          <w:lang w:val="it-IT"/>
        </w:rPr>
      </w:pPr>
      <w:r w:rsidRPr="00F04412">
        <w:rPr>
          <w:noProof/>
          <w:lang w:val="it-IT"/>
        </w:rPr>
        <w:t>Rinnovo della Copertura ai sensi del Medesimo Contratto</w:t>
      </w:r>
      <w:r w:rsidRPr="00F04412">
        <w:rPr>
          <w:noProof/>
          <w:lang w:val="it-IT"/>
        </w:rPr>
        <w:tab/>
      </w:r>
      <w:r>
        <w:rPr>
          <w:noProof/>
        </w:rPr>
        <w:fldChar w:fldCharType="begin"/>
      </w:r>
      <w:r w:rsidRPr="00F04412">
        <w:rPr>
          <w:noProof/>
          <w:lang w:val="it-IT"/>
        </w:rPr>
        <w:instrText xml:space="preserve"> PAGEREF _Toc371663615 \h </w:instrText>
      </w:r>
      <w:r>
        <w:rPr>
          <w:noProof/>
        </w:rPr>
      </w:r>
      <w:r>
        <w:rPr>
          <w:noProof/>
        </w:rPr>
        <w:fldChar w:fldCharType="separate"/>
      </w:r>
      <w:r w:rsidR="003F471F" w:rsidRPr="00F04412">
        <w:rPr>
          <w:noProof/>
          <w:lang w:val="it-IT"/>
        </w:rPr>
        <w:t>61</w:t>
      </w:r>
      <w:r>
        <w:rPr>
          <w:noProof/>
        </w:rPr>
        <w:fldChar w:fldCharType="end"/>
      </w:r>
    </w:p>
    <w:p w14:paraId="32E623A0" w14:textId="77777777" w:rsidR="00B03E8D" w:rsidRPr="00F04412" w:rsidRDefault="00B03E8D">
      <w:pPr>
        <w:pStyle w:val="TOC4"/>
        <w:rPr>
          <w:rFonts w:asciiTheme="minorHAnsi" w:eastAsiaTheme="minorEastAsia" w:hAnsiTheme="minorHAnsi" w:cstheme="minorBidi"/>
          <w:noProof/>
          <w:sz w:val="22"/>
          <w:szCs w:val="22"/>
          <w:lang w:val="it-IT"/>
        </w:rPr>
      </w:pPr>
      <w:r w:rsidRPr="00F04412">
        <w:rPr>
          <w:noProof/>
          <w:lang w:val="it-IT"/>
        </w:rPr>
        <w:t>Rinnovo della Copertura con un Contratto Separato</w:t>
      </w:r>
      <w:r w:rsidRPr="00F04412">
        <w:rPr>
          <w:noProof/>
          <w:lang w:val="it-IT"/>
        </w:rPr>
        <w:tab/>
      </w:r>
      <w:r>
        <w:rPr>
          <w:noProof/>
        </w:rPr>
        <w:fldChar w:fldCharType="begin"/>
      </w:r>
      <w:r w:rsidRPr="00F04412">
        <w:rPr>
          <w:noProof/>
          <w:lang w:val="it-IT"/>
        </w:rPr>
        <w:instrText xml:space="preserve"> PAGEREF _Toc371663616 \h </w:instrText>
      </w:r>
      <w:r>
        <w:rPr>
          <w:noProof/>
        </w:rPr>
      </w:r>
      <w:r>
        <w:rPr>
          <w:noProof/>
        </w:rPr>
        <w:fldChar w:fldCharType="separate"/>
      </w:r>
      <w:r w:rsidR="003F471F" w:rsidRPr="00F04412">
        <w:rPr>
          <w:noProof/>
          <w:lang w:val="it-IT"/>
        </w:rPr>
        <w:t>62</w:t>
      </w:r>
      <w:r>
        <w:rPr>
          <w:noProof/>
        </w:rPr>
        <w:fldChar w:fldCharType="end"/>
      </w:r>
    </w:p>
    <w:p w14:paraId="41F1911C" w14:textId="77777777" w:rsidR="00B03E8D" w:rsidRPr="00F04412" w:rsidRDefault="00B03E8D">
      <w:pPr>
        <w:pStyle w:val="TOC4"/>
        <w:rPr>
          <w:rFonts w:asciiTheme="minorHAnsi" w:eastAsiaTheme="minorEastAsia" w:hAnsiTheme="minorHAnsi" w:cstheme="minorBidi"/>
          <w:noProof/>
          <w:sz w:val="22"/>
          <w:szCs w:val="22"/>
          <w:lang w:val="it-IT"/>
        </w:rPr>
      </w:pPr>
      <w:r w:rsidRPr="00F04412">
        <w:rPr>
          <w:rFonts w:cs="Tahoma"/>
          <w:noProof/>
          <w:lang w:val="it-IT"/>
        </w:rPr>
        <w:t>Select Plus 20xx</w:t>
      </w:r>
      <w:r w:rsidRPr="00F04412">
        <w:rPr>
          <w:noProof/>
          <w:lang w:val="it-IT"/>
        </w:rPr>
        <w:tab/>
      </w:r>
      <w:r>
        <w:rPr>
          <w:noProof/>
        </w:rPr>
        <w:fldChar w:fldCharType="begin"/>
      </w:r>
      <w:r w:rsidRPr="00F04412">
        <w:rPr>
          <w:noProof/>
          <w:lang w:val="it-IT"/>
        </w:rPr>
        <w:instrText xml:space="preserve"> PAGEREF _Toc371663617 \h </w:instrText>
      </w:r>
      <w:r>
        <w:rPr>
          <w:noProof/>
        </w:rPr>
      </w:r>
      <w:r>
        <w:rPr>
          <w:noProof/>
        </w:rPr>
        <w:fldChar w:fldCharType="separate"/>
      </w:r>
      <w:r w:rsidR="003F471F" w:rsidRPr="00F04412">
        <w:rPr>
          <w:noProof/>
          <w:lang w:val="it-IT"/>
        </w:rPr>
        <w:t>62</w:t>
      </w:r>
      <w:r>
        <w:rPr>
          <w:noProof/>
        </w:rPr>
        <w:fldChar w:fldCharType="end"/>
      </w:r>
    </w:p>
    <w:p w14:paraId="6B58ACCC" w14:textId="77777777" w:rsidR="00B03E8D" w:rsidRPr="00F04412" w:rsidRDefault="00B03E8D">
      <w:pPr>
        <w:pStyle w:val="TOC4"/>
        <w:rPr>
          <w:rFonts w:asciiTheme="minorHAnsi" w:eastAsiaTheme="minorEastAsia" w:hAnsiTheme="minorHAnsi" w:cstheme="minorBidi"/>
          <w:noProof/>
          <w:sz w:val="22"/>
          <w:szCs w:val="22"/>
          <w:lang w:val="it-IT"/>
        </w:rPr>
      </w:pPr>
      <w:r w:rsidRPr="00F04412">
        <w:rPr>
          <w:rFonts w:cs="Tahoma"/>
          <w:noProof/>
          <w:lang w:val="it-IT"/>
        </w:rPr>
        <w:t>Contratto Enterprise 2011 e versioni successive</w:t>
      </w:r>
      <w:r w:rsidRPr="00F04412">
        <w:rPr>
          <w:noProof/>
          <w:lang w:val="it-IT"/>
        </w:rPr>
        <w:tab/>
      </w:r>
      <w:r>
        <w:rPr>
          <w:noProof/>
        </w:rPr>
        <w:fldChar w:fldCharType="begin"/>
      </w:r>
      <w:r w:rsidRPr="00F04412">
        <w:rPr>
          <w:noProof/>
          <w:lang w:val="it-IT"/>
        </w:rPr>
        <w:instrText xml:space="preserve"> PAGEREF _Toc371663618 \h </w:instrText>
      </w:r>
      <w:r>
        <w:rPr>
          <w:noProof/>
        </w:rPr>
      </w:r>
      <w:r>
        <w:rPr>
          <w:noProof/>
        </w:rPr>
        <w:fldChar w:fldCharType="separate"/>
      </w:r>
      <w:r w:rsidR="003F471F" w:rsidRPr="00F04412">
        <w:rPr>
          <w:noProof/>
          <w:lang w:val="it-IT"/>
        </w:rPr>
        <w:t>62</w:t>
      </w:r>
      <w:r>
        <w:rPr>
          <w:noProof/>
        </w:rPr>
        <w:fldChar w:fldCharType="end"/>
      </w:r>
    </w:p>
    <w:p w14:paraId="43E9EED8" w14:textId="77777777" w:rsidR="00B03E8D" w:rsidRPr="00F04412" w:rsidRDefault="00B03E8D">
      <w:pPr>
        <w:pStyle w:val="TOC4"/>
        <w:rPr>
          <w:rFonts w:asciiTheme="minorHAnsi" w:eastAsiaTheme="minorEastAsia" w:hAnsiTheme="minorHAnsi" w:cstheme="minorBidi"/>
          <w:noProof/>
          <w:sz w:val="22"/>
          <w:szCs w:val="22"/>
          <w:lang w:val="it-IT"/>
        </w:rPr>
      </w:pPr>
      <w:r w:rsidRPr="00F04412">
        <w:rPr>
          <w:rFonts w:cs="Tahoma"/>
          <w:noProof/>
          <w:lang w:val="it-IT"/>
        </w:rPr>
        <w:t>Contratto Enterprise Prima del 2011</w:t>
      </w:r>
      <w:r w:rsidRPr="00F04412">
        <w:rPr>
          <w:noProof/>
          <w:lang w:val="it-IT"/>
        </w:rPr>
        <w:tab/>
      </w:r>
      <w:r>
        <w:rPr>
          <w:noProof/>
        </w:rPr>
        <w:fldChar w:fldCharType="begin"/>
      </w:r>
      <w:r w:rsidRPr="00F04412">
        <w:rPr>
          <w:noProof/>
          <w:lang w:val="it-IT"/>
        </w:rPr>
        <w:instrText xml:space="preserve"> PAGEREF _Toc371663619 \h </w:instrText>
      </w:r>
      <w:r>
        <w:rPr>
          <w:noProof/>
        </w:rPr>
      </w:r>
      <w:r>
        <w:rPr>
          <w:noProof/>
        </w:rPr>
        <w:fldChar w:fldCharType="separate"/>
      </w:r>
      <w:r w:rsidR="003F471F" w:rsidRPr="00F04412">
        <w:rPr>
          <w:noProof/>
          <w:lang w:val="it-IT"/>
        </w:rPr>
        <w:t>63</w:t>
      </w:r>
      <w:r>
        <w:rPr>
          <w:noProof/>
        </w:rPr>
        <w:fldChar w:fldCharType="end"/>
      </w:r>
    </w:p>
    <w:p w14:paraId="007C9B21" w14:textId="77777777" w:rsidR="00B03E8D" w:rsidRPr="00F04412" w:rsidRDefault="00B03E8D">
      <w:pPr>
        <w:pStyle w:val="TOC4"/>
        <w:rPr>
          <w:rFonts w:asciiTheme="minorHAnsi" w:eastAsiaTheme="minorEastAsia" w:hAnsiTheme="minorHAnsi" w:cstheme="minorBidi"/>
          <w:noProof/>
          <w:sz w:val="22"/>
          <w:szCs w:val="22"/>
          <w:lang w:val="it-IT"/>
        </w:rPr>
      </w:pPr>
      <w:r w:rsidRPr="00F04412">
        <w:rPr>
          <w:rFonts w:cs="Tahoma"/>
          <w:noProof/>
          <w:lang w:val="it-IT"/>
        </w:rPr>
        <w:t>Rinnovo Incrociato dei Programmi</w:t>
      </w:r>
      <w:r w:rsidRPr="00F04412">
        <w:rPr>
          <w:noProof/>
          <w:lang w:val="it-IT"/>
        </w:rPr>
        <w:tab/>
      </w:r>
      <w:r>
        <w:rPr>
          <w:noProof/>
        </w:rPr>
        <w:fldChar w:fldCharType="begin"/>
      </w:r>
      <w:r w:rsidRPr="00F04412">
        <w:rPr>
          <w:noProof/>
          <w:lang w:val="it-IT"/>
        </w:rPr>
        <w:instrText xml:space="preserve"> PAGEREF _Toc371663620 \h </w:instrText>
      </w:r>
      <w:r>
        <w:rPr>
          <w:noProof/>
        </w:rPr>
      </w:r>
      <w:r>
        <w:rPr>
          <w:noProof/>
        </w:rPr>
        <w:fldChar w:fldCharType="separate"/>
      </w:r>
      <w:r w:rsidR="003F471F" w:rsidRPr="00F04412">
        <w:rPr>
          <w:noProof/>
          <w:lang w:val="it-IT"/>
        </w:rPr>
        <w:t>63</w:t>
      </w:r>
      <w:r>
        <w:rPr>
          <w:noProof/>
        </w:rPr>
        <w:fldChar w:fldCharType="end"/>
      </w:r>
    </w:p>
    <w:p w14:paraId="4757FF7A" w14:textId="77777777" w:rsidR="00B03E8D" w:rsidRPr="00F04412" w:rsidRDefault="00B03E8D">
      <w:pPr>
        <w:pStyle w:val="TOC1"/>
        <w:rPr>
          <w:rFonts w:asciiTheme="minorHAnsi" w:eastAsiaTheme="minorEastAsia" w:hAnsiTheme="minorHAnsi" w:cstheme="minorBidi"/>
          <w:b w:val="0"/>
          <w:caps w:val="0"/>
          <w:color w:val="auto"/>
          <w:szCs w:val="22"/>
          <w:lang w:val="it-IT"/>
        </w:rPr>
      </w:pPr>
      <w:r w:rsidRPr="00F04412">
        <w:rPr>
          <w:lang w:val="it-IT"/>
        </w:rPr>
        <w:t xml:space="preserve">ARTICOLO 7 - Vantaggi del Programma, di Software Assurance </w:t>
      </w:r>
      <w:r w:rsidR="00737018" w:rsidRPr="00F04412">
        <w:rPr>
          <w:lang w:val="it-IT"/>
        </w:rPr>
        <w:br/>
      </w:r>
      <w:r w:rsidRPr="00F04412">
        <w:rPr>
          <w:lang w:val="it-IT"/>
        </w:rPr>
        <w:t>(SA) e dei Servizi Online (OLS)</w:t>
      </w:r>
      <w:r w:rsidRPr="00F04412">
        <w:rPr>
          <w:lang w:val="it-IT"/>
        </w:rPr>
        <w:tab/>
      </w:r>
      <w:r>
        <w:fldChar w:fldCharType="begin"/>
      </w:r>
      <w:r w:rsidRPr="00F04412">
        <w:rPr>
          <w:lang w:val="it-IT"/>
        </w:rPr>
        <w:instrText xml:space="preserve"> PAGEREF _Toc371663621 \h </w:instrText>
      </w:r>
      <w:r>
        <w:fldChar w:fldCharType="separate"/>
      </w:r>
      <w:r w:rsidR="003F471F" w:rsidRPr="00F04412">
        <w:rPr>
          <w:lang w:val="it-IT"/>
        </w:rPr>
        <w:t>64</w:t>
      </w:r>
      <w:r>
        <w:fldChar w:fldCharType="end"/>
      </w:r>
    </w:p>
    <w:p w14:paraId="15F0D7E5" w14:textId="77777777" w:rsidR="00B03E8D" w:rsidRPr="00F04412" w:rsidRDefault="00B03E8D">
      <w:pPr>
        <w:pStyle w:val="TOC2"/>
        <w:rPr>
          <w:rFonts w:asciiTheme="minorHAnsi" w:eastAsiaTheme="minorEastAsia" w:hAnsiTheme="minorHAnsi" w:cstheme="minorBidi"/>
          <w:sz w:val="22"/>
          <w:szCs w:val="22"/>
          <w:lang w:val="it-IT"/>
        </w:rPr>
      </w:pPr>
      <w:r w:rsidRPr="00F04412">
        <w:rPr>
          <w:lang w:val="it-IT"/>
        </w:rPr>
        <w:t>Diritti su Versioni Nuove</w:t>
      </w:r>
      <w:r w:rsidRPr="00F04412">
        <w:rPr>
          <w:lang w:val="it-IT"/>
        </w:rPr>
        <w:tab/>
      </w:r>
      <w:r>
        <w:fldChar w:fldCharType="begin"/>
      </w:r>
      <w:r w:rsidRPr="00F04412">
        <w:rPr>
          <w:lang w:val="it-IT"/>
        </w:rPr>
        <w:instrText xml:space="preserve"> PAGEREF _Toc371663622 \h </w:instrText>
      </w:r>
      <w:r>
        <w:fldChar w:fldCharType="separate"/>
      </w:r>
      <w:r w:rsidR="003F471F" w:rsidRPr="00F04412">
        <w:rPr>
          <w:lang w:val="it-IT"/>
        </w:rPr>
        <w:t>66</w:t>
      </w:r>
      <w:r>
        <w:fldChar w:fldCharType="end"/>
      </w:r>
    </w:p>
    <w:p w14:paraId="539732B3" w14:textId="77777777" w:rsidR="00B03E8D" w:rsidRPr="00F04412" w:rsidRDefault="00B03E8D">
      <w:pPr>
        <w:pStyle w:val="TOC2"/>
        <w:rPr>
          <w:rFonts w:asciiTheme="minorHAnsi" w:eastAsiaTheme="minorEastAsia" w:hAnsiTheme="minorHAnsi" w:cstheme="minorBidi"/>
          <w:sz w:val="22"/>
          <w:szCs w:val="22"/>
          <w:lang w:val="it-IT"/>
        </w:rPr>
      </w:pPr>
      <w:r w:rsidRPr="00F04412">
        <w:rPr>
          <w:lang w:val="it-IT"/>
        </w:rPr>
        <w:t>Office Multi Language Pack</w:t>
      </w:r>
      <w:r w:rsidRPr="00F04412">
        <w:rPr>
          <w:lang w:val="it-IT"/>
        </w:rPr>
        <w:tab/>
      </w:r>
      <w:r>
        <w:fldChar w:fldCharType="begin"/>
      </w:r>
      <w:r w:rsidRPr="00F04412">
        <w:rPr>
          <w:lang w:val="it-IT"/>
        </w:rPr>
        <w:instrText xml:space="preserve"> PAGEREF _Toc371663623 \h </w:instrText>
      </w:r>
      <w:r>
        <w:fldChar w:fldCharType="separate"/>
      </w:r>
      <w:r w:rsidR="003F471F" w:rsidRPr="00F04412">
        <w:rPr>
          <w:lang w:val="it-IT"/>
        </w:rPr>
        <w:t>67</w:t>
      </w:r>
      <w:r>
        <w:fldChar w:fldCharType="end"/>
      </w:r>
    </w:p>
    <w:p w14:paraId="6A80D3F1" w14:textId="77777777" w:rsidR="00B03E8D" w:rsidRDefault="00B03E8D">
      <w:pPr>
        <w:pStyle w:val="TOC3"/>
        <w:rPr>
          <w:rFonts w:asciiTheme="minorHAnsi" w:eastAsiaTheme="minorEastAsia" w:hAnsiTheme="minorHAnsi" w:cstheme="minorBidi"/>
          <w:bCs w:val="0"/>
          <w:color w:val="auto"/>
          <w:sz w:val="22"/>
          <w:szCs w:val="22"/>
        </w:rPr>
      </w:pPr>
      <w:r w:rsidRPr="000F4C33">
        <w:t>Windows 8 Enterprise</w:t>
      </w:r>
      <w:r>
        <w:tab/>
      </w:r>
      <w:r>
        <w:fldChar w:fldCharType="begin"/>
      </w:r>
      <w:r>
        <w:instrText xml:space="preserve"> PAGEREF _Toc371663624 \h </w:instrText>
      </w:r>
      <w:r>
        <w:fldChar w:fldCharType="separate"/>
      </w:r>
      <w:r w:rsidR="003F471F">
        <w:t>71</w:t>
      </w:r>
      <w:r>
        <w:fldChar w:fldCharType="end"/>
      </w:r>
    </w:p>
    <w:p w14:paraId="6B4FB95D" w14:textId="77777777" w:rsidR="00B03E8D" w:rsidRDefault="00B03E8D">
      <w:pPr>
        <w:pStyle w:val="TOC3"/>
        <w:rPr>
          <w:rFonts w:asciiTheme="minorHAnsi" w:eastAsiaTheme="minorEastAsia" w:hAnsiTheme="minorHAnsi" w:cstheme="minorBidi"/>
          <w:bCs w:val="0"/>
          <w:color w:val="auto"/>
          <w:sz w:val="22"/>
          <w:szCs w:val="22"/>
        </w:rPr>
      </w:pPr>
      <w:r w:rsidRPr="000F4C33">
        <w:t>Windows 8 Enterprise Sideloading</w:t>
      </w:r>
      <w:r>
        <w:tab/>
      </w:r>
      <w:r>
        <w:fldChar w:fldCharType="begin"/>
      </w:r>
      <w:r>
        <w:instrText xml:space="preserve"> PAGEREF _Toc371663625 \h </w:instrText>
      </w:r>
      <w:r>
        <w:fldChar w:fldCharType="separate"/>
      </w:r>
      <w:r w:rsidR="003F471F">
        <w:t>71</w:t>
      </w:r>
      <w:r>
        <w:fldChar w:fldCharType="end"/>
      </w:r>
    </w:p>
    <w:p w14:paraId="6C870571" w14:textId="77777777" w:rsidR="00B03E8D" w:rsidRDefault="00B03E8D">
      <w:pPr>
        <w:pStyle w:val="TOC3"/>
        <w:rPr>
          <w:rFonts w:asciiTheme="minorHAnsi" w:eastAsiaTheme="minorEastAsia" w:hAnsiTheme="minorHAnsi" w:cstheme="minorBidi"/>
          <w:bCs w:val="0"/>
          <w:color w:val="auto"/>
          <w:sz w:val="22"/>
          <w:szCs w:val="22"/>
        </w:rPr>
      </w:pPr>
      <w:r w:rsidRPr="000F4C33">
        <w:t>Licenza “Subscription” per Windows Companion</w:t>
      </w:r>
      <w:r>
        <w:tab/>
      </w:r>
      <w:r>
        <w:fldChar w:fldCharType="begin"/>
      </w:r>
      <w:r>
        <w:instrText xml:space="preserve"> PAGEREF _Toc371663626 \h </w:instrText>
      </w:r>
      <w:r>
        <w:fldChar w:fldCharType="separate"/>
      </w:r>
      <w:r w:rsidR="003F471F">
        <w:t>71</w:t>
      </w:r>
      <w:r>
        <w:fldChar w:fldCharType="end"/>
      </w:r>
    </w:p>
    <w:p w14:paraId="12E8A62E" w14:textId="77777777" w:rsidR="00B03E8D" w:rsidRDefault="00B03E8D">
      <w:pPr>
        <w:pStyle w:val="TOC3"/>
        <w:rPr>
          <w:rFonts w:asciiTheme="minorHAnsi" w:eastAsiaTheme="minorEastAsia" w:hAnsiTheme="minorHAnsi" w:cstheme="minorBidi"/>
          <w:bCs w:val="0"/>
          <w:color w:val="auto"/>
          <w:sz w:val="22"/>
          <w:szCs w:val="22"/>
        </w:rPr>
      </w:pPr>
      <w:r w:rsidRPr="000F4C33">
        <w:t>Voucher Corsi</w:t>
      </w:r>
      <w:r>
        <w:tab/>
      </w:r>
      <w:r>
        <w:fldChar w:fldCharType="begin"/>
      </w:r>
      <w:r>
        <w:instrText xml:space="preserve"> PAGEREF _Toc371663627 \h </w:instrText>
      </w:r>
      <w:r>
        <w:fldChar w:fldCharType="separate"/>
      </w:r>
      <w:r w:rsidR="003F471F">
        <w:t>71</w:t>
      </w:r>
      <w:r>
        <w:fldChar w:fldCharType="end"/>
      </w:r>
    </w:p>
    <w:p w14:paraId="023BFC5F" w14:textId="77777777" w:rsidR="00B03E8D" w:rsidRDefault="00B03E8D">
      <w:pPr>
        <w:pStyle w:val="TOC3"/>
        <w:rPr>
          <w:rFonts w:asciiTheme="minorHAnsi" w:eastAsiaTheme="minorEastAsia" w:hAnsiTheme="minorHAnsi" w:cstheme="minorBidi"/>
          <w:bCs w:val="0"/>
          <w:color w:val="auto"/>
          <w:sz w:val="22"/>
          <w:szCs w:val="22"/>
        </w:rPr>
      </w:pPr>
      <w:r w:rsidRPr="000F4C33">
        <w:t>E-Learning</w:t>
      </w:r>
      <w:r>
        <w:tab/>
      </w:r>
      <w:r>
        <w:fldChar w:fldCharType="begin"/>
      </w:r>
      <w:r>
        <w:instrText xml:space="preserve"> PAGEREF _Toc371663628 \h </w:instrText>
      </w:r>
      <w:r>
        <w:fldChar w:fldCharType="separate"/>
      </w:r>
      <w:r w:rsidR="003F471F">
        <w:t>73</w:t>
      </w:r>
      <w:r>
        <w:fldChar w:fldCharType="end"/>
      </w:r>
    </w:p>
    <w:p w14:paraId="524D6AD4" w14:textId="77777777" w:rsidR="00B03E8D" w:rsidRDefault="00B03E8D">
      <w:pPr>
        <w:pStyle w:val="TOC3"/>
        <w:rPr>
          <w:rFonts w:asciiTheme="minorHAnsi" w:eastAsiaTheme="minorEastAsia" w:hAnsiTheme="minorHAnsi" w:cstheme="minorBidi"/>
          <w:bCs w:val="0"/>
          <w:color w:val="auto"/>
          <w:sz w:val="22"/>
          <w:szCs w:val="22"/>
        </w:rPr>
      </w:pPr>
      <w:r w:rsidRPr="000F4C33">
        <w:t>Home Use Program</w:t>
      </w:r>
      <w:r>
        <w:tab/>
      </w:r>
      <w:r>
        <w:fldChar w:fldCharType="begin"/>
      </w:r>
      <w:r>
        <w:instrText xml:space="preserve"> PAGEREF _Toc371663629 \h </w:instrText>
      </w:r>
      <w:r>
        <w:fldChar w:fldCharType="separate"/>
      </w:r>
      <w:r w:rsidR="003F471F">
        <w:t>74</w:t>
      </w:r>
      <w:r>
        <w:fldChar w:fldCharType="end"/>
      </w:r>
    </w:p>
    <w:p w14:paraId="7F082832" w14:textId="77777777" w:rsidR="00B03E8D" w:rsidRPr="00F04412" w:rsidRDefault="00B03E8D">
      <w:pPr>
        <w:pStyle w:val="TOC3"/>
        <w:rPr>
          <w:rFonts w:asciiTheme="minorHAnsi" w:eastAsiaTheme="minorEastAsia" w:hAnsiTheme="minorHAnsi" w:cstheme="minorBidi"/>
          <w:bCs w:val="0"/>
          <w:color w:val="auto"/>
          <w:sz w:val="22"/>
          <w:szCs w:val="22"/>
          <w:lang w:val="it-IT"/>
        </w:rPr>
      </w:pPr>
      <w:r w:rsidRPr="00F04412">
        <w:rPr>
          <w:lang w:val="it-IT"/>
        </w:rPr>
        <w:t>Supporto per la Risoluzione dei Problemi 24x7</w:t>
      </w:r>
      <w:r w:rsidRPr="00F04412">
        <w:rPr>
          <w:lang w:val="it-IT"/>
        </w:rPr>
        <w:tab/>
      </w:r>
      <w:r>
        <w:fldChar w:fldCharType="begin"/>
      </w:r>
      <w:r w:rsidRPr="00F04412">
        <w:rPr>
          <w:lang w:val="it-IT"/>
        </w:rPr>
        <w:instrText xml:space="preserve"> PAGEREF _Toc371663630 \h </w:instrText>
      </w:r>
      <w:r>
        <w:fldChar w:fldCharType="separate"/>
      </w:r>
      <w:r w:rsidR="003F471F" w:rsidRPr="00F04412">
        <w:rPr>
          <w:lang w:val="it-IT"/>
        </w:rPr>
        <w:t>76</w:t>
      </w:r>
      <w:r>
        <w:fldChar w:fldCharType="end"/>
      </w:r>
    </w:p>
    <w:p w14:paraId="76FB0D8E" w14:textId="77777777" w:rsidR="00B03E8D" w:rsidRPr="00F04412" w:rsidRDefault="00B03E8D">
      <w:pPr>
        <w:pStyle w:val="TOC3"/>
        <w:rPr>
          <w:rFonts w:asciiTheme="minorHAnsi" w:eastAsiaTheme="minorEastAsia" w:hAnsiTheme="minorHAnsi" w:cstheme="minorBidi"/>
          <w:bCs w:val="0"/>
          <w:color w:val="auto"/>
          <w:sz w:val="22"/>
          <w:szCs w:val="22"/>
          <w:lang w:val="it-IT"/>
        </w:rPr>
      </w:pPr>
      <w:r w:rsidRPr="00F04412">
        <w:rPr>
          <w:lang w:val="it-IT"/>
        </w:rPr>
        <w:t>Supporto Illimitato per la Risoluzione dei Problemi 24x7</w:t>
      </w:r>
      <w:r w:rsidRPr="00F04412">
        <w:rPr>
          <w:lang w:val="it-IT"/>
        </w:rPr>
        <w:tab/>
      </w:r>
      <w:r>
        <w:fldChar w:fldCharType="begin"/>
      </w:r>
      <w:r w:rsidRPr="00F04412">
        <w:rPr>
          <w:lang w:val="it-IT"/>
        </w:rPr>
        <w:instrText xml:space="preserve"> PAGEREF _Toc371663631 \h </w:instrText>
      </w:r>
      <w:r>
        <w:fldChar w:fldCharType="separate"/>
      </w:r>
      <w:r w:rsidR="003F471F" w:rsidRPr="00F04412">
        <w:rPr>
          <w:lang w:val="it-IT"/>
        </w:rPr>
        <w:t>81</w:t>
      </w:r>
      <w:r>
        <w:fldChar w:fldCharType="end"/>
      </w:r>
    </w:p>
    <w:p w14:paraId="1844097C" w14:textId="77777777" w:rsidR="00B03E8D" w:rsidRPr="00F04412" w:rsidRDefault="00B03E8D">
      <w:pPr>
        <w:pStyle w:val="TOC3"/>
        <w:rPr>
          <w:rFonts w:asciiTheme="minorHAnsi" w:eastAsiaTheme="minorEastAsia" w:hAnsiTheme="minorHAnsi" w:cstheme="minorBidi"/>
          <w:bCs w:val="0"/>
          <w:color w:val="auto"/>
          <w:sz w:val="22"/>
          <w:szCs w:val="22"/>
          <w:lang w:val="it-IT"/>
        </w:rPr>
      </w:pPr>
      <w:r w:rsidRPr="00F04412">
        <w:rPr>
          <w:lang w:val="it-IT"/>
        </w:rPr>
        <w:t>System Center Advisor</w:t>
      </w:r>
      <w:r w:rsidRPr="00F04412">
        <w:rPr>
          <w:lang w:val="it-IT"/>
        </w:rPr>
        <w:tab/>
      </w:r>
      <w:r>
        <w:fldChar w:fldCharType="begin"/>
      </w:r>
      <w:r w:rsidRPr="00F04412">
        <w:rPr>
          <w:lang w:val="it-IT"/>
        </w:rPr>
        <w:instrText xml:space="preserve"> PAGEREF _Toc371663632 \h </w:instrText>
      </w:r>
      <w:r>
        <w:fldChar w:fldCharType="separate"/>
      </w:r>
      <w:r w:rsidR="003F471F" w:rsidRPr="00F04412">
        <w:rPr>
          <w:lang w:val="it-IT"/>
        </w:rPr>
        <w:t>83</w:t>
      </w:r>
      <w:r>
        <w:fldChar w:fldCharType="end"/>
      </w:r>
    </w:p>
    <w:p w14:paraId="052C8822" w14:textId="77777777" w:rsidR="00B03E8D" w:rsidRPr="00F04412" w:rsidRDefault="00B03E8D">
      <w:pPr>
        <w:pStyle w:val="TOC3"/>
        <w:rPr>
          <w:rFonts w:asciiTheme="minorHAnsi" w:eastAsiaTheme="minorEastAsia" w:hAnsiTheme="minorHAnsi" w:cstheme="minorBidi"/>
          <w:bCs w:val="0"/>
          <w:color w:val="auto"/>
          <w:sz w:val="22"/>
          <w:szCs w:val="22"/>
          <w:lang w:val="it-IT"/>
        </w:rPr>
      </w:pPr>
      <w:r w:rsidRPr="00F04412">
        <w:rPr>
          <w:lang w:val="it-IT"/>
        </w:rPr>
        <w:t>Back-up per Ripristino di Emergenza “a Freddo”</w:t>
      </w:r>
      <w:r w:rsidRPr="00F04412">
        <w:rPr>
          <w:lang w:val="it-IT"/>
        </w:rPr>
        <w:tab/>
      </w:r>
      <w:r>
        <w:fldChar w:fldCharType="begin"/>
      </w:r>
      <w:r w:rsidRPr="00F04412">
        <w:rPr>
          <w:lang w:val="it-IT"/>
        </w:rPr>
        <w:instrText xml:space="preserve"> PAGEREF _Toc371663633 \h </w:instrText>
      </w:r>
      <w:r>
        <w:fldChar w:fldCharType="separate"/>
      </w:r>
      <w:r w:rsidR="003F471F" w:rsidRPr="00F04412">
        <w:rPr>
          <w:lang w:val="it-IT"/>
        </w:rPr>
        <w:t>84</w:t>
      </w:r>
      <w:r>
        <w:fldChar w:fldCharType="end"/>
      </w:r>
    </w:p>
    <w:p w14:paraId="186F28AA" w14:textId="77777777" w:rsidR="00B03E8D" w:rsidRPr="00F04412" w:rsidRDefault="00B03E8D">
      <w:pPr>
        <w:pStyle w:val="TOC3"/>
        <w:rPr>
          <w:rFonts w:asciiTheme="minorHAnsi" w:eastAsiaTheme="minorEastAsia" w:hAnsiTheme="minorHAnsi" w:cstheme="minorBidi"/>
          <w:bCs w:val="0"/>
          <w:color w:val="auto"/>
          <w:sz w:val="22"/>
          <w:szCs w:val="22"/>
          <w:lang w:val="it-IT"/>
        </w:rPr>
      </w:pPr>
      <w:r w:rsidRPr="00F04412">
        <w:rPr>
          <w:lang w:val="it-IT"/>
        </w:rPr>
        <w:t>Servizi in Abbonamento TechNet SA</w:t>
      </w:r>
      <w:r w:rsidRPr="00F04412">
        <w:rPr>
          <w:lang w:val="it-IT"/>
        </w:rPr>
        <w:tab/>
      </w:r>
      <w:r>
        <w:fldChar w:fldCharType="begin"/>
      </w:r>
      <w:r w:rsidRPr="00F04412">
        <w:rPr>
          <w:lang w:val="it-IT"/>
        </w:rPr>
        <w:instrText xml:space="preserve"> PAGEREF _Toc371663634 \h </w:instrText>
      </w:r>
      <w:r>
        <w:fldChar w:fldCharType="separate"/>
      </w:r>
      <w:r w:rsidR="003F471F" w:rsidRPr="00F04412">
        <w:rPr>
          <w:lang w:val="it-IT"/>
        </w:rPr>
        <w:t>85</w:t>
      </w:r>
      <w:r>
        <w:fldChar w:fldCharType="end"/>
      </w:r>
    </w:p>
    <w:p w14:paraId="7B77D0F4" w14:textId="77777777" w:rsidR="00B03E8D" w:rsidRPr="00A03823" w:rsidRDefault="00B03E8D">
      <w:pPr>
        <w:pStyle w:val="TOC3"/>
        <w:rPr>
          <w:rFonts w:asciiTheme="minorHAnsi" w:eastAsiaTheme="minorEastAsia" w:hAnsiTheme="minorHAnsi" w:cstheme="minorBidi"/>
          <w:bCs w:val="0"/>
          <w:color w:val="auto"/>
          <w:sz w:val="22"/>
          <w:szCs w:val="22"/>
          <w:lang w:val="it-IT"/>
        </w:rPr>
      </w:pPr>
      <w:r w:rsidRPr="00A03823">
        <w:rPr>
          <w:lang w:val="it-IT"/>
        </w:rPr>
        <w:t>TechNet Plus Direct</w:t>
      </w:r>
      <w:r w:rsidRPr="00A03823">
        <w:rPr>
          <w:lang w:val="it-IT"/>
        </w:rPr>
        <w:tab/>
      </w:r>
      <w:r>
        <w:fldChar w:fldCharType="begin"/>
      </w:r>
      <w:r w:rsidRPr="00A03823">
        <w:rPr>
          <w:lang w:val="it-IT"/>
        </w:rPr>
        <w:instrText xml:space="preserve"> PAGEREF _Toc371663635 \h </w:instrText>
      </w:r>
      <w:r>
        <w:fldChar w:fldCharType="separate"/>
      </w:r>
      <w:r w:rsidR="003F471F" w:rsidRPr="00A03823">
        <w:rPr>
          <w:lang w:val="it-IT"/>
        </w:rPr>
        <w:t>85</w:t>
      </w:r>
      <w:r>
        <w:fldChar w:fldCharType="end"/>
      </w:r>
    </w:p>
    <w:p w14:paraId="3E98209E" w14:textId="77777777" w:rsidR="00B03E8D" w:rsidRPr="00A03823" w:rsidRDefault="00B03E8D">
      <w:pPr>
        <w:pStyle w:val="TOC3"/>
        <w:rPr>
          <w:rFonts w:asciiTheme="minorHAnsi" w:eastAsiaTheme="minorEastAsia" w:hAnsiTheme="minorHAnsi" w:cstheme="minorBidi"/>
          <w:bCs w:val="0"/>
          <w:color w:val="auto"/>
          <w:sz w:val="22"/>
          <w:szCs w:val="22"/>
          <w:lang w:val="it-IT"/>
        </w:rPr>
      </w:pPr>
      <w:r w:rsidRPr="00A03823">
        <w:rPr>
          <w:lang w:val="it-IT"/>
        </w:rPr>
        <w:t>Mobilità delle Licenze tramite Software Assurance</w:t>
      </w:r>
      <w:r w:rsidRPr="00A03823">
        <w:rPr>
          <w:lang w:val="it-IT"/>
        </w:rPr>
        <w:tab/>
      </w:r>
      <w:r>
        <w:fldChar w:fldCharType="begin"/>
      </w:r>
      <w:r w:rsidRPr="00A03823">
        <w:rPr>
          <w:lang w:val="it-IT"/>
        </w:rPr>
        <w:instrText xml:space="preserve"> PAGEREF _Toc371663636 \h </w:instrText>
      </w:r>
      <w:r>
        <w:fldChar w:fldCharType="separate"/>
      </w:r>
      <w:r w:rsidR="003F471F" w:rsidRPr="00A03823">
        <w:rPr>
          <w:lang w:val="it-IT"/>
        </w:rPr>
        <w:t>86</w:t>
      </w:r>
      <w:r>
        <w:fldChar w:fldCharType="end"/>
      </w:r>
    </w:p>
    <w:p w14:paraId="6D283087" w14:textId="77777777" w:rsidR="00B03E8D" w:rsidRPr="00A03823" w:rsidRDefault="00B03E8D">
      <w:pPr>
        <w:pStyle w:val="TOC3"/>
        <w:rPr>
          <w:rFonts w:asciiTheme="minorHAnsi" w:eastAsiaTheme="minorEastAsia" w:hAnsiTheme="minorHAnsi" w:cstheme="minorBidi"/>
          <w:bCs w:val="0"/>
          <w:color w:val="auto"/>
          <w:sz w:val="22"/>
          <w:szCs w:val="22"/>
          <w:lang w:val="it-IT"/>
        </w:rPr>
      </w:pPr>
      <w:r w:rsidRPr="00A03823">
        <w:rPr>
          <w:lang w:val="it-IT"/>
        </w:rPr>
        <w:t>Windows Thin PC</w:t>
      </w:r>
      <w:r w:rsidRPr="00A03823">
        <w:rPr>
          <w:lang w:val="it-IT"/>
        </w:rPr>
        <w:tab/>
      </w:r>
      <w:r>
        <w:fldChar w:fldCharType="begin"/>
      </w:r>
      <w:r w:rsidRPr="00A03823">
        <w:rPr>
          <w:lang w:val="it-IT"/>
        </w:rPr>
        <w:instrText xml:space="preserve"> PAGEREF _Toc371663637 \h </w:instrText>
      </w:r>
      <w:r>
        <w:fldChar w:fldCharType="separate"/>
      </w:r>
      <w:r w:rsidR="003F471F" w:rsidRPr="00A03823">
        <w:rPr>
          <w:lang w:val="it-IT"/>
        </w:rPr>
        <w:t>87</w:t>
      </w:r>
      <w:r>
        <w:fldChar w:fldCharType="end"/>
      </w:r>
    </w:p>
    <w:p w14:paraId="39DA90CC" w14:textId="77777777" w:rsidR="00B03E8D" w:rsidRPr="00A03823" w:rsidRDefault="00B03E8D">
      <w:pPr>
        <w:pStyle w:val="TOC3"/>
        <w:rPr>
          <w:rFonts w:asciiTheme="minorHAnsi" w:eastAsiaTheme="minorEastAsia" w:hAnsiTheme="minorHAnsi" w:cstheme="minorBidi"/>
          <w:bCs w:val="0"/>
          <w:color w:val="auto"/>
          <w:sz w:val="22"/>
          <w:szCs w:val="22"/>
          <w:lang w:val="it-IT"/>
        </w:rPr>
      </w:pPr>
      <w:r w:rsidRPr="00A03823">
        <w:rPr>
          <w:lang w:val="it-IT"/>
        </w:rPr>
        <w:t>Microsoft Desktop Optimization Pack per Software Assurance</w:t>
      </w:r>
      <w:r w:rsidRPr="00A03823">
        <w:rPr>
          <w:lang w:val="it-IT"/>
        </w:rPr>
        <w:tab/>
      </w:r>
      <w:r>
        <w:fldChar w:fldCharType="begin"/>
      </w:r>
      <w:r w:rsidRPr="00A03823">
        <w:rPr>
          <w:lang w:val="it-IT"/>
        </w:rPr>
        <w:instrText xml:space="preserve"> PAGEREF _Toc371663638 \h </w:instrText>
      </w:r>
      <w:r>
        <w:fldChar w:fldCharType="separate"/>
      </w:r>
      <w:r w:rsidR="003F471F" w:rsidRPr="00A03823">
        <w:rPr>
          <w:lang w:val="it-IT"/>
        </w:rPr>
        <w:t>88</w:t>
      </w:r>
      <w:r>
        <w:fldChar w:fldCharType="end"/>
      </w:r>
    </w:p>
    <w:p w14:paraId="10F1AF5D" w14:textId="77777777" w:rsidR="00B03E8D" w:rsidRPr="00A03823" w:rsidRDefault="00B03E8D">
      <w:pPr>
        <w:pStyle w:val="TOC3"/>
        <w:rPr>
          <w:rFonts w:asciiTheme="minorHAnsi" w:eastAsiaTheme="minorEastAsia" w:hAnsiTheme="minorHAnsi" w:cstheme="minorBidi"/>
          <w:bCs w:val="0"/>
          <w:color w:val="auto"/>
          <w:sz w:val="22"/>
          <w:szCs w:val="22"/>
          <w:lang w:val="it-IT"/>
        </w:rPr>
      </w:pPr>
      <w:r w:rsidRPr="00A03823">
        <w:rPr>
          <w:lang w:val="it-IT"/>
        </w:rPr>
        <w:t>Diritti per Windows Virtual Desktop Access (VDA)</w:t>
      </w:r>
      <w:r w:rsidRPr="00A03823">
        <w:rPr>
          <w:lang w:val="it-IT"/>
        </w:rPr>
        <w:tab/>
      </w:r>
      <w:r>
        <w:fldChar w:fldCharType="begin"/>
      </w:r>
      <w:r w:rsidRPr="00A03823">
        <w:rPr>
          <w:lang w:val="it-IT"/>
        </w:rPr>
        <w:instrText xml:space="preserve"> PAGEREF _Toc371663639 \h </w:instrText>
      </w:r>
      <w:r>
        <w:fldChar w:fldCharType="separate"/>
      </w:r>
      <w:r w:rsidR="003F471F" w:rsidRPr="00A03823">
        <w:rPr>
          <w:lang w:val="it-IT"/>
        </w:rPr>
        <w:t>88</w:t>
      </w:r>
      <w:r>
        <w:fldChar w:fldCharType="end"/>
      </w:r>
    </w:p>
    <w:p w14:paraId="22E140AE" w14:textId="77777777" w:rsidR="00B03E8D" w:rsidRPr="00A03823" w:rsidRDefault="00B03E8D">
      <w:pPr>
        <w:pStyle w:val="TOC3"/>
        <w:rPr>
          <w:rFonts w:asciiTheme="minorHAnsi" w:eastAsiaTheme="minorEastAsia" w:hAnsiTheme="minorHAnsi" w:cstheme="minorBidi"/>
          <w:bCs w:val="0"/>
          <w:color w:val="auto"/>
          <w:sz w:val="22"/>
          <w:szCs w:val="22"/>
          <w:lang w:val="it-IT"/>
        </w:rPr>
      </w:pPr>
      <w:r w:rsidRPr="00A03823">
        <w:rPr>
          <w:lang w:val="it-IT"/>
        </w:rPr>
        <w:t>Disponibilità di Licenze Step-Up</w:t>
      </w:r>
      <w:r w:rsidRPr="00A03823">
        <w:rPr>
          <w:lang w:val="it-IT"/>
        </w:rPr>
        <w:tab/>
      </w:r>
      <w:r>
        <w:fldChar w:fldCharType="begin"/>
      </w:r>
      <w:r w:rsidRPr="00A03823">
        <w:rPr>
          <w:lang w:val="it-IT"/>
        </w:rPr>
        <w:instrText xml:space="preserve"> PAGEREF _Toc371663640 \h </w:instrText>
      </w:r>
      <w:r>
        <w:fldChar w:fldCharType="separate"/>
      </w:r>
      <w:r w:rsidR="003F471F" w:rsidRPr="00A03823">
        <w:rPr>
          <w:lang w:val="it-IT"/>
        </w:rPr>
        <w:t>88</w:t>
      </w:r>
      <w:r>
        <w:fldChar w:fldCharType="end"/>
      </w:r>
    </w:p>
    <w:p w14:paraId="367B0809" w14:textId="77777777" w:rsidR="00B03E8D" w:rsidRPr="00A03823" w:rsidRDefault="00B03E8D">
      <w:pPr>
        <w:pStyle w:val="TOC1"/>
        <w:rPr>
          <w:rFonts w:asciiTheme="minorHAnsi" w:eastAsiaTheme="minorEastAsia" w:hAnsiTheme="minorHAnsi" w:cstheme="minorBidi"/>
          <w:b w:val="0"/>
          <w:caps w:val="0"/>
          <w:color w:val="auto"/>
          <w:szCs w:val="22"/>
          <w:lang w:val="it-IT"/>
        </w:rPr>
      </w:pPr>
      <w:r w:rsidRPr="00A03823">
        <w:rPr>
          <w:lang w:val="it-IT"/>
        </w:rPr>
        <w:t>ARTICOLO 8 - Servizi</w:t>
      </w:r>
      <w:r w:rsidRPr="00A03823">
        <w:rPr>
          <w:lang w:val="it-IT"/>
        </w:rPr>
        <w:tab/>
      </w:r>
      <w:r>
        <w:fldChar w:fldCharType="begin"/>
      </w:r>
      <w:r w:rsidRPr="00A03823">
        <w:rPr>
          <w:lang w:val="it-IT"/>
        </w:rPr>
        <w:instrText xml:space="preserve"> PAGEREF _Toc371663641 \h </w:instrText>
      </w:r>
      <w:r>
        <w:fldChar w:fldCharType="separate"/>
      </w:r>
      <w:r w:rsidR="003F471F" w:rsidRPr="00A03823">
        <w:rPr>
          <w:lang w:val="it-IT"/>
        </w:rPr>
        <w:t>90</w:t>
      </w:r>
      <w:r>
        <w:fldChar w:fldCharType="end"/>
      </w:r>
    </w:p>
    <w:p w14:paraId="28F01D49" w14:textId="77777777" w:rsidR="00B03E8D" w:rsidRPr="00A03823" w:rsidRDefault="00B03E8D">
      <w:pPr>
        <w:pStyle w:val="TOC2"/>
        <w:rPr>
          <w:rFonts w:asciiTheme="minorHAnsi" w:eastAsiaTheme="minorEastAsia" w:hAnsiTheme="minorHAnsi" w:cstheme="minorBidi"/>
          <w:sz w:val="22"/>
          <w:szCs w:val="22"/>
          <w:lang w:val="it-IT"/>
        </w:rPr>
      </w:pPr>
      <w:r w:rsidRPr="00A03823">
        <w:rPr>
          <w:lang w:val="it-IT"/>
        </w:rPr>
        <w:t>Diritti sull</w:t>
      </w:r>
      <w:r w:rsidR="001C4212" w:rsidRPr="00A03823">
        <w:rPr>
          <w:lang w:val="it-IT"/>
        </w:rPr>
        <w:t>’</w:t>
      </w:r>
      <w:r w:rsidRPr="00A03823">
        <w:rPr>
          <w:lang w:val="it-IT"/>
        </w:rPr>
        <w:t>utilizzo, di titolarità e di licenza</w:t>
      </w:r>
      <w:r w:rsidRPr="00A03823">
        <w:rPr>
          <w:lang w:val="it-IT"/>
        </w:rPr>
        <w:tab/>
      </w:r>
      <w:r>
        <w:fldChar w:fldCharType="begin"/>
      </w:r>
      <w:r w:rsidRPr="00A03823">
        <w:rPr>
          <w:lang w:val="it-IT"/>
        </w:rPr>
        <w:instrText xml:space="preserve"> PAGEREF _Toc371663642 \h </w:instrText>
      </w:r>
      <w:r>
        <w:fldChar w:fldCharType="separate"/>
      </w:r>
      <w:r w:rsidR="003F471F" w:rsidRPr="00A03823">
        <w:rPr>
          <w:lang w:val="it-IT"/>
        </w:rPr>
        <w:t>97</w:t>
      </w:r>
      <w:r>
        <w:fldChar w:fldCharType="end"/>
      </w:r>
    </w:p>
    <w:p w14:paraId="1EA02F18" w14:textId="77777777" w:rsidR="00B03E8D" w:rsidRPr="00A03823" w:rsidRDefault="00B03E8D">
      <w:pPr>
        <w:pStyle w:val="TOC1"/>
        <w:rPr>
          <w:rFonts w:asciiTheme="minorHAnsi" w:eastAsiaTheme="minorEastAsia" w:hAnsiTheme="minorHAnsi" w:cstheme="minorBidi"/>
          <w:b w:val="0"/>
          <w:caps w:val="0"/>
          <w:color w:val="auto"/>
          <w:szCs w:val="22"/>
          <w:lang w:val="it-IT"/>
        </w:rPr>
      </w:pPr>
      <w:r w:rsidRPr="00A03823">
        <w:rPr>
          <w:lang w:val="it-IT"/>
        </w:rPr>
        <w:t>ARTICOLO 9 - Condizioni Aggiuntive</w:t>
      </w:r>
      <w:r w:rsidRPr="00A03823">
        <w:rPr>
          <w:lang w:val="it-IT"/>
        </w:rPr>
        <w:tab/>
      </w:r>
      <w:r>
        <w:fldChar w:fldCharType="begin"/>
      </w:r>
      <w:r w:rsidRPr="00A03823">
        <w:rPr>
          <w:lang w:val="it-IT"/>
        </w:rPr>
        <w:instrText xml:space="preserve"> PAGEREF _Toc371663643 \h </w:instrText>
      </w:r>
      <w:r>
        <w:fldChar w:fldCharType="separate"/>
      </w:r>
      <w:r w:rsidR="003F471F" w:rsidRPr="00A03823">
        <w:rPr>
          <w:lang w:val="it-IT"/>
        </w:rPr>
        <w:t>102</w:t>
      </w:r>
      <w:r>
        <w:fldChar w:fldCharType="end"/>
      </w:r>
    </w:p>
    <w:p w14:paraId="023B80B1" w14:textId="77777777" w:rsidR="00B03E8D" w:rsidRPr="00A03823" w:rsidRDefault="00B03E8D">
      <w:pPr>
        <w:pStyle w:val="TOC3"/>
        <w:rPr>
          <w:rFonts w:asciiTheme="minorHAnsi" w:eastAsiaTheme="minorEastAsia" w:hAnsiTheme="minorHAnsi" w:cstheme="minorBidi"/>
          <w:bCs w:val="0"/>
          <w:color w:val="auto"/>
          <w:sz w:val="22"/>
          <w:szCs w:val="22"/>
          <w:lang w:val="it-IT"/>
        </w:rPr>
      </w:pPr>
      <w:r w:rsidRPr="00A03823">
        <w:rPr>
          <w:rFonts w:eastAsia="Times New Roman"/>
          <w:lang w:val="it-IT"/>
        </w:rPr>
        <w:t>Client Access Licenses (CAL) e Licenze di Gestione Client (ML)</w:t>
      </w:r>
      <w:r w:rsidRPr="00A03823">
        <w:rPr>
          <w:lang w:val="it-IT"/>
        </w:rPr>
        <w:tab/>
      </w:r>
      <w:r>
        <w:fldChar w:fldCharType="begin"/>
      </w:r>
      <w:r w:rsidRPr="00A03823">
        <w:rPr>
          <w:lang w:val="it-IT"/>
        </w:rPr>
        <w:instrText xml:space="preserve"> PAGEREF _Toc371663644 \h </w:instrText>
      </w:r>
      <w:r>
        <w:fldChar w:fldCharType="separate"/>
      </w:r>
      <w:r w:rsidR="003F471F" w:rsidRPr="00A03823">
        <w:rPr>
          <w:lang w:val="it-IT"/>
        </w:rPr>
        <w:t>102</w:t>
      </w:r>
      <w:r>
        <w:fldChar w:fldCharType="end"/>
      </w:r>
    </w:p>
    <w:p w14:paraId="3FC4B907" w14:textId="77777777" w:rsidR="00B03E8D" w:rsidRPr="00A03823" w:rsidRDefault="00B03E8D">
      <w:pPr>
        <w:pStyle w:val="TOC3"/>
        <w:rPr>
          <w:rFonts w:asciiTheme="minorHAnsi" w:eastAsiaTheme="minorEastAsia" w:hAnsiTheme="minorHAnsi" w:cstheme="minorBidi"/>
          <w:bCs w:val="0"/>
          <w:color w:val="auto"/>
          <w:sz w:val="22"/>
          <w:szCs w:val="22"/>
          <w:lang w:val="it-IT"/>
        </w:rPr>
      </w:pPr>
      <w:r w:rsidRPr="00A03823">
        <w:rPr>
          <w:lang w:val="it-IT"/>
        </w:rPr>
        <w:t>Limitazioni dei Controlli EI</w:t>
      </w:r>
      <w:r w:rsidRPr="00A03823">
        <w:rPr>
          <w:lang w:val="it-IT"/>
        </w:rPr>
        <w:tab/>
      </w:r>
      <w:r>
        <w:fldChar w:fldCharType="begin"/>
      </w:r>
      <w:r w:rsidRPr="00A03823">
        <w:rPr>
          <w:lang w:val="it-IT"/>
        </w:rPr>
        <w:instrText xml:space="preserve"> PAGEREF _Toc371663645 \h </w:instrText>
      </w:r>
      <w:r>
        <w:fldChar w:fldCharType="separate"/>
      </w:r>
      <w:r w:rsidR="003F471F" w:rsidRPr="00A03823">
        <w:rPr>
          <w:lang w:val="it-IT"/>
        </w:rPr>
        <w:t>102</w:t>
      </w:r>
      <w:r>
        <w:fldChar w:fldCharType="end"/>
      </w:r>
    </w:p>
    <w:p w14:paraId="78FB1A42" w14:textId="77777777" w:rsidR="00B03E8D" w:rsidRPr="00A03823" w:rsidRDefault="00B03E8D">
      <w:pPr>
        <w:pStyle w:val="TOC3"/>
        <w:rPr>
          <w:rFonts w:asciiTheme="minorHAnsi" w:eastAsiaTheme="minorEastAsia" w:hAnsiTheme="minorHAnsi" w:cstheme="minorBidi"/>
          <w:bCs w:val="0"/>
          <w:color w:val="auto"/>
          <w:sz w:val="22"/>
          <w:szCs w:val="22"/>
          <w:lang w:val="it-IT"/>
        </w:rPr>
      </w:pPr>
      <w:r w:rsidRPr="00A03823">
        <w:rPr>
          <w:lang w:val="it-IT"/>
        </w:rPr>
        <w:t>Multilanguage Pack (MLP), Funzionalità Multilanguage User Interface (MUI) e Nuovi Diritti sulle Lingue</w:t>
      </w:r>
      <w:r w:rsidRPr="00A03823">
        <w:rPr>
          <w:lang w:val="it-IT"/>
        </w:rPr>
        <w:tab/>
      </w:r>
      <w:r>
        <w:fldChar w:fldCharType="begin"/>
      </w:r>
      <w:r w:rsidRPr="00A03823">
        <w:rPr>
          <w:lang w:val="it-IT"/>
        </w:rPr>
        <w:instrText xml:space="preserve"> PAGEREF _Toc371663646 \h </w:instrText>
      </w:r>
      <w:r>
        <w:fldChar w:fldCharType="separate"/>
      </w:r>
      <w:r w:rsidR="003F471F" w:rsidRPr="00A03823">
        <w:rPr>
          <w:lang w:val="it-IT"/>
        </w:rPr>
        <w:t>103</w:t>
      </w:r>
      <w:r>
        <w:fldChar w:fldCharType="end"/>
      </w:r>
    </w:p>
    <w:p w14:paraId="542B4937" w14:textId="77777777" w:rsidR="00B03E8D" w:rsidRPr="00A03823" w:rsidRDefault="00B03E8D">
      <w:pPr>
        <w:pStyle w:val="TOC2"/>
        <w:rPr>
          <w:rFonts w:asciiTheme="minorHAnsi" w:eastAsiaTheme="minorEastAsia" w:hAnsiTheme="minorHAnsi" w:cstheme="minorBidi"/>
          <w:sz w:val="22"/>
          <w:szCs w:val="22"/>
          <w:lang w:val="it-IT"/>
        </w:rPr>
      </w:pPr>
      <w:r w:rsidRPr="00A03823">
        <w:rPr>
          <w:rFonts w:cs="Tahoma"/>
          <w:lang w:val="it-IT"/>
        </w:rPr>
        <w:t>Licenze Indipendenti dalla Piattaforma</w:t>
      </w:r>
      <w:r w:rsidRPr="00A03823">
        <w:rPr>
          <w:lang w:val="it-IT"/>
        </w:rPr>
        <w:tab/>
      </w:r>
      <w:r>
        <w:fldChar w:fldCharType="begin"/>
      </w:r>
      <w:r w:rsidRPr="00A03823">
        <w:rPr>
          <w:lang w:val="it-IT"/>
        </w:rPr>
        <w:instrText xml:space="preserve"> PAGEREF _Toc371663647 \h </w:instrText>
      </w:r>
      <w:r>
        <w:fldChar w:fldCharType="separate"/>
      </w:r>
      <w:r w:rsidR="003F471F" w:rsidRPr="00A03823">
        <w:rPr>
          <w:lang w:val="it-IT"/>
        </w:rPr>
        <w:t>103</w:t>
      </w:r>
      <w:r>
        <w:fldChar w:fldCharType="end"/>
      </w:r>
    </w:p>
    <w:p w14:paraId="1BA4AAE9" w14:textId="77777777" w:rsidR="00B03E8D" w:rsidRPr="00A03823" w:rsidRDefault="00B03E8D">
      <w:pPr>
        <w:pStyle w:val="TOC2"/>
        <w:rPr>
          <w:rFonts w:asciiTheme="minorHAnsi" w:eastAsiaTheme="minorEastAsia" w:hAnsiTheme="minorHAnsi" w:cstheme="minorBidi"/>
          <w:sz w:val="22"/>
          <w:szCs w:val="22"/>
          <w:lang w:val="it-IT"/>
        </w:rPr>
      </w:pPr>
      <w:r w:rsidRPr="00A03823">
        <w:rPr>
          <w:rFonts w:cs="Tahoma"/>
          <w:lang w:val="it-IT"/>
        </w:rPr>
        <w:t>Codice “Product Key” per Volume Licensing</w:t>
      </w:r>
      <w:r w:rsidRPr="00A03823">
        <w:rPr>
          <w:lang w:val="it-IT"/>
        </w:rPr>
        <w:tab/>
      </w:r>
      <w:r>
        <w:fldChar w:fldCharType="begin"/>
      </w:r>
      <w:r w:rsidRPr="00A03823">
        <w:rPr>
          <w:lang w:val="it-IT"/>
        </w:rPr>
        <w:instrText xml:space="preserve"> PAGEREF _Toc371663648 \h </w:instrText>
      </w:r>
      <w:r>
        <w:fldChar w:fldCharType="separate"/>
      </w:r>
      <w:r w:rsidR="003F471F" w:rsidRPr="00A03823">
        <w:rPr>
          <w:lang w:val="it-IT"/>
        </w:rPr>
        <w:t>104</w:t>
      </w:r>
      <w:r>
        <w:fldChar w:fldCharType="end"/>
      </w:r>
    </w:p>
    <w:p w14:paraId="173D5DA7" w14:textId="77777777" w:rsidR="00B03E8D" w:rsidRPr="00A03823" w:rsidRDefault="00B03E8D">
      <w:pPr>
        <w:pStyle w:val="TOC1"/>
        <w:rPr>
          <w:rFonts w:asciiTheme="minorHAnsi" w:eastAsiaTheme="minorEastAsia" w:hAnsiTheme="minorHAnsi" w:cstheme="minorBidi"/>
          <w:b w:val="0"/>
          <w:caps w:val="0"/>
          <w:color w:val="auto"/>
          <w:szCs w:val="22"/>
          <w:lang w:val="it-IT"/>
        </w:rPr>
      </w:pPr>
      <w:r w:rsidRPr="00A03823">
        <w:rPr>
          <w:lang w:val="it-IT"/>
        </w:rPr>
        <w:t>ARTICOLO 10 - Condizioni Supplementari per i Servizi Online Utilizzati</w:t>
      </w:r>
      <w:r w:rsidR="00737018" w:rsidRPr="00A03823">
        <w:rPr>
          <w:lang w:val="it-IT"/>
        </w:rPr>
        <w:t> </w:t>
      </w:r>
      <w:r w:rsidRPr="00A03823">
        <w:rPr>
          <w:lang w:val="it-IT"/>
        </w:rPr>
        <w:t>con il Software On-Premise</w:t>
      </w:r>
      <w:r w:rsidRPr="00A03823">
        <w:rPr>
          <w:lang w:val="it-IT"/>
        </w:rPr>
        <w:tab/>
      </w:r>
      <w:r>
        <w:fldChar w:fldCharType="begin"/>
      </w:r>
      <w:r w:rsidRPr="00A03823">
        <w:rPr>
          <w:lang w:val="it-IT"/>
        </w:rPr>
        <w:instrText xml:space="preserve"> PAGEREF _Toc371663649 \h </w:instrText>
      </w:r>
      <w:r>
        <w:fldChar w:fldCharType="separate"/>
      </w:r>
      <w:r w:rsidR="003F471F" w:rsidRPr="00A03823">
        <w:rPr>
          <w:lang w:val="it-IT"/>
        </w:rPr>
        <w:t>105</w:t>
      </w:r>
      <w:r>
        <w:fldChar w:fldCharType="end"/>
      </w:r>
    </w:p>
    <w:p w14:paraId="283E7B34" w14:textId="77777777" w:rsidR="00B03E8D" w:rsidRPr="00A03823" w:rsidRDefault="00B03E8D">
      <w:pPr>
        <w:pStyle w:val="TOC1"/>
        <w:rPr>
          <w:rFonts w:asciiTheme="minorHAnsi" w:eastAsiaTheme="minorEastAsia" w:hAnsiTheme="minorHAnsi" w:cstheme="minorBidi"/>
          <w:b w:val="0"/>
          <w:caps w:val="0"/>
          <w:color w:val="auto"/>
          <w:szCs w:val="22"/>
          <w:lang w:val="it-IT"/>
        </w:rPr>
      </w:pPr>
      <w:r w:rsidRPr="00A03823">
        <w:rPr>
          <w:lang w:val="it-IT"/>
        </w:rPr>
        <w:t>NOTE del Prodotto</w:t>
      </w:r>
      <w:r w:rsidRPr="00A03823">
        <w:rPr>
          <w:lang w:val="it-IT"/>
        </w:rPr>
        <w:tab/>
      </w:r>
      <w:r>
        <w:fldChar w:fldCharType="begin"/>
      </w:r>
      <w:r w:rsidRPr="00A03823">
        <w:rPr>
          <w:lang w:val="it-IT"/>
        </w:rPr>
        <w:instrText xml:space="preserve"> PAGEREF _Toc371663650 \h </w:instrText>
      </w:r>
      <w:r>
        <w:fldChar w:fldCharType="separate"/>
      </w:r>
      <w:r w:rsidR="003F471F" w:rsidRPr="00A03823">
        <w:rPr>
          <w:lang w:val="it-IT"/>
        </w:rPr>
        <w:t>108</w:t>
      </w:r>
      <w:r>
        <w:fldChar w:fldCharType="end"/>
      </w:r>
    </w:p>
    <w:p w14:paraId="000941D3" w14:textId="77777777" w:rsidR="00B03E8D" w:rsidRPr="00A03823" w:rsidRDefault="00B03E8D">
      <w:pPr>
        <w:pStyle w:val="TOC2"/>
        <w:rPr>
          <w:rFonts w:asciiTheme="minorHAnsi" w:eastAsiaTheme="minorEastAsia" w:hAnsiTheme="minorHAnsi" w:cstheme="minorBidi"/>
          <w:sz w:val="22"/>
          <w:szCs w:val="22"/>
          <w:lang w:val="it-IT"/>
        </w:rPr>
      </w:pPr>
      <w:r w:rsidRPr="00A03823">
        <w:rPr>
          <w:rFonts w:cs="Tahoma"/>
          <w:lang w:val="it-IT"/>
        </w:rPr>
        <w:t>Pool di Applicazioni</w:t>
      </w:r>
      <w:r w:rsidRPr="00A03823">
        <w:rPr>
          <w:lang w:val="it-IT"/>
        </w:rPr>
        <w:tab/>
      </w:r>
      <w:r>
        <w:fldChar w:fldCharType="begin"/>
      </w:r>
      <w:r w:rsidRPr="00A03823">
        <w:rPr>
          <w:lang w:val="it-IT"/>
        </w:rPr>
        <w:instrText xml:space="preserve"> PAGEREF _Toc371663651 \h </w:instrText>
      </w:r>
      <w:r>
        <w:fldChar w:fldCharType="separate"/>
      </w:r>
      <w:r w:rsidR="003F471F" w:rsidRPr="00A03823">
        <w:rPr>
          <w:lang w:val="it-IT"/>
        </w:rPr>
        <w:t>108</w:t>
      </w:r>
      <w:r>
        <w:fldChar w:fldCharType="end"/>
      </w:r>
    </w:p>
    <w:p w14:paraId="7E2EFD83" w14:textId="77777777" w:rsidR="00B03E8D" w:rsidRPr="00A03823" w:rsidRDefault="00B03E8D">
      <w:pPr>
        <w:pStyle w:val="TOC3"/>
        <w:rPr>
          <w:rFonts w:asciiTheme="minorHAnsi" w:eastAsiaTheme="minorEastAsia" w:hAnsiTheme="minorHAnsi" w:cstheme="minorBidi"/>
          <w:bCs w:val="0"/>
          <w:color w:val="auto"/>
          <w:sz w:val="22"/>
          <w:szCs w:val="22"/>
          <w:lang w:val="it-IT"/>
        </w:rPr>
      </w:pPr>
      <w:r w:rsidRPr="00A03823">
        <w:rPr>
          <w:caps/>
          <w:color w:val="auto"/>
          <w:vertAlign w:val="superscript"/>
          <w:lang w:val="it-IT"/>
        </w:rPr>
        <w:t>1</w:t>
      </w:r>
      <w:r w:rsidRPr="00A03823">
        <w:rPr>
          <w:color w:val="auto"/>
          <w:lang w:val="it-IT"/>
        </w:rPr>
        <w:t xml:space="preserve"> Expression Encoder Pro 4</w:t>
      </w:r>
      <w:r w:rsidRPr="00A03823">
        <w:rPr>
          <w:color w:val="auto"/>
          <w:lang w:val="it-IT"/>
        </w:rPr>
        <w:tab/>
      </w:r>
      <w:r w:rsidRPr="00B03E8D">
        <w:rPr>
          <w:color w:val="auto"/>
        </w:rPr>
        <w:fldChar w:fldCharType="begin"/>
      </w:r>
      <w:r w:rsidRPr="00A03823">
        <w:rPr>
          <w:color w:val="auto"/>
          <w:lang w:val="it-IT"/>
        </w:rPr>
        <w:instrText xml:space="preserve"> PAGEREF _Toc371663652 \h </w:instrText>
      </w:r>
      <w:r w:rsidRPr="00B03E8D">
        <w:rPr>
          <w:color w:val="auto"/>
        </w:rPr>
      </w:r>
      <w:r w:rsidRPr="00B03E8D">
        <w:rPr>
          <w:color w:val="auto"/>
        </w:rPr>
        <w:fldChar w:fldCharType="separate"/>
      </w:r>
      <w:r w:rsidR="003F471F" w:rsidRPr="00A03823">
        <w:rPr>
          <w:color w:val="auto"/>
          <w:lang w:val="it-IT"/>
        </w:rPr>
        <w:t>108</w:t>
      </w:r>
      <w:r w:rsidRPr="00B03E8D">
        <w:rPr>
          <w:color w:val="auto"/>
        </w:rPr>
        <w:fldChar w:fldCharType="end"/>
      </w:r>
    </w:p>
    <w:p w14:paraId="6BC07DD4" w14:textId="77777777" w:rsidR="00B03E8D" w:rsidRPr="00A03823" w:rsidRDefault="00B03E8D">
      <w:pPr>
        <w:pStyle w:val="TOC3"/>
        <w:rPr>
          <w:rFonts w:asciiTheme="minorHAnsi" w:eastAsiaTheme="minorEastAsia" w:hAnsiTheme="minorHAnsi" w:cstheme="minorBidi"/>
          <w:bCs w:val="0"/>
          <w:color w:val="auto"/>
          <w:sz w:val="22"/>
          <w:szCs w:val="22"/>
          <w:lang w:val="it-IT"/>
        </w:rPr>
      </w:pPr>
      <w:r w:rsidRPr="00A03823">
        <w:rPr>
          <w:caps/>
          <w:color w:val="auto"/>
          <w:vertAlign w:val="superscript"/>
          <w:lang w:val="it-IT"/>
        </w:rPr>
        <w:t>2</w:t>
      </w:r>
      <w:r w:rsidRPr="00A03823">
        <w:rPr>
          <w:color w:val="auto"/>
          <w:lang w:val="it-IT"/>
        </w:rPr>
        <w:t xml:space="preserve"> Lync per Mac 2011</w:t>
      </w:r>
      <w:r w:rsidRPr="00A03823">
        <w:rPr>
          <w:color w:val="auto"/>
          <w:lang w:val="it-IT"/>
        </w:rPr>
        <w:tab/>
      </w:r>
      <w:r w:rsidRPr="00B03E8D">
        <w:rPr>
          <w:color w:val="auto"/>
        </w:rPr>
        <w:fldChar w:fldCharType="begin"/>
      </w:r>
      <w:r w:rsidRPr="00A03823">
        <w:rPr>
          <w:color w:val="auto"/>
          <w:lang w:val="it-IT"/>
        </w:rPr>
        <w:instrText xml:space="preserve"> PAGEREF _Toc371663653 \h </w:instrText>
      </w:r>
      <w:r w:rsidRPr="00B03E8D">
        <w:rPr>
          <w:color w:val="auto"/>
        </w:rPr>
      </w:r>
      <w:r w:rsidRPr="00B03E8D">
        <w:rPr>
          <w:color w:val="auto"/>
        </w:rPr>
        <w:fldChar w:fldCharType="separate"/>
      </w:r>
      <w:r w:rsidR="003F471F" w:rsidRPr="00A03823">
        <w:rPr>
          <w:color w:val="auto"/>
          <w:lang w:val="it-IT"/>
        </w:rPr>
        <w:t>108</w:t>
      </w:r>
      <w:r w:rsidRPr="00B03E8D">
        <w:rPr>
          <w:color w:val="auto"/>
        </w:rPr>
        <w:fldChar w:fldCharType="end"/>
      </w:r>
    </w:p>
    <w:p w14:paraId="52A82394" w14:textId="77777777" w:rsidR="00B03E8D" w:rsidRPr="00A03823" w:rsidRDefault="00B03E8D">
      <w:pPr>
        <w:pStyle w:val="TOC3"/>
        <w:rPr>
          <w:rFonts w:asciiTheme="minorHAnsi" w:eastAsiaTheme="minorEastAsia" w:hAnsiTheme="minorHAnsi" w:cstheme="minorBidi"/>
          <w:bCs w:val="0"/>
          <w:color w:val="auto"/>
          <w:sz w:val="22"/>
          <w:szCs w:val="22"/>
          <w:lang w:val="it-IT"/>
        </w:rPr>
      </w:pPr>
      <w:r w:rsidRPr="00A03823">
        <w:rPr>
          <w:caps/>
          <w:color w:val="auto"/>
          <w:vertAlign w:val="superscript"/>
          <w:lang w:val="it-IT"/>
        </w:rPr>
        <w:t>3</w:t>
      </w:r>
      <w:r w:rsidRPr="00A03823">
        <w:rPr>
          <w:color w:val="auto"/>
          <w:lang w:val="it-IT"/>
        </w:rPr>
        <w:t xml:space="preserve"> Sistemi Operativi MSDN</w:t>
      </w:r>
      <w:r w:rsidRPr="00A03823">
        <w:rPr>
          <w:color w:val="auto"/>
          <w:lang w:val="it-IT"/>
        </w:rPr>
        <w:tab/>
      </w:r>
      <w:r w:rsidRPr="00B03E8D">
        <w:rPr>
          <w:color w:val="auto"/>
        </w:rPr>
        <w:fldChar w:fldCharType="begin"/>
      </w:r>
      <w:r w:rsidRPr="00A03823">
        <w:rPr>
          <w:color w:val="auto"/>
          <w:lang w:val="it-IT"/>
        </w:rPr>
        <w:instrText xml:space="preserve"> PAGEREF _Toc371663654 \h </w:instrText>
      </w:r>
      <w:r w:rsidRPr="00B03E8D">
        <w:rPr>
          <w:color w:val="auto"/>
        </w:rPr>
      </w:r>
      <w:r w:rsidRPr="00B03E8D">
        <w:rPr>
          <w:color w:val="auto"/>
        </w:rPr>
        <w:fldChar w:fldCharType="separate"/>
      </w:r>
      <w:r w:rsidR="003F471F" w:rsidRPr="00A03823">
        <w:rPr>
          <w:color w:val="auto"/>
          <w:lang w:val="it-IT"/>
        </w:rPr>
        <w:t>108</w:t>
      </w:r>
      <w:r w:rsidRPr="00B03E8D">
        <w:rPr>
          <w:color w:val="auto"/>
        </w:rPr>
        <w:fldChar w:fldCharType="end"/>
      </w:r>
    </w:p>
    <w:p w14:paraId="1769BE75" w14:textId="77777777" w:rsidR="00B03E8D" w:rsidRPr="00A03823" w:rsidRDefault="00B03E8D">
      <w:pPr>
        <w:pStyle w:val="TOC2"/>
        <w:rPr>
          <w:rFonts w:asciiTheme="minorHAnsi" w:eastAsiaTheme="minorEastAsia" w:hAnsiTheme="minorHAnsi" w:cstheme="minorBidi"/>
          <w:sz w:val="22"/>
          <w:szCs w:val="22"/>
          <w:lang w:val="it-IT"/>
        </w:rPr>
      </w:pPr>
      <w:r w:rsidRPr="00A03823">
        <w:rPr>
          <w:rFonts w:cs="Tahoma"/>
          <w:caps/>
          <w:vertAlign w:val="superscript"/>
          <w:lang w:val="it-IT"/>
        </w:rPr>
        <w:t>4</w:t>
      </w:r>
      <w:r w:rsidRPr="00A03823">
        <w:rPr>
          <w:lang w:val="it-IT"/>
        </w:rPr>
        <w:t xml:space="preserve"> </w:t>
      </w:r>
      <w:r w:rsidRPr="00A03823">
        <w:rPr>
          <w:rFonts w:cs="Tahoma"/>
          <w:lang w:val="it-IT"/>
        </w:rPr>
        <w:t>Piattaforme MSDN</w:t>
      </w:r>
      <w:r w:rsidRPr="00A03823">
        <w:rPr>
          <w:lang w:val="it-IT"/>
        </w:rPr>
        <w:tab/>
      </w:r>
      <w:r w:rsidRPr="00B03E8D">
        <w:fldChar w:fldCharType="begin"/>
      </w:r>
      <w:r w:rsidRPr="00A03823">
        <w:rPr>
          <w:lang w:val="it-IT"/>
        </w:rPr>
        <w:instrText xml:space="preserve"> PAGEREF _Toc371663655 \h </w:instrText>
      </w:r>
      <w:r w:rsidRPr="00B03E8D">
        <w:fldChar w:fldCharType="separate"/>
      </w:r>
      <w:r w:rsidR="003F471F" w:rsidRPr="00A03823">
        <w:rPr>
          <w:lang w:val="it-IT"/>
        </w:rPr>
        <w:t>109</w:t>
      </w:r>
      <w:r w:rsidRPr="00B03E8D">
        <w:fldChar w:fldCharType="end"/>
      </w:r>
    </w:p>
    <w:p w14:paraId="4EBC523D" w14:textId="77777777" w:rsidR="00B03E8D" w:rsidRPr="00A03823" w:rsidRDefault="00B03E8D">
      <w:pPr>
        <w:pStyle w:val="TOC2"/>
        <w:rPr>
          <w:rFonts w:asciiTheme="minorHAnsi" w:eastAsiaTheme="minorEastAsia" w:hAnsiTheme="minorHAnsi" w:cstheme="minorBidi"/>
          <w:sz w:val="22"/>
          <w:szCs w:val="22"/>
          <w:lang w:val="it-IT"/>
        </w:rPr>
      </w:pPr>
      <w:r w:rsidRPr="00A03823">
        <w:rPr>
          <w:rFonts w:cs="Tahoma"/>
          <w:caps/>
          <w:vertAlign w:val="superscript"/>
          <w:lang w:val="it-IT"/>
        </w:rPr>
        <w:t>5</w:t>
      </w:r>
      <w:r w:rsidRPr="00A03823">
        <w:rPr>
          <w:rFonts w:cs="Tahoma"/>
          <w:lang w:val="it-IT"/>
        </w:rPr>
        <w:t xml:space="preserve"> Office 365 Education A2-A4 (SL per Utente)</w:t>
      </w:r>
      <w:r w:rsidRPr="00A03823">
        <w:rPr>
          <w:lang w:val="it-IT"/>
        </w:rPr>
        <w:tab/>
      </w:r>
      <w:r w:rsidRPr="00B03E8D">
        <w:fldChar w:fldCharType="begin"/>
      </w:r>
      <w:r w:rsidRPr="00A03823">
        <w:rPr>
          <w:lang w:val="it-IT"/>
        </w:rPr>
        <w:instrText xml:space="preserve"> PAGEREF _Toc371663656 \h </w:instrText>
      </w:r>
      <w:r w:rsidRPr="00B03E8D">
        <w:fldChar w:fldCharType="separate"/>
      </w:r>
      <w:r w:rsidR="003F471F" w:rsidRPr="00A03823">
        <w:rPr>
          <w:lang w:val="it-IT"/>
        </w:rPr>
        <w:t>109</w:t>
      </w:r>
      <w:r w:rsidRPr="00B03E8D">
        <w:fldChar w:fldCharType="end"/>
      </w:r>
    </w:p>
    <w:p w14:paraId="29ABCFCB" w14:textId="77777777" w:rsidR="00B03E8D" w:rsidRPr="00B03E8D" w:rsidRDefault="00B03E8D">
      <w:pPr>
        <w:pStyle w:val="TOC2"/>
        <w:rPr>
          <w:rFonts w:asciiTheme="minorHAnsi" w:eastAsiaTheme="minorEastAsia" w:hAnsiTheme="minorHAnsi" w:cstheme="minorBidi"/>
          <w:sz w:val="22"/>
          <w:szCs w:val="22"/>
        </w:rPr>
      </w:pPr>
      <w:r w:rsidRPr="00B03E8D">
        <w:rPr>
          <w:rFonts w:cs="Tahoma"/>
          <w:caps/>
          <w:vertAlign w:val="superscript"/>
        </w:rPr>
        <w:t>6</w:t>
      </w:r>
      <w:r w:rsidRPr="00B03E8D">
        <w:rPr>
          <w:rFonts w:cs="Tahoma"/>
        </w:rPr>
        <w:t xml:space="preserve"> Office 365 Midsize Business (SL per Utente)</w:t>
      </w:r>
      <w:r w:rsidRPr="00B03E8D">
        <w:tab/>
      </w:r>
      <w:r w:rsidRPr="00B03E8D">
        <w:fldChar w:fldCharType="begin"/>
      </w:r>
      <w:r w:rsidRPr="00B03E8D">
        <w:instrText xml:space="preserve"> PAGEREF _Toc371663657 \h </w:instrText>
      </w:r>
      <w:r w:rsidRPr="00B03E8D">
        <w:fldChar w:fldCharType="separate"/>
      </w:r>
      <w:r w:rsidR="003F471F">
        <w:t>110</w:t>
      </w:r>
      <w:r w:rsidRPr="00B03E8D">
        <w:fldChar w:fldCharType="end"/>
      </w:r>
    </w:p>
    <w:p w14:paraId="3F4F6C39" w14:textId="77777777" w:rsidR="00B03E8D" w:rsidRPr="00A03823" w:rsidRDefault="00B03E8D">
      <w:pPr>
        <w:pStyle w:val="TOC2"/>
        <w:rPr>
          <w:rFonts w:asciiTheme="minorHAnsi" w:eastAsiaTheme="minorEastAsia" w:hAnsiTheme="minorHAnsi" w:cstheme="minorBidi"/>
          <w:sz w:val="22"/>
          <w:szCs w:val="22"/>
          <w:lang w:val="it-IT"/>
        </w:rPr>
      </w:pPr>
      <w:r w:rsidRPr="00A03823">
        <w:rPr>
          <w:rFonts w:cs="Tahoma"/>
          <w:caps/>
          <w:vertAlign w:val="superscript"/>
          <w:lang w:val="it-IT"/>
        </w:rPr>
        <w:t xml:space="preserve">7 </w:t>
      </w:r>
      <w:r w:rsidRPr="00A03823">
        <w:rPr>
          <w:rFonts w:cs="Tahoma"/>
          <w:lang w:val="it-IT"/>
        </w:rPr>
        <w:t>Licenze Subscription Add-on per Utente per Carichi di Lavoro di Office 365 ed Enterprise</w:t>
      </w:r>
      <w:r w:rsidRPr="00A03823">
        <w:rPr>
          <w:lang w:val="it-IT"/>
        </w:rPr>
        <w:tab/>
      </w:r>
      <w:r w:rsidRPr="00B03E8D">
        <w:fldChar w:fldCharType="begin"/>
      </w:r>
      <w:r w:rsidRPr="00A03823">
        <w:rPr>
          <w:lang w:val="it-IT"/>
        </w:rPr>
        <w:instrText xml:space="preserve"> PAGEREF _Toc371663658 \h </w:instrText>
      </w:r>
      <w:r w:rsidRPr="00B03E8D">
        <w:fldChar w:fldCharType="separate"/>
      </w:r>
      <w:r w:rsidR="003F471F" w:rsidRPr="00A03823">
        <w:rPr>
          <w:lang w:val="it-IT"/>
        </w:rPr>
        <w:t>110</w:t>
      </w:r>
      <w:r w:rsidRPr="00B03E8D">
        <w:fldChar w:fldCharType="end"/>
      </w:r>
    </w:p>
    <w:p w14:paraId="64F79980" w14:textId="77777777" w:rsidR="00B03E8D" w:rsidRPr="00A03823" w:rsidRDefault="00B03E8D">
      <w:pPr>
        <w:pStyle w:val="TOC2"/>
        <w:rPr>
          <w:rFonts w:asciiTheme="minorHAnsi" w:eastAsiaTheme="minorEastAsia" w:hAnsiTheme="minorHAnsi" w:cstheme="minorBidi"/>
          <w:sz w:val="22"/>
          <w:szCs w:val="22"/>
          <w:lang w:val="it-IT"/>
        </w:rPr>
      </w:pPr>
      <w:r w:rsidRPr="00A03823">
        <w:rPr>
          <w:rFonts w:cs="Tahoma"/>
          <w:caps/>
          <w:vertAlign w:val="superscript"/>
          <w:lang w:val="it-IT"/>
        </w:rPr>
        <w:t xml:space="preserve">8 </w:t>
      </w:r>
      <w:r w:rsidRPr="00A03823">
        <w:rPr>
          <w:rFonts w:cs="Tahoma"/>
          <w:lang w:val="it-IT"/>
        </w:rPr>
        <w:t>Office 365 Enterprise E3-E4</w:t>
      </w:r>
      <w:r w:rsidRPr="00A03823">
        <w:rPr>
          <w:lang w:val="it-IT"/>
        </w:rPr>
        <w:tab/>
      </w:r>
      <w:r w:rsidRPr="00B03E8D">
        <w:fldChar w:fldCharType="begin"/>
      </w:r>
      <w:r w:rsidRPr="00A03823">
        <w:rPr>
          <w:lang w:val="it-IT"/>
        </w:rPr>
        <w:instrText xml:space="preserve"> PAGEREF _Toc371663659 \h </w:instrText>
      </w:r>
      <w:r w:rsidRPr="00B03E8D">
        <w:fldChar w:fldCharType="separate"/>
      </w:r>
      <w:r w:rsidR="003F471F" w:rsidRPr="00A03823">
        <w:rPr>
          <w:lang w:val="it-IT"/>
        </w:rPr>
        <w:t>113</w:t>
      </w:r>
      <w:r w:rsidRPr="00B03E8D">
        <w:fldChar w:fldCharType="end"/>
      </w:r>
    </w:p>
    <w:p w14:paraId="09C8B8B1" w14:textId="77777777" w:rsidR="00B03E8D" w:rsidRPr="00A03823" w:rsidRDefault="00B03E8D">
      <w:pPr>
        <w:pStyle w:val="TOC3"/>
        <w:rPr>
          <w:rFonts w:asciiTheme="minorHAnsi" w:eastAsiaTheme="minorEastAsia" w:hAnsiTheme="minorHAnsi" w:cstheme="minorBidi"/>
          <w:bCs w:val="0"/>
          <w:color w:val="auto"/>
          <w:sz w:val="22"/>
          <w:szCs w:val="22"/>
          <w:lang w:val="it-IT"/>
        </w:rPr>
      </w:pPr>
      <w:r w:rsidRPr="00A03823">
        <w:rPr>
          <w:caps/>
          <w:color w:val="auto"/>
          <w:vertAlign w:val="superscript"/>
          <w:lang w:val="it-IT"/>
        </w:rPr>
        <w:t xml:space="preserve">9 </w:t>
      </w:r>
      <w:r w:rsidRPr="00A03823">
        <w:rPr>
          <w:color w:val="auto"/>
          <w:lang w:val="it-IT"/>
        </w:rPr>
        <w:t>Office per Mac Standard 2011</w:t>
      </w:r>
      <w:r w:rsidRPr="00A03823">
        <w:rPr>
          <w:color w:val="auto"/>
          <w:lang w:val="it-IT"/>
        </w:rPr>
        <w:tab/>
      </w:r>
      <w:r w:rsidRPr="00B03E8D">
        <w:rPr>
          <w:color w:val="auto"/>
        </w:rPr>
        <w:fldChar w:fldCharType="begin"/>
      </w:r>
      <w:r w:rsidRPr="00A03823">
        <w:rPr>
          <w:color w:val="auto"/>
          <w:lang w:val="it-IT"/>
        </w:rPr>
        <w:instrText xml:space="preserve"> PAGEREF _Toc371663660 \h </w:instrText>
      </w:r>
      <w:r w:rsidRPr="00B03E8D">
        <w:rPr>
          <w:color w:val="auto"/>
        </w:rPr>
      </w:r>
      <w:r w:rsidRPr="00B03E8D">
        <w:rPr>
          <w:color w:val="auto"/>
        </w:rPr>
        <w:fldChar w:fldCharType="separate"/>
      </w:r>
      <w:r w:rsidR="003F471F" w:rsidRPr="00A03823">
        <w:rPr>
          <w:color w:val="auto"/>
          <w:lang w:val="it-IT"/>
        </w:rPr>
        <w:t>113</w:t>
      </w:r>
      <w:r w:rsidRPr="00B03E8D">
        <w:rPr>
          <w:color w:val="auto"/>
        </w:rPr>
        <w:fldChar w:fldCharType="end"/>
      </w:r>
    </w:p>
    <w:p w14:paraId="74621512"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10</w:t>
      </w:r>
      <w:r w:rsidRPr="00B03E8D">
        <w:rPr>
          <w:color w:val="auto"/>
        </w:rPr>
        <w:t xml:space="preserve"> Office Multi-Language Pack 2013</w:t>
      </w:r>
      <w:r w:rsidRPr="00B03E8D">
        <w:rPr>
          <w:color w:val="auto"/>
        </w:rPr>
        <w:tab/>
      </w:r>
      <w:r w:rsidRPr="00B03E8D">
        <w:rPr>
          <w:color w:val="auto"/>
        </w:rPr>
        <w:fldChar w:fldCharType="begin"/>
      </w:r>
      <w:r w:rsidRPr="00B03E8D">
        <w:rPr>
          <w:color w:val="auto"/>
        </w:rPr>
        <w:instrText xml:space="preserve"> PAGEREF _Toc371663661 \h </w:instrText>
      </w:r>
      <w:r w:rsidRPr="00B03E8D">
        <w:rPr>
          <w:color w:val="auto"/>
        </w:rPr>
      </w:r>
      <w:r w:rsidRPr="00B03E8D">
        <w:rPr>
          <w:color w:val="auto"/>
        </w:rPr>
        <w:fldChar w:fldCharType="separate"/>
      </w:r>
      <w:r w:rsidR="003F471F">
        <w:rPr>
          <w:color w:val="auto"/>
        </w:rPr>
        <w:t>114</w:t>
      </w:r>
      <w:r w:rsidRPr="00B03E8D">
        <w:rPr>
          <w:color w:val="auto"/>
        </w:rPr>
        <w:fldChar w:fldCharType="end"/>
      </w:r>
    </w:p>
    <w:p w14:paraId="71CF4B46"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11</w:t>
      </w:r>
      <w:r w:rsidRPr="00B03E8D">
        <w:rPr>
          <w:color w:val="auto"/>
        </w:rPr>
        <w:t xml:space="preserve"> Office Professional Plus 2013</w:t>
      </w:r>
      <w:r w:rsidRPr="00B03E8D">
        <w:rPr>
          <w:color w:val="auto"/>
        </w:rPr>
        <w:tab/>
      </w:r>
      <w:r w:rsidRPr="00B03E8D">
        <w:rPr>
          <w:color w:val="auto"/>
        </w:rPr>
        <w:fldChar w:fldCharType="begin"/>
      </w:r>
      <w:r w:rsidRPr="00B03E8D">
        <w:rPr>
          <w:color w:val="auto"/>
        </w:rPr>
        <w:instrText xml:space="preserve"> PAGEREF _Toc371663662 \h </w:instrText>
      </w:r>
      <w:r w:rsidRPr="00B03E8D">
        <w:rPr>
          <w:color w:val="auto"/>
        </w:rPr>
      </w:r>
      <w:r w:rsidRPr="00B03E8D">
        <w:rPr>
          <w:color w:val="auto"/>
        </w:rPr>
        <w:fldChar w:fldCharType="separate"/>
      </w:r>
      <w:r w:rsidR="003F471F">
        <w:rPr>
          <w:color w:val="auto"/>
        </w:rPr>
        <w:t>114</w:t>
      </w:r>
      <w:r w:rsidRPr="00B03E8D">
        <w:rPr>
          <w:color w:val="auto"/>
        </w:rPr>
        <w:fldChar w:fldCharType="end"/>
      </w:r>
    </w:p>
    <w:p w14:paraId="3887A076"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12</w:t>
      </w:r>
      <w:r w:rsidRPr="00B03E8D">
        <w:rPr>
          <w:color w:val="auto"/>
        </w:rPr>
        <w:t xml:space="preserve"> Office Standard 2013</w:t>
      </w:r>
      <w:r w:rsidRPr="00B03E8D">
        <w:rPr>
          <w:color w:val="auto"/>
        </w:rPr>
        <w:tab/>
      </w:r>
      <w:r w:rsidRPr="00B03E8D">
        <w:rPr>
          <w:color w:val="auto"/>
        </w:rPr>
        <w:fldChar w:fldCharType="begin"/>
      </w:r>
      <w:r w:rsidRPr="00B03E8D">
        <w:rPr>
          <w:color w:val="auto"/>
        </w:rPr>
        <w:instrText xml:space="preserve"> PAGEREF _Toc371663663 \h </w:instrText>
      </w:r>
      <w:r w:rsidRPr="00B03E8D">
        <w:rPr>
          <w:color w:val="auto"/>
        </w:rPr>
      </w:r>
      <w:r w:rsidRPr="00B03E8D">
        <w:rPr>
          <w:color w:val="auto"/>
        </w:rPr>
        <w:fldChar w:fldCharType="separate"/>
      </w:r>
      <w:r w:rsidR="003F471F">
        <w:rPr>
          <w:color w:val="auto"/>
        </w:rPr>
        <w:t>114</w:t>
      </w:r>
      <w:r w:rsidRPr="00B03E8D">
        <w:rPr>
          <w:color w:val="auto"/>
        </w:rPr>
        <w:fldChar w:fldCharType="end"/>
      </w:r>
    </w:p>
    <w:p w14:paraId="4623953A"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13</w:t>
      </w:r>
      <w:r w:rsidRPr="00B03E8D">
        <w:rPr>
          <w:color w:val="auto"/>
        </w:rPr>
        <w:t xml:space="preserve"> Office 365 ProPlus (SL per Utente)</w:t>
      </w:r>
      <w:r w:rsidRPr="00B03E8D">
        <w:rPr>
          <w:color w:val="auto"/>
        </w:rPr>
        <w:tab/>
      </w:r>
      <w:r w:rsidRPr="00B03E8D">
        <w:rPr>
          <w:color w:val="auto"/>
        </w:rPr>
        <w:fldChar w:fldCharType="begin"/>
      </w:r>
      <w:r w:rsidRPr="00B03E8D">
        <w:rPr>
          <w:color w:val="auto"/>
        </w:rPr>
        <w:instrText xml:space="preserve"> PAGEREF _Toc371663664 \h </w:instrText>
      </w:r>
      <w:r w:rsidRPr="00B03E8D">
        <w:rPr>
          <w:color w:val="auto"/>
        </w:rPr>
      </w:r>
      <w:r w:rsidRPr="00B03E8D">
        <w:rPr>
          <w:color w:val="auto"/>
        </w:rPr>
        <w:fldChar w:fldCharType="separate"/>
      </w:r>
      <w:r w:rsidR="003F471F">
        <w:rPr>
          <w:color w:val="auto"/>
        </w:rPr>
        <w:t>115</w:t>
      </w:r>
      <w:r w:rsidRPr="00B03E8D">
        <w:rPr>
          <w:color w:val="auto"/>
        </w:rPr>
        <w:fldChar w:fldCharType="end"/>
      </w:r>
    </w:p>
    <w:p w14:paraId="5E209B0D"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14</w:t>
      </w:r>
      <w:r w:rsidRPr="00B03E8D">
        <w:rPr>
          <w:color w:val="auto"/>
        </w:rPr>
        <w:t xml:space="preserve"> Outlook per Mac 2011</w:t>
      </w:r>
      <w:r w:rsidRPr="00B03E8D">
        <w:rPr>
          <w:color w:val="auto"/>
        </w:rPr>
        <w:tab/>
      </w:r>
      <w:r w:rsidRPr="00B03E8D">
        <w:rPr>
          <w:color w:val="auto"/>
        </w:rPr>
        <w:fldChar w:fldCharType="begin"/>
      </w:r>
      <w:r w:rsidRPr="00B03E8D">
        <w:rPr>
          <w:color w:val="auto"/>
        </w:rPr>
        <w:instrText xml:space="preserve"> PAGEREF _Toc371663665 \h </w:instrText>
      </w:r>
      <w:r w:rsidRPr="00B03E8D">
        <w:rPr>
          <w:color w:val="auto"/>
        </w:rPr>
      </w:r>
      <w:r w:rsidRPr="00B03E8D">
        <w:rPr>
          <w:color w:val="auto"/>
        </w:rPr>
        <w:fldChar w:fldCharType="separate"/>
      </w:r>
      <w:r w:rsidR="003F471F">
        <w:rPr>
          <w:color w:val="auto"/>
        </w:rPr>
        <w:t>115</w:t>
      </w:r>
      <w:r w:rsidRPr="00B03E8D">
        <w:rPr>
          <w:color w:val="auto"/>
        </w:rPr>
        <w:fldChar w:fldCharType="end"/>
      </w:r>
    </w:p>
    <w:p w14:paraId="23E9186B"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15</w:t>
      </w:r>
      <w:r w:rsidRPr="00B03E8D">
        <w:rPr>
          <w:color w:val="auto"/>
        </w:rPr>
        <w:t xml:space="preserve"> Project Professional 2013</w:t>
      </w:r>
      <w:r w:rsidRPr="00B03E8D">
        <w:rPr>
          <w:color w:val="auto"/>
        </w:rPr>
        <w:tab/>
      </w:r>
      <w:r w:rsidRPr="00B03E8D">
        <w:rPr>
          <w:color w:val="auto"/>
        </w:rPr>
        <w:fldChar w:fldCharType="begin"/>
      </w:r>
      <w:r w:rsidRPr="00B03E8D">
        <w:rPr>
          <w:color w:val="auto"/>
        </w:rPr>
        <w:instrText xml:space="preserve"> PAGEREF _Toc371663666 \h </w:instrText>
      </w:r>
      <w:r w:rsidRPr="00B03E8D">
        <w:rPr>
          <w:color w:val="auto"/>
        </w:rPr>
      </w:r>
      <w:r w:rsidRPr="00B03E8D">
        <w:rPr>
          <w:color w:val="auto"/>
        </w:rPr>
        <w:fldChar w:fldCharType="separate"/>
      </w:r>
      <w:r w:rsidR="003F471F">
        <w:rPr>
          <w:color w:val="auto"/>
        </w:rPr>
        <w:t>116</w:t>
      </w:r>
      <w:r w:rsidRPr="00B03E8D">
        <w:rPr>
          <w:color w:val="auto"/>
        </w:rPr>
        <w:fldChar w:fldCharType="end"/>
      </w:r>
    </w:p>
    <w:p w14:paraId="405A7A6B"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 xml:space="preserve">16 </w:t>
      </w:r>
      <w:r w:rsidRPr="00B03E8D">
        <w:rPr>
          <w:color w:val="auto"/>
        </w:rPr>
        <w:t>Project Pro per Office 365</w:t>
      </w:r>
      <w:r w:rsidRPr="00B03E8D">
        <w:rPr>
          <w:color w:val="auto"/>
        </w:rPr>
        <w:tab/>
      </w:r>
      <w:r w:rsidRPr="00B03E8D">
        <w:rPr>
          <w:color w:val="auto"/>
        </w:rPr>
        <w:fldChar w:fldCharType="begin"/>
      </w:r>
      <w:r w:rsidRPr="00B03E8D">
        <w:rPr>
          <w:color w:val="auto"/>
        </w:rPr>
        <w:instrText xml:space="preserve"> PAGEREF _Toc371663667 \h </w:instrText>
      </w:r>
      <w:r w:rsidRPr="00B03E8D">
        <w:rPr>
          <w:color w:val="auto"/>
        </w:rPr>
      </w:r>
      <w:r w:rsidRPr="00B03E8D">
        <w:rPr>
          <w:color w:val="auto"/>
        </w:rPr>
        <w:fldChar w:fldCharType="separate"/>
      </w:r>
      <w:r w:rsidR="003F471F">
        <w:rPr>
          <w:color w:val="auto"/>
        </w:rPr>
        <w:t>116</w:t>
      </w:r>
      <w:r w:rsidRPr="00B03E8D">
        <w:rPr>
          <w:color w:val="auto"/>
        </w:rPr>
        <w:fldChar w:fldCharType="end"/>
      </w:r>
    </w:p>
    <w:p w14:paraId="6A172187" w14:textId="77777777" w:rsidR="00B03E8D" w:rsidRPr="00A03823" w:rsidRDefault="00B03E8D">
      <w:pPr>
        <w:pStyle w:val="TOC3"/>
        <w:rPr>
          <w:rFonts w:asciiTheme="minorHAnsi" w:eastAsiaTheme="minorEastAsia" w:hAnsiTheme="minorHAnsi" w:cstheme="minorBidi"/>
          <w:bCs w:val="0"/>
          <w:color w:val="auto"/>
          <w:sz w:val="22"/>
          <w:szCs w:val="22"/>
          <w:lang w:val="it-IT"/>
        </w:rPr>
      </w:pPr>
      <w:r w:rsidRPr="00A03823">
        <w:rPr>
          <w:caps/>
          <w:color w:val="auto"/>
          <w:vertAlign w:val="superscript"/>
          <w:lang w:val="it-IT"/>
        </w:rPr>
        <w:t>17</w:t>
      </w:r>
      <w:r w:rsidRPr="00A03823">
        <w:rPr>
          <w:color w:val="auto"/>
          <w:lang w:val="it-IT"/>
        </w:rPr>
        <w:t xml:space="preserve"> Diritti di Noleggio per Office</w:t>
      </w:r>
      <w:r w:rsidRPr="00A03823">
        <w:rPr>
          <w:color w:val="auto"/>
          <w:lang w:val="it-IT"/>
        </w:rPr>
        <w:tab/>
      </w:r>
      <w:r w:rsidRPr="00B03E8D">
        <w:rPr>
          <w:color w:val="auto"/>
        </w:rPr>
        <w:fldChar w:fldCharType="begin"/>
      </w:r>
      <w:r w:rsidRPr="00A03823">
        <w:rPr>
          <w:color w:val="auto"/>
          <w:lang w:val="it-IT"/>
        </w:rPr>
        <w:instrText xml:space="preserve"> PAGEREF _Toc371663668 \h </w:instrText>
      </w:r>
      <w:r w:rsidRPr="00B03E8D">
        <w:rPr>
          <w:color w:val="auto"/>
        </w:rPr>
      </w:r>
      <w:r w:rsidRPr="00B03E8D">
        <w:rPr>
          <w:color w:val="auto"/>
        </w:rPr>
        <w:fldChar w:fldCharType="separate"/>
      </w:r>
      <w:r w:rsidR="003F471F" w:rsidRPr="00A03823">
        <w:rPr>
          <w:color w:val="auto"/>
          <w:lang w:val="it-IT"/>
        </w:rPr>
        <w:t>116</w:t>
      </w:r>
      <w:r w:rsidRPr="00B03E8D">
        <w:rPr>
          <w:color w:val="auto"/>
        </w:rPr>
        <w:fldChar w:fldCharType="end"/>
      </w:r>
    </w:p>
    <w:p w14:paraId="146E1CE6" w14:textId="77777777" w:rsidR="00B03E8D" w:rsidRPr="00A03823" w:rsidRDefault="00B03E8D">
      <w:pPr>
        <w:pStyle w:val="TOC3"/>
        <w:rPr>
          <w:rFonts w:asciiTheme="minorHAnsi" w:eastAsiaTheme="minorEastAsia" w:hAnsiTheme="minorHAnsi" w:cstheme="minorBidi"/>
          <w:bCs w:val="0"/>
          <w:color w:val="auto"/>
          <w:sz w:val="22"/>
          <w:szCs w:val="22"/>
          <w:lang w:val="it-IT"/>
        </w:rPr>
      </w:pPr>
      <w:r w:rsidRPr="00A03823">
        <w:rPr>
          <w:caps/>
          <w:color w:val="auto"/>
          <w:vertAlign w:val="superscript"/>
          <w:lang w:val="it-IT"/>
        </w:rPr>
        <w:t>18</w:t>
      </w:r>
      <w:r w:rsidRPr="00A03823">
        <w:rPr>
          <w:color w:val="auto"/>
          <w:lang w:val="it-IT"/>
        </w:rPr>
        <w:t xml:space="preserve"> Visio Professional 2013</w:t>
      </w:r>
      <w:r w:rsidRPr="00A03823">
        <w:rPr>
          <w:color w:val="auto"/>
          <w:lang w:val="it-IT"/>
        </w:rPr>
        <w:tab/>
      </w:r>
      <w:r w:rsidRPr="00B03E8D">
        <w:rPr>
          <w:color w:val="auto"/>
        </w:rPr>
        <w:fldChar w:fldCharType="begin"/>
      </w:r>
      <w:r w:rsidRPr="00A03823">
        <w:rPr>
          <w:color w:val="auto"/>
          <w:lang w:val="it-IT"/>
        </w:rPr>
        <w:instrText xml:space="preserve"> PAGEREF _Toc371663669 \h </w:instrText>
      </w:r>
      <w:r w:rsidRPr="00B03E8D">
        <w:rPr>
          <w:color w:val="auto"/>
        </w:rPr>
      </w:r>
      <w:r w:rsidRPr="00B03E8D">
        <w:rPr>
          <w:color w:val="auto"/>
        </w:rPr>
        <w:fldChar w:fldCharType="separate"/>
      </w:r>
      <w:r w:rsidR="003F471F" w:rsidRPr="00A03823">
        <w:rPr>
          <w:color w:val="auto"/>
          <w:lang w:val="it-IT"/>
        </w:rPr>
        <w:t>117</w:t>
      </w:r>
      <w:r w:rsidRPr="00B03E8D">
        <w:rPr>
          <w:color w:val="auto"/>
        </w:rPr>
        <w:fldChar w:fldCharType="end"/>
      </w:r>
    </w:p>
    <w:p w14:paraId="5F5769C3" w14:textId="77777777" w:rsidR="00B03E8D" w:rsidRPr="00A03823" w:rsidRDefault="00B03E8D">
      <w:pPr>
        <w:pStyle w:val="TOC3"/>
        <w:rPr>
          <w:rFonts w:asciiTheme="minorHAnsi" w:eastAsiaTheme="minorEastAsia" w:hAnsiTheme="minorHAnsi" w:cstheme="minorBidi"/>
          <w:bCs w:val="0"/>
          <w:color w:val="auto"/>
          <w:sz w:val="22"/>
          <w:szCs w:val="22"/>
          <w:lang w:val="it-IT"/>
        </w:rPr>
      </w:pPr>
      <w:r w:rsidRPr="00A03823">
        <w:rPr>
          <w:caps/>
          <w:color w:val="auto"/>
          <w:vertAlign w:val="superscript"/>
          <w:lang w:val="it-IT"/>
        </w:rPr>
        <w:t>19</w:t>
      </w:r>
      <w:r w:rsidRPr="00A03823">
        <w:rPr>
          <w:color w:val="auto"/>
          <w:lang w:val="it-IT"/>
        </w:rPr>
        <w:t xml:space="preserve"> Visio Pro per Office 365</w:t>
      </w:r>
      <w:r w:rsidRPr="00A03823">
        <w:rPr>
          <w:color w:val="auto"/>
          <w:lang w:val="it-IT"/>
        </w:rPr>
        <w:tab/>
      </w:r>
      <w:r w:rsidRPr="00B03E8D">
        <w:rPr>
          <w:color w:val="auto"/>
        </w:rPr>
        <w:fldChar w:fldCharType="begin"/>
      </w:r>
      <w:r w:rsidRPr="00A03823">
        <w:rPr>
          <w:color w:val="auto"/>
          <w:lang w:val="it-IT"/>
        </w:rPr>
        <w:instrText xml:space="preserve"> PAGEREF _Toc371663670 \h </w:instrText>
      </w:r>
      <w:r w:rsidRPr="00B03E8D">
        <w:rPr>
          <w:color w:val="auto"/>
        </w:rPr>
      </w:r>
      <w:r w:rsidRPr="00B03E8D">
        <w:rPr>
          <w:color w:val="auto"/>
        </w:rPr>
        <w:fldChar w:fldCharType="separate"/>
      </w:r>
      <w:r w:rsidR="003F471F" w:rsidRPr="00A03823">
        <w:rPr>
          <w:color w:val="auto"/>
          <w:lang w:val="it-IT"/>
        </w:rPr>
        <w:t>117</w:t>
      </w:r>
      <w:r w:rsidRPr="00B03E8D">
        <w:rPr>
          <w:color w:val="auto"/>
        </w:rPr>
        <w:fldChar w:fldCharType="end"/>
      </w:r>
    </w:p>
    <w:p w14:paraId="37813F3F" w14:textId="77777777" w:rsidR="00B03E8D" w:rsidRPr="00A03823" w:rsidRDefault="00B03E8D">
      <w:pPr>
        <w:pStyle w:val="TOC3"/>
        <w:rPr>
          <w:rFonts w:asciiTheme="minorHAnsi" w:eastAsiaTheme="minorEastAsia" w:hAnsiTheme="minorHAnsi" w:cstheme="minorBidi"/>
          <w:bCs w:val="0"/>
          <w:color w:val="auto"/>
          <w:sz w:val="22"/>
          <w:szCs w:val="22"/>
          <w:lang w:val="it-IT"/>
        </w:rPr>
      </w:pPr>
      <w:r w:rsidRPr="00A03823">
        <w:rPr>
          <w:caps/>
          <w:color w:val="auto"/>
          <w:vertAlign w:val="superscript"/>
          <w:lang w:val="it-IT"/>
        </w:rPr>
        <w:t>20</w:t>
      </w:r>
      <w:r w:rsidRPr="00A03823">
        <w:rPr>
          <w:color w:val="auto"/>
          <w:lang w:val="it-IT"/>
        </w:rPr>
        <w:t xml:space="preserve"> Visual Studio Professional 2012</w:t>
      </w:r>
      <w:r w:rsidRPr="00A03823">
        <w:rPr>
          <w:color w:val="auto"/>
          <w:lang w:val="it-IT"/>
        </w:rPr>
        <w:tab/>
      </w:r>
      <w:r w:rsidRPr="00B03E8D">
        <w:rPr>
          <w:color w:val="auto"/>
        </w:rPr>
        <w:fldChar w:fldCharType="begin"/>
      </w:r>
      <w:r w:rsidRPr="00A03823">
        <w:rPr>
          <w:color w:val="auto"/>
          <w:lang w:val="it-IT"/>
        </w:rPr>
        <w:instrText xml:space="preserve"> PAGEREF _Toc371663671 \h </w:instrText>
      </w:r>
      <w:r w:rsidRPr="00B03E8D">
        <w:rPr>
          <w:color w:val="auto"/>
        </w:rPr>
      </w:r>
      <w:r w:rsidRPr="00B03E8D">
        <w:rPr>
          <w:color w:val="auto"/>
        </w:rPr>
        <w:fldChar w:fldCharType="separate"/>
      </w:r>
      <w:r w:rsidR="003F471F" w:rsidRPr="00A03823">
        <w:rPr>
          <w:color w:val="auto"/>
          <w:lang w:val="it-IT"/>
        </w:rPr>
        <w:t>118</w:t>
      </w:r>
      <w:r w:rsidRPr="00B03E8D">
        <w:rPr>
          <w:color w:val="auto"/>
        </w:rPr>
        <w:fldChar w:fldCharType="end"/>
      </w:r>
    </w:p>
    <w:p w14:paraId="746432D1" w14:textId="77777777" w:rsidR="00B03E8D" w:rsidRPr="00A03823" w:rsidRDefault="00B03E8D">
      <w:pPr>
        <w:pStyle w:val="TOC3"/>
        <w:rPr>
          <w:rFonts w:asciiTheme="minorHAnsi" w:eastAsiaTheme="minorEastAsia" w:hAnsiTheme="minorHAnsi" w:cstheme="minorBidi"/>
          <w:bCs w:val="0"/>
          <w:color w:val="auto"/>
          <w:sz w:val="22"/>
          <w:szCs w:val="22"/>
          <w:lang w:val="it-IT"/>
        </w:rPr>
      </w:pPr>
      <w:r w:rsidRPr="00A03823">
        <w:rPr>
          <w:caps/>
          <w:color w:val="auto"/>
          <w:vertAlign w:val="superscript"/>
          <w:lang w:val="it-IT"/>
        </w:rPr>
        <w:t>21</w:t>
      </w:r>
      <w:r w:rsidRPr="00A03823">
        <w:rPr>
          <w:color w:val="auto"/>
          <w:lang w:val="it-IT"/>
        </w:rPr>
        <w:t xml:space="preserve"> Visual Studio Professional 2013 con MSDN</w:t>
      </w:r>
      <w:r w:rsidRPr="00A03823">
        <w:rPr>
          <w:color w:val="auto"/>
          <w:lang w:val="it-IT"/>
        </w:rPr>
        <w:tab/>
      </w:r>
      <w:r w:rsidRPr="00B03E8D">
        <w:rPr>
          <w:color w:val="auto"/>
        </w:rPr>
        <w:fldChar w:fldCharType="begin"/>
      </w:r>
      <w:r w:rsidRPr="00A03823">
        <w:rPr>
          <w:color w:val="auto"/>
          <w:lang w:val="it-IT"/>
        </w:rPr>
        <w:instrText xml:space="preserve"> PAGEREF _Toc371663672 \h </w:instrText>
      </w:r>
      <w:r w:rsidRPr="00B03E8D">
        <w:rPr>
          <w:color w:val="auto"/>
        </w:rPr>
      </w:r>
      <w:r w:rsidRPr="00B03E8D">
        <w:rPr>
          <w:color w:val="auto"/>
        </w:rPr>
        <w:fldChar w:fldCharType="separate"/>
      </w:r>
      <w:r w:rsidR="003F471F" w:rsidRPr="00A03823">
        <w:rPr>
          <w:color w:val="auto"/>
          <w:lang w:val="it-IT"/>
        </w:rPr>
        <w:t>118</w:t>
      </w:r>
      <w:r w:rsidRPr="00B03E8D">
        <w:rPr>
          <w:color w:val="auto"/>
        </w:rPr>
        <w:fldChar w:fldCharType="end"/>
      </w:r>
    </w:p>
    <w:p w14:paraId="42FE8173" w14:textId="77777777" w:rsidR="00B03E8D" w:rsidRPr="000D2E35" w:rsidRDefault="00B03E8D">
      <w:pPr>
        <w:pStyle w:val="TOC3"/>
        <w:rPr>
          <w:rFonts w:asciiTheme="minorHAnsi" w:eastAsiaTheme="minorEastAsia" w:hAnsiTheme="minorHAnsi" w:cstheme="minorBidi"/>
          <w:bCs w:val="0"/>
          <w:color w:val="auto"/>
          <w:sz w:val="22"/>
          <w:szCs w:val="22"/>
          <w:lang w:val="it-IT"/>
        </w:rPr>
      </w:pPr>
      <w:r w:rsidRPr="000D2E35">
        <w:rPr>
          <w:caps/>
          <w:color w:val="auto"/>
          <w:vertAlign w:val="superscript"/>
          <w:lang w:val="it-IT"/>
        </w:rPr>
        <w:t>22</w:t>
      </w:r>
      <w:r w:rsidRPr="000D2E35">
        <w:rPr>
          <w:color w:val="auto"/>
          <w:lang w:val="it-IT"/>
        </w:rPr>
        <w:t xml:space="preserve"> Visual Studio Premium 2013 con MSDN</w:t>
      </w:r>
      <w:r w:rsidRPr="000D2E35">
        <w:rPr>
          <w:color w:val="auto"/>
          <w:lang w:val="it-IT"/>
        </w:rPr>
        <w:tab/>
      </w:r>
      <w:r w:rsidRPr="00B03E8D">
        <w:rPr>
          <w:color w:val="auto"/>
        </w:rPr>
        <w:fldChar w:fldCharType="begin"/>
      </w:r>
      <w:r w:rsidRPr="000D2E35">
        <w:rPr>
          <w:color w:val="auto"/>
          <w:lang w:val="it-IT"/>
        </w:rPr>
        <w:instrText xml:space="preserve"> PAGEREF _Toc371663673 \h </w:instrText>
      </w:r>
      <w:r w:rsidRPr="00B03E8D">
        <w:rPr>
          <w:color w:val="auto"/>
        </w:rPr>
      </w:r>
      <w:r w:rsidRPr="00B03E8D">
        <w:rPr>
          <w:color w:val="auto"/>
        </w:rPr>
        <w:fldChar w:fldCharType="separate"/>
      </w:r>
      <w:r w:rsidR="003F471F" w:rsidRPr="000D2E35">
        <w:rPr>
          <w:color w:val="auto"/>
          <w:lang w:val="it-IT"/>
        </w:rPr>
        <w:t>119</w:t>
      </w:r>
      <w:r w:rsidRPr="00B03E8D">
        <w:rPr>
          <w:color w:val="auto"/>
        </w:rPr>
        <w:fldChar w:fldCharType="end"/>
      </w:r>
    </w:p>
    <w:p w14:paraId="38B8E6A1" w14:textId="77777777" w:rsidR="00B03E8D" w:rsidRPr="000D2E35" w:rsidRDefault="00B03E8D">
      <w:pPr>
        <w:pStyle w:val="TOC3"/>
        <w:rPr>
          <w:rFonts w:asciiTheme="minorHAnsi" w:eastAsiaTheme="minorEastAsia" w:hAnsiTheme="minorHAnsi" w:cstheme="minorBidi"/>
          <w:bCs w:val="0"/>
          <w:color w:val="auto"/>
          <w:sz w:val="22"/>
          <w:szCs w:val="22"/>
          <w:lang w:val="it-IT"/>
        </w:rPr>
      </w:pPr>
      <w:r w:rsidRPr="000D2E35">
        <w:rPr>
          <w:caps/>
          <w:color w:val="auto"/>
          <w:vertAlign w:val="superscript"/>
          <w:lang w:val="it-IT"/>
        </w:rPr>
        <w:t>23</w:t>
      </w:r>
      <w:r w:rsidRPr="000D2E35">
        <w:rPr>
          <w:color w:val="auto"/>
          <w:lang w:val="it-IT"/>
        </w:rPr>
        <w:t xml:space="preserve"> Visual Studio Ultimate 2013 con MSDN</w:t>
      </w:r>
      <w:r w:rsidRPr="000D2E35">
        <w:rPr>
          <w:color w:val="auto"/>
          <w:lang w:val="it-IT"/>
        </w:rPr>
        <w:tab/>
      </w:r>
      <w:r w:rsidRPr="00B03E8D">
        <w:rPr>
          <w:color w:val="auto"/>
        </w:rPr>
        <w:fldChar w:fldCharType="begin"/>
      </w:r>
      <w:r w:rsidRPr="000D2E35">
        <w:rPr>
          <w:color w:val="auto"/>
          <w:lang w:val="it-IT"/>
        </w:rPr>
        <w:instrText xml:space="preserve"> PAGEREF _Toc371663674 \h </w:instrText>
      </w:r>
      <w:r w:rsidRPr="00B03E8D">
        <w:rPr>
          <w:color w:val="auto"/>
        </w:rPr>
      </w:r>
      <w:r w:rsidRPr="00B03E8D">
        <w:rPr>
          <w:color w:val="auto"/>
        </w:rPr>
        <w:fldChar w:fldCharType="separate"/>
      </w:r>
      <w:r w:rsidR="003F471F" w:rsidRPr="000D2E35">
        <w:rPr>
          <w:color w:val="auto"/>
          <w:lang w:val="it-IT"/>
        </w:rPr>
        <w:t>120</w:t>
      </w:r>
      <w:r w:rsidRPr="00B03E8D">
        <w:rPr>
          <w:color w:val="auto"/>
        </w:rPr>
        <w:fldChar w:fldCharType="end"/>
      </w:r>
    </w:p>
    <w:p w14:paraId="28747DC4" w14:textId="77777777" w:rsidR="00B03E8D" w:rsidRPr="000D2E35" w:rsidRDefault="00B03E8D">
      <w:pPr>
        <w:pStyle w:val="TOC3"/>
        <w:rPr>
          <w:rFonts w:asciiTheme="minorHAnsi" w:eastAsiaTheme="minorEastAsia" w:hAnsiTheme="minorHAnsi" w:cstheme="minorBidi"/>
          <w:bCs w:val="0"/>
          <w:color w:val="auto"/>
          <w:sz w:val="22"/>
          <w:szCs w:val="22"/>
          <w:lang w:val="it-IT"/>
        </w:rPr>
      </w:pPr>
      <w:r w:rsidRPr="000D2E35">
        <w:rPr>
          <w:caps/>
          <w:color w:val="auto"/>
          <w:vertAlign w:val="superscript"/>
          <w:lang w:val="it-IT"/>
        </w:rPr>
        <w:t>24</w:t>
      </w:r>
      <w:r w:rsidRPr="000D2E35">
        <w:rPr>
          <w:color w:val="auto"/>
          <w:lang w:val="it-IT"/>
        </w:rPr>
        <w:t xml:space="preserve"> Visual Studio Test Professional 2013 con MSDN</w:t>
      </w:r>
      <w:r w:rsidRPr="000D2E35">
        <w:rPr>
          <w:color w:val="auto"/>
          <w:lang w:val="it-IT"/>
        </w:rPr>
        <w:tab/>
      </w:r>
      <w:r w:rsidRPr="00B03E8D">
        <w:rPr>
          <w:color w:val="auto"/>
        </w:rPr>
        <w:fldChar w:fldCharType="begin"/>
      </w:r>
      <w:r w:rsidRPr="000D2E35">
        <w:rPr>
          <w:color w:val="auto"/>
          <w:lang w:val="it-IT"/>
        </w:rPr>
        <w:instrText xml:space="preserve"> PAGEREF _Toc371663675 \h </w:instrText>
      </w:r>
      <w:r w:rsidRPr="00B03E8D">
        <w:rPr>
          <w:color w:val="auto"/>
        </w:rPr>
      </w:r>
      <w:r w:rsidRPr="00B03E8D">
        <w:rPr>
          <w:color w:val="auto"/>
        </w:rPr>
        <w:fldChar w:fldCharType="separate"/>
      </w:r>
      <w:r w:rsidR="003F471F" w:rsidRPr="000D2E35">
        <w:rPr>
          <w:color w:val="auto"/>
          <w:lang w:val="it-IT"/>
        </w:rPr>
        <w:t>121</w:t>
      </w:r>
      <w:r w:rsidRPr="00B03E8D">
        <w:rPr>
          <w:color w:val="auto"/>
        </w:rPr>
        <w:fldChar w:fldCharType="end"/>
      </w:r>
    </w:p>
    <w:p w14:paraId="1809826D" w14:textId="77777777" w:rsidR="00B03E8D" w:rsidRDefault="00B03E8D">
      <w:pPr>
        <w:pStyle w:val="TOC2"/>
        <w:rPr>
          <w:rFonts w:asciiTheme="minorHAnsi" w:eastAsiaTheme="minorEastAsia" w:hAnsiTheme="minorHAnsi" w:cstheme="minorBidi"/>
          <w:sz w:val="22"/>
          <w:szCs w:val="22"/>
        </w:rPr>
      </w:pPr>
      <w:r w:rsidRPr="000F4C33">
        <w:rPr>
          <w:rFonts w:cs="Tahoma"/>
        </w:rPr>
        <w:t>Pool di Sistemi</w:t>
      </w:r>
      <w:r>
        <w:tab/>
      </w:r>
      <w:r>
        <w:fldChar w:fldCharType="begin"/>
      </w:r>
      <w:r>
        <w:instrText xml:space="preserve"> PAGEREF _Toc371663676 \h </w:instrText>
      </w:r>
      <w:r>
        <w:fldChar w:fldCharType="separate"/>
      </w:r>
      <w:r w:rsidR="003F471F">
        <w:t>122</w:t>
      </w:r>
      <w:r>
        <w:fldChar w:fldCharType="end"/>
      </w:r>
    </w:p>
    <w:p w14:paraId="3FDD483E"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 xml:space="preserve">25 </w:t>
      </w:r>
      <w:r w:rsidRPr="00B03E8D">
        <w:rPr>
          <w:color w:val="auto"/>
        </w:rPr>
        <w:t>Enterprise Sideloading per Windows Embedded 8.1</w:t>
      </w:r>
      <w:r w:rsidRPr="00B03E8D">
        <w:rPr>
          <w:color w:val="auto"/>
        </w:rPr>
        <w:tab/>
      </w:r>
      <w:r w:rsidRPr="00B03E8D">
        <w:rPr>
          <w:color w:val="auto"/>
        </w:rPr>
        <w:fldChar w:fldCharType="begin"/>
      </w:r>
      <w:r w:rsidRPr="00B03E8D">
        <w:rPr>
          <w:color w:val="auto"/>
        </w:rPr>
        <w:instrText xml:space="preserve"> PAGEREF _Toc371663677 \h </w:instrText>
      </w:r>
      <w:r w:rsidRPr="00B03E8D">
        <w:rPr>
          <w:color w:val="auto"/>
        </w:rPr>
      </w:r>
      <w:r w:rsidRPr="00B03E8D">
        <w:rPr>
          <w:color w:val="auto"/>
        </w:rPr>
        <w:fldChar w:fldCharType="separate"/>
      </w:r>
      <w:r w:rsidR="003F471F">
        <w:rPr>
          <w:color w:val="auto"/>
        </w:rPr>
        <w:t>122</w:t>
      </w:r>
      <w:r w:rsidRPr="00B03E8D">
        <w:rPr>
          <w:color w:val="auto"/>
        </w:rPr>
        <w:fldChar w:fldCharType="end"/>
      </w:r>
    </w:p>
    <w:p w14:paraId="272958A7"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26</w:t>
      </w:r>
      <w:r w:rsidRPr="00B03E8D">
        <w:rPr>
          <w:color w:val="auto"/>
        </w:rPr>
        <w:t xml:space="preserve"> Microsoft Desktop Optimization Pack per Software Assurance</w:t>
      </w:r>
      <w:r w:rsidRPr="00B03E8D">
        <w:rPr>
          <w:color w:val="auto"/>
        </w:rPr>
        <w:tab/>
      </w:r>
      <w:r w:rsidRPr="00B03E8D">
        <w:rPr>
          <w:color w:val="auto"/>
        </w:rPr>
        <w:fldChar w:fldCharType="begin"/>
      </w:r>
      <w:r w:rsidRPr="00B03E8D">
        <w:rPr>
          <w:color w:val="auto"/>
        </w:rPr>
        <w:instrText xml:space="preserve"> PAGEREF _Toc371663678 \h </w:instrText>
      </w:r>
      <w:r w:rsidRPr="00B03E8D">
        <w:rPr>
          <w:color w:val="auto"/>
        </w:rPr>
      </w:r>
      <w:r w:rsidRPr="00B03E8D">
        <w:rPr>
          <w:color w:val="auto"/>
        </w:rPr>
        <w:fldChar w:fldCharType="separate"/>
      </w:r>
      <w:r w:rsidR="003F471F">
        <w:rPr>
          <w:color w:val="auto"/>
        </w:rPr>
        <w:t>122</w:t>
      </w:r>
      <w:r w:rsidRPr="00B03E8D">
        <w:rPr>
          <w:color w:val="auto"/>
        </w:rPr>
        <w:fldChar w:fldCharType="end"/>
      </w:r>
    </w:p>
    <w:p w14:paraId="783AC83F"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27</w:t>
      </w:r>
      <w:r w:rsidRPr="00B03E8D">
        <w:rPr>
          <w:rFonts w:eastAsia="Times New Roman"/>
          <w:color w:val="auto"/>
        </w:rPr>
        <w:t xml:space="preserve"> </w:t>
      </w:r>
      <w:r w:rsidRPr="00B03E8D">
        <w:rPr>
          <w:color w:val="auto"/>
        </w:rPr>
        <w:t>Windows</w:t>
      </w:r>
      <w:r w:rsidRPr="00B03E8D">
        <w:rPr>
          <w:color w:val="auto"/>
          <w:vertAlign w:val="superscript"/>
        </w:rPr>
        <w:t>®</w:t>
      </w:r>
      <w:r w:rsidRPr="00B03E8D">
        <w:rPr>
          <w:color w:val="auto"/>
        </w:rPr>
        <w:t xml:space="preserve"> 7 Partners in Learning</w:t>
      </w:r>
      <w:r w:rsidRPr="00B03E8D">
        <w:rPr>
          <w:color w:val="auto"/>
        </w:rPr>
        <w:tab/>
      </w:r>
      <w:r w:rsidRPr="00B03E8D">
        <w:rPr>
          <w:color w:val="auto"/>
        </w:rPr>
        <w:fldChar w:fldCharType="begin"/>
      </w:r>
      <w:r w:rsidRPr="00B03E8D">
        <w:rPr>
          <w:color w:val="auto"/>
        </w:rPr>
        <w:instrText xml:space="preserve"> PAGEREF _Toc371663679 \h </w:instrText>
      </w:r>
      <w:r w:rsidRPr="00B03E8D">
        <w:rPr>
          <w:color w:val="auto"/>
        </w:rPr>
      </w:r>
      <w:r w:rsidRPr="00B03E8D">
        <w:rPr>
          <w:color w:val="auto"/>
        </w:rPr>
        <w:fldChar w:fldCharType="separate"/>
      </w:r>
      <w:r w:rsidR="003F471F">
        <w:rPr>
          <w:color w:val="auto"/>
        </w:rPr>
        <w:t>123</w:t>
      </w:r>
      <w:r w:rsidRPr="00B03E8D">
        <w:rPr>
          <w:color w:val="auto"/>
        </w:rPr>
        <w:fldChar w:fldCharType="end"/>
      </w:r>
    </w:p>
    <w:p w14:paraId="022100F7"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28</w:t>
      </w:r>
      <w:r w:rsidRPr="00B03E8D">
        <w:rPr>
          <w:color w:val="auto"/>
        </w:rPr>
        <w:t xml:space="preserve"> Windows</w:t>
      </w:r>
      <w:r w:rsidRPr="00B03E8D">
        <w:rPr>
          <w:color w:val="auto"/>
          <w:vertAlign w:val="superscript"/>
        </w:rPr>
        <w:t>®</w:t>
      </w:r>
      <w:r w:rsidRPr="00B03E8D">
        <w:rPr>
          <w:color w:val="auto"/>
        </w:rPr>
        <w:t xml:space="preserve"> 8.1 Enterprise Sideloading</w:t>
      </w:r>
      <w:r w:rsidRPr="00B03E8D">
        <w:rPr>
          <w:color w:val="auto"/>
        </w:rPr>
        <w:tab/>
      </w:r>
      <w:r w:rsidRPr="00B03E8D">
        <w:rPr>
          <w:color w:val="auto"/>
        </w:rPr>
        <w:fldChar w:fldCharType="begin"/>
      </w:r>
      <w:r w:rsidRPr="00B03E8D">
        <w:rPr>
          <w:color w:val="auto"/>
        </w:rPr>
        <w:instrText xml:space="preserve"> PAGEREF _Toc371663680 \h </w:instrText>
      </w:r>
      <w:r w:rsidRPr="00B03E8D">
        <w:rPr>
          <w:color w:val="auto"/>
        </w:rPr>
      </w:r>
      <w:r w:rsidRPr="00B03E8D">
        <w:rPr>
          <w:color w:val="auto"/>
        </w:rPr>
        <w:fldChar w:fldCharType="separate"/>
      </w:r>
      <w:r w:rsidR="003F471F">
        <w:rPr>
          <w:color w:val="auto"/>
        </w:rPr>
        <w:t>123</w:t>
      </w:r>
      <w:r w:rsidRPr="00B03E8D">
        <w:rPr>
          <w:color w:val="auto"/>
        </w:rPr>
        <w:fldChar w:fldCharType="end"/>
      </w:r>
    </w:p>
    <w:p w14:paraId="472EC2BF"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29</w:t>
      </w:r>
      <w:r w:rsidRPr="00B03E8D">
        <w:rPr>
          <w:color w:val="auto"/>
        </w:rPr>
        <w:t xml:space="preserve"> Windows</w:t>
      </w:r>
      <w:r w:rsidRPr="00B03E8D">
        <w:rPr>
          <w:color w:val="auto"/>
          <w:vertAlign w:val="superscript"/>
        </w:rPr>
        <w:t>®</w:t>
      </w:r>
      <w:r w:rsidRPr="00B03E8D">
        <w:rPr>
          <w:color w:val="auto"/>
        </w:rPr>
        <w:t xml:space="preserve"> 8.1 Pro Upgrade</w:t>
      </w:r>
      <w:r w:rsidRPr="00B03E8D">
        <w:rPr>
          <w:color w:val="auto"/>
        </w:rPr>
        <w:tab/>
      </w:r>
      <w:r w:rsidRPr="00B03E8D">
        <w:rPr>
          <w:color w:val="auto"/>
        </w:rPr>
        <w:fldChar w:fldCharType="begin"/>
      </w:r>
      <w:r w:rsidRPr="00B03E8D">
        <w:rPr>
          <w:color w:val="auto"/>
        </w:rPr>
        <w:instrText xml:space="preserve"> PAGEREF _Toc371663681 \h </w:instrText>
      </w:r>
      <w:r w:rsidRPr="00B03E8D">
        <w:rPr>
          <w:color w:val="auto"/>
        </w:rPr>
      </w:r>
      <w:r w:rsidRPr="00B03E8D">
        <w:rPr>
          <w:color w:val="auto"/>
        </w:rPr>
        <w:fldChar w:fldCharType="separate"/>
      </w:r>
      <w:r w:rsidR="003F471F">
        <w:rPr>
          <w:color w:val="auto"/>
        </w:rPr>
        <w:t>124</w:t>
      </w:r>
      <w:r w:rsidRPr="00B03E8D">
        <w:rPr>
          <w:color w:val="auto"/>
        </w:rPr>
        <w:fldChar w:fldCharType="end"/>
      </w:r>
    </w:p>
    <w:p w14:paraId="67F1EA03"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 xml:space="preserve">30 </w:t>
      </w:r>
      <w:r w:rsidRPr="00B03E8D">
        <w:rPr>
          <w:color w:val="auto"/>
        </w:rPr>
        <w:t>Licenza “Subscription” per Windows</w:t>
      </w:r>
      <w:r w:rsidRPr="00B03E8D">
        <w:rPr>
          <w:color w:val="auto"/>
          <w:vertAlign w:val="superscript"/>
        </w:rPr>
        <w:t>®</w:t>
      </w:r>
      <w:r w:rsidRPr="00B03E8D">
        <w:rPr>
          <w:color w:val="auto"/>
        </w:rPr>
        <w:t xml:space="preserve"> Companion</w:t>
      </w:r>
      <w:r w:rsidRPr="00B03E8D">
        <w:rPr>
          <w:color w:val="auto"/>
        </w:rPr>
        <w:tab/>
      </w:r>
      <w:r w:rsidRPr="00B03E8D">
        <w:rPr>
          <w:color w:val="auto"/>
        </w:rPr>
        <w:fldChar w:fldCharType="begin"/>
      </w:r>
      <w:r w:rsidRPr="00B03E8D">
        <w:rPr>
          <w:color w:val="auto"/>
        </w:rPr>
        <w:instrText xml:space="preserve"> PAGEREF _Toc371663682 \h </w:instrText>
      </w:r>
      <w:r w:rsidRPr="00B03E8D">
        <w:rPr>
          <w:color w:val="auto"/>
        </w:rPr>
      </w:r>
      <w:r w:rsidRPr="00B03E8D">
        <w:rPr>
          <w:color w:val="auto"/>
        </w:rPr>
        <w:fldChar w:fldCharType="separate"/>
      </w:r>
      <w:r w:rsidR="003F471F">
        <w:rPr>
          <w:color w:val="auto"/>
        </w:rPr>
        <w:t>130</w:t>
      </w:r>
      <w:r w:rsidRPr="00B03E8D">
        <w:rPr>
          <w:color w:val="auto"/>
        </w:rPr>
        <w:fldChar w:fldCharType="end"/>
      </w:r>
    </w:p>
    <w:p w14:paraId="46AB50A7"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 xml:space="preserve">31 </w:t>
      </w:r>
      <w:r w:rsidRPr="00B03E8D">
        <w:rPr>
          <w:color w:val="auto"/>
        </w:rPr>
        <w:t>Windows Embedded 8 Standard Enterprise Kit</w:t>
      </w:r>
      <w:r w:rsidRPr="00B03E8D">
        <w:rPr>
          <w:color w:val="auto"/>
        </w:rPr>
        <w:tab/>
      </w:r>
      <w:r w:rsidRPr="00B03E8D">
        <w:rPr>
          <w:color w:val="auto"/>
        </w:rPr>
        <w:fldChar w:fldCharType="begin"/>
      </w:r>
      <w:r w:rsidRPr="00B03E8D">
        <w:rPr>
          <w:color w:val="auto"/>
        </w:rPr>
        <w:instrText xml:space="preserve"> PAGEREF _Toc371663683 \h </w:instrText>
      </w:r>
      <w:r w:rsidRPr="00B03E8D">
        <w:rPr>
          <w:color w:val="auto"/>
        </w:rPr>
      </w:r>
      <w:r w:rsidRPr="00B03E8D">
        <w:rPr>
          <w:color w:val="auto"/>
        </w:rPr>
        <w:fldChar w:fldCharType="separate"/>
      </w:r>
      <w:r w:rsidR="003F471F">
        <w:rPr>
          <w:color w:val="auto"/>
        </w:rPr>
        <w:t>130</w:t>
      </w:r>
      <w:r w:rsidRPr="00B03E8D">
        <w:rPr>
          <w:color w:val="auto"/>
        </w:rPr>
        <w:fldChar w:fldCharType="end"/>
      </w:r>
    </w:p>
    <w:p w14:paraId="3541EF29"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 xml:space="preserve">32 </w:t>
      </w:r>
      <w:r w:rsidRPr="00B03E8D">
        <w:rPr>
          <w:color w:val="auto"/>
        </w:rPr>
        <w:t>Windows</w:t>
      </w:r>
      <w:r w:rsidRPr="00B03E8D">
        <w:rPr>
          <w:color w:val="auto"/>
          <w:vertAlign w:val="superscript"/>
        </w:rPr>
        <w:t>®</w:t>
      </w:r>
      <w:r w:rsidRPr="00B03E8D">
        <w:rPr>
          <w:color w:val="auto"/>
        </w:rPr>
        <w:t xml:space="preserve"> Embedded 8.1 Industry Pro Upgrade</w:t>
      </w:r>
      <w:r w:rsidRPr="00B03E8D">
        <w:rPr>
          <w:color w:val="auto"/>
        </w:rPr>
        <w:tab/>
      </w:r>
      <w:r w:rsidRPr="00B03E8D">
        <w:rPr>
          <w:color w:val="auto"/>
        </w:rPr>
        <w:fldChar w:fldCharType="begin"/>
      </w:r>
      <w:r w:rsidRPr="00B03E8D">
        <w:rPr>
          <w:color w:val="auto"/>
        </w:rPr>
        <w:instrText xml:space="preserve"> PAGEREF _Toc371663684 \h </w:instrText>
      </w:r>
      <w:r w:rsidRPr="00B03E8D">
        <w:rPr>
          <w:color w:val="auto"/>
        </w:rPr>
      </w:r>
      <w:r w:rsidRPr="00B03E8D">
        <w:rPr>
          <w:color w:val="auto"/>
        </w:rPr>
        <w:fldChar w:fldCharType="separate"/>
      </w:r>
      <w:r w:rsidR="003F471F">
        <w:rPr>
          <w:color w:val="auto"/>
        </w:rPr>
        <w:t>131</w:t>
      </w:r>
      <w:r w:rsidRPr="00B03E8D">
        <w:rPr>
          <w:color w:val="auto"/>
        </w:rPr>
        <w:fldChar w:fldCharType="end"/>
      </w:r>
    </w:p>
    <w:p w14:paraId="3D80BF3A" w14:textId="77777777" w:rsidR="00B03E8D" w:rsidRPr="000D2E35" w:rsidRDefault="00B03E8D">
      <w:pPr>
        <w:pStyle w:val="TOC2"/>
        <w:rPr>
          <w:rFonts w:asciiTheme="minorHAnsi" w:eastAsiaTheme="minorEastAsia" w:hAnsiTheme="minorHAnsi" w:cstheme="minorBidi"/>
          <w:sz w:val="22"/>
          <w:szCs w:val="22"/>
          <w:lang w:val="it-IT"/>
        </w:rPr>
      </w:pPr>
      <w:r w:rsidRPr="000D2E35">
        <w:rPr>
          <w:rFonts w:cs="Tahoma"/>
          <w:caps/>
          <w:vertAlign w:val="superscript"/>
          <w:lang w:val="it-IT"/>
        </w:rPr>
        <w:t xml:space="preserve">33 </w:t>
      </w:r>
      <w:r w:rsidRPr="000D2E35">
        <w:rPr>
          <w:rFonts w:cs="Tahoma"/>
          <w:lang w:val="it-IT"/>
        </w:rPr>
        <w:t>Componente Aggiuntivo per Windows Intune (Per Dispositivo)</w:t>
      </w:r>
      <w:r w:rsidRPr="000D2E35">
        <w:rPr>
          <w:lang w:val="it-IT"/>
        </w:rPr>
        <w:tab/>
      </w:r>
      <w:r w:rsidRPr="00B03E8D">
        <w:fldChar w:fldCharType="begin"/>
      </w:r>
      <w:r w:rsidRPr="000D2E35">
        <w:rPr>
          <w:lang w:val="it-IT"/>
        </w:rPr>
        <w:instrText xml:space="preserve"> PAGEREF _Toc371663685 \h </w:instrText>
      </w:r>
      <w:r w:rsidRPr="00B03E8D">
        <w:fldChar w:fldCharType="separate"/>
      </w:r>
      <w:r w:rsidR="003F471F" w:rsidRPr="000D2E35">
        <w:rPr>
          <w:lang w:val="it-IT"/>
        </w:rPr>
        <w:t>132</w:t>
      </w:r>
      <w:r w:rsidRPr="00B03E8D">
        <w:fldChar w:fldCharType="end"/>
      </w:r>
    </w:p>
    <w:p w14:paraId="0F34EAEA" w14:textId="77777777" w:rsidR="00B03E8D" w:rsidRPr="000D2E35" w:rsidRDefault="00B03E8D">
      <w:pPr>
        <w:pStyle w:val="TOC2"/>
        <w:rPr>
          <w:rFonts w:asciiTheme="minorHAnsi" w:eastAsiaTheme="minorEastAsia" w:hAnsiTheme="minorHAnsi" w:cstheme="minorBidi"/>
          <w:sz w:val="22"/>
          <w:szCs w:val="22"/>
          <w:lang w:val="it-IT"/>
        </w:rPr>
      </w:pPr>
      <w:r w:rsidRPr="000D2E35">
        <w:rPr>
          <w:rFonts w:cs="Tahoma"/>
          <w:lang w:val="it-IT"/>
        </w:rPr>
        <w:t>Pool di Server</w:t>
      </w:r>
      <w:r w:rsidRPr="000D2E35">
        <w:rPr>
          <w:lang w:val="it-IT"/>
        </w:rPr>
        <w:tab/>
      </w:r>
      <w:r>
        <w:fldChar w:fldCharType="begin"/>
      </w:r>
      <w:r w:rsidRPr="000D2E35">
        <w:rPr>
          <w:lang w:val="it-IT"/>
        </w:rPr>
        <w:instrText xml:space="preserve"> PAGEREF _Toc371663686 \h </w:instrText>
      </w:r>
      <w:r>
        <w:fldChar w:fldCharType="separate"/>
      </w:r>
      <w:r w:rsidR="003F471F" w:rsidRPr="000D2E35">
        <w:rPr>
          <w:lang w:val="it-IT"/>
        </w:rPr>
        <w:t>134</w:t>
      </w:r>
      <w:r>
        <w:fldChar w:fldCharType="end"/>
      </w:r>
    </w:p>
    <w:p w14:paraId="7C24DA7C" w14:textId="77777777" w:rsidR="00B03E8D" w:rsidRPr="000D2E35" w:rsidRDefault="00B03E8D">
      <w:pPr>
        <w:pStyle w:val="TOC2"/>
        <w:rPr>
          <w:rFonts w:asciiTheme="minorHAnsi" w:eastAsiaTheme="minorEastAsia" w:hAnsiTheme="minorHAnsi" w:cstheme="minorBidi"/>
          <w:sz w:val="22"/>
          <w:szCs w:val="22"/>
          <w:lang w:val="it-IT"/>
        </w:rPr>
      </w:pPr>
      <w:r w:rsidRPr="000D2E35">
        <w:rPr>
          <w:rFonts w:cs="Tahoma"/>
          <w:caps/>
          <w:vertAlign w:val="superscript"/>
          <w:lang w:val="it-IT"/>
        </w:rPr>
        <w:t>34</w:t>
      </w:r>
      <w:r w:rsidRPr="000D2E35">
        <w:rPr>
          <w:rFonts w:cs="Tahoma"/>
          <w:lang w:val="it-IT"/>
        </w:rPr>
        <w:t xml:space="preserve"> SL Add-On per Bing Maps Public Website Usage e Bing Maps Internal Website Usage</w:t>
      </w:r>
      <w:r w:rsidRPr="000D2E35">
        <w:rPr>
          <w:lang w:val="it-IT"/>
        </w:rPr>
        <w:tab/>
      </w:r>
      <w:r w:rsidRPr="00B03E8D">
        <w:fldChar w:fldCharType="begin"/>
      </w:r>
      <w:r w:rsidRPr="000D2E35">
        <w:rPr>
          <w:lang w:val="it-IT"/>
        </w:rPr>
        <w:instrText xml:space="preserve"> PAGEREF _Toc371663687 \h </w:instrText>
      </w:r>
      <w:r w:rsidRPr="00B03E8D">
        <w:fldChar w:fldCharType="separate"/>
      </w:r>
      <w:r w:rsidR="003F471F" w:rsidRPr="000D2E35">
        <w:rPr>
          <w:lang w:val="it-IT"/>
        </w:rPr>
        <w:t>134</w:t>
      </w:r>
      <w:r w:rsidRPr="00B03E8D">
        <w:fldChar w:fldCharType="end"/>
      </w:r>
    </w:p>
    <w:p w14:paraId="2CDED231"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 xml:space="preserve">35 </w:t>
      </w:r>
      <w:r w:rsidRPr="00B03E8D">
        <w:rPr>
          <w:color w:val="auto"/>
        </w:rPr>
        <w:t>BizTalk Server</w:t>
      </w:r>
      <w:r w:rsidRPr="00B03E8D">
        <w:rPr>
          <w:color w:val="auto"/>
          <w:vertAlign w:val="superscript"/>
        </w:rPr>
        <w:t>®</w:t>
      </w:r>
      <w:r w:rsidRPr="00B03E8D">
        <w:rPr>
          <w:color w:val="auto"/>
        </w:rPr>
        <w:t xml:space="preserve"> 2013 Branch</w:t>
      </w:r>
      <w:r w:rsidRPr="00B03E8D">
        <w:rPr>
          <w:color w:val="auto"/>
        </w:rPr>
        <w:tab/>
      </w:r>
      <w:r w:rsidRPr="00B03E8D">
        <w:rPr>
          <w:color w:val="auto"/>
        </w:rPr>
        <w:fldChar w:fldCharType="begin"/>
      </w:r>
      <w:r w:rsidRPr="00B03E8D">
        <w:rPr>
          <w:color w:val="auto"/>
        </w:rPr>
        <w:instrText xml:space="preserve"> PAGEREF _Toc371663688 \h </w:instrText>
      </w:r>
      <w:r w:rsidRPr="00B03E8D">
        <w:rPr>
          <w:color w:val="auto"/>
        </w:rPr>
      </w:r>
      <w:r w:rsidRPr="00B03E8D">
        <w:rPr>
          <w:color w:val="auto"/>
        </w:rPr>
        <w:fldChar w:fldCharType="separate"/>
      </w:r>
      <w:r w:rsidR="003F471F">
        <w:rPr>
          <w:color w:val="auto"/>
        </w:rPr>
        <w:t>135</w:t>
      </w:r>
      <w:r w:rsidRPr="00B03E8D">
        <w:rPr>
          <w:color w:val="auto"/>
        </w:rPr>
        <w:fldChar w:fldCharType="end"/>
      </w:r>
    </w:p>
    <w:p w14:paraId="7B32611D"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 xml:space="preserve">36 </w:t>
      </w:r>
      <w:r w:rsidRPr="00B03E8D">
        <w:rPr>
          <w:color w:val="auto"/>
        </w:rPr>
        <w:t>BizTalk Server</w:t>
      </w:r>
      <w:r w:rsidRPr="00B03E8D">
        <w:rPr>
          <w:color w:val="auto"/>
          <w:vertAlign w:val="superscript"/>
        </w:rPr>
        <w:t>®</w:t>
      </w:r>
      <w:r w:rsidRPr="00B03E8D">
        <w:rPr>
          <w:color w:val="auto"/>
        </w:rPr>
        <w:t xml:space="preserve"> 2013 Enterprise</w:t>
      </w:r>
      <w:r w:rsidRPr="00B03E8D">
        <w:rPr>
          <w:color w:val="auto"/>
        </w:rPr>
        <w:tab/>
      </w:r>
      <w:r w:rsidRPr="00B03E8D">
        <w:rPr>
          <w:color w:val="auto"/>
        </w:rPr>
        <w:fldChar w:fldCharType="begin"/>
      </w:r>
      <w:r w:rsidRPr="00B03E8D">
        <w:rPr>
          <w:color w:val="auto"/>
        </w:rPr>
        <w:instrText xml:space="preserve"> PAGEREF _Toc371663689 \h </w:instrText>
      </w:r>
      <w:r w:rsidRPr="00B03E8D">
        <w:rPr>
          <w:color w:val="auto"/>
        </w:rPr>
      </w:r>
      <w:r w:rsidRPr="00B03E8D">
        <w:rPr>
          <w:color w:val="auto"/>
        </w:rPr>
        <w:fldChar w:fldCharType="separate"/>
      </w:r>
      <w:r w:rsidR="003F471F">
        <w:rPr>
          <w:color w:val="auto"/>
        </w:rPr>
        <w:t>136</w:t>
      </w:r>
      <w:r w:rsidRPr="00B03E8D">
        <w:rPr>
          <w:color w:val="auto"/>
        </w:rPr>
        <w:fldChar w:fldCharType="end"/>
      </w:r>
    </w:p>
    <w:p w14:paraId="56C48208"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37</w:t>
      </w:r>
      <w:r w:rsidRPr="00B03E8D">
        <w:rPr>
          <w:color w:val="auto"/>
        </w:rPr>
        <w:t xml:space="preserve"> BizTalk Server</w:t>
      </w:r>
      <w:r w:rsidRPr="00B03E8D">
        <w:rPr>
          <w:color w:val="auto"/>
          <w:vertAlign w:val="superscript"/>
        </w:rPr>
        <w:t>®</w:t>
      </w:r>
      <w:r w:rsidRPr="00B03E8D">
        <w:rPr>
          <w:color w:val="auto"/>
        </w:rPr>
        <w:t xml:space="preserve"> 2013 Standard</w:t>
      </w:r>
      <w:r w:rsidRPr="00B03E8D">
        <w:rPr>
          <w:color w:val="auto"/>
        </w:rPr>
        <w:tab/>
      </w:r>
      <w:r w:rsidRPr="00B03E8D">
        <w:rPr>
          <w:color w:val="auto"/>
        </w:rPr>
        <w:fldChar w:fldCharType="begin"/>
      </w:r>
      <w:r w:rsidRPr="00B03E8D">
        <w:rPr>
          <w:color w:val="auto"/>
        </w:rPr>
        <w:instrText xml:space="preserve"> PAGEREF _Toc371663690 \h </w:instrText>
      </w:r>
      <w:r w:rsidRPr="00B03E8D">
        <w:rPr>
          <w:color w:val="auto"/>
        </w:rPr>
      </w:r>
      <w:r w:rsidRPr="00B03E8D">
        <w:rPr>
          <w:color w:val="auto"/>
        </w:rPr>
        <w:fldChar w:fldCharType="separate"/>
      </w:r>
      <w:r w:rsidR="003F471F">
        <w:rPr>
          <w:color w:val="auto"/>
        </w:rPr>
        <w:t>137</w:t>
      </w:r>
      <w:r w:rsidRPr="00B03E8D">
        <w:rPr>
          <w:color w:val="auto"/>
        </w:rPr>
        <w:fldChar w:fldCharType="end"/>
      </w:r>
    </w:p>
    <w:p w14:paraId="4BBD4758"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 xml:space="preserve">38 </w:t>
      </w:r>
      <w:r w:rsidRPr="00B03E8D">
        <w:rPr>
          <w:color w:val="auto"/>
        </w:rPr>
        <w:t>Business Intelligence Appliance 2012</w:t>
      </w:r>
      <w:r w:rsidRPr="00B03E8D">
        <w:rPr>
          <w:color w:val="auto"/>
        </w:rPr>
        <w:tab/>
      </w:r>
      <w:r w:rsidRPr="00B03E8D">
        <w:rPr>
          <w:color w:val="auto"/>
        </w:rPr>
        <w:fldChar w:fldCharType="begin"/>
      </w:r>
      <w:r w:rsidRPr="00B03E8D">
        <w:rPr>
          <w:color w:val="auto"/>
        </w:rPr>
        <w:instrText xml:space="preserve"> PAGEREF _Toc371663691 \h </w:instrText>
      </w:r>
      <w:r w:rsidRPr="00B03E8D">
        <w:rPr>
          <w:color w:val="auto"/>
        </w:rPr>
      </w:r>
      <w:r w:rsidRPr="00B03E8D">
        <w:rPr>
          <w:color w:val="auto"/>
        </w:rPr>
        <w:fldChar w:fldCharType="separate"/>
      </w:r>
      <w:r w:rsidR="003F471F">
        <w:rPr>
          <w:color w:val="auto"/>
        </w:rPr>
        <w:t>139</w:t>
      </w:r>
      <w:r w:rsidRPr="00B03E8D">
        <w:rPr>
          <w:color w:val="auto"/>
        </w:rPr>
        <w:fldChar w:fldCharType="end"/>
      </w:r>
    </w:p>
    <w:p w14:paraId="3766DE06" w14:textId="77777777" w:rsidR="00B03E8D" w:rsidRPr="00B03E8D" w:rsidRDefault="00B03E8D" w:rsidP="00737018">
      <w:pPr>
        <w:pStyle w:val="TOC3"/>
        <w:ind w:left="187" w:hanging="187"/>
        <w:rPr>
          <w:rFonts w:asciiTheme="minorHAnsi" w:eastAsiaTheme="minorEastAsia" w:hAnsiTheme="minorHAnsi" w:cstheme="minorBidi"/>
          <w:bCs w:val="0"/>
          <w:color w:val="auto"/>
          <w:sz w:val="22"/>
          <w:szCs w:val="22"/>
        </w:rPr>
      </w:pPr>
      <w:r w:rsidRPr="00B03E8D">
        <w:rPr>
          <w:caps/>
          <w:color w:val="auto"/>
          <w:vertAlign w:val="superscript"/>
        </w:rPr>
        <w:t>39</w:t>
      </w:r>
      <w:r w:rsidRPr="00B03E8D">
        <w:rPr>
          <w:color w:val="auto"/>
        </w:rPr>
        <w:t xml:space="preserve"> Core CAL Suite Bridge per Office 365, Core CAL Suite Bridge per Office 365 e Windows Intune e Core </w:t>
      </w:r>
      <w:r w:rsidR="00737018">
        <w:rPr>
          <w:color w:val="auto"/>
        </w:rPr>
        <w:br/>
      </w:r>
      <w:r w:rsidRPr="00B03E8D">
        <w:rPr>
          <w:color w:val="auto"/>
        </w:rPr>
        <w:t>CAL Suite Bridge per Windows Intune</w:t>
      </w:r>
      <w:r w:rsidRPr="00B03E8D">
        <w:rPr>
          <w:color w:val="auto"/>
        </w:rPr>
        <w:tab/>
      </w:r>
      <w:r w:rsidRPr="00B03E8D">
        <w:rPr>
          <w:color w:val="auto"/>
        </w:rPr>
        <w:fldChar w:fldCharType="begin"/>
      </w:r>
      <w:r w:rsidRPr="00B03E8D">
        <w:rPr>
          <w:color w:val="auto"/>
        </w:rPr>
        <w:instrText xml:space="preserve"> PAGEREF _Toc371663692 \h </w:instrText>
      </w:r>
      <w:r w:rsidRPr="00B03E8D">
        <w:rPr>
          <w:color w:val="auto"/>
        </w:rPr>
      </w:r>
      <w:r w:rsidRPr="00B03E8D">
        <w:rPr>
          <w:color w:val="auto"/>
        </w:rPr>
        <w:fldChar w:fldCharType="separate"/>
      </w:r>
      <w:r w:rsidR="003F471F">
        <w:rPr>
          <w:color w:val="auto"/>
        </w:rPr>
        <w:t>139</w:t>
      </w:r>
      <w:r w:rsidRPr="00B03E8D">
        <w:rPr>
          <w:color w:val="auto"/>
        </w:rPr>
        <w:fldChar w:fldCharType="end"/>
      </w:r>
    </w:p>
    <w:p w14:paraId="00606AF8" w14:textId="77777777" w:rsidR="00B03E8D" w:rsidRPr="000D2E35" w:rsidRDefault="00B03E8D">
      <w:pPr>
        <w:pStyle w:val="TOC3"/>
        <w:rPr>
          <w:rFonts w:asciiTheme="minorHAnsi" w:eastAsiaTheme="minorEastAsia" w:hAnsiTheme="minorHAnsi" w:cstheme="minorBidi"/>
          <w:bCs w:val="0"/>
          <w:color w:val="auto"/>
          <w:sz w:val="22"/>
          <w:szCs w:val="22"/>
          <w:lang w:val="fr-FR"/>
        </w:rPr>
      </w:pPr>
      <w:r w:rsidRPr="000D2E35">
        <w:rPr>
          <w:caps/>
          <w:color w:val="auto"/>
          <w:vertAlign w:val="superscript"/>
          <w:lang w:val="fr-FR"/>
        </w:rPr>
        <w:t>40</w:t>
      </w:r>
      <w:r w:rsidRPr="000D2E35">
        <w:rPr>
          <w:color w:val="auto"/>
          <w:lang w:val="fr-FR"/>
        </w:rPr>
        <w:t xml:space="preserve"> Core CAL Suite</w:t>
      </w:r>
      <w:r w:rsidRPr="000D2E35">
        <w:rPr>
          <w:color w:val="auto"/>
          <w:lang w:val="fr-FR"/>
        </w:rPr>
        <w:tab/>
      </w:r>
      <w:r w:rsidRPr="00B03E8D">
        <w:rPr>
          <w:color w:val="auto"/>
        </w:rPr>
        <w:fldChar w:fldCharType="begin"/>
      </w:r>
      <w:r w:rsidRPr="000D2E35">
        <w:rPr>
          <w:color w:val="auto"/>
          <w:lang w:val="fr-FR"/>
        </w:rPr>
        <w:instrText xml:space="preserve"> PAGEREF _Toc371663693 \h </w:instrText>
      </w:r>
      <w:r w:rsidRPr="00B03E8D">
        <w:rPr>
          <w:color w:val="auto"/>
        </w:rPr>
      </w:r>
      <w:r w:rsidRPr="00B03E8D">
        <w:rPr>
          <w:color w:val="auto"/>
        </w:rPr>
        <w:fldChar w:fldCharType="separate"/>
      </w:r>
      <w:r w:rsidR="003F471F" w:rsidRPr="000D2E35">
        <w:rPr>
          <w:color w:val="auto"/>
          <w:lang w:val="fr-FR"/>
        </w:rPr>
        <w:t>140</w:t>
      </w:r>
      <w:r w:rsidRPr="00B03E8D">
        <w:rPr>
          <w:color w:val="auto"/>
        </w:rPr>
        <w:fldChar w:fldCharType="end"/>
      </w:r>
    </w:p>
    <w:p w14:paraId="0DF456F5" w14:textId="77777777" w:rsidR="00B03E8D" w:rsidRPr="000D2E35" w:rsidRDefault="00B03E8D">
      <w:pPr>
        <w:pStyle w:val="TOC3"/>
        <w:rPr>
          <w:rFonts w:asciiTheme="minorHAnsi" w:eastAsiaTheme="minorEastAsia" w:hAnsiTheme="minorHAnsi" w:cstheme="minorBidi"/>
          <w:bCs w:val="0"/>
          <w:color w:val="auto"/>
          <w:sz w:val="22"/>
          <w:szCs w:val="22"/>
          <w:lang w:val="fr-FR"/>
        </w:rPr>
      </w:pPr>
      <w:r w:rsidRPr="000D2E35">
        <w:rPr>
          <w:caps/>
          <w:color w:val="auto"/>
          <w:vertAlign w:val="superscript"/>
          <w:lang w:val="fr-FR"/>
        </w:rPr>
        <w:t>41</w:t>
      </w:r>
      <w:r w:rsidRPr="000D2E35">
        <w:rPr>
          <w:color w:val="auto"/>
          <w:lang w:val="fr-FR"/>
        </w:rPr>
        <w:t xml:space="preserve"> Core Infrastructure Server Suite Standard</w:t>
      </w:r>
      <w:r w:rsidRPr="000D2E35">
        <w:rPr>
          <w:color w:val="auto"/>
          <w:lang w:val="fr-FR"/>
        </w:rPr>
        <w:tab/>
      </w:r>
      <w:r w:rsidRPr="00B03E8D">
        <w:rPr>
          <w:color w:val="auto"/>
        </w:rPr>
        <w:fldChar w:fldCharType="begin"/>
      </w:r>
      <w:r w:rsidRPr="000D2E35">
        <w:rPr>
          <w:color w:val="auto"/>
          <w:lang w:val="fr-FR"/>
        </w:rPr>
        <w:instrText xml:space="preserve"> PAGEREF _Toc371663694 \h </w:instrText>
      </w:r>
      <w:r w:rsidRPr="00B03E8D">
        <w:rPr>
          <w:color w:val="auto"/>
        </w:rPr>
      </w:r>
      <w:r w:rsidRPr="00B03E8D">
        <w:rPr>
          <w:color w:val="auto"/>
        </w:rPr>
        <w:fldChar w:fldCharType="separate"/>
      </w:r>
      <w:r w:rsidR="003F471F" w:rsidRPr="000D2E35">
        <w:rPr>
          <w:color w:val="auto"/>
          <w:lang w:val="fr-FR"/>
        </w:rPr>
        <w:t>140</w:t>
      </w:r>
      <w:r w:rsidRPr="00B03E8D">
        <w:rPr>
          <w:color w:val="auto"/>
        </w:rPr>
        <w:fldChar w:fldCharType="end"/>
      </w:r>
    </w:p>
    <w:p w14:paraId="71B8A495" w14:textId="77777777" w:rsidR="00B03E8D" w:rsidRPr="000D2E35" w:rsidRDefault="00B03E8D">
      <w:pPr>
        <w:pStyle w:val="TOC3"/>
        <w:rPr>
          <w:rFonts w:asciiTheme="minorHAnsi" w:eastAsiaTheme="minorEastAsia" w:hAnsiTheme="minorHAnsi" w:cstheme="minorBidi"/>
          <w:bCs w:val="0"/>
          <w:color w:val="auto"/>
          <w:sz w:val="22"/>
          <w:szCs w:val="22"/>
          <w:lang w:val="fr-FR"/>
        </w:rPr>
      </w:pPr>
      <w:r w:rsidRPr="000D2E35">
        <w:rPr>
          <w:caps/>
          <w:color w:val="auto"/>
          <w:vertAlign w:val="superscript"/>
          <w:lang w:val="fr-FR"/>
        </w:rPr>
        <w:t>42</w:t>
      </w:r>
      <w:r w:rsidRPr="000D2E35">
        <w:rPr>
          <w:color w:val="auto"/>
          <w:lang w:val="fr-FR"/>
        </w:rPr>
        <w:t xml:space="preserve"> Core Infrastructure Server Suite Enterprise</w:t>
      </w:r>
      <w:r w:rsidRPr="000D2E35">
        <w:rPr>
          <w:color w:val="auto"/>
          <w:lang w:val="fr-FR"/>
        </w:rPr>
        <w:tab/>
      </w:r>
      <w:r w:rsidRPr="00B03E8D">
        <w:rPr>
          <w:color w:val="auto"/>
        </w:rPr>
        <w:fldChar w:fldCharType="begin"/>
      </w:r>
      <w:r w:rsidRPr="000D2E35">
        <w:rPr>
          <w:color w:val="auto"/>
          <w:lang w:val="fr-FR"/>
        </w:rPr>
        <w:instrText xml:space="preserve"> PAGEREF _Toc371663695 \h </w:instrText>
      </w:r>
      <w:r w:rsidRPr="00B03E8D">
        <w:rPr>
          <w:color w:val="auto"/>
        </w:rPr>
      </w:r>
      <w:r w:rsidRPr="00B03E8D">
        <w:rPr>
          <w:color w:val="auto"/>
        </w:rPr>
        <w:fldChar w:fldCharType="separate"/>
      </w:r>
      <w:r w:rsidR="003F471F" w:rsidRPr="000D2E35">
        <w:rPr>
          <w:color w:val="auto"/>
          <w:lang w:val="fr-FR"/>
        </w:rPr>
        <w:t>142</w:t>
      </w:r>
      <w:r w:rsidRPr="00B03E8D">
        <w:rPr>
          <w:color w:val="auto"/>
        </w:rPr>
        <w:fldChar w:fldCharType="end"/>
      </w:r>
    </w:p>
    <w:p w14:paraId="538EDD72" w14:textId="77777777" w:rsidR="00B03E8D" w:rsidRPr="000D2E35" w:rsidRDefault="00B03E8D">
      <w:pPr>
        <w:pStyle w:val="TOC3"/>
        <w:rPr>
          <w:rFonts w:asciiTheme="minorHAnsi" w:eastAsiaTheme="minorEastAsia" w:hAnsiTheme="minorHAnsi" w:cstheme="minorBidi"/>
          <w:bCs w:val="0"/>
          <w:color w:val="auto"/>
          <w:sz w:val="22"/>
          <w:szCs w:val="22"/>
          <w:lang w:val="fr-FR"/>
        </w:rPr>
      </w:pPr>
      <w:r w:rsidRPr="000D2E35">
        <w:rPr>
          <w:caps/>
          <w:color w:val="auto"/>
          <w:vertAlign w:val="superscript"/>
          <w:lang w:val="fr-FR"/>
        </w:rPr>
        <w:t>43</w:t>
      </w:r>
      <w:r w:rsidRPr="000D2E35">
        <w:rPr>
          <w:color w:val="auto"/>
          <w:lang w:val="fr-FR"/>
        </w:rPr>
        <w:t xml:space="preserve"> Core Infrastructure Server Suite Datacenter</w:t>
      </w:r>
      <w:r w:rsidRPr="000D2E35">
        <w:rPr>
          <w:color w:val="auto"/>
          <w:lang w:val="fr-FR"/>
        </w:rPr>
        <w:tab/>
      </w:r>
      <w:r w:rsidRPr="00B03E8D">
        <w:rPr>
          <w:color w:val="auto"/>
        </w:rPr>
        <w:fldChar w:fldCharType="begin"/>
      </w:r>
      <w:r w:rsidRPr="000D2E35">
        <w:rPr>
          <w:color w:val="auto"/>
          <w:lang w:val="fr-FR"/>
        </w:rPr>
        <w:instrText xml:space="preserve"> PAGEREF _Toc371663696 \h </w:instrText>
      </w:r>
      <w:r w:rsidRPr="00B03E8D">
        <w:rPr>
          <w:color w:val="auto"/>
        </w:rPr>
      </w:r>
      <w:r w:rsidRPr="00B03E8D">
        <w:rPr>
          <w:color w:val="auto"/>
        </w:rPr>
        <w:fldChar w:fldCharType="separate"/>
      </w:r>
      <w:r w:rsidR="003F471F" w:rsidRPr="000D2E35">
        <w:rPr>
          <w:color w:val="auto"/>
          <w:lang w:val="fr-FR"/>
        </w:rPr>
        <w:t>142</w:t>
      </w:r>
      <w:r w:rsidRPr="00B03E8D">
        <w:rPr>
          <w:color w:val="auto"/>
        </w:rPr>
        <w:fldChar w:fldCharType="end"/>
      </w:r>
    </w:p>
    <w:p w14:paraId="2AD2516E" w14:textId="77777777" w:rsidR="00B03E8D" w:rsidRPr="000D2E35" w:rsidRDefault="00B03E8D">
      <w:pPr>
        <w:pStyle w:val="TOC2"/>
        <w:rPr>
          <w:rFonts w:asciiTheme="minorHAnsi" w:eastAsiaTheme="minorEastAsia" w:hAnsiTheme="minorHAnsi" w:cstheme="minorBidi"/>
          <w:sz w:val="22"/>
          <w:szCs w:val="22"/>
          <w:lang w:val="fr-FR"/>
        </w:rPr>
      </w:pPr>
      <w:r w:rsidRPr="000D2E35">
        <w:rPr>
          <w:rFonts w:eastAsia="Times New Roman" w:cs="Tahoma"/>
          <w:caps/>
          <w:vertAlign w:val="superscript"/>
          <w:lang w:val="fr-FR"/>
        </w:rPr>
        <w:t xml:space="preserve">44 </w:t>
      </w:r>
      <w:r w:rsidRPr="000D2E35">
        <w:rPr>
          <w:rFonts w:eastAsia="Times New Roman" w:cs="Tahoma"/>
          <w:lang w:val="fr-FR"/>
        </w:rPr>
        <w:t>Duet Enterprise 2.0</w:t>
      </w:r>
      <w:r w:rsidRPr="000D2E35">
        <w:rPr>
          <w:lang w:val="fr-FR"/>
        </w:rPr>
        <w:tab/>
      </w:r>
      <w:r w:rsidRPr="00B03E8D">
        <w:fldChar w:fldCharType="begin"/>
      </w:r>
      <w:r w:rsidRPr="000D2E35">
        <w:rPr>
          <w:lang w:val="fr-FR"/>
        </w:rPr>
        <w:instrText xml:space="preserve"> PAGEREF _Toc371663697 \h </w:instrText>
      </w:r>
      <w:r w:rsidRPr="00B03E8D">
        <w:fldChar w:fldCharType="separate"/>
      </w:r>
      <w:r w:rsidR="003F471F" w:rsidRPr="000D2E35">
        <w:rPr>
          <w:lang w:val="fr-FR"/>
        </w:rPr>
        <w:t>143</w:t>
      </w:r>
      <w:r w:rsidRPr="00B03E8D">
        <w:fldChar w:fldCharType="end"/>
      </w:r>
    </w:p>
    <w:p w14:paraId="618ABBD4" w14:textId="77777777" w:rsidR="00B03E8D" w:rsidRPr="000D2E35" w:rsidRDefault="00B03E8D" w:rsidP="00737018">
      <w:pPr>
        <w:pStyle w:val="TOC3"/>
        <w:ind w:left="173" w:hanging="173"/>
        <w:rPr>
          <w:rFonts w:asciiTheme="minorHAnsi" w:eastAsiaTheme="minorEastAsia" w:hAnsiTheme="minorHAnsi" w:cstheme="minorBidi"/>
          <w:bCs w:val="0"/>
          <w:color w:val="auto"/>
          <w:sz w:val="22"/>
          <w:szCs w:val="22"/>
          <w:lang w:val="fr-FR"/>
        </w:rPr>
      </w:pPr>
      <w:r w:rsidRPr="000D2E35">
        <w:rPr>
          <w:caps/>
          <w:color w:val="auto"/>
          <w:vertAlign w:val="superscript"/>
          <w:lang w:val="fr-FR"/>
        </w:rPr>
        <w:t xml:space="preserve">45 </w:t>
      </w:r>
      <w:r w:rsidRPr="000D2E35">
        <w:rPr>
          <w:color w:val="auto"/>
          <w:lang w:val="fr-FR"/>
        </w:rPr>
        <w:t>Enterprise CAL Suite Bridge per Office 365, Enterprise CAL Suite Bridge per Office 365 e Windows Intune e</w:t>
      </w:r>
      <w:r w:rsidR="00737018" w:rsidRPr="000D2E35">
        <w:rPr>
          <w:color w:val="auto"/>
          <w:lang w:val="fr-FR"/>
        </w:rPr>
        <w:t> </w:t>
      </w:r>
      <w:r w:rsidRPr="000D2E35">
        <w:rPr>
          <w:color w:val="auto"/>
          <w:lang w:val="fr-FR"/>
        </w:rPr>
        <w:t>Enterprise CAL Suite Bridge per Windows Intune</w:t>
      </w:r>
      <w:r w:rsidRPr="000D2E35">
        <w:rPr>
          <w:color w:val="auto"/>
          <w:lang w:val="fr-FR"/>
        </w:rPr>
        <w:tab/>
      </w:r>
      <w:r w:rsidRPr="00B03E8D">
        <w:rPr>
          <w:color w:val="auto"/>
        </w:rPr>
        <w:fldChar w:fldCharType="begin"/>
      </w:r>
      <w:r w:rsidRPr="000D2E35">
        <w:rPr>
          <w:color w:val="auto"/>
          <w:lang w:val="fr-FR"/>
        </w:rPr>
        <w:instrText xml:space="preserve"> PAGEREF _Toc371663698 \h </w:instrText>
      </w:r>
      <w:r w:rsidRPr="00B03E8D">
        <w:rPr>
          <w:color w:val="auto"/>
        </w:rPr>
      </w:r>
      <w:r w:rsidRPr="00B03E8D">
        <w:rPr>
          <w:color w:val="auto"/>
        </w:rPr>
        <w:fldChar w:fldCharType="separate"/>
      </w:r>
      <w:r w:rsidR="003F471F" w:rsidRPr="000D2E35">
        <w:rPr>
          <w:color w:val="auto"/>
          <w:lang w:val="fr-FR"/>
        </w:rPr>
        <w:t>143</w:t>
      </w:r>
      <w:r w:rsidRPr="00B03E8D">
        <w:rPr>
          <w:color w:val="auto"/>
        </w:rPr>
        <w:fldChar w:fldCharType="end"/>
      </w:r>
    </w:p>
    <w:p w14:paraId="2254B02D" w14:textId="77777777" w:rsidR="00B03E8D" w:rsidRPr="000D2E35" w:rsidRDefault="00B03E8D">
      <w:pPr>
        <w:pStyle w:val="TOC3"/>
        <w:rPr>
          <w:rFonts w:asciiTheme="minorHAnsi" w:eastAsiaTheme="minorEastAsia" w:hAnsiTheme="minorHAnsi" w:cstheme="minorBidi"/>
          <w:bCs w:val="0"/>
          <w:color w:val="auto"/>
          <w:sz w:val="22"/>
          <w:szCs w:val="22"/>
          <w:lang w:val="it-IT"/>
        </w:rPr>
      </w:pPr>
      <w:r w:rsidRPr="000D2E35">
        <w:rPr>
          <w:caps/>
          <w:color w:val="auto"/>
          <w:vertAlign w:val="superscript"/>
          <w:lang w:val="it-IT"/>
        </w:rPr>
        <w:t>46</w:t>
      </w:r>
      <w:r w:rsidRPr="000D2E35">
        <w:rPr>
          <w:color w:val="auto"/>
          <w:lang w:val="it-IT"/>
        </w:rPr>
        <w:t xml:space="preserve"> Enterprise CAL Suite</w:t>
      </w:r>
      <w:r w:rsidRPr="000D2E35">
        <w:rPr>
          <w:color w:val="auto"/>
          <w:lang w:val="it-IT"/>
        </w:rPr>
        <w:tab/>
      </w:r>
      <w:r w:rsidRPr="00B03E8D">
        <w:rPr>
          <w:color w:val="auto"/>
        </w:rPr>
        <w:fldChar w:fldCharType="begin"/>
      </w:r>
      <w:r w:rsidRPr="000D2E35">
        <w:rPr>
          <w:color w:val="auto"/>
          <w:lang w:val="it-IT"/>
        </w:rPr>
        <w:instrText xml:space="preserve"> PAGEREF _Toc371663699 \h </w:instrText>
      </w:r>
      <w:r w:rsidRPr="00B03E8D">
        <w:rPr>
          <w:color w:val="auto"/>
        </w:rPr>
      </w:r>
      <w:r w:rsidRPr="00B03E8D">
        <w:rPr>
          <w:color w:val="auto"/>
        </w:rPr>
        <w:fldChar w:fldCharType="separate"/>
      </w:r>
      <w:r w:rsidR="003F471F" w:rsidRPr="000D2E35">
        <w:rPr>
          <w:color w:val="auto"/>
          <w:lang w:val="it-IT"/>
        </w:rPr>
        <w:t>144</w:t>
      </w:r>
      <w:r w:rsidRPr="00B03E8D">
        <w:rPr>
          <w:color w:val="auto"/>
        </w:rPr>
        <w:fldChar w:fldCharType="end"/>
      </w:r>
    </w:p>
    <w:p w14:paraId="25F76100" w14:textId="77777777" w:rsidR="00B03E8D" w:rsidRPr="000D2E35" w:rsidRDefault="00B03E8D">
      <w:pPr>
        <w:pStyle w:val="TOC3"/>
        <w:rPr>
          <w:rFonts w:asciiTheme="minorHAnsi" w:eastAsiaTheme="minorEastAsia" w:hAnsiTheme="minorHAnsi" w:cstheme="minorBidi"/>
          <w:bCs w:val="0"/>
          <w:color w:val="auto"/>
          <w:sz w:val="22"/>
          <w:szCs w:val="22"/>
          <w:lang w:val="it-IT"/>
        </w:rPr>
      </w:pPr>
      <w:r w:rsidRPr="000D2E35">
        <w:rPr>
          <w:caps/>
          <w:color w:val="auto"/>
          <w:vertAlign w:val="superscript"/>
          <w:lang w:val="it-IT"/>
        </w:rPr>
        <w:t>47</w:t>
      </w:r>
      <w:r w:rsidRPr="000D2E35">
        <w:rPr>
          <w:color w:val="auto"/>
          <w:lang w:val="it-IT"/>
        </w:rPr>
        <w:t xml:space="preserve"> Enterprise CAL per Exchange 2013 con Servizi</w:t>
      </w:r>
      <w:r w:rsidRPr="000D2E35">
        <w:rPr>
          <w:color w:val="auto"/>
          <w:lang w:val="it-IT"/>
        </w:rPr>
        <w:tab/>
      </w:r>
      <w:r w:rsidRPr="00B03E8D">
        <w:rPr>
          <w:color w:val="auto"/>
        </w:rPr>
        <w:fldChar w:fldCharType="begin"/>
      </w:r>
      <w:r w:rsidRPr="000D2E35">
        <w:rPr>
          <w:color w:val="auto"/>
          <w:lang w:val="it-IT"/>
        </w:rPr>
        <w:instrText xml:space="preserve"> PAGEREF _Toc371663700 \h </w:instrText>
      </w:r>
      <w:r w:rsidRPr="00B03E8D">
        <w:rPr>
          <w:color w:val="auto"/>
        </w:rPr>
      </w:r>
      <w:r w:rsidRPr="00B03E8D">
        <w:rPr>
          <w:color w:val="auto"/>
        </w:rPr>
        <w:fldChar w:fldCharType="separate"/>
      </w:r>
      <w:r w:rsidR="003F471F" w:rsidRPr="000D2E35">
        <w:rPr>
          <w:color w:val="auto"/>
          <w:lang w:val="it-IT"/>
        </w:rPr>
        <w:t>146</w:t>
      </w:r>
      <w:r w:rsidRPr="00B03E8D">
        <w:rPr>
          <w:color w:val="auto"/>
        </w:rPr>
        <w:fldChar w:fldCharType="end"/>
      </w:r>
    </w:p>
    <w:p w14:paraId="1E510EC0" w14:textId="77777777" w:rsidR="00B03E8D" w:rsidRPr="000D2E35" w:rsidRDefault="00B03E8D">
      <w:pPr>
        <w:pStyle w:val="TOC2"/>
        <w:rPr>
          <w:rFonts w:asciiTheme="minorHAnsi" w:eastAsiaTheme="minorEastAsia" w:hAnsiTheme="minorHAnsi" w:cstheme="minorBidi"/>
          <w:sz w:val="22"/>
          <w:szCs w:val="22"/>
          <w:lang w:val="it-IT"/>
        </w:rPr>
      </w:pPr>
      <w:r w:rsidRPr="000D2E35">
        <w:rPr>
          <w:rFonts w:cs="Tahoma"/>
          <w:vertAlign w:val="superscript"/>
          <w:lang w:val="it-IT"/>
        </w:rPr>
        <w:t>48</w:t>
      </w:r>
      <w:r w:rsidRPr="000D2E35">
        <w:rPr>
          <w:rFonts w:cs="Tahoma"/>
          <w:lang w:val="it-IT"/>
        </w:rPr>
        <w:t xml:space="preserve"> Archiviazione Exchange Online per Exchange Server (SL per Utente)</w:t>
      </w:r>
      <w:r w:rsidRPr="000D2E35">
        <w:rPr>
          <w:lang w:val="it-IT"/>
        </w:rPr>
        <w:tab/>
      </w:r>
      <w:r w:rsidRPr="00B03E8D">
        <w:fldChar w:fldCharType="begin"/>
      </w:r>
      <w:r w:rsidRPr="000D2E35">
        <w:rPr>
          <w:lang w:val="it-IT"/>
        </w:rPr>
        <w:instrText xml:space="preserve"> PAGEREF _Toc371663701 \h </w:instrText>
      </w:r>
      <w:r w:rsidRPr="00B03E8D">
        <w:fldChar w:fldCharType="separate"/>
      </w:r>
      <w:r w:rsidR="003F471F" w:rsidRPr="000D2E35">
        <w:rPr>
          <w:lang w:val="it-IT"/>
        </w:rPr>
        <w:t>146</w:t>
      </w:r>
      <w:r w:rsidRPr="00B03E8D">
        <w:fldChar w:fldCharType="end"/>
      </w:r>
    </w:p>
    <w:p w14:paraId="26AF95BF" w14:textId="77777777" w:rsidR="00B03E8D" w:rsidRPr="000D2E35" w:rsidRDefault="00B03E8D">
      <w:pPr>
        <w:pStyle w:val="TOC2"/>
        <w:rPr>
          <w:rFonts w:asciiTheme="minorHAnsi" w:eastAsiaTheme="minorEastAsia" w:hAnsiTheme="minorHAnsi" w:cstheme="minorBidi"/>
          <w:sz w:val="22"/>
          <w:szCs w:val="22"/>
          <w:lang w:val="it-IT"/>
        </w:rPr>
      </w:pPr>
      <w:r w:rsidRPr="000D2E35">
        <w:rPr>
          <w:rFonts w:cs="Tahoma"/>
          <w:vertAlign w:val="superscript"/>
          <w:lang w:val="it-IT"/>
        </w:rPr>
        <w:t>49</w:t>
      </w:r>
      <w:r w:rsidRPr="000D2E35">
        <w:rPr>
          <w:rFonts w:cs="Tahoma"/>
          <w:lang w:val="it-IT"/>
        </w:rPr>
        <w:t xml:space="preserve"> Archiviazione Exchange Online per Exchange Server A (SL per Utente)</w:t>
      </w:r>
      <w:r w:rsidRPr="000D2E35">
        <w:rPr>
          <w:lang w:val="it-IT"/>
        </w:rPr>
        <w:tab/>
      </w:r>
      <w:r w:rsidRPr="00B03E8D">
        <w:fldChar w:fldCharType="begin"/>
      </w:r>
      <w:r w:rsidRPr="000D2E35">
        <w:rPr>
          <w:lang w:val="it-IT"/>
        </w:rPr>
        <w:instrText xml:space="preserve"> PAGEREF _Toc371663702 \h </w:instrText>
      </w:r>
      <w:r w:rsidRPr="00B03E8D">
        <w:fldChar w:fldCharType="separate"/>
      </w:r>
      <w:r w:rsidR="003F471F" w:rsidRPr="000D2E35">
        <w:rPr>
          <w:lang w:val="it-IT"/>
        </w:rPr>
        <w:t>147</w:t>
      </w:r>
      <w:r w:rsidRPr="00B03E8D">
        <w:fldChar w:fldCharType="end"/>
      </w:r>
    </w:p>
    <w:p w14:paraId="39108A7E" w14:textId="77777777" w:rsidR="00B03E8D" w:rsidRPr="00B03E8D" w:rsidRDefault="00B03E8D">
      <w:pPr>
        <w:pStyle w:val="TOC2"/>
        <w:rPr>
          <w:rFonts w:asciiTheme="minorHAnsi" w:eastAsiaTheme="minorEastAsia" w:hAnsiTheme="minorHAnsi" w:cstheme="minorBidi"/>
          <w:sz w:val="22"/>
          <w:szCs w:val="22"/>
        </w:rPr>
      </w:pPr>
      <w:r w:rsidRPr="00B03E8D">
        <w:rPr>
          <w:rFonts w:cs="Tahoma"/>
          <w:vertAlign w:val="superscript"/>
        </w:rPr>
        <w:t>50</w:t>
      </w:r>
      <w:r w:rsidRPr="00B03E8D">
        <w:rPr>
          <w:rFonts w:cs="Tahoma"/>
        </w:rPr>
        <w:t xml:space="preserve"> Exchange Hosted Archive (SL per Utente), Exchange Hosted Archive Extra Storage (SL Add-on)</w:t>
      </w:r>
      <w:r w:rsidRPr="00B03E8D">
        <w:tab/>
      </w:r>
      <w:r w:rsidRPr="00B03E8D">
        <w:fldChar w:fldCharType="begin"/>
      </w:r>
      <w:r w:rsidRPr="00B03E8D">
        <w:instrText xml:space="preserve"> PAGEREF _Toc371663703 \h </w:instrText>
      </w:r>
      <w:r w:rsidRPr="00B03E8D">
        <w:fldChar w:fldCharType="separate"/>
      </w:r>
      <w:r w:rsidR="003F471F">
        <w:t>147</w:t>
      </w:r>
      <w:r w:rsidRPr="00B03E8D">
        <w:fldChar w:fldCharType="end"/>
      </w:r>
    </w:p>
    <w:p w14:paraId="4A9DCFE6" w14:textId="77777777" w:rsidR="00B03E8D" w:rsidRPr="000D2E35" w:rsidRDefault="00B03E8D">
      <w:pPr>
        <w:pStyle w:val="TOC2"/>
        <w:rPr>
          <w:rFonts w:asciiTheme="minorHAnsi" w:eastAsiaTheme="minorEastAsia" w:hAnsiTheme="minorHAnsi" w:cstheme="minorBidi"/>
          <w:sz w:val="22"/>
          <w:szCs w:val="22"/>
          <w:lang w:val="sv-SE"/>
        </w:rPr>
      </w:pPr>
      <w:r w:rsidRPr="000D2E35">
        <w:rPr>
          <w:rFonts w:cs="Tahoma"/>
          <w:vertAlign w:val="superscript"/>
          <w:lang w:val="sv-SE"/>
        </w:rPr>
        <w:t>51</w:t>
      </w:r>
      <w:r w:rsidRPr="000D2E35">
        <w:rPr>
          <w:rFonts w:cs="Tahoma"/>
          <w:lang w:val="sv-SE"/>
        </w:rPr>
        <w:t xml:space="preserve"> Exchange Hosted Encryption (SL per Utente)</w:t>
      </w:r>
      <w:r w:rsidRPr="000D2E35">
        <w:rPr>
          <w:lang w:val="sv-SE"/>
        </w:rPr>
        <w:tab/>
      </w:r>
      <w:r w:rsidRPr="00B03E8D">
        <w:fldChar w:fldCharType="begin"/>
      </w:r>
      <w:r w:rsidRPr="000D2E35">
        <w:rPr>
          <w:lang w:val="sv-SE"/>
        </w:rPr>
        <w:instrText xml:space="preserve"> PAGEREF _Toc371663704 \h </w:instrText>
      </w:r>
      <w:r w:rsidRPr="00B03E8D">
        <w:fldChar w:fldCharType="separate"/>
      </w:r>
      <w:r w:rsidR="003F471F" w:rsidRPr="000D2E35">
        <w:rPr>
          <w:lang w:val="sv-SE"/>
        </w:rPr>
        <w:t>148</w:t>
      </w:r>
      <w:r w:rsidRPr="00B03E8D">
        <w:fldChar w:fldCharType="end"/>
      </w:r>
    </w:p>
    <w:p w14:paraId="233D9960" w14:textId="77777777" w:rsidR="00B03E8D" w:rsidRPr="000D2E35" w:rsidRDefault="00B03E8D">
      <w:pPr>
        <w:pStyle w:val="TOC3"/>
        <w:rPr>
          <w:rFonts w:asciiTheme="minorHAnsi" w:eastAsiaTheme="minorEastAsia" w:hAnsiTheme="minorHAnsi" w:cstheme="minorBidi"/>
          <w:bCs w:val="0"/>
          <w:color w:val="auto"/>
          <w:sz w:val="22"/>
          <w:szCs w:val="22"/>
          <w:lang w:val="it-IT"/>
        </w:rPr>
      </w:pPr>
      <w:r w:rsidRPr="000D2E35">
        <w:rPr>
          <w:caps/>
          <w:color w:val="auto"/>
          <w:vertAlign w:val="superscript"/>
          <w:lang w:val="it-IT"/>
        </w:rPr>
        <w:t>52</w:t>
      </w:r>
      <w:r w:rsidRPr="000D2E35">
        <w:rPr>
          <w:color w:val="auto"/>
          <w:lang w:val="it-IT"/>
        </w:rPr>
        <w:t xml:space="preserve"> Chiosco Exchange Online (SL per Utente)</w:t>
      </w:r>
      <w:r w:rsidRPr="000D2E35">
        <w:rPr>
          <w:color w:val="auto"/>
          <w:lang w:val="it-IT"/>
        </w:rPr>
        <w:tab/>
      </w:r>
      <w:r w:rsidRPr="00B03E8D">
        <w:rPr>
          <w:color w:val="auto"/>
        </w:rPr>
        <w:fldChar w:fldCharType="begin"/>
      </w:r>
      <w:r w:rsidRPr="000D2E35">
        <w:rPr>
          <w:color w:val="auto"/>
          <w:lang w:val="it-IT"/>
        </w:rPr>
        <w:instrText xml:space="preserve"> PAGEREF _Toc371663705 \h </w:instrText>
      </w:r>
      <w:r w:rsidRPr="00B03E8D">
        <w:rPr>
          <w:color w:val="auto"/>
        </w:rPr>
      </w:r>
      <w:r w:rsidRPr="00B03E8D">
        <w:rPr>
          <w:color w:val="auto"/>
        </w:rPr>
        <w:fldChar w:fldCharType="separate"/>
      </w:r>
      <w:r w:rsidR="003F471F" w:rsidRPr="000D2E35">
        <w:rPr>
          <w:color w:val="auto"/>
          <w:lang w:val="it-IT"/>
        </w:rPr>
        <w:t>148</w:t>
      </w:r>
      <w:r w:rsidRPr="00B03E8D">
        <w:rPr>
          <w:color w:val="auto"/>
        </w:rPr>
        <w:fldChar w:fldCharType="end"/>
      </w:r>
    </w:p>
    <w:p w14:paraId="0D31C428" w14:textId="77777777" w:rsidR="00B03E8D" w:rsidRPr="000D2E35" w:rsidRDefault="00B03E8D">
      <w:pPr>
        <w:pStyle w:val="TOC3"/>
        <w:rPr>
          <w:rFonts w:asciiTheme="minorHAnsi" w:eastAsiaTheme="minorEastAsia" w:hAnsiTheme="minorHAnsi" w:cstheme="minorBidi"/>
          <w:bCs w:val="0"/>
          <w:color w:val="auto"/>
          <w:sz w:val="22"/>
          <w:szCs w:val="22"/>
          <w:lang w:val="nl-NL"/>
        </w:rPr>
      </w:pPr>
      <w:r w:rsidRPr="000D2E35">
        <w:rPr>
          <w:caps/>
          <w:color w:val="auto"/>
          <w:vertAlign w:val="superscript"/>
          <w:lang w:val="nl-NL"/>
        </w:rPr>
        <w:t xml:space="preserve">53 </w:t>
      </w:r>
      <w:r w:rsidRPr="000D2E35">
        <w:rPr>
          <w:color w:val="auto"/>
          <w:lang w:val="nl-NL"/>
        </w:rPr>
        <w:t>Exchange Online Piano 1</w:t>
      </w:r>
      <w:r w:rsidRPr="000D2E35">
        <w:rPr>
          <w:color w:val="auto"/>
          <w:lang w:val="nl-NL"/>
        </w:rPr>
        <w:tab/>
      </w:r>
      <w:r w:rsidRPr="00B03E8D">
        <w:rPr>
          <w:color w:val="auto"/>
        </w:rPr>
        <w:fldChar w:fldCharType="begin"/>
      </w:r>
      <w:r w:rsidRPr="000D2E35">
        <w:rPr>
          <w:color w:val="auto"/>
          <w:lang w:val="nl-NL"/>
        </w:rPr>
        <w:instrText xml:space="preserve"> PAGEREF _Toc371663706 \h </w:instrText>
      </w:r>
      <w:r w:rsidRPr="00B03E8D">
        <w:rPr>
          <w:color w:val="auto"/>
        </w:rPr>
      </w:r>
      <w:r w:rsidRPr="00B03E8D">
        <w:rPr>
          <w:color w:val="auto"/>
        </w:rPr>
        <w:fldChar w:fldCharType="separate"/>
      </w:r>
      <w:r w:rsidR="003F471F" w:rsidRPr="000D2E35">
        <w:rPr>
          <w:color w:val="auto"/>
          <w:lang w:val="nl-NL"/>
        </w:rPr>
        <w:t>148</w:t>
      </w:r>
      <w:r w:rsidRPr="00B03E8D">
        <w:rPr>
          <w:color w:val="auto"/>
        </w:rPr>
        <w:fldChar w:fldCharType="end"/>
      </w:r>
    </w:p>
    <w:p w14:paraId="493EE28F" w14:textId="77777777" w:rsidR="00B03E8D" w:rsidRPr="000D2E35" w:rsidRDefault="00B03E8D">
      <w:pPr>
        <w:pStyle w:val="TOC2"/>
        <w:rPr>
          <w:rFonts w:asciiTheme="minorHAnsi" w:eastAsiaTheme="minorEastAsia" w:hAnsiTheme="minorHAnsi" w:cstheme="minorBidi"/>
          <w:sz w:val="22"/>
          <w:szCs w:val="22"/>
          <w:lang w:val="nl-NL"/>
        </w:rPr>
      </w:pPr>
      <w:r w:rsidRPr="000D2E35">
        <w:rPr>
          <w:rFonts w:cs="Tahoma"/>
          <w:caps/>
          <w:vertAlign w:val="superscript"/>
          <w:lang w:val="nl-NL"/>
        </w:rPr>
        <w:t>54</w:t>
      </w:r>
      <w:r w:rsidRPr="000D2E35">
        <w:rPr>
          <w:rFonts w:cs="Tahoma"/>
          <w:lang w:val="nl-NL"/>
        </w:rPr>
        <w:t xml:space="preserve"> Exchange Online Piano 2</w:t>
      </w:r>
      <w:r w:rsidRPr="000D2E35">
        <w:rPr>
          <w:lang w:val="nl-NL"/>
        </w:rPr>
        <w:tab/>
      </w:r>
      <w:r w:rsidRPr="00B03E8D">
        <w:fldChar w:fldCharType="begin"/>
      </w:r>
      <w:r w:rsidRPr="000D2E35">
        <w:rPr>
          <w:lang w:val="nl-NL"/>
        </w:rPr>
        <w:instrText xml:space="preserve"> PAGEREF _Toc371663707 \h </w:instrText>
      </w:r>
      <w:r w:rsidRPr="00B03E8D">
        <w:fldChar w:fldCharType="separate"/>
      </w:r>
      <w:r w:rsidR="003F471F" w:rsidRPr="000D2E35">
        <w:rPr>
          <w:lang w:val="nl-NL"/>
        </w:rPr>
        <w:t>149</w:t>
      </w:r>
      <w:r w:rsidRPr="00B03E8D">
        <w:fldChar w:fldCharType="end"/>
      </w:r>
    </w:p>
    <w:p w14:paraId="0C86725A" w14:textId="77777777" w:rsidR="00B03E8D" w:rsidRPr="000D2E35" w:rsidRDefault="00B03E8D">
      <w:pPr>
        <w:pStyle w:val="TOC2"/>
        <w:rPr>
          <w:rFonts w:asciiTheme="minorHAnsi" w:eastAsiaTheme="minorEastAsia" w:hAnsiTheme="minorHAnsi" w:cstheme="minorBidi"/>
          <w:sz w:val="22"/>
          <w:szCs w:val="22"/>
          <w:lang w:val="nl-NL"/>
        </w:rPr>
      </w:pPr>
      <w:r w:rsidRPr="000D2E35">
        <w:rPr>
          <w:rFonts w:cs="Tahoma"/>
          <w:caps/>
          <w:vertAlign w:val="superscript"/>
          <w:lang w:val="nl-NL"/>
        </w:rPr>
        <w:t xml:space="preserve">55 </w:t>
      </w:r>
      <w:r w:rsidRPr="000D2E35">
        <w:rPr>
          <w:rFonts w:cs="Tahoma"/>
          <w:lang w:val="nl-NL"/>
        </w:rPr>
        <w:t>Exchange Online Protection (SL per Utente)</w:t>
      </w:r>
      <w:r w:rsidRPr="000D2E35">
        <w:rPr>
          <w:lang w:val="nl-NL"/>
        </w:rPr>
        <w:tab/>
      </w:r>
      <w:r w:rsidRPr="00B03E8D">
        <w:fldChar w:fldCharType="begin"/>
      </w:r>
      <w:r w:rsidRPr="000D2E35">
        <w:rPr>
          <w:lang w:val="nl-NL"/>
        </w:rPr>
        <w:instrText xml:space="preserve"> PAGEREF _Toc371663708 \h </w:instrText>
      </w:r>
      <w:r w:rsidRPr="00B03E8D">
        <w:fldChar w:fldCharType="separate"/>
      </w:r>
      <w:r w:rsidR="003F471F" w:rsidRPr="000D2E35">
        <w:rPr>
          <w:lang w:val="nl-NL"/>
        </w:rPr>
        <w:t>149</w:t>
      </w:r>
      <w:r w:rsidRPr="00B03E8D">
        <w:fldChar w:fldCharType="end"/>
      </w:r>
    </w:p>
    <w:p w14:paraId="1CDD977A" w14:textId="77777777" w:rsidR="00B03E8D" w:rsidRPr="000D2E35" w:rsidRDefault="00B03E8D">
      <w:pPr>
        <w:pStyle w:val="TOC2"/>
        <w:rPr>
          <w:rFonts w:asciiTheme="minorHAnsi" w:eastAsiaTheme="minorEastAsia" w:hAnsiTheme="minorHAnsi" w:cstheme="minorBidi"/>
          <w:sz w:val="22"/>
          <w:szCs w:val="22"/>
          <w:lang w:val="nl-NL"/>
        </w:rPr>
      </w:pPr>
      <w:r w:rsidRPr="000D2E35">
        <w:rPr>
          <w:rFonts w:cs="Tahoma"/>
          <w:caps/>
          <w:vertAlign w:val="superscript"/>
          <w:lang w:val="nl-NL"/>
        </w:rPr>
        <w:t xml:space="preserve">56 </w:t>
      </w:r>
      <w:r w:rsidRPr="000D2E35">
        <w:rPr>
          <w:rFonts w:cs="Tahoma"/>
          <w:lang w:val="nl-NL"/>
        </w:rPr>
        <w:t>Exchange Server 2013, Edizioni Enterprise e Standard</w:t>
      </w:r>
      <w:r w:rsidRPr="000D2E35">
        <w:rPr>
          <w:lang w:val="nl-NL"/>
        </w:rPr>
        <w:tab/>
      </w:r>
      <w:r w:rsidRPr="00B03E8D">
        <w:fldChar w:fldCharType="begin"/>
      </w:r>
      <w:r w:rsidRPr="000D2E35">
        <w:rPr>
          <w:lang w:val="nl-NL"/>
        </w:rPr>
        <w:instrText xml:space="preserve"> PAGEREF _Toc371663709 \h </w:instrText>
      </w:r>
      <w:r w:rsidRPr="00B03E8D">
        <w:fldChar w:fldCharType="separate"/>
      </w:r>
      <w:r w:rsidR="003F471F" w:rsidRPr="000D2E35">
        <w:rPr>
          <w:lang w:val="nl-NL"/>
        </w:rPr>
        <w:t>149</w:t>
      </w:r>
      <w:r w:rsidRPr="00B03E8D">
        <w:fldChar w:fldCharType="end"/>
      </w:r>
    </w:p>
    <w:p w14:paraId="7C08E04F" w14:textId="77777777" w:rsidR="00B03E8D" w:rsidRPr="000D2E35" w:rsidRDefault="00B03E8D">
      <w:pPr>
        <w:pStyle w:val="TOC3"/>
        <w:rPr>
          <w:rFonts w:asciiTheme="minorHAnsi" w:eastAsiaTheme="minorEastAsia" w:hAnsiTheme="minorHAnsi" w:cstheme="minorBidi"/>
          <w:bCs w:val="0"/>
          <w:color w:val="auto"/>
          <w:sz w:val="22"/>
          <w:szCs w:val="22"/>
          <w:lang w:val="nl-NL"/>
        </w:rPr>
      </w:pPr>
      <w:r w:rsidRPr="000D2E35">
        <w:rPr>
          <w:caps/>
          <w:color w:val="auto"/>
          <w:vertAlign w:val="superscript"/>
          <w:lang w:val="nl-NL"/>
        </w:rPr>
        <w:t>57</w:t>
      </w:r>
      <w:r w:rsidRPr="000D2E35">
        <w:rPr>
          <w:color w:val="auto"/>
          <w:lang w:val="nl-NL"/>
        </w:rPr>
        <w:t xml:space="preserve"> Standard CAL per Exchange Server 2010</w:t>
      </w:r>
      <w:r w:rsidRPr="000D2E35">
        <w:rPr>
          <w:color w:val="auto"/>
          <w:lang w:val="nl-NL"/>
        </w:rPr>
        <w:tab/>
      </w:r>
      <w:r w:rsidRPr="00B03E8D">
        <w:rPr>
          <w:color w:val="auto"/>
        </w:rPr>
        <w:fldChar w:fldCharType="begin"/>
      </w:r>
      <w:r w:rsidRPr="000D2E35">
        <w:rPr>
          <w:color w:val="auto"/>
          <w:lang w:val="nl-NL"/>
        </w:rPr>
        <w:instrText xml:space="preserve"> PAGEREF _Toc371663710 \h </w:instrText>
      </w:r>
      <w:r w:rsidRPr="00B03E8D">
        <w:rPr>
          <w:color w:val="auto"/>
        </w:rPr>
      </w:r>
      <w:r w:rsidRPr="00B03E8D">
        <w:rPr>
          <w:color w:val="auto"/>
        </w:rPr>
        <w:fldChar w:fldCharType="separate"/>
      </w:r>
      <w:r w:rsidR="003F471F" w:rsidRPr="000D2E35">
        <w:rPr>
          <w:color w:val="auto"/>
          <w:lang w:val="nl-NL"/>
        </w:rPr>
        <w:t>150</w:t>
      </w:r>
      <w:r w:rsidRPr="00B03E8D">
        <w:rPr>
          <w:color w:val="auto"/>
        </w:rPr>
        <w:fldChar w:fldCharType="end"/>
      </w:r>
    </w:p>
    <w:p w14:paraId="7B92315B" w14:textId="77777777" w:rsidR="00B03E8D" w:rsidRPr="000D2E35" w:rsidRDefault="00B03E8D">
      <w:pPr>
        <w:pStyle w:val="TOC3"/>
        <w:rPr>
          <w:rFonts w:asciiTheme="minorHAnsi" w:eastAsiaTheme="minorEastAsia" w:hAnsiTheme="minorHAnsi" w:cstheme="minorBidi"/>
          <w:bCs w:val="0"/>
          <w:color w:val="auto"/>
          <w:sz w:val="22"/>
          <w:szCs w:val="22"/>
          <w:lang w:val="nl-NL"/>
        </w:rPr>
      </w:pPr>
      <w:r w:rsidRPr="000D2E35">
        <w:rPr>
          <w:caps/>
          <w:color w:val="auto"/>
          <w:vertAlign w:val="superscript"/>
          <w:lang w:val="nl-NL"/>
        </w:rPr>
        <w:t>58</w:t>
      </w:r>
      <w:r w:rsidRPr="000D2E35">
        <w:rPr>
          <w:color w:val="auto"/>
          <w:lang w:val="nl-NL"/>
        </w:rPr>
        <w:t xml:space="preserve"> Forefront Endpoint Protection</w:t>
      </w:r>
      <w:r w:rsidRPr="000D2E35">
        <w:rPr>
          <w:color w:val="auto"/>
          <w:lang w:val="nl-NL"/>
        </w:rPr>
        <w:tab/>
      </w:r>
      <w:r w:rsidRPr="00B03E8D">
        <w:rPr>
          <w:color w:val="auto"/>
        </w:rPr>
        <w:fldChar w:fldCharType="begin"/>
      </w:r>
      <w:r w:rsidRPr="000D2E35">
        <w:rPr>
          <w:color w:val="auto"/>
          <w:lang w:val="nl-NL"/>
        </w:rPr>
        <w:instrText xml:space="preserve"> PAGEREF _Toc371663711 \h </w:instrText>
      </w:r>
      <w:r w:rsidRPr="00B03E8D">
        <w:rPr>
          <w:color w:val="auto"/>
        </w:rPr>
      </w:r>
      <w:r w:rsidRPr="00B03E8D">
        <w:rPr>
          <w:color w:val="auto"/>
        </w:rPr>
        <w:fldChar w:fldCharType="separate"/>
      </w:r>
      <w:r w:rsidR="003F471F" w:rsidRPr="000D2E35">
        <w:rPr>
          <w:color w:val="auto"/>
          <w:lang w:val="nl-NL"/>
        </w:rPr>
        <w:t>151</w:t>
      </w:r>
      <w:r w:rsidRPr="00B03E8D">
        <w:rPr>
          <w:color w:val="auto"/>
        </w:rPr>
        <w:fldChar w:fldCharType="end"/>
      </w:r>
    </w:p>
    <w:p w14:paraId="327C573C"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 xml:space="preserve">59 </w:t>
      </w:r>
      <w:r w:rsidRPr="00B03E8D">
        <w:rPr>
          <w:color w:val="auto"/>
        </w:rPr>
        <w:t>Forefront Identity Manager 2010 R2</w:t>
      </w:r>
      <w:r w:rsidRPr="00B03E8D">
        <w:rPr>
          <w:color w:val="auto"/>
        </w:rPr>
        <w:tab/>
      </w:r>
      <w:r w:rsidRPr="00B03E8D">
        <w:rPr>
          <w:color w:val="auto"/>
        </w:rPr>
        <w:fldChar w:fldCharType="begin"/>
      </w:r>
      <w:r w:rsidRPr="00B03E8D">
        <w:rPr>
          <w:color w:val="auto"/>
        </w:rPr>
        <w:instrText xml:space="preserve"> PAGEREF _Toc371663712 \h </w:instrText>
      </w:r>
      <w:r w:rsidRPr="00B03E8D">
        <w:rPr>
          <w:color w:val="auto"/>
        </w:rPr>
      </w:r>
      <w:r w:rsidRPr="00B03E8D">
        <w:rPr>
          <w:color w:val="auto"/>
        </w:rPr>
        <w:fldChar w:fldCharType="separate"/>
      </w:r>
      <w:r w:rsidR="003F471F">
        <w:rPr>
          <w:color w:val="auto"/>
        </w:rPr>
        <w:t>151</w:t>
      </w:r>
      <w:r w:rsidRPr="00B03E8D">
        <w:rPr>
          <w:color w:val="auto"/>
        </w:rPr>
        <w:fldChar w:fldCharType="end"/>
      </w:r>
    </w:p>
    <w:p w14:paraId="672B7748" w14:textId="77777777" w:rsidR="00B03E8D" w:rsidRPr="00B03E8D" w:rsidRDefault="00B03E8D">
      <w:pPr>
        <w:pStyle w:val="TOC2"/>
        <w:rPr>
          <w:rFonts w:asciiTheme="minorHAnsi" w:eastAsiaTheme="minorEastAsia" w:hAnsiTheme="minorHAnsi" w:cstheme="minorBidi"/>
          <w:sz w:val="22"/>
          <w:szCs w:val="22"/>
        </w:rPr>
      </w:pPr>
      <w:r w:rsidRPr="00B03E8D">
        <w:rPr>
          <w:rFonts w:cs="Tahoma"/>
          <w:caps/>
          <w:vertAlign w:val="superscript"/>
        </w:rPr>
        <w:t>60</w:t>
      </w:r>
      <w:r w:rsidRPr="00B03E8D">
        <w:rPr>
          <w:rFonts w:cs="Tahoma"/>
        </w:rPr>
        <w:t xml:space="preserve"> Forefront Identity Manager 2010 – Windows Live Edition</w:t>
      </w:r>
      <w:r w:rsidRPr="00B03E8D">
        <w:tab/>
      </w:r>
      <w:r w:rsidRPr="00B03E8D">
        <w:fldChar w:fldCharType="begin"/>
      </w:r>
      <w:r w:rsidRPr="00B03E8D">
        <w:instrText xml:space="preserve"> PAGEREF _Toc371663713 \h </w:instrText>
      </w:r>
      <w:r w:rsidRPr="00B03E8D">
        <w:fldChar w:fldCharType="separate"/>
      </w:r>
      <w:r w:rsidR="003F471F">
        <w:t>151</w:t>
      </w:r>
      <w:r w:rsidRPr="00B03E8D">
        <w:fldChar w:fldCharType="end"/>
      </w:r>
    </w:p>
    <w:p w14:paraId="098BE0DF"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61</w:t>
      </w:r>
      <w:r w:rsidRPr="00B03E8D">
        <w:rPr>
          <w:color w:val="auto"/>
        </w:rPr>
        <w:t xml:space="preserve"> Forefront Online Protection for Exchange (SL per Dispositivo e Utente)</w:t>
      </w:r>
      <w:r w:rsidRPr="00B03E8D">
        <w:rPr>
          <w:color w:val="auto"/>
        </w:rPr>
        <w:tab/>
      </w:r>
      <w:r w:rsidRPr="00B03E8D">
        <w:rPr>
          <w:color w:val="auto"/>
        </w:rPr>
        <w:fldChar w:fldCharType="begin"/>
      </w:r>
      <w:r w:rsidRPr="00B03E8D">
        <w:rPr>
          <w:color w:val="auto"/>
        </w:rPr>
        <w:instrText xml:space="preserve"> PAGEREF _Toc371663714 \h </w:instrText>
      </w:r>
      <w:r w:rsidRPr="00B03E8D">
        <w:rPr>
          <w:color w:val="auto"/>
        </w:rPr>
      </w:r>
      <w:r w:rsidRPr="00B03E8D">
        <w:rPr>
          <w:color w:val="auto"/>
        </w:rPr>
        <w:fldChar w:fldCharType="separate"/>
      </w:r>
      <w:r w:rsidR="003F471F">
        <w:rPr>
          <w:color w:val="auto"/>
        </w:rPr>
        <w:t>151</w:t>
      </w:r>
      <w:r w:rsidRPr="00B03E8D">
        <w:rPr>
          <w:color w:val="auto"/>
        </w:rPr>
        <w:fldChar w:fldCharType="end"/>
      </w:r>
    </w:p>
    <w:p w14:paraId="563E8B13" w14:textId="77777777" w:rsidR="00B03E8D" w:rsidRPr="00B03E8D" w:rsidRDefault="00B03E8D" w:rsidP="00737018">
      <w:pPr>
        <w:pStyle w:val="TOC3"/>
        <w:ind w:left="202" w:hanging="202"/>
        <w:rPr>
          <w:rFonts w:asciiTheme="minorHAnsi" w:eastAsiaTheme="minorEastAsia" w:hAnsiTheme="minorHAnsi" w:cstheme="minorBidi"/>
          <w:bCs w:val="0"/>
          <w:color w:val="auto"/>
          <w:sz w:val="22"/>
          <w:szCs w:val="22"/>
        </w:rPr>
      </w:pPr>
      <w:r w:rsidRPr="00B03E8D">
        <w:rPr>
          <w:caps/>
          <w:color w:val="auto"/>
          <w:vertAlign w:val="superscript"/>
        </w:rPr>
        <w:t>62</w:t>
      </w:r>
      <w:r w:rsidRPr="00B03E8D">
        <w:rPr>
          <w:color w:val="auto"/>
        </w:rPr>
        <w:t xml:space="preserve"> Forefront Protection 2010 for Exchange Server (SL per Dispositivo e Utente), Forefront Protection 2010 for</w:t>
      </w:r>
      <w:r w:rsidR="00737018">
        <w:rPr>
          <w:color w:val="auto"/>
        </w:rPr>
        <w:t> </w:t>
      </w:r>
      <w:r w:rsidRPr="00B03E8D">
        <w:rPr>
          <w:color w:val="auto"/>
        </w:rPr>
        <w:t>SharePoint (SL per Dispositivo e Utente) e Forefront Protection 2010 per siti Internet (SL Add-on SL)</w:t>
      </w:r>
      <w:r w:rsidRPr="00B03E8D">
        <w:rPr>
          <w:color w:val="auto"/>
        </w:rPr>
        <w:tab/>
      </w:r>
      <w:r w:rsidRPr="00B03E8D">
        <w:rPr>
          <w:color w:val="auto"/>
        </w:rPr>
        <w:fldChar w:fldCharType="begin"/>
      </w:r>
      <w:r w:rsidRPr="00B03E8D">
        <w:rPr>
          <w:color w:val="auto"/>
        </w:rPr>
        <w:instrText xml:space="preserve"> PAGEREF _Toc371663715 \h </w:instrText>
      </w:r>
      <w:r w:rsidRPr="00B03E8D">
        <w:rPr>
          <w:color w:val="auto"/>
        </w:rPr>
      </w:r>
      <w:r w:rsidRPr="00B03E8D">
        <w:rPr>
          <w:color w:val="auto"/>
        </w:rPr>
        <w:fldChar w:fldCharType="separate"/>
      </w:r>
      <w:r w:rsidR="003F471F">
        <w:rPr>
          <w:color w:val="auto"/>
        </w:rPr>
        <w:t>152</w:t>
      </w:r>
      <w:r w:rsidRPr="00B03E8D">
        <w:rPr>
          <w:color w:val="auto"/>
        </w:rPr>
        <w:fldChar w:fldCharType="end"/>
      </w:r>
    </w:p>
    <w:p w14:paraId="386A3D5B"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63</w:t>
      </w:r>
      <w:r w:rsidRPr="00B03E8D">
        <w:rPr>
          <w:color w:val="auto"/>
        </w:rPr>
        <w:t xml:space="preserve"> Forefront Protection Suite (Dispositivo e Utente)</w:t>
      </w:r>
      <w:r w:rsidRPr="00B03E8D">
        <w:rPr>
          <w:color w:val="auto"/>
        </w:rPr>
        <w:tab/>
      </w:r>
      <w:r w:rsidRPr="00B03E8D">
        <w:rPr>
          <w:color w:val="auto"/>
        </w:rPr>
        <w:fldChar w:fldCharType="begin"/>
      </w:r>
      <w:r w:rsidRPr="00B03E8D">
        <w:rPr>
          <w:color w:val="auto"/>
        </w:rPr>
        <w:instrText xml:space="preserve"> PAGEREF _Toc371663716 \h </w:instrText>
      </w:r>
      <w:r w:rsidRPr="00B03E8D">
        <w:rPr>
          <w:color w:val="auto"/>
        </w:rPr>
      </w:r>
      <w:r w:rsidRPr="00B03E8D">
        <w:rPr>
          <w:color w:val="auto"/>
        </w:rPr>
        <w:fldChar w:fldCharType="separate"/>
      </w:r>
      <w:r w:rsidR="003F471F">
        <w:rPr>
          <w:color w:val="auto"/>
        </w:rPr>
        <w:t>152</w:t>
      </w:r>
      <w:r w:rsidRPr="00B03E8D">
        <w:rPr>
          <w:color w:val="auto"/>
        </w:rPr>
        <w:fldChar w:fldCharType="end"/>
      </w:r>
    </w:p>
    <w:p w14:paraId="5EC0A3A6"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 xml:space="preserve">64 </w:t>
      </w:r>
      <w:r w:rsidRPr="00B03E8D">
        <w:rPr>
          <w:color w:val="auto"/>
        </w:rPr>
        <w:t>Forefront Security for Office Communications Server (SL per Utente e Dispositivo)</w:t>
      </w:r>
      <w:r w:rsidRPr="00B03E8D">
        <w:rPr>
          <w:color w:val="auto"/>
        </w:rPr>
        <w:tab/>
      </w:r>
      <w:r w:rsidRPr="00B03E8D">
        <w:rPr>
          <w:color w:val="auto"/>
        </w:rPr>
        <w:fldChar w:fldCharType="begin"/>
      </w:r>
      <w:r w:rsidRPr="00B03E8D">
        <w:rPr>
          <w:color w:val="auto"/>
        </w:rPr>
        <w:instrText xml:space="preserve"> PAGEREF _Toc371663717 \h </w:instrText>
      </w:r>
      <w:r w:rsidRPr="00B03E8D">
        <w:rPr>
          <w:color w:val="auto"/>
        </w:rPr>
      </w:r>
      <w:r w:rsidRPr="00B03E8D">
        <w:rPr>
          <w:color w:val="auto"/>
        </w:rPr>
        <w:fldChar w:fldCharType="separate"/>
      </w:r>
      <w:r w:rsidR="003F471F">
        <w:rPr>
          <w:color w:val="auto"/>
        </w:rPr>
        <w:t>153</w:t>
      </w:r>
      <w:r w:rsidRPr="00B03E8D">
        <w:rPr>
          <w:color w:val="auto"/>
        </w:rPr>
        <w:fldChar w:fldCharType="end"/>
      </w:r>
    </w:p>
    <w:p w14:paraId="1F52FE1C"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 xml:space="preserve">65 </w:t>
      </w:r>
      <w:r w:rsidRPr="00B03E8D">
        <w:rPr>
          <w:color w:val="auto"/>
        </w:rPr>
        <w:t>Forefront Threat Management Gateway Web Protection Service</w:t>
      </w:r>
      <w:r w:rsidRPr="00B03E8D">
        <w:rPr>
          <w:color w:val="auto"/>
        </w:rPr>
        <w:tab/>
      </w:r>
      <w:r w:rsidRPr="00B03E8D">
        <w:rPr>
          <w:color w:val="auto"/>
        </w:rPr>
        <w:fldChar w:fldCharType="begin"/>
      </w:r>
      <w:r w:rsidRPr="00B03E8D">
        <w:rPr>
          <w:color w:val="auto"/>
        </w:rPr>
        <w:instrText xml:space="preserve"> PAGEREF _Toc371663718 \h </w:instrText>
      </w:r>
      <w:r w:rsidRPr="00B03E8D">
        <w:rPr>
          <w:color w:val="auto"/>
        </w:rPr>
      </w:r>
      <w:r w:rsidRPr="00B03E8D">
        <w:rPr>
          <w:color w:val="auto"/>
        </w:rPr>
        <w:fldChar w:fldCharType="separate"/>
      </w:r>
      <w:r w:rsidR="003F471F">
        <w:rPr>
          <w:color w:val="auto"/>
        </w:rPr>
        <w:t>153</w:t>
      </w:r>
      <w:r w:rsidRPr="00B03E8D">
        <w:rPr>
          <w:color w:val="auto"/>
        </w:rPr>
        <w:fldChar w:fldCharType="end"/>
      </w:r>
    </w:p>
    <w:p w14:paraId="4DEB33BD"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 xml:space="preserve">66 </w:t>
      </w:r>
      <w:r w:rsidRPr="00B03E8D">
        <w:rPr>
          <w:color w:val="auto"/>
        </w:rPr>
        <w:t>Forefront Unified Access Gateway 2010</w:t>
      </w:r>
      <w:r w:rsidRPr="00B03E8D">
        <w:rPr>
          <w:color w:val="auto"/>
        </w:rPr>
        <w:tab/>
      </w:r>
      <w:r w:rsidRPr="00B03E8D">
        <w:rPr>
          <w:color w:val="auto"/>
        </w:rPr>
        <w:fldChar w:fldCharType="begin"/>
      </w:r>
      <w:r w:rsidRPr="00B03E8D">
        <w:rPr>
          <w:color w:val="auto"/>
        </w:rPr>
        <w:instrText xml:space="preserve"> PAGEREF _Toc371663719 \h </w:instrText>
      </w:r>
      <w:r w:rsidRPr="00B03E8D">
        <w:rPr>
          <w:color w:val="auto"/>
        </w:rPr>
      </w:r>
      <w:r w:rsidRPr="00B03E8D">
        <w:rPr>
          <w:color w:val="auto"/>
        </w:rPr>
        <w:fldChar w:fldCharType="separate"/>
      </w:r>
      <w:r w:rsidR="003F471F">
        <w:rPr>
          <w:color w:val="auto"/>
        </w:rPr>
        <w:t>153</w:t>
      </w:r>
      <w:r w:rsidRPr="00B03E8D">
        <w:rPr>
          <w:color w:val="auto"/>
        </w:rPr>
        <w:fldChar w:fldCharType="end"/>
      </w:r>
    </w:p>
    <w:p w14:paraId="532CC302"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 xml:space="preserve">67 </w:t>
      </w:r>
      <w:r w:rsidRPr="00B03E8D">
        <w:rPr>
          <w:color w:val="auto"/>
        </w:rPr>
        <w:t>HPC Pack 2008 R2 Enterprise</w:t>
      </w:r>
      <w:r w:rsidRPr="00B03E8D">
        <w:rPr>
          <w:color w:val="auto"/>
        </w:rPr>
        <w:tab/>
      </w:r>
      <w:r w:rsidRPr="00B03E8D">
        <w:rPr>
          <w:color w:val="auto"/>
        </w:rPr>
        <w:fldChar w:fldCharType="begin"/>
      </w:r>
      <w:r w:rsidRPr="00B03E8D">
        <w:rPr>
          <w:color w:val="auto"/>
        </w:rPr>
        <w:instrText xml:space="preserve"> PAGEREF _Toc371663720 \h </w:instrText>
      </w:r>
      <w:r w:rsidRPr="00B03E8D">
        <w:rPr>
          <w:color w:val="auto"/>
        </w:rPr>
      </w:r>
      <w:r w:rsidRPr="00B03E8D">
        <w:rPr>
          <w:color w:val="auto"/>
        </w:rPr>
        <w:fldChar w:fldCharType="separate"/>
      </w:r>
      <w:r w:rsidR="003F471F">
        <w:rPr>
          <w:color w:val="auto"/>
        </w:rPr>
        <w:t>153</w:t>
      </w:r>
      <w:r w:rsidRPr="00B03E8D">
        <w:rPr>
          <w:color w:val="auto"/>
        </w:rPr>
        <w:fldChar w:fldCharType="end"/>
      </w:r>
    </w:p>
    <w:p w14:paraId="77420C66" w14:textId="77777777" w:rsidR="00B03E8D" w:rsidRPr="000D2E35" w:rsidRDefault="00B03E8D">
      <w:pPr>
        <w:pStyle w:val="TOC2"/>
        <w:rPr>
          <w:rFonts w:asciiTheme="minorHAnsi" w:eastAsiaTheme="minorEastAsia" w:hAnsiTheme="minorHAnsi" w:cstheme="minorBidi"/>
          <w:sz w:val="22"/>
          <w:szCs w:val="22"/>
          <w:lang w:val="it-IT"/>
        </w:rPr>
      </w:pPr>
      <w:r w:rsidRPr="000D2E35">
        <w:rPr>
          <w:rFonts w:cs="Tahoma"/>
          <w:caps/>
          <w:vertAlign w:val="superscript"/>
          <w:lang w:val="it-IT"/>
        </w:rPr>
        <w:t>68</w:t>
      </w:r>
      <w:r w:rsidRPr="000D2E35">
        <w:rPr>
          <w:rFonts w:cs="Tahoma"/>
          <w:lang w:val="it-IT"/>
        </w:rPr>
        <w:t xml:space="preserve"> Lync Online Piani 1, 2 e 3</w:t>
      </w:r>
      <w:r w:rsidRPr="000D2E35">
        <w:rPr>
          <w:lang w:val="it-IT"/>
        </w:rPr>
        <w:tab/>
      </w:r>
      <w:r w:rsidRPr="00B03E8D">
        <w:fldChar w:fldCharType="begin"/>
      </w:r>
      <w:r w:rsidRPr="000D2E35">
        <w:rPr>
          <w:lang w:val="it-IT"/>
        </w:rPr>
        <w:instrText xml:space="preserve"> PAGEREF _Toc371663721 \h </w:instrText>
      </w:r>
      <w:r w:rsidRPr="00B03E8D">
        <w:fldChar w:fldCharType="separate"/>
      </w:r>
      <w:r w:rsidR="003F471F" w:rsidRPr="000D2E35">
        <w:rPr>
          <w:lang w:val="it-IT"/>
        </w:rPr>
        <w:t>154</w:t>
      </w:r>
      <w:r w:rsidRPr="00B03E8D">
        <w:fldChar w:fldCharType="end"/>
      </w:r>
    </w:p>
    <w:p w14:paraId="3BE29BBE" w14:textId="77777777" w:rsidR="00B03E8D" w:rsidRPr="000D2E35" w:rsidRDefault="00B03E8D">
      <w:pPr>
        <w:pStyle w:val="TOC2"/>
        <w:rPr>
          <w:rFonts w:asciiTheme="minorHAnsi" w:eastAsiaTheme="minorEastAsia" w:hAnsiTheme="minorHAnsi" w:cstheme="minorBidi"/>
          <w:sz w:val="22"/>
          <w:szCs w:val="22"/>
          <w:lang w:val="it-IT"/>
        </w:rPr>
      </w:pPr>
      <w:r w:rsidRPr="000D2E35">
        <w:rPr>
          <w:rFonts w:cs="Tahoma"/>
          <w:caps/>
          <w:vertAlign w:val="superscript"/>
          <w:lang w:val="it-IT"/>
        </w:rPr>
        <w:t xml:space="preserve">69 </w:t>
      </w:r>
      <w:r w:rsidRPr="000D2E35">
        <w:rPr>
          <w:rFonts w:cs="Tahoma"/>
          <w:lang w:val="it-IT"/>
        </w:rPr>
        <w:t>Lync Server 2013</w:t>
      </w:r>
      <w:r w:rsidRPr="000D2E35">
        <w:rPr>
          <w:lang w:val="it-IT"/>
        </w:rPr>
        <w:tab/>
      </w:r>
      <w:r w:rsidRPr="00B03E8D">
        <w:fldChar w:fldCharType="begin"/>
      </w:r>
      <w:r w:rsidRPr="000D2E35">
        <w:rPr>
          <w:lang w:val="it-IT"/>
        </w:rPr>
        <w:instrText xml:space="preserve"> PAGEREF _Toc371663722 \h </w:instrText>
      </w:r>
      <w:r w:rsidRPr="00B03E8D">
        <w:fldChar w:fldCharType="separate"/>
      </w:r>
      <w:r w:rsidR="003F471F" w:rsidRPr="000D2E35">
        <w:rPr>
          <w:lang w:val="it-IT"/>
        </w:rPr>
        <w:t>155</w:t>
      </w:r>
      <w:r w:rsidRPr="00B03E8D">
        <w:fldChar w:fldCharType="end"/>
      </w:r>
    </w:p>
    <w:p w14:paraId="7F7D9712" w14:textId="77777777" w:rsidR="00B03E8D" w:rsidRPr="000D2E35" w:rsidRDefault="00B03E8D">
      <w:pPr>
        <w:pStyle w:val="TOC3"/>
        <w:rPr>
          <w:rFonts w:asciiTheme="minorHAnsi" w:eastAsiaTheme="minorEastAsia" w:hAnsiTheme="minorHAnsi" w:cstheme="minorBidi"/>
          <w:bCs w:val="0"/>
          <w:color w:val="auto"/>
          <w:sz w:val="22"/>
          <w:szCs w:val="22"/>
          <w:lang w:val="it-IT"/>
        </w:rPr>
      </w:pPr>
      <w:r w:rsidRPr="000D2E35">
        <w:rPr>
          <w:color w:val="auto"/>
          <w:vertAlign w:val="superscript"/>
          <w:lang w:val="it-IT"/>
        </w:rPr>
        <w:t>70</w:t>
      </w:r>
      <w:r w:rsidRPr="000D2E35">
        <w:rPr>
          <w:color w:val="auto"/>
          <w:lang w:val="it-IT"/>
        </w:rPr>
        <w:t xml:space="preserve"> Microsoft Dynamics AX 2012 R2</w:t>
      </w:r>
      <w:r w:rsidRPr="000D2E35">
        <w:rPr>
          <w:color w:val="auto"/>
          <w:lang w:val="it-IT"/>
        </w:rPr>
        <w:tab/>
      </w:r>
      <w:r w:rsidRPr="00B03E8D">
        <w:rPr>
          <w:color w:val="auto"/>
        </w:rPr>
        <w:fldChar w:fldCharType="begin"/>
      </w:r>
      <w:r w:rsidRPr="000D2E35">
        <w:rPr>
          <w:color w:val="auto"/>
          <w:lang w:val="it-IT"/>
        </w:rPr>
        <w:instrText xml:space="preserve"> PAGEREF _Toc371663723 \h </w:instrText>
      </w:r>
      <w:r w:rsidRPr="00B03E8D">
        <w:rPr>
          <w:color w:val="auto"/>
        </w:rPr>
      </w:r>
      <w:r w:rsidRPr="00B03E8D">
        <w:rPr>
          <w:color w:val="auto"/>
        </w:rPr>
        <w:fldChar w:fldCharType="separate"/>
      </w:r>
      <w:r w:rsidR="003F471F" w:rsidRPr="000D2E35">
        <w:rPr>
          <w:color w:val="auto"/>
          <w:lang w:val="it-IT"/>
        </w:rPr>
        <w:t>156</w:t>
      </w:r>
      <w:r w:rsidRPr="00B03E8D">
        <w:rPr>
          <w:color w:val="auto"/>
        </w:rPr>
        <w:fldChar w:fldCharType="end"/>
      </w:r>
    </w:p>
    <w:p w14:paraId="10197F95" w14:textId="77777777" w:rsidR="00B03E8D" w:rsidRPr="000D2E35" w:rsidRDefault="00B03E8D">
      <w:pPr>
        <w:pStyle w:val="TOC3"/>
        <w:rPr>
          <w:rFonts w:asciiTheme="minorHAnsi" w:eastAsiaTheme="minorEastAsia" w:hAnsiTheme="minorHAnsi" w:cstheme="minorBidi"/>
          <w:bCs w:val="0"/>
          <w:color w:val="auto"/>
          <w:sz w:val="22"/>
          <w:szCs w:val="22"/>
          <w:lang w:val="it-IT"/>
        </w:rPr>
      </w:pPr>
      <w:r w:rsidRPr="000D2E35">
        <w:rPr>
          <w:color w:val="auto"/>
          <w:vertAlign w:val="superscript"/>
          <w:lang w:val="it-IT"/>
        </w:rPr>
        <w:t>71</w:t>
      </w:r>
      <w:r w:rsidRPr="000D2E35">
        <w:rPr>
          <w:color w:val="auto"/>
          <w:lang w:val="it-IT"/>
        </w:rPr>
        <w:t xml:space="preserve"> Microsoft Dynamics CRM 2013</w:t>
      </w:r>
      <w:r w:rsidRPr="000D2E35">
        <w:rPr>
          <w:color w:val="auto"/>
          <w:lang w:val="it-IT"/>
        </w:rPr>
        <w:tab/>
      </w:r>
      <w:r w:rsidRPr="00B03E8D">
        <w:rPr>
          <w:color w:val="auto"/>
        </w:rPr>
        <w:fldChar w:fldCharType="begin"/>
      </w:r>
      <w:r w:rsidRPr="000D2E35">
        <w:rPr>
          <w:color w:val="auto"/>
          <w:lang w:val="it-IT"/>
        </w:rPr>
        <w:instrText xml:space="preserve"> PAGEREF _Toc371663724 \h </w:instrText>
      </w:r>
      <w:r w:rsidRPr="00B03E8D">
        <w:rPr>
          <w:color w:val="auto"/>
        </w:rPr>
      </w:r>
      <w:r w:rsidRPr="00B03E8D">
        <w:rPr>
          <w:color w:val="auto"/>
        </w:rPr>
        <w:fldChar w:fldCharType="separate"/>
      </w:r>
      <w:r w:rsidR="003F471F" w:rsidRPr="000D2E35">
        <w:rPr>
          <w:color w:val="auto"/>
          <w:lang w:val="it-IT"/>
        </w:rPr>
        <w:t>157</w:t>
      </w:r>
      <w:r w:rsidRPr="00B03E8D">
        <w:rPr>
          <w:color w:val="auto"/>
        </w:rPr>
        <w:fldChar w:fldCharType="end"/>
      </w:r>
    </w:p>
    <w:p w14:paraId="3D403C4A" w14:textId="77777777" w:rsidR="00B03E8D" w:rsidRPr="000D2E35" w:rsidRDefault="00B03E8D">
      <w:pPr>
        <w:pStyle w:val="TOC3"/>
        <w:rPr>
          <w:rFonts w:asciiTheme="minorHAnsi" w:eastAsiaTheme="minorEastAsia" w:hAnsiTheme="minorHAnsi" w:cstheme="minorBidi"/>
          <w:bCs w:val="0"/>
          <w:color w:val="auto"/>
          <w:sz w:val="22"/>
          <w:szCs w:val="22"/>
          <w:lang w:val="it-IT"/>
        </w:rPr>
      </w:pPr>
      <w:r w:rsidRPr="000D2E35">
        <w:rPr>
          <w:color w:val="auto"/>
          <w:vertAlign w:val="superscript"/>
          <w:lang w:val="it-IT"/>
        </w:rPr>
        <w:t>72</w:t>
      </w:r>
      <w:r w:rsidRPr="000D2E35">
        <w:rPr>
          <w:color w:val="auto"/>
          <w:lang w:val="it-IT"/>
        </w:rPr>
        <w:t xml:space="preserve"> Microsoft Dynamics CRM 2011 External Connector</w:t>
      </w:r>
      <w:r w:rsidRPr="000D2E35">
        <w:rPr>
          <w:color w:val="auto"/>
          <w:lang w:val="it-IT"/>
        </w:rPr>
        <w:tab/>
      </w:r>
      <w:r w:rsidRPr="00B03E8D">
        <w:rPr>
          <w:color w:val="auto"/>
        </w:rPr>
        <w:fldChar w:fldCharType="begin"/>
      </w:r>
      <w:r w:rsidRPr="000D2E35">
        <w:rPr>
          <w:color w:val="auto"/>
          <w:lang w:val="it-IT"/>
        </w:rPr>
        <w:instrText xml:space="preserve"> PAGEREF _Toc371663725 \h </w:instrText>
      </w:r>
      <w:r w:rsidRPr="00B03E8D">
        <w:rPr>
          <w:color w:val="auto"/>
        </w:rPr>
      </w:r>
      <w:r w:rsidRPr="00B03E8D">
        <w:rPr>
          <w:color w:val="auto"/>
        </w:rPr>
        <w:fldChar w:fldCharType="separate"/>
      </w:r>
      <w:r w:rsidR="003F471F" w:rsidRPr="000D2E35">
        <w:rPr>
          <w:color w:val="auto"/>
          <w:lang w:val="it-IT"/>
        </w:rPr>
        <w:t>160</w:t>
      </w:r>
      <w:r w:rsidRPr="00B03E8D">
        <w:rPr>
          <w:color w:val="auto"/>
        </w:rPr>
        <w:fldChar w:fldCharType="end"/>
      </w:r>
    </w:p>
    <w:p w14:paraId="6455AF75" w14:textId="77777777" w:rsidR="00B03E8D" w:rsidRPr="000D2E35" w:rsidRDefault="00B03E8D">
      <w:pPr>
        <w:pStyle w:val="TOC3"/>
        <w:rPr>
          <w:rFonts w:asciiTheme="minorHAnsi" w:eastAsiaTheme="minorEastAsia" w:hAnsiTheme="minorHAnsi" w:cstheme="minorBidi"/>
          <w:bCs w:val="0"/>
          <w:color w:val="auto"/>
          <w:sz w:val="22"/>
          <w:szCs w:val="22"/>
          <w:lang w:val="it-IT"/>
        </w:rPr>
      </w:pPr>
      <w:r w:rsidRPr="000D2E35">
        <w:rPr>
          <w:caps/>
          <w:color w:val="auto"/>
          <w:vertAlign w:val="superscript"/>
          <w:lang w:val="it-IT"/>
        </w:rPr>
        <w:t>73</w:t>
      </w:r>
      <w:r w:rsidRPr="000D2E35">
        <w:rPr>
          <w:color w:val="auto"/>
          <w:lang w:val="it-IT"/>
        </w:rPr>
        <w:t xml:space="preserve"> Microsoft Dynamics CRM Online</w:t>
      </w:r>
      <w:r w:rsidRPr="000D2E35">
        <w:rPr>
          <w:color w:val="auto"/>
          <w:lang w:val="it-IT"/>
        </w:rPr>
        <w:tab/>
      </w:r>
      <w:r w:rsidRPr="00B03E8D">
        <w:rPr>
          <w:color w:val="auto"/>
        </w:rPr>
        <w:fldChar w:fldCharType="begin"/>
      </w:r>
      <w:r w:rsidRPr="000D2E35">
        <w:rPr>
          <w:color w:val="auto"/>
          <w:lang w:val="it-IT"/>
        </w:rPr>
        <w:instrText xml:space="preserve"> PAGEREF _Toc371663726 \h </w:instrText>
      </w:r>
      <w:r w:rsidRPr="00B03E8D">
        <w:rPr>
          <w:color w:val="auto"/>
        </w:rPr>
      </w:r>
      <w:r w:rsidRPr="00B03E8D">
        <w:rPr>
          <w:color w:val="auto"/>
        </w:rPr>
        <w:fldChar w:fldCharType="separate"/>
      </w:r>
      <w:r w:rsidR="003F471F" w:rsidRPr="000D2E35">
        <w:rPr>
          <w:color w:val="auto"/>
          <w:lang w:val="it-IT"/>
        </w:rPr>
        <w:t>161</w:t>
      </w:r>
      <w:r w:rsidRPr="00B03E8D">
        <w:rPr>
          <w:color w:val="auto"/>
        </w:rPr>
        <w:fldChar w:fldCharType="end"/>
      </w:r>
    </w:p>
    <w:p w14:paraId="46390DC5"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74</w:t>
      </w:r>
      <w:r w:rsidRPr="00B03E8D">
        <w:rPr>
          <w:color w:val="auto"/>
        </w:rPr>
        <w:t xml:space="preserve"> Microsoft Learning MCP Exam Vouchers</w:t>
      </w:r>
      <w:r w:rsidRPr="00B03E8D">
        <w:rPr>
          <w:color w:val="auto"/>
        </w:rPr>
        <w:tab/>
      </w:r>
      <w:r w:rsidRPr="00B03E8D">
        <w:rPr>
          <w:color w:val="auto"/>
        </w:rPr>
        <w:fldChar w:fldCharType="begin"/>
      </w:r>
      <w:r w:rsidRPr="00B03E8D">
        <w:rPr>
          <w:color w:val="auto"/>
        </w:rPr>
        <w:instrText xml:space="preserve"> PAGEREF _Toc371663727 \h </w:instrText>
      </w:r>
      <w:r w:rsidRPr="00B03E8D">
        <w:rPr>
          <w:color w:val="auto"/>
        </w:rPr>
      </w:r>
      <w:r w:rsidRPr="00B03E8D">
        <w:rPr>
          <w:color w:val="auto"/>
        </w:rPr>
        <w:fldChar w:fldCharType="separate"/>
      </w:r>
      <w:r w:rsidR="003F471F">
        <w:rPr>
          <w:color w:val="auto"/>
        </w:rPr>
        <w:t>161</w:t>
      </w:r>
      <w:r w:rsidRPr="00B03E8D">
        <w:rPr>
          <w:color w:val="auto"/>
        </w:rPr>
        <w:fldChar w:fldCharType="end"/>
      </w:r>
    </w:p>
    <w:p w14:paraId="15D2187C" w14:textId="77777777" w:rsidR="00B03E8D" w:rsidRPr="000D2E35" w:rsidRDefault="00B03E8D">
      <w:pPr>
        <w:pStyle w:val="TOC2"/>
        <w:rPr>
          <w:rFonts w:asciiTheme="minorHAnsi" w:eastAsiaTheme="minorEastAsia" w:hAnsiTheme="minorHAnsi" w:cstheme="minorBidi"/>
          <w:sz w:val="22"/>
          <w:szCs w:val="22"/>
          <w:lang w:val="it-IT"/>
        </w:rPr>
      </w:pPr>
      <w:r w:rsidRPr="000D2E35">
        <w:rPr>
          <w:rFonts w:cs="Tahoma"/>
          <w:caps/>
          <w:vertAlign w:val="superscript"/>
          <w:lang w:val="it-IT"/>
        </w:rPr>
        <w:t xml:space="preserve">75 </w:t>
      </w:r>
      <w:r w:rsidRPr="000D2E35">
        <w:rPr>
          <w:rFonts w:cs="Tahoma"/>
          <w:lang w:val="it-IT"/>
        </w:rPr>
        <w:t>Office 365 Enterprise K1 (SL per Utente)</w:t>
      </w:r>
      <w:r w:rsidRPr="000D2E35">
        <w:rPr>
          <w:lang w:val="it-IT"/>
        </w:rPr>
        <w:tab/>
      </w:r>
      <w:r w:rsidRPr="00B03E8D">
        <w:fldChar w:fldCharType="begin"/>
      </w:r>
      <w:r w:rsidRPr="000D2E35">
        <w:rPr>
          <w:lang w:val="it-IT"/>
        </w:rPr>
        <w:instrText xml:space="preserve"> PAGEREF _Toc371663728 \h </w:instrText>
      </w:r>
      <w:r w:rsidRPr="00B03E8D">
        <w:fldChar w:fldCharType="separate"/>
      </w:r>
      <w:r w:rsidR="003F471F" w:rsidRPr="000D2E35">
        <w:rPr>
          <w:lang w:val="it-IT"/>
        </w:rPr>
        <w:t>162</w:t>
      </w:r>
      <w:r w:rsidRPr="00B03E8D">
        <w:fldChar w:fldCharType="end"/>
      </w:r>
    </w:p>
    <w:p w14:paraId="3801FF53" w14:textId="77777777" w:rsidR="00B03E8D" w:rsidRPr="00B03E8D" w:rsidRDefault="00B03E8D">
      <w:pPr>
        <w:pStyle w:val="TOC2"/>
        <w:rPr>
          <w:rFonts w:asciiTheme="minorHAnsi" w:eastAsiaTheme="minorEastAsia" w:hAnsiTheme="minorHAnsi" w:cstheme="minorBidi"/>
          <w:sz w:val="22"/>
          <w:szCs w:val="22"/>
        </w:rPr>
      </w:pPr>
      <w:r w:rsidRPr="00B03E8D">
        <w:rPr>
          <w:rFonts w:cs="Tahoma"/>
          <w:caps/>
          <w:vertAlign w:val="superscript"/>
        </w:rPr>
        <w:t>76</w:t>
      </w:r>
      <w:r w:rsidRPr="00B03E8D">
        <w:rPr>
          <w:rFonts w:cs="Tahoma"/>
        </w:rPr>
        <w:t xml:space="preserve"> Office 365 Government G1, G3, G4</w:t>
      </w:r>
      <w:r w:rsidRPr="00B03E8D">
        <w:tab/>
      </w:r>
      <w:r w:rsidRPr="00B03E8D">
        <w:fldChar w:fldCharType="begin"/>
      </w:r>
      <w:r w:rsidRPr="00B03E8D">
        <w:instrText xml:space="preserve"> PAGEREF _Toc371663729 \h </w:instrText>
      </w:r>
      <w:r w:rsidRPr="00B03E8D">
        <w:fldChar w:fldCharType="separate"/>
      </w:r>
      <w:r w:rsidR="003F471F">
        <w:t>162</w:t>
      </w:r>
      <w:r w:rsidRPr="00B03E8D">
        <w:fldChar w:fldCharType="end"/>
      </w:r>
    </w:p>
    <w:p w14:paraId="3FACE86C" w14:textId="77777777" w:rsidR="00B03E8D" w:rsidRPr="00B03E8D" w:rsidRDefault="00B03E8D">
      <w:pPr>
        <w:pStyle w:val="TOC2"/>
        <w:rPr>
          <w:rFonts w:asciiTheme="minorHAnsi" w:eastAsiaTheme="minorEastAsia" w:hAnsiTheme="minorHAnsi" w:cstheme="minorBidi"/>
          <w:sz w:val="22"/>
          <w:szCs w:val="22"/>
        </w:rPr>
      </w:pPr>
      <w:r w:rsidRPr="00B03E8D">
        <w:rPr>
          <w:rFonts w:cs="Tahoma"/>
          <w:caps/>
          <w:vertAlign w:val="superscript"/>
        </w:rPr>
        <w:t>77</w:t>
      </w:r>
      <w:r w:rsidRPr="00B03E8D">
        <w:rPr>
          <w:rFonts w:cs="Tahoma"/>
        </w:rPr>
        <w:t xml:space="preserve"> SharePoint Online Piani 1 e 2</w:t>
      </w:r>
      <w:r w:rsidRPr="00B03E8D">
        <w:tab/>
      </w:r>
      <w:r w:rsidRPr="00B03E8D">
        <w:fldChar w:fldCharType="begin"/>
      </w:r>
      <w:r w:rsidRPr="00B03E8D">
        <w:instrText xml:space="preserve"> PAGEREF _Toc371663730 \h </w:instrText>
      </w:r>
      <w:r w:rsidRPr="00B03E8D">
        <w:fldChar w:fldCharType="separate"/>
      </w:r>
      <w:r w:rsidR="003F471F">
        <w:t>163</w:t>
      </w:r>
      <w:r w:rsidRPr="00B03E8D">
        <w:fldChar w:fldCharType="end"/>
      </w:r>
    </w:p>
    <w:p w14:paraId="675D45D5" w14:textId="77777777" w:rsidR="00B03E8D" w:rsidRPr="00B03E8D" w:rsidRDefault="00B03E8D">
      <w:pPr>
        <w:pStyle w:val="TOC2"/>
        <w:rPr>
          <w:rFonts w:asciiTheme="minorHAnsi" w:eastAsiaTheme="minorEastAsia" w:hAnsiTheme="minorHAnsi" w:cstheme="minorBidi"/>
          <w:sz w:val="22"/>
          <w:szCs w:val="22"/>
        </w:rPr>
      </w:pPr>
      <w:r w:rsidRPr="00B03E8D">
        <w:rPr>
          <w:rFonts w:cs="Tahoma"/>
          <w:caps/>
          <w:vertAlign w:val="superscript"/>
        </w:rPr>
        <w:t xml:space="preserve">78 </w:t>
      </w:r>
      <w:r w:rsidRPr="00B03E8D">
        <w:rPr>
          <w:rFonts w:cs="Tahoma"/>
        </w:rPr>
        <w:t>SharePoint Server 2013</w:t>
      </w:r>
      <w:r w:rsidRPr="00B03E8D">
        <w:tab/>
      </w:r>
      <w:r w:rsidRPr="00B03E8D">
        <w:fldChar w:fldCharType="begin"/>
      </w:r>
      <w:r w:rsidRPr="00B03E8D">
        <w:instrText xml:space="preserve"> PAGEREF _Toc371663731 \h </w:instrText>
      </w:r>
      <w:r w:rsidRPr="00B03E8D">
        <w:fldChar w:fldCharType="separate"/>
      </w:r>
      <w:r w:rsidR="003F471F">
        <w:t>164</w:t>
      </w:r>
      <w:r w:rsidRPr="00B03E8D">
        <w:fldChar w:fldCharType="end"/>
      </w:r>
    </w:p>
    <w:p w14:paraId="004CEAFA"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79</w:t>
      </w:r>
      <w:r w:rsidRPr="00B03E8D">
        <w:rPr>
          <w:color w:val="auto"/>
        </w:rPr>
        <w:t xml:space="preserve"> SQL Server</w:t>
      </w:r>
      <w:r w:rsidRPr="00B03E8D">
        <w:rPr>
          <w:color w:val="auto"/>
          <w:vertAlign w:val="superscript"/>
        </w:rPr>
        <w:t>®</w:t>
      </w:r>
      <w:r w:rsidRPr="00B03E8D">
        <w:rPr>
          <w:color w:val="auto"/>
        </w:rPr>
        <w:t xml:space="preserve"> 2008 R2 Datacenter</w:t>
      </w:r>
      <w:r w:rsidRPr="00B03E8D">
        <w:rPr>
          <w:color w:val="auto"/>
        </w:rPr>
        <w:tab/>
      </w:r>
      <w:r w:rsidRPr="00B03E8D">
        <w:rPr>
          <w:color w:val="auto"/>
        </w:rPr>
        <w:fldChar w:fldCharType="begin"/>
      </w:r>
      <w:r w:rsidRPr="00B03E8D">
        <w:rPr>
          <w:color w:val="auto"/>
        </w:rPr>
        <w:instrText xml:space="preserve"> PAGEREF _Toc371663732 \h </w:instrText>
      </w:r>
      <w:r w:rsidRPr="00B03E8D">
        <w:rPr>
          <w:color w:val="auto"/>
        </w:rPr>
      </w:r>
      <w:r w:rsidRPr="00B03E8D">
        <w:rPr>
          <w:color w:val="auto"/>
        </w:rPr>
        <w:fldChar w:fldCharType="separate"/>
      </w:r>
      <w:r w:rsidR="003F471F">
        <w:rPr>
          <w:color w:val="auto"/>
        </w:rPr>
        <w:t>165</w:t>
      </w:r>
      <w:r w:rsidRPr="00B03E8D">
        <w:rPr>
          <w:color w:val="auto"/>
        </w:rPr>
        <w:fldChar w:fldCharType="end"/>
      </w:r>
    </w:p>
    <w:p w14:paraId="21DF3032"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 xml:space="preserve">80 </w:t>
      </w:r>
      <w:r w:rsidRPr="00B03E8D">
        <w:rPr>
          <w:color w:val="auto"/>
        </w:rPr>
        <w:t>SQL Server</w:t>
      </w:r>
      <w:r w:rsidRPr="00B03E8D">
        <w:rPr>
          <w:color w:val="auto"/>
          <w:vertAlign w:val="superscript"/>
        </w:rPr>
        <w:t>®</w:t>
      </w:r>
      <w:r w:rsidRPr="00B03E8D">
        <w:rPr>
          <w:color w:val="auto"/>
        </w:rPr>
        <w:t xml:space="preserve"> 2008 R2 Small Business</w:t>
      </w:r>
      <w:r w:rsidRPr="00B03E8D">
        <w:rPr>
          <w:color w:val="auto"/>
        </w:rPr>
        <w:tab/>
      </w:r>
      <w:r w:rsidRPr="00B03E8D">
        <w:rPr>
          <w:color w:val="auto"/>
        </w:rPr>
        <w:fldChar w:fldCharType="begin"/>
      </w:r>
      <w:r w:rsidRPr="00B03E8D">
        <w:rPr>
          <w:color w:val="auto"/>
        </w:rPr>
        <w:instrText xml:space="preserve"> PAGEREF _Toc371663733 \h </w:instrText>
      </w:r>
      <w:r w:rsidRPr="00B03E8D">
        <w:rPr>
          <w:color w:val="auto"/>
        </w:rPr>
      </w:r>
      <w:r w:rsidRPr="00B03E8D">
        <w:rPr>
          <w:color w:val="auto"/>
        </w:rPr>
        <w:fldChar w:fldCharType="separate"/>
      </w:r>
      <w:r w:rsidR="003F471F">
        <w:rPr>
          <w:color w:val="auto"/>
        </w:rPr>
        <w:t>168</w:t>
      </w:r>
      <w:r w:rsidRPr="00B03E8D">
        <w:rPr>
          <w:color w:val="auto"/>
        </w:rPr>
        <w:fldChar w:fldCharType="end"/>
      </w:r>
    </w:p>
    <w:p w14:paraId="0A48AA90"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81</w:t>
      </w:r>
      <w:r w:rsidRPr="00B03E8D">
        <w:rPr>
          <w:color w:val="auto"/>
        </w:rPr>
        <w:t xml:space="preserve"> Processore per SQL Server</w:t>
      </w:r>
      <w:r w:rsidRPr="00B03E8D">
        <w:rPr>
          <w:color w:val="auto"/>
          <w:vertAlign w:val="superscript"/>
        </w:rPr>
        <w:t>®</w:t>
      </w:r>
      <w:r w:rsidRPr="00B03E8D">
        <w:rPr>
          <w:color w:val="auto"/>
        </w:rPr>
        <w:t xml:space="preserve"> 2008 R2 Web</w:t>
      </w:r>
      <w:r w:rsidRPr="00B03E8D">
        <w:rPr>
          <w:color w:val="auto"/>
        </w:rPr>
        <w:tab/>
      </w:r>
      <w:r w:rsidRPr="00B03E8D">
        <w:rPr>
          <w:color w:val="auto"/>
        </w:rPr>
        <w:fldChar w:fldCharType="begin"/>
      </w:r>
      <w:r w:rsidRPr="00B03E8D">
        <w:rPr>
          <w:color w:val="auto"/>
        </w:rPr>
        <w:instrText xml:space="preserve"> PAGEREF _Toc371663734 \h </w:instrText>
      </w:r>
      <w:r w:rsidRPr="00B03E8D">
        <w:rPr>
          <w:color w:val="auto"/>
        </w:rPr>
      </w:r>
      <w:r w:rsidRPr="00B03E8D">
        <w:rPr>
          <w:color w:val="auto"/>
        </w:rPr>
        <w:fldChar w:fldCharType="separate"/>
      </w:r>
      <w:r w:rsidR="003F471F">
        <w:rPr>
          <w:color w:val="auto"/>
        </w:rPr>
        <w:t>168</w:t>
      </w:r>
      <w:r w:rsidRPr="00B03E8D">
        <w:rPr>
          <w:color w:val="auto"/>
        </w:rPr>
        <w:fldChar w:fldCharType="end"/>
      </w:r>
    </w:p>
    <w:p w14:paraId="20C40140"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olor w:val="auto"/>
          <w:vertAlign w:val="superscript"/>
        </w:rPr>
        <w:t>82</w:t>
      </w:r>
      <w:r w:rsidRPr="00B03E8D">
        <w:rPr>
          <w:color w:val="auto"/>
        </w:rPr>
        <w:t xml:space="preserve"> SQL Server</w:t>
      </w:r>
      <w:r w:rsidRPr="00B03E8D">
        <w:rPr>
          <w:color w:val="auto"/>
          <w:vertAlign w:val="superscript"/>
        </w:rPr>
        <w:t>®</w:t>
      </w:r>
      <w:r w:rsidRPr="00B03E8D">
        <w:rPr>
          <w:color w:val="auto"/>
        </w:rPr>
        <w:t xml:space="preserve"> 2008 R2 Workgroup (5 Add-On Client)</w:t>
      </w:r>
      <w:r w:rsidRPr="00B03E8D">
        <w:rPr>
          <w:color w:val="auto"/>
        </w:rPr>
        <w:tab/>
      </w:r>
      <w:r w:rsidRPr="00B03E8D">
        <w:rPr>
          <w:color w:val="auto"/>
        </w:rPr>
        <w:fldChar w:fldCharType="begin"/>
      </w:r>
      <w:r w:rsidRPr="00B03E8D">
        <w:rPr>
          <w:color w:val="auto"/>
        </w:rPr>
        <w:instrText xml:space="preserve"> PAGEREF _Toc371663735 \h </w:instrText>
      </w:r>
      <w:r w:rsidRPr="00B03E8D">
        <w:rPr>
          <w:color w:val="auto"/>
        </w:rPr>
      </w:r>
      <w:r w:rsidRPr="00B03E8D">
        <w:rPr>
          <w:color w:val="auto"/>
        </w:rPr>
        <w:fldChar w:fldCharType="separate"/>
      </w:r>
      <w:r w:rsidR="003F471F">
        <w:rPr>
          <w:color w:val="auto"/>
        </w:rPr>
        <w:t>170</w:t>
      </w:r>
      <w:r w:rsidRPr="00B03E8D">
        <w:rPr>
          <w:color w:val="auto"/>
        </w:rPr>
        <w:fldChar w:fldCharType="end"/>
      </w:r>
    </w:p>
    <w:p w14:paraId="1A70AACD" w14:textId="77777777" w:rsidR="00B03E8D" w:rsidRPr="000D2E35" w:rsidRDefault="00B03E8D">
      <w:pPr>
        <w:pStyle w:val="TOC3"/>
        <w:rPr>
          <w:rFonts w:asciiTheme="minorHAnsi" w:eastAsiaTheme="minorEastAsia" w:hAnsiTheme="minorHAnsi" w:cstheme="minorBidi"/>
          <w:bCs w:val="0"/>
          <w:color w:val="auto"/>
          <w:sz w:val="22"/>
          <w:szCs w:val="22"/>
          <w:lang w:val="it-IT"/>
        </w:rPr>
      </w:pPr>
      <w:r w:rsidRPr="000D2E35">
        <w:rPr>
          <w:color w:val="auto"/>
          <w:vertAlign w:val="superscript"/>
          <w:lang w:val="it-IT"/>
        </w:rPr>
        <w:t>83</w:t>
      </w:r>
      <w:r w:rsidRPr="000D2E35">
        <w:rPr>
          <w:color w:val="auto"/>
          <w:lang w:val="it-IT"/>
        </w:rPr>
        <w:t xml:space="preserve"> Licenza per Processore per SQL Server</w:t>
      </w:r>
      <w:r w:rsidRPr="000D2E35">
        <w:rPr>
          <w:color w:val="auto"/>
          <w:vertAlign w:val="superscript"/>
          <w:lang w:val="it-IT"/>
        </w:rPr>
        <w:t>®</w:t>
      </w:r>
      <w:r w:rsidRPr="000D2E35">
        <w:rPr>
          <w:color w:val="auto"/>
          <w:lang w:val="it-IT"/>
        </w:rPr>
        <w:t xml:space="preserve"> 2008 R2 Workgroup</w:t>
      </w:r>
      <w:r w:rsidRPr="000D2E35">
        <w:rPr>
          <w:color w:val="auto"/>
          <w:lang w:val="it-IT"/>
        </w:rPr>
        <w:tab/>
      </w:r>
      <w:r w:rsidRPr="00B03E8D">
        <w:rPr>
          <w:color w:val="auto"/>
        </w:rPr>
        <w:fldChar w:fldCharType="begin"/>
      </w:r>
      <w:r w:rsidRPr="000D2E35">
        <w:rPr>
          <w:color w:val="auto"/>
          <w:lang w:val="it-IT"/>
        </w:rPr>
        <w:instrText xml:space="preserve"> PAGEREF _Toc371663736 \h </w:instrText>
      </w:r>
      <w:r w:rsidRPr="00B03E8D">
        <w:rPr>
          <w:color w:val="auto"/>
        </w:rPr>
      </w:r>
      <w:r w:rsidRPr="00B03E8D">
        <w:rPr>
          <w:color w:val="auto"/>
        </w:rPr>
        <w:fldChar w:fldCharType="separate"/>
      </w:r>
      <w:r w:rsidR="003F471F" w:rsidRPr="000D2E35">
        <w:rPr>
          <w:color w:val="auto"/>
          <w:lang w:val="it-IT"/>
        </w:rPr>
        <w:t>171</w:t>
      </w:r>
      <w:r w:rsidRPr="00B03E8D">
        <w:rPr>
          <w:color w:val="auto"/>
        </w:rPr>
        <w:fldChar w:fldCharType="end"/>
      </w:r>
    </w:p>
    <w:p w14:paraId="6F5536F0" w14:textId="77777777" w:rsidR="00B03E8D" w:rsidRPr="000D2E35" w:rsidRDefault="00B03E8D">
      <w:pPr>
        <w:pStyle w:val="TOC3"/>
        <w:rPr>
          <w:rFonts w:asciiTheme="minorHAnsi" w:eastAsiaTheme="minorEastAsia" w:hAnsiTheme="minorHAnsi" w:cstheme="minorBidi"/>
          <w:bCs w:val="0"/>
          <w:color w:val="auto"/>
          <w:sz w:val="22"/>
          <w:szCs w:val="22"/>
          <w:lang w:val="it-IT"/>
        </w:rPr>
      </w:pPr>
      <w:r w:rsidRPr="000D2E35">
        <w:rPr>
          <w:color w:val="auto"/>
          <w:vertAlign w:val="superscript"/>
          <w:lang w:val="it-IT"/>
        </w:rPr>
        <w:t>84</w:t>
      </w:r>
      <w:r w:rsidRPr="000D2E35">
        <w:rPr>
          <w:color w:val="auto"/>
          <w:lang w:val="it-IT"/>
        </w:rPr>
        <w:t xml:space="preserve"> SQL Server</w:t>
      </w:r>
      <w:r w:rsidRPr="000D2E35">
        <w:rPr>
          <w:color w:val="auto"/>
          <w:vertAlign w:val="superscript"/>
          <w:lang w:val="it-IT"/>
        </w:rPr>
        <w:t>®</w:t>
      </w:r>
      <w:r w:rsidRPr="000D2E35">
        <w:rPr>
          <w:color w:val="auto"/>
          <w:lang w:val="it-IT"/>
        </w:rPr>
        <w:t xml:space="preserve"> 2012 Developer</w:t>
      </w:r>
      <w:r w:rsidRPr="000D2E35">
        <w:rPr>
          <w:color w:val="auto"/>
          <w:lang w:val="it-IT"/>
        </w:rPr>
        <w:tab/>
      </w:r>
      <w:r w:rsidRPr="00B03E8D">
        <w:rPr>
          <w:color w:val="auto"/>
        </w:rPr>
        <w:fldChar w:fldCharType="begin"/>
      </w:r>
      <w:r w:rsidRPr="000D2E35">
        <w:rPr>
          <w:color w:val="auto"/>
          <w:lang w:val="it-IT"/>
        </w:rPr>
        <w:instrText xml:space="preserve"> PAGEREF _Toc371663737 \h </w:instrText>
      </w:r>
      <w:r w:rsidRPr="00B03E8D">
        <w:rPr>
          <w:color w:val="auto"/>
        </w:rPr>
      </w:r>
      <w:r w:rsidRPr="00B03E8D">
        <w:rPr>
          <w:color w:val="auto"/>
        </w:rPr>
        <w:fldChar w:fldCharType="separate"/>
      </w:r>
      <w:r w:rsidR="003F471F" w:rsidRPr="000D2E35">
        <w:rPr>
          <w:color w:val="auto"/>
          <w:lang w:val="it-IT"/>
        </w:rPr>
        <w:t>173</w:t>
      </w:r>
      <w:r w:rsidRPr="00B03E8D">
        <w:rPr>
          <w:color w:val="auto"/>
        </w:rPr>
        <w:fldChar w:fldCharType="end"/>
      </w:r>
    </w:p>
    <w:p w14:paraId="3329856E" w14:textId="77777777" w:rsidR="00B03E8D" w:rsidRPr="000D2E35" w:rsidRDefault="00B03E8D">
      <w:pPr>
        <w:pStyle w:val="TOC3"/>
        <w:rPr>
          <w:rFonts w:asciiTheme="minorHAnsi" w:eastAsiaTheme="minorEastAsia" w:hAnsiTheme="minorHAnsi" w:cstheme="minorBidi"/>
          <w:bCs w:val="0"/>
          <w:color w:val="auto"/>
          <w:sz w:val="22"/>
          <w:szCs w:val="22"/>
          <w:lang w:val="it-IT"/>
        </w:rPr>
      </w:pPr>
      <w:r w:rsidRPr="000D2E35">
        <w:rPr>
          <w:color w:val="auto"/>
          <w:vertAlign w:val="superscript"/>
          <w:lang w:val="it-IT"/>
        </w:rPr>
        <w:t>85</w:t>
      </w:r>
      <w:r w:rsidRPr="000D2E35">
        <w:rPr>
          <w:color w:val="auto"/>
          <w:lang w:val="it-IT"/>
        </w:rPr>
        <w:t xml:space="preserve"> SQL Server</w:t>
      </w:r>
      <w:r w:rsidRPr="000D2E35">
        <w:rPr>
          <w:color w:val="auto"/>
          <w:vertAlign w:val="superscript"/>
          <w:lang w:val="it-IT"/>
        </w:rPr>
        <w:t>®</w:t>
      </w:r>
      <w:r w:rsidRPr="000D2E35">
        <w:rPr>
          <w:color w:val="auto"/>
          <w:lang w:val="it-IT"/>
        </w:rPr>
        <w:t xml:space="preserve"> 2012 Enterprise</w:t>
      </w:r>
      <w:r w:rsidRPr="000D2E35">
        <w:rPr>
          <w:color w:val="auto"/>
          <w:lang w:val="it-IT"/>
        </w:rPr>
        <w:tab/>
      </w:r>
      <w:r w:rsidRPr="00B03E8D">
        <w:rPr>
          <w:color w:val="auto"/>
        </w:rPr>
        <w:fldChar w:fldCharType="begin"/>
      </w:r>
      <w:r w:rsidRPr="000D2E35">
        <w:rPr>
          <w:color w:val="auto"/>
          <w:lang w:val="it-IT"/>
        </w:rPr>
        <w:instrText xml:space="preserve"> PAGEREF _Toc371663738 \h </w:instrText>
      </w:r>
      <w:r w:rsidRPr="00B03E8D">
        <w:rPr>
          <w:color w:val="auto"/>
        </w:rPr>
      </w:r>
      <w:r w:rsidRPr="00B03E8D">
        <w:rPr>
          <w:color w:val="auto"/>
        </w:rPr>
        <w:fldChar w:fldCharType="separate"/>
      </w:r>
      <w:r w:rsidR="003F471F" w:rsidRPr="000D2E35">
        <w:rPr>
          <w:color w:val="auto"/>
          <w:lang w:val="it-IT"/>
        </w:rPr>
        <w:t>173</w:t>
      </w:r>
      <w:r w:rsidRPr="00B03E8D">
        <w:rPr>
          <w:color w:val="auto"/>
        </w:rPr>
        <w:fldChar w:fldCharType="end"/>
      </w:r>
    </w:p>
    <w:p w14:paraId="5AF0AAB2" w14:textId="77777777" w:rsidR="00B03E8D" w:rsidRPr="000D2E35" w:rsidRDefault="00B03E8D">
      <w:pPr>
        <w:pStyle w:val="TOC3"/>
        <w:rPr>
          <w:rFonts w:asciiTheme="minorHAnsi" w:eastAsiaTheme="minorEastAsia" w:hAnsiTheme="minorHAnsi" w:cstheme="minorBidi"/>
          <w:bCs w:val="0"/>
          <w:color w:val="auto"/>
          <w:sz w:val="22"/>
          <w:szCs w:val="22"/>
          <w:lang w:val="it-IT"/>
        </w:rPr>
      </w:pPr>
      <w:r w:rsidRPr="000D2E35">
        <w:rPr>
          <w:caps/>
          <w:color w:val="auto"/>
          <w:vertAlign w:val="superscript"/>
          <w:lang w:val="it-IT"/>
        </w:rPr>
        <w:t xml:space="preserve">86 </w:t>
      </w:r>
      <w:r w:rsidRPr="000D2E35">
        <w:rPr>
          <w:color w:val="auto"/>
          <w:lang w:val="it-IT"/>
        </w:rPr>
        <w:t>SQL Server</w:t>
      </w:r>
      <w:r w:rsidRPr="000D2E35">
        <w:rPr>
          <w:color w:val="auto"/>
          <w:vertAlign w:val="superscript"/>
          <w:lang w:val="it-IT"/>
        </w:rPr>
        <w:t>®</w:t>
      </w:r>
      <w:r w:rsidRPr="000D2E35">
        <w:rPr>
          <w:color w:val="auto"/>
          <w:lang w:val="it-IT"/>
        </w:rPr>
        <w:t xml:space="preserve"> 2012 Enterprise Core</w:t>
      </w:r>
      <w:r w:rsidRPr="000D2E35">
        <w:rPr>
          <w:color w:val="auto"/>
          <w:lang w:val="it-IT"/>
        </w:rPr>
        <w:tab/>
      </w:r>
      <w:r w:rsidRPr="00B03E8D">
        <w:rPr>
          <w:color w:val="auto"/>
        </w:rPr>
        <w:fldChar w:fldCharType="begin"/>
      </w:r>
      <w:r w:rsidRPr="000D2E35">
        <w:rPr>
          <w:color w:val="auto"/>
          <w:lang w:val="it-IT"/>
        </w:rPr>
        <w:instrText xml:space="preserve"> PAGEREF _Toc371663739 \h </w:instrText>
      </w:r>
      <w:r w:rsidRPr="00B03E8D">
        <w:rPr>
          <w:color w:val="auto"/>
        </w:rPr>
      </w:r>
      <w:r w:rsidRPr="00B03E8D">
        <w:rPr>
          <w:color w:val="auto"/>
        </w:rPr>
        <w:fldChar w:fldCharType="separate"/>
      </w:r>
      <w:r w:rsidR="003F471F" w:rsidRPr="000D2E35">
        <w:rPr>
          <w:color w:val="auto"/>
          <w:lang w:val="it-IT"/>
        </w:rPr>
        <w:t>174</w:t>
      </w:r>
      <w:r w:rsidRPr="00B03E8D">
        <w:rPr>
          <w:color w:val="auto"/>
        </w:rPr>
        <w:fldChar w:fldCharType="end"/>
      </w:r>
    </w:p>
    <w:p w14:paraId="5DD1516B" w14:textId="77777777" w:rsidR="00B03E8D" w:rsidRPr="000D2E35" w:rsidRDefault="00B03E8D">
      <w:pPr>
        <w:pStyle w:val="TOC3"/>
        <w:rPr>
          <w:rFonts w:asciiTheme="minorHAnsi" w:eastAsiaTheme="minorEastAsia" w:hAnsiTheme="minorHAnsi" w:cstheme="minorBidi"/>
          <w:bCs w:val="0"/>
          <w:color w:val="auto"/>
          <w:sz w:val="22"/>
          <w:szCs w:val="22"/>
          <w:lang w:val="it-IT"/>
        </w:rPr>
      </w:pPr>
      <w:r w:rsidRPr="000D2E35">
        <w:rPr>
          <w:caps/>
          <w:color w:val="auto"/>
          <w:vertAlign w:val="superscript"/>
          <w:lang w:val="it-IT"/>
        </w:rPr>
        <w:t>87</w:t>
      </w:r>
      <w:r w:rsidRPr="000D2E35">
        <w:rPr>
          <w:color w:val="auto"/>
          <w:lang w:val="it-IT"/>
        </w:rPr>
        <w:t xml:space="preserve"> SQL Server</w:t>
      </w:r>
      <w:r w:rsidRPr="000D2E35">
        <w:rPr>
          <w:color w:val="auto"/>
          <w:vertAlign w:val="superscript"/>
          <w:lang w:val="it-IT"/>
        </w:rPr>
        <w:t>®</w:t>
      </w:r>
      <w:r w:rsidRPr="000D2E35">
        <w:rPr>
          <w:color w:val="auto"/>
          <w:lang w:val="it-IT"/>
        </w:rPr>
        <w:t xml:space="preserve"> 2012 Parallel Data Warehouse</w:t>
      </w:r>
      <w:r w:rsidRPr="000D2E35">
        <w:rPr>
          <w:color w:val="auto"/>
          <w:lang w:val="it-IT"/>
        </w:rPr>
        <w:tab/>
      </w:r>
      <w:r w:rsidRPr="00B03E8D">
        <w:rPr>
          <w:color w:val="auto"/>
        </w:rPr>
        <w:fldChar w:fldCharType="begin"/>
      </w:r>
      <w:r w:rsidRPr="000D2E35">
        <w:rPr>
          <w:color w:val="auto"/>
          <w:lang w:val="it-IT"/>
        </w:rPr>
        <w:instrText xml:space="preserve"> PAGEREF _Toc371663740 \h </w:instrText>
      </w:r>
      <w:r w:rsidRPr="00B03E8D">
        <w:rPr>
          <w:color w:val="auto"/>
        </w:rPr>
      </w:r>
      <w:r w:rsidRPr="00B03E8D">
        <w:rPr>
          <w:color w:val="auto"/>
        </w:rPr>
        <w:fldChar w:fldCharType="separate"/>
      </w:r>
      <w:r w:rsidR="003F471F" w:rsidRPr="000D2E35">
        <w:rPr>
          <w:color w:val="auto"/>
          <w:lang w:val="it-IT"/>
        </w:rPr>
        <w:t>176</w:t>
      </w:r>
      <w:r w:rsidRPr="00B03E8D">
        <w:rPr>
          <w:color w:val="auto"/>
        </w:rPr>
        <w:fldChar w:fldCharType="end"/>
      </w:r>
    </w:p>
    <w:p w14:paraId="422D5F25" w14:textId="77777777" w:rsidR="00B03E8D" w:rsidRPr="000D2E35" w:rsidRDefault="00B03E8D">
      <w:pPr>
        <w:pStyle w:val="TOC3"/>
        <w:rPr>
          <w:rFonts w:asciiTheme="minorHAnsi" w:eastAsiaTheme="minorEastAsia" w:hAnsiTheme="minorHAnsi" w:cstheme="minorBidi"/>
          <w:bCs w:val="0"/>
          <w:color w:val="auto"/>
          <w:sz w:val="22"/>
          <w:szCs w:val="22"/>
          <w:lang w:val="it-IT"/>
        </w:rPr>
      </w:pPr>
      <w:r w:rsidRPr="000D2E35">
        <w:rPr>
          <w:caps/>
          <w:color w:val="auto"/>
          <w:vertAlign w:val="superscript"/>
          <w:lang w:val="it-IT"/>
        </w:rPr>
        <w:t>88</w:t>
      </w:r>
      <w:r w:rsidRPr="000D2E35">
        <w:rPr>
          <w:color w:val="auto"/>
          <w:lang w:val="it-IT"/>
        </w:rPr>
        <w:t xml:space="preserve"> SQL Server</w:t>
      </w:r>
      <w:r w:rsidRPr="000D2E35">
        <w:rPr>
          <w:color w:val="auto"/>
          <w:vertAlign w:val="superscript"/>
          <w:lang w:val="it-IT"/>
        </w:rPr>
        <w:t>®</w:t>
      </w:r>
      <w:r w:rsidRPr="000D2E35">
        <w:rPr>
          <w:color w:val="auto"/>
          <w:lang w:val="it-IT"/>
        </w:rPr>
        <w:t xml:space="preserve"> 2012 Standard</w:t>
      </w:r>
      <w:r w:rsidRPr="000D2E35">
        <w:rPr>
          <w:color w:val="auto"/>
          <w:lang w:val="it-IT"/>
        </w:rPr>
        <w:tab/>
      </w:r>
      <w:r w:rsidRPr="00B03E8D">
        <w:rPr>
          <w:color w:val="auto"/>
        </w:rPr>
        <w:fldChar w:fldCharType="begin"/>
      </w:r>
      <w:r w:rsidRPr="000D2E35">
        <w:rPr>
          <w:color w:val="auto"/>
          <w:lang w:val="it-IT"/>
        </w:rPr>
        <w:instrText xml:space="preserve"> PAGEREF _Toc371663741 \h </w:instrText>
      </w:r>
      <w:r w:rsidRPr="00B03E8D">
        <w:rPr>
          <w:color w:val="auto"/>
        </w:rPr>
      </w:r>
      <w:r w:rsidRPr="00B03E8D">
        <w:rPr>
          <w:color w:val="auto"/>
        </w:rPr>
        <w:fldChar w:fldCharType="separate"/>
      </w:r>
      <w:r w:rsidR="003F471F" w:rsidRPr="000D2E35">
        <w:rPr>
          <w:color w:val="auto"/>
          <w:lang w:val="it-IT"/>
        </w:rPr>
        <w:t>177</w:t>
      </w:r>
      <w:r w:rsidRPr="00B03E8D">
        <w:rPr>
          <w:color w:val="auto"/>
        </w:rPr>
        <w:fldChar w:fldCharType="end"/>
      </w:r>
    </w:p>
    <w:p w14:paraId="61A7F025" w14:textId="77777777" w:rsidR="00B03E8D" w:rsidRPr="000D2E35" w:rsidRDefault="00B03E8D">
      <w:pPr>
        <w:pStyle w:val="TOC3"/>
        <w:rPr>
          <w:rFonts w:asciiTheme="minorHAnsi" w:eastAsiaTheme="minorEastAsia" w:hAnsiTheme="minorHAnsi" w:cstheme="minorBidi"/>
          <w:bCs w:val="0"/>
          <w:color w:val="auto"/>
          <w:sz w:val="22"/>
          <w:szCs w:val="22"/>
          <w:lang w:val="it-IT"/>
        </w:rPr>
      </w:pPr>
      <w:r w:rsidRPr="000D2E35">
        <w:rPr>
          <w:caps/>
          <w:color w:val="auto"/>
          <w:vertAlign w:val="superscript"/>
          <w:lang w:val="it-IT"/>
        </w:rPr>
        <w:t>89</w:t>
      </w:r>
      <w:r w:rsidRPr="000D2E35">
        <w:rPr>
          <w:color w:val="auto"/>
          <w:lang w:val="it-IT"/>
        </w:rPr>
        <w:t xml:space="preserve"> SQL Server</w:t>
      </w:r>
      <w:r w:rsidRPr="000D2E35">
        <w:rPr>
          <w:color w:val="auto"/>
          <w:vertAlign w:val="superscript"/>
          <w:lang w:val="it-IT"/>
        </w:rPr>
        <w:t>®</w:t>
      </w:r>
      <w:r w:rsidRPr="000D2E35">
        <w:rPr>
          <w:color w:val="auto"/>
          <w:lang w:val="it-IT"/>
        </w:rPr>
        <w:t xml:space="preserve"> 2012 Standard</w:t>
      </w:r>
      <w:r w:rsidRPr="000D2E35">
        <w:rPr>
          <w:rFonts w:eastAsia="Calibri"/>
          <w:color w:val="auto"/>
          <w:lang w:val="it-IT"/>
        </w:rPr>
        <w:t xml:space="preserve"> Core</w:t>
      </w:r>
      <w:r w:rsidRPr="000D2E35">
        <w:rPr>
          <w:color w:val="auto"/>
          <w:lang w:val="it-IT"/>
        </w:rPr>
        <w:tab/>
      </w:r>
      <w:r w:rsidRPr="00B03E8D">
        <w:rPr>
          <w:color w:val="auto"/>
        </w:rPr>
        <w:fldChar w:fldCharType="begin"/>
      </w:r>
      <w:r w:rsidRPr="000D2E35">
        <w:rPr>
          <w:color w:val="auto"/>
          <w:lang w:val="it-IT"/>
        </w:rPr>
        <w:instrText xml:space="preserve"> PAGEREF _Toc371663742 \h </w:instrText>
      </w:r>
      <w:r w:rsidRPr="00B03E8D">
        <w:rPr>
          <w:color w:val="auto"/>
        </w:rPr>
      </w:r>
      <w:r w:rsidRPr="00B03E8D">
        <w:rPr>
          <w:color w:val="auto"/>
        </w:rPr>
        <w:fldChar w:fldCharType="separate"/>
      </w:r>
      <w:r w:rsidR="003F471F" w:rsidRPr="000D2E35">
        <w:rPr>
          <w:color w:val="auto"/>
          <w:lang w:val="it-IT"/>
        </w:rPr>
        <w:t>177</w:t>
      </w:r>
      <w:r w:rsidRPr="00B03E8D">
        <w:rPr>
          <w:color w:val="auto"/>
        </w:rPr>
        <w:fldChar w:fldCharType="end"/>
      </w:r>
    </w:p>
    <w:p w14:paraId="02B4B641" w14:textId="77777777" w:rsidR="00B03E8D" w:rsidRPr="000D2E35" w:rsidRDefault="00B03E8D">
      <w:pPr>
        <w:pStyle w:val="TOC3"/>
        <w:rPr>
          <w:rFonts w:asciiTheme="minorHAnsi" w:eastAsiaTheme="minorEastAsia" w:hAnsiTheme="minorHAnsi" w:cstheme="minorBidi"/>
          <w:bCs w:val="0"/>
          <w:color w:val="auto"/>
          <w:sz w:val="22"/>
          <w:szCs w:val="22"/>
          <w:lang w:val="it-IT"/>
        </w:rPr>
      </w:pPr>
      <w:r w:rsidRPr="000D2E35">
        <w:rPr>
          <w:caps/>
          <w:color w:val="auto"/>
          <w:vertAlign w:val="superscript"/>
          <w:lang w:val="it-IT"/>
        </w:rPr>
        <w:t>90</w:t>
      </w:r>
      <w:r w:rsidRPr="000D2E35">
        <w:rPr>
          <w:color w:val="auto"/>
          <w:lang w:val="it-IT"/>
        </w:rPr>
        <w:t xml:space="preserve"> System Center Essentials 2010</w:t>
      </w:r>
      <w:r w:rsidRPr="000D2E35">
        <w:rPr>
          <w:color w:val="auto"/>
          <w:lang w:val="it-IT"/>
        </w:rPr>
        <w:tab/>
      </w:r>
      <w:r w:rsidRPr="00B03E8D">
        <w:rPr>
          <w:color w:val="auto"/>
        </w:rPr>
        <w:fldChar w:fldCharType="begin"/>
      </w:r>
      <w:r w:rsidRPr="000D2E35">
        <w:rPr>
          <w:color w:val="auto"/>
          <w:lang w:val="it-IT"/>
        </w:rPr>
        <w:instrText xml:space="preserve"> PAGEREF _Toc371663743 \h </w:instrText>
      </w:r>
      <w:r w:rsidRPr="00B03E8D">
        <w:rPr>
          <w:color w:val="auto"/>
        </w:rPr>
      </w:r>
      <w:r w:rsidRPr="00B03E8D">
        <w:rPr>
          <w:color w:val="auto"/>
        </w:rPr>
        <w:fldChar w:fldCharType="separate"/>
      </w:r>
      <w:r w:rsidR="003F471F" w:rsidRPr="000D2E35">
        <w:rPr>
          <w:color w:val="auto"/>
          <w:lang w:val="it-IT"/>
        </w:rPr>
        <w:t>180</w:t>
      </w:r>
      <w:r w:rsidRPr="00B03E8D">
        <w:rPr>
          <w:color w:val="auto"/>
        </w:rPr>
        <w:fldChar w:fldCharType="end"/>
      </w:r>
    </w:p>
    <w:p w14:paraId="69C083EC" w14:textId="77777777" w:rsidR="00B03E8D" w:rsidRPr="000D2E35" w:rsidRDefault="00B03E8D">
      <w:pPr>
        <w:pStyle w:val="TOC3"/>
        <w:rPr>
          <w:rFonts w:asciiTheme="minorHAnsi" w:eastAsiaTheme="minorEastAsia" w:hAnsiTheme="minorHAnsi" w:cstheme="minorBidi"/>
          <w:bCs w:val="0"/>
          <w:color w:val="auto"/>
          <w:sz w:val="22"/>
          <w:szCs w:val="22"/>
          <w:lang w:val="it-IT"/>
        </w:rPr>
      </w:pPr>
      <w:r w:rsidRPr="000D2E35">
        <w:rPr>
          <w:caps/>
          <w:color w:val="auto"/>
          <w:vertAlign w:val="superscript"/>
          <w:lang w:val="it-IT"/>
        </w:rPr>
        <w:t>91</w:t>
      </w:r>
      <w:r w:rsidRPr="000D2E35">
        <w:rPr>
          <w:color w:val="auto"/>
          <w:lang w:val="it-IT"/>
        </w:rPr>
        <w:t xml:space="preserve"> System Center Reporting Manager 2006</w:t>
      </w:r>
      <w:r w:rsidRPr="000D2E35">
        <w:rPr>
          <w:color w:val="auto"/>
          <w:lang w:val="it-IT"/>
        </w:rPr>
        <w:tab/>
      </w:r>
      <w:r w:rsidRPr="00B03E8D">
        <w:rPr>
          <w:color w:val="auto"/>
        </w:rPr>
        <w:fldChar w:fldCharType="begin"/>
      </w:r>
      <w:r w:rsidRPr="000D2E35">
        <w:rPr>
          <w:color w:val="auto"/>
          <w:lang w:val="it-IT"/>
        </w:rPr>
        <w:instrText xml:space="preserve"> PAGEREF _Toc371663744 \h </w:instrText>
      </w:r>
      <w:r w:rsidRPr="00B03E8D">
        <w:rPr>
          <w:color w:val="auto"/>
        </w:rPr>
      </w:r>
      <w:r w:rsidRPr="00B03E8D">
        <w:rPr>
          <w:color w:val="auto"/>
        </w:rPr>
        <w:fldChar w:fldCharType="separate"/>
      </w:r>
      <w:r w:rsidR="003F471F" w:rsidRPr="000D2E35">
        <w:rPr>
          <w:color w:val="auto"/>
          <w:lang w:val="it-IT"/>
        </w:rPr>
        <w:t>181</w:t>
      </w:r>
      <w:r w:rsidRPr="00B03E8D">
        <w:rPr>
          <w:color w:val="auto"/>
        </w:rPr>
        <w:fldChar w:fldCharType="end"/>
      </w:r>
    </w:p>
    <w:p w14:paraId="1991EA4D" w14:textId="77777777" w:rsidR="00B03E8D" w:rsidRPr="000D2E35" w:rsidRDefault="00B03E8D">
      <w:pPr>
        <w:pStyle w:val="TOC3"/>
        <w:rPr>
          <w:rFonts w:asciiTheme="minorHAnsi" w:eastAsiaTheme="minorEastAsia" w:hAnsiTheme="minorHAnsi" w:cstheme="minorBidi"/>
          <w:bCs w:val="0"/>
          <w:color w:val="auto"/>
          <w:sz w:val="22"/>
          <w:szCs w:val="22"/>
          <w:lang w:val="it-IT"/>
        </w:rPr>
      </w:pPr>
      <w:r w:rsidRPr="000D2E35">
        <w:rPr>
          <w:caps/>
          <w:color w:val="auto"/>
          <w:vertAlign w:val="superscript"/>
          <w:lang w:val="it-IT"/>
        </w:rPr>
        <w:t xml:space="preserve">92 </w:t>
      </w:r>
      <w:r w:rsidRPr="000D2E35">
        <w:rPr>
          <w:color w:val="auto"/>
          <w:lang w:val="it-IT"/>
        </w:rPr>
        <w:t>System Center Server Management Suite Enterprise</w:t>
      </w:r>
      <w:r w:rsidRPr="000D2E35">
        <w:rPr>
          <w:color w:val="auto"/>
          <w:lang w:val="it-IT"/>
        </w:rPr>
        <w:tab/>
      </w:r>
      <w:r w:rsidRPr="00B03E8D">
        <w:rPr>
          <w:color w:val="auto"/>
        </w:rPr>
        <w:fldChar w:fldCharType="begin"/>
      </w:r>
      <w:r w:rsidRPr="000D2E35">
        <w:rPr>
          <w:color w:val="auto"/>
          <w:lang w:val="it-IT"/>
        </w:rPr>
        <w:instrText xml:space="preserve"> PAGEREF _Toc371663745 \h </w:instrText>
      </w:r>
      <w:r w:rsidRPr="00B03E8D">
        <w:rPr>
          <w:color w:val="auto"/>
        </w:rPr>
      </w:r>
      <w:r w:rsidRPr="00B03E8D">
        <w:rPr>
          <w:color w:val="auto"/>
        </w:rPr>
        <w:fldChar w:fldCharType="separate"/>
      </w:r>
      <w:r w:rsidR="003F471F" w:rsidRPr="000D2E35">
        <w:rPr>
          <w:color w:val="auto"/>
          <w:lang w:val="it-IT"/>
        </w:rPr>
        <w:t>182</w:t>
      </w:r>
      <w:r w:rsidRPr="00B03E8D">
        <w:rPr>
          <w:color w:val="auto"/>
        </w:rPr>
        <w:fldChar w:fldCharType="end"/>
      </w:r>
    </w:p>
    <w:p w14:paraId="0DD6563B" w14:textId="77777777" w:rsidR="00B03E8D" w:rsidRPr="000D2E35" w:rsidRDefault="00B03E8D">
      <w:pPr>
        <w:pStyle w:val="TOC3"/>
        <w:rPr>
          <w:rFonts w:asciiTheme="minorHAnsi" w:eastAsiaTheme="minorEastAsia" w:hAnsiTheme="minorHAnsi" w:cstheme="minorBidi"/>
          <w:bCs w:val="0"/>
          <w:color w:val="auto"/>
          <w:sz w:val="22"/>
          <w:szCs w:val="22"/>
          <w:lang w:val="it-IT"/>
        </w:rPr>
      </w:pPr>
      <w:r w:rsidRPr="000D2E35">
        <w:rPr>
          <w:caps/>
          <w:color w:val="auto"/>
          <w:vertAlign w:val="superscript"/>
          <w:lang w:val="it-IT"/>
        </w:rPr>
        <w:t xml:space="preserve">93 </w:t>
      </w:r>
      <w:r w:rsidRPr="000D2E35">
        <w:rPr>
          <w:color w:val="auto"/>
          <w:lang w:val="it-IT"/>
        </w:rPr>
        <w:t>System Center Server Management Suite Datacenter</w:t>
      </w:r>
      <w:r w:rsidRPr="000D2E35">
        <w:rPr>
          <w:color w:val="auto"/>
          <w:lang w:val="it-IT"/>
        </w:rPr>
        <w:tab/>
      </w:r>
      <w:r w:rsidRPr="00B03E8D">
        <w:rPr>
          <w:color w:val="auto"/>
        </w:rPr>
        <w:fldChar w:fldCharType="begin"/>
      </w:r>
      <w:r w:rsidRPr="000D2E35">
        <w:rPr>
          <w:color w:val="auto"/>
          <w:lang w:val="it-IT"/>
        </w:rPr>
        <w:instrText xml:space="preserve"> PAGEREF _Toc371663746 \h </w:instrText>
      </w:r>
      <w:r w:rsidRPr="00B03E8D">
        <w:rPr>
          <w:color w:val="auto"/>
        </w:rPr>
      </w:r>
      <w:r w:rsidRPr="00B03E8D">
        <w:rPr>
          <w:color w:val="auto"/>
        </w:rPr>
        <w:fldChar w:fldCharType="separate"/>
      </w:r>
      <w:r w:rsidR="003F471F" w:rsidRPr="000D2E35">
        <w:rPr>
          <w:color w:val="auto"/>
          <w:lang w:val="it-IT"/>
        </w:rPr>
        <w:t>184</w:t>
      </w:r>
      <w:r w:rsidRPr="00B03E8D">
        <w:rPr>
          <w:color w:val="auto"/>
        </w:rPr>
        <w:fldChar w:fldCharType="end"/>
      </w:r>
    </w:p>
    <w:p w14:paraId="72B6C922" w14:textId="77777777" w:rsidR="00B03E8D" w:rsidRPr="000D2E35" w:rsidRDefault="00B03E8D">
      <w:pPr>
        <w:pStyle w:val="TOC3"/>
        <w:rPr>
          <w:rFonts w:asciiTheme="minorHAnsi" w:eastAsiaTheme="minorEastAsia" w:hAnsiTheme="minorHAnsi" w:cstheme="minorBidi"/>
          <w:bCs w:val="0"/>
          <w:color w:val="auto"/>
          <w:sz w:val="22"/>
          <w:szCs w:val="22"/>
          <w:lang w:val="it-IT"/>
        </w:rPr>
      </w:pPr>
      <w:r w:rsidRPr="000D2E35">
        <w:rPr>
          <w:caps/>
          <w:color w:val="auto"/>
          <w:vertAlign w:val="superscript"/>
          <w:lang w:val="it-IT"/>
        </w:rPr>
        <w:t>94</w:t>
      </w:r>
      <w:r w:rsidRPr="000D2E35">
        <w:rPr>
          <w:color w:val="auto"/>
          <w:lang w:val="it-IT"/>
        </w:rPr>
        <w:t xml:space="preserve"> System Center 2012 R2 Datacenter</w:t>
      </w:r>
      <w:r w:rsidRPr="000D2E35">
        <w:rPr>
          <w:color w:val="auto"/>
          <w:lang w:val="it-IT"/>
        </w:rPr>
        <w:tab/>
      </w:r>
      <w:r w:rsidRPr="00B03E8D">
        <w:rPr>
          <w:color w:val="auto"/>
        </w:rPr>
        <w:fldChar w:fldCharType="begin"/>
      </w:r>
      <w:r w:rsidRPr="000D2E35">
        <w:rPr>
          <w:color w:val="auto"/>
          <w:lang w:val="it-IT"/>
        </w:rPr>
        <w:instrText xml:space="preserve"> PAGEREF _Toc371663747 \h </w:instrText>
      </w:r>
      <w:r w:rsidRPr="00B03E8D">
        <w:rPr>
          <w:color w:val="auto"/>
        </w:rPr>
      </w:r>
      <w:r w:rsidRPr="00B03E8D">
        <w:rPr>
          <w:color w:val="auto"/>
        </w:rPr>
        <w:fldChar w:fldCharType="separate"/>
      </w:r>
      <w:r w:rsidR="003F471F" w:rsidRPr="000D2E35">
        <w:rPr>
          <w:color w:val="auto"/>
          <w:lang w:val="it-IT"/>
        </w:rPr>
        <w:t>184</w:t>
      </w:r>
      <w:r w:rsidRPr="00B03E8D">
        <w:rPr>
          <w:color w:val="auto"/>
        </w:rPr>
        <w:fldChar w:fldCharType="end"/>
      </w:r>
    </w:p>
    <w:p w14:paraId="694F03ED" w14:textId="77777777" w:rsidR="00B03E8D" w:rsidRPr="000D2E35" w:rsidRDefault="00B03E8D">
      <w:pPr>
        <w:pStyle w:val="TOC3"/>
        <w:rPr>
          <w:rFonts w:asciiTheme="minorHAnsi" w:eastAsiaTheme="minorEastAsia" w:hAnsiTheme="minorHAnsi" w:cstheme="minorBidi"/>
          <w:bCs w:val="0"/>
          <w:color w:val="auto"/>
          <w:sz w:val="22"/>
          <w:szCs w:val="22"/>
          <w:lang w:val="it-IT"/>
        </w:rPr>
      </w:pPr>
      <w:r w:rsidRPr="000D2E35">
        <w:rPr>
          <w:caps/>
          <w:color w:val="auto"/>
          <w:vertAlign w:val="superscript"/>
          <w:lang w:val="it-IT"/>
        </w:rPr>
        <w:t>95</w:t>
      </w:r>
      <w:r w:rsidRPr="000D2E35">
        <w:rPr>
          <w:color w:val="auto"/>
          <w:lang w:val="it-IT"/>
        </w:rPr>
        <w:t xml:space="preserve"> System Center 2012 R2 Standard</w:t>
      </w:r>
      <w:r w:rsidRPr="000D2E35">
        <w:rPr>
          <w:color w:val="auto"/>
          <w:lang w:val="it-IT"/>
        </w:rPr>
        <w:tab/>
      </w:r>
      <w:r w:rsidRPr="00B03E8D">
        <w:rPr>
          <w:color w:val="auto"/>
        </w:rPr>
        <w:fldChar w:fldCharType="begin"/>
      </w:r>
      <w:r w:rsidRPr="000D2E35">
        <w:rPr>
          <w:color w:val="auto"/>
          <w:lang w:val="it-IT"/>
        </w:rPr>
        <w:instrText xml:space="preserve"> PAGEREF _Toc371663748 \h </w:instrText>
      </w:r>
      <w:r w:rsidRPr="00B03E8D">
        <w:rPr>
          <w:color w:val="auto"/>
        </w:rPr>
      </w:r>
      <w:r w:rsidRPr="00B03E8D">
        <w:rPr>
          <w:color w:val="auto"/>
        </w:rPr>
        <w:fldChar w:fldCharType="separate"/>
      </w:r>
      <w:r w:rsidR="003F471F" w:rsidRPr="000D2E35">
        <w:rPr>
          <w:color w:val="auto"/>
          <w:lang w:val="it-IT"/>
        </w:rPr>
        <w:t>184</w:t>
      </w:r>
      <w:r w:rsidRPr="00B03E8D">
        <w:rPr>
          <w:color w:val="auto"/>
        </w:rPr>
        <w:fldChar w:fldCharType="end"/>
      </w:r>
    </w:p>
    <w:p w14:paraId="17568E91" w14:textId="77777777" w:rsidR="00B03E8D" w:rsidRPr="000D2E35" w:rsidRDefault="00B03E8D">
      <w:pPr>
        <w:pStyle w:val="TOC3"/>
        <w:rPr>
          <w:rFonts w:asciiTheme="minorHAnsi" w:eastAsiaTheme="minorEastAsia" w:hAnsiTheme="minorHAnsi" w:cstheme="minorBidi"/>
          <w:bCs w:val="0"/>
          <w:color w:val="auto"/>
          <w:sz w:val="22"/>
          <w:szCs w:val="22"/>
          <w:lang w:val="it-IT"/>
        </w:rPr>
      </w:pPr>
      <w:r w:rsidRPr="000D2E35">
        <w:rPr>
          <w:caps/>
          <w:color w:val="auto"/>
          <w:vertAlign w:val="superscript"/>
          <w:lang w:val="it-IT"/>
        </w:rPr>
        <w:t>96</w:t>
      </w:r>
      <w:r w:rsidRPr="000D2E35">
        <w:rPr>
          <w:color w:val="auto"/>
          <w:lang w:val="it-IT"/>
        </w:rPr>
        <w:t xml:space="preserve"> System Center 2012 R2 Client Management Suite</w:t>
      </w:r>
      <w:r w:rsidRPr="000D2E35">
        <w:rPr>
          <w:color w:val="auto"/>
          <w:lang w:val="it-IT"/>
        </w:rPr>
        <w:tab/>
      </w:r>
      <w:r w:rsidRPr="00B03E8D">
        <w:rPr>
          <w:color w:val="auto"/>
        </w:rPr>
        <w:fldChar w:fldCharType="begin"/>
      </w:r>
      <w:r w:rsidRPr="000D2E35">
        <w:rPr>
          <w:color w:val="auto"/>
          <w:lang w:val="it-IT"/>
        </w:rPr>
        <w:instrText xml:space="preserve"> PAGEREF _Toc371663749 \h </w:instrText>
      </w:r>
      <w:r w:rsidRPr="00B03E8D">
        <w:rPr>
          <w:color w:val="auto"/>
        </w:rPr>
      </w:r>
      <w:r w:rsidRPr="00B03E8D">
        <w:rPr>
          <w:color w:val="auto"/>
        </w:rPr>
        <w:fldChar w:fldCharType="separate"/>
      </w:r>
      <w:r w:rsidR="003F471F" w:rsidRPr="000D2E35">
        <w:rPr>
          <w:color w:val="auto"/>
          <w:lang w:val="it-IT"/>
        </w:rPr>
        <w:t>184</w:t>
      </w:r>
      <w:r w:rsidRPr="00B03E8D">
        <w:rPr>
          <w:color w:val="auto"/>
        </w:rPr>
        <w:fldChar w:fldCharType="end"/>
      </w:r>
    </w:p>
    <w:p w14:paraId="6EA800A1"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97</w:t>
      </w:r>
      <w:r w:rsidRPr="00B03E8D">
        <w:rPr>
          <w:color w:val="auto"/>
        </w:rPr>
        <w:t xml:space="preserve"> System Center 2012 R2 Configuration Manager</w:t>
      </w:r>
      <w:r w:rsidRPr="00B03E8D">
        <w:rPr>
          <w:color w:val="auto"/>
        </w:rPr>
        <w:tab/>
      </w:r>
      <w:r w:rsidRPr="00B03E8D">
        <w:rPr>
          <w:color w:val="auto"/>
        </w:rPr>
        <w:fldChar w:fldCharType="begin"/>
      </w:r>
      <w:r w:rsidRPr="00B03E8D">
        <w:rPr>
          <w:color w:val="auto"/>
        </w:rPr>
        <w:instrText xml:space="preserve"> PAGEREF _Toc371663750 \h </w:instrText>
      </w:r>
      <w:r w:rsidRPr="00B03E8D">
        <w:rPr>
          <w:color w:val="auto"/>
        </w:rPr>
      </w:r>
      <w:r w:rsidRPr="00B03E8D">
        <w:rPr>
          <w:color w:val="auto"/>
        </w:rPr>
        <w:fldChar w:fldCharType="separate"/>
      </w:r>
      <w:r w:rsidR="003F471F">
        <w:rPr>
          <w:color w:val="auto"/>
        </w:rPr>
        <w:t>184</w:t>
      </w:r>
      <w:r w:rsidRPr="00B03E8D">
        <w:rPr>
          <w:color w:val="auto"/>
        </w:rPr>
        <w:fldChar w:fldCharType="end"/>
      </w:r>
    </w:p>
    <w:p w14:paraId="3E2D03EB"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98</w:t>
      </w:r>
      <w:r w:rsidRPr="00B03E8D">
        <w:rPr>
          <w:color w:val="auto"/>
        </w:rPr>
        <w:t xml:space="preserve"> System Center 2012 R2 Endpoint Protection</w:t>
      </w:r>
      <w:r w:rsidRPr="00B03E8D">
        <w:rPr>
          <w:color w:val="auto"/>
        </w:rPr>
        <w:tab/>
      </w:r>
      <w:r w:rsidRPr="00B03E8D">
        <w:rPr>
          <w:color w:val="auto"/>
        </w:rPr>
        <w:fldChar w:fldCharType="begin"/>
      </w:r>
      <w:r w:rsidRPr="00B03E8D">
        <w:rPr>
          <w:color w:val="auto"/>
        </w:rPr>
        <w:instrText xml:space="preserve"> PAGEREF _Toc371663751 \h </w:instrText>
      </w:r>
      <w:r w:rsidRPr="00B03E8D">
        <w:rPr>
          <w:color w:val="auto"/>
        </w:rPr>
      </w:r>
      <w:r w:rsidRPr="00B03E8D">
        <w:rPr>
          <w:color w:val="auto"/>
        </w:rPr>
        <w:fldChar w:fldCharType="separate"/>
      </w:r>
      <w:r w:rsidR="003F471F">
        <w:rPr>
          <w:color w:val="auto"/>
        </w:rPr>
        <w:t>185</w:t>
      </w:r>
      <w:r w:rsidRPr="00B03E8D">
        <w:rPr>
          <w:color w:val="auto"/>
        </w:rPr>
        <w:fldChar w:fldCharType="end"/>
      </w:r>
    </w:p>
    <w:p w14:paraId="5FFC29B5" w14:textId="77777777" w:rsidR="00B03E8D" w:rsidRPr="00B03E8D" w:rsidRDefault="00B03E8D">
      <w:pPr>
        <w:pStyle w:val="TOC2"/>
        <w:rPr>
          <w:rFonts w:asciiTheme="minorHAnsi" w:eastAsiaTheme="minorEastAsia" w:hAnsiTheme="minorHAnsi" w:cstheme="minorBidi"/>
          <w:sz w:val="22"/>
          <w:szCs w:val="22"/>
        </w:rPr>
      </w:pPr>
      <w:r w:rsidRPr="00B03E8D">
        <w:rPr>
          <w:rFonts w:cs="Tahoma"/>
          <w:caps/>
          <w:vertAlign w:val="superscript"/>
        </w:rPr>
        <w:t xml:space="preserve">99 </w:t>
      </w:r>
      <w:r w:rsidRPr="00B03E8D">
        <w:rPr>
          <w:rFonts w:cs="Tahoma"/>
        </w:rPr>
        <w:t>Visual Studio Deployment 2013 Datacenter</w:t>
      </w:r>
      <w:r w:rsidRPr="00B03E8D">
        <w:tab/>
      </w:r>
      <w:r w:rsidRPr="00B03E8D">
        <w:fldChar w:fldCharType="begin"/>
      </w:r>
      <w:r w:rsidRPr="00B03E8D">
        <w:instrText xml:space="preserve"> PAGEREF _Toc371663752 \h </w:instrText>
      </w:r>
      <w:r w:rsidRPr="00B03E8D">
        <w:fldChar w:fldCharType="separate"/>
      </w:r>
      <w:r w:rsidR="003F471F">
        <w:t>185</w:t>
      </w:r>
      <w:r w:rsidRPr="00B03E8D">
        <w:fldChar w:fldCharType="end"/>
      </w:r>
    </w:p>
    <w:p w14:paraId="67D8EEB3" w14:textId="77777777" w:rsidR="00B03E8D" w:rsidRPr="000D2E35" w:rsidRDefault="00B03E8D">
      <w:pPr>
        <w:pStyle w:val="TOC2"/>
        <w:rPr>
          <w:rFonts w:asciiTheme="minorHAnsi" w:eastAsiaTheme="minorEastAsia" w:hAnsiTheme="minorHAnsi" w:cstheme="minorBidi"/>
          <w:sz w:val="22"/>
          <w:szCs w:val="22"/>
          <w:lang w:val="it-IT"/>
        </w:rPr>
      </w:pPr>
      <w:r w:rsidRPr="000D2E35">
        <w:rPr>
          <w:rFonts w:cs="Tahoma"/>
          <w:caps/>
          <w:vertAlign w:val="superscript"/>
          <w:lang w:val="it-IT"/>
        </w:rPr>
        <w:t xml:space="preserve">100 </w:t>
      </w:r>
      <w:r w:rsidRPr="000D2E35">
        <w:rPr>
          <w:rFonts w:cs="Tahoma"/>
          <w:lang w:val="it-IT"/>
        </w:rPr>
        <w:t>Visual Studio Deployment 2013 Standard</w:t>
      </w:r>
      <w:r w:rsidRPr="000D2E35">
        <w:rPr>
          <w:lang w:val="it-IT"/>
        </w:rPr>
        <w:tab/>
      </w:r>
      <w:r w:rsidRPr="00B03E8D">
        <w:fldChar w:fldCharType="begin"/>
      </w:r>
      <w:r w:rsidRPr="000D2E35">
        <w:rPr>
          <w:lang w:val="it-IT"/>
        </w:rPr>
        <w:instrText xml:space="preserve"> PAGEREF _Toc371663753 \h </w:instrText>
      </w:r>
      <w:r w:rsidRPr="00B03E8D">
        <w:fldChar w:fldCharType="separate"/>
      </w:r>
      <w:r w:rsidR="003F471F" w:rsidRPr="000D2E35">
        <w:rPr>
          <w:lang w:val="it-IT"/>
        </w:rPr>
        <w:t>185</w:t>
      </w:r>
      <w:r w:rsidRPr="00B03E8D">
        <w:fldChar w:fldCharType="end"/>
      </w:r>
    </w:p>
    <w:p w14:paraId="084A4317" w14:textId="77777777" w:rsidR="00B03E8D" w:rsidRPr="000D2E35" w:rsidRDefault="00B03E8D">
      <w:pPr>
        <w:pStyle w:val="TOC2"/>
        <w:rPr>
          <w:rFonts w:asciiTheme="minorHAnsi" w:eastAsiaTheme="minorEastAsia" w:hAnsiTheme="minorHAnsi" w:cstheme="minorBidi"/>
          <w:sz w:val="22"/>
          <w:szCs w:val="22"/>
          <w:lang w:val="it-IT"/>
        </w:rPr>
      </w:pPr>
      <w:r w:rsidRPr="000D2E35">
        <w:rPr>
          <w:rFonts w:cs="Tahoma"/>
          <w:caps/>
          <w:vertAlign w:val="superscript"/>
          <w:lang w:val="it-IT"/>
        </w:rPr>
        <w:t xml:space="preserve">101 </w:t>
      </w:r>
      <w:r w:rsidRPr="000D2E35">
        <w:rPr>
          <w:rFonts w:cs="Tahoma"/>
          <w:lang w:val="it-IT"/>
        </w:rPr>
        <w:t>Servizi di Windows Azure</w:t>
      </w:r>
      <w:r w:rsidRPr="000D2E35">
        <w:rPr>
          <w:lang w:val="it-IT"/>
        </w:rPr>
        <w:tab/>
      </w:r>
      <w:r w:rsidRPr="00B03E8D">
        <w:fldChar w:fldCharType="begin"/>
      </w:r>
      <w:r w:rsidRPr="000D2E35">
        <w:rPr>
          <w:lang w:val="it-IT"/>
        </w:rPr>
        <w:instrText xml:space="preserve"> PAGEREF _Toc371663754 \h </w:instrText>
      </w:r>
      <w:r w:rsidRPr="00B03E8D">
        <w:fldChar w:fldCharType="separate"/>
      </w:r>
      <w:r w:rsidR="003F471F" w:rsidRPr="000D2E35">
        <w:rPr>
          <w:lang w:val="it-IT"/>
        </w:rPr>
        <w:t>185</w:t>
      </w:r>
      <w:r w:rsidRPr="00B03E8D">
        <w:fldChar w:fldCharType="end"/>
      </w:r>
    </w:p>
    <w:p w14:paraId="23FC78B6" w14:textId="77777777" w:rsidR="00B03E8D" w:rsidRPr="000D2E35" w:rsidRDefault="00B03E8D">
      <w:pPr>
        <w:pStyle w:val="TOC2"/>
        <w:rPr>
          <w:rFonts w:asciiTheme="minorHAnsi" w:eastAsiaTheme="minorEastAsia" w:hAnsiTheme="minorHAnsi" w:cstheme="minorBidi"/>
          <w:sz w:val="22"/>
          <w:szCs w:val="22"/>
          <w:lang w:val="it-IT"/>
        </w:rPr>
      </w:pPr>
      <w:r w:rsidRPr="000D2E35">
        <w:rPr>
          <w:rFonts w:cs="Tahoma"/>
          <w:caps/>
          <w:vertAlign w:val="superscript"/>
          <w:lang w:val="it-IT"/>
        </w:rPr>
        <w:t>102</w:t>
      </w:r>
      <w:r w:rsidRPr="000D2E35">
        <w:rPr>
          <w:rFonts w:cs="Tahoma"/>
          <w:lang w:val="it-IT"/>
        </w:rPr>
        <w:t xml:space="preserve"> Licenza di Server di Gestione per Windows Embedded Device Manager 2011</w:t>
      </w:r>
      <w:r w:rsidRPr="000D2E35">
        <w:rPr>
          <w:lang w:val="it-IT"/>
        </w:rPr>
        <w:tab/>
      </w:r>
      <w:r w:rsidRPr="00B03E8D">
        <w:fldChar w:fldCharType="begin"/>
      </w:r>
      <w:r w:rsidRPr="000D2E35">
        <w:rPr>
          <w:lang w:val="it-IT"/>
        </w:rPr>
        <w:instrText xml:space="preserve"> PAGEREF _Toc371663755 \h </w:instrText>
      </w:r>
      <w:r w:rsidRPr="00B03E8D">
        <w:fldChar w:fldCharType="separate"/>
      </w:r>
      <w:r w:rsidR="003F471F" w:rsidRPr="000D2E35">
        <w:rPr>
          <w:lang w:val="it-IT"/>
        </w:rPr>
        <w:t>186</w:t>
      </w:r>
      <w:r w:rsidRPr="00B03E8D">
        <w:fldChar w:fldCharType="end"/>
      </w:r>
    </w:p>
    <w:p w14:paraId="27AFB02A" w14:textId="77777777" w:rsidR="00B03E8D" w:rsidRPr="000D2E35" w:rsidRDefault="00B03E8D">
      <w:pPr>
        <w:pStyle w:val="TOC2"/>
        <w:rPr>
          <w:rFonts w:asciiTheme="minorHAnsi" w:eastAsiaTheme="minorEastAsia" w:hAnsiTheme="minorHAnsi" w:cstheme="minorBidi"/>
          <w:sz w:val="22"/>
          <w:szCs w:val="22"/>
          <w:lang w:val="it-IT"/>
        </w:rPr>
      </w:pPr>
      <w:r w:rsidRPr="000D2E35">
        <w:rPr>
          <w:rFonts w:cs="Tahoma"/>
          <w:caps/>
          <w:vertAlign w:val="superscript"/>
          <w:lang w:val="it-IT"/>
        </w:rPr>
        <w:t>103</w:t>
      </w:r>
      <w:r w:rsidRPr="000D2E35">
        <w:rPr>
          <w:rFonts w:cs="Tahoma"/>
          <w:lang w:val="it-IT"/>
        </w:rPr>
        <w:t xml:space="preserve"> Licenza di Gestione Client per Windows Embedded Device Manager 2011</w:t>
      </w:r>
      <w:r w:rsidRPr="000D2E35">
        <w:rPr>
          <w:lang w:val="it-IT"/>
        </w:rPr>
        <w:tab/>
      </w:r>
      <w:r w:rsidRPr="00B03E8D">
        <w:fldChar w:fldCharType="begin"/>
      </w:r>
      <w:r w:rsidRPr="000D2E35">
        <w:rPr>
          <w:lang w:val="it-IT"/>
        </w:rPr>
        <w:instrText xml:space="preserve"> PAGEREF _Toc371663756 \h </w:instrText>
      </w:r>
      <w:r w:rsidRPr="00B03E8D">
        <w:fldChar w:fldCharType="separate"/>
      </w:r>
      <w:r w:rsidR="003F471F" w:rsidRPr="000D2E35">
        <w:rPr>
          <w:lang w:val="it-IT"/>
        </w:rPr>
        <w:t>187</w:t>
      </w:r>
      <w:r w:rsidRPr="00B03E8D">
        <w:fldChar w:fldCharType="end"/>
      </w:r>
    </w:p>
    <w:p w14:paraId="1A061121"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 xml:space="preserve">104 </w:t>
      </w:r>
      <w:r w:rsidRPr="00B03E8D">
        <w:rPr>
          <w:color w:val="auto"/>
        </w:rPr>
        <w:t>Windows EBS 2008 Standard ed EBS 2008 Premium</w:t>
      </w:r>
      <w:r w:rsidRPr="00B03E8D">
        <w:rPr>
          <w:color w:val="auto"/>
        </w:rPr>
        <w:tab/>
      </w:r>
      <w:r w:rsidRPr="00B03E8D">
        <w:rPr>
          <w:color w:val="auto"/>
        </w:rPr>
        <w:fldChar w:fldCharType="begin"/>
      </w:r>
      <w:r w:rsidRPr="00B03E8D">
        <w:rPr>
          <w:color w:val="auto"/>
        </w:rPr>
        <w:instrText xml:space="preserve"> PAGEREF _Toc371663757 \h </w:instrText>
      </w:r>
      <w:r w:rsidRPr="00B03E8D">
        <w:rPr>
          <w:color w:val="auto"/>
        </w:rPr>
      </w:r>
      <w:r w:rsidRPr="00B03E8D">
        <w:rPr>
          <w:color w:val="auto"/>
        </w:rPr>
        <w:fldChar w:fldCharType="separate"/>
      </w:r>
      <w:r w:rsidR="003F471F">
        <w:rPr>
          <w:color w:val="auto"/>
        </w:rPr>
        <w:t>187</w:t>
      </w:r>
      <w:r w:rsidRPr="00B03E8D">
        <w:rPr>
          <w:color w:val="auto"/>
        </w:rPr>
        <w:fldChar w:fldCharType="end"/>
      </w:r>
    </w:p>
    <w:p w14:paraId="75CBD89B"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 xml:space="preserve">105 </w:t>
      </w:r>
      <w:r w:rsidRPr="00B03E8D">
        <w:rPr>
          <w:color w:val="auto"/>
        </w:rPr>
        <w:t>Windows HPC Server 2008 R2 Suite</w:t>
      </w:r>
      <w:r w:rsidRPr="00B03E8D">
        <w:rPr>
          <w:color w:val="auto"/>
        </w:rPr>
        <w:tab/>
      </w:r>
      <w:r w:rsidRPr="00B03E8D">
        <w:rPr>
          <w:color w:val="auto"/>
        </w:rPr>
        <w:fldChar w:fldCharType="begin"/>
      </w:r>
      <w:r w:rsidRPr="00B03E8D">
        <w:rPr>
          <w:color w:val="auto"/>
        </w:rPr>
        <w:instrText xml:space="preserve"> PAGEREF _Toc371663758 \h </w:instrText>
      </w:r>
      <w:r w:rsidRPr="00B03E8D">
        <w:rPr>
          <w:color w:val="auto"/>
        </w:rPr>
      </w:r>
      <w:r w:rsidRPr="00B03E8D">
        <w:rPr>
          <w:color w:val="auto"/>
        </w:rPr>
        <w:fldChar w:fldCharType="separate"/>
      </w:r>
      <w:r w:rsidR="003F471F">
        <w:rPr>
          <w:color w:val="auto"/>
        </w:rPr>
        <w:t>189</w:t>
      </w:r>
      <w:r w:rsidRPr="00B03E8D">
        <w:rPr>
          <w:color w:val="auto"/>
        </w:rPr>
        <w:fldChar w:fldCharType="end"/>
      </w:r>
    </w:p>
    <w:p w14:paraId="2841A64D" w14:textId="77777777" w:rsidR="00B03E8D" w:rsidRPr="00B03E8D" w:rsidRDefault="00B03E8D">
      <w:pPr>
        <w:pStyle w:val="TOC2"/>
        <w:rPr>
          <w:rFonts w:asciiTheme="minorHAnsi" w:eastAsiaTheme="minorEastAsia" w:hAnsiTheme="minorHAnsi" w:cstheme="minorBidi"/>
          <w:sz w:val="22"/>
          <w:szCs w:val="22"/>
        </w:rPr>
      </w:pPr>
      <w:r w:rsidRPr="00B03E8D">
        <w:rPr>
          <w:rFonts w:cs="Tahoma"/>
          <w:caps/>
          <w:vertAlign w:val="superscript"/>
        </w:rPr>
        <w:t xml:space="preserve">106 </w:t>
      </w:r>
      <w:r w:rsidRPr="00B03E8D">
        <w:rPr>
          <w:rFonts w:cs="Tahoma"/>
        </w:rPr>
        <w:t>Windows Multipoint Server 2012 Standard</w:t>
      </w:r>
      <w:r w:rsidRPr="00B03E8D">
        <w:tab/>
      </w:r>
      <w:r w:rsidRPr="00B03E8D">
        <w:fldChar w:fldCharType="begin"/>
      </w:r>
      <w:r w:rsidRPr="00B03E8D">
        <w:instrText xml:space="preserve"> PAGEREF _Toc371663759 \h </w:instrText>
      </w:r>
      <w:r w:rsidRPr="00B03E8D">
        <w:fldChar w:fldCharType="separate"/>
      </w:r>
      <w:r w:rsidR="003F471F">
        <w:t>190</w:t>
      </w:r>
      <w:r w:rsidRPr="00B03E8D">
        <w:fldChar w:fldCharType="end"/>
      </w:r>
    </w:p>
    <w:p w14:paraId="79959257" w14:textId="77777777" w:rsidR="00B03E8D" w:rsidRPr="00B03E8D" w:rsidRDefault="00B03E8D">
      <w:pPr>
        <w:pStyle w:val="TOC2"/>
        <w:rPr>
          <w:rFonts w:asciiTheme="minorHAnsi" w:eastAsiaTheme="minorEastAsia" w:hAnsiTheme="minorHAnsi" w:cstheme="minorBidi"/>
          <w:sz w:val="22"/>
          <w:szCs w:val="22"/>
        </w:rPr>
      </w:pPr>
      <w:r w:rsidRPr="00B03E8D">
        <w:rPr>
          <w:rFonts w:cs="Tahoma"/>
          <w:caps/>
          <w:vertAlign w:val="superscript"/>
        </w:rPr>
        <w:t xml:space="preserve">107 </w:t>
      </w:r>
      <w:r w:rsidRPr="00B03E8D">
        <w:rPr>
          <w:rFonts w:cs="Tahoma"/>
        </w:rPr>
        <w:t>Windows Multipoint Server 2012 Premium</w:t>
      </w:r>
      <w:r w:rsidRPr="00B03E8D">
        <w:tab/>
      </w:r>
      <w:r w:rsidRPr="00B03E8D">
        <w:fldChar w:fldCharType="begin"/>
      </w:r>
      <w:r w:rsidRPr="00B03E8D">
        <w:instrText xml:space="preserve"> PAGEREF _Toc371663760 \h </w:instrText>
      </w:r>
      <w:r w:rsidRPr="00B03E8D">
        <w:fldChar w:fldCharType="separate"/>
      </w:r>
      <w:r w:rsidR="003F471F">
        <w:t>190</w:t>
      </w:r>
      <w:r w:rsidRPr="00B03E8D">
        <w:fldChar w:fldCharType="end"/>
      </w:r>
    </w:p>
    <w:p w14:paraId="7A1C008C" w14:textId="77777777" w:rsidR="00B03E8D" w:rsidRPr="00B03E8D" w:rsidRDefault="00B03E8D">
      <w:pPr>
        <w:pStyle w:val="TOC2"/>
        <w:rPr>
          <w:rFonts w:asciiTheme="minorHAnsi" w:eastAsiaTheme="minorEastAsia" w:hAnsiTheme="minorHAnsi" w:cstheme="minorBidi"/>
          <w:sz w:val="22"/>
          <w:szCs w:val="22"/>
        </w:rPr>
      </w:pPr>
      <w:r w:rsidRPr="00B03E8D">
        <w:rPr>
          <w:rFonts w:cs="Tahoma"/>
          <w:caps/>
          <w:vertAlign w:val="superscript"/>
        </w:rPr>
        <w:t>108</w:t>
      </w:r>
      <w:r w:rsidRPr="00B03E8D">
        <w:rPr>
          <w:rFonts w:cs="Tahoma"/>
        </w:rPr>
        <w:t xml:space="preserve"> Licenza CAL per Windows Multipoint Server 2012</w:t>
      </w:r>
      <w:r w:rsidRPr="00B03E8D">
        <w:tab/>
      </w:r>
      <w:r w:rsidRPr="00B03E8D">
        <w:fldChar w:fldCharType="begin"/>
      </w:r>
      <w:r w:rsidRPr="00B03E8D">
        <w:instrText xml:space="preserve"> PAGEREF _Toc371663761 \h </w:instrText>
      </w:r>
      <w:r w:rsidRPr="00B03E8D">
        <w:fldChar w:fldCharType="separate"/>
      </w:r>
      <w:r w:rsidR="003F471F">
        <w:t>190</w:t>
      </w:r>
      <w:r w:rsidRPr="00B03E8D">
        <w:fldChar w:fldCharType="end"/>
      </w:r>
    </w:p>
    <w:p w14:paraId="1F4DFF43"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109</w:t>
      </w:r>
      <w:r w:rsidRPr="00B03E8D">
        <w:rPr>
          <w:color w:val="auto"/>
        </w:rPr>
        <w:t xml:space="preserve"> Windows Server 2008 R2 HPC Edition</w:t>
      </w:r>
      <w:r w:rsidRPr="00B03E8D">
        <w:rPr>
          <w:color w:val="auto"/>
        </w:rPr>
        <w:tab/>
      </w:r>
      <w:r w:rsidRPr="00B03E8D">
        <w:rPr>
          <w:color w:val="auto"/>
        </w:rPr>
        <w:fldChar w:fldCharType="begin"/>
      </w:r>
      <w:r w:rsidRPr="00B03E8D">
        <w:rPr>
          <w:color w:val="auto"/>
        </w:rPr>
        <w:instrText xml:space="preserve"> PAGEREF _Toc371663762 \h </w:instrText>
      </w:r>
      <w:r w:rsidRPr="00B03E8D">
        <w:rPr>
          <w:color w:val="auto"/>
        </w:rPr>
      </w:r>
      <w:r w:rsidRPr="00B03E8D">
        <w:rPr>
          <w:color w:val="auto"/>
        </w:rPr>
        <w:fldChar w:fldCharType="separate"/>
      </w:r>
      <w:r w:rsidR="003F471F">
        <w:rPr>
          <w:color w:val="auto"/>
        </w:rPr>
        <w:t>190</w:t>
      </w:r>
      <w:r w:rsidRPr="00B03E8D">
        <w:rPr>
          <w:color w:val="auto"/>
        </w:rPr>
        <w:fldChar w:fldCharType="end"/>
      </w:r>
    </w:p>
    <w:p w14:paraId="0E465F52"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110</w:t>
      </w:r>
      <w:r w:rsidRPr="00B03E8D">
        <w:rPr>
          <w:color w:val="auto"/>
        </w:rPr>
        <w:t xml:space="preserve"> Windows Server 2008 R2 Enterprise</w:t>
      </w:r>
      <w:r w:rsidRPr="00B03E8D">
        <w:rPr>
          <w:color w:val="auto"/>
        </w:rPr>
        <w:tab/>
      </w:r>
      <w:r w:rsidRPr="00B03E8D">
        <w:rPr>
          <w:color w:val="auto"/>
        </w:rPr>
        <w:fldChar w:fldCharType="begin"/>
      </w:r>
      <w:r w:rsidRPr="00B03E8D">
        <w:rPr>
          <w:color w:val="auto"/>
        </w:rPr>
        <w:instrText xml:space="preserve"> PAGEREF _Toc371663763 \h </w:instrText>
      </w:r>
      <w:r w:rsidRPr="00B03E8D">
        <w:rPr>
          <w:color w:val="auto"/>
        </w:rPr>
      </w:r>
      <w:r w:rsidRPr="00B03E8D">
        <w:rPr>
          <w:color w:val="auto"/>
        </w:rPr>
        <w:fldChar w:fldCharType="separate"/>
      </w:r>
      <w:r w:rsidR="003F471F">
        <w:rPr>
          <w:color w:val="auto"/>
        </w:rPr>
        <w:t>191</w:t>
      </w:r>
      <w:r w:rsidRPr="00B03E8D">
        <w:rPr>
          <w:color w:val="auto"/>
        </w:rPr>
        <w:fldChar w:fldCharType="end"/>
      </w:r>
    </w:p>
    <w:p w14:paraId="3CC3862F"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 xml:space="preserve">111 </w:t>
      </w:r>
      <w:r w:rsidRPr="00B03E8D">
        <w:rPr>
          <w:color w:val="auto"/>
        </w:rPr>
        <w:t>Windows Server 2008 R2 per Sistemi Itanium</w:t>
      </w:r>
      <w:r w:rsidRPr="00B03E8D">
        <w:rPr>
          <w:color w:val="auto"/>
        </w:rPr>
        <w:tab/>
      </w:r>
      <w:r w:rsidRPr="00B03E8D">
        <w:rPr>
          <w:color w:val="auto"/>
        </w:rPr>
        <w:fldChar w:fldCharType="begin"/>
      </w:r>
      <w:r w:rsidRPr="00B03E8D">
        <w:rPr>
          <w:color w:val="auto"/>
        </w:rPr>
        <w:instrText xml:space="preserve"> PAGEREF _Toc371663764 \h </w:instrText>
      </w:r>
      <w:r w:rsidRPr="00B03E8D">
        <w:rPr>
          <w:color w:val="auto"/>
        </w:rPr>
      </w:r>
      <w:r w:rsidRPr="00B03E8D">
        <w:rPr>
          <w:color w:val="auto"/>
        </w:rPr>
        <w:fldChar w:fldCharType="separate"/>
      </w:r>
      <w:r w:rsidR="003F471F">
        <w:rPr>
          <w:color w:val="auto"/>
        </w:rPr>
        <w:t>192</w:t>
      </w:r>
      <w:r w:rsidRPr="00B03E8D">
        <w:rPr>
          <w:color w:val="auto"/>
        </w:rPr>
        <w:fldChar w:fldCharType="end"/>
      </w:r>
    </w:p>
    <w:p w14:paraId="33FF9829"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 xml:space="preserve">112 </w:t>
      </w:r>
      <w:r w:rsidRPr="00B03E8D">
        <w:rPr>
          <w:color w:val="auto"/>
        </w:rPr>
        <w:t>CAL per Windows Server 2012</w:t>
      </w:r>
      <w:r w:rsidRPr="00B03E8D">
        <w:rPr>
          <w:color w:val="auto"/>
        </w:rPr>
        <w:tab/>
      </w:r>
      <w:r w:rsidRPr="00B03E8D">
        <w:rPr>
          <w:color w:val="auto"/>
        </w:rPr>
        <w:fldChar w:fldCharType="begin"/>
      </w:r>
      <w:r w:rsidRPr="00B03E8D">
        <w:rPr>
          <w:color w:val="auto"/>
        </w:rPr>
        <w:instrText xml:space="preserve"> PAGEREF _Toc371663765 \h </w:instrText>
      </w:r>
      <w:r w:rsidRPr="00B03E8D">
        <w:rPr>
          <w:color w:val="auto"/>
        </w:rPr>
      </w:r>
      <w:r w:rsidRPr="00B03E8D">
        <w:rPr>
          <w:color w:val="auto"/>
        </w:rPr>
        <w:fldChar w:fldCharType="separate"/>
      </w:r>
      <w:r w:rsidR="003F471F">
        <w:rPr>
          <w:color w:val="auto"/>
        </w:rPr>
        <w:t>192</w:t>
      </w:r>
      <w:r w:rsidRPr="00B03E8D">
        <w:rPr>
          <w:color w:val="auto"/>
        </w:rPr>
        <w:fldChar w:fldCharType="end"/>
      </w:r>
    </w:p>
    <w:p w14:paraId="6F7D23A0"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 xml:space="preserve">113 </w:t>
      </w:r>
      <w:r w:rsidRPr="00B03E8D">
        <w:rPr>
          <w:color w:val="auto"/>
        </w:rPr>
        <w:t>Windows Server 2012 R2 Datacenter</w:t>
      </w:r>
      <w:r w:rsidRPr="00B03E8D">
        <w:rPr>
          <w:color w:val="auto"/>
        </w:rPr>
        <w:tab/>
      </w:r>
      <w:r w:rsidRPr="00B03E8D">
        <w:rPr>
          <w:color w:val="auto"/>
        </w:rPr>
        <w:fldChar w:fldCharType="begin"/>
      </w:r>
      <w:r w:rsidRPr="00B03E8D">
        <w:rPr>
          <w:color w:val="auto"/>
        </w:rPr>
        <w:instrText xml:space="preserve"> PAGEREF _Toc371663766 \h </w:instrText>
      </w:r>
      <w:r w:rsidRPr="00B03E8D">
        <w:rPr>
          <w:color w:val="auto"/>
        </w:rPr>
      </w:r>
      <w:r w:rsidRPr="00B03E8D">
        <w:rPr>
          <w:color w:val="auto"/>
        </w:rPr>
        <w:fldChar w:fldCharType="separate"/>
      </w:r>
      <w:r w:rsidR="003F471F">
        <w:rPr>
          <w:color w:val="auto"/>
        </w:rPr>
        <w:t>193</w:t>
      </w:r>
      <w:r w:rsidRPr="00B03E8D">
        <w:rPr>
          <w:color w:val="auto"/>
        </w:rPr>
        <w:fldChar w:fldCharType="end"/>
      </w:r>
    </w:p>
    <w:p w14:paraId="2ECC9CF3"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 xml:space="preserve">114 </w:t>
      </w:r>
      <w:r w:rsidRPr="00B03E8D">
        <w:rPr>
          <w:color w:val="auto"/>
        </w:rPr>
        <w:t>Windows Server 2012 R2 Standard</w:t>
      </w:r>
      <w:r w:rsidRPr="00B03E8D">
        <w:rPr>
          <w:color w:val="auto"/>
        </w:rPr>
        <w:tab/>
      </w:r>
      <w:r w:rsidRPr="00B03E8D">
        <w:rPr>
          <w:color w:val="auto"/>
        </w:rPr>
        <w:fldChar w:fldCharType="begin"/>
      </w:r>
      <w:r w:rsidRPr="00B03E8D">
        <w:rPr>
          <w:color w:val="auto"/>
        </w:rPr>
        <w:instrText xml:space="preserve"> PAGEREF _Toc371663767 \h </w:instrText>
      </w:r>
      <w:r w:rsidRPr="00B03E8D">
        <w:rPr>
          <w:color w:val="auto"/>
        </w:rPr>
      </w:r>
      <w:r w:rsidRPr="00B03E8D">
        <w:rPr>
          <w:color w:val="auto"/>
        </w:rPr>
        <w:fldChar w:fldCharType="separate"/>
      </w:r>
      <w:r w:rsidR="003F471F">
        <w:rPr>
          <w:color w:val="auto"/>
        </w:rPr>
        <w:t>193</w:t>
      </w:r>
      <w:r w:rsidRPr="00B03E8D">
        <w:rPr>
          <w:color w:val="auto"/>
        </w:rPr>
        <w:fldChar w:fldCharType="end"/>
      </w:r>
    </w:p>
    <w:p w14:paraId="7AADD870" w14:textId="77777777" w:rsidR="00B03E8D" w:rsidRPr="00B03E8D" w:rsidRDefault="00B03E8D">
      <w:pPr>
        <w:pStyle w:val="TOC2"/>
        <w:rPr>
          <w:rFonts w:asciiTheme="minorHAnsi" w:eastAsiaTheme="minorEastAsia" w:hAnsiTheme="minorHAnsi" w:cstheme="minorBidi"/>
          <w:sz w:val="22"/>
          <w:szCs w:val="22"/>
        </w:rPr>
      </w:pPr>
      <w:r w:rsidRPr="00B03E8D">
        <w:rPr>
          <w:rFonts w:cs="Tahoma"/>
          <w:caps/>
          <w:vertAlign w:val="superscript"/>
        </w:rPr>
        <w:t>115</w:t>
      </w:r>
      <w:r w:rsidRPr="00B03E8D">
        <w:rPr>
          <w:rFonts w:cs="Tahoma"/>
        </w:rPr>
        <w:t xml:space="preserve"> Windows Small Business Server (SBS) 2008 Premium</w:t>
      </w:r>
      <w:r w:rsidRPr="00B03E8D">
        <w:tab/>
      </w:r>
      <w:r w:rsidRPr="00B03E8D">
        <w:fldChar w:fldCharType="begin"/>
      </w:r>
      <w:r w:rsidRPr="00B03E8D">
        <w:instrText xml:space="preserve"> PAGEREF _Toc371663768 \h </w:instrText>
      </w:r>
      <w:r w:rsidRPr="00B03E8D">
        <w:fldChar w:fldCharType="separate"/>
      </w:r>
      <w:r w:rsidR="003F471F">
        <w:t>193</w:t>
      </w:r>
      <w:r w:rsidRPr="00B03E8D">
        <w:fldChar w:fldCharType="end"/>
      </w:r>
    </w:p>
    <w:p w14:paraId="7A55296F" w14:textId="77777777" w:rsidR="00B03E8D" w:rsidRPr="00B03E8D" w:rsidRDefault="00B03E8D">
      <w:pPr>
        <w:pStyle w:val="TOC3"/>
        <w:rPr>
          <w:rFonts w:asciiTheme="minorHAnsi" w:eastAsiaTheme="minorEastAsia" w:hAnsiTheme="minorHAnsi" w:cstheme="minorBidi"/>
          <w:bCs w:val="0"/>
          <w:color w:val="auto"/>
          <w:sz w:val="22"/>
          <w:szCs w:val="22"/>
        </w:rPr>
      </w:pPr>
      <w:r w:rsidRPr="00B03E8D">
        <w:rPr>
          <w:caps/>
          <w:color w:val="auto"/>
          <w:vertAlign w:val="superscript"/>
        </w:rPr>
        <w:t>116</w:t>
      </w:r>
      <w:r w:rsidRPr="00B03E8D">
        <w:rPr>
          <w:color w:val="auto"/>
        </w:rPr>
        <w:t xml:space="preserve"> Windows Small Business Server (2011) Standard</w:t>
      </w:r>
      <w:r w:rsidRPr="00B03E8D">
        <w:rPr>
          <w:color w:val="auto"/>
        </w:rPr>
        <w:tab/>
      </w:r>
      <w:r w:rsidRPr="00B03E8D">
        <w:rPr>
          <w:color w:val="auto"/>
        </w:rPr>
        <w:fldChar w:fldCharType="begin"/>
      </w:r>
      <w:r w:rsidRPr="00B03E8D">
        <w:rPr>
          <w:color w:val="auto"/>
        </w:rPr>
        <w:instrText xml:space="preserve"> PAGEREF _Toc371663769 \h </w:instrText>
      </w:r>
      <w:r w:rsidRPr="00B03E8D">
        <w:rPr>
          <w:color w:val="auto"/>
        </w:rPr>
      </w:r>
      <w:r w:rsidRPr="00B03E8D">
        <w:rPr>
          <w:color w:val="auto"/>
        </w:rPr>
        <w:fldChar w:fldCharType="separate"/>
      </w:r>
      <w:r w:rsidR="003F471F">
        <w:rPr>
          <w:color w:val="auto"/>
        </w:rPr>
        <w:t>194</w:t>
      </w:r>
      <w:r w:rsidRPr="00B03E8D">
        <w:rPr>
          <w:color w:val="auto"/>
        </w:rPr>
        <w:fldChar w:fldCharType="end"/>
      </w:r>
    </w:p>
    <w:p w14:paraId="30238521" w14:textId="77777777" w:rsidR="00B03E8D" w:rsidRPr="00B03E8D" w:rsidRDefault="00B03E8D">
      <w:pPr>
        <w:pStyle w:val="TOC2"/>
        <w:rPr>
          <w:rFonts w:asciiTheme="minorHAnsi" w:eastAsiaTheme="minorEastAsia" w:hAnsiTheme="minorHAnsi" w:cstheme="minorBidi"/>
          <w:sz w:val="22"/>
          <w:szCs w:val="22"/>
        </w:rPr>
      </w:pPr>
      <w:r w:rsidRPr="00B03E8D">
        <w:rPr>
          <w:rFonts w:cs="Tahoma"/>
          <w:caps/>
          <w:vertAlign w:val="superscript"/>
        </w:rPr>
        <w:t xml:space="preserve">117 </w:t>
      </w:r>
      <w:r w:rsidRPr="00B03E8D">
        <w:rPr>
          <w:rFonts w:cs="Tahoma"/>
        </w:rPr>
        <w:t>CAL Suite per Windows Small Business Server (SBS) 2011</w:t>
      </w:r>
      <w:r w:rsidRPr="00B03E8D">
        <w:tab/>
      </w:r>
      <w:r w:rsidRPr="00B03E8D">
        <w:fldChar w:fldCharType="begin"/>
      </w:r>
      <w:r w:rsidRPr="00B03E8D">
        <w:instrText xml:space="preserve"> PAGEREF _Toc371663770 \h </w:instrText>
      </w:r>
      <w:r w:rsidRPr="00B03E8D">
        <w:fldChar w:fldCharType="separate"/>
      </w:r>
      <w:r w:rsidR="003F471F">
        <w:t>195</w:t>
      </w:r>
      <w:r w:rsidRPr="00B03E8D">
        <w:fldChar w:fldCharType="end"/>
      </w:r>
    </w:p>
    <w:p w14:paraId="5DB71BED" w14:textId="77777777" w:rsidR="00B03E8D" w:rsidRPr="00B03E8D" w:rsidRDefault="00B03E8D">
      <w:pPr>
        <w:pStyle w:val="TOC2"/>
        <w:rPr>
          <w:rFonts w:asciiTheme="minorHAnsi" w:eastAsiaTheme="minorEastAsia" w:hAnsiTheme="minorHAnsi" w:cstheme="minorBidi"/>
          <w:sz w:val="22"/>
          <w:szCs w:val="22"/>
        </w:rPr>
      </w:pPr>
      <w:r w:rsidRPr="00B03E8D">
        <w:rPr>
          <w:rFonts w:cs="Tahoma"/>
          <w:caps/>
          <w:vertAlign w:val="superscript"/>
        </w:rPr>
        <w:t xml:space="preserve">118 </w:t>
      </w:r>
      <w:r w:rsidRPr="00B03E8D">
        <w:rPr>
          <w:rFonts w:cs="Tahoma"/>
        </w:rPr>
        <w:t>Premium Add-on per Windows Small Business Server (SBS) 2011</w:t>
      </w:r>
      <w:r w:rsidRPr="00B03E8D">
        <w:tab/>
      </w:r>
      <w:r w:rsidRPr="00B03E8D">
        <w:fldChar w:fldCharType="begin"/>
      </w:r>
      <w:r w:rsidRPr="00B03E8D">
        <w:instrText xml:space="preserve"> PAGEREF _Toc371663771 \h </w:instrText>
      </w:r>
      <w:r w:rsidRPr="00B03E8D">
        <w:fldChar w:fldCharType="separate"/>
      </w:r>
      <w:r w:rsidR="003F471F">
        <w:t>196</w:t>
      </w:r>
      <w:r w:rsidRPr="00B03E8D">
        <w:fldChar w:fldCharType="end"/>
      </w:r>
    </w:p>
    <w:p w14:paraId="54B7443D" w14:textId="77777777" w:rsidR="00B03E8D" w:rsidRPr="00B03E8D" w:rsidRDefault="00B03E8D">
      <w:pPr>
        <w:pStyle w:val="TOC2"/>
        <w:rPr>
          <w:rFonts w:asciiTheme="minorHAnsi" w:eastAsiaTheme="minorEastAsia" w:hAnsiTheme="minorHAnsi" w:cstheme="minorBidi"/>
          <w:sz w:val="22"/>
          <w:szCs w:val="22"/>
        </w:rPr>
      </w:pPr>
      <w:r w:rsidRPr="00B03E8D">
        <w:rPr>
          <w:rFonts w:cs="Tahoma"/>
          <w:caps/>
          <w:vertAlign w:val="superscript"/>
        </w:rPr>
        <w:t>119</w:t>
      </w:r>
      <w:r w:rsidRPr="00B03E8D">
        <w:rPr>
          <w:rFonts w:cs="Tahoma"/>
        </w:rPr>
        <w:t xml:space="preserve"> CAL Suite per Windows Small Business Server (SBS) 2011 Premium Add-on</w:t>
      </w:r>
      <w:r w:rsidRPr="00B03E8D">
        <w:tab/>
      </w:r>
      <w:r w:rsidRPr="00B03E8D">
        <w:fldChar w:fldCharType="begin"/>
      </w:r>
      <w:r w:rsidRPr="00B03E8D">
        <w:instrText xml:space="preserve"> PAGEREF _Toc371663772 \h </w:instrText>
      </w:r>
      <w:r w:rsidRPr="00B03E8D">
        <w:fldChar w:fldCharType="separate"/>
      </w:r>
      <w:r w:rsidR="003F471F">
        <w:t>197</w:t>
      </w:r>
      <w:r w:rsidRPr="00B03E8D">
        <w:fldChar w:fldCharType="end"/>
      </w:r>
    </w:p>
    <w:p w14:paraId="15C1BCA4" w14:textId="77777777" w:rsidR="00B03E8D" w:rsidRPr="00B03E8D" w:rsidRDefault="00B03E8D">
      <w:pPr>
        <w:pStyle w:val="TOC2"/>
        <w:rPr>
          <w:rFonts w:asciiTheme="minorHAnsi" w:eastAsiaTheme="minorEastAsia" w:hAnsiTheme="minorHAnsi" w:cstheme="minorBidi"/>
          <w:sz w:val="22"/>
          <w:szCs w:val="22"/>
        </w:rPr>
      </w:pPr>
      <w:r w:rsidRPr="00B03E8D">
        <w:rPr>
          <w:rFonts w:cs="Tahoma"/>
          <w:vertAlign w:val="superscript"/>
        </w:rPr>
        <w:t xml:space="preserve">120 </w:t>
      </w:r>
      <w:r w:rsidRPr="00B03E8D">
        <w:rPr>
          <w:rFonts w:cs="Tahoma"/>
        </w:rPr>
        <w:t>Windows Small Business Server 2011 Essentials</w:t>
      </w:r>
      <w:r w:rsidRPr="00B03E8D">
        <w:tab/>
      </w:r>
      <w:r w:rsidRPr="00B03E8D">
        <w:fldChar w:fldCharType="begin"/>
      </w:r>
      <w:r w:rsidRPr="00B03E8D">
        <w:instrText xml:space="preserve"> PAGEREF _Toc371663773 \h </w:instrText>
      </w:r>
      <w:r w:rsidRPr="00B03E8D">
        <w:fldChar w:fldCharType="separate"/>
      </w:r>
      <w:r w:rsidR="003F471F">
        <w:t>198</w:t>
      </w:r>
      <w:r w:rsidRPr="00B03E8D">
        <w:fldChar w:fldCharType="end"/>
      </w:r>
    </w:p>
    <w:p w14:paraId="446EA94F" w14:textId="77777777" w:rsidR="00B03E8D" w:rsidRPr="003F471F" w:rsidRDefault="00B03E8D">
      <w:pPr>
        <w:pStyle w:val="TOC3"/>
        <w:rPr>
          <w:rFonts w:asciiTheme="minorHAnsi" w:eastAsiaTheme="minorEastAsia" w:hAnsiTheme="minorHAnsi" w:cstheme="minorBidi"/>
          <w:bCs w:val="0"/>
          <w:color w:val="auto"/>
          <w:sz w:val="22"/>
          <w:szCs w:val="22"/>
          <w:lang w:val="it-IT"/>
        </w:rPr>
      </w:pPr>
      <w:r w:rsidRPr="003F471F">
        <w:rPr>
          <w:caps/>
          <w:color w:val="auto"/>
          <w:vertAlign w:val="superscript"/>
          <w:lang w:val="it-IT"/>
        </w:rPr>
        <w:t>121</w:t>
      </w:r>
      <w:r w:rsidRPr="003F471F">
        <w:rPr>
          <w:color w:val="auto"/>
          <w:lang w:val="it-IT"/>
        </w:rPr>
        <w:t xml:space="preserve"> Windows Web Server</w:t>
      </w:r>
      <w:r w:rsidRPr="003F471F">
        <w:rPr>
          <w:color w:val="auto"/>
          <w:vertAlign w:val="superscript"/>
          <w:lang w:val="it-IT"/>
        </w:rPr>
        <w:t>®</w:t>
      </w:r>
      <w:r w:rsidRPr="003F471F">
        <w:rPr>
          <w:color w:val="auto"/>
          <w:lang w:val="it-IT"/>
        </w:rPr>
        <w:t xml:space="preserve"> 2008 R2</w:t>
      </w:r>
      <w:r w:rsidRPr="003F471F">
        <w:rPr>
          <w:color w:val="auto"/>
          <w:lang w:val="it-IT"/>
        </w:rPr>
        <w:tab/>
      </w:r>
      <w:r w:rsidRPr="00B03E8D">
        <w:rPr>
          <w:color w:val="auto"/>
        </w:rPr>
        <w:fldChar w:fldCharType="begin"/>
      </w:r>
      <w:r w:rsidRPr="003F471F">
        <w:rPr>
          <w:color w:val="auto"/>
          <w:lang w:val="it-IT"/>
        </w:rPr>
        <w:instrText xml:space="preserve"> PAGEREF _Toc371663774 \h </w:instrText>
      </w:r>
      <w:r w:rsidRPr="00B03E8D">
        <w:rPr>
          <w:color w:val="auto"/>
        </w:rPr>
      </w:r>
      <w:r w:rsidRPr="00B03E8D">
        <w:rPr>
          <w:color w:val="auto"/>
        </w:rPr>
        <w:fldChar w:fldCharType="separate"/>
      </w:r>
      <w:r w:rsidR="003F471F" w:rsidRPr="003F471F">
        <w:rPr>
          <w:color w:val="auto"/>
          <w:lang w:val="it-IT"/>
        </w:rPr>
        <w:t>198</w:t>
      </w:r>
      <w:r w:rsidRPr="00B03E8D">
        <w:rPr>
          <w:color w:val="auto"/>
        </w:rPr>
        <w:fldChar w:fldCharType="end"/>
      </w:r>
    </w:p>
    <w:p w14:paraId="64620B59" w14:textId="77777777" w:rsidR="007E0CC6" w:rsidRPr="003F471F" w:rsidRDefault="00BF5FC6" w:rsidP="00461CA9">
      <w:pPr>
        <w:pStyle w:val="TOC4"/>
        <w:tabs>
          <w:tab w:val="clear" w:pos="9360"/>
          <w:tab w:val="center" w:pos="4680"/>
        </w:tabs>
        <w:rPr>
          <w:lang w:val="it-IT"/>
        </w:rPr>
      </w:pPr>
      <w:r w:rsidRPr="0058047D">
        <w:fldChar w:fldCharType="end"/>
      </w:r>
    </w:p>
    <w:p w14:paraId="205A3265" w14:textId="77777777" w:rsidR="00023FE7" w:rsidRPr="003F471F" w:rsidRDefault="00ED3854" w:rsidP="007E0CC6">
      <w:pPr>
        <w:pStyle w:val="Heading2"/>
        <w:rPr>
          <w:sz w:val="36"/>
          <w:szCs w:val="36"/>
          <w:lang w:val="it-IT"/>
        </w:rPr>
      </w:pPr>
      <w:bookmarkStart w:id="6" w:name="_Toc246850065"/>
      <w:r w:rsidRPr="003F471F">
        <w:rPr>
          <w:rFonts w:ascii="Tahoma" w:hAnsi="Tahoma" w:cs="Tahoma"/>
          <w:sz w:val="36"/>
          <w:lang w:val="it-IT"/>
        </w:rPr>
        <w:br w:type="page"/>
      </w:r>
      <w:bookmarkStart w:id="7" w:name="_Toc336337840"/>
      <w:bookmarkStart w:id="8" w:name="_Toc371663246"/>
      <w:r w:rsidRPr="003F471F">
        <w:rPr>
          <w:rFonts w:ascii="Tahoma" w:hAnsi="Tahoma" w:cs="Tahoma"/>
          <w:sz w:val="36"/>
          <w:szCs w:val="36"/>
          <w:lang w:val="it-IT"/>
        </w:rPr>
        <w:t>Codici Tabella</w:t>
      </w:r>
      <w:bookmarkEnd w:id="6"/>
      <w:bookmarkEnd w:id="7"/>
      <w:bookmarkEnd w:id="8"/>
    </w:p>
    <w:p w14:paraId="3F4C1718" w14:textId="77777777" w:rsidR="00023FE7" w:rsidRPr="003F471F" w:rsidRDefault="00023FE7">
      <w:pPr>
        <w:pStyle w:val="ChartKeyHeadings"/>
        <w:ind w:right="-180"/>
        <w:rPr>
          <w:rFonts w:ascii="Tahoma" w:hAnsi="Tahoma" w:cs="Tahoma"/>
          <w:sz w:val="18"/>
          <w:szCs w:val="18"/>
          <w:lang w:val="it-IT"/>
        </w:rPr>
      </w:pPr>
    </w:p>
    <w:p w14:paraId="651EDBB8" w14:textId="77777777" w:rsidR="00023FE7" w:rsidRPr="003F471F" w:rsidRDefault="00023FE7">
      <w:pPr>
        <w:pStyle w:val="ChartKeyHeadings"/>
        <w:ind w:right="-180"/>
        <w:rPr>
          <w:lang w:val="it-IT"/>
        </w:rPr>
      </w:pPr>
      <w:r w:rsidRPr="003F471F">
        <w:rPr>
          <w:rFonts w:ascii="Tahoma" w:hAnsi="Tahoma" w:cs="Tahoma"/>
          <w:szCs w:val="24"/>
          <w:lang w:val="it-IT"/>
        </w:rPr>
        <w:t>Intestazioni Colonne</w:t>
      </w:r>
    </w:p>
    <w:p w14:paraId="6BE0002D" w14:textId="77777777" w:rsidR="00023FE7" w:rsidRPr="003F471F" w:rsidRDefault="00023FE7">
      <w:pPr>
        <w:pStyle w:val="ChartKeyHeadings"/>
        <w:ind w:right="-180"/>
        <w:rPr>
          <w:lang w:val="it-IT"/>
        </w:rPr>
      </w:pPr>
    </w:p>
    <w:p w14:paraId="0B73B27D" w14:textId="77777777" w:rsidR="00664EE9" w:rsidRPr="003F471F" w:rsidRDefault="00664EE9" w:rsidP="00664EE9">
      <w:pPr>
        <w:pStyle w:val="Bodywithspace"/>
        <w:spacing w:before="0" w:after="0" w:line="276" w:lineRule="auto"/>
        <w:ind w:right="-180"/>
        <w:rPr>
          <w:lang w:val="it-IT"/>
        </w:rPr>
      </w:pPr>
      <w:r w:rsidRPr="003F471F">
        <w:rPr>
          <w:rStyle w:val="BodyChar"/>
          <w:rFonts w:ascii="Tahoma" w:hAnsi="Tahoma" w:cs="Tahoma"/>
          <w:b/>
          <w:color w:val="000000"/>
          <w:sz w:val="18"/>
          <w:szCs w:val="18"/>
          <w:lang w:val="it-IT"/>
        </w:rPr>
        <w:t>Unità Campus e School =</w:t>
      </w:r>
      <w:r w:rsidRPr="003F471F">
        <w:rPr>
          <w:rFonts w:ascii="Tahoma" w:hAnsi="Tahoma" w:cs="Tahoma"/>
          <w:color w:val="000000"/>
          <w:sz w:val="18"/>
          <w:szCs w:val="18"/>
          <w:lang w:val="it-IT"/>
        </w:rPr>
        <w:t xml:space="preserve"> I numeri visualizzati in questa colonna rappresentano le unità designate quando il</w:t>
      </w:r>
      <w:r w:rsidR="0058047D" w:rsidRPr="003F471F">
        <w:rPr>
          <w:rFonts w:ascii="Tahoma" w:hAnsi="Tahoma" w:cs="Tahoma"/>
          <w:color w:val="000000"/>
          <w:sz w:val="18"/>
          <w:szCs w:val="18"/>
          <w:lang w:val="it-IT"/>
        </w:rPr>
        <w:t> </w:t>
      </w:r>
      <w:r w:rsidRPr="003F471F">
        <w:rPr>
          <w:rFonts w:ascii="Tahoma" w:hAnsi="Tahoma" w:cs="Tahoma"/>
          <w:color w:val="000000"/>
          <w:sz w:val="18"/>
          <w:szCs w:val="18"/>
          <w:lang w:val="it-IT"/>
        </w:rPr>
        <w:t>software viene offerto attraverso l</w:t>
      </w:r>
      <w:r w:rsidR="001C4212" w:rsidRPr="003F471F">
        <w:rPr>
          <w:rFonts w:ascii="Tahoma" w:hAnsi="Tahoma" w:cs="Tahoma"/>
          <w:color w:val="000000"/>
          <w:sz w:val="18"/>
          <w:szCs w:val="18"/>
          <w:lang w:val="it-IT"/>
        </w:rPr>
        <w:t>’</w:t>
      </w:r>
      <w:r w:rsidRPr="003F471F">
        <w:rPr>
          <w:rFonts w:ascii="Tahoma" w:hAnsi="Tahoma" w:cs="Tahoma"/>
          <w:color w:val="000000"/>
          <w:sz w:val="18"/>
          <w:szCs w:val="18"/>
          <w:lang w:val="it-IT"/>
        </w:rPr>
        <w:t>Iscrizione School ai sensi del Contratto Campus e School. I prodotti non vengono offerti in questi programmi quando la colonna CA/SA è vuota.</w:t>
      </w:r>
    </w:p>
    <w:p w14:paraId="70932DDD" w14:textId="77777777" w:rsidR="00023FE7" w:rsidRPr="003F471F" w:rsidRDefault="00023FE7">
      <w:pPr>
        <w:pStyle w:val="Bodywithspace"/>
        <w:spacing w:before="0" w:after="0" w:line="276" w:lineRule="auto"/>
        <w:ind w:right="-180"/>
        <w:rPr>
          <w:lang w:val="it-IT"/>
        </w:rPr>
      </w:pPr>
      <w:r w:rsidRPr="003F471F">
        <w:rPr>
          <w:rStyle w:val="BodyChar"/>
          <w:rFonts w:ascii="Tahoma" w:hAnsi="Tahoma" w:cs="Tahoma"/>
          <w:b/>
          <w:sz w:val="18"/>
          <w:szCs w:val="18"/>
          <w:lang w:val="it-IT"/>
        </w:rPr>
        <w:t xml:space="preserve">Data Disponibilità = </w:t>
      </w:r>
      <w:r w:rsidRPr="003F471F">
        <w:rPr>
          <w:rStyle w:val="BodyChar"/>
          <w:rFonts w:ascii="Tahoma" w:hAnsi="Tahoma" w:cs="Tahoma"/>
          <w:sz w:val="18"/>
          <w:szCs w:val="18"/>
          <w:lang w:val="it-IT"/>
        </w:rPr>
        <w:t>È la data in cui il prodotto è disponibile per la prima volta,</w:t>
      </w:r>
      <w:r w:rsidRPr="003F471F">
        <w:rPr>
          <w:rStyle w:val="BodyChar"/>
          <w:rFonts w:ascii="Tahoma" w:hAnsi="Tahoma" w:cs="Tahoma"/>
          <w:color w:val="000000"/>
          <w:sz w:val="18"/>
          <w:szCs w:val="18"/>
          <w:lang w:val="it-IT"/>
        </w:rPr>
        <w:t xml:space="preserve"> indicata nel formato mese/anno. </w:t>
      </w:r>
      <w:r w:rsidRPr="003F471F">
        <w:rPr>
          <w:rStyle w:val="BodyChar"/>
          <w:rFonts w:ascii="Tahoma" w:hAnsi="Tahoma" w:cs="Tahoma"/>
          <w:sz w:val="18"/>
          <w:szCs w:val="18"/>
          <w:lang w:val="it-IT"/>
        </w:rPr>
        <w:t>È la prima tra la data in cui Microsoft dà la possibilità di ordinare le licenze per il prodotto e quella</w:t>
      </w:r>
      <w:r w:rsidR="0058047D" w:rsidRPr="003F471F">
        <w:rPr>
          <w:rStyle w:val="BodyChar"/>
          <w:rFonts w:ascii="Tahoma" w:hAnsi="Tahoma" w:cs="Tahoma"/>
          <w:sz w:val="18"/>
          <w:szCs w:val="18"/>
          <w:lang w:val="it-IT"/>
        </w:rPr>
        <w:t> </w:t>
      </w:r>
      <w:r w:rsidRPr="003F471F">
        <w:rPr>
          <w:rStyle w:val="BodyChar"/>
          <w:rFonts w:ascii="Tahoma" w:hAnsi="Tahoma" w:cs="Tahoma"/>
          <w:sz w:val="18"/>
          <w:szCs w:val="18"/>
          <w:lang w:val="it-IT"/>
        </w:rPr>
        <w:t>in cui consente di scaricare il software per il prodotto dal Volume Licensing Services Center (VLSC).</w:t>
      </w:r>
    </w:p>
    <w:p w14:paraId="595369ED" w14:textId="77777777" w:rsidR="00023FE7" w:rsidRPr="003F471F" w:rsidRDefault="00023FE7">
      <w:pPr>
        <w:pStyle w:val="Bodywithspace"/>
        <w:spacing w:before="0" w:after="0" w:line="276" w:lineRule="auto"/>
        <w:ind w:right="-180"/>
        <w:rPr>
          <w:lang w:val="it-IT"/>
        </w:rPr>
      </w:pPr>
      <w:r w:rsidRPr="003F471F">
        <w:rPr>
          <w:rStyle w:val="BodyChar"/>
          <w:rFonts w:ascii="Tahoma" w:hAnsi="Tahoma" w:cs="Tahoma"/>
          <w:b/>
          <w:sz w:val="18"/>
          <w:szCs w:val="18"/>
          <w:lang w:val="it-IT"/>
        </w:rPr>
        <w:t>EA (Contratto Enterprise) =</w:t>
      </w:r>
      <w:r w:rsidRPr="003F471F">
        <w:rPr>
          <w:rFonts w:ascii="Tahoma" w:hAnsi="Tahoma" w:cs="Tahoma"/>
          <w:sz w:val="18"/>
          <w:szCs w:val="18"/>
          <w:lang w:val="it-IT"/>
        </w:rPr>
        <w:t xml:space="preserve"> Contratto Enterprise 20xx.</w:t>
      </w:r>
    </w:p>
    <w:p w14:paraId="70137FA3" w14:textId="77777777" w:rsidR="00023FE7" w:rsidRPr="003F471F" w:rsidRDefault="00023FE7">
      <w:pPr>
        <w:pStyle w:val="Bodywithspace"/>
        <w:spacing w:before="0" w:after="0" w:line="276" w:lineRule="auto"/>
        <w:ind w:right="-180"/>
        <w:rPr>
          <w:lang w:val="it-IT"/>
        </w:rPr>
      </w:pPr>
      <w:r w:rsidRPr="003F471F">
        <w:rPr>
          <w:rStyle w:val="BodyChar"/>
          <w:rFonts w:ascii="Tahoma" w:hAnsi="Tahoma" w:cs="Tahoma"/>
          <w:b/>
          <w:sz w:val="18"/>
          <w:szCs w:val="18"/>
          <w:lang w:val="it-IT"/>
        </w:rPr>
        <w:t xml:space="preserve">EA Sub (Contratto Enterprise Subscription) = </w:t>
      </w:r>
      <w:r w:rsidRPr="003F471F">
        <w:rPr>
          <w:rFonts w:ascii="Tahoma" w:hAnsi="Tahoma" w:cs="Tahoma"/>
          <w:sz w:val="18"/>
          <w:szCs w:val="18"/>
          <w:lang w:val="it-IT"/>
        </w:rPr>
        <w:t>Contratto Enterprise Subscription 200x.</w:t>
      </w:r>
      <w:r w:rsidR="00E34ED3" w:rsidRPr="003F471F">
        <w:rPr>
          <w:rFonts w:ascii="Tahoma" w:hAnsi="Tahoma" w:cs="Tahoma"/>
          <w:sz w:val="18"/>
          <w:szCs w:val="18"/>
          <w:lang w:val="it-IT"/>
        </w:rPr>
        <w:t xml:space="preserve"> </w:t>
      </w:r>
    </w:p>
    <w:p w14:paraId="3714888D" w14:textId="77777777" w:rsidR="00456002" w:rsidRPr="003F471F" w:rsidRDefault="00456002" w:rsidP="00456002">
      <w:pPr>
        <w:pStyle w:val="Bodywithspace"/>
        <w:spacing w:before="0" w:after="0" w:line="276" w:lineRule="auto"/>
        <w:ind w:right="-180"/>
        <w:rPr>
          <w:lang w:val="it-IT"/>
        </w:rPr>
      </w:pPr>
      <w:r w:rsidRPr="003F471F">
        <w:rPr>
          <w:rStyle w:val="BodyChar"/>
          <w:rFonts w:ascii="Tahoma" w:hAnsi="Tahoma" w:cs="Tahoma"/>
          <w:b/>
          <w:sz w:val="18"/>
          <w:szCs w:val="18"/>
          <w:lang w:val="it-IT"/>
        </w:rPr>
        <w:t>Requisito Minimo per i Programmi Open =</w:t>
      </w:r>
      <w:r w:rsidRPr="003F471F">
        <w:rPr>
          <w:rFonts w:ascii="Tahoma" w:hAnsi="Tahoma" w:cs="Tahoma"/>
          <w:sz w:val="18"/>
          <w:szCs w:val="18"/>
          <w:lang w:val="it-IT"/>
        </w:rPr>
        <w:t xml:space="preserve"> Ogni Licenza conta esclusivamente come 5 Licenze ai fini del</w:t>
      </w:r>
      <w:r w:rsidR="0058047D" w:rsidRPr="003F471F">
        <w:rPr>
          <w:rFonts w:ascii="Tahoma" w:hAnsi="Tahoma" w:cs="Tahoma"/>
          <w:sz w:val="18"/>
          <w:szCs w:val="18"/>
          <w:lang w:val="it-IT"/>
        </w:rPr>
        <w:t> </w:t>
      </w:r>
      <w:r w:rsidRPr="003F471F">
        <w:rPr>
          <w:rFonts w:ascii="Tahoma" w:hAnsi="Tahoma" w:cs="Tahoma"/>
          <w:sz w:val="18"/>
          <w:szCs w:val="18"/>
          <w:lang w:val="it-IT"/>
        </w:rPr>
        <w:t>requisito minimo per l</w:t>
      </w:r>
      <w:r w:rsidR="001C4212" w:rsidRPr="003F471F">
        <w:rPr>
          <w:rFonts w:ascii="Tahoma" w:hAnsi="Tahoma" w:cs="Tahoma"/>
          <w:sz w:val="18"/>
          <w:szCs w:val="18"/>
          <w:lang w:val="it-IT"/>
        </w:rPr>
        <w:t>’</w:t>
      </w:r>
      <w:r w:rsidRPr="003F471F">
        <w:rPr>
          <w:rFonts w:ascii="Tahoma" w:hAnsi="Tahoma" w:cs="Tahoma"/>
          <w:sz w:val="18"/>
          <w:szCs w:val="18"/>
          <w:lang w:val="it-IT"/>
        </w:rPr>
        <w:t>ordine iniziale nei programmi Open License e/o Open Value. Il valore indica il programma per cui è in vigore.</w:t>
      </w:r>
    </w:p>
    <w:p w14:paraId="29C75846" w14:textId="77777777" w:rsidR="00456002" w:rsidRPr="0058047D" w:rsidRDefault="00456002" w:rsidP="00456002">
      <w:pPr>
        <w:pStyle w:val="Bodywithspace"/>
        <w:spacing w:before="0" w:after="0" w:line="276" w:lineRule="auto"/>
        <w:ind w:right="-180"/>
      </w:pPr>
      <w:r w:rsidRPr="003F471F">
        <w:rPr>
          <w:rStyle w:val="BodyChar"/>
          <w:rFonts w:ascii="Tahoma" w:hAnsi="Tahoma" w:cs="Tahoma"/>
          <w:b/>
          <w:sz w:val="18"/>
          <w:szCs w:val="18"/>
          <w:lang w:val="it-IT"/>
        </w:rPr>
        <w:t>Open License =</w:t>
      </w:r>
      <w:r w:rsidRPr="003F471F">
        <w:rPr>
          <w:rFonts w:ascii="Tahoma" w:hAnsi="Tahoma" w:cs="Tahoma"/>
          <w:sz w:val="18"/>
          <w:szCs w:val="18"/>
          <w:lang w:val="it-IT"/>
        </w:rPr>
        <w:t xml:space="preserve"> L</w:t>
      </w:r>
      <w:r w:rsidR="001C4212" w:rsidRPr="003F471F">
        <w:rPr>
          <w:rFonts w:ascii="Tahoma" w:hAnsi="Tahoma" w:cs="Tahoma"/>
          <w:sz w:val="18"/>
          <w:szCs w:val="18"/>
          <w:lang w:val="it-IT"/>
        </w:rPr>
        <w:t>’</w:t>
      </w:r>
      <w:r w:rsidRPr="003F471F">
        <w:rPr>
          <w:rFonts w:ascii="Tahoma" w:hAnsi="Tahoma" w:cs="Tahoma"/>
          <w:sz w:val="18"/>
          <w:szCs w:val="18"/>
          <w:lang w:val="it-IT"/>
        </w:rPr>
        <w:t xml:space="preserve">unico componente Open License dei Programmi Open. </w:t>
      </w:r>
      <w:r w:rsidRPr="0058047D">
        <w:rPr>
          <w:rFonts w:ascii="Tahoma" w:hAnsi="Tahoma" w:cs="Tahoma"/>
          <w:sz w:val="18"/>
          <w:szCs w:val="18"/>
        </w:rPr>
        <w:t>Open License include Open License, Open License for Academic, Open License for Government e Open License for Charity, ove disponibili.</w:t>
      </w:r>
    </w:p>
    <w:p w14:paraId="5F92411B" w14:textId="77777777" w:rsidR="00456002" w:rsidRPr="0058047D" w:rsidRDefault="00456002" w:rsidP="00456002">
      <w:pPr>
        <w:pStyle w:val="Bodywithspace"/>
        <w:spacing w:before="0" w:after="0" w:line="276" w:lineRule="auto"/>
        <w:ind w:right="-180"/>
      </w:pPr>
      <w:r w:rsidRPr="0058047D">
        <w:rPr>
          <w:rStyle w:val="BodyChar"/>
          <w:rFonts w:ascii="Tahoma" w:hAnsi="Tahoma" w:cs="Tahoma"/>
          <w:b/>
          <w:sz w:val="18"/>
          <w:szCs w:val="18"/>
        </w:rPr>
        <w:t>Open Value (OV)=</w:t>
      </w:r>
      <w:r w:rsidRPr="0058047D">
        <w:rPr>
          <w:rFonts w:ascii="Tahoma" w:hAnsi="Tahoma" w:cs="Tahoma"/>
          <w:sz w:val="18"/>
          <w:szCs w:val="18"/>
        </w:rPr>
        <w:t xml:space="preserve"> Open Value include Open Value e Open Value for Government.</w:t>
      </w:r>
    </w:p>
    <w:p w14:paraId="08D8942F" w14:textId="77777777" w:rsidR="00456002" w:rsidRPr="0058047D" w:rsidRDefault="00456002" w:rsidP="00456002">
      <w:pPr>
        <w:pStyle w:val="Bodywithspace"/>
        <w:spacing w:before="0" w:after="0" w:line="276" w:lineRule="auto"/>
        <w:ind w:right="-180"/>
      </w:pPr>
      <w:r w:rsidRPr="0058047D">
        <w:rPr>
          <w:rStyle w:val="BodyChar"/>
          <w:rFonts w:ascii="Tahoma" w:hAnsi="Tahoma" w:cs="Tahoma"/>
          <w:b/>
          <w:sz w:val="18"/>
          <w:szCs w:val="18"/>
        </w:rPr>
        <w:t>Open Value Subscription (OVS)=</w:t>
      </w:r>
      <w:r w:rsidRPr="0058047D">
        <w:rPr>
          <w:rFonts w:ascii="Tahoma" w:hAnsi="Tahoma" w:cs="Tahoma"/>
          <w:sz w:val="18"/>
          <w:szCs w:val="18"/>
        </w:rPr>
        <w:t xml:space="preserve"> Open Value Subscription include Open Value Subscription e Open Value Subscription for Government. </w:t>
      </w:r>
    </w:p>
    <w:p w14:paraId="77B98DB6" w14:textId="77777777" w:rsidR="00456002" w:rsidRPr="0058047D" w:rsidRDefault="00456002" w:rsidP="00456002">
      <w:pPr>
        <w:pStyle w:val="Bodywithspace"/>
        <w:spacing w:before="0" w:after="0" w:line="276" w:lineRule="auto"/>
        <w:ind w:right="-180"/>
      </w:pPr>
      <w:r w:rsidRPr="0058047D">
        <w:rPr>
          <w:rStyle w:val="BodyChar"/>
          <w:rFonts w:ascii="Tahoma" w:hAnsi="Tahoma" w:cs="Tahoma"/>
          <w:b/>
          <w:sz w:val="18"/>
          <w:szCs w:val="18"/>
        </w:rPr>
        <w:t xml:space="preserve">EES/OVS-ES = </w:t>
      </w:r>
      <w:r w:rsidRPr="0058047D">
        <w:rPr>
          <w:rStyle w:val="BodyChar"/>
          <w:rFonts w:ascii="Tahoma" w:hAnsi="Tahoma" w:cs="Tahoma"/>
          <w:sz w:val="18"/>
          <w:szCs w:val="18"/>
        </w:rPr>
        <w:t>Enrollment for Education Solutions/Open Value Subscription – Education Solutions</w:t>
      </w:r>
    </w:p>
    <w:p w14:paraId="247E79A1" w14:textId="77777777" w:rsidR="00456002" w:rsidRPr="003F471F" w:rsidRDefault="00456002" w:rsidP="00456002">
      <w:pPr>
        <w:pStyle w:val="Bodywithspace"/>
        <w:spacing w:before="0" w:after="0" w:line="276" w:lineRule="auto"/>
        <w:ind w:right="-180"/>
        <w:rPr>
          <w:lang w:val="it-IT"/>
        </w:rPr>
      </w:pPr>
      <w:r w:rsidRPr="003F471F">
        <w:rPr>
          <w:rStyle w:val="BodyChar"/>
          <w:rFonts w:ascii="Tahoma" w:hAnsi="Tahoma" w:cs="Tahoma"/>
          <w:b/>
          <w:sz w:val="18"/>
          <w:szCs w:val="18"/>
          <w:lang w:val="it-IT"/>
        </w:rPr>
        <w:t>Promozioni e Migrazioni =</w:t>
      </w:r>
      <w:r w:rsidRPr="003F471F">
        <w:rPr>
          <w:rFonts w:ascii="Tahoma" w:hAnsi="Tahoma" w:cs="Tahoma"/>
          <w:sz w:val="18"/>
          <w:szCs w:val="18"/>
          <w:lang w:val="it-IT"/>
        </w:rPr>
        <w:t xml:space="preserve"> È già in corso una promozione o è disponibile una migrazione di software.</w:t>
      </w:r>
    </w:p>
    <w:p w14:paraId="230CC85E" w14:textId="77777777" w:rsidR="00456002" w:rsidRPr="003F471F" w:rsidRDefault="00456002" w:rsidP="00456002">
      <w:pPr>
        <w:pStyle w:val="Bodywithspace"/>
        <w:spacing w:before="0" w:after="0" w:line="276" w:lineRule="auto"/>
        <w:ind w:right="-180"/>
        <w:rPr>
          <w:lang w:val="it-IT"/>
        </w:rPr>
      </w:pPr>
      <w:r w:rsidRPr="003F471F">
        <w:rPr>
          <w:rStyle w:val="BodyChar"/>
          <w:rFonts w:ascii="Tahoma" w:hAnsi="Tahoma" w:cs="Tahoma"/>
          <w:b/>
          <w:sz w:val="18"/>
          <w:szCs w:val="18"/>
          <w:lang w:val="it-IT"/>
        </w:rPr>
        <w:t>SAB =</w:t>
      </w:r>
      <w:r w:rsidRPr="003F471F">
        <w:rPr>
          <w:rFonts w:ascii="Tahoma" w:hAnsi="Tahoma" w:cs="Tahoma"/>
          <w:sz w:val="18"/>
          <w:szCs w:val="18"/>
          <w:lang w:val="it-IT"/>
        </w:rPr>
        <w:t xml:space="preserve"> Per le società idonee all</w:t>
      </w:r>
      <w:r w:rsidR="001C4212" w:rsidRPr="003F471F">
        <w:rPr>
          <w:rFonts w:ascii="Tahoma" w:hAnsi="Tahoma" w:cs="Tahoma"/>
          <w:sz w:val="18"/>
          <w:szCs w:val="18"/>
          <w:lang w:val="it-IT"/>
        </w:rPr>
        <w:t>’</w:t>
      </w:r>
      <w:r w:rsidRPr="003F471F">
        <w:rPr>
          <w:rFonts w:ascii="Tahoma" w:hAnsi="Tahoma" w:cs="Tahoma"/>
          <w:sz w:val="18"/>
          <w:szCs w:val="18"/>
          <w:lang w:val="it-IT"/>
        </w:rPr>
        <w:t>acquisto del software sono disponibili i Vantaggi di Software Assurance (Software Assurance Benefits o SAB).</w:t>
      </w:r>
    </w:p>
    <w:p w14:paraId="3C6F7E70" w14:textId="77777777" w:rsidR="00456002" w:rsidRPr="0058047D" w:rsidRDefault="00456002" w:rsidP="00456002">
      <w:pPr>
        <w:pStyle w:val="Bodywithspace"/>
        <w:spacing w:before="0" w:after="0" w:line="276" w:lineRule="auto"/>
        <w:ind w:right="-180"/>
      </w:pPr>
      <w:r w:rsidRPr="0058047D">
        <w:rPr>
          <w:rStyle w:val="BodyChar"/>
          <w:rFonts w:ascii="Tahoma" w:hAnsi="Tahoma" w:cs="Tahoma"/>
          <w:b/>
          <w:sz w:val="18"/>
          <w:szCs w:val="18"/>
        </w:rPr>
        <w:t>Select =</w:t>
      </w:r>
      <w:r w:rsidRPr="0058047D">
        <w:rPr>
          <w:rFonts w:ascii="Tahoma" w:hAnsi="Tahoma" w:cs="Tahoma"/>
          <w:sz w:val="18"/>
          <w:szCs w:val="18"/>
        </w:rPr>
        <w:t xml:space="preserve"> Select 20xx. Sono inclusi anche i Contratti Select for Academic e Select for Government.</w:t>
      </w:r>
    </w:p>
    <w:p w14:paraId="1C5262AF" w14:textId="77777777" w:rsidR="00456002" w:rsidRPr="0058047D" w:rsidRDefault="00456002" w:rsidP="00456002">
      <w:pPr>
        <w:pStyle w:val="Bodywithspace"/>
        <w:spacing w:before="0" w:after="0" w:line="276" w:lineRule="auto"/>
        <w:ind w:right="-180"/>
      </w:pPr>
      <w:r w:rsidRPr="0058047D">
        <w:rPr>
          <w:rStyle w:val="BodyChar"/>
          <w:rFonts w:ascii="Tahoma" w:hAnsi="Tahoma" w:cs="Tahoma"/>
          <w:b/>
          <w:sz w:val="18"/>
          <w:szCs w:val="18"/>
        </w:rPr>
        <w:t>Select Plus</w:t>
      </w:r>
      <w:r w:rsidRPr="0058047D">
        <w:rPr>
          <w:rStyle w:val="BodyChar"/>
          <w:rFonts w:ascii="Tahoma" w:hAnsi="Tahoma" w:cs="Tahoma"/>
          <w:sz w:val="18"/>
          <w:szCs w:val="18"/>
        </w:rPr>
        <w:t xml:space="preserve"> = Select Plus 20xx.</w:t>
      </w:r>
      <w:r w:rsidR="00E34ED3" w:rsidRPr="0058047D">
        <w:rPr>
          <w:rStyle w:val="BodyChar"/>
          <w:rFonts w:ascii="Tahoma" w:hAnsi="Tahoma" w:cs="Tahoma"/>
          <w:sz w:val="18"/>
          <w:szCs w:val="18"/>
        </w:rPr>
        <w:t xml:space="preserve"> </w:t>
      </w:r>
      <w:r w:rsidRPr="0058047D">
        <w:rPr>
          <w:rStyle w:val="BodyChar"/>
          <w:rFonts w:ascii="Tahoma" w:hAnsi="Tahoma" w:cs="Tahoma"/>
          <w:sz w:val="18"/>
          <w:szCs w:val="18"/>
        </w:rPr>
        <w:t>Sono inclusi anche i Contratti Plus License for Academic e Select Plus for</w:t>
      </w:r>
      <w:r w:rsidR="0058047D">
        <w:rPr>
          <w:rStyle w:val="BodyChar"/>
          <w:rFonts w:ascii="Tahoma" w:hAnsi="Tahoma" w:cs="Tahoma"/>
          <w:sz w:val="18"/>
          <w:szCs w:val="18"/>
        </w:rPr>
        <w:t> </w:t>
      </w:r>
      <w:r w:rsidRPr="0058047D">
        <w:rPr>
          <w:rStyle w:val="BodyChar"/>
          <w:rFonts w:ascii="Tahoma" w:hAnsi="Tahoma" w:cs="Tahoma"/>
          <w:sz w:val="18"/>
          <w:szCs w:val="18"/>
        </w:rPr>
        <w:t>Government.</w:t>
      </w:r>
    </w:p>
    <w:p w14:paraId="1FA09ECE" w14:textId="77777777" w:rsidR="00023FE7" w:rsidRPr="0058047D" w:rsidRDefault="00023FE7">
      <w:pPr>
        <w:pStyle w:val="Bodywithspace"/>
        <w:spacing w:before="0" w:after="0"/>
        <w:ind w:right="-180"/>
      </w:pPr>
    </w:p>
    <w:p w14:paraId="6FF90665" w14:textId="77777777" w:rsidR="00023FE7" w:rsidRPr="003F471F" w:rsidRDefault="00023FE7">
      <w:pPr>
        <w:pStyle w:val="ChartKeyHeadings"/>
        <w:ind w:right="-180"/>
        <w:rPr>
          <w:lang w:val="it-IT"/>
        </w:rPr>
      </w:pPr>
      <w:r w:rsidRPr="003F471F">
        <w:rPr>
          <w:rFonts w:ascii="Tahoma" w:hAnsi="Tahoma" w:cs="Tahoma"/>
          <w:szCs w:val="28"/>
          <w:lang w:val="it-IT"/>
        </w:rPr>
        <w:t>Valori delle colonne</w:t>
      </w:r>
    </w:p>
    <w:p w14:paraId="3F774E6C" w14:textId="77777777" w:rsidR="00023FE7" w:rsidRPr="003F471F" w:rsidRDefault="00023FE7">
      <w:pPr>
        <w:pStyle w:val="ChartKeyHeadings"/>
        <w:ind w:right="-180"/>
        <w:rPr>
          <w:rFonts w:ascii="Tahoma" w:hAnsi="Tahoma" w:cs="Tahoma"/>
          <w:b w:val="0"/>
          <w:sz w:val="18"/>
          <w:szCs w:val="18"/>
          <w:lang w:val="it-IT"/>
        </w:rPr>
      </w:pPr>
    </w:p>
    <w:p w14:paraId="5F085747" w14:textId="77777777" w:rsidR="00023FE7" w:rsidRPr="003F471F" w:rsidRDefault="00023FE7">
      <w:pPr>
        <w:pStyle w:val="Bodywithspace"/>
        <w:spacing w:before="0" w:after="0" w:line="276" w:lineRule="auto"/>
        <w:ind w:right="-180"/>
        <w:rPr>
          <w:lang w:val="it-IT"/>
        </w:rPr>
      </w:pPr>
      <w:r w:rsidRPr="003F471F">
        <w:rPr>
          <w:rStyle w:val="BodyChar"/>
          <w:rFonts w:ascii="Tahoma" w:hAnsi="Tahoma" w:cs="Tahoma"/>
          <w:b/>
          <w:sz w:val="18"/>
          <w:szCs w:val="18"/>
          <w:lang w:val="it-IT"/>
        </w:rPr>
        <w:t xml:space="preserve">1 An = </w:t>
      </w:r>
      <w:r w:rsidRPr="003F471F">
        <w:rPr>
          <w:rFonts w:ascii="Tahoma" w:hAnsi="Tahoma" w:cs="Tahoma"/>
          <w:sz w:val="18"/>
          <w:szCs w:val="18"/>
          <w:lang w:val="it-IT"/>
        </w:rPr>
        <w:t>(ancora 1 anno alla scadenza del periodo di validità del contratto).</w:t>
      </w:r>
    </w:p>
    <w:p w14:paraId="5E093B06" w14:textId="77777777" w:rsidR="00023FE7" w:rsidRPr="003F471F" w:rsidRDefault="00023FE7">
      <w:pPr>
        <w:pStyle w:val="Bodywithspace"/>
        <w:spacing w:before="0" w:after="0" w:line="276" w:lineRule="auto"/>
        <w:ind w:right="-180"/>
        <w:rPr>
          <w:lang w:val="it-IT"/>
        </w:rPr>
      </w:pPr>
      <w:r w:rsidRPr="003F471F">
        <w:rPr>
          <w:rStyle w:val="BodyChar"/>
          <w:rFonts w:ascii="Tahoma" w:hAnsi="Tahoma" w:cs="Tahoma"/>
          <w:b/>
          <w:sz w:val="18"/>
          <w:szCs w:val="18"/>
          <w:lang w:val="it-IT"/>
        </w:rPr>
        <w:t>2 An =</w:t>
      </w:r>
      <w:r w:rsidRPr="003F471F">
        <w:rPr>
          <w:rFonts w:ascii="Tahoma" w:hAnsi="Tahoma" w:cs="Tahoma"/>
          <w:sz w:val="18"/>
          <w:szCs w:val="18"/>
          <w:lang w:val="it-IT"/>
        </w:rPr>
        <w:t xml:space="preserve"> (ancora 2 anni alla scadenza del periodo di validità del contratto).</w:t>
      </w:r>
    </w:p>
    <w:p w14:paraId="232A352A" w14:textId="77777777" w:rsidR="00023FE7" w:rsidRPr="003F471F" w:rsidRDefault="00023FE7">
      <w:pPr>
        <w:pStyle w:val="Bodywithspace"/>
        <w:spacing w:before="0" w:after="0" w:line="276" w:lineRule="auto"/>
        <w:ind w:right="-180"/>
        <w:rPr>
          <w:lang w:val="it-IT"/>
        </w:rPr>
      </w:pPr>
      <w:r w:rsidRPr="003F471F">
        <w:rPr>
          <w:rStyle w:val="BodyChar"/>
          <w:rFonts w:ascii="Tahoma" w:hAnsi="Tahoma" w:cs="Tahoma"/>
          <w:b/>
          <w:sz w:val="18"/>
          <w:szCs w:val="18"/>
          <w:lang w:val="it-IT"/>
        </w:rPr>
        <w:t>3 An =</w:t>
      </w:r>
      <w:r w:rsidRPr="003F471F">
        <w:rPr>
          <w:rFonts w:ascii="Tahoma" w:hAnsi="Tahoma" w:cs="Tahoma"/>
          <w:sz w:val="18"/>
          <w:szCs w:val="18"/>
          <w:lang w:val="it-IT"/>
        </w:rPr>
        <w:t xml:space="preserve"> (ancora 3 anni alla scadenza del periodo di validità del contratto).</w:t>
      </w:r>
    </w:p>
    <w:p w14:paraId="254659E3" w14:textId="77777777" w:rsidR="00023FE7" w:rsidRPr="003F471F" w:rsidRDefault="00023FE7">
      <w:pPr>
        <w:pStyle w:val="Bodywithspace"/>
        <w:spacing w:before="0" w:after="0" w:line="276" w:lineRule="auto"/>
        <w:ind w:right="-180"/>
        <w:rPr>
          <w:lang w:val="it-IT"/>
        </w:rPr>
      </w:pPr>
      <w:r w:rsidRPr="003F471F">
        <w:rPr>
          <w:rStyle w:val="BodyChar"/>
          <w:rFonts w:ascii="Tahoma" w:hAnsi="Tahoma" w:cs="Tahoma"/>
          <w:b/>
          <w:sz w:val="18"/>
          <w:szCs w:val="18"/>
          <w:lang w:val="it-IT"/>
        </w:rPr>
        <w:t>A =</w:t>
      </w:r>
      <w:r w:rsidRPr="003F471F">
        <w:rPr>
          <w:rFonts w:ascii="Tahoma" w:hAnsi="Tahoma" w:cs="Tahoma"/>
          <w:sz w:val="18"/>
          <w:szCs w:val="18"/>
          <w:lang w:val="it-IT"/>
        </w:rPr>
        <w:t xml:space="preserve"> Indica che il software è offerto come prodotto aggiuntivo.</w:t>
      </w:r>
    </w:p>
    <w:p w14:paraId="16F313D6" w14:textId="77777777" w:rsidR="009E22D0" w:rsidRPr="003F471F" w:rsidRDefault="009E22D0" w:rsidP="009E22D0">
      <w:pPr>
        <w:pStyle w:val="Bodywithspace"/>
        <w:spacing w:before="0" w:after="0" w:line="276" w:lineRule="auto"/>
        <w:ind w:right="-180"/>
        <w:rPr>
          <w:lang w:val="it-IT"/>
        </w:rPr>
      </w:pPr>
      <w:r w:rsidRPr="003F471F">
        <w:rPr>
          <w:rStyle w:val="BodyChar"/>
          <w:rFonts w:ascii="Tahoma" w:hAnsi="Tahoma" w:cs="Tahoma"/>
          <w:b/>
          <w:sz w:val="18"/>
          <w:szCs w:val="18"/>
          <w:lang w:val="it-IT"/>
        </w:rPr>
        <w:t>AO</w:t>
      </w:r>
      <w:r w:rsidRPr="003F471F">
        <w:rPr>
          <w:rStyle w:val="BodyChar"/>
          <w:rFonts w:ascii="Tahoma" w:hAnsi="Tahoma" w:cs="Tahoma"/>
          <w:sz w:val="18"/>
          <w:szCs w:val="18"/>
          <w:lang w:val="it-IT"/>
        </w:rPr>
        <w:t xml:space="preserve"> </w:t>
      </w:r>
      <w:r w:rsidRPr="003F471F">
        <w:rPr>
          <w:rStyle w:val="BodyChar"/>
          <w:rFonts w:ascii="Tahoma" w:hAnsi="Tahoma" w:cs="Tahoma"/>
          <w:b/>
          <w:sz w:val="18"/>
          <w:szCs w:val="18"/>
          <w:lang w:val="it-IT"/>
        </w:rPr>
        <w:t xml:space="preserve">– </w:t>
      </w:r>
      <w:r w:rsidRPr="003F471F">
        <w:rPr>
          <w:rFonts w:ascii="Tahoma" w:hAnsi="Tahoma" w:cs="Tahoma"/>
          <w:sz w:val="18"/>
          <w:szCs w:val="18"/>
          <w:lang w:val="it-IT"/>
        </w:rPr>
        <w:t>Indica software offerto come prodotto aggiuntivo ordinabile per l</w:t>
      </w:r>
      <w:r w:rsidR="001C4212" w:rsidRPr="003F471F">
        <w:rPr>
          <w:rFonts w:ascii="Tahoma" w:hAnsi="Tahoma" w:cs="Tahoma"/>
          <w:sz w:val="18"/>
          <w:szCs w:val="18"/>
          <w:lang w:val="it-IT"/>
        </w:rPr>
        <w:t>’</w:t>
      </w:r>
      <w:r w:rsidRPr="003F471F">
        <w:rPr>
          <w:rFonts w:ascii="Tahoma" w:hAnsi="Tahoma" w:cs="Tahoma"/>
          <w:sz w:val="18"/>
          <w:szCs w:val="18"/>
          <w:lang w:val="it-IT"/>
        </w:rPr>
        <w:t>intera organizzazione.</w:t>
      </w:r>
    </w:p>
    <w:p w14:paraId="064CBF54" w14:textId="77777777" w:rsidR="009F5F37" w:rsidRPr="003F471F" w:rsidRDefault="009F5F37">
      <w:pPr>
        <w:pStyle w:val="Bodywithspace"/>
        <w:spacing w:before="0" w:after="0" w:line="276" w:lineRule="auto"/>
        <w:ind w:right="-180"/>
        <w:rPr>
          <w:lang w:val="it-IT"/>
        </w:rPr>
      </w:pPr>
      <w:r w:rsidRPr="003F471F">
        <w:rPr>
          <w:rStyle w:val="BodyChar"/>
          <w:rFonts w:ascii="Tahoma" w:hAnsi="Tahoma" w:cs="Tahoma"/>
          <w:b/>
          <w:sz w:val="18"/>
          <w:szCs w:val="18"/>
          <w:lang w:val="it-IT"/>
        </w:rPr>
        <w:t xml:space="preserve">C = </w:t>
      </w:r>
      <w:r w:rsidRPr="003F471F">
        <w:rPr>
          <w:rFonts w:ascii="Tahoma" w:hAnsi="Tahoma" w:cs="Tahoma"/>
          <w:sz w:val="18"/>
          <w:szCs w:val="18"/>
          <w:lang w:val="it-IT"/>
        </w:rPr>
        <w:t>Indica che il software è offerto come prodotto per le infrastrutture core.</w:t>
      </w:r>
    </w:p>
    <w:p w14:paraId="4954B10A" w14:textId="77777777" w:rsidR="009F5F37" w:rsidRPr="003F471F" w:rsidRDefault="009F5F37" w:rsidP="009F5F37">
      <w:pPr>
        <w:pStyle w:val="ListParagraph"/>
        <w:rPr>
          <w:lang w:val="it-IT"/>
        </w:rPr>
      </w:pPr>
      <w:r w:rsidRPr="003F471F">
        <w:rPr>
          <w:rStyle w:val="BodyChar"/>
          <w:rFonts w:ascii="Tahoma" w:hAnsi="Tahoma" w:cs="Tahoma"/>
          <w:b/>
          <w:sz w:val="18"/>
          <w:szCs w:val="18"/>
          <w:lang w:val="it-IT"/>
        </w:rPr>
        <w:t xml:space="preserve">D = </w:t>
      </w:r>
      <w:r w:rsidRPr="003F471F">
        <w:rPr>
          <w:rFonts w:ascii="Tahoma" w:hAnsi="Tahoma" w:cs="Tahoma"/>
          <w:sz w:val="18"/>
          <w:szCs w:val="18"/>
          <w:lang w:val="it-IT"/>
        </w:rPr>
        <w:t>Indica che il software è offerto come prodotto del Programma Industry Device.</w:t>
      </w:r>
    </w:p>
    <w:p w14:paraId="511896F6" w14:textId="77777777" w:rsidR="00023FE7" w:rsidRPr="003F471F" w:rsidRDefault="00023FE7">
      <w:pPr>
        <w:pStyle w:val="Bodywithspace"/>
        <w:spacing w:before="0" w:after="0" w:line="276" w:lineRule="auto"/>
        <w:ind w:right="-180"/>
        <w:rPr>
          <w:lang w:val="it-IT"/>
        </w:rPr>
      </w:pPr>
      <w:r w:rsidRPr="003F471F">
        <w:rPr>
          <w:rStyle w:val="BodyChar"/>
          <w:rFonts w:ascii="Tahoma" w:hAnsi="Tahoma" w:cs="Tahoma"/>
          <w:b/>
          <w:sz w:val="18"/>
          <w:szCs w:val="18"/>
          <w:lang w:val="it-IT"/>
        </w:rPr>
        <w:t>DT =</w:t>
      </w:r>
      <w:r w:rsidRPr="003F471F">
        <w:rPr>
          <w:rFonts w:ascii="Tahoma" w:hAnsi="Tahoma" w:cs="Tahoma"/>
          <w:sz w:val="18"/>
          <w:szCs w:val="18"/>
          <w:lang w:val="it-IT"/>
        </w:rPr>
        <w:t xml:space="preserve"> Vantaggi di Software Assurance per le Offerte di Desktop. </w:t>
      </w:r>
    </w:p>
    <w:p w14:paraId="37643C66" w14:textId="77777777" w:rsidR="00F90F21" w:rsidRPr="003F471F" w:rsidRDefault="009055B7">
      <w:pPr>
        <w:pStyle w:val="Bodywithspace"/>
        <w:spacing w:before="0" w:after="0" w:line="276" w:lineRule="auto"/>
        <w:ind w:right="-180"/>
        <w:rPr>
          <w:lang w:val="it-IT"/>
        </w:rPr>
      </w:pPr>
      <w:r w:rsidRPr="003F471F">
        <w:rPr>
          <w:rFonts w:ascii="Tahoma" w:hAnsi="Tahoma" w:cs="Times New Roman"/>
          <w:b/>
          <w:color w:val="000000"/>
          <w:sz w:val="18"/>
          <w:szCs w:val="22"/>
          <w:lang w:val="it-IT"/>
        </w:rPr>
        <w:t>E</w:t>
      </w:r>
      <w:r w:rsidRPr="003F471F">
        <w:rPr>
          <w:rFonts w:ascii="Tahoma" w:hAnsi="Tahoma" w:cs="Times New Roman"/>
          <w:color w:val="000000"/>
          <w:sz w:val="18"/>
          <w:szCs w:val="22"/>
          <w:lang w:val="it-IT"/>
        </w:rPr>
        <w:t xml:space="preserve"> = Indica che il prodotto è offerto come prodotto enterprise o della piattaforma desktop.</w:t>
      </w:r>
    </w:p>
    <w:p w14:paraId="1B6DF783" w14:textId="77777777" w:rsidR="00B23BE6" w:rsidRPr="003F471F" w:rsidRDefault="00B23BE6" w:rsidP="00B23BE6">
      <w:pPr>
        <w:spacing w:line="276" w:lineRule="auto"/>
        <w:ind w:left="720" w:right="-180"/>
        <w:rPr>
          <w:lang w:val="it-IT"/>
        </w:rPr>
      </w:pPr>
      <w:r w:rsidRPr="003F471F">
        <w:rPr>
          <w:b/>
          <w:color w:val="000000"/>
          <w:lang w:val="it-IT"/>
        </w:rPr>
        <w:t>EOLS =</w:t>
      </w:r>
      <w:r w:rsidRPr="003F471F">
        <w:rPr>
          <w:color w:val="000000"/>
          <w:lang w:val="it-IT"/>
        </w:rPr>
        <w:t xml:space="preserve"> Indica che il prodotto è offerto come servizio online enterprise o servizio online della piattaforma.</w:t>
      </w:r>
    </w:p>
    <w:p w14:paraId="64BD29FD" w14:textId="77777777" w:rsidR="00E97819" w:rsidRPr="003F471F" w:rsidRDefault="00E97819">
      <w:pPr>
        <w:pStyle w:val="Bodywithspace"/>
        <w:spacing w:before="0" w:after="0" w:line="276" w:lineRule="auto"/>
        <w:ind w:right="-180"/>
        <w:rPr>
          <w:lang w:val="it-IT"/>
        </w:rPr>
      </w:pPr>
      <w:r w:rsidRPr="003F471F">
        <w:rPr>
          <w:rFonts w:ascii="Tahoma" w:hAnsi="Tahoma" w:cs="Times New Roman"/>
          <w:b/>
          <w:color w:val="000000"/>
          <w:sz w:val="18"/>
          <w:szCs w:val="22"/>
          <w:lang w:val="it-IT"/>
        </w:rPr>
        <w:t xml:space="preserve">ST = </w:t>
      </w:r>
      <w:r w:rsidRPr="003F471F">
        <w:rPr>
          <w:rFonts w:ascii="Tahoma" w:hAnsi="Tahoma" w:cs="Times New Roman"/>
          <w:color w:val="000000"/>
          <w:sz w:val="18"/>
          <w:szCs w:val="22"/>
          <w:lang w:val="it-IT"/>
        </w:rPr>
        <w:t>Indica che il software è offerto come Offerta Studente e deve essere ordinato per l</w:t>
      </w:r>
      <w:r w:rsidR="001C4212" w:rsidRPr="003F471F">
        <w:rPr>
          <w:rFonts w:ascii="Tahoma" w:hAnsi="Tahoma" w:cs="Times New Roman"/>
          <w:color w:val="000000"/>
          <w:sz w:val="18"/>
          <w:szCs w:val="22"/>
          <w:lang w:val="it-IT"/>
        </w:rPr>
        <w:t>’</w:t>
      </w:r>
      <w:r w:rsidRPr="003F471F">
        <w:rPr>
          <w:rFonts w:ascii="Tahoma" w:hAnsi="Tahoma" w:cs="Times New Roman"/>
          <w:color w:val="000000"/>
          <w:sz w:val="18"/>
          <w:szCs w:val="22"/>
          <w:lang w:val="it-IT"/>
        </w:rPr>
        <w:t>intero Numero degli Studenti.</w:t>
      </w:r>
    </w:p>
    <w:p w14:paraId="4800C11A" w14:textId="77777777" w:rsidR="00023FE7" w:rsidRPr="003F471F" w:rsidRDefault="00023FE7">
      <w:pPr>
        <w:pStyle w:val="Bodywithspace"/>
        <w:spacing w:before="0" w:after="0" w:line="276" w:lineRule="auto"/>
        <w:ind w:right="-180"/>
        <w:rPr>
          <w:lang w:val="it-IT"/>
        </w:rPr>
      </w:pPr>
      <w:r w:rsidRPr="003F471F">
        <w:rPr>
          <w:rStyle w:val="BodyChar"/>
          <w:rFonts w:ascii="Tahoma" w:hAnsi="Tahoma" w:cs="Tahoma"/>
          <w:b/>
          <w:sz w:val="18"/>
          <w:szCs w:val="18"/>
          <w:lang w:val="it-IT"/>
        </w:rPr>
        <w:t>L (Licenza) =</w:t>
      </w:r>
      <w:r w:rsidRPr="003F471F">
        <w:rPr>
          <w:rFonts w:ascii="Tahoma" w:hAnsi="Tahoma" w:cs="Tahoma"/>
          <w:sz w:val="18"/>
          <w:szCs w:val="18"/>
          <w:lang w:val="it-IT"/>
        </w:rPr>
        <w:t xml:space="preserve"> Valore di punti attribuito quando per il software indicato viene offerta una Licenza Standard.</w:t>
      </w:r>
    </w:p>
    <w:p w14:paraId="5FFCD564" w14:textId="77777777" w:rsidR="00023FE7" w:rsidRPr="003F471F" w:rsidRDefault="00023FE7">
      <w:pPr>
        <w:pStyle w:val="Bodywithspace"/>
        <w:spacing w:before="0" w:after="0" w:line="276" w:lineRule="auto"/>
        <w:ind w:right="-180"/>
        <w:rPr>
          <w:lang w:val="it-IT"/>
        </w:rPr>
      </w:pPr>
      <w:r w:rsidRPr="003F471F">
        <w:rPr>
          <w:rStyle w:val="BodyChar"/>
          <w:rFonts w:ascii="Tahoma" w:hAnsi="Tahoma" w:cs="Tahoma"/>
          <w:b/>
          <w:sz w:val="18"/>
          <w:szCs w:val="18"/>
          <w:lang w:val="it-IT"/>
        </w:rPr>
        <w:t>L&amp;SA (Licenza e Software Assurance) =</w:t>
      </w:r>
      <w:r w:rsidRPr="003F471F">
        <w:rPr>
          <w:rFonts w:ascii="Tahoma" w:hAnsi="Tahoma" w:cs="Tahoma"/>
          <w:sz w:val="18"/>
          <w:szCs w:val="18"/>
          <w:lang w:val="it-IT"/>
        </w:rPr>
        <w:t xml:space="preserve"> Valore di punti attribuito quando per il software indicato viene offerta una copertura Licenza e Software Assurance (L&amp;SA).</w:t>
      </w:r>
    </w:p>
    <w:p w14:paraId="01933A18" w14:textId="77777777" w:rsidR="00023FE7" w:rsidRPr="003F471F" w:rsidRDefault="00023FE7">
      <w:pPr>
        <w:pStyle w:val="Bodywithspace"/>
        <w:spacing w:before="0" w:after="0" w:line="276" w:lineRule="auto"/>
        <w:rPr>
          <w:lang w:val="it-IT"/>
        </w:rPr>
      </w:pPr>
      <w:r w:rsidRPr="003F471F">
        <w:rPr>
          <w:rStyle w:val="BodyChar"/>
          <w:rFonts w:ascii="Tahoma" w:hAnsi="Tahoma" w:cs="Tahoma"/>
          <w:b/>
          <w:bCs/>
          <w:color w:val="000000"/>
          <w:sz w:val="18"/>
          <w:szCs w:val="18"/>
          <w:lang w:val="it-IT"/>
        </w:rPr>
        <w:t>OL =</w:t>
      </w:r>
      <w:r w:rsidRPr="003F471F">
        <w:rPr>
          <w:rFonts w:ascii="Tahoma" w:hAnsi="Tahoma" w:cs="Tahoma"/>
          <w:color w:val="000000"/>
          <w:sz w:val="18"/>
          <w:szCs w:val="18"/>
          <w:lang w:val="it-IT"/>
        </w:rPr>
        <w:t xml:space="preserve"> Disponibile in Open License.</w:t>
      </w:r>
    </w:p>
    <w:p w14:paraId="08285941" w14:textId="77777777" w:rsidR="001D3F04" w:rsidRPr="003F471F" w:rsidRDefault="001D3F04" w:rsidP="001D3F04">
      <w:pPr>
        <w:pStyle w:val="Bodywithspace"/>
        <w:spacing w:before="0" w:after="0" w:line="276" w:lineRule="auto"/>
        <w:ind w:right="-180"/>
        <w:rPr>
          <w:lang w:val="it-IT"/>
        </w:rPr>
      </w:pPr>
      <w:r w:rsidRPr="003F471F">
        <w:rPr>
          <w:rStyle w:val="BodyChar"/>
          <w:rFonts w:ascii="Tahoma" w:hAnsi="Tahoma" w:cs="Tahoma"/>
          <w:b/>
          <w:sz w:val="18"/>
          <w:szCs w:val="18"/>
          <w:lang w:val="it-IT"/>
        </w:rPr>
        <w:t xml:space="preserve">OSB </w:t>
      </w:r>
      <w:r w:rsidRPr="003F471F">
        <w:rPr>
          <w:rStyle w:val="BodyChar"/>
          <w:rFonts w:ascii="Tahoma" w:hAnsi="Tahoma" w:cs="Tahoma"/>
          <w:sz w:val="18"/>
          <w:szCs w:val="18"/>
          <w:lang w:val="it-IT"/>
        </w:rPr>
        <w:t>= Vantaggi dei Servizi Online per le società idonee.</w:t>
      </w:r>
      <w:r w:rsidR="00E34ED3" w:rsidRPr="003F471F">
        <w:rPr>
          <w:rStyle w:val="BodyChar"/>
          <w:rFonts w:ascii="Tahoma" w:hAnsi="Tahoma" w:cs="Tahoma"/>
          <w:sz w:val="18"/>
          <w:szCs w:val="18"/>
          <w:lang w:val="it-IT"/>
        </w:rPr>
        <w:t xml:space="preserve"> </w:t>
      </w:r>
      <w:r w:rsidRPr="003F471F">
        <w:rPr>
          <w:rFonts w:ascii="Tahoma" w:hAnsi="Tahoma" w:cs="Tahoma"/>
          <w:sz w:val="18"/>
          <w:szCs w:val="18"/>
          <w:lang w:val="it-IT"/>
        </w:rPr>
        <w:t>I prodotti idonei per i vantaggi dei Servizi Online possono essere presenti in più di una tabella di pool di prodotti</w:t>
      </w:r>
      <w:r w:rsidR="00E34ED3" w:rsidRPr="003F471F">
        <w:rPr>
          <w:rFonts w:ascii="Tahoma" w:hAnsi="Tahoma" w:cs="Tahoma"/>
          <w:sz w:val="18"/>
          <w:szCs w:val="18"/>
          <w:lang w:val="it-IT"/>
        </w:rPr>
        <w:t xml:space="preserve"> </w:t>
      </w:r>
      <w:r w:rsidRPr="003F471F">
        <w:rPr>
          <w:rFonts w:ascii="Tahoma" w:hAnsi="Tahoma" w:cs="Tahoma"/>
          <w:sz w:val="18"/>
          <w:szCs w:val="18"/>
          <w:lang w:val="it-IT"/>
        </w:rPr>
        <w:t>al solo scopo di evidenziare che tali offerte possono essere idonee per vantaggi di software assurance associati a più di un pool di prodotti e che non è necessario scegliere tra i vantaggi di diversi pool.</w:t>
      </w:r>
    </w:p>
    <w:p w14:paraId="0EF4BE60" w14:textId="77777777" w:rsidR="00023FE7" w:rsidRPr="003F471F" w:rsidRDefault="00023FE7">
      <w:pPr>
        <w:pStyle w:val="Bodywithspace"/>
        <w:spacing w:before="0" w:after="0" w:line="276" w:lineRule="auto"/>
        <w:rPr>
          <w:lang w:val="it-IT"/>
        </w:rPr>
      </w:pPr>
      <w:r w:rsidRPr="003F471F">
        <w:rPr>
          <w:rStyle w:val="BodyChar"/>
          <w:rFonts w:ascii="Tahoma" w:hAnsi="Tahoma" w:cs="Tahoma"/>
          <w:b/>
          <w:bCs/>
          <w:color w:val="000000"/>
          <w:sz w:val="18"/>
          <w:szCs w:val="18"/>
          <w:lang w:val="it-IT"/>
        </w:rPr>
        <w:t xml:space="preserve">OL/SA = </w:t>
      </w:r>
      <w:r w:rsidRPr="003F471F">
        <w:rPr>
          <w:rStyle w:val="BodyChar"/>
          <w:rFonts w:ascii="Tahoma" w:hAnsi="Tahoma" w:cs="Tahoma"/>
          <w:color w:val="000000"/>
          <w:sz w:val="18"/>
          <w:szCs w:val="18"/>
          <w:lang w:val="it-IT"/>
        </w:rPr>
        <w:t>Disponibile esclusivamente in Open License per L&amp;SA e SA.</w:t>
      </w:r>
    </w:p>
    <w:p w14:paraId="5E382AD9" w14:textId="77777777" w:rsidR="00023FE7" w:rsidRPr="003F471F" w:rsidRDefault="00023FE7">
      <w:pPr>
        <w:pStyle w:val="Bodywithspace"/>
        <w:spacing w:before="0" w:after="0" w:line="276" w:lineRule="auto"/>
        <w:rPr>
          <w:lang w:val="it-IT"/>
        </w:rPr>
      </w:pPr>
      <w:r w:rsidRPr="003F471F">
        <w:rPr>
          <w:rStyle w:val="BodyChar"/>
          <w:rFonts w:ascii="Tahoma" w:hAnsi="Tahoma" w:cs="Tahoma"/>
          <w:b/>
          <w:bCs/>
          <w:color w:val="000000"/>
          <w:sz w:val="18"/>
          <w:szCs w:val="18"/>
          <w:lang w:val="it-IT"/>
        </w:rPr>
        <w:t xml:space="preserve">OSP = </w:t>
      </w:r>
      <w:r w:rsidRPr="003F471F">
        <w:rPr>
          <w:rStyle w:val="BodyChar"/>
          <w:rFonts w:ascii="Tahoma" w:hAnsi="Tahoma" w:cs="Tahoma"/>
          <w:bCs/>
          <w:color w:val="000000"/>
          <w:sz w:val="18"/>
          <w:szCs w:val="18"/>
          <w:lang w:val="it-IT"/>
        </w:rPr>
        <w:t>Disponibile nel programma Online Subscription.</w:t>
      </w:r>
    </w:p>
    <w:p w14:paraId="2BD0B158" w14:textId="77777777" w:rsidR="00023FE7" w:rsidRPr="003F471F" w:rsidRDefault="00023FE7">
      <w:pPr>
        <w:pStyle w:val="Bodywithspace"/>
        <w:spacing w:before="0" w:after="0" w:line="276" w:lineRule="auto"/>
        <w:rPr>
          <w:lang w:val="it-IT"/>
        </w:rPr>
      </w:pPr>
      <w:r w:rsidRPr="003F471F">
        <w:rPr>
          <w:rStyle w:val="BodyChar"/>
          <w:rFonts w:ascii="Tahoma" w:hAnsi="Tahoma" w:cs="Tahoma"/>
          <w:b/>
          <w:bCs/>
          <w:color w:val="000000"/>
          <w:sz w:val="18"/>
          <w:szCs w:val="18"/>
          <w:lang w:val="it-IT"/>
        </w:rPr>
        <w:t>OV/OVS =</w:t>
      </w:r>
      <w:r w:rsidRPr="003F471F">
        <w:rPr>
          <w:rFonts w:ascii="Tahoma" w:hAnsi="Tahoma" w:cs="Tahoma"/>
          <w:color w:val="000000"/>
          <w:sz w:val="18"/>
          <w:szCs w:val="18"/>
          <w:lang w:val="it-IT"/>
        </w:rPr>
        <w:t xml:space="preserve"> Disponibile nei programmi Open Value e Open Value Subscription.</w:t>
      </w:r>
    </w:p>
    <w:p w14:paraId="00304B59" w14:textId="77777777" w:rsidR="00023FE7" w:rsidRPr="003F471F" w:rsidRDefault="00023FE7">
      <w:pPr>
        <w:pStyle w:val="Bodywithspace"/>
        <w:spacing w:before="0" w:after="0" w:line="276" w:lineRule="auto"/>
        <w:ind w:right="-180"/>
        <w:rPr>
          <w:lang w:val="it-IT"/>
        </w:rPr>
      </w:pPr>
      <w:r w:rsidRPr="003F471F">
        <w:rPr>
          <w:rStyle w:val="BodyChar"/>
          <w:rFonts w:ascii="Tahoma" w:hAnsi="Tahoma" w:cs="Tahoma"/>
          <w:b/>
          <w:sz w:val="18"/>
          <w:szCs w:val="18"/>
          <w:lang w:val="it-IT"/>
        </w:rPr>
        <w:t>P =</w:t>
      </w:r>
      <w:r w:rsidRPr="003F471F">
        <w:rPr>
          <w:rFonts w:ascii="Tahoma" w:hAnsi="Tahoma" w:cs="Tahoma"/>
          <w:sz w:val="18"/>
          <w:szCs w:val="18"/>
          <w:lang w:val="it-IT"/>
        </w:rPr>
        <w:t xml:space="preserve"> Indica il software offerto in un programma Open Value non a livello aziendale. </w:t>
      </w:r>
    </w:p>
    <w:p w14:paraId="57C748A8" w14:textId="77777777" w:rsidR="009F5F37" w:rsidRPr="003F471F" w:rsidRDefault="009F5F37">
      <w:pPr>
        <w:pStyle w:val="Bodywithspace"/>
        <w:spacing w:before="0" w:after="0" w:line="276" w:lineRule="auto"/>
        <w:rPr>
          <w:lang w:val="it-IT"/>
        </w:rPr>
      </w:pPr>
      <w:r w:rsidRPr="003F471F">
        <w:rPr>
          <w:rStyle w:val="BodyChar"/>
          <w:rFonts w:ascii="Tahoma" w:hAnsi="Tahoma" w:cs="Tahoma"/>
          <w:b/>
          <w:sz w:val="18"/>
          <w:szCs w:val="18"/>
          <w:lang w:val="it-IT"/>
        </w:rPr>
        <w:t xml:space="preserve">S = </w:t>
      </w:r>
      <w:r w:rsidRPr="003F471F">
        <w:rPr>
          <w:rFonts w:ascii="Tahoma" w:hAnsi="Tahoma" w:cs="Tahoma"/>
          <w:sz w:val="18"/>
          <w:szCs w:val="18"/>
          <w:lang w:val="it-IT"/>
        </w:rPr>
        <w:t>Indica che il software è offerto come prodotto della piattaforma applicativa.</w:t>
      </w:r>
    </w:p>
    <w:p w14:paraId="133B3F22" w14:textId="77777777" w:rsidR="00023FE7" w:rsidRPr="003F471F" w:rsidRDefault="00023FE7">
      <w:pPr>
        <w:pStyle w:val="Bodywithspace"/>
        <w:spacing w:before="0" w:after="0" w:line="276" w:lineRule="auto"/>
        <w:rPr>
          <w:lang w:val="it-IT"/>
        </w:rPr>
      </w:pPr>
      <w:r w:rsidRPr="003F471F">
        <w:rPr>
          <w:rStyle w:val="BodyChar"/>
          <w:rFonts w:ascii="Tahoma" w:hAnsi="Tahoma" w:cs="Tahoma"/>
          <w:b/>
          <w:sz w:val="18"/>
          <w:szCs w:val="18"/>
          <w:lang w:val="it-IT"/>
        </w:rPr>
        <w:t>SA (Software Assurance) =</w:t>
      </w:r>
      <w:r w:rsidRPr="003F471F">
        <w:rPr>
          <w:rFonts w:ascii="Tahoma" w:hAnsi="Tahoma" w:cs="Tahoma"/>
          <w:sz w:val="18"/>
          <w:szCs w:val="18"/>
          <w:lang w:val="it-IT"/>
        </w:rPr>
        <w:t xml:space="preserve"> Valore di punti attribuito quando per il software indicato viene offerta la copertura Software Assurance. </w:t>
      </w:r>
    </w:p>
    <w:p w14:paraId="62F1C501" w14:textId="77777777" w:rsidR="00913A0A" w:rsidRPr="003F471F" w:rsidRDefault="00913A0A" w:rsidP="00913A0A">
      <w:pPr>
        <w:pStyle w:val="Bodywithspace"/>
        <w:spacing w:before="0" w:after="0" w:line="276" w:lineRule="auto"/>
        <w:ind w:right="-180"/>
        <w:rPr>
          <w:lang w:val="it-IT"/>
        </w:rPr>
      </w:pPr>
      <w:r w:rsidRPr="003F471F">
        <w:rPr>
          <w:rStyle w:val="BodyChar"/>
          <w:rFonts w:ascii="Tahoma" w:hAnsi="Tahoma" w:cs="Tahoma"/>
          <w:b/>
          <w:sz w:val="18"/>
          <w:szCs w:val="18"/>
          <w:lang w:val="it-IT"/>
        </w:rPr>
        <w:t xml:space="preserve">SCE </w:t>
      </w:r>
      <w:r w:rsidRPr="003F471F">
        <w:rPr>
          <w:rStyle w:val="BodyChar"/>
          <w:rFonts w:ascii="Tahoma" w:hAnsi="Tahoma" w:cs="Tahoma"/>
          <w:sz w:val="18"/>
          <w:szCs w:val="18"/>
          <w:lang w:val="it-IT"/>
        </w:rPr>
        <w:t>= Iscrizione Server and Cloud.</w:t>
      </w:r>
    </w:p>
    <w:p w14:paraId="701FA668" w14:textId="77777777" w:rsidR="00913A0A" w:rsidRPr="003F471F" w:rsidRDefault="00913A0A" w:rsidP="000347DA">
      <w:pPr>
        <w:pStyle w:val="Bodywithspace"/>
        <w:spacing w:before="0" w:after="0" w:line="276" w:lineRule="auto"/>
        <w:ind w:right="-180"/>
        <w:rPr>
          <w:lang w:val="it-IT"/>
        </w:rPr>
      </w:pPr>
      <w:r w:rsidRPr="003F471F">
        <w:rPr>
          <w:rStyle w:val="BodyChar"/>
          <w:rFonts w:ascii="Tahoma" w:hAnsi="Tahoma" w:cs="Tahoma"/>
          <w:b/>
          <w:sz w:val="18"/>
          <w:szCs w:val="18"/>
          <w:lang w:val="it-IT"/>
        </w:rPr>
        <w:t xml:space="preserve">STP </w:t>
      </w:r>
      <w:r w:rsidRPr="003F471F">
        <w:rPr>
          <w:rStyle w:val="BodyChar"/>
          <w:rFonts w:ascii="Tahoma" w:hAnsi="Tahoma" w:cs="Tahoma"/>
          <w:sz w:val="18"/>
          <w:szCs w:val="18"/>
          <w:lang w:val="it-IT"/>
        </w:rPr>
        <w:t>=</w:t>
      </w:r>
      <w:r w:rsidRPr="003F471F">
        <w:rPr>
          <w:rStyle w:val="BodyChar"/>
          <w:rFonts w:ascii="Tahoma" w:hAnsi="Tahoma" w:cs="Tahoma"/>
          <w:b/>
          <w:sz w:val="18"/>
          <w:szCs w:val="18"/>
          <w:lang w:val="it-IT"/>
        </w:rPr>
        <w:t xml:space="preserve"> </w:t>
      </w:r>
      <w:r w:rsidRPr="003F471F">
        <w:rPr>
          <w:rStyle w:val="BodyChar"/>
          <w:rFonts w:ascii="Tahoma" w:hAnsi="Tahoma" w:cs="Tahoma"/>
          <w:sz w:val="18"/>
          <w:szCs w:val="18"/>
          <w:lang w:val="it-IT"/>
        </w:rPr>
        <w:t>Indica che il prodotto è un prodotto server e strumenti offerto ai sensi dell</w:t>
      </w:r>
      <w:r w:rsidR="001C4212" w:rsidRPr="003F471F">
        <w:rPr>
          <w:rStyle w:val="BodyChar"/>
          <w:rFonts w:ascii="Tahoma" w:hAnsi="Tahoma" w:cs="Tahoma"/>
          <w:sz w:val="18"/>
          <w:szCs w:val="18"/>
          <w:lang w:val="it-IT"/>
        </w:rPr>
        <w:t>’</w:t>
      </w:r>
      <w:r w:rsidRPr="003F471F">
        <w:rPr>
          <w:rStyle w:val="BodyChar"/>
          <w:rFonts w:ascii="Tahoma" w:hAnsi="Tahoma" w:cs="Tahoma"/>
          <w:sz w:val="18"/>
          <w:szCs w:val="18"/>
          <w:lang w:val="it-IT"/>
        </w:rPr>
        <w:t>Iscrizione Server and Cloud.</w:t>
      </w:r>
    </w:p>
    <w:p w14:paraId="093FC4F8" w14:textId="77777777" w:rsidR="00023FE7" w:rsidRPr="003F471F" w:rsidRDefault="00023FE7">
      <w:pPr>
        <w:pStyle w:val="Bodywithspace"/>
        <w:spacing w:before="0" w:after="0" w:line="276" w:lineRule="auto"/>
        <w:ind w:right="-180"/>
        <w:rPr>
          <w:lang w:val="it-IT"/>
        </w:rPr>
      </w:pPr>
      <w:r w:rsidRPr="003F471F">
        <w:rPr>
          <w:rStyle w:val="BodyChar"/>
          <w:rFonts w:ascii="Tahoma" w:hAnsi="Tahoma" w:cs="Tahoma"/>
          <w:b/>
          <w:sz w:val="18"/>
          <w:szCs w:val="18"/>
          <w:lang w:val="it-IT"/>
        </w:rPr>
        <w:t>SRV =</w:t>
      </w:r>
      <w:r w:rsidRPr="003F471F">
        <w:rPr>
          <w:rFonts w:ascii="Tahoma" w:hAnsi="Tahoma" w:cs="Tahoma"/>
          <w:sz w:val="18"/>
          <w:szCs w:val="18"/>
          <w:lang w:val="it-IT"/>
        </w:rPr>
        <w:t xml:space="preserve"> Vantaggi di Software Assurance per le Offerte di Pool di Server. </w:t>
      </w:r>
    </w:p>
    <w:p w14:paraId="6E7401D5" w14:textId="77777777" w:rsidR="00023FE7" w:rsidRPr="003F471F" w:rsidRDefault="00023FE7">
      <w:pPr>
        <w:pStyle w:val="Bodywithspace"/>
        <w:tabs>
          <w:tab w:val="left" w:pos="9360"/>
        </w:tabs>
        <w:spacing w:before="0" w:after="0" w:line="276" w:lineRule="auto"/>
        <w:ind w:right="-180"/>
        <w:rPr>
          <w:lang w:val="it-IT"/>
        </w:rPr>
      </w:pPr>
      <w:r w:rsidRPr="003F471F">
        <w:rPr>
          <w:rStyle w:val="BodyChar"/>
          <w:rFonts w:ascii="Tahoma" w:hAnsi="Tahoma" w:cs="Tahoma"/>
          <w:b/>
          <w:sz w:val="18"/>
          <w:szCs w:val="18"/>
          <w:lang w:val="it-IT"/>
        </w:rPr>
        <w:t>U (Licenza di Aggiornamento) =</w:t>
      </w:r>
      <w:r w:rsidRPr="003F471F">
        <w:rPr>
          <w:rFonts w:ascii="Tahoma" w:hAnsi="Tahoma" w:cs="Tahoma"/>
          <w:sz w:val="18"/>
          <w:szCs w:val="18"/>
          <w:lang w:val="it-IT"/>
        </w:rPr>
        <w:t xml:space="preserve"> Valore di punti attribuito quando per il software indicato viene offerto un aggiornamento.</w:t>
      </w:r>
    </w:p>
    <w:p w14:paraId="73773ADE" w14:textId="77777777" w:rsidR="00023FE7" w:rsidRPr="003F471F" w:rsidRDefault="00023FE7">
      <w:pPr>
        <w:pStyle w:val="Bodywithspace"/>
        <w:spacing w:before="0" w:after="0" w:line="276" w:lineRule="auto"/>
        <w:ind w:right="-180"/>
        <w:rPr>
          <w:lang w:val="it-IT"/>
        </w:rPr>
      </w:pPr>
      <w:r w:rsidRPr="003F471F">
        <w:rPr>
          <w:rStyle w:val="BodyChar"/>
          <w:rFonts w:ascii="Tahoma" w:hAnsi="Tahoma" w:cs="Tahoma"/>
          <w:b/>
          <w:sz w:val="18"/>
          <w:szCs w:val="18"/>
          <w:lang w:val="it-IT"/>
        </w:rPr>
        <w:t>U &amp; SA (Aggiornamento &amp; Software Assurance)</w:t>
      </w:r>
      <w:r w:rsidRPr="003F471F">
        <w:rPr>
          <w:rFonts w:ascii="Tahoma" w:hAnsi="Tahoma" w:cs="Tahoma"/>
          <w:sz w:val="18"/>
          <w:szCs w:val="18"/>
          <w:lang w:val="it-IT"/>
        </w:rPr>
        <w:t xml:space="preserve"> = Valore di punti attribuito quando per il software indicato viene offerto il programma Aggiornamento e Software Assurance.</w:t>
      </w:r>
    </w:p>
    <w:p w14:paraId="401A4578" w14:textId="77777777" w:rsidR="00023FE7" w:rsidRPr="003F471F" w:rsidRDefault="00023FE7" w:rsidP="00B0065F">
      <w:pPr>
        <w:pStyle w:val="Heading1"/>
        <w:rPr>
          <w:lang w:val="it-IT"/>
        </w:rPr>
      </w:pPr>
      <w:r w:rsidRPr="003F471F">
        <w:rPr>
          <w:lang w:val="it-IT"/>
        </w:rPr>
        <w:br w:type="page"/>
      </w:r>
      <w:bookmarkStart w:id="9" w:name="_Toc336337841"/>
      <w:bookmarkStart w:id="10" w:name="_Toc371663247"/>
      <w:r w:rsidRPr="003F471F">
        <w:rPr>
          <w:lang w:val="it-IT"/>
        </w:rPr>
        <w:t>LISTA DEI ProdottI</w:t>
      </w:r>
      <w:bookmarkEnd w:id="9"/>
      <w:bookmarkEnd w:id="10"/>
    </w:p>
    <w:p w14:paraId="4AE7D8F2" w14:textId="77777777" w:rsidR="000E5145" w:rsidRPr="003F471F" w:rsidRDefault="000E5145" w:rsidP="004E292A">
      <w:pPr>
        <w:pStyle w:val="Heading3"/>
        <w:rPr>
          <w:lang w:val="it-IT"/>
        </w:rPr>
      </w:pPr>
      <w:bookmarkStart w:id="11" w:name="_Toc300391149"/>
      <w:bookmarkStart w:id="12" w:name="_Toc312398873"/>
      <w:bookmarkStart w:id="13" w:name="_Toc336337842"/>
    </w:p>
    <w:p w14:paraId="3B7A9946" w14:textId="77777777" w:rsidR="00F70479" w:rsidRPr="003F471F" w:rsidRDefault="00F70479" w:rsidP="00F70479">
      <w:pPr>
        <w:rPr>
          <w:lang w:val="it-IT"/>
        </w:rPr>
      </w:pPr>
    </w:p>
    <w:p w14:paraId="6956F8B4" w14:textId="77777777" w:rsidR="00023FE7" w:rsidRPr="003F471F" w:rsidRDefault="00023FE7" w:rsidP="004E292A">
      <w:pPr>
        <w:pStyle w:val="Heading3"/>
        <w:rPr>
          <w:lang w:val="it-IT"/>
        </w:rPr>
      </w:pPr>
      <w:bookmarkStart w:id="14" w:name="_Toc371663248"/>
      <w:r w:rsidRPr="003F471F">
        <w:rPr>
          <w:rFonts w:ascii="Tahoma" w:hAnsi="Tahoma" w:cs="Tahoma"/>
          <w:sz w:val="22"/>
          <w:szCs w:val="22"/>
          <w:lang w:val="it-IT"/>
        </w:rPr>
        <w:t>POOL DI APPLICAZIONI</w:t>
      </w:r>
      <w:bookmarkEnd w:id="11"/>
      <w:bookmarkEnd w:id="12"/>
      <w:bookmarkEnd w:id="13"/>
      <w:bookmarkEnd w:id="14"/>
    </w:p>
    <w:p w14:paraId="48900F45" w14:textId="77777777" w:rsidR="006949F0" w:rsidRPr="003F471F" w:rsidRDefault="006949F0" w:rsidP="006949F0">
      <w:pPr>
        <w:rPr>
          <w:lang w:val="it-IT"/>
        </w:rPr>
      </w:pPr>
    </w:p>
    <w:tbl>
      <w:tblPr>
        <w:tblW w:w="10651"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429"/>
        <w:gridCol w:w="429"/>
        <w:gridCol w:w="429"/>
        <w:gridCol w:w="429"/>
        <w:gridCol w:w="429"/>
        <w:gridCol w:w="429"/>
        <w:gridCol w:w="429"/>
        <w:gridCol w:w="429"/>
        <w:gridCol w:w="429"/>
        <w:gridCol w:w="429"/>
        <w:gridCol w:w="335"/>
        <w:gridCol w:w="18"/>
        <w:gridCol w:w="360"/>
        <w:gridCol w:w="378"/>
        <w:gridCol w:w="414"/>
        <w:gridCol w:w="405"/>
        <w:gridCol w:w="405"/>
        <w:gridCol w:w="810"/>
        <w:gridCol w:w="495"/>
        <w:gridCol w:w="370"/>
      </w:tblGrid>
      <w:tr w:rsidR="00D53652" w:rsidRPr="0058047D" w14:paraId="6E15E5A9" w14:textId="77777777" w:rsidTr="00D5491B">
        <w:trPr>
          <w:cantSplit/>
          <w:trHeight w:val="728"/>
          <w:tblHeader/>
        </w:trPr>
        <w:tc>
          <w:tcPr>
            <w:tcW w:w="2371" w:type="dxa"/>
            <w:tcBorders>
              <w:top w:val="single" w:sz="4" w:space="0" w:color="FFFFFF"/>
              <w:left w:val="nil"/>
              <w:bottom w:val="nil"/>
            </w:tcBorders>
          </w:tcPr>
          <w:p w14:paraId="59A6A9E6" w14:textId="77777777" w:rsidR="00D53652" w:rsidRPr="003F471F" w:rsidRDefault="00D53652">
            <w:pPr>
              <w:widowControl w:val="0"/>
              <w:ind w:left="-360"/>
              <w:rPr>
                <w:rFonts w:cs="Tahoma"/>
                <w:lang w:val="it-IT"/>
              </w:rPr>
            </w:pPr>
          </w:p>
        </w:tc>
        <w:tc>
          <w:tcPr>
            <w:tcW w:w="429" w:type="dxa"/>
            <w:tcBorders>
              <w:bottom w:val="nil"/>
            </w:tcBorders>
            <w:textDirection w:val="btLr"/>
            <w:vAlign w:val="center"/>
          </w:tcPr>
          <w:p w14:paraId="69D0C29B" w14:textId="77777777" w:rsidR="00D53652" w:rsidRPr="0058047D" w:rsidRDefault="00D53652" w:rsidP="00C31C3A">
            <w:pPr>
              <w:pStyle w:val="TableVerticalText"/>
              <w:widowControl w:val="0"/>
              <w:rPr>
                <w:rFonts w:ascii="Tahoma" w:hAnsi="Tahoma" w:cs="Tahoma"/>
              </w:rPr>
            </w:pPr>
            <w:r w:rsidRPr="0058047D">
              <w:rPr>
                <w:rFonts w:ascii="Tahoma" w:hAnsi="Tahoma" w:cs="Tahoma"/>
              </w:rPr>
              <w:t>Note del Prodotto</w:t>
            </w:r>
          </w:p>
        </w:tc>
        <w:tc>
          <w:tcPr>
            <w:tcW w:w="429" w:type="dxa"/>
            <w:vMerge w:val="restart"/>
            <w:textDirection w:val="btLr"/>
            <w:vAlign w:val="center"/>
          </w:tcPr>
          <w:p w14:paraId="08C69D49" w14:textId="77777777" w:rsidR="00D53652" w:rsidRPr="0058047D" w:rsidRDefault="00D53652" w:rsidP="00D53652">
            <w:pPr>
              <w:pStyle w:val="TableVerticalText"/>
              <w:widowControl w:val="0"/>
              <w:rPr>
                <w:rFonts w:ascii="Tahoma" w:hAnsi="Tahoma" w:cs="Tahoma"/>
              </w:rPr>
            </w:pPr>
            <w:r w:rsidRPr="0058047D">
              <w:rPr>
                <w:rFonts w:ascii="Tahoma" w:hAnsi="Tahoma" w:cs="Tahoma"/>
              </w:rPr>
              <w:t>Data Disponibilità</w:t>
            </w:r>
          </w:p>
        </w:tc>
        <w:tc>
          <w:tcPr>
            <w:tcW w:w="429" w:type="dxa"/>
            <w:vMerge w:val="restart"/>
            <w:tcBorders>
              <w:right w:val="single" w:sz="18" w:space="0" w:color="auto"/>
            </w:tcBorders>
            <w:textDirection w:val="btLr"/>
            <w:vAlign w:val="center"/>
          </w:tcPr>
          <w:p w14:paraId="468CBF5A" w14:textId="77777777" w:rsidR="00D53652" w:rsidRPr="0058047D" w:rsidRDefault="00D53652">
            <w:pPr>
              <w:pStyle w:val="TableVerticalText"/>
              <w:widowControl w:val="0"/>
              <w:rPr>
                <w:rFonts w:ascii="Tahoma" w:hAnsi="Tahoma" w:cs="Tahoma"/>
              </w:rPr>
            </w:pPr>
            <w:r w:rsidRPr="0058047D">
              <w:rPr>
                <w:rFonts w:ascii="Tahoma" w:hAnsi="Tahoma" w:cs="Tahoma"/>
              </w:rPr>
              <w:t>SAB</w:t>
            </w:r>
          </w:p>
        </w:tc>
        <w:tc>
          <w:tcPr>
            <w:tcW w:w="3003" w:type="dxa"/>
            <w:gridSpan w:val="7"/>
            <w:tcBorders>
              <w:left w:val="single" w:sz="18" w:space="0" w:color="auto"/>
              <w:right w:val="single" w:sz="18" w:space="0" w:color="auto"/>
            </w:tcBorders>
            <w:vAlign w:val="center"/>
          </w:tcPr>
          <w:p w14:paraId="2095C4A0" w14:textId="77777777" w:rsidR="00D53652" w:rsidRPr="0058047D" w:rsidRDefault="00D53652">
            <w:pPr>
              <w:pStyle w:val="TableHeadingsBlack"/>
              <w:widowControl w:val="0"/>
              <w:rPr>
                <w:rFonts w:ascii="Tahoma" w:hAnsi="Tahoma" w:cs="Tahoma"/>
              </w:rPr>
            </w:pPr>
            <w:r w:rsidRPr="0058047D">
              <w:rPr>
                <w:rFonts w:ascii="Tahoma" w:hAnsi="Tahoma" w:cs="Tahoma"/>
              </w:rPr>
              <w:t>Select / Select Plus*</w:t>
            </w:r>
          </w:p>
        </w:tc>
        <w:tc>
          <w:tcPr>
            <w:tcW w:w="1091" w:type="dxa"/>
            <w:gridSpan w:val="4"/>
            <w:tcBorders>
              <w:left w:val="single" w:sz="18" w:space="0" w:color="auto"/>
              <w:right w:val="single" w:sz="18" w:space="0" w:color="auto"/>
            </w:tcBorders>
            <w:vAlign w:val="center"/>
          </w:tcPr>
          <w:p w14:paraId="2CA4FB4D" w14:textId="77777777" w:rsidR="00D53652" w:rsidRPr="0058047D" w:rsidRDefault="00D53652">
            <w:pPr>
              <w:pStyle w:val="TableHeadingsBlack"/>
              <w:widowControl w:val="0"/>
              <w:rPr>
                <w:rFonts w:ascii="Tahoma" w:hAnsi="Tahoma" w:cs="Tahoma"/>
              </w:rPr>
            </w:pPr>
            <w:r w:rsidRPr="0058047D">
              <w:rPr>
                <w:rFonts w:ascii="Tahoma" w:hAnsi="Tahoma" w:cs="Tahoma"/>
              </w:rPr>
              <w:t>Licenza Open</w:t>
            </w:r>
          </w:p>
        </w:tc>
        <w:tc>
          <w:tcPr>
            <w:tcW w:w="414" w:type="dxa"/>
            <w:vMerge w:val="restart"/>
            <w:tcBorders>
              <w:left w:val="single" w:sz="18" w:space="0" w:color="auto"/>
            </w:tcBorders>
            <w:textDirection w:val="btLr"/>
            <w:vAlign w:val="center"/>
          </w:tcPr>
          <w:p w14:paraId="50499642" w14:textId="77777777" w:rsidR="00D53652" w:rsidRPr="0058047D" w:rsidRDefault="00D53652" w:rsidP="00D5491B">
            <w:pPr>
              <w:pStyle w:val="TableVerticalText"/>
              <w:widowControl w:val="0"/>
              <w:rPr>
                <w:rFonts w:ascii="Tahoma" w:hAnsi="Tahoma" w:cs="Tahoma"/>
              </w:rPr>
            </w:pPr>
            <w:r w:rsidRPr="0058047D">
              <w:rPr>
                <w:rFonts w:ascii="Tahoma" w:hAnsi="Tahoma" w:cs="Tahoma"/>
              </w:rPr>
              <w:t>Unità Campus/School</w:t>
            </w:r>
          </w:p>
        </w:tc>
        <w:tc>
          <w:tcPr>
            <w:tcW w:w="405" w:type="dxa"/>
            <w:vMerge w:val="restart"/>
            <w:tcBorders>
              <w:right w:val="single" w:sz="18" w:space="0" w:color="auto"/>
            </w:tcBorders>
            <w:textDirection w:val="btLr"/>
            <w:vAlign w:val="center"/>
          </w:tcPr>
          <w:p w14:paraId="32164149" w14:textId="77777777" w:rsidR="00D53652" w:rsidRPr="0058047D" w:rsidRDefault="00D53652" w:rsidP="00D5491B">
            <w:pPr>
              <w:pStyle w:val="TableVerticalText"/>
              <w:widowControl w:val="0"/>
              <w:rPr>
                <w:rFonts w:ascii="Tahoma" w:hAnsi="Tahoma" w:cs="Tahoma"/>
              </w:rPr>
            </w:pPr>
            <w:r w:rsidRPr="0058047D">
              <w:rPr>
                <w:rFonts w:ascii="Tahoma" w:hAnsi="Tahoma" w:cs="Tahoma"/>
              </w:rPr>
              <w:t>EA ed EA Sub</w:t>
            </w:r>
          </w:p>
        </w:tc>
        <w:tc>
          <w:tcPr>
            <w:tcW w:w="405" w:type="dxa"/>
            <w:vMerge w:val="restart"/>
            <w:tcBorders>
              <w:left w:val="single" w:sz="18" w:space="0" w:color="auto"/>
              <w:right w:val="single" w:sz="18" w:space="0" w:color="auto"/>
            </w:tcBorders>
            <w:textDirection w:val="btLr"/>
            <w:vAlign w:val="center"/>
          </w:tcPr>
          <w:p w14:paraId="1AD36929" w14:textId="77777777" w:rsidR="00D53652" w:rsidRPr="0058047D" w:rsidRDefault="00D53652" w:rsidP="00D5491B">
            <w:pPr>
              <w:pStyle w:val="TableVerticalText"/>
              <w:widowControl w:val="0"/>
              <w:rPr>
                <w:rFonts w:ascii="Tahoma" w:hAnsi="Tahoma" w:cs="Tahoma"/>
              </w:rPr>
            </w:pPr>
            <w:r w:rsidRPr="0058047D">
              <w:rPr>
                <w:rFonts w:ascii="Tahoma" w:hAnsi="Tahoma" w:cs="Tahoma"/>
              </w:rPr>
              <w:t>OV / OVS</w:t>
            </w:r>
          </w:p>
        </w:tc>
        <w:tc>
          <w:tcPr>
            <w:tcW w:w="810" w:type="dxa"/>
            <w:vMerge w:val="restart"/>
            <w:textDirection w:val="btLr"/>
            <w:vAlign w:val="center"/>
          </w:tcPr>
          <w:p w14:paraId="3B7602FE" w14:textId="77777777" w:rsidR="00D53652" w:rsidRPr="0058047D" w:rsidRDefault="00D53652" w:rsidP="00D5491B">
            <w:pPr>
              <w:pStyle w:val="TableVerticalText"/>
              <w:widowControl w:val="0"/>
              <w:spacing w:before="120"/>
              <w:rPr>
                <w:rFonts w:ascii="Tahoma" w:hAnsi="Tahoma" w:cs="Tahoma"/>
              </w:rPr>
            </w:pPr>
            <w:r w:rsidRPr="0058047D">
              <w:rPr>
                <w:rFonts w:ascii="Tahoma" w:hAnsi="Tahoma" w:cs="Tahoma"/>
              </w:rPr>
              <w:t>EES / OVS -ES</w:t>
            </w:r>
          </w:p>
        </w:tc>
        <w:tc>
          <w:tcPr>
            <w:tcW w:w="495" w:type="dxa"/>
            <w:vMerge w:val="restart"/>
            <w:textDirection w:val="btLr"/>
            <w:vAlign w:val="center"/>
          </w:tcPr>
          <w:p w14:paraId="395D8D7C" w14:textId="77777777" w:rsidR="00D53652" w:rsidRPr="003F471F" w:rsidRDefault="00D53652" w:rsidP="00D5491B">
            <w:pPr>
              <w:pStyle w:val="TableVerticalText"/>
              <w:widowControl w:val="0"/>
              <w:rPr>
                <w:rFonts w:ascii="Tahoma" w:hAnsi="Tahoma" w:cs="Tahoma"/>
                <w:lang w:val="it-IT"/>
              </w:rPr>
            </w:pPr>
            <w:r w:rsidRPr="003F471F">
              <w:rPr>
                <w:rFonts w:ascii="Tahoma" w:hAnsi="Tahoma" w:cs="Tahoma"/>
                <w:lang w:val="it-IT"/>
              </w:rPr>
              <w:t>Requisito minimo per i Programmi Open</w:t>
            </w:r>
          </w:p>
        </w:tc>
        <w:tc>
          <w:tcPr>
            <w:tcW w:w="370" w:type="dxa"/>
            <w:vMerge w:val="restart"/>
            <w:textDirection w:val="btLr"/>
            <w:vAlign w:val="center"/>
          </w:tcPr>
          <w:p w14:paraId="5509A543" w14:textId="77777777" w:rsidR="00D53652" w:rsidRPr="0058047D" w:rsidRDefault="00D53652" w:rsidP="00D5491B">
            <w:pPr>
              <w:pStyle w:val="TableVerticalText"/>
              <w:widowControl w:val="0"/>
              <w:rPr>
                <w:rFonts w:ascii="Tahoma" w:hAnsi="Tahoma" w:cs="Tahoma"/>
              </w:rPr>
            </w:pPr>
            <w:r w:rsidRPr="0058047D">
              <w:rPr>
                <w:rFonts w:ascii="Tahoma" w:hAnsi="Tahoma" w:cs="Tahoma"/>
              </w:rPr>
              <w:t>SCE</w:t>
            </w:r>
          </w:p>
        </w:tc>
      </w:tr>
      <w:tr w:rsidR="00D53652" w:rsidRPr="0058047D" w14:paraId="3B474B3A" w14:textId="77777777" w:rsidTr="0058047D">
        <w:trPr>
          <w:cantSplit/>
          <w:trHeight w:val="271"/>
          <w:tblHeader/>
        </w:trPr>
        <w:tc>
          <w:tcPr>
            <w:tcW w:w="2371" w:type="dxa"/>
            <w:vMerge w:val="restart"/>
            <w:tcBorders>
              <w:top w:val="nil"/>
              <w:left w:val="nil"/>
            </w:tcBorders>
          </w:tcPr>
          <w:p w14:paraId="59187AEE" w14:textId="77777777" w:rsidR="00D53652" w:rsidRPr="0058047D" w:rsidRDefault="00D53652">
            <w:pPr>
              <w:widowControl w:val="0"/>
              <w:rPr>
                <w:rFonts w:cs="Tahoma"/>
                <w:b/>
              </w:rPr>
            </w:pPr>
          </w:p>
        </w:tc>
        <w:tc>
          <w:tcPr>
            <w:tcW w:w="429" w:type="dxa"/>
            <w:vMerge w:val="restart"/>
            <w:tcBorders>
              <w:top w:val="nil"/>
            </w:tcBorders>
          </w:tcPr>
          <w:p w14:paraId="1B30E417" w14:textId="77777777" w:rsidR="00D53652" w:rsidRPr="0058047D" w:rsidRDefault="00D53652">
            <w:pPr>
              <w:keepNext/>
              <w:widowControl w:val="0"/>
              <w:spacing w:before="200" w:after="120"/>
              <w:jc w:val="center"/>
              <w:outlineLvl w:val="0"/>
              <w:rPr>
                <w:rFonts w:cs="Tahoma"/>
                <w:b/>
                <w:color w:val="0000FF"/>
                <w:sz w:val="10"/>
              </w:rPr>
            </w:pPr>
            <w:r w:rsidRPr="0058047D">
              <w:rPr>
                <w:rFonts w:cs="Tahoma"/>
                <w:b/>
                <w:color w:val="0000FF"/>
                <w:sz w:val="10"/>
              </w:rPr>
              <w:t>(Ctrl + Clic)</w:t>
            </w:r>
          </w:p>
        </w:tc>
        <w:tc>
          <w:tcPr>
            <w:tcW w:w="429" w:type="dxa"/>
            <w:vMerge/>
          </w:tcPr>
          <w:p w14:paraId="3DAB01D9" w14:textId="77777777" w:rsidR="00D53652" w:rsidRPr="0058047D" w:rsidRDefault="00D53652">
            <w:pPr>
              <w:widowControl w:val="0"/>
              <w:rPr>
                <w:rFonts w:cs="Tahoma"/>
              </w:rPr>
            </w:pPr>
          </w:p>
        </w:tc>
        <w:tc>
          <w:tcPr>
            <w:tcW w:w="429" w:type="dxa"/>
            <w:vMerge/>
            <w:tcBorders>
              <w:right w:val="single" w:sz="18" w:space="0" w:color="auto"/>
            </w:tcBorders>
          </w:tcPr>
          <w:p w14:paraId="6472C436" w14:textId="77777777" w:rsidR="00D53652" w:rsidRPr="0058047D" w:rsidRDefault="00D53652">
            <w:pPr>
              <w:widowControl w:val="0"/>
              <w:rPr>
                <w:rFonts w:cs="Tahoma"/>
              </w:rPr>
            </w:pPr>
          </w:p>
        </w:tc>
        <w:tc>
          <w:tcPr>
            <w:tcW w:w="429" w:type="dxa"/>
            <w:vMerge w:val="restart"/>
            <w:tcBorders>
              <w:left w:val="single" w:sz="18" w:space="0" w:color="auto"/>
            </w:tcBorders>
            <w:vAlign w:val="center"/>
          </w:tcPr>
          <w:p w14:paraId="21DE386A" w14:textId="77777777" w:rsidR="00D53652" w:rsidRPr="0058047D" w:rsidRDefault="00D53652">
            <w:pPr>
              <w:pStyle w:val="TableHeadingsRed"/>
              <w:widowControl w:val="0"/>
              <w:rPr>
                <w:rFonts w:ascii="Tahoma" w:hAnsi="Tahoma" w:cs="Tahoma"/>
              </w:rPr>
            </w:pPr>
            <w:r w:rsidRPr="0058047D">
              <w:rPr>
                <w:rFonts w:ascii="Tahoma" w:hAnsi="Tahoma" w:cs="Tahoma"/>
              </w:rPr>
              <w:t>L</w:t>
            </w:r>
          </w:p>
        </w:tc>
        <w:tc>
          <w:tcPr>
            <w:tcW w:w="1287" w:type="dxa"/>
            <w:gridSpan w:val="3"/>
            <w:vAlign w:val="center"/>
          </w:tcPr>
          <w:p w14:paraId="65270A74" w14:textId="77777777" w:rsidR="00D53652" w:rsidRPr="0058047D" w:rsidRDefault="00D53652">
            <w:pPr>
              <w:pStyle w:val="TableHeadingsGreen"/>
              <w:widowControl w:val="0"/>
              <w:rPr>
                <w:rFonts w:ascii="Tahoma" w:hAnsi="Tahoma" w:cs="Tahoma"/>
              </w:rPr>
            </w:pPr>
            <w:r w:rsidRPr="0058047D">
              <w:rPr>
                <w:rFonts w:ascii="Tahoma" w:hAnsi="Tahoma" w:cs="Tahoma"/>
              </w:rPr>
              <w:t>L&amp;SA</w:t>
            </w:r>
          </w:p>
        </w:tc>
        <w:tc>
          <w:tcPr>
            <w:tcW w:w="1287" w:type="dxa"/>
            <w:gridSpan w:val="3"/>
            <w:tcBorders>
              <w:right w:val="single" w:sz="18" w:space="0" w:color="auto"/>
            </w:tcBorders>
            <w:vAlign w:val="center"/>
          </w:tcPr>
          <w:p w14:paraId="25C8FD14" w14:textId="77777777" w:rsidR="00D53652" w:rsidRPr="0058047D" w:rsidRDefault="00D53652">
            <w:pPr>
              <w:pStyle w:val="TableHeadingsBlue"/>
              <w:widowControl w:val="0"/>
              <w:rPr>
                <w:rFonts w:ascii="Tahoma" w:hAnsi="Tahoma" w:cs="Tahoma"/>
              </w:rPr>
            </w:pPr>
            <w:r w:rsidRPr="0058047D">
              <w:rPr>
                <w:rFonts w:ascii="Tahoma" w:hAnsi="Tahoma" w:cs="Tahoma"/>
              </w:rPr>
              <w:t>SA</w:t>
            </w:r>
          </w:p>
        </w:tc>
        <w:tc>
          <w:tcPr>
            <w:tcW w:w="353" w:type="dxa"/>
            <w:gridSpan w:val="2"/>
            <w:vMerge w:val="restart"/>
            <w:tcBorders>
              <w:left w:val="single" w:sz="18" w:space="0" w:color="auto"/>
            </w:tcBorders>
            <w:vAlign w:val="center"/>
          </w:tcPr>
          <w:p w14:paraId="2AA1A230" w14:textId="77777777" w:rsidR="00D53652" w:rsidRPr="0058047D" w:rsidRDefault="00D53652">
            <w:pPr>
              <w:pStyle w:val="TableHeadingsRed"/>
              <w:widowControl w:val="0"/>
              <w:rPr>
                <w:rFonts w:ascii="Tahoma" w:hAnsi="Tahoma" w:cs="Tahoma"/>
              </w:rPr>
            </w:pPr>
            <w:r w:rsidRPr="0058047D">
              <w:rPr>
                <w:rFonts w:ascii="Tahoma" w:hAnsi="Tahoma" w:cs="Tahoma"/>
              </w:rPr>
              <w:t>L</w:t>
            </w:r>
          </w:p>
        </w:tc>
        <w:tc>
          <w:tcPr>
            <w:tcW w:w="360" w:type="dxa"/>
            <w:vAlign w:val="center"/>
          </w:tcPr>
          <w:p w14:paraId="15D7CE93" w14:textId="77777777" w:rsidR="00D53652" w:rsidRPr="0058047D" w:rsidRDefault="00D53652">
            <w:pPr>
              <w:pStyle w:val="TableHeadingsGreen"/>
              <w:widowControl w:val="0"/>
              <w:rPr>
                <w:rFonts w:ascii="Tahoma" w:hAnsi="Tahoma" w:cs="Tahoma"/>
              </w:rPr>
            </w:pPr>
            <w:r w:rsidRPr="0058047D">
              <w:rPr>
                <w:rFonts w:ascii="Tahoma" w:hAnsi="Tahoma" w:cs="Tahoma"/>
              </w:rPr>
              <w:t>L&amp;SA</w:t>
            </w:r>
          </w:p>
        </w:tc>
        <w:tc>
          <w:tcPr>
            <w:tcW w:w="378" w:type="dxa"/>
            <w:vMerge w:val="restart"/>
            <w:tcBorders>
              <w:right w:val="single" w:sz="18" w:space="0" w:color="auto"/>
            </w:tcBorders>
            <w:vAlign w:val="center"/>
          </w:tcPr>
          <w:p w14:paraId="131CADA7" w14:textId="77777777" w:rsidR="00D53652" w:rsidRPr="0058047D" w:rsidRDefault="00D53652">
            <w:pPr>
              <w:pStyle w:val="TableHeadingsBlue"/>
              <w:widowControl w:val="0"/>
              <w:rPr>
                <w:rFonts w:ascii="Tahoma" w:hAnsi="Tahoma" w:cs="Tahoma"/>
              </w:rPr>
            </w:pPr>
            <w:r w:rsidRPr="0058047D">
              <w:rPr>
                <w:rFonts w:ascii="Tahoma" w:hAnsi="Tahoma" w:cs="Tahoma"/>
              </w:rPr>
              <w:t>SA</w:t>
            </w:r>
          </w:p>
        </w:tc>
        <w:tc>
          <w:tcPr>
            <w:tcW w:w="414" w:type="dxa"/>
            <w:vMerge/>
            <w:tcBorders>
              <w:left w:val="single" w:sz="18" w:space="0" w:color="auto"/>
            </w:tcBorders>
          </w:tcPr>
          <w:p w14:paraId="4E3EA7C0" w14:textId="77777777" w:rsidR="00D53652" w:rsidRPr="0058047D" w:rsidRDefault="00D53652" w:rsidP="00097B90">
            <w:pPr>
              <w:widowControl w:val="0"/>
              <w:rPr>
                <w:rFonts w:cs="Tahoma"/>
              </w:rPr>
            </w:pPr>
          </w:p>
        </w:tc>
        <w:tc>
          <w:tcPr>
            <w:tcW w:w="405" w:type="dxa"/>
            <w:vMerge/>
            <w:tcBorders>
              <w:right w:val="single" w:sz="18" w:space="0" w:color="auto"/>
            </w:tcBorders>
          </w:tcPr>
          <w:p w14:paraId="54B6408C" w14:textId="77777777" w:rsidR="00D53652" w:rsidRPr="0058047D" w:rsidRDefault="00D53652">
            <w:pPr>
              <w:widowControl w:val="0"/>
              <w:rPr>
                <w:rFonts w:cs="Tahoma"/>
              </w:rPr>
            </w:pPr>
          </w:p>
        </w:tc>
        <w:tc>
          <w:tcPr>
            <w:tcW w:w="405" w:type="dxa"/>
            <w:vMerge/>
            <w:tcBorders>
              <w:left w:val="single" w:sz="18" w:space="0" w:color="auto"/>
              <w:right w:val="single" w:sz="18" w:space="0" w:color="auto"/>
            </w:tcBorders>
          </w:tcPr>
          <w:p w14:paraId="6ED725DB" w14:textId="77777777" w:rsidR="00D53652" w:rsidRPr="0058047D" w:rsidRDefault="00D53652">
            <w:pPr>
              <w:widowControl w:val="0"/>
              <w:rPr>
                <w:rFonts w:cs="Tahoma"/>
              </w:rPr>
            </w:pPr>
          </w:p>
        </w:tc>
        <w:tc>
          <w:tcPr>
            <w:tcW w:w="810" w:type="dxa"/>
            <w:vMerge/>
          </w:tcPr>
          <w:p w14:paraId="4ED42B15" w14:textId="77777777" w:rsidR="00D53652" w:rsidRPr="0058047D" w:rsidRDefault="00D53652">
            <w:pPr>
              <w:widowControl w:val="0"/>
              <w:rPr>
                <w:rFonts w:cs="Tahoma"/>
              </w:rPr>
            </w:pPr>
          </w:p>
        </w:tc>
        <w:tc>
          <w:tcPr>
            <w:tcW w:w="495" w:type="dxa"/>
            <w:vMerge/>
          </w:tcPr>
          <w:p w14:paraId="3C85AD74" w14:textId="77777777" w:rsidR="00D53652" w:rsidRPr="0058047D" w:rsidRDefault="00D53652">
            <w:pPr>
              <w:widowControl w:val="0"/>
              <w:rPr>
                <w:rFonts w:cs="Tahoma"/>
              </w:rPr>
            </w:pPr>
          </w:p>
        </w:tc>
        <w:tc>
          <w:tcPr>
            <w:tcW w:w="370" w:type="dxa"/>
            <w:vMerge/>
          </w:tcPr>
          <w:p w14:paraId="6F5C1966" w14:textId="77777777" w:rsidR="00D53652" w:rsidRPr="0058047D" w:rsidRDefault="00D53652">
            <w:pPr>
              <w:widowControl w:val="0"/>
              <w:rPr>
                <w:rFonts w:cs="Tahoma"/>
              </w:rPr>
            </w:pPr>
          </w:p>
        </w:tc>
      </w:tr>
      <w:tr w:rsidR="00D53652" w:rsidRPr="0058047D" w14:paraId="6A49E0BD" w14:textId="77777777" w:rsidTr="0058047D">
        <w:trPr>
          <w:cantSplit/>
          <w:trHeight w:val="262"/>
          <w:tblHeader/>
        </w:trPr>
        <w:tc>
          <w:tcPr>
            <w:tcW w:w="2371" w:type="dxa"/>
            <w:vMerge/>
            <w:tcBorders>
              <w:top w:val="single" w:sz="4" w:space="0" w:color="auto"/>
              <w:left w:val="nil"/>
              <w:bottom w:val="single" w:sz="4" w:space="0" w:color="auto"/>
            </w:tcBorders>
          </w:tcPr>
          <w:p w14:paraId="391DBC93" w14:textId="77777777" w:rsidR="00D53652" w:rsidRPr="0058047D" w:rsidRDefault="00D53652">
            <w:pPr>
              <w:widowControl w:val="0"/>
              <w:rPr>
                <w:rFonts w:cs="Tahoma"/>
              </w:rPr>
            </w:pPr>
          </w:p>
        </w:tc>
        <w:tc>
          <w:tcPr>
            <w:tcW w:w="429" w:type="dxa"/>
            <w:vMerge/>
            <w:tcBorders>
              <w:bottom w:val="single" w:sz="4" w:space="0" w:color="auto"/>
            </w:tcBorders>
          </w:tcPr>
          <w:p w14:paraId="44D81856" w14:textId="77777777" w:rsidR="00D53652" w:rsidRPr="0058047D" w:rsidRDefault="00D53652">
            <w:pPr>
              <w:keepNext/>
              <w:widowControl w:val="0"/>
              <w:spacing w:before="200" w:after="120"/>
              <w:outlineLvl w:val="0"/>
              <w:rPr>
                <w:rFonts w:cs="Tahoma"/>
                <w:b/>
              </w:rPr>
            </w:pPr>
          </w:p>
        </w:tc>
        <w:tc>
          <w:tcPr>
            <w:tcW w:w="429" w:type="dxa"/>
            <w:vMerge/>
            <w:tcBorders>
              <w:bottom w:val="single" w:sz="4" w:space="0" w:color="auto"/>
            </w:tcBorders>
          </w:tcPr>
          <w:p w14:paraId="312A7947" w14:textId="77777777" w:rsidR="00D53652" w:rsidRPr="0058047D" w:rsidRDefault="00D53652">
            <w:pPr>
              <w:widowControl w:val="0"/>
              <w:rPr>
                <w:rFonts w:cs="Tahoma"/>
              </w:rPr>
            </w:pPr>
          </w:p>
        </w:tc>
        <w:tc>
          <w:tcPr>
            <w:tcW w:w="429" w:type="dxa"/>
            <w:vMerge/>
            <w:tcBorders>
              <w:bottom w:val="single" w:sz="4" w:space="0" w:color="auto"/>
              <w:right w:val="single" w:sz="18" w:space="0" w:color="auto"/>
            </w:tcBorders>
          </w:tcPr>
          <w:p w14:paraId="457B710F" w14:textId="77777777" w:rsidR="00D53652" w:rsidRPr="0058047D" w:rsidRDefault="00D53652">
            <w:pPr>
              <w:widowControl w:val="0"/>
              <w:rPr>
                <w:rFonts w:cs="Tahoma"/>
              </w:rPr>
            </w:pPr>
          </w:p>
        </w:tc>
        <w:tc>
          <w:tcPr>
            <w:tcW w:w="429" w:type="dxa"/>
            <w:vMerge/>
            <w:tcBorders>
              <w:left w:val="single" w:sz="18" w:space="0" w:color="auto"/>
              <w:bottom w:val="single" w:sz="4" w:space="0" w:color="auto"/>
            </w:tcBorders>
            <w:vAlign w:val="center"/>
          </w:tcPr>
          <w:p w14:paraId="2BAD253E" w14:textId="77777777" w:rsidR="00D53652" w:rsidRPr="0058047D" w:rsidRDefault="00D53652">
            <w:pPr>
              <w:widowControl w:val="0"/>
              <w:jc w:val="center"/>
              <w:rPr>
                <w:rFonts w:cs="Tahoma"/>
              </w:rPr>
            </w:pPr>
          </w:p>
        </w:tc>
        <w:tc>
          <w:tcPr>
            <w:tcW w:w="429" w:type="dxa"/>
            <w:tcBorders>
              <w:bottom w:val="single" w:sz="4" w:space="0" w:color="auto"/>
            </w:tcBorders>
            <w:vAlign w:val="center"/>
          </w:tcPr>
          <w:p w14:paraId="2C7A785E" w14:textId="77777777" w:rsidR="00D53652" w:rsidRPr="0058047D" w:rsidRDefault="00D53652">
            <w:pPr>
              <w:pStyle w:val="TableHeadingsGreen"/>
              <w:widowControl w:val="0"/>
              <w:rPr>
                <w:rFonts w:ascii="Tahoma" w:hAnsi="Tahoma" w:cs="Tahoma"/>
              </w:rPr>
            </w:pPr>
            <w:r w:rsidRPr="0058047D">
              <w:rPr>
                <w:rFonts w:ascii="Tahoma" w:hAnsi="Tahoma" w:cs="Tahoma"/>
              </w:rPr>
              <w:t>3An</w:t>
            </w:r>
          </w:p>
        </w:tc>
        <w:tc>
          <w:tcPr>
            <w:tcW w:w="429" w:type="dxa"/>
            <w:tcBorders>
              <w:bottom w:val="single" w:sz="4" w:space="0" w:color="auto"/>
            </w:tcBorders>
            <w:vAlign w:val="center"/>
          </w:tcPr>
          <w:p w14:paraId="71687481" w14:textId="77777777" w:rsidR="00D53652" w:rsidRPr="0058047D" w:rsidRDefault="00D53652">
            <w:pPr>
              <w:pStyle w:val="TableHeadingsGreen"/>
              <w:widowControl w:val="0"/>
              <w:rPr>
                <w:rFonts w:ascii="Tahoma" w:hAnsi="Tahoma" w:cs="Tahoma"/>
              </w:rPr>
            </w:pPr>
            <w:r w:rsidRPr="0058047D">
              <w:rPr>
                <w:rFonts w:ascii="Tahoma" w:hAnsi="Tahoma" w:cs="Tahoma"/>
              </w:rPr>
              <w:t>2An</w:t>
            </w:r>
          </w:p>
        </w:tc>
        <w:tc>
          <w:tcPr>
            <w:tcW w:w="429" w:type="dxa"/>
            <w:tcBorders>
              <w:bottom w:val="single" w:sz="4" w:space="0" w:color="auto"/>
            </w:tcBorders>
            <w:vAlign w:val="center"/>
          </w:tcPr>
          <w:p w14:paraId="4F4A6835" w14:textId="77777777" w:rsidR="00D53652" w:rsidRPr="0058047D" w:rsidRDefault="00D53652">
            <w:pPr>
              <w:pStyle w:val="TableHeadingsGreen"/>
              <w:widowControl w:val="0"/>
              <w:rPr>
                <w:rFonts w:ascii="Tahoma" w:hAnsi="Tahoma" w:cs="Tahoma"/>
              </w:rPr>
            </w:pPr>
            <w:r w:rsidRPr="0058047D">
              <w:rPr>
                <w:rFonts w:ascii="Tahoma" w:hAnsi="Tahoma" w:cs="Tahoma"/>
              </w:rPr>
              <w:t>1An</w:t>
            </w:r>
          </w:p>
        </w:tc>
        <w:tc>
          <w:tcPr>
            <w:tcW w:w="429" w:type="dxa"/>
            <w:tcBorders>
              <w:bottom w:val="single" w:sz="4" w:space="0" w:color="auto"/>
            </w:tcBorders>
            <w:vAlign w:val="center"/>
          </w:tcPr>
          <w:p w14:paraId="748C9018" w14:textId="77777777" w:rsidR="00D53652" w:rsidRPr="0058047D" w:rsidRDefault="00D53652">
            <w:pPr>
              <w:pStyle w:val="TableHeadingsBlue"/>
              <w:widowControl w:val="0"/>
              <w:rPr>
                <w:rFonts w:ascii="Tahoma" w:hAnsi="Tahoma" w:cs="Tahoma"/>
              </w:rPr>
            </w:pPr>
            <w:r w:rsidRPr="0058047D">
              <w:rPr>
                <w:rFonts w:ascii="Tahoma" w:hAnsi="Tahoma" w:cs="Tahoma"/>
              </w:rPr>
              <w:t>3An</w:t>
            </w:r>
          </w:p>
        </w:tc>
        <w:tc>
          <w:tcPr>
            <w:tcW w:w="429" w:type="dxa"/>
            <w:tcBorders>
              <w:bottom w:val="single" w:sz="4" w:space="0" w:color="auto"/>
            </w:tcBorders>
            <w:vAlign w:val="center"/>
          </w:tcPr>
          <w:p w14:paraId="4F80D690" w14:textId="77777777" w:rsidR="00D53652" w:rsidRPr="0058047D" w:rsidRDefault="00D53652">
            <w:pPr>
              <w:pStyle w:val="TableHeadingsBlue"/>
              <w:widowControl w:val="0"/>
              <w:rPr>
                <w:rFonts w:ascii="Tahoma" w:hAnsi="Tahoma" w:cs="Tahoma"/>
              </w:rPr>
            </w:pPr>
            <w:r w:rsidRPr="0058047D">
              <w:rPr>
                <w:rFonts w:ascii="Tahoma" w:hAnsi="Tahoma" w:cs="Tahoma"/>
              </w:rPr>
              <w:t>2An</w:t>
            </w:r>
          </w:p>
        </w:tc>
        <w:tc>
          <w:tcPr>
            <w:tcW w:w="429" w:type="dxa"/>
            <w:tcBorders>
              <w:bottom w:val="single" w:sz="4" w:space="0" w:color="auto"/>
              <w:right w:val="single" w:sz="18" w:space="0" w:color="auto"/>
            </w:tcBorders>
            <w:vAlign w:val="center"/>
          </w:tcPr>
          <w:p w14:paraId="1CB4373E" w14:textId="77777777" w:rsidR="00D53652" w:rsidRPr="0058047D" w:rsidRDefault="00D53652">
            <w:pPr>
              <w:pStyle w:val="TableHeadingsBlue"/>
              <w:widowControl w:val="0"/>
              <w:rPr>
                <w:rFonts w:ascii="Tahoma" w:hAnsi="Tahoma" w:cs="Tahoma"/>
              </w:rPr>
            </w:pPr>
            <w:r w:rsidRPr="0058047D">
              <w:rPr>
                <w:rFonts w:ascii="Tahoma" w:hAnsi="Tahoma" w:cs="Tahoma"/>
              </w:rPr>
              <w:t>1An</w:t>
            </w:r>
          </w:p>
        </w:tc>
        <w:tc>
          <w:tcPr>
            <w:tcW w:w="353" w:type="dxa"/>
            <w:gridSpan w:val="2"/>
            <w:vMerge/>
            <w:tcBorders>
              <w:left w:val="single" w:sz="18" w:space="0" w:color="auto"/>
              <w:bottom w:val="single" w:sz="4" w:space="0" w:color="auto"/>
            </w:tcBorders>
            <w:vAlign w:val="center"/>
          </w:tcPr>
          <w:p w14:paraId="48B812B3" w14:textId="77777777" w:rsidR="00D53652" w:rsidRPr="0058047D" w:rsidRDefault="00D53652">
            <w:pPr>
              <w:widowControl w:val="0"/>
              <w:jc w:val="center"/>
              <w:rPr>
                <w:rFonts w:cs="Tahoma"/>
              </w:rPr>
            </w:pPr>
          </w:p>
        </w:tc>
        <w:tc>
          <w:tcPr>
            <w:tcW w:w="360" w:type="dxa"/>
            <w:tcBorders>
              <w:bottom w:val="single" w:sz="4" w:space="0" w:color="auto"/>
            </w:tcBorders>
            <w:vAlign w:val="center"/>
          </w:tcPr>
          <w:p w14:paraId="58B23A50" w14:textId="77777777" w:rsidR="00D53652" w:rsidRPr="0058047D" w:rsidRDefault="00D53652">
            <w:pPr>
              <w:pStyle w:val="TableHeadingsGreen"/>
              <w:widowControl w:val="0"/>
              <w:rPr>
                <w:rFonts w:ascii="Tahoma" w:hAnsi="Tahoma" w:cs="Tahoma"/>
              </w:rPr>
            </w:pPr>
            <w:r w:rsidRPr="0058047D">
              <w:rPr>
                <w:rFonts w:ascii="Tahoma" w:hAnsi="Tahoma" w:cs="Tahoma"/>
              </w:rPr>
              <w:t>P</w:t>
            </w:r>
          </w:p>
        </w:tc>
        <w:tc>
          <w:tcPr>
            <w:tcW w:w="378" w:type="dxa"/>
            <w:vMerge/>
            <w:tcBorders>
              <w:bottom w:val="single" w:sz="4" w:space="0" w:color="auto"/>
              <w:right w:val="single" w:sz="18" w:space="0" w:color="auto"/>
            </w:tcBorders>
          </w:tcPr>
          <w:p w14:paraId="4873EE5F" w14:textId="77777777" w:rsidR="00D53652" w:rsidRPr="0058047D" w:rsidRDefault="00D53652">
            <w:pPr>
              <w:widowControl w:val="0"/>
              <w:rPr>
                <w:rFonts w:cs="Tahoma"/>
              </w:rPr>
            </w:pPr>
          </w:p>
        </w:tc>
        <w:tc>
          <w:tcPr>
            <w:tcW w:w="414" w:type="dxa"/>
            <w:vMerge/>
            <w:tcBorders>
              <w:left w:val="single" w:sz="18" w:space="0" w:color="auto"/>
              <w:bottom w:val="single" w:sz="4" w:space="0" w:color="auto"/>
            </w:tcBorders>
          </w:tcPr>
          <w:p w14:paraId="228C8E27" w14:textId="77777777" w:rsidR="00D53652" w:rsidRPr="0058047D" w:rsidRDefault="00D53652">
            <w:pPr>
              <w:widowControl w:val="0"/>
              <w:rPr>
                <w:rFonts w:cs="Tahoma"/>
              </w:rPr>
            </w:pPr>
          </w:p>
        </w:tc>
        <w:tc>
          <w:tcPr>
            <w:tcW w:w="405" w:type="dxa"/>
            <w:vMerge/>
            <w:tcBorders>
              <w:bottom w:val="single" w:sz="4" w:space="0" w:color="auto"/>
              <w:right w:val="single" w:sz="18" w:space="0" w:color="auto"/>
            </w:tcBorders>
          </w:tcPr>
          <w:p w14:paraId="05362744" w14:textId="77777777" w:rsidR="00D53652" w:rsidRPr="0058047D" w:rsidRDefault="00D53652">
            <w:pPr>
              <w:widowControl w:val="0"/>
              <w:rPr>
                <w:rFonts w:cs="Tahoma"/>
              </w:rPr>
            </w:pPr>
          </w:p>
        </w:tc>
        <w:tc>
          <w:tcPr>
            <w:tcW w:w="405" w:type="dxa"/>
            <w:vMerge/>
            <w:tcBorders>
              <w:left w:val="single" w:sz="18" w:space="0" w:color="auto"/>
              <w:bottom w:val="single" w:sz="4" w:space="0" w:color="auto"/>
              <w:right w:val="single" w:sz="18" w:space="0" w:color="auto"/>
            </w:tcBorders>
          </w:tcPr>
          <w:p w14:paraId="098D1EEB" w14:textId="77777777" w:rsidR="00D53652" w:rsidRPr="0058047D" w:rsidRDefault="00D53652">
            <w:pPr>
              <w:widowControl w:val="0"/>
              <w:rPr>
                <w:rFonts w:cs="Tahoma"/>
              </w:rPr>
            </w:pPr>
          </w:p>
        </w:tc>
        <w:tc>
          <w:tcPr>
            <w:tcW w:w="810" w:type="dxa"/>
            <w:vMerge/>
            <w:tcBorders>
              <w:bottom w:val="single" w:sz="4" w:space="0" w:color="auto"/>
            </w:tcBorders>
          </w:tcPr>
          <w:p w14:paraId="05E7CE3A" w14:textId="77777777" w:rsidR="00D53652" w:rsidRPr="0058047D" w:rsidRDefault="00D53652">
            <w:pPr>
              <w:widowControl w:val="0"/>
              <w:rPr>
                <w:rFonts w:cs="Tahoma"/>
              </w:rPr>
            </w:pPr>
          </w:p>
        </w:tc>
        <w:tc>
          <w:tcPr>
            <w:tcW w:w="495" w:type="dxa"/>
            <w:vMerge/>
            <w:tcBorders>
              <w:bottom w:val="single" w:sz="4" w:space="0" w:color="auto"/>
            </w:tcBorders>
          </w:tcPr>
          <w:p w14:paraId="28DF4B08" w14:textId="77777777" w:rsidR="00D53652" w:rsidRPr="0058047D" w:rsidRDefault="00D53652">
            <w:pPr>
              <w:widowControl w:val="0"/>
              <w:rPr>
                <w:rFonts w:cs="Tahoma"/>
              </w:rPr>
            </w:pPr>
          </w:p>
        </w:tc>
        <w:tc>
          <w:tcPr>
            <w:tcW w:w="370" w:type="dxa"/>
            <w:vMerge/>
            <w:tcBorders>
              <w:bottom w:val="single" w:sz="4" w:space="0" w:color="auto"/>
            </w:tcBorders>
          </w:tcPr>
          <w:p w14:paraId="194E4215" w14:textId="77777777" w:rsidR="00D53652" w:rsidRPr="0058047D" w:rsidRDefault="00D53652">
            <w:pPr>
              <w:widowControl w:val="0"/>
              <w:rPr>
                <w:rFonts w:cs="Tahoma"/>
              </w:rPr>
            </w:pPr>
          </w:p>
        </w:tc>
      </w:tr>
      <w:tr w:rsidR="00671EA9" w:rsidRPr="0058047D" w14:paraId="37B2BFFC" w14:textId="77777777" w:rsidTr="0058047D">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vAlign w:val="center"/>
          </w:tcPr>
          <w:p w14:paraId="2F3FACF2" w14:textId="77777777" w:rsidR="00913A0A" w:rsidRPr="0058047D" w:rsidRDefault="00913A0A" w:rsidP="00E077BC">
            <w:pPr>
              <w:pStyle w:val="ProductNames"/>
              <w:spacing w:beforeLines="20" w:before="48" w:afterLines="20" w:after="48"/>
              <w:rPr>
                <w:rFonts w:ascii="Tahoma" w:hAnsi="Tahoma" w:cs="Tahoma"/>
                <w:sz w:val="14"/>
              </w:rPr>
            </w:pPr>
            <w:bookmarkStart w:id="15" w:name="_Toc336337843"/>
            <w:bookmarkStart w:id="16" w:name="_Toc371663249"/>
            <w:r w:rsidRPr="0058047D">
              <w:rPr>
                <w:rFonts w:ascii="Tahoma" w:hAnsi="Tahoma" w:cs="Tahoma"/>
                <w:sz w:val="14"/>
              </w:rPr>
              <w:t xml:space="preserve">Access </w:t>
            </w:r>
            <w:bookmarkEnd w:id="15"/>
            <w:r w:rsidRPr="0058047D">
              <w:rPr>
                <w:rFonts w:ascii="Tahoma" w:hAnsi="Tahoma" w:cs="Tahoma"/>
                <w:sz w:val="14"/>
              </w:rPr>
              <w:t>2013</w:t>
            </w:r>
            <w:bookmarkEnd w:id="16"/>
          </w:p>
        </w:tc>
        <w:tc>
          <w:tcPr>
            <w:tcW w:w="429" w:type="dxa"/>
            <w:tcBorders>
              <w:bottom w:val="single" w:sz="3" w:space="0" w:color="auto"/>
            </w:tcBorders>
            <w:shd w:val="clear" w:color="auto" w:fill="FABF8F"/>
            <w:vAlign w:val="center"/>
          </w:tcPr>
          <w:p w14:paraId="38DA842D" w14:textId="77777777" w:rsidR="00913A0A" w:rsidRPr="0058047D" w:rsidRDefault="00913A0A">
            <w:pPr>
              <w:pStyle w:val="TableText"/>
              <w:widowControl w:val="0"/>
              <w:rPr>
                <w:rStyle w:val="EndnoteReference"/>
                <w:b w:val="0"/>
                <w:color w:val="0000FF"/>
                <w:sz w:val="13"/>
                <w:szCs w:val="13"/>
                <w:u w:val="single"/>
              </w:rPr>
            </w:pPr>
          </w:p>
        </w:tc>
        <w:tc>
          <w:tcPr>
            <w:tcW w:w="429" w:type="dxa"/>
            <w:tcBorders>
              <w:bottom w:val="single" w:sz="3" w:space="0" w:color="auto"/>
              <w:right w:val="single" w:sz="4" w:space="0" w:color="auto"/>
            </w:tcBorders>
            <w:shd w:val="clear" w:color="auto" w:fill="FABF8F"/>
            <w:vAlign w:val="center"/>
          </w:tcPr>
          <w:p w14:paraId="320D7808" w14:textId="77777777" w:rsidR="00913A0A" w:rsidRPr="0058047D" w:rsidRDefault="00913A0A" w:rsidP="004000C7">
            <w:pPr>
              <w:pStyle w:val="TableText"/>
              <w:widowControl w:val="0"/>
              <w:rPr>
                <w:rFonts w:ascii="Tahoma" w:hAnsi="Tahoma" w:cs="Tahoma"/>
                <w:color w:val="000000"/>
                <w:sz w:val="13"/>
              </w:rPr>
            </w:pPr>
            <w:r w:rsidRPr="0058047D">
              <w:rPr>
                <w:rFonts w:ascii="Tahoma" w:hAnsi="Tahoma" w:cs="Tahoma"/>
                <w:color w:val="000000"/>
                <w:sz w:val="13"/>
              </w:rPr>
              <w:t>10/12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49C2A1E6" w14:textId="77777777" w:rsidR="00913A0A" w:rsidRPr="0058047D" w:rsidRDefault="00913A0A" w:rsidP="004B3534">
            <w:pPr>
              <w:pStyle w:val="TableText"/>
              <w:widowControl w:val="0"/>
              <w:rPr>
                <w:rFonts w:ascii="Tahoma" w:hAnsi="Tahoma" w:cs="Tahoma"/>
                <w:color w:val="000000"/>
                <w:sz w:val="13"/>
              </w:rPr>
            </w:pPr>
            <w:r w:rsidRPr="0058047D">
              <w:rPr>
                <w:rFonts w:ascii="Tahoma" w:hAnsi="Tahoma" w:cs="Tahoma"/>
                <w:color w:val="000000"/>
                <w:sz w:val="13"/>
              </w:rPr>
              <w:t>DT</w:t>
            </w:r>
          </w:p>
        </w:tc>
        <w:tc>
          <w:tcPr>
            <w:tcW w:w="429" w:type="dxa"/>
            <w:tcBorders>
              <w:left w:val="single" w:sz="18" w:space="0" w:color="auto"/>
              <w:bottom w:val="single" w:sz="3" w:space="0" w:color="auto"/>
            </w:tcBorders>
            <w:shd w:val="clear" w:color="auto" w:fill="FABF8F"/>
            <w:vAlign w:val="center"/>
          </w:tcPr>
          <w:p w14:paraId="4AC9C9F9"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429" w:type="dxa"/>
            <w:tcBorders>
              <w:bottom w:val="single" w:sz="3" w:space="0" w:color="auto"/>
            </w:tcBorders>
            <w:shd w:val="clear" w:color="auto" w:fill="FABF8F"/>
            <w:vAlign w:val="center"/>
          </w:tcPr>
          <w:p w14:paraId="3A5631FF"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3</w:t>
            </w:r>
          </w:p>
        </w:tc>
        <w:tc>
          <w:tcPr>
            <w:tcW w:w="429" w:type="dxa"/>
            <w:tcBorders>
              <w:bottom w:val="single" w:sz="3" w:space="0" w:color="auto"/>
            </w:tcBorders>
            <w:shd w:val="clear" w:color="auto" w:fill="FABF8F"/>
            <w:vAlign w:val="center"/>
          </w:tcPr>
          <w:p w14:paraId="17C8C3A1"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3" w:space="0" w:color="auto"/>
            </w:tcBorders>
            <w:shd w:val="clear" w:color="auto" w:fill="FABF8F"/>
            <w:vAlign w:val="center"/>
          </w:tcPr>
          <w:p w14:paraId="0C05AF9D"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3" w:space="0" w:color="auto"/>
            </w:tcBorders>
            <w:shd w:val="clear" w:color="auto" w:fill="FABF8F"/>
            <w:vAlign w:val="center"/>
          </w:tcPr>
          <w:p w14:paraId="512ECF62"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3" w:space="0" w:color="auto"/>
              <w:right w:val="single" w:sz="4" w:space="0" w:color="auto"/>
            </w:tcBorders>
            <w:shd w:val="clear" w:color="auto" w:fill="FABF8F"/>
            <w:vAlign w:val="center"/>
          </w:tcPr>
          <w:p w14:paraId="0BD6C908"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49EAF6FF"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353" w:type="dxa"/>
            <w:gridSpan w:val="2"/>
            <w:tcBorders>
              <w:left w:val="single" w:sz="18" w:space="0" w:color="auto"/>
              <w:bottom w:val="single" w:sz="3" w:space="0" w:color="auto"/>
            </w:tcBorders>
            <w:shd w:val="clear" w:color="auto" w:fill="FABF8F"/>
            <w:vAlign w:val="center"/>
          </w:tcPr>
          <w:p w14:paraId="56126C3A"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360" w:type="dxa"/>
            <w:tcBorders>
              <w:bottom w:val="single" w:sz="3" w:space="0" w:color="auto"/>
              <w:right w:val="single" w:sz="4" w:space="0" w:color="auto"/>
            </w:tcBorders>
            <w:shd w:val="clear" w:color="auto" w:fill="FABF8F"/>
            <w:vAlign w:val="center"/>
          </w:tcPr>
          <w:p w14:paraId="1BCED3E0"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2</w:t>
            </w:r>
          </w:p>
        </w:tc>
        <w:tc>
          <w:tcPr>
            <w:tcW w:w="378" w:type="dxa"/>
            <w:tcBorders>
              <w:top w:val="single" w:sz="4" w:space="0" w:color="auto"/>
              <w:left w:val="single" w:sz="4" w:space="0" w:color="auto"/>
              <w:bottom w:val="single" w:sz="4" w:space="0" w:color="auto"/>
              <w:right w:val="single" w:sz="18" w:space="0" w:color="auto"/>
            </w:tcBorders>
            <w:shd w:val="clear" w:color="auto" w:fill="FABF8F"/>
            <w:vAlign w:val="center"/>
          </w:tcPr>
          <w:p w14:paraId="68A2F3F1"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414" w:type="dxa"/>
            <w:tcBorders>
              <w:left w:val="single" w:sz="18" w:space="0" w:color="auto"/>
              <w:bottom w:val="single" w:sz="3" w:space="0" w:color="auto"/>
            </w:tcBorders>
            <w:shd w:val="clear" w:color="auto" w:fill="FABF8F"/>
            <w:vAlign w:val="center"/>
          </w:tcPr>
          <w:p w14:paraId="4E754DE6" w14:textId="77777777" w:rsidR="00913A0A" w:rsidRPr="0058047D" w:rsidRDefault="00913A0A" w:rsidP="004B3534">
            <w:pPr>
              <w:pStyle w:val="TableText"/>
              <w:widowControl w:val="0"/>
              <w:rPr>
                <w:rFonts w:ascii="Tahoma" w:hAnsi="Tahoma" w:cs="Tahoma"/>
                <w:sz w:val="13"/>
              </w:rPr>
            </w:pPr>
          </w:p>
        </w:tc>
        <w:tc>
          <w:tcPr>
            <w:tcW w:w="405" w:type="dxa"/>
            <w:tcBorders>
              <w:bottom w:val="single" w:sz="3" w:space="0" w:color="auto"/>
              <w:right w:val="single" w:sz="18" w:space="0" w:color="auto"/>
            </w:tcBorders>
            <w:shd w:val="clear" w:color="auto" w:fill="FABF8F"/>
            <w:vAlign w:val="center"/>
          </w:tcPr>
          <w:p w14:paraId="053A593C" w14:textId="77777777" w:rsidR="00913A0A" w:rsidRPr="0058047D" w:rsidRDefault="00913A0A" w:rsidP="004B3534">
            <w:pPr>
              <w:pStyle w:val="TableText"/>
              <w:widowControl w:val="0"/>
              <w:rPr>
                <w:rFonts w:ascii="Tahoma" w:hAnsi="Tahoma" w:cs="Tahoma"/>
                <w:sz w:val="13"/>
              </w:rPr>
            </w:pPr>
          </w:p>
        </w:tc>
        <w:tc>
          <w:tcPr>
            <w:tcW w:w="405" w:type="dxa"/>
            <w:tcBorders>
              <w:top w:val="single" w:sz="4" w:space="0" w:color="auto"/>
              <w:left w:val="single" w:sz="18" w:space="0" w:color="auto"/>
              <w:bottom w:val="single" w:sz="4" w:space="0" w:color="auto"/>
              <w:right w:val="single" w:sz="18" w:space="0" w:color="auto"/>
            </w:tcBorders>
            <w:shd w:val="clear" w:color="auto" w:fill="FABF8F"/>
            <w:vAlign w:val="center"/>
          </w:tcPr>
          <w:p w14:paraId="2A7DFCC2"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P</w:t>
            </w:r>
          </w:p>
        </w:tc>
        <w:tc>
          <w:tcPr>
            <w:tcW w:w="810" w:type="dxa"/>
            <w:tcBorders>
              <w:left w:val="single" w:sz="18" w:space="0" w:color="auto"/>
              <w:bottom w:val="single" w:sz="3" w:space="0" w:color="auto"/>
            </w:tcBorders>
            <w:shd w:val="clear" w:color="auto" w:fill="FABF8F"/>
          </w:tcPr>
          <w:p w14:paraId="3E566D87" w14:textId="77777777" w:rsidR="00913A0A" w:rsidRPr="0058047D" w:rsidRDefault="00913A0A" w:rsidP="004B3534">
            <w:pPr>
              <w:pStyle w:val="TableText"/>
              <w:widowControl w:val="0"/>
              <w:rPr>
                <w:rFonts w:ascii="Tahoma" w:hAnsi="Tahoma" w:cs="Tahoma"/>
                <w:sz w:val="13"/>
              </w:rPr>
            </w:pPr>
          </w:p>
        </w:tc>
        <w:tc>
          <w:tcPr>
            <w:tcW w:w="495" w:type="dxa"/>
            <w:tcBorders>
              <w:bottom w:val="single" w:sz="3" w:space="0" w:color="auto"/>
            </w:tcBorders>
            <w:shd w:val="clear" w:color="auto" w:fill="FABF8F"/>
            <w:vAlign w:val="center"/>
          </w:tcPr>
          <w:p w14:paraId="14B49FB9" w14:textId="77777777" w:rsidR="00913A0A" w:rsidRPr="0058047D" w:rsidRDefault="00913A0A" w:rsidP="004B3534">
            <w:pPr>
              <w:pStyle w:val="TableText"/>
              <w:widowControl w:val="0"/>
              <w:rPr>
                <w:rFonts w:ascii="Tahoma" w:hAnsi="Tahoma" w:cs="Tahoma"/>
                <w:sz w:val="13"/>
              </w:rPr>
            </w:pPr>
          </w:p>
        </w:tc>
        <w:tc>
          <w:tcPr>
            <w:tcW w:w="370" w:type="dxa"/>
            <w:tcBorders>
              <w:bottom w:val="single" w:sz="3" w:space="0" w:color="auto"/>
            </w:tcBorders>
            <w:shd w:val="clear" w:color="auto" w:fill="FABF8F"/>
          </w:tcPr>
          <w:p w14:paraId="70604137" w14:textId="77777777" w:rsidR="00913A0A" w:rsidRPr="0058047D" w:rsidRDefault="00913A0A" w:rsidP="004B3534">
            <w:pPr>
              <w:pStyle w:val="TableText"/>
              <w:widowControl w:val="0"/>
              <w:rPr>
                <w:rFonts w:ascii="Tahoma" w:hAnsi="Tahoma" w:cs="Tahoma"/>
                <w:sz w:val="13"/>
              </w:rPr>
            </w:pPr>
          </w:p>
        </w:tc>
      </w:tr>
      <w:tr w:rsidR="008A0F85" w:rsidRPr="0058047D" w14:paraId="0054E138" w14:textId="77777777" w:rsidTr="0058047D">
        <w:trPr>
          <w:cantSplit/>
          <w:trHeight w:val="287"/>
        </w:trPr>
        <w:tc>
          <w:tcPr>
            <w:tcW w:w="2371" w:type="dxa"/>
            <w:tcBorders>
              <w:bottom w:val="single" w:sz="4" w:space="0" w:color="auto"/>
            </w:tcBorders>
            <w:shd w:val="clear" w:color="auto" w:fill="FFFFFF"/>
            <w:vAlign w:val="center"/>
          </w:tcPr>
          <w:p w14:paraId="5F7BFAB1" w14:textId="77777777" w:rsidR="00913A0A" w:rsidRPr="0058047D" w:rsidRDefault="00913A0A" w:rsidP="00E077BC">
            <w:pPr>
              <w:pStyle w:val="ProductNames"/>
              <w:spacing w:beforeLines="20" w:before="48" w:afterLines="20" w:after="48"/>
              <w:rPr>
                <w:rFonts w:ascii="Tahoma" w:hAnsi="Tahoma" w:cs="Tahoma"/>
                <w:sz w:val="14"/>
              </w:rPr>
            </w:pPr>
            <w:bookmarkStart w:id="17" w:name="_Toc336337844"/>
            <w:bookmarkStart w:id="18" w:name="_Toc371663250"/>
            <w:r w:rsidRPr="0058047D">
              <w:rPr>
                <w:rFonts w:ascii="Tahoma" w:hAnsi="Tahoma" w:cs="Tahoma"/>
                <w:sz w:val="14"/>
              </w:rPr>
              <w:t>AutoRoute 2013</w:t>
            </w:r>
            <w:bookmarkEnd w:id="17"/>
            <w:bookmarkEnd w:id="18"/>
          </w:p>
        </w:tc>
        <w:tc>
          <w:tcPr>
            <w:tcW w:w="429" w:type="dxa"/>
            <w:tcBorders>
              <w:bottom w:val="single" w:sz="4" w:space="0" w:color="auto"/>
            </w:tcBorders>
            <w:shd w:val="clear" w:color="auto" w:fill="FFFFFF"/>
            <w:vAlign w:val="center"/>
          </w:tcPr>
          <w:p w14:paraId="324D3177" w14:textId="77777777" w:rsidR="00913A0A" w:rsidRPr="0058047D" w:rsidRDefault="00913A0A">
            <w:pPr>
              <w:pStyle w:val="TableText"/>
              <w:widowControl w:val="0"/>
              <w:rPr>
                <w:rFonts w:cs="Tahoma"/>
                <w:color w:val="0000FF"/>
                <w:sz w:val="13"/>
                <w:szCs w:val="13"/>
                <w:u w:val="single"/>
              </w:rPr>
            </w:pPr>
          </w:p>
        </w:tc>
        <w:tc>
          <w:tcPr>
            <w:tcW w:w="429" w:type="dxa"/>
            <w:tcBorders>
              <w:bottom w:val="single" w:sz="4" w:space="0" w:color="auto"/>
            </w:tcBorders>
            <w:shd w:val="clear" w:color="auto" w:fill="FFFFFF"/>
            <w:vAlign w:val="center"/>
          </w:tcPr>
          <w:p w14:paraId="566F81EA" w14:textId="77777777" w:rsidR="00913A0A" w:rsidRPr="0058047D" w:rsidRDefault="00913A0A" w:rsidP="004000C7">
            <w:pPr>
              <w:pStyle w:val="TableText"/>
              <w:widowControl w:val="0"/>
              <w:rPr>
                <w:rFonts w:ascii="Tahoma" w:hAnsi="Tahoma" w:cs="Tahoma"/>
                <w:sz w:val="13"/>
              </w:rPr>
            </w:pPr>
            <w:r w:rsidRPr="0058047D">
              <w:rPr>
                <w:rFonts w:ascii="Tahoma" w:hAnsi="Tahoma" w:cs="Tahoma"/>
                <w:sz w:val="13"/>
              </w:rPr>
              <w:t>10/12</w:t>
            </w:r>
          </w:p>
        </w:tc>
        <w:tc>
          <w:tcPr>
            <w:tcW w:w="429" w:type="dxa"/>
            <w:tcBorders>
              <w:top w:val="single" w:sz="4" w:space="0" w:color="auto"/>
              <w:bottom w:val="single" w:sz="4" w:space="0" w:color="auto"/>
              <w:right w:val="single" w:sz="18" w:space="0" w:color="auto"/>
            </w:tcBorders>
            <w:shd w:val="clear" w:color="auto" w:fill="FFFFFF"/>
            <w:vAlign w:val="center"/>
          </w:tcPr>
          <w:p w14:paraId="0ED7C620" w14:textId="77777777" w:rsidR="00913A0A" w:rsidRPr="0058047D"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06D8847B"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429" w:type="dxa"/>
            <w:tcBorders>
              <w:bottom w:val="single" w:sz="4" w:space="0" w:color="auto"/>
            </w:tcBorders>
            <w:shd w:val="clear" w:color="auto" w:fill="FFFFFF"/>
            <w:vAlign w:val="center"/>
          </w:tcPr>
          <w:p w14:paraId="3B5F27C5"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3</w:t>
            </w:r>
          </w:p>
        </w:tc>
        <w:tc>
          <w:tcPr>
            <w:tcW w:w="429" w:type="dxa"/>
            <w:tcBorders>
              <w:bottom w:val="single" w:sz="4" w:space="0" w:color="auto"/>
            </w:tcBorders>
            <w:shd w:val="clear" w:color="auto" w:fill="FFFFFF"/>
            <w:vAlign w:val="center"/>
          </w:tcPr>
          <w:p w14:paraId="4C85762D"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FFFFF"/>
            <w:vAlign w:val="center"/>
          </w:tcPr>
          <w:p w14:paraId="37136C5F"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FFFFF"/>
            <w:vAlign w:val="center"/>
          </w:tcPr>
          <w:p w14:paraId="7F31520C"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FFFFF"/>
            <w:vAlign w:val="center"/>
          </w:tcPr>
          <w:p w14:paraId="222598E3"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429" w:type="dxa"/>
            <w:tcBorders>
              <w:top w:val="single" w:sz="4" w:space="0" w:color="auto"/>
              <w:bottom w:val="single" w:sz="4" w:space="0" w:color="auto"/>
              <w:right w:val="single" w:sz="18" w:space="0" w:color="auto"/>
            </w:tcBorders>
            <w:shd w:val="clear" w:color="auto" w:fill="FFFFFF"/>
            <w:vAlign w:val="center"/>
          </w:tcPr>
          <w:p w14:paraId="17670021"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353" w:type="dxa"/>
            <w:gridSpan w:val="2"/>
            <w:tcBorders>
              <w:left w:val="single" w:sz="18" w:space="0" w:color="auto"/>
              <w:bottom w:val="single" w:sz="4" w:space="0" w:color="auto"/>
            </w:tcBorders>
            <w:shd w:val="clear" w:color="auto" w:fill="FFFFFF"/>
            <w:vAlign w:val="center"/>
          </w:tcPr>
          <w:p w14:paraId="657CA649"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360" w:type="dxa"/>
            <w:tcBorders>
              <w:bottom w:val="single" w:sz="4" w:space="0" w:color="auto"/>
            </w:tcBorders>
            <w:shd w:val="clear" w:color="auto" w:fill="FFFFFF"/>
            <w:vAlign w:val="center"/>
          </w:tcPr>
          <w:p w14:paraId="7A04367A"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2</w:t>
            </w:r>
          </w:p>
        </w:tc>
        <w:tc>
          <w:tcPr>
            <w:tcW w:w="378" w:type="dxa"/>
            <w:tcBorders>
              <w:top w:val="single" w:sz="4" w:space="0" w:color="auto"/>
              <w:bottom w:val="single" w:sz="4" w:space="0" w:color="auto"/>
              <w:right w:val="single" w:sz="18" w:space="0" w:color="auto"/>
            </w:tcBorders>
            <w:shd w:val="clear" w:color="auto" w:fill="FFFFFF"/>
            <w:vAlign w:val="center"/>
          </w:tcPr>
          <w:p w14:paraId="0EAADF1C"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414" w:type="dxa"/>
            <w:tcBorders>
              <w:left w:val="single" w:sz="18" w:space="0" w:color="auto"/>
              <w:bottom w:val="single" w:sz="4" w:space="0" w:color="auto"/>
            </w:tcBorders>
            <w:shd w:val="clear" w:color="auto" w:fill="FFFFFF"/>
            <w:vAlign w:val="center"/>
          </w:tcPr>
          <w:p w14:paraId="4C3DE128"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405" w:type="dxa"/>
            <w:tcBorders>
              <w:bottom w:val="single" w:sz="4" w:space="0" w:color="auto"/>
              <w:right w:val="single" w:sz="18" w:space="0" w:color="auto"/>
            </w:tcBorders>
            <w:shd w:val="clear" w:color="auto" w:fill="FFFFFF"/>
            <w:vAlign w:val="center"/>
          </w:tcPr>
          <w:p w14:paraId="7CF386E8"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A</w:t>
            </w:r>
          </w:p>
        </w:tc>
        <w:tc>
          <w:tcPr>
            <w:tcW w:w="405" w:type="dxa"/>
            <w:tcBorders>
              <w:top w:val="single" w:sz="4" w:space="0" w:color="auto"/>
              <w:left w:val="single" w:sz="18" w:space="0" w:color="auto"/>
              <w:bottom w:val="single" w:sz="4" w:space="0" w:color="auto"/>
              <w:right w:val="single" w:sz="18" w:space="0" w:color="auto"/>
            </w:tcBorders>
            <w:shd w:val="clear" w:color="auto" w:fill="FFFFFF"/>
            <w:vAlign w:val="center"/>
          </w:tcPr>
          <w:p w14:paraId="258B6825"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FFFFFF"/>
            <w:vAlign w:val="center"/>
          </w:tcPr>
          <w:p w14:paraId="702722A3" w14:textId="77777777" w:rsidR="00913A0A" w:rsidRPr="0058047D" w:rsidRDefault="00913A0A" w:rsidP="00080B33">
            <w:pPr>
              <w:pStyle w:val="TableText"/>
              <w:widowControl w:val="0"/>
              <w:rPr>
                <w:rFonts w:ascii="Tahoma" w:hAnsi="Tahoma" w:cs="Tahoma"/>
                <w:sz w:val="13"/>
              </w:rPr>
            </w:pPr>
            <w:r w:rsidRPr="0058047D">
              <w:rPr>
                <w:rFonts w:ascii="Tahoma" w:hAnsi="Tahoma" w:cs="Tahoma"/>
                <w:sz w:val="13"/>
              </w:rPr>
              <w:t>A</w:t>
            </w:r>
          </w:p>
        </w:tc>
        <w:tc>
          <w:tcPr>
            <w:tcW w:w="495" w:type="dxa"/>
            <w:tcBorders>
              <w:bottom w:val="single" w:sz="4" w:space="0" w:color="auto"/>
            </w:tcBorders>
            <w:shd w:val="clear" w:color="auto" w:fill="FFFFFF"/>
            <w:vAlign w:val="center"/>
          </w:tcPr>
          <w:p w14:paraId="2868C732" w14:textId="77777777" w:rsidR="00913A0A" w:rsidRPr="0058047D" w:rsidRDefault="00913A0A" w:rsidP="004B3534">
            <w:pPr>
              <w:pStyle w:val="TableText"/>
              <w:widowControl w:val="0"/>
              <w:rPr>
                <w:rFonts w:ascii="Tahoma" w:hAnsi="Tahoma" w:cs="Tahoma"/>
                <w:sz w:val="13"/>
              </w:rPr>
            </w:pPr>
          </w:p>
        </w:tc>
        <w:tc>
          <w:tcPr>
            <w:tcW w:w="370" w:type="dxa"/>
            <w:tcBorders>
              <w:bottom w:val="single" w:sz="4" w:space="0" w:color="auto"/>
            </w:tcBorders>
            <w:shd w:val="clear" w:color="auto" w:fill="FFFFFF"/>
          </w:tcPr>
          <w:p w14:paraId="56AE85EE"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A</w:t>
            </w:r>
          </w:p>
        </w:tc>
      </w:tr>
      <w:tr w:rsidR="008A0F85" w:rsidRPr="0058047D" w14:paraId="579212F6" w14:textId="77777777" w:rsidTr="0058047D">
        <w:trPr>
          <w:cantSplit/>
          <w:trHeight w:val="287"/>
        </w:trPr>
        <w:tc>
          <w:tcPr>
            <w:tcW w:w="2371" w:type="dxa"/>
            <w:tcBorders>
              <w:bottom w:val="single" w:sz="4" w:space="0" w:color="auto"/>
            </w:tcBorders>
            <w:shd w:val="clear" w:color="auto" w:fill="FABF8F"/>
            <w:vAlign w:val="center"/>
          </w:tcPr>
          <w:p w14:paraId="5350C815" w14:textId="77777777" w:rsidR="00913A0A" w:rsidRPr="0058047D" w:rsidRDefault="00913A0A" w:rsidP="00E077BC">
            <w:pPr>
              <w:pStyle w:val="ProductNames"/>
              <w:spacing w:beforeLines="20" w:before="48" w:afterLines="20" w:after="48"/>
              <w:rPr>
                <w:rFonts w:ascii="Tahoma" w:hAnsi="Tahoma" w:cs="Tahoma"/>
                <w:sz w:val="14"/>
              </w:rPr>
            </w:pPr>
            <w:bookmarkStart w:id="19" w:name="_Toc336337846"/>
            <w:bookmarkStart w:id="20" w:name="_Toc371663251"/>
            <w:r w:rsidRPr="0058047D">
              <w:rPr>
                <w:rFonts w:ascii="Tahoma" w:hAnsi="Tahoma" w:cs="Tahoma"/>
                <w:sz w:val="14"/>
              </w:rPr>
              <w:t xml:space="preserve">Excel </w:t>
            </w:r>
            <w:bookmarkEnd w:id="19"/>
            <w:r w:rsidRPr="0058047D">
              <w:rPr>
                <w:rFonts w:ascii="Tahoma" w:hAnsi="Tahoma" w:cs="Tahoma"/>
                <w:sz w:val="14"/>
              </w:rPr>
              <w:t>2013</w:t>
            </w:r>
            <w:bookmarkEnd w:id="20"/>
          </w:p>
        </w:tc>
        <w:tc>
          <w:tcPr>
            <w:tcW w:w="429" w:type="dxa"/>
            <w:tcBorders>
              <w:bottom w:val="single" w:sz="4" w:space="0" w:color="auto"/>
            </w:tcBorders>
            <w:shd w:val="clear" w:color="auto" w:fill="FABF8F"/>
            <w:vAlign w:val="center"/>
          </w:tcPr>
          <w:p w14:paraId="5D18A3F2" w14:textId="77777777" w:rsidR="00913A0A" w:rsidRPr="0058047D"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14:paraId="15566CBC" w14:textId="77777777" w:rsidR="00913A0A" w:rsidRPr="0058047D" w:rsidRDefault="00913A0A" w:rsidP="004000C7">
            <w:pPr>
              <w:pStyle w:val="TableText"/>
              <w:widowControl w:val="0"/>
              <w:rPr>
                <w:rFonts w:ascii="Tahoma" w:hAnsi="Tahoma" w:cs="Tahoma"/>
                <w:color w:val="000000"/>
                <w:sz w:val="13"/>
              </w:rPr>
            </w:pPr>
            <w:r w:rsidRPr="0058047D">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2F961867" w14:textId="77777777" w:rsidR="00913A0A" w:rsidRPr="0058047D" w:rsidRDefault="00913A0A" w:rsidP="004B3534">
            <w:pPr>
              <w:pStyle w:val="TableText"/>
              <w:widowControl w:val="0"/>
              <w:rPr>
                <w:rFonts w:ascii="Tahoma" w:hAnsi="Tahoma" w:cs="Tahoma"/>
                <w:color w:val="000000"/>
                <w:sz w:val="13"/>
              </w:rPr>
            </w:pPr>
            <w:r w:rsidRPr="0058047D">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2C32F26C"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429" w:type="dxa"/>
            <w:tcBorders>
              <w:bottom w:val="single" w:sz="4" w:space="0" w:color="auto"/>
            </w:tcBorders>
            <w:shd w:val="clear" w:color="auto" w:fill="FABF8F"/>
            <w:vAlign w:val="center"/>
          </w:tcPr>
          <w:p w14:paraId="398AEC41"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3</w:t>
            </w:r>
          </w:p>
        </w:tc>
        <w:tc>
          <w:tcPr>
            <w:tcW w:w="429" w:type="dxa"/>
            <w:tcBorders>
              <w:bottom w:val="single" w:sz="4" w:space="0" w:color="auto"/>
            </w:tcBorders>
            <w:shd w:val="clear" w:color="auto" w:fill="FABF8F"/>
            <w:vAlign w:val="center"/>
          </w:tcPr>
          <w:p w14:paraId="21965D58"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2087C9BE"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14535086"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5B44D7A1"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B11291B"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353" w:type="dxa"/>
            <w:gridSpan w:val="2"/>
            <w:tcBorders>
              <w:left w:val="single" w:sz="18" w:space="0" w:color="auto"/>
              <w:bottom w:val="single" w:sz="4" w:space="0" w:color="auto"/>
            </w:tcBorders>
            <w:shd w:val="clear" w:color="auto" w:fill="FABF8F"/>
            <w:vAlign w:val="center"/>
          </w:tcPr>
          <w:p w14:paraId="5C62E70B"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360" w:type="dxa"/>
            <w:tcBorders>
              <w:bottom w:val="single" w:sz="4" w:space="0" w:color="auto"/>
            </w:tcBorders>
            <w:shd w:val="clear" w:color="auto" w:fill="FABF8F"/>
            <w:vAlign w:val="center"/>
          </w:tcPr>
          <w:p w14:paraId="5946831C"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14:paraId="0120BB84"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414" w:type="dxa"/>
            <w:tcBorders>
              <w:left w:val="single" w:sz="18" w:space="0" w:color="auto"/>
              <w:bottom w:val="single" w:sz="4" w:space="0" w:color="auto"/>
            </w:tcBorders>
            <w:shd w:val="clear" w:color="auto" w:fill="FABF8F"/>
            <w:vAlign w:val="center"/>
          </w:tcPr>
          <w:p w14:paraId="5FC67178" w14:textId="77777777" w:rsidR="00913A0A" w:rsidRPr="0058047D" w:rsidRDefault="00913A0A" w:rsidP="004B3534">
            <w:pPr>
              <w:pStyle w:val="TableText"/>
              <w:widowControl w:val="0"/>
              <w:rPr>
                <w:rFonts w:ascii="Tahoma" w:hAnsi="Tahoma" w:cs="Tahoma"/>
                <w:sz w:val="13"/>
              </w:rPr>
            </w:pPr>
          </w:p>
        </w:tc>
        <w:tc>
          <w:tcPr>
            <w:tcW w:w="405" w:type="dxa"/>
            <w:tcBorders>
              <w:bottom w:val="single" w:sz="4" w:space="0" w:color="auto"/>
              <w:right w:val="single" w:sz="18" w:space="0" w:color="auto"/>
            </w:tcBorders>
            <w:shd w:val="clear" w:color="auto" w:fill="FABF8F"/>
            <w:vAlign w:val="center"/>
          </w:tcPr>
          <w:p w14:paraId="5AFC037A" w14:textId="77777777" w:rsidR="00913A0A" w:rsidRPr="0058047D" w:rsidRDefault="00913A0A" w:rsidP="004B3534">
            <w:pPr>
              <w:pStyle w:val="TableText"/>
              <w:widowControl w:val="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111E406E"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FABF8F"/>
            <w:vAlign w:val="center"/>
          </w:tcPr>
          <w:p w14:paraId="509A7F05" w14:textId="77777777" w:rsidR="00913A0A" w:rsidRPr="0058047D" w:rsidRDefault="00913A0A" w:rsidP="00080B33">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5207D275" w14:textId="77777777" w:rsidR="00913A0A" w:rsidRPr="0058047D" w:rsidRDefault="00913A0A" w:rsidP="004B3534">
            <w:pPr>
              <w:pStyle w:val="TableText"/>
              <w:widowControl w:val="0"/>
              <w:rPr>
                <w:rFonts w:ascii="Tahoma" w:hAnsi="Tahoma" w:cs="Tahoma"/>
                <w:sz w:val="13"/>
              </w:rPr>
            </w:pPr>
          </w:p>
        </w:tc>
        <w:tc>
          <w:tcPr>
            <w:tcW w:w="370" w:type="dxa"/>
            <w:tcBorders>
              <w:bottom w:val="single" w:sz="4" w:space="0" w:color="auto"/>
            </w:tcBorders>
            <w:shd w:val="clear" w:color="auto" w:fill="FABF8F"/>
          </w:tcPr>
          <w:p w14:paraId="1121C513" w14:textId="77777777" w:rsidR="00913A0A" w:rsidRPr="0058047D" w:rsidRDefault="00913A0A" w:rsidP="004B3534">
            <w:pPr>
              <w:pStyle w:val="TableText"/>
              <w:widowControl w:val="0"/>
              <w:rPr>
                <w:rFonts w:ascii="Tahoma" w:hAnsi="Tahoma" w:cs="Tahoma"/>
                <w:sz w:val="13"/>
              </w:rPr>
            </w:pPr>
          </w:p>
        </w:tc>
      </w:tr>
      <w:tr w:rsidR="00913A0A" w:rsidRPr="0058047D" w14:paraId="3D2DA378" w14:textId="77777777" w:rsidTr="0058047D">
        <w:trPr>
          <w:cantSplit/>
          <w:trHeight w:val="278"/>
        </w:trPr>
        <w:tc>
          <w:tcPr>
            <w:tcW w:w="2371" w:type="dxa"/>
            <w:tcBorders>
              <w:bottom w:val="single" w:sz="4" w:space="0" w:color="auto"/>
            </w:tcBorders>
            <w:shd w:val="clear" w:color="auto" w:fill="auto"/>
            <w:vAlign w:val="center"/>
          </w:tcPr>
          <w:p w14:paraId="19EE55E4" w14:textId="77777777" w:rsidR="00913A0A" w:rsidRPr="0058047D" w:rsidRDefault="00913A0A" w:rsidP="00E077BC">
            <w:pPr>
              <w:pStyle w:val="ProductNames"/>
              <w:spacing w:beforeLines="20" w:before="48" w:afterLines="20" w:after="48"/>
              <w:rPr>
                <w:rFonts w:ascii="Tahoma" w:hAnsi="Tahoma" w:cs="Tahoma"/>
                <w:sz w:val="14"/>
              </w:rPr>
            </w:pPr>
            <w:bookmarkStart w:id="21" w:name="_Toc336337847"/>
            <w:bookmarkStart w:id="22" w:name="_Toc371663252"/>
            <w:r w:rsidRPr="0058047D">
              <w:rPr>
                <w:rFonts w:ascii="Tahoma" w:hAnsi="Tahoma" w:cs="Tahoma"/>
                <w:sz w:val="14"/>
              </w:rPr>
              <w:t>Excel per Mac 2011</w:t>
            </w:r>
            <w:bookmarkEnd w:id="21"/>
            <w:bookmarkEnd w:id="22"/>
          </w:p>
        </w:tc>
        <w:tc>
          <w:tcPr>
            <w:tcW w:w="429" w:type="dxa"/>
            <w:tcBorders>
              <w:bottom w:val="single" w:sz="4" w:space="0" w:color="auto"/>
            </w:tcBorders>
            <w:shd w:val="clear" w:color="auto" w:fill="auto"/>
            <w:vAlign w:val="center"/>
          </w:tcPr>
          <w:p w14:paraId="6761BC3B" w14:textId="77777777" w:rsidR="00913A0A" w:rsidRPr="0058047D"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2B7F0A50" w14:textId="77777777" w:rsidR="00913A0A" w:rsidRPr="0058047D" w:rsidRDefault="00913A0A" w:rsidP="004000C7">
            <w:pPr>
              <w:pStyle w:val="TableText"/>
              <w:widowControl w:val="0"/>
              <w:rPr>
                <w:rFonts w:ascii="Tahoma" w:hAnsi="Tahoma" w:cs="Tahoma"/>
                <w:color w:val="000000"/>
                <w:sz w:val="13"/>
              </w:rPr>
            </w:pPr>
            <w:r w:rsidRPr="0058047D">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43BB6199" w14:textId="77777777" w:rsidR="00913A0A" w:rsidRPr="0058047D" w:rsidRDefault="00913A0A" w:rsidP="004B3534">
            <w:pPr>
              <w:pStyle w:val="TableText"/>
              <w:widowControl w:val="0"/>
              <w:rPr>
                <w:rFonts w:ascii="Tahoma" w:hAnsi="Tahoma" w:cs="Tahoma"/>
                <w:color w:val="000000"/>
                <w:sz w:val="13"/>
              </w:rPr>
            </w:pPr>
            <w:r w:rsidRPr="0058047D">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069C0FD0"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429" w:type="dxa"/>
            <w:tcBorders>
              <w:bottom w:val="single" w:sz="4" w:space="0" w:color="auto"/>
            </w:tcBorders>
            <w:shd w:val="clear" w:color="auto" w:fill="auto"/>
            <w:vAlign w:val="center"/>
          </w:tcPr>
          <w:p w14:paraId="2C176140"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3</w:t>
            </w:r>
          </w:p>
        </w:tc>
        <w:tc>
          <w:tcPr>
            <w:tcW w:w="429" w:type="dxa"/>
            <w:tcBorders>
              <w:bottom w:val="single" w:sz="4" w:space="0" w:color="auto"/>
            </w:tcBorders>
            <w:shd w:val="clear" w:color="auto" w:fill="auto"/>
            <w:vAlign w:val="center"/>
          </w:tcPr>
          <w:p w14:paraId="17FAA10E"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auto"/>
            <w:vAlign w:val="center"/>
          </w:tcPr>
          <w:p w14:paraId="05015089"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auto"/>
            <w:vAlign w:val="center"/>
          </w:tcPr>
          <w:p w14:paraId="1E7B3EF6"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auto"/>
            <w:vAlign w:val="center"/>
          </w:tcPr>
          <w:p w14:paraId="792B16C4"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5154E46"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353" w:type="dxa"/>
            <w:gridSpan w:val="2"/>
            <w:tcBorders>
              <w:left w:val="single" w:sz="18" w:space="0" w:color="auto"/>
              <w:bottom w:val="single" w:sz="4" w:space="0" w:color="auto"/>
            </w:tcBorders>
            <w:shd w:val="clear" w:color="auto" w:fill="auto"/>
            <w:vAlign w:val="center"/>
          </w:tcPr>
          <w:p w14:paraId="1D688AA7"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360" w:type="dxa"/>
            <w:tcBorders>
              <w:bottom w:val="single" w:sz="4" w:space="0" w:color="auto"/>
            </w:tcBorders>
            <w:shd w:val="clear" w:color="auto" w:fill="auto"/>
            <w:vAlign w:val="center"/>
          </w:tcPr>
          <w:p w14:paraId="4E9BFD7C"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2</w:t>
            </w:r>
          </w:p>
        </w:tc>
        <w:tc>
          <w:tcPr>
            <w:tcW w:w="378" w:type="dxa"/>
            <w:tcBorders>
              <w:bottom w:val="single" w:sz="4" w:space="0" w:color="auto"/>
              <w:right w:val="single" w:sz="18" w:space="0" w:color="auto"/>
            </w:tcBorders>
            <w:shd w:val="clear" w:color="auto" w:fill="auto"/>
            <w:vAlign w:val="center"/>
          </w:tcPr>
          <w:p w14:paraId="51586F90"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414" w:type="dxa"/>
            <w:tcBorders>
              <w:left w:val="single" w:sz="18" w:space="0" w:color="auto"/>
              <w:bottom w:val="single" w:sz="4" w:space="0" w:color="auto"/>
            </w:tcBorders>
            <w:shd w:val="clear" w:color="auto" w:fill="auto"/>
            <w:vAlign w:val="center"/>
          </w:tcPr>
          <w:p w14:paraId="48BCC845" w14:textId="77777777" w:rsidR="00913A0A" w:rsidRPr="0058047D" w:rsidRDefault="00913A0A" w:rsidP="004B3534">
            <w:pPr>
              <w:pStyle w:val="TableText"/>
              <w:widowControl w:val="0"/>
              <w:rPr>
                <w:rFonts w:ascii="Tahoma" w:hAnsi="Tahoma" w:cs="Tahoma"/>
                <w:sz w:val="13"/>
              </w:rPr>
            </w:pPr>
          </w:p>
        </w:tc>
        <w:tc>
          <w:tcPr>
            <w:tcW w:w="405" w:type="dxa"/>
            <w:tcBorders>
              <w:bottom w:val="single" w:sz="4" w:space="0" w:color="auto"/>
              <w:right w:val="single" w:sz="18" w:space="0" w:color="auto"/>
            </w:tcBorders>
            <w:shd w:val="clear" w:color="auto" w:fill="auto"/>
            <w:vAlign w:val="center"/>
          </w:tcPr>
          <w:p w14:paraId="0D5BDA8F" w14:textId="77777777" w:rsidR="00913A0A" w:rsidRPr="0058047D" w:rsidRDefault="00913A0A" w:rsidP="004B3534">
            <w:pPr>
              <w:pStyle w:val="TableText"/>
              <w:widowControl w:val="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17DC4B1C"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auto"/>
            <w:vAlign w:val="center"/>
          </w:tcPr>
          <w:p w14:paraId="793A3C9F" w14:textId="77777777" w:rsidR="00913A0A" w:rsidRPr="0058047D" w:rsidRDefault="00913A0A" w:rsidP="00080B33">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4A349C98" w14:textId="77777777" w:rsidR="00913A0A" w:rsidRPr="0058047D" w:rsidRDefault="00913A0A" w:rsidP="004B3534">
            <w:pPr>
              <w:pStyle w:val="TableText"/>
              <w:widowControl w:val="0"/>
              <w:rPr>
                <w:rFonts w:ascii="Tahoma" w:hAnsi="Tahoma" w:cs="Tahoma"/>
                <w:sz w:val="13"/>
              </w:rPr>
            </w:pPr>
          </w:p>
        </w:tc>
        <w:tc>
          <w:tcPr>
            <w:tcW w:w="370" w:type="dxa"/>
            <w:tcBorders>
              <w:bottom w:val="single" w:sz="4" w:space="0" w:color="auto"/>
            </w:tcBorders>
          </w:tcPr>
          <w:p w14:paraId="5F683E5F" w14:textId="77777777" w:rsidR="00913A0A" w:rsidRPr="0058047D" w:rsidRDefault="00913A0A" w:rsidP="004B3534">
            <w:pPr>
              <w:pStyle w:val="TableText"/>
              <w:widowControl w:val="0"/>
              <w:rPr>
                <w:rFonts w:ascii="Tahoma" w:hAnsi="Tahoma" w:cs="Tahoma"/>
                <w:sz w:val="13"/>
              </w:rPr>
            </w:pPr>
          </w:p>
        </w:tc>
      </w:tr>
      <w:tr w:rsidR="008A0F85" w:rsidRPr="0058047D" w14:paraId="0C2CC059" w14:textId="77777777" w:rsidTr="0058047D">
        <w:trPr>
          <w:cantSplit/>
          <w:trHeight w:val="287"/>
        </w:trPr>
        <w:tc>
          <w:tcPr>
            <w:tcW w:w="2371" w:type="dxa"/>
            <w:tcBorders>
              <w:bottom w:val="single" w:sz="4" w:space="0" w:color="auto"/>
            </w:tcBorders>
            <w:shd w:val="clear" w:color="auto" w:fill="FABF8F"/>
            <w:vAlign w:val="center"/>
          </w:tcPr>
          <w:p w14:paraId="1AE50E15" w14:textId="77777777" w:rsidR="00913A0A" w:rsidRPr="0058047D" w:rsidRDefault="00913A0A" w:rsidP="00E077BC">
            <w:pPr>
              <w:pStyle w:val="Heading2"/>
              <w:spacing w:beforeLines="20" w:before="48" w:afterLines="20" w:after="48"/>
              <w:ind w:left="0"/>
              <w:rPr>
                <w:rFonts w:ascii="Tahoma" w:hAnsi="Tahoma" w:cs="Tahoma"/>
                <w:b w:val="0"/>
                <w:sz w:val="14"/>
              </w:rPr>
            </w:pPr>
            <w:bookmarkStart w:id="23" w:name="_Toc336337850"/>
            <w:bookmarkStart w:id="24" w:name="_Toc371663253"/>
            <w:r w:rsidRPr="0058047D">
              <w:rPr>
                <w:rFonts w:ascii="Tahoma" w:hAnsi="Tahoma" w:cs="Tahoma"/>
                <w:b w:val="0"/>
                <w:sz w:val="14"/>
              </w:rPr>
              <w:t>Expression Encoder Pro 4</w:t>
            </w:r>
            <w:bookmarkEnd w:id="23"/>
            <w:bookmarkEnd w:id="24"/>
          </w:p>
        </w:tc>
        <w:tc>
          <w:tcPr>
            <w:tcW w:w="429" w:type="dxa"/>
            <w:tcBorders>
              <w:bottom w:val="single" w:sz="4" w:space="0" w:color="auto"/>
            </w:tcBorders>
            <w:shd w:val="clear" w:color="auto" w:fill="FABF8F"/>
            <w:vAlign w:val="center"/>
          </w:tcPr>
          <w:p w14:paraId="605A0D26" w14:textId="77777777" w:rsidR="00913A0A" w:rsidRPr="0058047D" w:rsidRDefault="00C86F50" w:rsidP="00F9515B">
            <w:pPr>
              <w:pStyle w:val="TableText"/>
              <w:widowControl w:val="0"/>
              <w:rPr>
                <w:rStyle w:val="EndnoteReference"/>
                <w:rFonts w:cs="Tahoma"/>
                <w:b w:val="0"/>
                <w:color w:val="0000FF"/>
                <w:sz w:val="13"/>
                <w:szCs w:val="13"/>
                <w:u w:val="single"/>
              </w:rPr>
            </w:pPr>
            <w:hyperlink w:anchor="_1_Expression_Encoder" w:history="1">
              <w:r w:rsidR="00BF5FC6" w:rsidRPr="0058047D">
                <w:rPr>
                  <w:rStyle w:val="Hyperlink"/>
                  <w:b/>
                  <w:sz w:val="13"/>
                  <w:szCs w:val="13"/>
                </w:rPr>
                <w:t>1</w:t>
              </w:r>
            </w:hyperlink>
          </w:p>
        </w:tc>
        <w:tc>
          <w:tcPr>
            <w:tcW w:w="429" w:type="dxa"/>
            <w:tcBorders>
              <w:bottom w:val="single" w:sz="4" w:space="0" w:color="auto"/>
            </w:tcBorders>
            <w:shd w:val="clear" w:color="auto" w:fill="FABF8F"/>
            <w:vAlign w:val="center"/>
          </w:tcPr>
          <w:p w14:paraId="79B75C9E" w14:textId="77777777" w:rsidR="00913A0A" w:rsidRPr="0058047D" w:rsidRDefault="00913A0A" w:rsidP="004000C7">
            <w:pPr>
              <w:pStyle w:val="TableText"/>
              <w:widowControl w:val="0"/>
              <w:rPr>
                <w:rFonts w:ascii="Tahoma" w:hAnsi="Tahoma" w:cs="Tahoma"/>
                <w:sz w:val="13"/>
              </w:rPr>
            </w:pPr>
            <w:r w:rsidRPr="0058047D">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14:paraId="0A69163C" w14:textId="77777777" w:rsidR="00913A0A" w:rsidRPr="0058047D" w:rsidRDefault="00913A0A" w:rsidP="00F9515B">
            <w:pPr>
              <w:pStyle w:val="TableText"/>
              <w:widowControl w:val="0"/>
              <w:rPr>
                <w:rFonts w:ascii="Tahoma" w:hAnsi="Tahoma" w:cs="Tahoma"/>
                <w:sz w:val="13"/>
              </w:rPr>
            </w:pPr>
            <w:r w:rsidRPr="0058047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C86A095" w14:textId="77777777" w:rsidR="00913A0A" w:rsidRPr="0058047D" w:rsidRDefault="00913A0A" w:rsidP="00F9515B">
            <w:pPr>
              <w:pStyle w:val="TableText"/>
              <w:widowControl w:val="0"/>
              <w:rPr>
                <w:rFonts w:ascii="Tahoma" w:hAnsi="Tahoma" w:cs="Tahoma"/>
                <w:sz w:val="13"/>
              </w:rPr>
            </w:pPr>
            <w:r w:rsidRPr="0058047D">
              <w:rPr>
                <w:rFonts w:ascii="Tahoma" w:hAnsi="Tahoma" w:cs="Tahoma"/>
                <w:sz w:val="13"/>
              </w:rPr>
              <w:t>1</w:t>
            </w:r>
          </w:p>
        </w:tc>
        <w:tc>
          <w:tcPr>
            <w:tcW w:w="429" w:type="dxa"/>
            <w:tcBorders>
              <w:bottom w:val="single" w:sz="4" w:space="0" w:color="auto"/>
            </w:tcBorders>
            <w:shd w:val="clear" w:color="auto" w:fill="FABF8F"/>
            <w:vAlign w:val="center"/>
          </w:tcPr>
          <w:p w14:paraId="53CB7B73" w14:textId="77777777" w:rsidR="00913A0A" w:rsidRPr="0058047D" w:rsidRDefault="00913A0A" w:rsidP="00F9515B">
            <w:pPr>
              <w:pStyle w:val="TableText"/>
              <w:widowControl w:val="0"/>
              <w:rPr>
                <w:rFonts w:ascii="Tahoma" w:hAnsi="Tahoma" w:cs="Tahoma"/>
                <w:sz w:val="13"/>
              </w:rPr>
            </w:pPr>
            <w:r w:rsidRPr="0058047D">
              <w:rPr>
                <w:rFonts w:ascii="Tahoma" w:hAnsi="Tahoma" w:cs="Tahoma"/>
                <w:sz w:val="13"/>
              </w:rPr>
              <w:t>3</w:t>
            </w:r>
          </w:p>
        </w:tc>
        <w:tc>
          <w:tcPr>
            <w:tcW w:w="429" w:type="dxa"/>
            <w:tcBorders>
              <w:bottom w:val="single" w:sz="4" w:space="0" w:color="auto"/>
            </w:tcBorders>
            <w:shd w:val="clear" w:color="auto" w:fill="FABF8F"/>
            <w:vAlign w:val="center"/>
          </w:tcPr>
          <w:p w14:paraId="404BC66A" w14:textId="77777777" w:rsidR="00913A0A" w:rsidRPr="0058047D" w:rsidRDefault="00913A0A" w:rsidP="00F9515B">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3607AFF8" w14:textId="77777777" w:rsidR="00913A0A" w:rsidRPr="0058047D" w:rsidRDefault="00913A0A" w:rsidP="00F9515B">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5FF6804E" w14:textId="77777777" w:rsidR="00913A0A" w:rsidRPr="0058047D" w:rsidRDefault="00913A0A" w:rsidP="00F9515B">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0EA5078E" w14:textId="77777777" w:rsidR="00913A0A" w:rsidRPr="0058047D" w:rsidRDefault="00913A0A" w:rsidP="00F9515B">
            <w:pPr>
              <w:pStyle w:val="TableText"/>
              <w:widowControl w:val="0"/>
              <w:rPr>
                <w:rFonts w:ascii="Tahoma" w:hAnsi="Tahoma" w:cs="Tahoma"/>
                <w:sz w:val="13"/>
              </w:rPr>
            </w:pPr>
            <w:r w:rsidRPr="0058047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C1F968B" w14:textId="77777777" w:rsidR="00913A0A" w:rsidRPr="0058047D" w:rsidRDefault="00913A0A" w:rsidP="00F9515B">
            <w:pPr>
              <w:pStyle w:val="TableText"/>
              <w:widowControl w:val="0"/>
              <w:rPr>
                <w:rFonts w:ascii="Tahoma" w:hAnsi="Tahoma" w:cs="Tahoma"/>
                <w:sz w:val="13"/>
              </w:rPr>
            </w:pPr>
            <w:r w:rsidRPr="0058047D">
              <w:rPr>
                <w:rFonts w:ascii="Tahoma" w:hAnsi="Tahoma" w:cs="Tahoma"/>
                <w:sz w:val="13"/>
              </w:rPr>
              <w:t>1</w:t>
            </w:r>
          </w:p>
        </w:tc>
        <w:tc>
          <w:tcPr>
            <w:tcW w:w="353" w:type="dxa"/>
            <w:gridSpan w:val="2"/>
            <w:tcBorders>
              <w:left w:val="single" w:sz="18" w:space="0" w:color="auto"/>
              <w:bottom w:val="single" w:sz="4" w:space="0" w:color="auto"/>
            </w:tcBorders>
            <w:shd w:val="clear" w:color="auto" w:fill="FABF8F"/>
            <w:vAlign w:val="center"/>
          </w:tcPr>
          <w:p w14:paraId="12DF4909" w14:textId="77777777" w:rsidR="00913A0A" w:rsidRPr="0058047D" w:rsidRDefault="00913A0A" w:rsidP="00F9515B">
            <w:pPr>
              <w:pStyle w:val="TableText"/>
              <w:widowControl w:val="0"/>
              <w:rPr>
                <w:rFonts w:ascii="Tahoma" w:hAnsi="Tahoma" w:cs="Tahoma"/>
                <w:sz w:val="13"/>
              </w:rPr>
            </w:pPr>
            <w:r w:rsidRPr="0058047D">
              <w:rPr>
                <w:rFonts w:ascii="Tahoma" w:hAnsi="Tahoma" w:cs="Tahoma"/>
                <w:sz w:val="13"/>
              </w:rPr>
              <w:t>1</w:t>
            </w:r>
          </w:p>
        </w:tc>
        <w:tc>
          <w:tcPr>
            <w:tcW w:w="360" w:type="dxa"/>
            <w:tcBorders>
              <w:bottom w:val="single" w:sz="4" w:space="0" w:color="auto"/>
            </w:tcBorders>
            <w:shd w:val="clear" w:color="auto" w:fill="FABF8F"/>
            <w:vAlign w:val="center"/>
          </w:tcPr>
          <w:p w14:paraId="1B019F89" w14:textId="77777777" w:rsidR="00913A0A" w:rsidRPr="0058047D" w:rsidRDefault="00913A0A" w:rsidP="00F9515B">
            <w:pPr>
              <w:pStyle w:val="TableText"/>
              <w:widowControl w:val="0"/>
              <w:rPr>
                <w:rFonts w:ascii="Tahoma" w:hAnsi="Tahoma" w:cs="Tahoma"/>
                <w:sz w:val="13"/>
              </w:rPr>
            </w:pPr>
            <w:r w:rsidRPr="0058047D">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14:paraId="28520644" w14:textId="77777777" w:rsidR="00913A0A" w:rsidRPr="0058047D" w:rsidRDefault="00913A0A" w:rsidP="00F9515B">
            <w:pPr>
              <w:pStyle w:val="TableText"/>
              <w:widowControl w:val="0"/>
              <w:rPr>
                <w:rFonts w:ascii="Tahoma" w:hAnsi="Tahoma" w:cs="Tahoma"/>
                <w:sz w:val="13"/>
              </w:rPr>
            </w:pPr>
            <w:r w:rsidRPr="0058047D">
              <w:rPr>
                <w:rFonts w:ascii="Tahoma" w:hAnsi="Tahoma" w:cs="Tahoma"/>
                <w:sz w:val="13"/>
              </w:rPr>
              <w:t>1</w:t>
            </w:r>
          </w:p>
        </w:tc>
        <w:tc>
          <w:tcPr>
            <w:tcW w:w="414" w:type="dxa"/>
            <w:tcBorders>
              <w:left w:val="single" w:sz="18" w:space="0" w:color="auto"/>
              <w:bottom w:val="single" w:sz="4" w:space="0" w:color="auto"/>
            </w:tcBorders>
            <w:shd w:val="clear" w:color="auto" w:fill="FABF8F"/>
            <w:vAlign w:val="center"/>
          </w:tcPr>
          <w:p w14:paraId="6DC71AB8" w14:textId="77777777" w:rsidR="00913A0A" w:rsidRPr="0058047D" w:rsidRDefault="00913A0A" w:rsidP="00F9515B">
            <w:pPr>
              <w:pStyle w:val="TableText"/>
              <w:widowControl w:val="0"/>
              <w:rPr>
                <w:rFonts w:ascii="Tahoma" w:hAnsi="Tahoma" w:cs="Tahoma"/>
                <w:sz w:val="13"/>
              </w:rPr>
            </w:pPr>
          </w:p>
        </w:tc>
        <w:tc>
          <w:tcPr>
            <w:tcW w:w="405" w:type="dxa"/>
            <w:tcBorders>
              <w:bottom w:val="single" w:sz="4" w:space="0" w:color="auto"/>
              <w:right w:val="single" w:sz="18" w:space="0" w:color="auto"/>
            </w:tcBorders>
            <w:shd w:val="clear" w:color="auto" w:fill="FABF8F"/>
            <w:vAlign w:val="center"/>
          </w:tcPr>
          <w:p w14:paraId="0A58F1A5" w14:textId="77777777" w:rsidR="00913A0A" w:rsidRPr="0058047D" w:rsidRDefault="00913A0A" w:rsidP="00F9515B">
            <w:pPr>
              <w:pStyle w:val="TableText"/>
              <w:widowControl w:val="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113AF088" w14:textId="77777777" w:rsidR="00913A0A" w:rsidRPr="0058047D" w:rsidRDefault="00913A0A" w:rsidP="00F9515B">
            <w:pPr>
              <w:pStyle w:val="TableText"/>
              <w:widowControl w:val="0"/>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FABF8F"/>
            <w:vAlign w:val="center"/>
          </w:tcPr>
          <w:p w14:paraId="1D2A3D9E" w14:textId="77777777" w:rsidR="00913A0A" w:rsidRPr="0058047D" w:rsidRDefault="00913A0A" w:rsidP="00080B33">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788A9051" w14:textId="77777777" w:rsidR="00913A0A" w:rsidRPr="0058047D" w:rsidRDefault="00913A0A" w:rsidP="00F9515B">
            <w:pPr>
              <w:pStyle w:val="TableText"/>
              <w:widowControl w:val="0"/>
              <w:rPr>
                <w:rFonts w:ascii="Tahoma" w:hAnsi="Tahoma" w:cs="Tahoma"/>
                <w:sz w:val="13"/>
              </w:rPr>
            </w:pPr>
          </w:p>
        </w:tc>
        <w:tc>
          <w:tcPr>
            <w:tcW w:w="370" w:type="dxa"/>
            <w:tcBorders>
              <w:bottom w:val="single" w:sz="4" w:space="0" w:color="auto"/>
            </w:tcBorders>
            <w:shd w:val="clear" w:color="auto" w:fill="FABF8F"/>
          </w:tcPr>
          <w:p w14:paraId="76CF5CEC" w14:textId="77777777" w:rsidR="00913A0A" w:rsidRPr="0058047D" w:rsidRDefault="00913A0A" w:rsidP="00F9515B">
            <w:pPr>
              <w:pStyle w:val="TableText"/>
              <w:widowControl w:val="0"/>
              <w:rPr>
                <w:rFonts w:ascii="Tahoma" w:hAnsi="Tahoma" w:cs="Tahoma"/>
                <w:sz w:val="13"/>
              </w:rPr>
            </w:pPr>
          </w:p>
        </w:tc>
      </w:tr>
      <w:tr w:rsidR="00913A0A" w:rsidRPr="0058047D" w14:paraId="1B1D08C5" w14:textId="77777777" w:rsidTr="0058047D">
        <w:trPr>
          <w:cantSplit/>
          <w:trHeight w:val="287"/>
        </w:trPr>
        <w:tc>
          <w:tcPr>
            <w:tcW w:w="2371" w:type="dxa"/>
            <w:tcBorders>
              <w:bottom w:val="single" w:sz="4" w:space="0" w:color="auto"/>
            </w:tcBorders>
            <w:shd w:val="clear" w:color="auto" w:fill="auto"/>
            <w:vAlign w:val="center"/>
          </w:tcPr>
          <w:p w14:paraId="2BDBDE7D" w14:textId="77777777" w:rsidR="00913A0A" w:rsidRPr="0058047D" w:rsidRDefault="00913A0A" w:rsidP="00E077BC">
            <w:pPr>
              <w:pStyle w:val="Heading2"/>
              <w:spacing w:beforeLines="20" w:before="48" w:afterLines="20" w:after="48"/>
              <w:ind w:left="0"/>
              <w:rPr>
                <w:rFonts w:ascii="Tahoma" w:hAnsi="Tahoma" w:cs="Tahoma"/>
                <w:b w:val="0"/>
                <w:sz w:val="14"/>
              </w:rPr>
            </w:pPr>
            <w:bookmarkStart w:id="25" w:name="_Toc336337853"/>
            <w:bookmarkStart w:id="26" w:name="_Toc371663254"/>
            <w:r w:rsidRPr="0058047D">
              <w:rPr>
                <w:rFonts w:ascii="Tahoma" w:hAnsi="Tahoma" w:cs="Tahoma"/>
                <w:b w:val="0"/>
                <w:sz w:val="14"/>
              </w:rPr>
              <w:t>InfoPath</w:t>
            </w:r>
            <w:r w:rsidR="00E53A46" w:rsidRPr="0058047D">
              <w:rPr>
                <w:rFonts w:ascii="Tahoma" w:hAnsi="Tahoma" w:cs="Tahoma"/>
                <w:b w:val="0"/>
                <w:sz w:val="14"/>
                <w:vertAlign w:val="superscript"/>
              </w:rPr>
              <w:t>®</w:t>
            </w:r>
            <w:r w:rsidRPr="0058047D">
              <w:rPr>
                <w:rFonts w:ascii="Tahoma" w:hAnsi="Tahoma" w:cs="Tahoma"/>
                <w:b w:val="0"/>
                <w:sz w:val="14"/>
              </w:rPr>
              <w:t xml:space="preserve"> </w:t>
            </w:r>
            <w:bookmarkEnd w:id="25"/>
            <w:r w:rsidRPr="0058047D">
              <w:rPr>
                <w:rFonts w:ascii="Tahoma" w:hAnsi="Tahoma" w:cs="Tahoma"/>
                <w:b w:val="0"/>
                <w:sz w:val="14"/>
              </w:rPr>
              <w:t>2013</w:t>
            </w:r>
            <w:bookmarkEnd w:id="26"/>
          </w:p>
        </w:tc>
        <w:tc>
          <w:tcPr>
            <w:tcW w:w="429" w:type="dxa"/>
            <w:tcBorders>
              <w:bottom w:val="single" w:sz="4" w:space="0" w:color="auto"/>
            </w:tcBorders>
            <w:shd w:val="clear" w:color="auto" w:fill="auto"/>
            <w:vAlign w:val="center"/>
          </w:tcPr>
          <w:p w14:paraId="2CF3382E" w14:textId="77777777" w:rsidR="00913A0A" w:rsidRPr="0058047D"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09BEFD3A" w14:textId="77777777" w:rsidR="00913A0A" w:rsidRPr="0058047D" w:rsidRDefault="00913A0A" w:rsidP="004000C7">
            <w:pPr>
              <w:pStyle w:val="TableText"/>
              <w:widowControl w:val="0"/>
              <w:rPr>
                <w:rFonts w:ascii="Tahoma" w:hAnsi="Tahoma" w:cs="Tahoma"/>
                <w:sz w:val="13"/>
              </w:rPr>
            </w:pPr>
            <w:r w:rsidRPr="0058047D">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14:paraId="7F055C9A"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BBE8B8A"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429" w:type="dxa"/>
            <w:tcBorders>
              <w:bottom w:val="single" w:sz="4" w:space="0" w:color="auto"/>
            </w:tcBorders>
            <w:shd w:val="clear" w:color="auto" w:fill="auto"/>
            <w:vAlign w:val="center"/>
          </w:tcPr>
          <w:p w14:paraId="27FBEFE5"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3</w:t>
            </w:r>
          </w:p>
        </w:tc>
        <w:tc>
          <w:tcPr>
            <w:tcW w:w="429" w:type="dxa"/>
            <w:tcBorders>
              <w:bottom w:val="single" w:sz="4" w:space="0" w:color="auto"/>
            </w:tcBorders>
            <w:shd w:val="clear" w:color="auto" w:fill="auto"/>
            <w:vAlign w:val="center"/>
          </w:tcPr>
          <w:p w14:paraId="072EF7F7"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auto"/>
            <w:vAlign w:val="center"/>
          </w:tcPr>
          <w:p w14:paraId="2FEB750E"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auto"/>
            <w:vAlign w:val="center"/>
          </w:tcPr>
          <w:p w14:paraId="76F66802"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auto"/>
            <w:vAlign w:val="center"/>
          </w:tcPr>
          <w:p w14:paraId="66011155"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202C66A"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353" w:type="dxa"/>
            <w:gridSpan w:val="2"/>
            <w:tcBorders>
              <w:left w:val="single" w:sz="18" w:space="0" w:color="auto"/>
              <w:bottom w:val="single" w:sz="4" w:space="0" w:color="auto"/>
            </w:tcBorders>
            <w:shd w:val="clear" w:color="auto" w:fill="auto"/>
            <w:vAlign w:val="center"/>
          </w:tcPr>
          <w:p w14:paraId="4F82B6DC"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360" w:type="dxa"/>
            <w:tcBorders>
              <w:bottom w:val="single" w:sz="4" w:space="0" w:color="auto"/>
            </w:tcBorders>
            <w:shd w:val="clear" w:color="auto" w:fill="auto"/>
            <w:vAlign w:val="center"/>
          </w:tcPr>
          <w:p w14:paraId="64ADF468"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2</w:t>
            </w:r>
          </w:p>
        </w:tc>
        <w:tc>
          <w:tcPr>
            <w:tcW w:w="378" w:type="dxa"/>
            <w:tcBorders>
              <w:bottom w:val="single" w:sz="4" w:space="0" w:color="auto"/>
              <w:right w:val="single" w:sz="18" w:space="0" w:color="auto"/>
            </w:tcBorders>
            <w:shd w:val="clear" w:color="auto" w:fill="auto"/>
            <w:vAlign w:val="center"/>
          </w:tcPr>
          <w:p w14:paraId="0086157F"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414" w:type="dxa"/>
            <w:tcBorders>
              <w:left w:val="single" w:sz="18" w:space="0" w:color="auto"/>
              <w:bottom w:val="single" w:sz="4" w:space="0" w:color="auto"/>
            </w:tcBorders>
            <w:shd w:val="clear" w:color="auto" w:fill="auto"/>
            <w:vAlign w:val="center"/>
          </w:tcPr>
          <w:p w14:paraId="32F36934" w14:textId="77777777" w:rsidR="00913A0A" w:rsidRPr="0058047D" w:rsidRDefault="00913A0A" w:rsidP="004B3534">
            <w:pPr>
              <w:pStyle w:val="TableText"/>
              <w:widowControl w:val="0"/>
              <w:rPr>
                <w:rFonts w:ascii="Tahoma" w:hAnsi="Tahoma" w:cs="Tahoma"/>
                <w:sz w:val="13"/>
              </w:rPr>
            </w:pPr>
          </w:p>
        </w:tc>
        <w:tc>
          <w:tcPr>
            <w:tcW w:w="405" w:type="dxa"/>
            <w:tcBorders>
              <w:bottom w:val="single" w:sz="4" w:space="0" w:color="auto"/>
              <w:right w:val="single" w:sz="18" w:space="0" w:color="auto"/>
            </w:tcBorders>
            <w:shd w:val="clear" w:color="auto" w:fill="auto"/>
            <w:vAlign w:val="center"/>
          </w:tcPr>
          <w:p w14:paraId="3F17AEFB" w14:textId="77777777" w:rsidR="00913A0A" w:rsidRPr="0058047D" w:rsidRDefault="00913A0A" w:rsidP="004B3534">
            <w:pPr>
              <w:pStyle w:val="TableText"/>
              <w:widowControl w:val="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0AA0B648"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auto"/>
            <w:vAlign w:val="center"/>
          </w:tcPr>
          <w:p w14:paraId="527D90EB" w14:textId="77777777" w:rsidR="00913A0A" w:rsidRPr="0058047D" w:rsidRDefault="00913A0A" w:rsidP="00080B33">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362D5A05" w14:textId="77777777" w:rsidR="00913A0A" w:rsidRPr="0058047D" w:rsidRDefault="00913A0A" w:rsidP="004B3534">
            <w:pPr>
              <w:pStyle w:val="TableText"/>
              <w:widowControl w:val="0"/>
              <w:rPr>
                <w:rFonts w:ascii="Tahoma" w:hAnsi="Tahoma" w:cs="Tahoma"/>
                <w:sz w:val="13"/>
              </w:rPr>
            </w:pPr>
          </w:p>
        </w:tc>
        <w:tc>
          <w:tcPr>
            <w:tcW w:w="370" w:type="dxa"/>
            <w:tcBorders>
              <w:bottom w:val="single" w:sz="4" w:space="0" w:color="auto"/>
            </w:tcBorders>
          </w:tcPr>
          <w:p w14:paraId="04E332B5" w14:textId="77777777" w:rsidR="00913A0A" w:rsidRPr="0058047D" w:rsidRDefault="00913A0A" w:rsidP="004B3534">
            <w:pPr>
              <w:pStyle w:val="TableText"/>
              <w:widowControl w:val="0"/>
              <w:rPr>
                <w:rFonts w:ascii="Tahoma" w:hAnsi="Tahoma" w:cs="Tahoma"/>
                <w:sz w:val="13"/>
              </w:rPr>
            </w:pPr>
          </w:p>
        </w:tc>
      </w:tr>
      <w:tr w:rsidR="008A0F85" w:rsidRPr="0058047D" w14:paraId="3E4A67B6" w14:textId="77777777" w:rsidTr="0058047D">
        <w:trPr>
          <w:cantSplit/>
          <w:trHeight w:val="287"/>
        </w:trPr>
        <w:tc>
          <w:tcPr>
            <w:tcW w:w="2371" w:type="dxa"/>
            <w:tcBorders>
              <w:bottom w:val="single" w:sz="4" w:space="0" w:color="auto"/>
            </w:tcBorders>
            <w:shd w:val="clear" w:color="auto" w:fill="FABF8F"/>
            <w:vAlign w:val="center"/>
          </w:tcPr>
          <w:p w14:paraId="43E63E30" w14:textId="77777777" w:rsidR="00913A0A" w:rsidRPr="0058047D" w:rsidRDefault="00913A0A" w:rsidP="00E077BC">
            <w:pPr>
              <w:pStyle w:val="Heading2"/>
              <w:spacing w:beforeLines="20" w:before="48" w:afterLines="20" w:after="48"/>
              <w:ind w:left="0"/>
              <w:rPr>
                <w:rFonts w:ascii="Tahoma" w:hAnsi="Tahoma" w:cs="Tahoma"/>
                <w:b w:val="0"/>
                <w:sz w:val="14"/>
              </w:rPr>
            </w:pPr>
            <w:bookmarkStart w:id="27" w:name="_Toc336337854"/>
            <w:bookmarkStart w:id="28" w:name="_Toc371663255"/>
            <w:r w:rsidRPr="0058047D">
              <w:rPr>
                <w:rFonts w:ascii="Tahoma" w:hAnsi="Tahoma" w:cs="Tahoma"/>
                <w:b w:val="0"/>
                <w:sz w:val="14"/>
              </w:rPr>
              <w:t xml:space="preserve">Lync </w:t>
            </w:r>
            <w:bookmarkEnd w:id="27"/>
            <w:r w:rsidRPr="0058047D">
              <w:rPr>
                <w:rFonts w:ascii="Tahoma" w:hAnsi="Tahoma" w:cs="Tahoma"/>
                <w:b w:val="0"/>
                <w:sz w:val="14"/>
              </w:rPr>
              <w:t>2013</w:t>
            </w:r>
            <w:bookmarkEnd w:id="28"/>
          </w:p>
        </w:tc>
        <w:tc>
          <w:tcPr>
            <w:tcW w:w="429" w:type="dxa"/>
            <w:tcBorders>
              <w:bottom w:val="single" w:sz="4" w:space="0" w:color="auto"/>
            </w:tcBorders>
            <w:shd w:val="clear" w:color="auto" w:fill="FABF8F"/>
            <w:vAlign w:val="center"/>
          </w:tcPr>
          <w:p w14:paraId="72ECA25B" w14:textId="77777777" w:rsidR="00913A0A" w:rsidRPr="0058047D" w:rsidRDefault="00913A0A">
            <w:pPr>
              <w:pStyle w:val="TableText"/>
              <w:widowControl w:val="0"/>
              <w:rPr>
                <w:rStyle w:val="EndnoteReference"/>
                <w:b w:val="0"/>
                <w:color w:val="0000FF"/>
                <w:sz w:val="13"/>
                <w:szCs w:val="13"/>
                <w:u w:val="single"/>
              </w:rPr>
            </w:pPr>
            <w:bookmarkStart w:id="29" w:name="_Hlt301882262"/>
            <w:bookmarkStart w:id="30" w:name="_Hlt336250688"/>
          </w:p>
        </w:tc>
        <w:bookmarkEnd w:id="29"/>
        <w:bookmarkEnd w:id="30"/>
        <w:tc>
          <w:tcPr>
            <w:tcW w:w="429" w:type="dxa"/>
            <w:tcBorders>
              <w:bottom w:val="single" w:sz="4" w:space="0" w:color="auto"/>
            </w:tcBorders>
            <w:shd w:val="clear" w:color="auto" w:fill="FABF8F"/>
            <w:vAlign w:val="center"/>
          </w:tcPr>
          <w:p w14:paraId="7B1D84FA" w14:textId="77777777" w:rsidR="00913A0A" w:rsidRPr="0058047D" w:rsidRDefault="00913A0A" w:rsidP="004000C7">
            <w:pPr>
              <w:pStyle w:val="TableText"/>
              <w:widowControl w:val="0"/>
              <w:rPr>
                <w:rFonts w:ascii="Tahoma" w:hAnsi="Tahoma" w:cs="Tahoma"/>
                <w:sz w:val="13"/>
              </w:rPr>
            </w:pPr>
            <w:r w:rsidRPr="0058047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368357D8"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7CDB808"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429" w:type="dxa"/>
            <w:tcBorders>
              <w:bottom w:val="single" w:sz="4" w:space="0" w:color="auto"/>
            </w:tcBorders>
            <w:shd w:val="clear" w:color="auto" w:fill="FABF8F"/>
            <w:vAlign w:val="center"/>
          </w:tcPr>
          <w:p w14:paraId="5A19FE72"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3</w:t>
            </w:r>
          </w:p>
        </w:tc>
        <w:tc>
          <w:tcPr>
            <w:tcW w:w="429" w:type="dxa"/>
            <w:tcBorders>
              <w:bottom w:val="single" w:sz="4" w:space="0" w:color="auto"/>
            </w:tcBorders>
            <w:shd w:val="clear" w:color="auto" w:fill="FABF8F"/>
            <w:vAlign w:val="center"/>
          </w:tcPr>
          <w:p w14:paraId="324338B3"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57E30A56"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3C1060E1"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5B617732"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526A2BD"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353" w:type="dxa"/>
            <w:gridSpan w:val="2"/>
            <w:tcBorders>
              <w:left w:val="single" w:sz="18" w:space="0" w:color="auto"/>
              <w:bottom w:val="single" w:sz="4" w:space="0" w:color="auto"/>
            </w:tcBorders>
            <w:shd w:val="clear" w:color="auto" w:fill="FABF8F"/>
            <w:vAlign w:val="center"/>
          </w:tcPr>
          <w:p w14:paraId="763E03E0"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360" w:type="dxa"/>
            <w:tcBorders>
              <w:bottom w:val="single" w:sz="4" w:space="0" w:color="auto"/>
            </w:tcBorders>
            <w:shd w:val="clear" w:color="auto" w:fill="FABF8F"/>
            <w:vAlign w:val="center"/>
          </w:tcPr>
          <w:p w14:paraId="442792B3"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14:paraId="3D33AD47"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414" w:type="dxa"/>
            <w:tcBorders>
              <w:left w:val="single" w:sz="18" w:space="0" w:color="auto"/>
              <w:bottom w:val="single" w:sz="4" w:space="0" w:color="auto"/>
            </w:tcBorders>
            <w:shd w:val="clear" w:color="auto" w:fill="FABF8F"/>
            <w:vAlign w:val="center"/>
          </w:tcPr>
          <w:p w14:paraId="028B44E1"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405" w:type="dxa"/>
            <w:tcBorders>
              <w:bottom w:val="single" w:sz="4" w:space="0" w:color="auto"/>
              <w:right w:val="single" w:sz="18" w:space="0" w:color="auto"/>
            </w:tcBorders>
            <w:shd w:val="clear" w:color="auto" w:fill="FABF8F"/>
            <w:vAlign w:val="center"/>
          </w:tcPr>
          <w:p w14:paraId="33DE152D"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69DF23FB"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FABF8F"/>
            <w:vAlign w:val="center"/>
          </w:tcPr>
          <w:p w14:paraId="307453B6" w14:textId="77777777" w:rsidR="00913A0A" w:rsidRPr="0058047D" w:rsidRDefault="00913A0A" w:rsidP="00080B33">
            <w:pPr>
              <w:pStyle w:val="TableText"/>
              <w:widowControl w:val="0"/>
              <w:rPr>
                <w:rFonts w:ascii="Tahoma" w:hAnsi="Tahoma" w:cs="Tahoma"/>
                <w:sz w:val="13"/>
              </w:rPr>
            </w:pPr>
            <w:r w:rsidRPr="0058047D">
              <w:rPr>
                <w:rFonts w:ascii="Tahoma" w:hAnsi="Tahoma" w:cs="Tahoma"/>
                <w:sz w:val="13"/>
              </w:rPr>
              <w:t>A, ST</w:t>
            </w:r>
          </w:p>
        </w:tc>
        <w:tc>
          <w:tcPr>
            <w:tcW w:w="495" w:type="dxa"/>
            <w:tcBorders>
              <w:bottom w:val="single" w:sz="4" w:space="0" w:color="auto"/>
            </w:tcBorders>
            <w:shd w:val="clear" w:color="auto" w:fill="FABF8F"/>
            <w:vAlign w:val="center"/>
          </w:tcPr>
          <w:p w14:paraId="79BC4CCC" w14:textId="77777777" w:rsidR="00913A0A" w:rsidRPr="0058047D" w:rsidRDefault="00913A0A" w:rsidP="004B3534">
            <w:pPr>
              <w:pStyle w:val="TableText"/>
              <w:widowControl w:val="0"/>
              <w:rPr>
                <w:rFonts w:ascii="Tahoma" w:hAnsi="Tahoma" w:cs="Tahoma"/>
                <w:sz w:val="13"/>
              </w:rPr>
            </w:pPr>
          </w:p>
        </w:tc>
        <w:tc>
          <w:tcPr>
            <w:tcW w:w="370" w:type="dxa"/>
            <w:tcBorders>
              <w:bottom w:val="single" w:sz="4" w:space="0" w:color="auto"/>
            </w:tcBorders>
            <w:shd w:val="clear" w:color="auto" w:fill="FABF8F"/>
          </w:tcPr>
          <w:p w14:paraId="47DB2C97"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A</w:t>
            </w:r>
          </w:p>
        </w:tc>
      </w:tr>
      <w:tr w:rsidR="00913A0A" w:rsidRPr="0058047D" w14:paraId="6E3D5B89" w14:textId="77777777" w:rsidTr="0058047D">
        <w:trPr>
          <w:cantSplit/>
          <w:trHeight w:val="287"/>
        </w:trPr>
        <w:tc>
          <w:tcPr>
            <w:tcW w:w="2371" w:type="dxa"/>
            <w:tcBorders>
              <w:bottom w:val="single" w:sz="4" w:space="0" w:color="auto"/>
            </w:tcBorders>
            <w:shd w:val="clear" w:color="auto" w:fill="auto"/>
            <w:vAlign w:val="center"/>
          </w:tcPr>
          <w:p w14:paraId="47797633" w14:textId="77777777" w:rsidR="00913A0A" w:rsidRPr="0058047D" w:rsidRDefault="00913A0A" w:rsidP="00E077BC">
            <w:pPr>
              <w:pStyle w:val="Heading2"/>
              <w:spacing w:beforeLines="20" w:before="48" w:afterLines="20" w:after="48"/>
              <w:ind w:left="0"/>
              <w:rPr>
                <w:rFonts w:ascii="Tahoma" w:hAnsi="Tahoma" w:cs="Tahoma"/>
                <w:b w:val="0"/>
                <w:sz w:val="14"/>
              </w:rPr>
            </w:pPr>
            <w:bookmarkStart w:id="31" w:name="_Toc336337855"/>
            <w:bookmarkStart w:id="32" w:name="_Toc371663256"/>
            <w:r w:rsidRPr="0058047D">
              <w:rPr>
                <w:rFonts w:ascii="Tahoma" w:hAnsi="Tahoma" w:cs="Tahoma"/>
                <w:b w:val="0"/>
                <w:sz w:val="14"/>
              </w:rPr>
              <w:t>Lync per Mac 2011</w:t>
            </w:r>
            <w:bookmarkEnd w:id="31"/>
            <w:bookmarkEnd w:id="32"/>
          </w:p>
        </w:tc>
        <w:tc>
          <w:tcPr>
            <w:tcW w:w="429" w:type="dxa"/>
            <w:tcBorders>
              <w:bottom w:val="single" w:sz="4" w:space="0" w:color="auto"/>
            </w:tcBorders>
            <w:shd w:val="clear" w:color="auto" w:fill="auto"/>
            <w:vAlign w:val="center"/>
          </w:tcPr>
          <w:p w14:paraId="19B86E80" w14:textId="77777777" w:rsidR="00913A0A" w:rsidRPr="0058047D" w:rsidRDefault="00C86F50" w:rsidP="009832D3">
            <w:pPr>
              <w:pStyle w:val="TableText"/>
              <w:widowControl w:val="0"/>
              <w:rPr>
                <w:rStyle w:val="EndnoteReference"/>
                <w:b w:val="0"/>
                <w:color w:val="0000FF"/>
                <w:sz w:val="13"/>
                <w:szCs w:val="13"/>
                <w:u w:val="single"/>
              </w:rPr>
            </w:pPr>
            <w:hyperlink w:anchor="_2_Lync_for" w:history="1">
              <w:r w:rsidR="00BF5FC6" w:rsidRPr="0058047D">
                <w:rPr>
                  <w:rStyle w:val="Hyperlink"/>
                  <w:b/>
                  <w:sz w:val="13"/>
                  <w:szCs w:val="13"/>
                </w:rPr>
                <w:t>2</w:t>
              </w:r>
            </w:hyperlink>
          </w:p>
        </w:tc>
        <w:tc>
          <w:tcPr>
            <w:tcW w:w="429" w:type="dxa"/>
            <w:tcBorders>
              <w:bottom w:val="single" w:sz="4" w:space="0" w:color="auto"/>
            </w:tcBorders>
            <w:shd w:val="clear" w:color="auto" w:fill="auto"/>
            <w:vAlign w:val="center"/>
          </w:tcPr>
          <w:p w14:paraId="5373F486" w14:textId="77777777" w:rsidR="00913A0A" w:rsidRPr="0058047D" w:rsidRDefault="00913A0A" w:rsidP="004000C7">
            <w:pPr>
              <w:pStyle w:val="TableText"/>
              <w:widowControl w:val="0"/>
              <w:rPr>
                <w:rFonts w:ascii="Tahoma" w:hAnsi="Tahoma" w:cs="Tahoma"/>
                <w:sz w:val="13"/>
              </w:rPr>
            </w:pPr>
            <w:r w:rsidRPr="0058047D">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14:paraId="22789239" w14:textId="77777777" w:rsidR="00913A0A" w:rsidRPr="0058047D" w:rsidRDefault="00913A0A" w:rsidP="00703595">
            <w:pPr>
              <w:pStyle w:val="TableText"/>
              <w:widowControl w:val="0"/>
              <w:rPr>
                <w:rFonts w:ascii="Tahoma" w:hAnsi="Tahoma" w:cs="Tahoma"/>
                <w:sz w:val="13"/>
              </w:rPr>
            </w:pPr>
            <w:r w:rsidRPr="0058047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68E4A82" w14:textId="77777777" w:rsidR="00913A0A" w:rsidRPr="0058047D" w:rsidRDefault="00913A0A" w:rsidP="00703595">
            <w:pPr>
              <w:pStyle w:val="TableText"/>
              <w:widowControl w:val="0"/>
              <w:rPr>
                <w:rFonts w:ascii="Tahoma" w:hAnsi="Tahoma" w:cs="Tahoma"/>
                <w:sz w:val="13"/>
              </w:rPr>
            </w:pPr>
            <w:r w:rsidRPr="0058047D">
              <w:rPr>
                <w:rFonts w:ascii="Tahoma" w:hAnsi="Tahoma" w:cs="Tahoma"/>
                <w:sz w:val="13"/>
              </w:rPr>
              <w:t>1</w:t>
            </w:r>
          </w:p>
        </w:tc>
        <w:tc>
          <w:tcPr>
            <w:tcW w:w="429" w:type="dxa"/>
            <w:tcBorders>
              <w:bottom w:val="single" w:sz="4" w:space="0" w:color="auto"/>
            </w:tcBorders>
            <w:shd w:val="clear" w:color="auto" w:fill="auto"/>
            <w:vAlign w:val="center"/>
          </w:tcPr>
          <w:p w14:paraId="1BCD20BD" w14:textId="77777777" w:rsidR="00913A0A" w:rsidRPr="0058047D" w:rsidRDefault="00913A0A" w:rsidP="00703595">
            <w:pPr>
              <w:pStyle w:val="TableText"/>
              <w:widowControl w:val="0"/>
              <w:rPr>
                <w:rFonts w:ascii="Tahoma" w:hAnsi="Tahoma" w:cs="Tahoma"/>
                <w:sz w:val="13"/>
              </w:rPr>
            </w:pPr>
            <w:r w:rsidRPr="0058047D">
              <w:rPr>
                <w:rFonts w:ascii="Tahoma" w:hAnsi="Tahoma" w:cs="Tahoma"/>
                <w:sz w:val="13"/>
              </w:rPr>
              <w:t>3</w:t>
            </w:r>
          </w:p>
        </w:tc>
        <w:tc>
          <w:tcPr>
            <w:tcW w:w="429" w:type="dxa"/>
            <w:tcBorders>
              <w:bottom w:val="single" w:sz="4" w:space="0" w:color="auto"/>
            </w:tcBorders>
            <w:shd w:val="clear" w:color="auto" w:fill="auto"/>
            <w:vAlign w:val="center"/>
          </w:tcPr>
          <w:p w14:paraId="276DBF63" w14:textId="77777777" w:rsidR="00913A0A" w:rsidRPr="0058047D" w:rsidRDefault="00913A0A" w:rsidP="00703595">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auto"/>
            <w:vAlign w:val="center"/>
          </w:tcPr>
          <w:p w14:paraId="385412CE" w14:textId="77777777" w:rsidR="00913A0A" w:rsidRPr="0058047D" w:rsidRDefault="00913A0A" w:rsidP="00703595">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auto"/>
            <w:vAlign w:val="center"/>
          </w:tcPr>
          <w:p w14:paraId="0C623A83" w14:textId="77777777" w:rsidR="00913A0A" w:rsidRPr="0058047D" w:rsidRDefault="00913A0A" w:rsidP="00703595">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auto"/>
            <w:vAlign w:val="center"/>
          </w:tcPr>
          <w:p w14:paraId="2F6B669E" w14:textId="77777777" w:rsidR="00913A0A" w:rsidRPr="0058047D" w:rsidRDefault="00913A0A" w:rsidP="00703595">
            <w:pPr>
              <w:pStyle w:val="TableText"/>
              <w:widowControl w:val="0"/>
              <w:rPr>
                <w:rFonts w:ascii="Tahoma" w:hAnsi="Tahoma" w:cs="Tahoma"/>
                <w:sz w:val="13"/>
              </w:rPr>
            </w:pPr>
            <w:r w:rsidRPr="0058047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64C89A0" w14:textId="77777777" w:rsidR="00913A0A" w:rsidRPr="0058047D" w:rsidRDefault="00913A0A" w:rsidP="00703595">
            <w:pPr>
              <w:pStyle w:val="TableText"/>
              <w:widowControl w:val="0"/>
              <w:rPr>
                <w:rFonts w:ascii="Tahoma" w:hAnsi="Tahoma" w:cs="Tahoma"/>
                <w:sz w:val="13"/>
              </w:rPr>
            </w:pPr>
            <w:r w:rsidRPr="0058047D">
              <w:rPr>
                <w:rFonts w:ascii="Tahoma" w:hAnsi="Tahoma" w:cs="Tahoma"/>
                <w:sz w:val="13"/>
              </w:rPr>
              <w:t>1</w:t>
            </w:r>
          </w:p>
        </w:tc>
        <w:tc>
          <w:tcPr>
            <w:tcW w:w="353" w:type="dxa"/>
            <w:gridSpan w:val="2"/>
            <w:tcBorders>
              <w:left w:val="single" w:sz="18" w:space="0" w:color="auto"/>
              <w:bottom w:val="single" w:sz="4" w:space="0" w:color="auto"/>
            </w:tcBorders>
            <w:shd w:val="clear" w:color="auto" w:fill="auto"/>
            <w:vAlign w:val="center"/>
          </w:tcPr>
          <w:p w14:paraId="01488AE2" w14:textId="77777777" w:rsidR="00913A0A" w:rsidRPr="0058047D" w:rsidRDefault="00913A0A" w:rsidP="00703595">
            <w:pPr>
              <w:pStyle w:val="TableText"/>
              <w:widowControl w:val="0"/>
              <w:rPr>
                <w:rFonts w:ascii="Tahoma" w:hAnsi="Tahoma" w:cs="Tahoma"/>
                <w:sz w:val="13"/>
              </w:rPr>
            </w:pPr>
            <w:r w:rsidRPr="0058047D">
              <w:rPr>
                <w:rFonts w:ascii="Tahoma" w:hAnsi="Tahoma" w:cs="Tahoma"/>
                <w:sz w:val="13"/>
              </w:rPr>
              <w:t>1</w:t>
            </w:r>
          </w:p>
        </w:tc>
        <w:tc>
          <w:tcPr>
            <w:tcW w:w="360" w:type="dxa"/>
            <w:tcBorders>
              <w:bottom w:val="single" w:sz="4" w:space="0" w:color="auto"/>
            </w:tcBorders>
            <w:shd w:val="clear" w:color="auto" w:fill="auto"/>
            <w:vAlign w:val="center"/>
          </w:tcPr>
          <w:p w14:paraId="5704A5B7" w14:textId="77777777" w:rsidR="00913A0A" w:rsidRPr="0058047D" w:rsidRDefault="00913A0A" w:rsidP="00703595">
            <w:pPr>
              <w:pStyle w:val="TableText"/>
              <w:widowControl w:val="0"/>
              <w:rPr>
                <w:rFonts w:ascii="Tahoma" w:hAnsi="Tahoma" w:cs="Tahoma"/>
                <w:sz w:val="13"/>
              </w:rPr>
            </w:pPr>
            <w:r w:rsidRPr="0058047D">
              <w:rPr>
                <w:rFonts w:ascii="Tahoma" w:hAnsi="Tahoma" w:cs="Tahoma"/>
                <w:sz w:val="13"/>
              </w:rPr>
              <w:t>2</w:t>
            </w:r>
          </w:p>
        </w:tc>
        <w:tc>
          <w:tcPr>
            <w:tcW w:w="378" w:type="dxa"/>
            <w:tcBorders>
              <w:bottom w:val="single" w:sz="4" w:space="0" w:color="auto"/>
              <w:right w:val="single" w:sz="18" w:space="0" w:color="auto"/>
            </w:tcBorders>
            <w:shd w:val="clear" w:color="auto" w:fill="auto"/>
            <w:vAlign w:val="center"/>
          </w:tcPr>
          <w:p w14:paraId="68563E5D" w14:textId="77777777" w:rsidR="00913A0A" w:rsidRPr="0058047D" w:rsidRDefault="00913A0A" w:rsidP="00703595">
            <w:pPr>
              <w:pStyle w:val="TableText"/>
              <w:widowControl w:val="0"/>
              <w:rPr>
                <w:rFonts w:ascii="Tahoma" w:hAnsi="Tahoma" w:cs="Tahoma"/>
                <w:sz w:val="13"/>
              </w:rPr>
            </w:pPr>
            <w:r w:rsidRPr="0058047D">
              <w:rPr>
                <w:rFonts w:ascii="Tahoma" w:hAnsi="Tahoma" w:cs="Tahoma"/>
                <w:sz w:val="13"/>
              </w:rPr>
              <w:t>1</w:t>
            </w:r>
          </w:p>
        </w:tc>
        <w:tc>
          <w:tcPr>
            <w:tcW w:w="414" w:type="dxa"/>
            <w:tcBorders>
              <w:left w:val="single" w:sz="18" w:space="0" w:color="auto"/>
              <w:bottom w:val="single" w:sz="4" w:space="0" w:color="auto"/>
            </w:tcBorders>
            <w:shd w:val="clear" w:color="auto" w:fill="auto"/>
            <w:vAlign w:val="center"/>
          </w:tcPr>
          <w:p w14:paraId="4FA355C5" w14:textId="77777777" w:rsidR="00913A0A" w:rsidRPr="0058047D" w:rsidRDefault="00913A0A" w:rsidP="00703595">
            <w:pPr>
              <w:pStyle w:val="TableText"/>
              <w:widowControl w:val="0"/>
              <w:rPr>
                <w:rFonts w:ascii="Tahoma" w:hAnsi="Tahoma" w:cs="Tahoma"/>
                <w:sz w:val="13"/>
              </w:rPr>
            </w:pPr>
            <w:r w:rsidRPr="0058047D">
              <w:rPr>
                <w:rFonts w:ascii="Tahoma" w:hAnsi="Tahoma" w:cs="Tahoma"/>
                <w:sz w:val="13"/>
              </w:rPr>
              <w:t>1</w:t>
            </w:r>
          </w:p>
        </w:tc>
        <w:tc>
          <w:tcPr>
            <w:tcW w:w="405" w:type="dxa"/>
            <w:tcBorders>
              <w:bottom w:val="single" w:sz="4" w:space="0" w:color="auto"/>
              <w:right w:val="single" w:sz="18" w:space="0" w:color="auto"/>
            </w:tcBorders>
            <w:shd w:val="clear" w:color="auto" w:fill="auto"/>
            <w:vAlign w:val="center"/>
          </w:tcPr>
          <w:p w14:paraId="481E3431" w14:textId="77777777" w:rsidR="00913A0A" w:rsidRPr="0058047D" w:rsidRDefault="00913A0A" w:rsidP="00703595">
            <w:pPr>
              <w:pStyle w:val="TableText"/>
              <w:widowControl w:val="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49C51C88" w14:textId="77777777" w:rsidR="00913A0A" w:rsidRPr="0058047D" w:rsidRDefault="00913A0A" w:rsidP="00703595">
            <w:pPr>
              <w:pStyle w:val="TableText"/>
              <w:widowControl w:val="0"/>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auto"/>
            <w:vAlign w:val="center"/>
          </w:tcPr>
          <w:p w14:paraId="29E47A5B" w14:textId="77777777" w:rsidR="00913A0A" w:rsidRPr="0058047D" w:rsidRDefault="00913A0A" w:rsidP="00080B33">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3D36AC95" w14:textId="77777777" w:rsidR="00913A0A" w:rsidRPr="0058047D" w:rsidRDefault="00913A0A" w:rsidP="00703595">
            <w:pPr>
              <w:pStyle w:val="TableText"/>
              <w:widowControl w:val="0"/>
              <w:rPr>
                <w:rFonts w:ascii="Tahoma" w:hAnsi="Tahoma" w:cs="Tahoma"/>
                <w:sz w:val="13"/>
              </w:rPr>
            </w:pPr>
          </w:p>
        </w:tc>
        <w:tc>
          <w:tcPr>
            <w:tcW w:w="370" w:type="dxa"/>
            <w:tcBorders>
              <w:bottom w:val="single" w:sz="4" w:space="0" w:color="auto"/>
            </w:tcBorders>
          </w:tcPr>
          <w:p w14:paraId="75879A74" w14:textId="77777777" w:rsidR="00913A0A" w:rsidRPr="0058047D" w:rsidRDefault="00913A0A" w:rsidP="00703595">
            <w:pPr>
              <w:pStyle w:val="TableText"/>
              <w:widowControl w:val="0"/>
              <w:rPr>
                <w:rFonts w:ascii="Tahoma" w:hAnsi="Tahoma" w:cs="Tahoma"/>
                <w:sz w:val="13"/>
              </w:rPr>
            </w:pPr>
          </w:p>
        </w:tc>
      </w:tr>
      <w:tr w:rsidR="008A0F85" w:rsidRPr="0058047D" w14:paraId="334CBC5F" w14:textId="77777777" w:rsidTr="0058047D">
        <w:trPr>
          <w:cantSplit/>
          <w:trHeight w:val="287"/>
        </w:trPr>
        <w:tc>
          <w:tcPr>
            <w:tcW w:w="2371" w:type="dxa"/>
            <w:tcBorders>
              <w:bottom w:val="single" w:sz="4" w:space="0" w:color="auto"/>
            </w:tcBorders>
            <w:shd w:val="clear" w:color="auto" w:fill="FABF8F"/>
            <w:vAlign w:val="center"/>
          </w:tcPr>
          <w:p w14:paraId="42ED794D" w14:textId="77777777" w:rsidR="00913A0A" w:rsidRPr="0058047D" w:rsidRDefault="00913A0A" w:rsidP="00E077BC">
            <w:pPr>
              <w:pStyle w:val="Heading2"/>
              <w:spacing w:beforeLines="20" w:before="48" w:afterLines="20" w:after="48"/>
              <w:ind w:left="0"/>
              <w:rPr>
                <w:rFonts w:ascii="Tahoma" w:hAnsi="Tahoma" w:cs="Tahoma"/>
                <w:b w:val="0"/>
                <w:sz w:val="14"/>
              </w:rPr>
            </w:pPr>
            <w:bookmarkStart w:id="33" w:name="_Toc235859737"/>
            <w:bookmarkStart w:id="34" w:name="_Toc336337856"/>
            <w:bookmarkStart w:id="35" w:name="_Toc371663257"/>
            <w:r w:rsidRPr="0058047D">
              <w:rPr>
                <w:rFonts w:ascii="Tahoma" w:hAnsi="Tahoma" w:cs="Tahoma"/>
                <w:b w:val="0"/>
                <w:sz w:val="14"/>
              </w:rPr>
              <w:t>MapPoint</w:t>
            </w:r>
            <w:r w:rsidR="00E53A46" w:rsidRPr="0058047D">
              <w:rPr>
                <w:rFonts w:ascii="Tahoma" w:hAnsi="Tahoma" w:cs="Tahoma"/>
                <w:b w:val="0"/>
                <w:sz w:val="14"/>
                <w:vertAlign w:val="superscript"/>
              </w:rPr>
              <w:t>®</w:t>
            </w:r>
            <w:r w:rsidRPr="0058047D">
              <w:rPr>
                <w:rFonts w:ascii="Tahoma" w:hAnsi="Tahoma" w:cs="Tahoma"/>
                <w:b w:val="0"/>
                <w:sz w:val="14"/>
              </w:rPr>
              <w:t xml:space="preserve"> Fleet Edition </w:t>
            </w:r>
            <w:bookmarkEnd w:id="33"/>
            <w:r w:rsidRPr="0058047D">
              <w:rPr>
                <w:rFonts w:ascii="Tahoma" w:hAnsi="Tahoma" w:cs="Tahoma"/>
                <w:b w:val="0"/>
                <w:sz w:val="14"/>
              </w:rPr>
              <w:t>2013</w:t>
            </w:r>
            <w:bookmarkEnd w:id="34"/>
            <w:bookmarkEnd w:id="35"/>
          </w:p>
        </w:tc>
        <w:tc>
          <w:tcPr>
            <w:tcW w:w="429" w:type="dxa"/>
            <w:tcBorders>
              <w:bottom w:val="single" w:sz="4" w:space="0" w:color="auto"/>
            </w:tcBorders>
            <w:shd w:val="clear" w:color="auto" w:fill="FABF8F"/>
            <w:vAlign w:val="center"/>
          </w:tcPr>
          <w:p w14:paraId="2B53536B" w14:textId="77777777" w:rsidR="00913A0A" w:rsidRPr="0058047D" w:rsidRDefault="00913A0A">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36B3FE8C" w14:textId="77777777" w:rsidR="00913A0A" w:rsidRPr="0058047D" w:rsidRDefault="00913A0A" w:rsidP="004000C7">
            <w:pPr>
              <w:pStyle w:val="TableText"/>
              <w:widowControl w:val="0"/>
              <w:rPr>
                <w:rFonts w:ascii="Tahoma" w:hAnsi="Tahoma" w:cs="Tahoma"/>
                <w:sz w:val="13"/>
              </w:rPr>
            </w:pPr>
            <w:r w:rsidRPr="0058047D">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3239100F"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229E910"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4</w:t>
            </w:r>
          </w:p>
        </w:tc>
        <w:tc>
          <w:tcPr>
            <w:tcW w:w="429" w:type="dxa"/>
            <w:tcBorders>
              <w:bottom w:val="single" w:sz="4" w:space="0" w:color="auto"/>
            </w:tcBorders>
            <w:shd w:val="clear" w:color="auto" w:fill="FABF8F"/>
            <w:vAlign w:val="center"/>
          </w:tcPr>
          <w:p w14:paraId="2CDEEDF2"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10</w:t>
            </w:r>
          </w:p>
        </w:tc>
        <w:tc>
          <w:tcPr>
            <w:tcW w:w="429" w:type="dxa"/>
            <w:tcBorders>
              <w:bottom w:val="single" w:sz="4" w:space="0" w:color="auto"/>
            </w:tcBorders>
            <w:shd w:val="clear" w:color="auto" w:fill="FABF8F"/>
            <w:vAlign w:val="center"/>
          </w:tcPr>
          <w:p w14:paraId="7F5B1C4D"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8</w:t>
            </w:r>
          </w:p>
        </w:tc>
        <w:tc>
          <w:tcPr>
            <w:tcW w:w="429" w:type="dxa"/>
            <w:tcBorders>
              <w:bottom w:val="single" w:sz="4" w:space="0" w:color="auto"/>
            </w:tcBorders>
            <w:shd w:val="clear" w:color="auto" w:fill="FABF8F"/>
            <w:vAlign w:val="center"/>
          </w:tcPr>
          <w:p w14:paraId="6559A96F"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6</w:t>
            </w:r>
          </w:p>
        </w:tc>
        <w:tc>
          <w:tcPr>
            <w:tcW w:w="429" w:type="dxa"/>
            <w:tcBorders>
              <w:bottom w:val="single" w:sz="4" w:space="0" w:color="auto"/>
            </w:tcBorders>
            <w:shd w:val="clear" w:color="auto" w:fill="FABF8F"/>
            <w:vAlign w:val="center"/>
          </w:tcPr>
          <w:p w14:paraId="3BC60415"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6</w:t>
            </w:r>
          </w:p>
        </w:tc>
        <w:tc>
          <w:tcPr>
            <w:tcW w:w="429" w:type="dxa"/>
            <w:tcBorders>
              <w:bottom w:val="single" w:sz="4" w:space="0" w:color="auto"/>
            </w:tcBorders>
            <w:shd w:val="clear" w:color="auto" w:fill="FABF8F"/>
            <w:vAlign w:val="center"/>
          </w:tcPr>
          <w:p w14:paraId="36975DAA"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67F119E6"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2</w:t>
            </w:r>
          </w:p>
        </w:tc>
        <w:tc>
          <w:tcPr>
            <w:tcW w:w="353" w:type="dxa"/>
            <w:gridSpan w:val="2"/>
            <w:tcBorders>
              <w:left w:val="single" w:sz="18" w:space="0" w:color="auto"/>
              <w:bottom w:val="single" w:sz="4" w:space="0" w:color="auto"/>
            </w:tcBorders>
            <w:shd w:val="clear" w:color="auto" w:fill="FABF8F"/>
            <w:vAlign w:val="center"/>
          </w:tcPr>
          <w:p w14:paraId="277B6FE9"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4</w:t>
            </w:r>
          </w:p>
        </w:tc>
        <w:tc>
          <w:tcPr>
            <w:tcW w:w="360" w:type="dxa"/>
            <w:tcBorders>
              <w:bottom w:val="single" w:sz="4" w:space="0" w:color="auto"/>
            </w:tcBorders>
            <w:shd w:val="clear" w:color="auto" w:fill="FABF8F"/>
            <w:vAlign w:val="center"/>
          </w:tcPr>
          <w:p w14:paraId="458111F0"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8</w:t>
            </w:r>
          </w:p>
        </w:tc>
        <w:tc>
          <w:tcPr>
            <w:tcW w:w="378" w:type="dxa"/>
            <w:tcBorders>
              <w:bottom w:val="single" w:sz="4" w:space="0" w:color="auto"/>
              <w:right w:val="single" w:sz="18" w:space="0" w:color="auto"/>
            </w:tcBorders>
            <w:shd w:val="clear" w:color="auto" w:fill="FABF8F"/>
            <w:vAlign w:val="center"/>
          </w:tcPr>
          <w:p w14:paraId="039A0B4B"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4</w:t>
            </w:r>
          </w:p>
        </w:tc>
        <w:tc>
          <w:tcPr>
            <w:tcW w:w="414" w:type="dxa"/>
            <w:tcBorders>
              <w:left w:val="single" w:sz="18" w:space="0" w:color="auto"/>
              <w:bottom w:val="single" w:sz="4" w:space="0" w:color="auto"/>
            </w:tcBorders>
            <w:shd w:val="clear" w:color="auto" w:fill="FABF8F"/>
            <w:vAlign w:val="center"/>
          </w:tcPr>
          <w:p w14:paraId="47AFED53" w14:textId="77777777" w:rsidR="00913A0A" w:rsidRPr="0058047D" w:rsidRDefault="00913A0A" w:rsidP="004B3534">
            <w:pPr>
              <w:pStyle w:val="TableText"/>
              <w:widowControl w:val="0"/>
              <w:rPr>
                <w:rFonts w:ascii="Tahoma" w:hAnsi="Tahoma" w:cs="Tahoma"/>
                <w:sz w:val="13"/>
              </w:rPr>
            </w:pPr>
          </w:p>
        </w:tc>
        <w:tc>
          <w:tcPr>
            <w:tcW w:w="405" w:type="dxa"/>
            <w:tcBorders>
              <w:bottom w:val="single" w:sz="4" w:space="0" w:color="auto"/>
              <w:right w:val="single" w:sz="18" w:space="0" w:color="auto"/>
            </w:tcBorders>
            <w:shd w:val="clear" w:color="auto" w:fill="FABF8F"/>
            <w:vAlign w:val="center"/>
          </w:tcPr>
          <w:p w14:paraId="43306204"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322D1DA1"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FABF8F"/>
            <w:vAlign w:val="center"/>
          </w:tcPr>
          <w:p w14:paraId="07D66BBB" w14:textId="77777777" w:rsidR="00913A0A" w:rsidRPr="0058047D" w:rsidRDefault="00913A0A" w:rsidP="00080B33">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47EF87ED" w14:textId="77777777" w:rsidR="00913A0A" w:rsidRPr="0058047D" w:rsidRDefault="00913A0A" w:rsidP="004B3534">
            <w:pPr>
              <w:pStyle w:val="TableText"/>
              <w:widowControl w:val="0"/>
              <w:rPr>
                <w:rFonts w:ascii="Tahoma" w:hAnsi="Tahoma" w:cs="Tahoma"/>
                <w:sz w:val="13"/>
              </w:rPr>
            </w:pPr>
          </w:p>
        </w:tc>
        <w:tc>
          <w:tcPr>
            <w:tcW w:w="370" w:type="dxa"/>
            <w:tcBorders>
              <w:bottom w:val="single" w:sz="4" w:space="0" w:color="auto"/>
            </w:tcBorders>
            <w:shd w:val="clear" w:color="auto" w:fill="FABF8F"/>
          </w:tcPr>
          <w:p w14:paraId="4B3E6245"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A</w:t>
            </w:r>
          </w:p>
        </w:tc>
      </w:tr>
      <w:tr w:rsidR="00913A0A" w:rsidRPr="0058047D" w14:paraId="5F04A6DC" w14:textId="77777777" w:rsidTr="0058047D">
        <w:trPr>
          <w:cantSplit/>
          <w:trHeight w:val="323"/>
        </w:trPr>
        <w:tc>
          <w:tcPr>
            <w:tcW w:w="2371" w:type="dxa"/>
            <w:tcBorders>
              <w:bottom w:val="single" w:sz="4" w:space="0" w:color="auto"/>
            </w:tcBorders>
            <w:shd w:val="clear" w:color="auto" w:fill="auto"/>
            <w:vAlign w:val="center"/>
          </w:tcPr>
          <w:p w14:paraId="21E3510B" w14:textId="77777777" w:rsidR="00913A0A" w:rsidRPr="0058047D" w:rsidRDefault="00913A0A" w:rsidP="00E077BC">
            <w:pPr>
              <w:pStyle w:val="Heading2"/>
              <w:spacing w:beforeLines="20" w:before="48" w:afterLines="20" w:after="48"/>
              <w:ind w:left="0"/>
              <w:rPr>
                <w:rFonts w:ascii="Tahoma" w:hAnsi="Tahoma" w:cs="Tahoma"/>
                <w:b w:val="0"/>
                <w:sz w:val="14"/>
              </w:rPr>
            </w:pPr>
            <w:bookmarkStart w:id="36" w:name="_Toc235859738"/>
            <w:bookmarkStart w:id="37" w:name="_Toc336337857"/>
            <w:bookmarkStart w:id="38" w:name="_Toc371663258"/>
            <w:r w:rsidRPr="0058047D">
              <w:rPr>
                <w:rFonts w:ascii="Tahoma" w:hAnsi="Tahoma" w:cs="Tahoma"/>
                <w:b w:val="0"/>
                <w:sz w:val="14"/>
              </w:rPr>
              <w:t>MapPoint</w:t>
            </w:r>
            <w:r w:rsidR="00E53A46" w:rsidRPr="0058047D">
              <w:rPr>
                <w:rFonts w:ascii="Tahoma" w:hAnsi="Tahoma" w:cs="Tahoma"/>
                <w:b w:val="0"/>
                <w:sz w:val="14"/>
                <w:vertAlign w:val="superscript"/>
              </w:rPr>
              <w:t>®</w:t>
            </w:r>
            <w:r w:rsidRPr="0058047D">
              <w:rPr>
                <w:rFonts w:ascii="Tahoma" w:hAnsi="Tahoma" w:cs="Tahoma"/>
                <w:b w:val="0"/>
                <w:sz w:val="14"/>
              </w:rPr>
              <w:t xml:space="preserve"> 2013 per Windows</w:t>
            </w:r>
            <w:bookmarkEnd w:id="36"/>
            <w:bookmarkEnd w:id="37"/>
            <w:bookmarkEnd w:id="38"/>
          </w:p>
        </w:tc>
        <w:tc>
          <w:tcPr>
            <w:tcW w:w="429" w:type="dxa"/>
            <w:tcBorders>
              <w:bottom w:val="single" w:sz="4" w:space="0" w:color="auto"/>
            </w:tcBorders>
            <w:shd w:val="clear" w:color="auto" w:fill="auto"/>
            <w:vAlign w:val="center"/>
          </w:tcPr>
          <w:p w14:paraId="28A8E63E" w14:textId="77777777" w:rsidR="00913A0A" w:rsidRPr="0058047D" w:rsidRDefault="00913A0A">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14:paraId="7295AACB" w14:textId="77777777" w:rsidR="00913A0A" w:rsidRPr="0058047D" w:rsidRDefault="00913A0A" w:rsidP="004000C7">
            <w:pPr>
              <w:pStyle w:val="TableText"/>
              <w:widowControl w:val="0"/>
              <w:rPr>
                <w:rFonts w:ascii="Tahoma" w:hAnsi="Tahoma" w:cs="Tahoma"/>
                <w:color w:val="000000"/>
                <w:sz w:val="13"/>
              </w:rPr>
            </w:pPr>
            <w:r w:rsidRPr="0058047D">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72C61884" w14:textId="77777777" w:rsidR="00913A0A" w:rsidRPr="0058047D" w:rsidRDefault="00913A0A" w:rsidP="004B3534">
            <w:pPr>
              <w:pStyle w:val="TableText"/>
              <w:widowControl w:val="0"/>
              <w:rPr>
                <w:rFonts w:ascii="Tahoma" w:hAnsi="Tahoma" w:cs="Tahoma"/>
                <w:color w:val="000000"/>
                <w:sz w:val="13"/>
              </w:rPr>
            </w:pPr>
            <w:r w:rsidRPr="0058047D">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34A77A03"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429" w:type="dxa"/>
            <w:tcBorders>
              <w:bottom w:val="single" w:sz="4" w:space="0" w:color="auto"/>
            </w:tcBorders>
            <w:shd w:val="clear" w:color="auto" w:fill="auto"/>
            <w:vAlign w:val="center"/>
          </w:tcPr>
          <w:p w14:paraId="18009AE3"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3</w:t>
            </w:r>
          </w:p>
        </w:tc>
        <w:tc>
          <w:tcPr>
            <w:tcW w:w="429" w:type="dxa"/>
            <w:tcBorders>
              <w:bottom w:val="single" w:sz="4" w:space="0" w:color="auto"/>
            </w:tcBorders>
            <w:shd w:val="clear" w:color="auto" w:fill="auto"/>
            <w:vAlign w:val="center"/>
          </w:tcPr>
          <w:p w14:paraId="6A42A91D"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auto"/>
            <w:vAlign w:val="center"/>
          </w:tcPr>
          <w:p w14:paraId="1A5EB5A6"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auto"/>
            <w:vAlign w:val="center"/>
          </w:tcPr>
          <w:p w14:paraId="3E6B5B4D"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auto"/>
            <w:vAlign w:val="center"/>
          </w:tcPr>
          <w:p w14:paraId="379A6314"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8D7C265"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353" w:type="dxa"/>
            <w:gridSpan w:val="2"/>
            <w:tcBorders>
              <w:left w:val="single" w:sz="18" w:space="0" w:color="auto"/>
              <w:bottom w:val="single" w:sz="4" w:space="0" w:color="auto"/>
            </w:tcBorders>
            <w:shd w:val="clear" w:color="auto" w:fill="auto"/>
            <w:vAlign w:val="center"/>
          </w:tcPr>
          <w:p w14:paraId="48496526"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360" w:type="dxa"/>
            <w:tcBorders>
              <w:bottom w:val="single" w:sz="4" w:space="0" w:color="auto"/>
            </w:tcBorders>
            <w:shd w:val="clear" w:color="auto" w:fill="auto"/>
            <w:vAlign w:val="center"/>
          </w:tcPr>
          <w:p w14:paraId="42BA2F15"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2</w:t>
            </w:r>
          </w:p>
        </w:tc>
        <w:tc>
          <w:tcPr>
            <w:tcW w:w="378" w:type="dxa"/>
            <w:tcBorders>
              <w:bottom w:val="single" w:sz="4" w:space="0" w:color="auto"/>
              <w:right w:val="single" w:sz="18" w:space="0" w:color="auto"/>
            </w:tcBorders>
            <w:shd w:val="clear" w:color="auto" w:fill="auto"/>
            <w:vAlign w:val="center"/>
          </w:tcPr>
          <w:p w14:paraId="7BAD0F05"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414" w:type="dxa"/>
            <w:tcBorders>
              <w:left w:val="single" w:sz="18" w:space="0" w:color="auto"/>
              <w:bottom w:val="single" w:sz="4" w:space="0" w:color="auto"/>
            </w:tcBorders>
            <w:shd w:val="clear" w:color="auto" w:fill="auto"/>
            <w:vAlign w:val="center"/>
          </w:tcPr>
          <w:p w14:paraId="39261D37"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405" w:type="dxa"/>
            <w:tcBorders>
              <w:bottom w:val="single" w:sz="4" w:space="0" w:color="auto"/>
              <w:right w:val="single" w:sz="18" w:space="0" w:color="auto"/>
            </w:tcBorders>
            <w:shd w:val="clear" w:color="auto" w:fill="auto"/>
            <w:vAlign w:val="center"/>
          </w:tcPr>
          <w:p w14:paraId="063B9E20"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14:paraId="382DEE9E"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auto"/>
            <w:vAlign w:val="center"/>
          </w:tcPr>
          <w:p w14:paraId="5527F7B1" w14:textId="77777777" w:rsidR="00913A0A" w:rsidRPr="0058047D" w:rsidRDefault="00913A0A" w:rsidP="00080B33">
            <w:pPr>
              <w:pStyle w:val="TableText"/>
              <w:widowControl w:val="0"/>
              <w:rPr>
                <w:rFonts w:ascii="Tahoma" w:hAnsi="Tahoma" w:cs="Tahoma"/>
                <w:sz w:val="13"/>
              </w:rPr>
            </w:pPr>
            <w:r w:rsidRPr="0058047D">
              <w:rPr>
                <w:rFonts w:ascii="Tahoma" w:hAnsi="Tahoma" w:cs="Tahoma"/>
                <w:sz w:val="13"/>
              </w:rPr>
              <w:t>A, AO, ST</w:t>
            </w:r>
          </w:p>
        </w:tc>
        <w:tc>
          <w:tcPr>
            <w:tcW w:w="495" w:type="dxa"/>
            <w:tcBorders>
              <w:bottom w:val="single" w:sz="4" w:space="0" w:color="auto"/>
            </w:tcBorders>
            <w:shd w:val="clear" w:color="auto" w:fill="auto"/>
            <w:vAlign w:val="center"/>
          </w:tcPr>
          <w:p w14:paraId="79562866" w14:textId="77777777" w:rsidR="00913A0A" w:rsidRPr="0058047D" w:rsidRDefault="00913A0A" w:rsidP="004B3534">
            <w:pPr>
              <w:pStyle w:val="TableText"/>
              <w:widowControl w:val="0"/>
              <w:rPr>
                <w:rFonts w:ascii="Tahoma" w:hAnsi="Tahoma" w:cs="Tahoma"/>
                <w:sz w:val="13"/>
              </w:rPr>
            </w:pPr>
          </w:p>
        </w:tc>
        <w:tc>
          <w:tcPr>
            <w:tcW w:w="370" w:type="dxa"/>
            <w:tcBorders>
              <w:bottom w:val="single" w:sz="4" w:space="0" w:color="auto"/>
            </w:tcBorders>
          </w:tcPr>
          <w:p w14:paraId="7958CEDB"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A</w:t>
            </w:r>
          </w:p>
        </w:tc>
      </w:tr>
      <w:tr w:rsidR="008A0F85" w:rsidRPr="0058047D" w14:paraId="2B323D0A" w14:textId="77777777" w:rsidTr="0058047D">
        <w:trPr>
          <w:cantSplit/>
          <w:trHeight w:val="269"/>
        </w:trPr>
        <w:tc>
          <w:tcPr>
            <w:tcW w:w="2371" w:type="dxa"/>
            <w:tcBorders>
              <w:bottom w:val="single" w:sz="4" w:space="0" w:color="auto"/>
            </w:tcBorders>
            <w:shd w:val="clear" w:color="auto" w:fill="FABF8F"/>
            <w:vAlign w:val="center"/>
          </w:tcPr>
          <w:p w14:paraId="50823723" w14:textId="77777777" w:rsidR="00913A0A" w:rsidRPr="0058047D" w:rsidRDefault="00913A0A" w:rsidP="00E077BC">
            <w:pPr>
              <w:pStyle w:val="Heading2"/>
              <w:spacing w:beforeLines="20" w:before="48" w:afterLines="20" w:after="48"/>
              <w:ind w:left="0"/>
              <w:rPr>
                <w:rFonts w:ascii="Tahoma" w:hAnsi="Tahoma" w:cs="Tahoma"/>
                <w:b w:val="0"/>
                <w:sz w:val="14"/>
              </w:rPr>
            </w:pPr>
            <w:bookmarkStart w:id="39" w:name="_Toc336337858"/>
            <w:bookmarkStart w:id="40" w:name="_Toc371663259"/>
            <w:r w:rsidRPr="0058047D">
              <w:rPr>
                <w:rFonts w:ascii="Tahoma" w:hAnsi="Tahoma" w:cs="Tahoma"/>
                <w:b w:val="0"/>
                <w:sz w:val="14"/>
              </w:rPr>
              <w:t>Sistemi Operativi MSDN</w:t>
            </w:r>
            <w:bookmarkEnd w:id="39"/>
            <w:bookmarkEnd w:id="40"/>
          </w:p>
        </w:tc>
        <w:tc>
          <w:tcPr>
            <w:tcW w:w="429" w:type="dxa"/>
            <w:tcBorders>
              <w:bottom w:val="single" w:sz="4" w:space="0" w:color="auto"/>
            </w:tcBorders>
            <w:shd w:val="clear" w:color="auto" w:fill="FABF8F"/>
            <w:vAlign w:val="center"/>
          </w:tcPr>
          <w:p w14:paraId="2E8A252A" w14:textId="77777777" w:rsidR="00913A0A" w:rsidRPr="0058047D" w:rsidRDefault="00C86F50" w:rsidP="009832D3">
            <w:pPr>
              <w:pStyle w:val="TableText"/>
              <w:widowControl w:val="0"/>
              <w:rPr>
                <w:rStyle w:val="EndnoteReference"/>
                <w:b w:val="0"/>
                <w:color w:val="0000FF"/>
                <w:sz w:val="13"/>
                <w:szCs w:val="13"/>
                <w:u w:val="single"/>
              </w:rPr>
            </w:pPr>
            <w:hyperlink w:anchor="_3_MSDN_Operating" w:history="1">
              <w:r w:rsidR="00BF5FC6" w:rsidRPr="0058047D">
                <w:rPr>
                  <w:rStyle w:val="Hyperlink"/>
                  <w:b/>
                  <w:sz w:val="13"/>
                  <w:szCs w:val="13"/>
                </w:rPr>
                <w:t>3</w:t>
              </w:r>
            </w:hyperlink>
          </w:p>
        </w:tc>
        <w:tc>
          <w:tcPr>
            <w:tcW w:w="429" w:type="dxa"/>
            <w:tcBorders>
              <w:bottom w:val="single" w:sz="4" w:space="0" w:color="auto"/>
            </w:tcBorders>
            <w:shd w:val="clear" w:color="auto" w:fill="FABF8F"/>
            <w:vAlign w:val="center"/>
          </w:tcPr>
          <w:p w14:paraId="04C081DF" w14:textId="77777777" w:rsidR="00913A0A" w:rsidRPr="0058047D" w:rsidRDefault="00913A0A" w:rsidP="004000C7">
            <w:pPr>
              <w:pStyle w:val="TableText"/>
              <w:rPr>
                <w:rFonts w:ascii="Tahoma" w:hAnsi="Tahoma" w:cs="Tahoma"/>
                <w:sz w:val="13"/>
              </w:rPr>
            </w:pPr>
            <w:r w:rsidRPr="0058047D">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14:paraId="6842F1AB" w14:textId="77777777" w:rsidR="00913A0A" w:rsidRPr="0058047D" w:rsidRDefault="00913A0A"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B3E2D05" w14:textId="77777777" w:rsidR="00913A0A" w:rsidRPr="0058047D"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B521B57" w14:textId="77777777" w:rsidR="00913A0A" w:rsidRPr="0058047D" w:rsidRDefault="00913A0A" w:rsidP="004B3534">
            <w:pPr>
              <w:pStyle w:val="TableText"/>
              <w:rPr>
                <w:rFonts w:ascii="Tahoma" w:hAnsi="Tahoma" w:cs="Tahoma"/>
                <w:sz w:val="13"/>
              </w:rPr>
            </w:pPr>
            <w:r w:rsidRPr="0058047D">
              <w:rPr>
                <w:rFonts w:ascii="Tahoma" w:hAnsi="Tahoma" w:cs="Tahoma"/>
                <w:sz w:val="13"/>
              </w:rPr>
              <w:t>5</w:t>
            </w:r>
          </w:p>
        </w:tc>
        <w:tc>
          <w:tcPr>
            <w:tcW w:w="429" w:type="dxa"/>
            <w:tcBorders>
              <w:bottom w:val="single" w:sz="4" w:space="0" w:color="auto"/>
            </w:tcBorders>
            <w:shd w:val="clear" w:color="auto" w:fill="FABF8F"/>
            <w:vAlign w:val="center"/>
          </w:tcPr>
          <w:p w14:paraId="27EFC2A1" w14:textId="77777777" w:rsidR="00913A0A" w:rsidRPr="0058047D" w:rsidRDefault="00913A0A" w:rsidP="004B3534">
            <w:pPr>
              <w:pStyle w:val="TableText"/>
              <w:rPr>
                <w:rFonts w:ascii="Tahoma" w:hAnsi="Tahoma" w:cs="Tahoma"/>
                <w:sz w:val="13"/>
              </w:rPr>
            </w:pPr>
            <w:r w:rsidRPr="0058047D">
              <w:rPr>
                <w:rFonts w:ascii="Tahoma" w:hAnsi="Tahoma" w:cs="Tahoma"/>
                <w:sz w:val="13"/>
              </w:rPr>
              <w:t>4</w:t>
            </w:r>
          </w:p>
        </w:tc>
        <w:tc>
          <w:tcPr>
            <w:tcW w:w="429" w:type="dxa"/>
            <w:tcBorders>
              <w:bottom w:val="single" w:sz="4" w:space="0" w:color="auto"/>
            </w:tcBorders>
            <w:shd w:val="clear" w:color="auto" w:fill="FABF8F"/>
            <w:vAlign w:val="center"/>
          </w:tcPr>
          <w:p w14:paraId="340A7527" w14:textId="77777777" w:rsidR="00913A0A" w:rsidRPr="0058047D" w:rsidRDefault="00913A0A" w:rsidP="004B3534">
            <w:pPr>
              <w:pStyle w:val="TableText"/>
              <w:rPr>
                <w:rFonts w:ascii="Tahoma" w:hAnsi="Tahoma" w:cs="Tahoma"/>
                <w:sz w:val="13"/>
              </w:rPr>
            </w:pPr>
            <w:r w:rsidRPr="0058047D">
              <w:rPr>
                <w:rFonts w:ascii="Tahoma" w:hAnsi="Tahoma" w:cs="Tahoma"/>
                <w:sz w:val="13"/>
              </w:rPr>
              <w:t>3</w:t>
            </w:r>
          </w:p>
        </w:tc>
        <w:tc>
          <w:tcPr>
            <w:tcW w:w="429" w:type="dxa"/>
            <w:tcBorders>
              <w:bottom w:val="single" w:sz="4" w:space="0" w:color="auto"/>
            </w:tcBorders>
            <w:shd w:val="clear" w:color="auto" w:fill="FABF8F"/>
            <w:vAlign w:val="center"/>
          </w:tcPr>
          <w:p w14:paraId="103D2AC5" w14:textId="77777777" w:rsidR="00913A0A" w:rsidRPr="0058047D" w:rsidRDefault="00913A0A" w:rsidP="004B3534">
            <w:pPr>
              <w:pStyle w:val="TableText"/>
              <w:rPr>
                <w:rFonts w:ascii="Tahoma" w:hAnsi="Tahoma" w:cs="Tahoma"/>
                <w:sz w:val="13"/>
              </w:rPr>
            </w:pPr>
            <w:r w:rsidRPr="0058047D">
              <w:rPr>
                <w:rFonts w:ascii="Tahoma" w:hAnsi="Tahoma" w:cs="Tahoma"/>
                <w:sz w:val="13"/>
              </w:rPr>
              <w:t>3</w:t>
            </w:r>
          </w:p>
        </w:tc>
        <w:tc>
          <w:tcPr>
            <w:tcW w:w="429" w:type="dxa"/>
            <w:tcBorders>
              <w:bottom w:val="single" w:sz="4" w:space="0" w:color="auto"/>
            </w:tcBorders>
            <w:shd w:val="clear" w:color="auto" w:fill="FABF8F"/>
            <w:vAlign w:val="center"/>
          </w:tcPr>
          <w:p w14:paraId="159E73A1" w14:textId="77777777" w:rsidR="00913A0A" w:rsidRPr="0058047D" w:rsidRDefault="00913A0A" w:rsidP="004B3534">
            <w:pPr>
              <w:pStyle w:val="TableText"/>
              <w:rPr>
                <w:rFonts w:ascii="Tahoma" w:hAnsi="Tahoma" w:cs="Tahoma"/>
                <w:sz w:val="13"/>
              </w:rPr>
            </w:pPr>
            <w:r w:rsidRPr="0058047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AC69378" w14:textId="77777777" w:rsidR="00913A0A" w:rsidRPr="0058047D" w:rsidRDefault="00913A0A" w:rsidP="004B3534">
            <w:pPr>
              <w:pStyle w:val="TableText"/>
              <w:rPr>
                <w:rFonts w:ascii="Tahoma" w:hAnsi="Tahoma" w:cs="Tahoma"/>
                <w:sz w:val="13"/>
              </w:rPr>
            </w:pPr>
            <w:r w:rsidRPr="0058047D">
              <w:rPr>
                <w:rFonts w:ascii="Tahoma" w:hAnsi="Tahoma" w:cs="Tahoma"/>
                <w:sz w:val="13"/>
              </w:rPr>
              <w:t>1</w:t>
            </w:r>
          </w:p>
        </w:tc>
        <w:tc>
          <w:tcPr>
            <w:tcW w:w="353" w:type="dxa"/>
            <w:gridSpan w:val="2"/>
            <w:tcBorders>
              <w:left w:val="single" w:sz="18" w:space="0" w:color="auto"/>
              <w:bottom w:val="single" w:sz="4" w:space="0" w:color="auto"/>
            </w:tcBorders>
            <w:shd w:val="clear" w:color="auto" w:fill="FABF8F"/>
            <w:vAlign w:val="center"/>
          </w:tcPr>
          <w:p w14:paraId="2F145456" w14:textId="77777777" w:rsidR="00913A0A" w:rsidRPr="0058047D" w:rsidRDefault="00913A0A" w:rsidP="004B3534">
            <w:pPr>
              <w:pStyle w:val="TableText"/>
              <w:rPr>
                <w:rFonts w:ascii="Tahoma" w:hAnsi="Tahoma" w:cs="Tahoma"/>
                <w:sz w:val="13"/>
              </w:rPr>
            </w:pPr>
          </w:p>
        </w:tc>
        <w:tc>
          <w:tcPr>
            <w:tcW w:w="360" w:type="dxa"/>
            <w:tcBorders>
              <w:bottom w:val="single" w:sz="4" w:space="0" w:color="auto"/>
            </w:tcBorders>
            <w:shd w:val="clear" w:color="auto" w:fill="FABF8F"/>
            <w:vAlign w:val="center"/>
          </w:tcPr>
          <w:p w14:paraId="39F436E4" w14:textId="77777777" w:rsidR="00913A0A" w:rsidRPr="0058047D" w:rsidRDefault="00913A0A" w:rsidP="004B3534">
            <w:pPr>
              <w:pStyle w:val="TableText"/>
              <w:rPr>
                <w:rFonts w:ascii="Tahoma" w:hAnsi="Tahoma" w:cs="Tahoma"/>
                <w:sz w:val="13"/>
              </w:rPr>
            </w:pPr>
            <w:r w:rsidRPr="0058047D">
              <w:rPr>
                <w:rFonts w:ascii="Tahoma" w:hAnsi="Tahoma" w:cs="Tahoma"/>
                <w:sz w:val="13"/>
              </w:rPr>
              <w:t>4</w:t>
            </w:r>
          </w:p>
        </w:tc>
        <w:tc>
          <w:tcPr>
            <w:tcW w:w="378" w:type="dxa"/>
            <w:tcBorders>
              <w:bottom w:val="single" w:sz="4" w:space="0" w:color="auto"/>
              <w:right w:val="single" w:sz="18" w:space="0" w:color="auto"/>
            </w:tcBorders>
            <w:shd w:val="clear" w:color="auto" w:fill="FABF8F"/>
            <w:vAlign w:val="center"/>
          </w:tcPr>
          <w:p w14:paraId="68EAA5E3" w14:textId="77777777" w:rsidR="00913A0A" w:rsidRPr="0058047D" w:rsidRDefault="00913A0A" w:rsidP="004B3534">
            <w:pPr>
              <w:pStyle w:val="TableText"/>
              <w:rPr>
                <w:rFonts w:ascii="Tahoma" w:hAnsi="Tahoma" w:cs="Tahoma"/>
                <w:sz w:val="13"/>
              </w:rPr>
            </w:pPr>
            <w:r w:rsidRPr="0058047D">
              <w:rPr>
                <w:rFonts w:ascii="Tahoma" w:hAnsi="Tahoma" w:cs="Tahoma"/>
                <w:sz w:val="13"/>
              </w:rPr>
              <w:t>2</w:t>
            </w:r>
          </w:p>
        </w:tc>
        <w:tc>
          <w:tcPr>
            <w:tcW w:w="414" w:type="dxa"/>
            <w:tcBorders>
              <w:left w:val="single" w:sz="18" w:space="0" w:color="auto"/>
              <w:bottom w:val="single" w:sz="4" w:space="0" w:color="auto"/>
            </w:tcBorders>
            <w:shd w:val="clear" w:color="auto" w:fill="FABF8F"/>
            <w:vAlign w:val="center"/>
          </w:tcPr>
          <w:p w14:paraId="0CEAE63C" w14:textId="77777777" w:rsidR="00913A0A" w:rsidRPr="0058047D" w:rsidRDefault="00913A0A" w:rsidP="004B3534">
            <w:pPr>
              <w:pStyle w:val="TableText"/>
              <w:rPr>
                <w:rFonts w:ascii="Tahoma" w:hAnsi="Tahoma" w:cs="Tahoma"/>
                <w:sz w:val="13"/>
              </w:rPr>
            </w:pPr>
            <w:r w:rsidRPr="0058047D">
              <w:rPr>
                <w:rFonts w:ascii="Tahoma" w:hAnsi="Tahoma" w:cs="Tahoma"/>
                <w:sz w:val="13"/>
              </w:rPr>
              <w:t>1</w:t>
            </w:r>
          </w:p>
        </w:tc>
        <w:tc>
          <w:tcPr>
            <w:tcW w:w="405" w:type="dxa"/>
            <w:tcBorders>
              <w:bottom w:val="single" w:sz="4" w:space="0" w:color="auto"/>
              <w:right w:val="single" w:sz="18" w:space="0" w:color="auto"/>
            </w:tcBorders>
            <w:shd w:val="clear" w:color="auto" w:fill="FABF8F"/>
            <w:vAlign w:val="center"/>
          </w:tcPr>
          <w:p w14:paraId="2A8F4D70" w14:textId="77777777" w:rsidR="00913A0A" w:rsidRPr="0058047D" w:rsidRDefault="00913A0A" w:rsidP="004B3534">
            <w:pPr>
              <w:pStyle w:val="TableText"/>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569A79A8" w14:textId="77777777" w:rsidR="00913A0A" w:rsidRPr="0058047D" w:rsidRDefault="00913A0A" w:rsidP="004B3534">
            <w:pPr>
              <w:pStyle w:val="TableText"/>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FABF8F"/>
            <w:vAlign w:val="center"/>
          </w:tcPr>
          <w:p w14:paraId="7F3A162B" w14:textId="77777777" w:rsidR="00913A0A" w:rsidRPr="0058047D" w:rsidRDefault="00913A0A" w:rsidP="00080B33">
            <w:pPr>
              <w:pStyle w:val="TableText"/>
              <w:rPr>
                <w:rFonts w:ascii="Tahoma" w:hAnsi="Tahoma" w:cs="Tahoma"/>
                <w:sz w:val="13"/>
              </w:rPr>
            </w:pPr>
            <w:r w:rsidRPr="0058047D">
              <w:rPr>
                <w:rFonts w:ascii="Tahoma" w:hAnsi="Tahoma" w:cs="Tahoma"/>
                <w:sz w:val="13"/>
              </w:rPr>
              <w:t>A</w:t>
            </w:r>
          </w:p>
        </w:tc>
        <w:tc>
          <w:tcPr>
            <w:tcW w:w="495" w:type="dxa"/>
            <w:tcBorders>
              <w:bottom w:val="single" w:sz="4" w:space="0" w:color="auto"/>
            </w:tcBorders>
            <w:shd w:val="clear" w:color="auto" w:fill="FABF8F"/>
            <w:vAlign w:val="center"/>
          </w:tcPr>
          <w:p w14:paraId="72715E4A" w14:textId="77777777" w:rsidR="00913A0A" w:rsidRPr="0058047D" w:rsidRDefault="00913A0A" w:rsidP="004B3534">
            <w:pPr>
              <w:pStyle w:val="TableText"/>
            </w:pPr>
            <w:r w:rsidRPr="0058047D">
              <w:rPr>
                <w:rFonts w:ascii="Tahoma" w:hAnsi="Tahoma" w:cs="Tahoma"/>
                <w:sz w:val="13"/>
              </w:rPr>
              <w:t>OL/SA/</w:t>
            </w:r>
          </w:p>
          <w:p w14:paraId="023B21AA" w14:textId="77777777" w:rsidR="00913A0A" w:rsidRPr="0058047D" w:rsidRDefault="00913A0A" w:rsidP="004B3534">
            <w:pPr>
              <w:pStyle w:val="TableText"/>
              <w:rPr>
                <w:rFonts w:ascii="Tahoma" w:hAnsi="Tahoma" w:cs="Tahoma"/>
                <w:sz w:val="13"/>
              </w:rPr>
            </w:pPr>
            <w:r w:rsidRPr="0058047D">
              <w:rPr>
                <w:rFonts w:ascii="Tahoma" w:hAnsi="Tahoma" w:cs="Tahoma"/>
                <w:sz w:val="13"/>
              </w:rPr>
              <w:t>OV</w:t>
            </w:r>
          </w:p>
        </w:tc>
        <w:tc>
          <w:tcPr>
            <w:tcW w:w="370" w:type="dxa"/>
            <w:tcBorders>
              <w:bottom w:val="single" w:sz="4" w:space="0" w:color="auto"/>
            </w:tcBorders>
            <w:shd w:val="clear" w:color="auto" w:fill="FABF8F"/>
          </w:tcPr>
          <w:p w14:paraId="31873613" w14:textId="77777777" w:rsidR="00913A0A" w:rsidRPr="0058047D" w:rsidRDefault="00913A0A" w:rsidP="004B3534">
            <w:pPr>
              <w:pStyle w:val="TableText"/>
              <w:rPr>
                <w:rFonts w:ascii="Tahoma" w:hAnsi="Tahoma" w:cs="Tahoma"/>
                <w:sz w:val="13"/>
              </w:rPr>
            </w:pPr>
          </w:p>
        </w:tc>
      </w:tr>
      <w:tr w:rsidR="00913A0A" w:rsidRPr="0058047D" w14:paraId="6EEB071D" w14:textId="77777777" w:rsidTr="0058047D">
        <w:trPr>
          <w:cantSplit/>
          <w:trHeight w:val="287"/>
        </w:trPr>
        <w:tc>
          <w:tcPr>
            <w:tcW w:w="2371" w:type="dxa"/>
            <w:tcBorders>
              <w:bottom w:val="single" w:sz="4" w:space="0" w:color="auto"/>
            </w:tcBorders>
            <w:shd w:val="clear" w:color="auto" w:fill="auto"/>
            <w:vAlign w:val="center"/>
          </w:tcPr>
          <w:p w14:paraId="415C73B6" w14:textId="77777777" w:rsidR="00913A0A" w:rsidRPr="0058047D" w:rsidRDefault="00913A0A" w:rsidP="00E077BC">
            <w:pPr>
              <w:pStyle w:val="Heading2"/>
              <w:spacing w:beforeLines="20" w:before="48" w:afterLines="20" w:after="48"/>
              <w:ind w:left="0"/>
              <w:rPr>
                <w:rFonts w:ascii="Tahoma" w:hAnsi="Tahoma" w:cs="Tahoma"/>
                <w:b w:val="0"/>
                <w:sz w:val="14"/>
              </w:rPr>
            </w:pPr>
            <w:bookmarkStart w:id="41" w:name="_Toc371663260"/>
            <w:r w:rsidRPr="0058047D">
              <w:rPr>
                <w:rFonts w:ascii="Tahoma" w:hAnsi="Tahoma" w:cs="Tahoma"/>
                <w:b w:val="0"/>
                <w:sz w:val="14"/>
              </w:rPr>
              <w:t>Piattaforme MSDN</w:t>
            </w:r>
            <w:bookmarkEnd w:id="41"/>
          </w:p>
        </w:tc>
        <w:tc>
          <w:tcPr>
            <w:tcW w:w="429" w:type="dxa"/>
            <w:tcBorders>
              <w:bottom w:val="single" w:sz="4" w:space="0" w:color="auto"/>
            </w:tcBorders>
            <w:shd w:val="clear" w:color="auto" w:fill="auto"/>
            <w:vAlign w:val="center"/>
          </w:tcPr>
          <w:p w14:paraId="12CFE71C" w14:textId="77777777" w:rsidR="00913A0A" w:rsidRPr="0058047D" w:rsidRDefault="00C86F50" w:rsidP="009832D3">
            <w:pPr>
              <w:pStyle w:val="TableText"/>
              <w:widowControl w:val="0"/>
            </w:pPr>
            <w:hyperlink w:anchor="_4_Piattaforme_MSDN" w:history="1">
              <w:r w:rsidR="00BF5FC6" w:rsidRPr="0058047D">
                <w:rPr>
                  <w:rStyle w:val="Hyperlink"/>
                  <w:b/>
                  <w:sz w:val="13"/>
                  <w:szCs w:val="13"/>
                </w:rPr>
                <w:t>4</w:t>
              </w:r>
            </w:hyperlink>
          </w:p>
        </w:tc>
        <w:tc>
          <w:tcPr>
            <w:tcW w:w="429" w:type="dxa"/>
            <w:tcBorders>
              <w:bottom w:val="single" w:sz="4" w:space="0" w:color="auto"/>
            </w:tcBorders>
            <w:shd w:val="clear" w:color="auto" w:fill="auto"/>
            <w:vAlign w:val="center"/>
          </w:tcPr>
          <w:p w14:paraId="4CE1D66B" w14:textId="77777777" w:rsidR="00913A0A" w:rsidRPr="0058047D" w:rsidRDefault="00913A0A" w:rsidP="004000C7">
            <w:pPr>
              <w:pStyle w:val="TableText"/>
              <w:widowControl w:val="0"/>
              <w:rPr>
                <w:rFonts w:ascii="Tahoma" w:hAnsi="Tahoma" w:cs="Tahoma"/>
                <w:sz w:val="13"/>
              </w:rPr>
            </w:pPr>
            <w:r w:rsidRPr="0058047D">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14:paraId="0EEB9806" w14:textId="77777777" w:rsidR="00913A0A" w:rsidRPr="0058047D"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F33C6CA" w14:textId="77777777" w:rsidR="00913A0A" w:rsidRPr="0058047D"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05E1E76"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15</w:t>
            </w:r>
          </w:p>
        </w:tc>
        <w:tc>
          <w:tcPr>
            <w:tcW w:w="429" w:type="dxa"/>
            <w:tcBorders>
              <w:bottom w:val="single" w:sz="4" w:space="0" w:color="auto"/>
            </w:tcBorders>
            <w:shd w:val="clear" w:color="auto" w:fill="auto"/>
            <w:vAlign w:val="center"/>
          </w:tcPr>
          <w:p w14:paraId="35C337B6"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12</w:t>
            </w:r>
          </w:p>
        </w:tc>
        <w:tc>
          <w:tcPr>
            <w:tcW w:w="429" w:type="dxa"/>
            <w:tcBorders>
              <w:bottom w:val="single" w:sz="4" w:space="0" w:color="auto"/>
            </w:tcBorders>
            <w:shd w:val="clear" w:color="auto" w:fill="auto"/>
            <w:vAlign w:val="center"/>
          </w:tcPr>
          <w:p w14:paraId="1D3D065B"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9</w:t>
            </w:r>
          </w:p>
        </w:tc>
        <w:tc>
          <w:tcPr>
            <w:tcW w:w="429" w:type="dxa"/>
            <w:tcBorders>
              <w:bottom w:val="single" w:sz="4" w:space="0" w:color="auto"/>
            </w:tcBorders>
            <w:shd w:val="clear" w:color="auto" w:fill="auto"/>
            <w:vAlign w:val="center"/>
          </w:tcPr>
          <w:p w14:paraId="49298CA0"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9</w:t>
            </w:r>
          </w:p>
        </w:tc>
        <w:tc>
          <w:tcPr>
            <w:tcW w:w="429" w:type="dxa"/>
            <w:tcBorders>
              <w:bottom w:val="single" w:sz="4" w:space="0" w:color="auto"/>
            </w:tcBorders>
            <w:shd w:val="clear" w:color="auto" w:fill="auto"/>
            <w:vAlign w:val="center"/>
          </w:tcPr>
          <w:p w14:paraId="5A04BF79"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03326DA3"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3</w:t>
            </w:r>
          </w:p>
        </w:tc>
        <w:tc>
          <w:tcPr>
            <w:tcW w:w="353" w:type="dxa"/>
            <w:gridSpan w:val="2"/>
            <w:tcBorders>
              <w:left w:val="single" w:sz="18" w:space="0" w:color="auto"/>
              <w:bottom w:val="single" w:sz="4" w:space="0" w:color="auto"/>
            </w:tcBorders>
            <w:shd w:val="clear" w:color="auto" w:fill="auto"/>
            <w:vAlign w:val="center"/>
          </w:tcPr>
          <w:p w14:paraId="40A4B02D" w14:textId="77777777" w:rsidR="00913A0A" w:rsidRPr="0058047D" w:rsidRDefault="00913A0A" w:rsidP="004B3534">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14:paraId="09077D67"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12</w:t>
            </w:r>
          </w:p>
        </w:tc>
        <w:tc>
          <w:tcPr>
            <w:tcW w:w="378" w:type="dxa"/>
            <w:tcBorders>
              <w:bottom w:val="single" w:sz="4" w:space="0" w:color="auto"/>
              <w:right w:val="single" w:sz="18" w:space="0" w:color="auto"/>
            </w:tcBorders>
            <w:shd w:val="clear" w:color="auto" w:fill="auto"/>
            <w:vAlign w:val="center"/>
          </w:tcPr>
          <w:p w14:paraId="7F6294BB"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6</w:t>
            </w:r>
          </w:p>
        </w:tc>
        <w:tc>
          <w:tcPr>
            <w:tcW w:w="414" w:type="dxa"/>
            <w:tcBorders>
              <w:left w:val="single" w:sz="18" w:space="0" w:color="auto"/>
              <w:bottom w:val="single" w:sz="4" w:space="0" w:color="auto"/>
            </w:tcBorders>
            <w:shd w:val="clear" w:color="auto" w:fill="auto"/>
            <w:vAlign w:val="center"/>
          </w:tcPr>
          <w:p w14:paraId="03F0D29B"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405" w:type="dxa"/>
            <w:tcBorders>
              <w:bottom w:val="single" w:sz="4" w:space="0" w:color="auto"/>
              <w:right w:val="single" w:sz="18" w:space="0" w:color="auto"/>
            </w:tcBorders>
            <w:shd w:val="clear" w:color="auto" w:fill="auto"/>
            <w:vAlign w:val="center"/>
          </w:tcPr>
          <w:p w14:paraId="48CC43C6" w14:textId="77777777" w:rsidR="00913A0A" w:rsidRPr="0058047D" w:rsidDel="000365B0" w:rsidRDefault="00913A0A" w:rsidP="004B3534">
            <w:pPr>
              <w:pStyle w:val="TableText"/>
              <w:widowControl w:val="0"/>
              <w:rPr>
                <w:rFonts w:ascii="Tahoma" w:hAnsi="Tahoma" w:cs="Tahoma"/>
                <w:sz w:val="13"/>
              </w:rPr>
            </w:pPr>
            <w:r w:rsidRPr="0058047D">
              <w:rPr>
                <w:rFonts w:ascii="Tahoma" w:hAnsi="Tahoma" w:cs="Tahoma"/>
                <w:sz w:val="13"/>
              </w:rPr>
              <w:t>A,</w:t>
            </w:r>
            <w:r w:rsidR="003740EC">
              <w:rPr>
                <w:rFonts w:ascii="Tahoma" w:hAnsi="Tahoma" w:cs="Tahoma"/>
                <w:sz w:val="13"/>
              </w:rPr>
              <w:t xml:space="preserve"> </w:t>
            </w:r>
            <w:r w:rsidRPr="0058047D">
              <w:rPr>
                <w:rFonts w:ascii="Tahoma" w:hAnsi="Tahoma" w:cs="Tahoma"/>
                <w:sz w:val="13"/>
              </w:rPr>
              <w:t>S</w:t>
            </w:r>
          </w:p>
        </w:tc>
        <w:tc>
          <w:tcPr>
            <w:tcW w:w="405" w:type="dxa"/>
            <w:tcBorders>
              <w:left w:val="single" w:sz="18" w:space="0" w:color="auto"/>
              <w:bottom w:val="single" w:sz="4" w:space="0" w:color="auto"/>
              <w:right w:val="single" w:sz="18" w:space="0" w:color="auto"/>
            </w:tcBorders>
            <w:shd w:val="clear" w:color="auto" w:fill="auto"/>
            <w:vAlign w:val="center"/>
          </w:tcPr>
          <w:p w14:paraId="5F50D6FF"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auto"/>
            <w:vAlign w:val="center"/>
          </w:tcPr>
          <w:p w14:paraId="3B54ED32" w14:textId="77777777" w:rsidR="00913A0A" w:rsidRPr="0058047D" w:rsidRDefault="00913A0A" w:rsidP="00080B33">
            <w:pPr>
              <w:pStyle w:val="TableText"/>
              <w:widowControl w:val="0"/>
              <w:rPr>
                <w:rFonts w:ascii="Tahoma" w:hAnsi="Tahoma" w:cs="Tahoma"/>
                <w:sz w:val="13"/>
              </w:rPr>
            </w:pPr>
            <w:r w:rsidRPr="0058047D">
              <w:rPr>
                <w:rFonts w:ascii="Tahoma" w:hAnsi="Tahoma" w:cs="Tahoma"/>
                <w:sz w:val="13"/>
              </w:rPr>
              <w:t>A (Solo EES)</w:t>
            </w:r>
          </w:p>
        </w:tc>
        <w:tc>
          <w:tcPr>
            <w:tcW w:w="495" w:type="dxa"/>
            <w:tcBorders>
              <w:bottom w:val="single" w:sz="4" w:space="0" w:color="auto"/>
            </w:tcBorders>
            <w:shd w:val="clear" w:color="auto" w:fill="auto"/>
            <w:vAlign w:val="center"/>
          </w:tcPr>
          <w:p w14:paraId="441C7AF8"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OL/SA/OV</w:t>
            </w:r>
          </w:p>
        </w:tc>
        <w:tc>
          <w:tcPr>
            <w:tcW w:w="370" w:type="dxa"/>
            <w:tcBorders>
              <w:bottom w:val="single" w:sz="4" w:space="0" w:color="auto"/>
            </w:tcBorders>
          </w:tcPr>
          <w:p w14:paraId="13A653D6"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STP</w:t>
            </w:r>
          </w:p>
        </w:tc>
      </w:tr>
      <w:tr w:rsidR="008A0F85" w:rsidRPr="0058047D" w14:paraId="1EC64C70" w14:textId="77777777" w:rsidTr="0058047D">
        <w:trPr>
          <w:cantSplit/>
          <w:trHeight w:val="287"/>
        </w:trPr>
        <w:tc>
          <w:tcPr>
            <w:tcW w:w="2371" w:type="dxa"/>
            <w:tcBorders>
              <w:bottom w:val="single" w:sz="4" w:space="0" w:color="auto"/>
            </w:tcBorders>
            <w:shd w:val="clear" w:color="auto" w:fill="FABF8F"/>
            <w:vAlign w:val="center"/>
          </w:tcPr>
          <w:p w14:paraId="497CE396" w14:textId="77777777" w:rsidR="00913A0A" w:rsidRPr="0058047D" w:rsidRDefault="00913A0A" w:rsidP="00E077BC">
            <w:pPr>
              <w:pStyle w:val="Heading2"/>
              <w:spacing w:beforeLines="20" w:before="48" w:afterLines="20" w:after="48"/>
              <w:ind w:left="0"/>
              <w:rPr>
                <w:rFonts w:ascii="Tahoma" w:hAnsi="Tahoma" w:cs="Tahoma"/>
                <w:b w:val="0"/>
                <w:sz w:val="14"/>
              </w:rPr>
            </w:pPr>
            <w:bookmarkStart w:id="42" w:name="_Toc336337860"/>
            <w:bookmarkStart w:id="43" w:name="_Toc371663261"/>
            <w:r w:rsidRPr="0058047D">
              <w:rPr>
                <w:rFonts w:ascii="Tahoma" w:hAnsi="Tahoma" w:cs="Tahoma"/>
                <w:b w:val="0"/>
                <w:sz w:val="14"/>
              </w:rPr>
              <w:t xml:space="preserve">Office 365 Education A3 </w:t>
            </w:r>
            <w:r w:rsidR="00D5491B">
              <w:rPr>
                <w:rFonts w:ascii="Tahoma" w:hAnsi="Tahoma" w:cs="Tahoma"/>
                <w:b w:val="0"/>
                <w:sz w:val="14"/>
              </w:rPr>
              <w:br/>
            </w:r>
            <w:r w:rsidRPr="0058047D">
              <w:rPr>
                <w:rFonts w:ascii="Tahoma" w:hAnsi="Tahoma" w:cs="Tahoma"/>
                <w:b w:val="0"/>
                <w:sz w:val="14"/>
              </w:rPr>
              <w:t>(SL per Utente)</w:t>
            </w:r>
            <w:bookmarkEnd w:id="42"/>
            <w:bookmarkEnd w:id="43"/>
          </w:p>
        </w:tc>
        <w:tc>
          <w:tcPr>
            <w:tcW w:w="429" w:type="dxa"/>
            <w:tcBorders>
              <w:bottom w:val="single" w:sz="4" w:space="0" w:color="auto"/>
            </w:tcBorders>
            <w:shd w:val="clear" w:color="auto" w:fill="FABF8F"/>
            <w:vAlign w:val="center"/>
          </w:tcPr>
          <w:p w14:paraId="5733DBAA" w14:textId="77777777" w:rsidR="00913A0A" w:rsidRPr="0058047D" w:rsidRDefault="00C86F50" w:rsidP="009832D3">
            <w:pPr>
              <w:pStyle w:val="TableText"/>
              <w:widowControl w:val="0"/>
              <w:rPr>
                <w:b/>
                <w:color w:val="0000FF"/>
                <w:sz w:val="13"/>
                <w:szCs w:val="13"/>
                <w:u w:val="single"/>
              </w:rPr>
            </w:pPr>
            <w:hyperlink w:anchor="_5_Office_365_1" w:history="1">
              <w:r w:rsidR="00BF5FC6" w:rsidRPr="0058047D">
                <w:rPr>
                  <w:rStyle w:val="Hyperlink"/>
                  <w:b/>
                  <w:sz w:val="13"/>
                  <w:szCs w:val="13"/>
                </w:rPr>
                <w:t>5</w:t>
              </w:r>
            </w:hyperlink>
          </w:p>
        </w:tc>
        <w:tc>
          <w:tcPr>
            <w:tcW w:w="429" w:type="dxa"/>
            <w:tcBorders>
              <w:bottom w:val="single" w:sz="4" w:space="0" w:color="auto"/>
            </w:tcBorders>
            <w:shd w:val="clear" w:color="auto" w:fill="FABF8F"/>
            <w:vAlign w:val="center"/>
          </w:tcPr>
          <w:p w14:paraId="7B7EF15B" w14:textId="77777777" w:rsidR="00913A0A" w:rsidRPr="0058047D" w:rsidRDefault="00913A0A" w:rsidP="004000C7">
            <w:pPr>
              <w:pStyle w:val="TableText"/>
              <w:widowControl w:val="0"/>
              <w:rPr>
                <w:rFonts w:ascii="Tahoma" w:hAnsi="Tahoma" w:cs="Tahoma"/>
                <w:sz w:val="13"/>
              </w:rPr>
            </w:pPr>
            <w:r w:rsidRPr="0058047D">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4FFE1FC7"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6315E889" w14:textId="77777777" w:rsidR="00913A0A" w:rsidRPr="0058047D"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A86C867" w14:textId="77777777" w:rsidR="00913A0A" w:rsidRPr="0058047D"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C30230" w14:textId="77777777" w:rsidR="00913A0A" w:rsidRPr="0058047D"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37E56B" w14:textId="77777777" w:rsidR="00913A0A" w:rsidRPr="0058047D"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6692EFC" w14:textId="77777777" w:rsidR="00913A0A" w:rsidRPr="0058047D"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C3C4FC9" w14:textId="77777777" w:rsidR="00913A0A" w:rsidRPr="0058047D"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0CDD4D8" w14:textId="77777777" w:rsidR="00913A0A" w:rsidRPr="0058047D" w:rsidRDefault="00913A0A" w:rsidP="004B3534">
            <w:pPr>
              <w:pStyle w:val="TableText"/>
              <w:widowControl w:val="0"/>
              <w:rPr>
                <w:rFonts w:ascii="Tahoma" w:hAnsi="Tahoma" w:cs="Tahoma"/>
                <w:sz w:val="13"/>
              </w:rPr>
            </w:pPr>
          </w:p>
        </w:tc>
        <w:tc>
          <w:tcPr>
            <w:tcW w:w="1091" w:type="dxa"/>
            <w:gridSpan w:val="4"/>
            <w:tcBorders>
              <w:left w:val="single" w:sz="18" w:space="0" w:color="auto"/>
              <w:bottom w:val="single" w:sz="4" w:space="0" w:color="auto"/>
              <w:right w:val="single" w:sz="18" w:space="0" w:color="auto"/>
            </w:tcBorders>
            <w:shd w:val="clear" w:color="auto" w:fill="FABF8F"/>
            <w:vAlign w:val="center"/>
          </w:tcPr>
          <w:p w14:paraId="636B4200"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2</w:t>
            </w:r>
          </w:p>
        </w:tc>
        <w:tc>
          <w:tcPr>
            <w:tcW w:w="414" w:type="dxa"/>
            <w:tcBorders>
              <w:left w:val="single" w:sz="18" w:space="0" w:color="auto"/>
              <w:bottom w:val="single" w:sz="4" w:space="0" w:color="auto"/>
            </w:tcBorders>
            <w:shd w:val="clear" w:color="auto" w:fill="FABF8F"/>
            <w:vAlign w:val="center"/>
          </w:tcPr>
          <w:p w14:paraId="24CFEA8B"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2</w:t>
            </w:r>
          </w:p>
        </w:tc>
        <w:tc>
          <w:tcPr>
            <w:tcW w:w="405" w:type="dxa"/>
            <w:tcBorders>
              <w:bottom w:val="single" w:sz="4" w:space="0" w:color="auto"/>
              <w:right w:val="single" w:sz="18" w:space="0" w:color="auto"/>
            </w:tcBorders>
            <w:shd w:val="clear" w:color="auto" w:fill="FABF8F"/>
            <w:vAlign w:val="center"/>
          </w:tcPr>
          <w:p w14:paraId="5765A997" w14:textId="77777777" w:rsidR="00913A0A" w:rsidRPr="0058047D" w:rsidDel="000365B0" w:rsidRDefault="00913A0A" w:rsidP="004B3534">
            <w:pPr>
              <w:pStyle w:val="TableText"/>
              <w:widowControl w:val="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227F08D"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FABF8F"/>
            <w:vAlign w:val="center"/>
          </w:tcPr>
          <w:p w14:paraId="0144443E" w14:textId="77777777" w:rsidR="00913A0A" w:rsidRPr="0058047D" w:rsidRDefault="00913A0A" w:rsidP="00520AA4">
            <w:pPr>
              <w:pStyle w:val="TableText"/>
              <w:widowControl w:val="0"/>
              <w:rPr>
                <w:rFonts w:ascii="Tahoma" w:hAnsi="Tahoma" w:cs="Tahoma"/>
                <w:sz w:val="13"/>
              </w:rPr>
            </w:pPr>
            <w:r w:rsidRPr="0058047D">
              <w:rPr>
                <w:rFonts w:ascii="Tahoma" w:hAnsi="Tahoma" w:cs="Tahoma"/>
                <w:sz w:val="13"/>
              </w:rPr>
              <w:t xml:space="preserve">EOLS (EES), A, ST </w:t>
            </w:r>
            <w:r w:rsidR="00D5491B">
              <w:rPr>
                <w:rFonts w:ascii="Tahoma" w:hAnsi="Tahoma" w:cs="Tahoma"/>
                <w:sz w:val="13"/>
              </w:rPr>
              <w:br/>
            </w:r>
            <w:r w:rsidRPr="0058047D">
              <w:rPr>
                <w:rFonts w:ascii="Tahoma" w:hAnsi="Tahoma" w:cs="Tahoma"/>
                <w:sz w:val="13"/>
              </w:rPr>
              <w:t>(OVS-ES)</w:t>
            </w:r>
          </w:p>
        </w:tc>
        <w:tc>
          <w:tcPr>
            <w:tcW w:w="495" w:type="dxa"/>
            <w:tcBorders>
              <w:bottom w:val="single" w:sz="4" w:space="0" w:color="auto"/>
            </w:tcBorders>
            <w:shd w:val="clear" w:color="auto" w:fill="FABF8F"/>
            <w:vAlign w:val="center"/>
          </w:tcPr>
          <w:p w14:paraId="32FAAB1B"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OL</w:t>
            </w:r>
          </w:p>
        </w:tc>
        <w:tc>
          <w:tcPr>
            <w:tcW w:w="370" w:type="dxa"/>
            <w:tcBorders>
              <w:bottom w:val="single" w:sz="4" w:space="0" w:color="auto"/>
            </w:tcBorders>
            <w:shd w:val="clear" w:color="auto" w:fill="FABF8F"/>
          </w:tcPr>
          <w:p w14:paraId="55830792" w14:textId="77777777" w:rsidR="00913A0A" w:rsidRPr="0058047D" w:rsidRDefault="00913A0A" w:rsidP="004B3534">
            <w:pPr>
              <w:pStyle w:val="TableText"/>
              <w:widowControl w:val="0"/>
              <w:rPr>
                <w:rFonts w:ascii="Tahoma" w:hAnsi="Tahoma" w:cs="Tahoma"/>
                <w:sz w:val="13"/>
              </w:rPr>
            </w:pPr>
          </w:p>
        </w:tc>
      </w:tr>
      <w:tr w:rsidR="00913A0A" w:rsidRPr="0058047D" w14:paraId="41A78F0F" w14:textId="77777777" w:rsidTr="0058047D">
        <w:trPr>
          <w:cantSplit/>
          <w:trHeight w:val="287"/>
        </w:trPr>
        <w:tc>
          <w:tcPr>
            <w:tcW w:w="2371" w:type="dxa"/>
            <w:tcBorders>
              <w:bottom w:val="single" w:sz="4" w:space="0" w:color="auto"/>
            </w:tcBorders>
            <w:shd w:val="clear" w:color="auto" w:fill="auto"/>
            <w:vAlign w:val="center"/>
          </w:tcPr>
          <w:p w14:paraId="386F1F22" w14:textId="77777777" w:rsidR="00913A0A" w:rsidRPr="0058047D" w:rsidRDefault="00913A0A" w:rsidP="00E077BC">
            <w:pPr>
              <w:pStyle w:val="Heading2"/>
              <w:spacing w:beforeLines="20" w:before="48" w:afterLines="20" w:after="48"/>
              <w:ind w:left="0"/>
              <w:rPr>
                <w:rFonts w:ascii="Tahoma" w:hAnsi="Tahoma" w:cs="Tahoma"/>
                <w:b w:val="0"/>
                <w:sz w:val="14"/>
              </w:rPr>
            </w:pPr>
            <w:bookmarkStart w:id="44" w:name="_Toc371663262"/>
            <w:r w:rsidRPr="0058047D">
              <w:rPr>
                <w:rFonts w:ascii="Tahoma" w:hAnsi="Tahoma" w:cs="Tahoma"/>
                <w:b w:val="0"/>
                <w:sz w:val="14"/>
              </w:rPr>
              <w:t xml:space="preserve">Office 365 Education A4 </w:t>
            </w:r>
            <w:r w:rsidR="00D5491B">
              <w:rPr>
                <w:rFonts w:ascii="Tahoma" w:hAnsi="Tahoma" w:cs="Tahoma"/>
                <w:b w:val="0"/>
                <w:sz w:val="14"/>
              </w:rPr>
              <w:br/>
            </w:r>
            <w:r w:rsidRPr="0058047D">
              <w:rPr>
                <w:rFonts w:ascii="Tahoma" w:hAnsi="Tahoma" w:cs="Tahoma"/>
                <w:b w:val="0"/>
                <w:sz w:val="14"/>
              </w:rPr>
              <w:t>(SL per Utente)</w:t>
            </w:r>
            <w:bookmarkEnd w:id="44"/>
          </w:p>
        </w:tc>
        <w:tc>
          <w:tcPr>
            <w:tcW w:w="429" w:type="dxa"/>
            <w:tcBorders>
              <w:bottom w:val="single" w:sz="4" w:space="0" w:color="auto"/>
            </w:tcBorders>
            <w:shd w:val="clear" w:color="auto" w:fill="auto"/>
            <w:vAlign w:val="center"/>
          </w:tcPr>
          <w:p w14:paraId="1A0A28E8" w14:textId="77777777" w:rsidR="00913A0A" w:rsidRPr="0058047D" w:rsidRDefault="00C86F50" w:rsidP="009578A2">
            <w:pPr>
              <w:pStyle w:val="TableText"/>
              <w:widowControl w:val="0"/>
            </w:pPr>
            <w:hyperlink w:anchor="_5_Office_365_1" w:history="1">
              <w:r w:rsidR="00BF5FC6" w:rsidRPr="0058047D">
                <w:rPr>
                  <w:rStyle w:val="Hyperlink"/>
                  <w:b/>
                  <w:sz w:val="13"/>
                  <w:szCs w:val="13"/>
                </w:rPr>
                <w:t>5</w:t>
              </w:r>
            </w:hyperlink>
          </w:p>
        </w:tc>
        <w:tc>
          <w:tcPr>
            <w:tcW w:w="429" w:type="dxa"/>
            <w:tcBorders>
              <w:bottom w:val="single" w:sz="4" w:space="0" w:color="auto"/>
            </w:tcBorders>
            <w:shd w:val="clear" w:color="auto" w:fill="auto"/>
            <w:vAlign w:val="center"/>
          </w:tcPr>
          <w:p w14:paraId="12CFFFAF" w14:textId="77777777" w:rsidR="00913A0A" w:rsidRPr="0058047D" w:rsidRDefault="00913A0A" w:rsidP="009578A2">
            <w:pPr>
              <w:pStyle w:val="TableText"/>
              <w:widowControl w:val="0"/>
              <w:rPr>
                <w:rFonts w:ascii="Tahoma" w:hAnsi="Tahoma" w:cs="Tahoma"/>
                <w:sz w:val="13"/>
              </w:rPr>
            </w:pPr>
            <w:r w:rsidRPr="0058047D">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5090A747" w14:textId="77777777" w:rsidR="00913A0A" w:rsidRPr="0058047D" w:rsidRDefault="00913A0A" w:rsidP="009578A2">
            <w:pPr>
              <w:pStyle w:val="TableText"/>
              <w:widowControl w:val="0"/>
              <w:rPr>
                <w:rFonts w:ascii="Tahoma" w:hAnsi="Tahoma" w:cs="Tahoma"/>
                <w:sz w:val="13"/>
              </w:rPr>
            </w:pPr>
            <w:r w:rsidRPr="0058047D">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586E2C4D" w14:textId="77777777" w:rsidR="00913A0A" w:rsidRPr="0058047D"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5A67A30" w14:textId="77777777" w:rsidR="00913A0A" w:rsidRPr="0058047D"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EAA52B7" w14:textId="77777777" w:rsidR="00913A0A" w:rsidRPr="0058047D"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733F0B3" w14:textId="77777777" w:rsidR="00913A0A" w:rsidRPr="0058047D"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EA5E208" w14:textId="77777777" w:rsidR="00913A0A" w:rsidRPr="0058047D"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CDD5966" w14:textId="77777777" w:rsidR="00913A0A" w:rsidRPr="0058047D" w:rsidRDefault="00913A0A" w:rsidP="009578A2">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2BB67B6" w14:textId="77777777" w:rsidR="00913A0A" w:rsidRPr="0058047D" w:rsidRDefault="00913A0A" w:rsidP="009578A2">
            <w:pPr>
              <w:pStyle w:val="TableText"/>
              <w:widowControl w:val="0"/>
              <w:rPr>
                <w:rFonts w:ascii="Tahoma" w:hAnsi="Tahoma" w:cs="Tahoma"/>
                <w:sz w:val="13"/>
              </w:rPr>
            </w:pPr>
          </w:p>
        </w:tc>
        <w:tc>
          <w:tcPr>
            <w:tcW w:w="1091" w:type="dxa"/>
            <w:gridSpan w:val="4"/>
            <w:tcBorders>
              <w:left w:val="single" w:sz="18" w:space="0" w:color="auto"/>
              <w:bottom w:val="single" w:sz="4" w:space="0" w:color="auto"/>
              <w:right w:val="single" w:sz="18" w:space="0" w:color="auto"/>
            </w:tcBorders>
            <w:shd w:val="clear" w:color="auto" w:fill="auto"/>
            <w:vAlign w:val="center"/>
          </w:tcPr>
          <w:p w14:paraId="3A8679CC" w14:textId="77777777" w:rsidR="00913A0A" w:rsidRPr="0058047D" w:rsidRDefault="00520AA4" w:rsidP="009578A2">
            <w:pPr>
              <w:pStyle w:val="TableText"/>
              <w:widowControl w:val="0"/>
              <w:rPr>
                <w:rFonts w:ascii="Tahoma" w:hAnsi="Tahoma" w:cs="Tahoma"/>
                <w:sz w:val="13"/>
              </w:rPr>
            </w:pPr>
            <w:r w:rsidRPr="0058047D">
              <w:rPr>
                <w:rFonts w:ascii="Tahoma" w:hAnsi="Tahoma" w:cs="Tahoma"/>
                <w:sz w:val="13"/>
              </w:rPr>
              <w:t>2</w:t>
            </w:r>
          </w:p>
        </w:tc>
        <w:tc>
          <w:tcPr>
            <w:tcW w:w="414" w:type="dxa"/>
            <w:tcBorders>
              <w:left w:val="single" w:sz="18" w:space="0" w:color="auto"/>
              <w:bottom w:val="single" w:sz="4" w:space="0" w:color="auto"/>
            </w:tcBorders>
            <w:shd w:val="clear" w:color="auto" w:fill="auto"/>
            <w:vAlign w:val="center"/>
          </w:tcPr>
          <w:p w14:paraId="53FB684A" w14:textId="77777777" w:rsidR="00913A0A" w:rsidRPr="0058047D" w:rsidRDefault="00913A0A" w:rsidP="009578A2">
            <w:pPr>
              <w:pStyle w:val="TableText"/>
              <w:widowControl w:val="0"/>
              <w:rPr>
                <w:rFonts w:ascii="Tahoma" w:hAnsi="Tahoma" w:cs="Tahoma"/>
                <w:sz w:val="13"/>
              </w:rPr>
            </w:pPr>
            <w:r w:rsidRPr="0058047D">
              <w:rPr>
                <w:rFonts w:ascii="Tahoma" w:hAnsi="Tahoma" w:cs="Tahoma"/>
                <w:sz w:val="13"/>
              </w:rPr>
              <w:t>2</w:t>
            </w:r>
          </w:p>
        </w:tc>
        <w:tc>
          <w:tcPr>
            <w:tcW w:w="405" w:type="dxa"/>
            <w:tcBorders>
              <w:bottom w:val="single" w:sz="4" w:space="0" w:color="auto"/>
              <w:right w:val="single" w:sz="18" w:space="0" w:color="auto"/>
            </w:tcBorders>
            <w:shd w:val="clear" w:color="auto" w:fill="auto"/>
            <w:vAlign w:val="center"/>
          </w:tcPr>
          <w:p w14:paraId="6EDCCF46" w14:textId="77777777" w:rsidR="00913A0A" w:rsidRPr="0058047D" w:rsidRDefault="00913A0A" w:rsidP="009578A2">
            <w:pPr>
              <w:pStyle w:val="TableText"/>
              <w:widowControl w:val="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28089BF4" w14:textId="77777777" w:rsidR="00913A0A" w:rsidRPr="0058047D" w:rsidRDefault="00520AA4" w:rsidP="009578A2">
            <w:pPr>
              <w:pStyle w:val="TableText"/>
              <w:widowControl w:val="0"/>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auto"/>
            <w:vAlign w:val="center"/>
          </w:tcPr>
          <w:p w14:paraId="6D53AC4A" w14:textId="77777777" w:rsidR="00913A0A" w:rsidRPr="0058047D" w:rsidRDefault="00913A0A" w:rsidP="009578A2">
            <w:pPr>
              <w:pStyle w:val="TableText"/>
              <w:widowControl w:val="0"/>
              <w:rPr>
                <w:rFonts w:ascii="Tahoma" w:hAnsi="Tahoma" w:cs="Tahoma"/>
                <w:sz w:val="13"/>
              </w:rPr>
            </w:pPr>
            <w:r w:rsidRPr="0058047D">
              <w:rPr>
                <w:rFonts w:ascii="Tahoma" w:hAnsi="Tahoma" w:cs="Tahoma"/>
                <w:sz w:val="13"/>
              </w:rPr>
              <w:t xml:space="preserve">EOLS </w:t>
            </w:r>
            <w:r w:rsidR="00D5491B">
              <w:rPr>
                <w:rFonts w:ascii="Tahoma" w:hAnsi="Tahoma" w:cs="Tahoma"/>
                <w:sz w:val="13"/>
              </w:rPr>
              <w:br/>
            </w:r>
            <w:r w:rsidRPr="0058047D">
              <w:rPr>
                <w:rFonts w:ascii="Tahoma" w:hAnsi="Tahoma" w:cs="Tahoma"/>
                <w:sz w:val="13"/>
              </w:rPr>
              <w:t>(Solo EES)</w:t>
            </w:r>
          </w:p>
        </w:tc>
        <w:tc>
          <w:tcPr>
            <w:tcW w:w="495" w:type="dxa"/>
            <w:tcBorders>
              <w:bottom w:val="single" w:sz="4" w:space="0" w:color="auto"/>
            </w:tcBorders>
            <w:shd w:val="clear" w:color="auto" w:fill="auto"/>
            <w:vAlign w:val="center"/>
          </w:tcPr>
          <w:p w14:paraId="3E058C1E" w14:textId="77777777" w:rsidR="00913A0A" w:rsidRPr="0058047D" w:rsidRDefault="00520AA4" w:rsidP="009578A2">
            <w:pPr>
              <w:pStyle w:val="TableText"/>
              <w:widowControl w:val="0"/>
              <w:rPr>
                <w:rFonts w:ascii="Tahoma" w:hAnsi="Tahoma" w:cs="Tahoma"/>
                <w:sz w:val="13"/>
              </w:rPr>
            </w:pPr>
            <w:r w:rsidRPr="0058047D">
              <w:rPr>
                <w:rFonts w:ascii="Tahoma" w:hAnsi="Tahoma" w:cs="Tahoma"/>
                <w:sz w:val="13"/>
              </w:rPr>
              <w:t>OL/OV</w:t>
            </w:r>
          </w:p>
        </w:tc>
        <w:tc>
          <w:tcPr>
            <w:tcW w:w="370" w:type="dxa"/>
            <w:tcBorders>
              <w:bottom w:val="single" w:sz="4" w:space="0" w:color="auto"/>
            </w:tcBorders>
          </w:tcPr>
          <w:p w14:paraId="75DD30D7" w14:textId="77777777" w:rsidR="00913A0A" w:rsidRPr="0058047D" w:rsidRDefault="00913A0A" w:rsidP="009578A2">
            <w:pPr>
              <w:pStyle w:val="TableText"/>
              <w:widowControl w:val="0"/>
              <w:rPr>
                <w:rFonts w:ascii="Tahoma" w:hAnsi="Tahoma" w:cs="Tahoma"/>
                <w:sz w:val="13"/>
              </w:rPr>
            </w:pPr>
          </w:p>
        </w:tc>
      </w:tr>
      <w:tr w:rsidR="008A0F85" w:rsidRPr="0058047D" w14:paraId="0617E1FF" w14:textId="77777777" w:rsidTr="0058047D">
        <w:trPr>
          <w:cantSplit/>
          <w:trHeight w:val="287"/>
        </w:trPr>
        <w:tc>
          <w:tcPr>
            <w:tcW w:w="2371" w:type="dxa"/>
            <w:tcBorders>
              <w:bottom w:val="single" w:sz="4" w:space="0" w:color="auto"/>
            </w:tcBorders>
            <w:shd w:val="clear" w:color="auto" w:fill="FABF8F"/>
            <w:vAlign w:val="center"/>
          </w:tcPr>
          <w:p w14:paraId="5427FC1A" w14:textId="77777777" w:rsidR="00913A0A" w:rsidRPr="0058047D" w:rsidRDefault="00913A0A" w:rsidP="00E077BC">
            <w:pPr>
              <w:pStyle w:val="Heading2"/>
              <w:spacing w:beforeLines="20" w:before="48" w:afterLines="20" w:after="48"/>
              <w:ind w:left="0"/>
              <w:rPr>
                <w:rFonts w:ascii="Tahoma" w:hAnsi="Tahoma" w:cs="Tahoma"/>
                <w:b w:val="0"/>
                <w:sz w:val="14"/>
              </w:rPr>
            </w:pPr>
            <w:bookmarkStart w:id="45" w:name="_Toc371663263"/>
            <w:r w:rsidRPr="0058047D">
              <w:rPr>
                <w:rFonts w:ascii="Tahoma" w:hAnsi="Tahoma" w:cs="Tahoma"/>
                <w:b w:val="0"/>
                <w:sz w:val="14"/>
              </w:rPr>
              <w:t xml:space="preserve">Office 365 Midsize Business </w:t>
            </w:r>
            <w:r w:rsidR="00D5491B">
              <w:rPr>
                <w:rFonts w:ascii="Tahoma" w:hAnsi="Tahoma" w:cs="Tahoma"/>
                <w:b w:val="0"/>
                <w:sz w:val="14"/>
              </w:rPr>
              <w:br/>
            </w:r>
            <w:r w:rsidRPr="0058047D">
              <w:rPr>
                <w:rFonts w:ascii="Tahoma" w:hAnsi="Tahoma" w:cs="Tahoma"/>
                <w:b w:val="0"/>
                <w:sz w:val="14"/>
              </w:rPr>
              <w:t>(SL per Utente)</w:t>
            </w:r>
            <w:bookmarkEnd w:id="45"/>
          </w:p>
        </w:tc>
        <w:tc>
          <w:tcPr>
            <w:tcW w:w="429" w:type="dxa"/>
            <w:tcBorders>
              <w:bottom w:val="single" w:sz="4" w:space="0" w:color="auto"/>
            </w:tcBorders>
            <w:shd w:val="clear" w:color="auto" w:fill="FABF8F"/>
            <w:vAlign w:val="center"/>
          </w:tcPr>
          <w:p w14:paraId="1CFF607E" w14:textId="77777777" w:rsidR="00913A0A" w:rsidRPr="0058047D" w:rsidRDefault="00C86F50" w:rsidP="009832D3">
            <w:pPr>
              <w:pStyle w:val="TableText"/>
              <w:widowControl w:val="0"/>
              <w:rPr>
                <w:b/>
                <w:sz w:val="13"/>
                <w:szCs w:val="13"/>
              </w:rPr>
            </w:pPr>
            <w:hyperlink w:anchor="_7_Office_365" w:history="1">
              <w:r w:rsidR="00BF5FC6" w:rsidRPr="0058047D">
                <w:rPr>
                  <w:rStyle w:val="Hyperlink"/>
                  <w:b/>
                  <w:sz w:val="13"/>
                  <w:szCs w:val="13"/>
                </w:rPr>
                <w:t>6</w:t>
              </w:r>
            </w:hyperlink>
          </w:p>
        </w:tc>
        <w:tc>
          <w:tcPr>
            <w:tcW w:w="429" w:type="dxa"/>
            <w:tcBorders>
              <w:bottom w:val="single" w:sz="4" w:space="0" w:color="auto"/>
            </w:tcBorders>
            <w:shd w:val="clear" w:color="auto" w:fill="FABF8F"/>
            <w:vAlign w:val="center"/>
          </w:tcPr>
          <w:p w14:paraId="0C257C98" w14:textId="77777777" w:rsidR="00913A0A" w:rsidRPr="0058047D" w:rsidRDefault="00913A0A" w:rsidP="004000C7">
            <w:pPr>
              <w:pStyle w:val="TableText"/>
              <w:widowControl w:val="0"/>
              <w:rPr>
                <w:rFonts w:ascii="Tahoma" w:hAnsi="Tahoma" w:cs="Tahoma"/>
                <w:sz w:val="13"/>
              </w:rPr>
            </w:pPr>
            <w:r w:rsidRPr="0058047D">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15299D40" w14:textId="77777777" w:rsidR="00913A0A" w:rsidRPr="0058047D"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8826568" w14:textId="77777777" w:rsidR="00913A0A" w:rsidRPr="0058047D"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D7939B9" w14:textId="77777777" w:rsidR="00913A0A" w:rsidRPr="0058047D"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EA83A42" w14:textId="77777777" w:rsidR="00913A0A" w:rsidRPr="0058047D"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6CFDDD4" w14:textId="77777777" w:rsidR="00913A0A" w:rsidRPr="0058047D"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F7DDE91" w14:textId="77777777" w:rsidR="00913A0A" w:rsidRPr="0058047D"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AD01E45" w14:textId="77777777" w:rsidR="00913A0A" w:rsidRPr="0058047D"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D25FC61" w14:textId="77777777" w:rsidR="00913A0A" w:rsidRPr="0058047D" w:rsidRDefault="00913A0A" w:rsidP="004B3534">
            <w:pPr>
              <w:pStyle w:val="TableText"/>
              <w:widowControl w:val="0"/>
              <w:rPr>
                <w:rFonts w:ascii="Tahoma" w:hAnsi="Tahoma" w:cs="Tahoma"/>
                <w:sz w:val="13"/>
              </w:rPr>
            </w:pPr>
          </w:p>
        </w:tc>
        <w:tc>
          <w:tcPr>
            <w:tcW w:w="1091" w:type="dxa"/>
            <w:gridSpan w:val="4"/>
            <w:tcBorders>
              <w:left w:val="single" w:sz="18" w:space="0" w:color="auto"/>
              <w:bottom w:val="single" w:sz="4" w:space="0" w:color="auto"/>
              <w:right w:val="single" w:sz="18" w:space="0" w:color="auto"/>
            </w:tcBorders>
            <w:shd w:val="clear" w:color="auto" w:fill="FABF8F"/>
            <w:vAlign w:val="center"/>
          </w:tcPr>
          <w:p w14:paraId="655001BC"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1</w:t>
            </w:r>
          </w:p>
        </w:tc>
        <w:tc>
          <w:tcPr>
            <w:tcW w:w="414" w:type="dxa"/>
            <w:tcBorders>
              <w:left w:val="single" w:sz="18" w:space="0" w:color="auto"/>
              <w:bottom w:val="single" w:sz="4" w:space="0" w:color="auto"/>
            </w:tcBorders>
            <w:shd w:val="clear" w:color="auto" w:fill="FABF8F"/>
            <w:vAlign w:val="center"/>
          </w:tcPr>
          <w:p w14:paraId="495F63BC" w14:textId="77777777" w:rsidR="00913A0A" w:rsidRPr="0058047D" w:rsidRDefault="00913A0A" w:rsidP="004B3534">
            <w:pPr>
              <w:pStyle w:val="TableText"/>
              <w:widowControl w:val="0"/>
              <w:rPr>
                <w:rFonts w:ascii="Tahoma" w:hAnsi="Tahoma" w:cs="Tahoma"/>
                <w:sz w:val="13"/>
              </w:rPr>
            </w:pPr>
          </w:p>
        </w:tc>
        <w:tc>
          <w:tcPr>
            <w:tcW w:w="405" w:type="dxa"/>
            <w:tcBorders>
              <w:bottom w:val="single" w:sz="4" w:space="0" w:color="auto"/>
              <w:right w:val="single" w:sz="18" w:space="0" w:color="auto"/>
            </w:tcBorders>
            <w:shd w:val="clear" w:color="auto" w:fill="FABF8F"/>
            <w:vAlign w:val="center"/>
          </w:tcPr>
          <w:p w14:paraId="6B82065A" w14:textId="77777777" w:rsidR="00913A0A" w:rsidRPr="0058047D" w:rsidRDefault="00913A0A" w:rsidP="00CC19FC">
            <w:pPr>
              <w:pStyle w:val="TableText"/>
              <w:widowControl w:val="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63A897A"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FABF8F"/>
            <w:vAlign w:val="center"/>
          </w:tcPr>
          <w:p w14:paraId="3EB904FB" w14:textId="77777777" w:rsidR="00913A0A" w:rsidRPr="0058047D" w:rsidRDefault="00913A0A" w:rsidP="00080B33">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5B00EE2B" w14:textId="77777777" w:rsidR="00913A0A" w:rsidRPr="0058047D" w:rsidRDefault="00913A0A" w:rsidP="004B3534">
            <w:pPr>
              <w:pStyle w:val="TableText"/>
              <w:widowControl w:val="0"/>
              <w:rPr>
                <w:rFonts w:ascii="Tahoma" w:hAnsi="Tahoma" w:cs="Tahoma"/>
                <w:sz w:val="13"/>
              </w:rPr>
            </w:pPr>
            <w:r w:rsidRPr="0058047D">
              <w:rPr>
                <w:rFonts w:ascii="Tahoma" w:hAnsi="Tahoma" w:cs="Tahoma"/>
                <w:sz w:val="13"/>
              </w:rPr>
              <w:t>OL/OV</w:t>
            </w:r>
          </w:p>
        </w:tc>
        <w:tc>
          <w:tcPr>
            <w:tcW w:w="370" w:type="dxa"/>
            <w:tcBorders>
              <w:bottom w:val="single" w:sz="4" w:space="0" w:color="auto"/>
            </w:tcBorders>
            <w:shd w:val="clear" w:color="auto" w:fill="FABF8F"/>
          </w:tcPr>
          <w:p w14:paraId="4DBDD16B" w14:textId="77777777" w:rsidR="00913A0A" w:rsidRPr="0058047D" w:rsidRDefault="00913A0A" w:rsidP="004B3534">
            <w:pPr>
              <w:pStyle w:val="TableText"/>
              <w:widowControl w:val="0"/>
              <w:rPr>
                <w:rFonts w:ascii="Tahoma" w:hAnsi="Tahoma" w:cs="Tahoma"/>
                <w:sz w:val="13"/>
              </w:rPr>
            </w:pPr>
          </w:p>
        </w:tc>
      </w:tr>
      <w:tr w:rsidR="008A0F85" w:rsidRPr="0058047D" w14:paraId="21890D72" w14:textId="77777777" w:rsidTr="0058047D">
        <w:trPr>
          <w:cantSplit/>
          <w:trHeight w:val="287"/>
        </w:trPr>
        <w:tc>
          <w:tcPr>
            <w:tcW w:w="2371" w:type="dxa"/>
            <w:tcBorders>
              <w:bottom w:val="single" w:sz="4" w:space="0" w:color="auto"/>
            </w:tcBorders>
            <w:shd w:val="clear" w:color="auto" w:fill="FFFFFF" w:themeFill="background1"/>
            <w:vAlign w:val="center"/>
          </w:tcPr>
          <w:p w14:paraId="5D45AB3B" w14:textId="77777777" w:rsidR="00913A0A" w:rsidRPr="003F471F" w:rsidRDefault="00913A0A" w:rsidP="00E077BC">
            <w:pPr>
              <w:pStyle w:val="Heading2"/>
              <w:spacing w:beforeLines="20" w:before="48" w:afterLines="20" w:after="48"/>
              <w:ind w:left="0"/>
              <w:rPr>
                <w:rFonts w:ascii="Tahoma" w:hAnsi="Tahoma" w:cs="Tahoma"/>
                <w:b w:val="0"/>
                <w:sz w:val="14"/>
                <w:lang w:val="it-IT"/>
              </w:rPr>
            </w:pPr>
            <w:bookmarkStart w:id="46" w:name="_Toc371663264"/>
            <w:r w:rsidRPr="003F471F">
              <w:rPr>
                <w:rFonts w:ascii="Tahoma" w:hAnsi="Tahoma" w:cs="Tahoma"/>
                <w:b w:val="0"/>
                <w:sz w:val="14"/>
                <w:lang w:val="it-IT"/>
              </w:rPr>
              <w:t>Componente Aggiuntivo di Office 365 Enterprise E3, E4 (SL per Utente)</w:t>
            </w:r>
            <w:bookmarkEnd w:id="46"/>
          </w:p>
        </w:tc>
        <w:tc>
          <w:tcPr>
            <w:tcW w:w="429" w:type="dxa"/>
            <w:tcBorders>
              <w:bottom w:val="single" w:sz="4" w:space="0" w:color="auto"/>
            </w:tcBorders>
            <w:shd w:val="clear" w:color="auto" w:fill="FFFFFF" w:themeFill="background1"/>
            <w:vAlign w:val="center"/>
          </w:tcPr>
          <w:p w14:paraId="54C6EE18" w14:textId="77777777" w:rsidR="00913A0A" w:rsidRPr="0058047D" w:rsidRDefault="00C86F50" w:rsidP="009832D3">
            <w:pPr>
              <w:pStyle w:val="TableText"/>
              <w:widowControl w:val="0"/>
              <w:rPr>
                <w:b/>
                <w:sz w:val="13"/>
                <w:szCs w:val="13"/>
              </w:rPr>
            </w:pPr>
            <w:hyperlink w:anchor="_7_Licenze_Subscription" w:history="1">
              <w:r w:rsidR="00BF5FC6" w:rsidRPr="0058047D">
                <w:rPr>
                  <w:rStyle w:val="Hyperlink"/>
                  <w:b/>
                  <w:sz w:val="13"/>
                  <w:szCs w:val="13"/>
                </w:rPr>
                <w:t>7</w:t>
              </w:r>
            </w:hyperlink>
          </w:p>
        </w:tc>
        <w:tc>
          <w:tcPr>
            <w:tcW w:w="429" w:type="dxa"/>
            <w:tcBorders>
              <w:bottom w:val="single" w:sz="4" w:space="0" w:color="auto"/>
            </w:tcBorders>
            <w:shd w:val="clear" w:color="auto" w:fill="FFFFFF" w:themeFill="background1"/>
            <w:vAlign w:val="center"/>
          </w:tcPr>
          <w:p w14:paraId="6EA8EBA1" w14:textId="77777777" w:rsidR="00913A0A" w:rsidRPr="0058047D" w:rsidRDefault="00913A0A" w:rsidP="004000C7">
            <w:pPr>
              <w:pStyle w:val="TableText"/>
              <w:widowControl w:val="0"/>
              <w:rPr>
                <w:rFonts w:ascii="Tahoma" w:hAnsi="Tahoma" w:cs="Tahoma"/>
                <w:sz w:val="13"/>
              </w:rPr>
            </w:pPr>
            <w:r w:rsidRPr="0058047D">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61646251" w14:textId="77777777" w:rsidR="00913A0A" w:rsidRPr="0058047D"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631CADBE" w14:textId="77777777" w:rsidR="00913A0A" w:rsidRPr="0058047D"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E423693" w14:textId="77777777" w:rsidR="00913A0A" w:rsidRPr="0058047D"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2D349C77" w14:textId="77777777" w:rsidR="00913A0A" w:rsidRPr="0058047D"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6634CC2" w14:textId="77777777" w:rsidR="00913A0A" w:rsidRPr="0058047D"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A848BEA" w14:textId="77777777" w:rsidR="00913A0A" w:rsidRPr="0058047D"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9F856E5" w14:textId="77777777" w:rsidR="00913A0A" w:rsidRPr="0058047D"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172A3C3A" w14:textId="77777777" w:rsidR="00913A0A" w:rsidRPr="0058047D" w:rsidRDefault="00913A0A" w:rsidP="004B3534">
            <w:pPr>
              <w:pStyle w:val="TableText"/>
              <w:widowControl w:val="0"/>
              <w:rPr>
                <w:rFonts w:ascii="Tahoma" w:hAnsi="Tahoma" w:cs="Tahoma"/>
                <w:sz w:val="13"/>
              </w:rPr>
            </w:pPr>
          </w:p>
        </w:tc>
        <w:tc>
          <w:tcPr>
            <w:tcW w:w="353" w:type="dxa"/>
            <w:gridSpan w:val="2"/>
            <w:tcBorders>
              <w:left w:val="single" w:sz="18" w:space="0" w:color="auto"/>
              <w:bottom w:val="single" w:sz="4" w:space="0" w:color="auto"/>
            </w:tcBorders>
            <w:shd w:val="clear" w:color="auto" w:fill="FFFFFF" w:themeFill="background1"/>
            <w:vAlign w:val="center"/>
          </w:tcPr>
          <w:p w14:paraId="4A5536EA" w14:textId="77777777" w:rsidR="00913A0A" w:rsidRPr="0058047D" w:rsidRDefault="00913A0A" w:rsidP="004B3534">
            <w:pPr>
              <w:pStyle w:val="TableText"/>
              <w:widowControl w:val="0"/>
              <w:rPr>
                <w:rFonts w:ascii="Tahoma" w:hAnsi="Tahoma" w:cs="Tahoma"/>
                <w:sz w:val="13"/>
              </w:rPr>
            </w:pPr>
          </w:p>
        </w:tc>
        <w:tc>
          <w:tcPr>
            <w:tcW w:w="360" w:type="dxa"/>
            <w:tcBorders>
              <w:bottom w:val="single" w:sz="4" w:space="0" w:color="auto"/>
            </w:tcBorders>
            <w:shd w:val="clear" w:color="auto" w:fill="FFFFFF" w:themeFill="background1"/>
            <w:vAlign w:val="center"/>
          </w:tcPr>
          <w:p w14:paraId="4228918A" w14:textId="77777777" w:rsidR="00913A0A" w:rsidRPr="0058047D" w:rsidRDefault="00913A0A"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FFFFF" w:themeFill="background1"/>
            <w:vAlign w:val="center"/>
          </w:tcPr>
          <w:p w14:paraId="29642F81" w14:textId="77777777" w:rsidR="00913A0A" w:rsidRPr="0058047D" w:rsidRDefault="00913A0A" w:rsidP="004B3534">
            <w:pPr>
              <w:pStyle w:val="TableText"/>
              <w:widowControl w:val="0"/>
              <w:rPr>
                <w:rFonts w:ascii="Tahoma" w:hAnsi="Tahoma" w:cs="Tahoma"/>
                <w:sz w:val="13"/>
              </w:rPr>
            </w:pPr>
          </w:p>
        </w:tc>
        <w:tc>
          <w:tcPr>
            <w:tcW w:w="414" w:type="dxa"/>
            <w:tcBorders>
              <w:left w:val="single" w:sz="18" w:space="0" w:color="auto"/>
              <w:bottom w:val="single" w:sz="4" w:space="0" w:color="auto"/>
            </w:tcBorders>
            <w:shd w:val="clear" w:color="auto" w:fill="FFFFFF" w:themeFill="background1"/>
            <w:vAlign w:val="center"/>
          </w:tcPr>
          <w:p w14:paraId="037F2F93" w14:textId="77777777" w:rsidR="00913A0A" w:rsidRPr="0058047D" w:rsidRDefault="00913A0A" w:rsidP="004B3534">
            <w:pPr>
              <w:pStyle w:val="TableText"/>
              <w:widowControl w:val="0"/>
              <w:rPr>
                <w:rFonts w:ascii="Tahoma" w:hAnsi="Tahoma" w:cs="Tahoma"/>
                <w:sz w:val="13"/>
              </w:rPr>
            </w:pPr>
          </w:p>
        </w:tc>
        <w:tc>
          <w:tcPr>
            <w:tcW w:w="405" w:type="dxa"/>
            <w:tcBorders>
              <w:bottom w:val="single" w:sz="4" w:space="0" w:color="auto"/>
              <w:right w:val="single" w:sz="18" w:space="0" w:color="auto"/>
            </w:tcBorders>
            <w:shd w:val="clear" w:color="auto" w:fill="FFFFFF" w:themeFill="background1"/>
            <w:vAlign w:val="center"/>
          </w:tcPr>
          <w:p w14:paraId="4150C75C" w14:textId="77777777" w:rsidR="00913A0A" w:rsidRPr="0058047D" w:rsidRDefault="00913A0A" w:rsidP="00CC19FC">
            <w:pPr>
              <w:pStyle w:val="TableText"/>
              <w:widowControl w:val="0"/>
              <w:rPr>
                <w:rFonts w:ascii="Tahoma" w:hAnsi="Tahoma" w:cs="Tahoma"/>
                <w:sz w:val="13"/>
              </w:rPr>
            </w:pPr>
            <w:r w:rsidRPr="0058047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FFFFF" w:themeFill="background1"/>
            <w:vAlign w:val="center"/>
          </w:tcPr>
          <w:p w14:paraId="52FCEDA9" w14:textId="77777777" w:rsidR="00913A0A" w:rsidRPr="0058047D" w:rsidRDefault="00913A0A" w:rsidP="004B3534">
            <w:pPr>
              <w:pStyle w:val="TableText"/>
              <w:widowControl w:val="0"/>
              <w:rPr>
                <w:rFonts w:ascii="Tahoma" w:hAnsi="Tahoma" w:cs="Tahoma"/>
                <w:sz w:val="13"/>
              </w:rPr>
            </w:pPr>
          </w:p>
        </w:tc>
        <w:tc>
          <w:tcPr>
            <w:tcW w:w="810" w:type="dxa"/>
            <w:tcBorders>
              <w:bottom w:val="single" w:sz="4" w:space="0" w:color="auto"/>
            </w:tcBorders>
            <w:shd w:val="clear" w:color="auto" w:fill="FFFFFF" w:themeFill="background1"/>
            <w:vAlign w:val="center"/>
          </w:tcPr>
          <w:p w14:paraId="4C36530C" w14:textId="77777777" w:rsidR="00913A0A" w:rsidRPr="0058047D" w:rsidRDefault="00913A0A" w:rsidP="00080B33">
            <w:pPr>
              <w:pStyle w:val="TableText"/>
              <w:widowControl w:val="0"/>
              <w:rPr>
                <w:rFonts w:ascii="Tahoma" w:hAnsi="Tahoma" w:cs="Tahoma"/>
                <w:sz w:val="13"/>
              </w:rPr>
            </w:pPr>
          </w:p>
        </w:tc>
        <w:tc>
          <w:tcPr>
            <w:tcW w:w="495" w:type="dxa"/>
            <w:tcBorders>
              <w:bottom w:val="single" w:sz="4" w:space="0" w:color="auto"/>
            </w:tcBorders>
            <w:shd w:val="clear" w:color="auto" w:fill="FFFFFF" w:themeFill="background1"/>
            <w:vAlign w:val="center"/>
          </w:tcPr>
          <w:p w14:paraId="5B1CC75A" w14:textId="77777777" w:rsidR="00913A0A" w:rsidRPr="0058047D" w:rsidRDefault="00913A0A" w:rsidP="004B3534">
            <w:pPr>
              <w:pStyle w:val="TableText"/>
              <w:widowControl w:val="0"/>
              <w:rPr>
                <w:rFonts w:ascii="Tahoma" w:hAnsi="Tahoma" w:cs="Tahoma"/>
                <w:sz w:val="13"/>
              </w:rPr>
            </w:pPr>
          </w:p>
        </w:tc>
        <w:tc>
          <w:tcPr>
            <w:tcW w:w="370" w:type="dxa"/>
            <w:tcBorders>
              <w:bottom w:val="single" w:sz="4" w:space="0" w:color="auto"/>
            </w:tcBorders>
            <w:shd w:val="clear" w:color="auto" w:fill="FFFFFF" w:themeFill="background1"/>
          </w:tcPr>
          <w:p w14:paraId="7A18B949" w14:textId="77777777" w:rsidR="00913A0A" w:rsidRPr="0058047D" w:rsidRDefault="00913A0A" w:rsidP="004B3534">
            <w:pPr>
              <w:pStyle w:val="TableText"/>
              <w:widowControl w:val="0"/>
              <w:rPr>
                <w:rFonts w:ascii="Tahoma" w:hAnsi="Tahoma" w:cs="Tahoma"/>
                <w:sz w:val="13"/>
              </w:rPr>
            </w:pPr>
          </w:p>
        </w:tc>
      </w:tr>
      <w:tr w:rsidR="000956ED" w:rsidRPr="0058047D" w14:paraId="1A6E460E" w14:textId="77777777" w:rsidTr="0058047D">
        <w:trPr>
          <w:cantSplit/>
          <w:trHeight w:val="287"/>
        </w:trPr>
        <w:tc>
          <w:tcPr>
            <w:tcW w:w="2371" w:type="dxa"/>
            <w:tcBorders>
              <w:bottom w:val="single" w:sz="4" w:space="0" w:color="auto"/>
            </w:tcBorders>
            <w:shd w:val="clear" w:color="auto" w:fill="FABF8F"/>
            <w:vAlign w:val="center"/>
          </w:tcPr>
          <w:p w14:paraId="21D5A5DC" w14:textId="77777777" w:rsidR="000956ED" w:rsidRPr="003F471F" w:rsidRDefault="000956ED" w:rsidP="00E077BC">
            <w:pPr>
              <w:pStyle w:val="Heading2"/>
              <w:spacing w:beforeLines="20" w:before="48" w:afterLines="20" w:after="48"/>
              <w:ind w:left="0"/>
              <w:rPr>
                <w:rFonts w:ascii="Tahoma" w:hAnsi="Tahoma" w:cs="Tahoma"/>
                <w:b w:val="0"/>
                <w:sz w:val="14"/>
                <w:lang w:val="it-IT"/>
              </w:rPr>
            </w:pPr>
            <w:bookmarkStart w:id="47" w:name="_Toc291024473"/>
            <w:bookmarkStart w:id="48" w:name="_Toc336337862"/>
            <w:bookmarkStart w:id="49" w:name="_Toc371663265"/>
            <w:r w:rsidRPr="003F471F">
              <w:rPr>
                <w:rFonts w:ascii="Tahoma" w:hAnsi="Tahoma" w:cs="Tahoma"/>
                <w:b w:val="0"/>
                <w:sz w:val="14"/>
                <w:lang w:val="it-IT"/>
              </w:rPr>
              <w:t xml:space="preserve">Office 365 Enterprise E3 </w:t>
            </w:r>
            <w:r w:rsidR="00D5491B" w:rsidRPr="003F471F">
              <w:rPr>
                <w:rFonts w:ascii="Tahoma" w:hAnsi="Tahoma" w:cs="Tahoma"/>
                <w:b w:val="0"/>
                <w:sz w:val="14"/>
                <w:lang w:val="it-IT"/>
              </w:rPr>
              <w:br/>
            </w:r>
            <w:r w:rsidRPr="003F471F">
              <w:rPr>
                <w:rFonts w:ascii="Tahoma" w:hAnsi="Tahoma" w:cs="Tahoma"/>
                <w:b w:val="0"/>
                <w:sz w:val="14"/>
                <w:lang w:val="it-IT"/>
              </w:rPr>
              <w:t>(SL per Utente)</w:t>
            </w:r>
            <w:bookmarkEnd w:id="47"/>
            <w:bookmarkEnd w:id="48"/>
            <w:bookmarkEnd w:id="49"/>
          </w:p>
        </w:tc>
        <w:tc>
          <w:tcPr>
            <w:tcW w:w="429" w:type="dxa"/>
            <w:tcBorders>
              <w:bottom w:val="single" w:sz="4" w:space="0" w:color="auto"/>
            </w:tcBorders>
            <w:shd w:val="clear" w:color="auto" w:fill="FABF8F"/>
            <w:vAlign w:val="center"/>
          </w:tcPr>
          <w:p w14:paraId="1C489B6D" w14:textId="77777777" w:rsidR="000956ED" w:rsidRPr="0058047D" w:rsidRDefault="00C86F50" w:rsidP="00B0065F">
            <w:pPr>
              <w:pStyle w:val="TableText"/>
              <w:widowControl w:val="0"/>
              <w:rPr>
                <w:b/>
                <w:color w:val="0000FF"/>
                <w:sz w:val="13"/>
                <w:szCs w:val="13"/>
                <w:u w:val="single"/>
              </w:rPr>
            </w:pPr>
            <w:hyperlink w:anchor="_7_Office_365_1" w:history="1">
              <w:r w:rsidR="00BF5FC6" w:rsidRPr="0058047D">
                <w:rPr>
                  <w:rStyle w:val="Hyperlink"/>
                  <w:b/>
                  <w:sz w:val="13"/>
                  <w:szCs w:val="13"/>
                </w:rPr>
                <w:t>8</w:t>
              </w:r>
            </w:hyperlink>
            <w:hyperlink w:anchor="_65_Office_365" w:history="1"/>
          </w:p>
        </w:tc>
        <w:tc>
          <w:tcPr>
            <w:tcW w:w="429" w:type="dxa"/>
            <w:tcBorders>
              <w:bottom w:val="single" w:sz="4" w:space="0" w:color="auto"/>
            </w:tcBorders>
            <w:shd w:val="clear" w:color="auto" w:fill="FABF8F"/>
            <w:vAlign w:val="center"/>
          </w:tcPr>
          <w:p w14:paraId="287F6869" w14:textId="77777777" w:rsidR="000956ED" w:rsidRPr="0058047D" w:rsidRDefault="000956ED" w:rsidP="004000C7">
            <w:pPr>
              <w:pStyle w:val="TableText"/>
              <w:widowControl w:val="0"/>
              <w:rPr>
                <w:rFonts w:ascii="Tahoma" w:hAnsi="Tahoma" w:cs="Tahoma"/>
                <w:sz w:val="13"/>
              </w:rPr>
            </w:pPr>
            <w:r w:rsidRPr="0058047D">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3AD54662" w14:textId="77777777" w:rsidR="000956ED" w:rsidRPr="0058047D" w:rsidRDefault="000956ED" w:rsidP="004B3534">
            <w:pPr>
              <w:pStyle w:val="TableText"/>
              <w:widowControl w:val="0"/>
              <w:rPr>
                <w:rFonts w:ascii="Tahoma" w:hAnsi="Tahoma" w:cs="Tahoma"/>
                <w:sz w:val="13"/>
              </w:rPr>
            </w:pPr>
            <w:r w:rsidRPr="0058047D">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22F9E6F5" w14:textId="77777777" w:rsidR="000956ED" w:rsidRPr="0058047D"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81E182C" w14:textId="77777777" w:rsidR="000956ED" w:rsidRPr="0058047D"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59241A6" w14:textId="77777777" w:rsidR="000956ED" w:rsidRPr="0058047D"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6ED6C33" w14:textId="77777777" w:rsidR="000956ED" w:rsidRPr="0058047D"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D5CB3C6" w14:textId="77777777" w:rsidR="000956ED" w:rsidRPr="0058047D"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8698533" w14:textId="77777777" w:rsidR="000956ED" w:rsidRPr="0058047D"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327E04E" w14:textId="77777777" w:rsidR="000956ED" w:rsidRPr="0058047D" w:rsidRDefault="000956ED" w:rsidP="004B3534">
            <w:pPr>
              <w:pStyle w:val="TableText"/>
              <w:widowControl w:val="0"/>
              <w:rPr>
                <w:rFonts w:ascii="Tahoma" w:hAnsi="Tahoma" w:cs="Tahoma"/>
                <w:sz w:val="13"/>
              </w:rPr>
            </w:pPr>
          </w:p>
        </w:tc>
        <w:tc>
          <w:tcPr>
            <w:tcW w:w="1091" w:type="dxa"/>
            <w:gridSpan w:val="4"/>
            <w:tcBorders>
              <w:left w:val="single" w:sz="18" w:space="0" w:color="auto"/>
              <w:bottom w:val="single" w:sz="4" w:space="0" w:color="auto"/>
              <w:right w:val="single" w:sz="18" w:space="0" w:color="auto"/>
            </w:tcBorders>
            <w:shd w:val="clear" w:color="auto" w:fill="FABF8F"/>
            <w:vAlign w:val="center"/>
          </w:tcPr>
          <w:p w14:paraId="2BD4BDAB" w14:textId="77777777" w:rsidR="000956ED" w:rsidRPr="0058047D" w:rsidRDefault="000956ED" w:rsidP="004B3534">
            <w:pPr>
              <w:pStyle w:val="TableText"/>
              <w:widowControl w:val="0"/>
              <w:rPr>
                <w:rFonts w:ascii="Tahoma" w:hAnsi="Tahoma" w:cs="Tahoma"/>
                <w:sz w:val="13"/>
              </w:rPr>
            </w:pPr>
            <w:r w:rsidRPr="0058047D">
              <w:rPr>
                <w:rFonts w:ascii="Tahoma" w:hAnsi="Tahoma" w:cs="Tahoma"/>
                <w:sz w:val="13"/>
              </w:rPr>
              <w:t>2</w:t>
            </w:r>
          </w:p>
        </w:tc>
        <w:tc>
          <w:tcPr>
            <w:tcW w:w="414" w:type="dxa"/>
            <w:tcBorders>
              <w:left w:val="single" w:sz="18" w:space="0" w:color="auto"/>
              <w:bottom w:val="single" w:sz="4" w:space="0" w:color="auto"/>
            </w:tcBorders>
            <w:shd w:val="clear" w:color="auto" w:fill="FABF8F"/>
            <w:vAlign w:val="center"/>
          </w:tcPr>
          <w:p w14:paraId="1B7D1ED8" w14:textId="77777777" w:rsidR="000956ED" w:rsidRPr="0058047D" w:rsidRDefault="000956ED" w:rsidP="004B3534">
            <w:pPr>
              <w:pStyle w:val="TableText"/>
              <w:widowControl w:val="0"/>
              <w:rPr>
                <w:rFonts w:ascii="Tahoma" w:hAnsi="Tahoma" w:cs="Tahoma"/>
                <w:sz w:val="13"/>
              </w:rPr>
            </w:pPr>
          </w:p>
        </w:tc>
        <w:tc>
          <w:tcPr>
            <w:tcW w:w="405" w:type="dxa"/>
            <w:tcBorders>
              <w:bottom w:val="single" w:sz="4" w:space="0" w:color="auto"/>
              <w:right w:val="single" w:sz="18" w:space="0" w:color="auto"/>
            </w:tcBorders>
            <w:shd w:val="clear" w:color="auto" w:fill="FABF8F"/>
            <w:vAlign w:val="center"/>
          </w:tcPr>
          <w:p w14:paraId="2A150728" w14:textId="77777777" w:rsidR="000956ED" w:rsidRPr="0058047D" w:rsidRDefault="000956ED" w:rsidP="004B3534">
            <w:pPr>
              <w:pStyle w:val="TableText"/>
              <w:widowControl w:val="0"/>
              <w:rPr>
                <w:rFonts w:ascii="Tahoma" w:hAnsi="Tahoma" w:cs="Tahoma"/>
                <w:sz w:val="13"/>
              </w:rPr>
            </w:pPr>
            <w:r w:rsidRPr="0058047D">
              <w:rPr>
                <w:rFonts w:ascii="Tahoma" w:hAnsi="Tahoma" w:cs="Tahoma"/>
                <w:sz w:val="13"/>
              </w:rPr>
              <w:t>EOLS</w:t>
            </w:r>
          </w:p>
        </w:tc>
        <w:tc>
          <w:tcPr>
            <w:tcW w:w="405" w:type="dxa"/>
            <w:tcBorders>
              <w:left w:val="single" w:sz="18" w:space="0" w:color="auto"/>
              <w:bottom w:val="single" w:sz="4" w:space="0" w:color="auto"/>
              <w:right w:val="single" w:sz="18" w:space="0" w:color="auto"/>
            </w:tcBorders>
            <w:shd w:val="clear" w:color="auto" w:fill="FABF8F"/>
            <w:vAlign w:val="center"/>
          </w:tcPr>
          <w:p w14:paraId="03C05656" w14:textId="77777777" w:rsidR="000956ED" w:rsidRPr="0058047D" w:rsidRDefault="000956ED" w:rsidP="004B3534">
            <w:pPr>
              <w:pStyle w:val="TableText"/>
              <w:widowControl w:val="0"/>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FABF8F"/>
            <w:vAlign w:val="center"/>
          </w:tcPr>
          <w:p w14:paraId="04BCDBB1" w14:textId="77777777" w:rsidR="000956ED" w:rsidRPr="0058047D" w:rsidRDefault="000956ED" w:rsidP="00080B33">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5C44BC7D" w14:textId="77777777" w:rsidR="000956ED" w:rsidRPr="0058047D" w:rsidRDefault="000956ED" w:rsidP="004B3534">
            <w:pPr>
              <w:pStyle w:val="TableText"/>
              <w:widowControl w:val="0"/>
              <w:rPr>
                <w:rFonts w:ascii="Tahoma" w:hAnsi="Tahoma" w:cs="Tahoma"/>
                <w:sz w:val="13"/>
              </w:rPr>
            </w:pPr>
            <w:r w:rsidRPr="0058047D">
              <w:rPr>
                <w:rFonts w:ascii="Tahoma" w:hAnsi="Tahoma" w:cs="Tahoma"/>
                <w:sz w:val="13"/>
              </w:rPr>
              <w:t>OL/OV</w:t>
            </w:r>
          </w:p>
        </w:tc>
        <w:tc>
          <w:tcPr>
            <w:tcW w:w="370" w:type="dxa"/>
            <w:tcBorders>
              <w:bottom w:val="single" w:sz="4" w:space="0" w:color="auto"/>
            </w:tcBorders>
            <w:shd w:val="clear" w:color="auto" w:fill="FABF8F"/>
          </w:tcPr>
          <w:p w14:paraId="53FFE12C" w14:textId="77777777" w:rsidR="000956ED" w:rsidRPr="0058047D" w:rsidRDefault="000956ED" w:rsidP="004B3534">
            <w:pPr>
              <w:pStyle w:val="TableText"/>
              <w:widowControl w:val="0"/>
              <w:rPr>
                <w:rFonts w:ascii="Tahoma" w:hAnsi="Tahoma" w:cs="Tahoma"/>
                <w:sz w:val="13"/>
              </w:rPr>
            </w:pPr>
          </w:p>
        </w:tc>
      </w:tr>
      <w:tr w:rsidR="00520AA4" w:rsidRPr="0058047D" w14:paraId="133368A9" w14:textId="77777777" w:rsidTr="0058047D">
        <w:trPr>
          <w:cantSplit/>
          <w:trHeight w:val="287"/>
        </w:trPr>
        <w:tc>
          <w:tcPr>
            <w:tcW w:w="2371" w:type="dxa"/>
            <w:tcBorders>
              <w:bottom w:val="single" w:sz="4" w:space="0" w:color="auto"/>
            </w:tcBorders>
            <w:shd w:val="clear" w:color="auto" w:fill="FFFFFF" w:themeFill="background1"/>
            <w:vAlign w:val="center"/>
          </w:tcPr>
          <w:p w14:paraId="13823E3C" w14:textId="77777777" w:rsidR="00520AA4" w:rsidRPr="003F471F" w:rsidRDefault="00520AA4" w:rsidP="00E077BC">
            <w:pPr>
              <w:pStyle w:val="Heading2"/>
              <w:spacing w:beforeLines="20" w:before="48" w:afterLines="20" w:after="48"/>
              <w:ind w:left="0"/>
              <w:rPr>
                <w:rFonts w:ascii="Tahoma" w:hAnsi="Tahoma" w:cs="Tahoma"/>
                <w:b w:val="0"/>
                <w:sz w:val="14"/>
                <w:lang w:val="it-IT"/>
              </w:rPr>
            </w:pPr>
            <w:bookmarkStart w:id="50" w:name="_Toc371663266"/>
            <w:r w:rsidRPr="003F471F">
              <w:rPr>
                <w:rFonts w:ascii="Tahoma" w:hAnsi="Tahoma" w:cs="Tahoma"/>
                <w:b w:val="0"/>
                <w:sz w:val="14"/>
                <w:lang w:val="it-IT"/>
              </w:rPr>
              <w:t xml:space="preserve">Office 365 Enterprise E4 </w:t>
            </w:r>
            <w:r w:rsidR="00D5491B" w:rsidRPr="003F471F">
              <w:rPr>
                <w:rFonts w:ascii="Tahoma" w:hAnsi="Tahoma" w:cs="Tahoma"/>
                <w:b w:val="0"/>
                <w:sz w:val="14"/>
                <w:lang w:val="it-IT"/>
              </w:rPr>
              <w:br/>
            </w:r>
            <w:r w:rsidRPr="003F471F">
              <w:rPr>
                <w:rFonts w:ascii="Tahoma" w:hAnsi="Tahoma" w:cs="Tahoma"/>
                <w:b w:val="0"/>
                <w:sz w:val="14"/>
                <w:lang w:val="it-IT"/>
              </w:rPr>
              <w:t>(SL per Utente)</w:t>
            </w:r>
            <w:bookmarkEnd w:id="50"/>
          </w:p>
        </w:tc>
        <w:tc>
          <w:tcPr>
            <w:tcW w:w="429" w:type="dxa"/>
            <w:tcBorders>
              <w:bottom w:val="single" w:sz="4" w:space="0" w:color="auto"/>
            </w:tcBorders>
            <w:shd w:val="clear" w:color="auto" w:fill="FFFFFF" w:themeFill="background1"/>
            <w:vAlign w:val="center"/>
          </w:tcPr>
          <w:p w14:paraId="069A51A7" w14:textId="77777777" w:rsidR="00520AA4" w:rsidRPr="0058047D" w:rsidRDefault="00C86F50" w:rsidP="00D55AB9">
            <w:pPr>
              <w:pStyle w:val="TableText"/>
              <w:widowControl w:val="0"/>
            </w:pPr>
            <w:hyperlink w:anchor="_7_Office_365_1" w:history="1">
              <w:r w:rsidR="00737018" w:rsidRPr="0058047D">
                <w:rPr>
                  <w:rStyle w:val="Hyperlink"/>
                  <w:b/>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14:paraId="693B1C94" w14:textId="77777777" w:rsidR="00520AA4" w:rsidRPr="0058047D" w:rsidRDefault="00520AA4" w:rsidP="00D55AB9">
            <w:pPr>
              <w:pStyle w:val="TableText"/>
              <w:widowControl w:val="0"/>
              <w:rPr>
                <w:rFonts w:ascii="Tahoma" w:hAnsi="Tahoma" w:cs="Tahoma"/>
                <w:sz w:val="13"/>
              </w:rPr>
            </w:pPr>
            <w:r w:rsidRPr="0058047D">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14:paraId="1BC43A5A" w14:textId="77777777" w:rsidR="00520AA4" w:rsidRPr="0058047D" w:rsidRDefault="00520AA4" w:rsidP="00D55AB9">
            <w:pPr>
              <w:pStyle w:val="TableText"/>
              <w:widowControl w:val="0"/>
              <w:rPr>
                <w:rFonts w:ascii="Tahoma" w:hAnsi="Tahoma" w:cs="Tahoma"/>
                <w:sz w:val="13"/>
              </w:rPr>
            </w:pPr>
            <w:r w:rsidRPr="0058047D">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14:paraId="51FF4757" w14:textId="77777777" w:rsidR="00520AA4" w:rsidRPr="0058047D"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960BABC" w14:textId="77777777" w:rsidR="00520AA4" w:rsidRPr="0058047D"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EE887E1" w14:textId="77777777" w:rsidR="00520AA4" w:rsidRPr="0058047D"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9B18473" w14:textId="77777777" w:rsidR="00520AA4" w:rsidRPr="0058047D"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A331516" w14:textId="77777777" w:rsidR="00520AA4" w:rsidRPr="0058047D"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64BC9048" w14:textId="77777777" w:rsidR="00520AA4" w:rsidRPr="0058047D" w:rsidRDefault="00520AA4"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30F80934" w14:textId="77777777" w:rsidR="00520AA4" w:rsidRPr="0058047D" w:rsidRDefault="00520AA4" w:rsidP="00D55AB9">
            <w:pPr>
              <w:pStyle w:val="TableText"/>
              <w:widowControl w:val="0"/>
              <w:rPr>
                <w:rFonts w:ascii="Tahoma" w:hAnsi="Tahoma" w:cs="Tahoma"/>
                <w:sz w:val="13"/>
              </w:rPr>
            </w:pPr>
          </w:p>
        </w:tc>
        <w:tc>
          <w:tcPr>
            <w:tcW w:w="1091" w:type="dxa"/>
            <w:gridSpan w:val="4"/>
            <w:tcBorders>
              <w:left w:val="single" w:sz="18" w:space="0" w:color="auto"/>
              <w:bottom w:val="single" w:sz="4" w:space="0" w:color="auto"/>
              <w:right w:val="single" w:sz="18" w:space="0" w:color="auto"/>
            </w:tcBorders>
            <w:shd w:val="clear" w:color="auto" w:fill="FFFFFF" w:themeFill="background1"/>
            <w:vAlign w:val="center"/>
          </w:tcPr>
          <w:p w14:paraId="3685CAB6" w14:textId="77777777" w:rsidR="00520AA4" w:rsidRPr="0058047D" w:rsidRDefault="00520AA4" w:rsidP="00D55AB9">
            <w:pPr>
              <w:pStyle w:val="TableText"/>
              <w:widowControl w:val="0"/>
              <w:rPr>
                <w:rFonts w:ascii="Tahoma" w:hAnsi="Tahoma" w:cs="Tahoma"/>
                <w:sz w:val="13"/>
              </w:rPr>
            </w:pPr>
            <w:r w:rsidRPr="0058047D">
              <w:rPr>
                <w:rFonts w:ascii="Tahoma" w:hAnsi="Tahoma" w:cs="Tahoma"/>
                <w:sz w:val="13"/>
              </w:rPr>
              <w:t>2</w:t>
            </w:r>
          </w:p>
        </w:tc>
        <w:tc>
          <w:tcPr>
            <w:tcW w:w="414" w:type="dxa"/>
            <w:tcBorders>
              <w:left w:val="single" w:sz="18" w:space="0" w:color="auto"/>
              <w:bottom w:val="single" w:sz="4" w:space="0" w:color="auto"/>
            </w:tcBorders>
            <w:shd w:val="clear" w:color="auto" w:fill="FFFFFF" w:themeFill="background1"/>
            <w:vAlign w:val="center"/>
          </w:tcPr>
          <w:p w14:paraId="45BE7225" w14:textId="77777777" w:rsidR="00520AA4" w:rsidRPr="0058047D" w:rsidRDefault="00520AA4" w:rsidP="00D55AB9">
            <w:pPr>
              <w:pStyle w:val="TableText"/>
              <w:widowControl w:val="0"/>
              <w:rPr>
                <w:rFonts w:ascii="Tahoma" w:hAnsi="Tahoma" w:cs="Tahoma"/>
                <w:sz w:val="13"/>
              </w:rPr>
            </w:pPr>
          </w:p>
        </w:tc>
        <w:tc>
          <w:tcPr>
            <w:tcW w:w="405" w:type="dxa"/>
            <w:tcBorders>
              <w:bottom w:val="single" w:sz="4" w:space="0" w:color="auto"/>
              <w:right w:val="single" w:sz="18" w:space="0" w:color="auto"/>
            </w:tcBorders>
            <w:shd w:val="clear" w:color="auto" w:fill="FFFFFF" w:themeFill="background1"/>
            <w:vAlign w:val="center"/>
          </w:tcPr>
          <w:p w14:paraId="362DE0F7" w14:textId="77777777" w:rsidR="00520AA4" w:rsidRPr="0058047D" w:rsidRDefault="00520AA4" w:rsidP="00D55AB9">
            <w:pPr>
              <w:pStyle w:val="TableText"/>
              <w:widowControl w:val="0"/>
              <w:rPr>
                <w:rFonts w:ascii="Tahoma" w:hAnsi="Tahoma" w:cs="Tahoma"/>
                <w:sz w:val="13"/>
              </w:rPr>
            </w:pPr>
            <w:r w:rsidRPr="0058047D">
              <w:rPr>
                <w:rFonts w:ascii="Tahoma" w:hAnsi="Tahoma" w:cs="Tahoma"/>
                <w:sz w:val="13"/>
              </w:rPr>
              <w:t>EOLS</w:t>
            </w:r>
          </w:p>
        </w:tc>
        <w:tc>
          <w:tcPr>
            <w:tcW w:w="405" w:type="dxa"/>
            <w:tcBorders>
              <w:left w:val="single" w:sz="18" w:space="0" w:color="auto"/>
              <w:bottom w:val="single" w:sz="4" w:space="0" w:color="auto"/>
              <w:right w:val="single" w:sz="18" w:space="0" w:color="auto"/>
            </w:tcBorders>
            <w:shd w:val="clear" w:color="auto" w:fill="FFFFFF" w:themeFill="background1"/>
            <w:vAlign w:val="center"/>
          </w:tcPr>
          <w:p w14:paraId="191C304F" w14:textId="77777777" w:rsidR="00520AA4" w:rsidRPr="0058047D" w:rsidRDefault="00520AA4" w:rsidP="00D55AB9">
            <w:pPr>
              <w:pStyle w:val="TableText"/>
              <w:widowControl w:val="0"/>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FFFFFF" w:themeFill="background1"/>
            <w:vAlign w:val="center"/>
          </w:tcPr>
          <w:p w14:paraId="69761299" w14:textId="77777777" w:rsidR="00520AA4" w:rsidRPr="0058047D" w:rsidRDefault="00520AA4" w:rsidP="00D55AB9">
            <w:pPr>
              <w:pStyle w:val="TableText"/>
              <w:widowControl w:val="0"/>
              <w:rPr>
                <w:rFonts w:ascii="Tahoma" w:hAnsi="Tahoma" w:cs="Tahoma"/>
                <w:sz w:val="13"/>
              </w:rPr>
            </w:pPr>
          </w:p>
        </w:tc>
        <w:tc>
          <w:tcPr>
            <w:tcW w:w="495" w:type="dxa"/>
            <w:tcBorders>
              <w:bottom w:val="single" w:sz="4" w:space="0" w:color="auto"/>
            </w:tcBorders>
            <w:shd w:val="clear" w:color="auto" w:fill="FFFFFF" w:themeFill="background1"/>
            <w:vAlign w:val="center"/>
          </w:tcPr>
          <w:p w14:paraId="71B477DB" w14:textId="77777777" w:rsidR="00520AA4" w:rsidRPr="0058047D" w:rsidRDefault="00520AA4" w:rsidP="00D55AB9">
            <w:pPr>
              <w:pStyle w:val="TableText"/>
              <w:widowControl w:val="0"/>
              <w:rPr>
                <w:rFonts w:ascii="Tahoma" w:hAnsi="Tahoma" w:cs="Tahoma"/>
                <w:sz w:val="13"/>
              </w:rPr>
            </w:pPr>
            <w:r w:rsidRPr="0058047D">
              <w:rPr>
                <w:rFonts w:ascii="Tahoma" w:hAnsi="Tahoma" w:cs="Tahoma"/>
                <w:sz w:val="13"/>
              </w:rPr>
              <w:t>OL/OV</w:t>
            </w:r>
          </w:p>
        </w:tc>
        <w:tc>
          <w:tcPr>
            <w:tcW w:w="370" w:type="dxa"/>
            <w:tcBorders>
              <w:bottom w:val="single" w:sz="4" w:space="0" w:color="auto"/>
            </w:tcBorders>
            <w:shd w:val="clear" w:color="auto" w:fill="FFFFFF" w:themeFill="background1"/>
          </w:tcPr>
          <w:p w14:paraId="33670B90" w14:textId="77777777" w:rsidR="00520AA4" w:rsidRPr="0058047D" w:rsidRDefault="00520AA4" w:rsidP="00D55AB9">
            <w:pPr>
              <w:pStyle w:val="TableText"/>
              <w:widowControl w:val="0"/>
              <w:rPr>
                <w:rFonts w:ascii="Tahoma" w:hAnsi="Tahoma" w:cs="Tahoma"/>
                <w:sz w:val="13"/>
              </w:rPr>
            </w:pPr>
          </w:p>
        </w:tc>
      </w:tr>
      <w:tr w:rsidR="008A0F85" w:rsidRPr="0058047D" w14:paraId="3E8D52BC" w14:textId="77777777" w:rsidTr="00D5491B">
        <w:trPr>
          <w:cantSplit/>
          <w:trHeight w:val="287"/>
        </w:trPr>
        <w:tc>
          <w:tcPr>
            <w:tcW w:w="2371" w:type="dxa"/>
            <w:tcBorders>
              <w:bottom w:val="single" w:sz="4" w:space="0" w:color="auto"/>
            </w:tcBorders>
            <w:shd w:val="clear" w:color="auto" w:fill="FABF8F"/>
            <w:vAlign w:val="center"/>
          </w:tcPr>
          <w:p w14:paraId="3642CA9A" w14:textId="77777777" w:rsidR="00913A0A" w:rsidRPr="003F471F" w:rsidRDefault="00913A0A" w:rsidP="00E077BC">
            <w:pPr>
              <w:pStyle w:val="Heading2"/>
              <w:spacing w:beforeLines="20" w:before="48" w:afterLines="20" w:after="48"/>
              <w:ind w:left="0"/>
              <w:rPr>
                <w:rFonts w:ascii="Tahoma" w:hAnsi="Tahoma" w:cs="Tahoma"/>
                <w:b w:val="0"/>
                <w:sz w:val="14"/>
                <w:lang w:val="it-IT"/>
              </w:rPr>
            </w:pPr>
            <w:bookmarkStart w:id="51" w:name="_Toc371663267"/>
            <w:r w:rsidRPr="003F471F">
              <w:rPr>
                <w:rFonts w:ascii="Tahoma" w:hAnsi="Tahoma" w:cs="Tahoma"/>
                <w:b w:val="0"/>
                <w:sz w:val="14"/>
                <w:lang w:val="it-IT"/>
              </w:rPr>
              <w:t>Componente Aggiuntivo di Office 365 Government G3, G4 (SL per Utente)</w:t>
            </w:r>
            <w:bookmarkEnd w:id="51"/>
          </w:p>
        </w:tc>
        <w:tc>
          <w:tcPr>
            <w:tcW w:w="429" w:type="dxa"/>
            <w:tcBorders>
              <w:bottom w:val="single" w:sz="4" w:space="0" w:color="auto"/>
            </w:tcBorders>
            <w:shd w:val="clear" w:color="auto" w:fill="FABF8F"/>
            <w:vAlign w:val="center"/>
          </w:tcPr>
          <w:p w14:paraId="3B633A0E" w14:textId="77777777" w:rsidR="00913A0A" w:rsidRPr="0058047D" w:rsidRDefault="00C86F50" w:rsidP="00D55AB9">
            <w:pPr>
              <w:pStyle w:val="TableText"/>
              <w:widowControl w:val="0"/>
            </w:pPr>
            <w:hyperlink w:anchor="_7_Licenze_Subscription" w:history="1">
              <w:r w:rsidR="00737018" w:rsidRPr="0058047D">
                <w:rPr>
                  <w:rStyle w:val="Hyperlink"/>
                  <w:b/>
                  <w:sz w:val="13"/>
                  <w:szCs w:val="13"/>
                </w:rPr>
                <w:t>7</w:t>
              </w:r>
            </w:hyperlink>
          </w:p>
        </w:tc>
        <w:tc>
          <w:tcPr>
            <w:tcW w:w="429" w:type="dxa"/>
            <w:tcBorders>
              <w:bottom w:val="single" w:sz="4" w:space="0" w:color="auto"/>
            </w:tcBorders>
            <w:shd w:val="clear" w:color="auto" w:fill="FABF8F"/>
            <w:vAlign w:val="center"/>
          </w:tcPr>
          <w:p w14:paraId="68B70932"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14:paraId="50E8A266" w14:textId="77777777" w:rsidR="00913A0A" w:rsidRPr="0058047D"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7AAF7BA" w14:textId="77777777" w:rsidR="00913A0A" w:rsidRPr="0058047D"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4EE57C9" w14:textId="77777777" w:rsidR="00913A0A" w:rsidRPr="0058047D"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6AAA339" w14:textId="77777777" w:rsidR="00913A0A" w:rsidRPr="0058047D"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B447615" w14:textId="77777777" w:rsidR="00913A0A" w:rsidRPr="0058047D"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C72DC31" w14:textId="77777777" w:rsidR="00913A0A" w:rsidRPr="0058047D"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D763878" w14:textId="77777777" w:rsidR="00913A0A" w:rsidRPr="0058047D"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B610008" w14:textId="77777777" w:rsidR="00913A0A" w:rsidRPr="0058047D" w:rsidRDefault="00913A0A" w:rsidP="00D55AB9">
            <w:pPr>
              <w:pStyle w:val="TableText"/>
              <w:widowControl w:val="0"/>
              <w:rPr>
                <w:rFonts w:ascii="Tahoma" w:hAnsi="Tahoma" w:cs="Tahoma"/>
                <w:sz w:val="13"/>
              </w:rPr>
            </w:pPr>
          </w:p>
        </w:tc>
        <w:tc>
          <w:tcPr>
            <w:tcW w:w="353" w:type="dxa"/>
            <w:gridSpan w:val="2"/>
            <w:tcBorders>
              <w:left w:val="single" w:sz="18" w:space="0" w:color="auto"/>
              <w:bottom w:val="single" w:sz="4" w:space="0" w:color="auto"/>
            </w:tcBorders>
            <w:shd w:val="clear" w:color="auto" w:fill="FABF8F"/>
            <w:vAlign w:val="center"/>
          </w:tcPr>
          <w:p w14:paraId="234ADB5F" w14:textId="77777777" w:rsidR="00913A0A" w:rsidRPr="0058047D" w:rsidRDefault="00913A0A" w:rsidP="00D55AB9">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14:paraId="09CE824A" w14:textId="77777777" w:rsidR="00913A0A" w:rsidRPr="0058047D" w:rsidRDefault="00913A0A" w:rsidP="00D55AB9">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14:paraId="5268FBE4" w14:textId="77777777" w:rsidR="00913A0A" w:rsidRPr="0058047D" w:rsidRDefault="00913A0A" w:rsidP="00D55AB9">
            <w:pPr>
              <w:pStyle w:val="TableText"/>
              <w:widowControl w:val="0"/>
              <w:rPr>
                <w:rFonts w:ascii="Tahoma" w:hAnsi="Tahoma" w:cs="Tahoma"/>
                <w:sz w:val="13"/>
              </w:rPr>
            </w:pPr>
          </w:p>
        </w:tc>
        <w:tc>
          <w:tcPr>
            <w:tcW w:w="414" w:type="dxa"/>
            <w:tcBorders>
              <w:left w:val="single" w:sz="18" w:space="0" w:color="auto"/>
              <w:bottom w:val="single" w:sz="4" w:space="0" w:color="auto"/>
            </w:tcBorders>
            <w:shd w:val="clear" w:color="auto" w:fill="FABF8F"/>
            <w:vAlign w:val="center"/>
          </w:tcPr>
          <w:p w14:paraId="20943DB6" w14:textId="77777777" w:rsidR="00913A0A" w:rsidRPr="0058047D" w:rsidRDefault="00913A0A" w:rsidP="00D55AB9">
            <w:pPr>
              <w:pStyle w:val="TableText"/>
              <w:widowControl w:val="0"/>
              <w:rPr>
                <w:rFonts w:ascii="Tahoma" w:hAnsi="Tahoma" w:cs="Tahoma"/>
                <w:sz w:val="13"/>
              </w:rPr>
            </w:pPr>
          </w:p>
        </w:tc>
        <w:tc>
          <w:tcPr>
            <w:tcW w:w="405" w:type="dxa"/>
            <w:tcBorders>
              <w:bottom w:val="single" w:sz="4" w:space="0" w:color="auto"/>
              <w:right w:val="single" w:sz="18" w:space="0" w:color="auto"/>
            </w:tcBorders>
            <w:shd w:val="clear" w:color="auto" w:fill="FABF8F"/>
            <w:vAlign w:val="center"/>
          </w:tcPr>
          <w:p w14:paraId="72102776"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0C6CA7B" w14:textId="77777777" w:rsidR="00913A0A" w:rsidRPr="0058047D" w:rsidRDefault="00913A0A" w:rsidP="00D55AB9">
            <w:pPr>
              <w:pStyle w:val="TableText"/>
              <w:widowControl w:val="0"/>
              <w:rPr>
                <w:rFonts w:ascii="Tahoma" w:hAnsi="Tahoma" w:cs="Tahoma"/>
                <w:sz w:val="13"/>
              </w:rPr>
            </w:pPr>
          </w:p>
        </w:tc>
        <w:tc>
          <w:tcPr>
            <w:tcW w:w="810" w:type="dxa"/>
            <w:tcBorders>
              <w:bottom w:val="single" w:sz="4" w:space="0" w:color="auto"/>
            </w:tcBorders>
            <w:shd w:val="clear" w:color="auto" w:fill="FABF8F"/>
            <w:vAlign w:val="center"/>
          </w:tcPr>
          <w:p w14:paraId="1552D130" w14:textId="77777777" w:rsidR="00913A0A" w:rsidRPr="0058047D" w:rsidRDefault="00913A0A" w:rsidP="00D55AB9">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252FE5B2" w14:textId="77777777" w:rsidR="00913A0A" w:rsidRPr="0058047D" w:rsidRDefault="00913A0A" w:rsidP="00D55AB9">
            <w:pPr>
              <w:pStyle w:val="TableText"/>
              <w:widowControl w:val="0"/>
              <w:rPr>
                <w:rFonts w:ascii="Tahoma" w:hAnsi="Tahoma" w:cs="Tahoma"/>
                <w:sz w:val="13"/>
              </w:rPr>
            </w:pPr>
          </w:p>
        </w:tc>
        <w:tc>
          <w:tcPr>
            <w:tcW w:w="370" w:type="dxa"/>
            <w:tcBorders>
              <w:bottom w:val="single" w:sz="4" w:space="0" w:color="auto"/>
            </w:tcBorders>
            <w:shd w:val="clear" w:color="auto" w:fill="FABF8F"/>
            <w:vAlign w:val="center"/>
          </w:tcPr>
          <w:p w14:paraId="398BAD8A" w14:textId="77777777" w:rsidR="00913A0A" w:rsidRPr="0058047D" w:rsidRDefault="00913A0A" w:rsidP="00905D4E">
            <w:pPr>
              <w:pStyle w:val="TableText"/>
              <w:widowControl w:val="0"/>
              <w:rPr>
                <w:rFonts w:ascii="Tahoma" w:hAnsi="Tahoma" w:cs="Tahoma"/>
                <w:sz w:val="13"/>
              </w:rPr>
            </w:pPr>
          </w:p>
        </w:tc>
      </w:tr>
      <w:tr w:rsidR="00913A0A" w:rsidRPr="0058047D" w14:paraId="0C0C5BE1" w14:textId="77777777" w:rsidTr="00D5491B">
        <w:trPr>
          <w:cantSplit/>
          <w:trHeight w:val="287"/>
        </w:trPr>
        <w:tc>
          <w:tcPr>
            <w:tcW w:w="2371" w:type="dxa"/>
            <w:tcBorders>
              <w:bottom w:val="single" w:sz="4" w:space="0" w:color="auto"/>
            </w:tcBorders>
            <w:shd w:val="clear" w:color="auto" w:fill="auto"/>
            <w:vAlign w:val="center"/>
          </w:tcPr>
          <w:p w14:paraId="4EABDAB3" w14:textId="77777777" w:rsidR="00913A0A" w:rsidRPr="0058047D" w:rsidRDefault="00913A0A" w:rsidP="00E077BC">
            <w:pPr>
              <w:pStyle w:val="Heading2"/>
              <w:spacing w:beforeLines="20" w:before="48" w:afterLines="20" w:after="48"/>
              <w:ind w:left="0"/>
              <w:rPr>
                <w:rFonts w:ascii="Tahoma" w:hAnsi="Tahoma" w:cs="Tahoma"/>
                <w:b w:val="0"/>
                <w:sz w:val="14"/>
              </w:rPr>
            </w:pPr>
            <w:bookmarkStart w:id="52" w:name="_Toc291024474"/>
            <w:bookmarkStart w:id="53" w:name="_Toc336337863"/>
            <w:bookmarkStart w:id="54" w:name="_Toc371663268"/>
            <w:r w:rsidRPr="0058047D">
              <w:rPr>
                <w:rFonts w:ascii="Tahoma" w:hAnsi="Tahoma" w:cs="Tahoma"/>
                <w:b w:val="0"/>
                <w:sz w:val="14"/>
              </w:rPr>
              <w:t xml:space="preserve">Office 365 </w:t>
            </w:r>
            <w:bookmarkEnd w:id="52"/>
            <w:bookmarkEnd w:id="53"/>
            <w:r w:rsidRPr="0058047D">
              <w:rPr>
                <w:rFonts w:ascii="Tahoma" w:hAnsi="Tahoma" w:cs="Tahoma"/>
                <w:b w:val="0"/>
                <w:sz w:val="14"/>
              </w:rPr>
              <w:t xml:space="preserve">Government G3—G4 </w:t>
            </w:r>
            <w:r w:rsidR="00D5491B">
              <w:rPr>
                <w:rFonts w:ascii="Tahoma" w:hAnsi="Tahoma" w:cs="Tahoma"/>
                <w:b w:val="0"/>
                <w:sz w:val="14"/>
              </w:rPr>
              <w:br/>
            </w:r>
            <w:r w:rsidRPr="0058047D">
              <w:rPr>
                <w:rFonts w:ascii="Tahoma" w:hAnsi="Tahoma" w:cs="Tahoma"/>
                <w:b w:val="0"/>
                <w:sz w:val="14"/>
              </w:rPr>
              <w:t>(SL per Utente)</w:t>
            </w:r>
            <w:bookmarkEnd w:id="54"/>
          </w:p>
        </w:tc>
        <w:tc>
          <w:tcPr>
            <w:tcW w:w="429" w:type="dxa"/>
            <w:tcBorders>
              <w:bottom w:val="single" w:sz="4" w:space="0" w:color="auto"/>
            </w:tcBorders>
            <w:shd w:val="clear" w:color="auto" w:fill="auto"/>
            <w:vAlign w:val="center"/>
          </w:tcPr>
          <w:p w14:paraId="31F1EE27" w14:textId="77777777" w:rsidR="00913A0A" w:rsidRPr="0058047D" w:rsidRDefault="00C86F50" w:rsidP="00D55AB9">
            <w:pPr>
              <w:pStyle w:val="TableText"/>
              <w:widowControl w:val="0"/>
              <w:rPr>
                <w:b/>
                <w:color w:val="0000FF"/>
                <w:sz w:val="13"/>
                <w:szCs w:val="13"/>
                <w:u w:val="single"/>
              </w:rPr>
            </w:pPr>
            <w:hyperlink w:anchor="_77_SharePoint_Online" w:history="1">
              <w:r w:rsidR="00BF5FC6" w:rsidRPr="0058047D">
                <w:rPr>
                  <w:rStyle w:val="Hyperlink"/>
                  <w:b/>
                  <w:sz w:val="13"/>
                  <w:szCs w:val="13"/>
                </w:rPr>
                <w:t>77</w:t>
              </w:r>
            </w:hyperlink>
            <w:hyperlink w:anchor="_65_Office_365" w:history="1"/>
          </w:p>
        </w:tc>
        <w:tc>
          <w:tcPr>
            <w:tcW w:w="429" w:type="dxa"/>
            <w:tcBorders>
              <w:bottom w:val="single" w:sz="4" w:space="0" w:color="auto"/>
            </w:tcBorders>
            <w:shd w:val="clear" w:color="auto" w:fill="auto"/>
            <w:vAlign w:val="center"/>
          </w:tcPr>
          <w:p w14:paraId="294A21F1"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14:paraId="1C04D0E0"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7FCDEF4C" w14:textId="77777777" w:rsidR="00913A0A" w:rsidRPr="0058047D"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A623338" w14:textId="77777777" w:rsidR="00913A0A" w:rsidRPr="0058047D"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453A184" w14:textId="77777777" w:rsidR="00913A0A" w:rsidRPr="0058047D"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7682B4E" w14:textId="77777777" w:rsidR="00913A0A" w:rsidRPr="0058047D"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2522DD2" w14:textId="77777777" w:rsidR="00913A0A" w:rsidRPr="0058047D"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5B4AD01" w14:textId="77777777" w:rsidR="00913A0A" w:rsidRPr="0058047D"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F5DBF6D" w14:textId="77777777" w:rsidR="00913A0A" w:rsidRPr="0058047D" w:rsidRDefault="00913A0A" w:rsidP="00D55AB9">
            <w:pPr>
              <w:pStyle w:val="TableText"/>
              <w:widowControl w:val="0"/>
              <w:rPr>
                <w:rFonts w:ascii="Tahoma" w:hAnsi="Tahoma" w:cs="Tahoma"/>
                <w:sz w:val="13"/>
              </w:rPr>
            </w:pPr>
          </w:p>
        </w:tc>
        <w:tc>
          <w:tcPr>
            <w:tcW w:w="353" w:type="dxa"/>
            <w:gridSpan w:val="2"/>
            <w:tcBorders>
              <w:left w:val="single" w:sz="18" w:space="0" w:color="auto"/>
              <w:bottom w:val="single" w:sz="4" w:space="0" w:color="auto"/>
            </w:tcBorders>
            <w:shd w:val="clear" w:color="auto" w:fill="auto"/>
            <w:vAlign w:val="center"/>
          </w:tcPr>
          <w:p w14:paraId="7A859E0C" w14:textId="77777777" w:rsidR="00913A0A" w:rsidRPr="0058047D" w:rsidRDefault="00913A0A" w:rsidP="00D55AB9">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14:paraId="730D3076" w14:textId="77777777" w:rsidR="00913A0A" w:rsidRPr="0058047D" w:rsidRDefault="00913A0A" w:rsidP="00D55AB9">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14:paraId="5C0913AE" w14:textId="77777777" w:rsidR="00913A0A" w:rsidRPr="0058047D" w:rsidRDefault="00913A0A" w:rsidP="00D55AB9">
            <w:pPr>
              <w:pStyle w:val="TableText"/>
              <w:widowControl w:val="0"/>
              <w:rPr>
                <w:rFonts w:ascii="Tahoma" w:hAnsi="Tahoma" w:cs="Tahoma"/>
                <w:sz w:val="13"/>
              </w:rPr>
            </w:pPr>
          </w:p>
        </w:tc>
        <w:tc>
          <w:tcPr>
            <w:tcW w:w="414" w:type="dxa"/>
            <w:tcBorders>
              <w:left w:val="single" w:sz="18" w:space="0" w:color="auto"/>
              <w:bottom w:val="single" w:sz="4" w:space="0" w:color="auto"/>
            </w:tcBorders>
            <w:shd w:val="clear" w:color="auto" w:fill="auto"/>
            <w:vAlign w:val="center"/>
          </w:tcPr>
          <w:p w14:paraId="6344DAF1" w14:textId="77777777" w:rsidR="00913A0A" w:rsidRPr="0058047D" w:rsidRDefault="00913A0A" w:rsidP="00D55AB9">
            <w:pPr>
              <w:pStyle w:val="TableText"/>
              <w:widowControl w:val="0"/>
              <w:rPr>
                <w:rFonts w:ascii="Tahoma" w:hAnsi="Tahoma" w:cs="Tahoma"/>
                <w:sz w:val="13"/>
              </w:rPr>
            </w:pPr>
          </w:p>
        </w:tc>
        <w:tc>
          <w:tcPr>
            <w:tcW w:w="405" w:type="dxa"/>
            <w:tcBorders>
              <w:bottom w:val="single" w:sz="4" w:space="0" w:color="auto"/>
              <w:right w:val="single" w:sz="18" w:space="0" w:color="auto"/>
            </w:tcBorders>
            <w:shd w:val="clear" w:color="auto" w:fill="auto"/>
            <w:vAlign w:val="center"/>
          </w:tcPr>
          <w:p w14:paraId="63903C7F"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 xml:space="preserve">EOLS </w:t>
            </w:r>
          </w:p>
        </w:tc>
        <w:tc>
          <w:tcPr>
            <w:tcW w:w="405" w:type="dxa"/>
            <w:tcBorders>
              <w:left w:val="single" w:sz="18" w:space="0" w:color="auto"/>
              <w:bottom w:val="single" w:sz="4" w:space="0" w:color="auto"/>
              <w:right w:val="single" w:sz="18" w:space="0" w:color="auto"/>
            </w:tcBorders>
            <w:shd w:val="clear" w:color="auto" w:fill="auto"/>
            <w:vAlign w:val="center"/>
          </w:tcPr>
          <w:p w14:paraId="2F6DB206" w14:textId="77777777" w:rsidR="00913A0A" w:rsidRPr="0058047D" w:rsidRDefault="00913A0A" w:rsidP="00D55AB9">
            <w:pPr>
              <w:pStyle w:val="TableText"/>
              <w:widowControl w:val="0"/>
              <w:rPr>
                <w:rFonts w:ascii="Tahoma" w:hAnsi="Tahoma" w:cs="Tahoma"/>
                <w:sz w:val="13"/>
              </w:rPr>
            </w:pPr>
          </w:p>
        </w:tc>
        <w:tc>
          <w:tcPr>
            <w:tcW w:w="810" w:type="dxa"/>
            <w:tcBorders>
              <w:bottom w:val="single" w:sz="4" w:space="0" w:color="auto"/>
            </w:tcBorders>
            <w:shd w:val="clear" w:color="auto" w:fill="auto"/>
            <w:vAlign w:val="center"/>
          </w:tcPr>
          <w:p w14:paraId="1E535A83" w14:textId="77777777" w:rsidR="00913A0A" w:rsidRPr="0058047D" w:rsidRDefault="00913A0A" w:rsidP="00D55AB9">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7EC40E41" w14:textId="77777777" w:rsidR="00913A0A" w:rsidRPr="0058047D" w:rsidRDefault="00913A0A" w:rsidP="00D55AB9">
            <w:pPr>
              <w:pStyle w:val="TableText"/>
              <w:widowControl w:val="0"/>
              <w:rPr>
                <w:rFonts w:ascii="Tahoma" w:hAnsi="Tahoma" w:cs="Tahoma"/>
                <w:sz w:val="13"/>
              </w:rPr>
            </w:pPr>
          </w:p>
        </w:tc>
        <w:tc>
          <w:tcPr>
            <w:tcW w:w="370" w:type="dxa"/>
            <w:tcBorders>
              <w:bottom w:val="single" w:sz="4" w:space="0" w:color="auto"/>
            </w:tcBorders>
            <w:vAlign w:val="center"/>
          </w:tcPr>
          <w:p w14:paraId="4263DC6F" w14:textId="77777777" w:rsidR="00913A0A" w:rsidRPr="0058047D" w:rsidRDefault="00913A0A" w:rsidP="00905D4E">
            <w:pPr>
              <w:pStyle w:val="TableText"/>
              <w:widowControl w:val="0"/>
              <w:rPr>
                <w:rFonts w:ascii="Tahoma" w:hAnsi="Tahoma" w:cs="Tahoma"/>
                <w:sz w:val="13"/>
              </w:rPr>
            </w:pPr>
          </w:p>
        </w:tc>
      </w:tr>
      <w:tr w:rsidR="008A0F85" w:rsidRPr="0058047D" w14:paraId="28BE5D5E" w14:textId="77777777" w:rsidTr="00D5491B">
        <w:trPr>
          <w:cantSplit/>
          <w:trHeight w:val="287"/>
        </w:trPr>
        <w:tc>
          <w:tcPr>
            <w:tcW w:w="2371" w:type="dxa"/>
            <w:tcBorders>
              <w:bottom w:val="single" w:sz="4" w:space="0" w:color="auto"/>
            </w:tcBorders>
            <w:shd w:val="clear" w:color="auto" w:fill="FABF8F"/>
            <w:vAlign w:val="center"/>
          </w:tcPr>
          <w:p w14:paraId="512D7A23" w14:textId="77777777" w:rsidR="00913A0A" w:rsidRPr="003F471F" w:rsidRDefault="00913A0A" w:rsidP="00E077BC">
            <w:pPr>
              <w:pStyle w:val="Heading2"/>
              <w:spacing w:beforeLines="20" w:before="48" w:afterLines="20" w:after="48"/>
              <w:ind w:left="0"/>
              <w:rPr>
                <w:rFonts w:ascii="Tahoma" w:hAnsi="Tahoma" w:cs="Tahoma"/>
                <w:b w:val="0"/>
                <w:sz w:val="14"/>
                <w:lang w:val="it-IT"/>
              </w:rPr>
            </w:pPr>
            <w:bookmarkStart w:id="55" w:name="_Toc371663269"/>
            <w:r w:rsidRPr="003F471F">
              <w:rPr>
                <w:rFonts w:ascii="Tahoma" w:hAnsi="Tahoma" w:cs="Tahoma"/>
                <w:b w:val="0"/>
                <w:sz w:val="14"/>
                <w:lang w:val="it-IT"/>
              </w:rPr>
              <w:t>Diritti di Utilizzo Commerciale di Office Home and Student RT 2013</w:t>
            </w:r>
            <w:bookmarkEnd w:id="55"/>
          </w:p>
        </w:tc>
        <w:tc>
          <w:tcPr>
            <w:tcW w:w="429" w:type="dxa"/>
            <w:tcBorders>
              <w:bottom w:val="single" w:sz="4" w:space="0" w:color="auto"/>
            </w:tcBorders>
            <w:shd w:val="clear" w:color="auto" w:fill="FABF8F"/>
            <w:vAlign w:val="center"/>
          </w:tcPr>
          <w:p w14:paraId="58B381C8" w14:textId="77777777" w:rsidR="00913A0A" w:rsidRPr="003F471F" w:rsidRDefault="00913A0A" w:rsidP="00D55AB9">
            <w:pPr>
              <w:pStyle w:val="TableText"/>
              <w:widowControl w:val="0"/>
              <w:rPr>
                <w:b/>
                <w:color w:val="0000FF"/>
                <w:sz w:val="13"/>
                <w:szCs w:val="13"/>
                <w:u w:val="single"/>
                <w:lang w:val="it-IT"/>
              </w:rPr>
            </w:pPr>
          </w:p>
        </w:tc>
        <w:tc>
          <w:tcPr>
            <w:tcW w:w="429" w:type="dxa"/>
            <w:tcBorders>
              <w:bottom w:val="single" w:sz="4" w:space="0" w:color="auto"/>
            </w:tcBorders>
            <w:shd w:val="clear" w:color="auto" w:fill="FABF8F"/>
            <w:vAlign w:val="center"/>
          </w:tcPr>
          <w:p w14:paraId="7986B32A"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14:paraId="3F944679" w14:textId="77777777" w:rsidR="00913A0A" w:rsidRPr="0058047D"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6605F4F"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1</w:t>
            </w:r>
          </w:p>
        </w:tc>
        <w:tc>
          <w:tcPr>
            <w:tcW w:w="429" w:type="dxa"/>
            <w:tcBorders>
              <w:bottom w:val="single" w:sz="4" w:space="0" w:color="auto"/>
            </w:tcBorders>
            <w:shd w:val="clear" w:color="auto" w:fill="FABF8F"/>
            <w:vAlign w:val="center"/>
          </w:tcPr>
          <w:p w14:paraId="2A351AE3"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3</w:t>
            </w:r>
          </w:p>
        </w:tc>
        <w:tc>
          <w:tcPr>
            <w:tcW w:w="429" w:type="dxa"/>
            <w:tcBorders>
              <w:bottom w:val="single" w:sz="4" w:space="0" w:color="auto"/>
            </w:tcBorders>
            <w:shd w:val="clear" w:color="auto" w:fill="FABF8F"/>
            <w:vAlign w:val="center"/>
          </w:tcPr>
          <w:p w14:paraId="5255515A"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2E1ED033"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6F25FA95"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1F0B1FF7"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8D607B2"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1</w:t>
            </w:r>
          </w:p>
        </w:tc>
        <w:tc>
          <w:tcPr>
            <w:tcW w:w="353" w:type="dxa"/>
            <w:gridSpan w:val="2"/>
            <w:tcBorders>
              <w:left w:val="single" w:sz="18" w:space="0" w:color="auto"/>
              <w:bottom w:val="single" w:sz="4" w:space="0" w:color="auto"/>
            </w:tcBorders>
            <w:shd w:val="clear" w:color="auto" w:fill="FABF8F"/>
            <w:vAlign w:val="center"/>
          </w:tcPr>
          <w:p w14:paraId="15F1FDA6"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1</w:t>
            </w:r>
          </w:p>
        </w:tc>
        <w:tc>
          <w:tcPr>
            <w:tcW w:w="360" w:type="dxa"/>
            <w:tcBorders>
              <w:bottom w:val="single" w:sz="4" w:space="0" w:color="auto"/>
            </w:tcBorders>
            <w:shd w:val="clear" w:color="auto" w:fill="FABF8F"/>
            <w:vAlign w:val="center"/>
          </w:tcPr>
          <w:p w14:paraId="7F9C95CE"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14:paraId="352BEB22"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1</w:t>
            </w:r>
          </w:p>
        </w:tc>
        <w:tc>
          <w:tcPr>
            <w:tcW w:w="414" w:type="dxa"/>
            <w:tcBorders>
              <w:left w:val="single" w:sz="18" w:space="0" w:color="auto"/>
              <w:bottom w:val="single" w:sz="4" w:space="0" w:color="auto"/>
            </w:tcBorders>
            <w:shd w:val="clear" w:color="auto" w:fill="FABF8F"/>
            <w:vAlign w:val="center"/>
          </w:tcPr>
          <w:p w14:paraId="70E85562" w14:textId="77777777" w:rsidR="00913A0A" w:rsidRPr="0058047D" w:rsidRDefault="00913A0A" w:rsidP="00D55AB9">
            <w:pPr>
              <w:pStyle w:val="TableText"/>
              <w:widowControl w:val="0"/>
              <w:rPr>
                <w:rFonts w:ascii="Tahoma" w:hAnsi="Tahoma" w:cs="Tahoma"/>
                <w:sz w:val="13"/>
              </w:rPr>
            </w:pPr>
          </w:p>
        </w:tc>
        <w:tc>
          <w:tcPr>
            <w:tcW w:w="405" w:type="dxa"/>
            <w:tcBorders>
              <w:bottom w:val="single" w:sz="4" w:space="0" w:color="auto"/>
              <w:right w:val="single" w:sz="18" w:space="0" w:color="auto"/>
            </w:tcBorders>
            <w:shd w:val="clear" w:color="auto" w:fill="FABF8F"/>
            <w:vAlign w:val="center"/>
          </w:tcPr>
          <w:p w14:paraId="1C208F3C" w14:textId="77777777" w:rsidR="00913A0A" w:rsidRPr="0058047D" w:rsidRDefault="00913A0A" w:rsidP="00D55AB9">
            <w:pPr>
              <w:pStyle w:val="TableText"/>
              <w:widowControl w:val="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2823A360" w14:textId="77777777" w:rsidR="00913A0A" w:rsidRPr="0058047D" w:rsidRDefault="00913A0A" w:rsidP="00D55AB9">
            <w:pPr>
              <w:pStyle w:val="TableText"/>
              <w:widowControl w:val="0"/>
              <w:rPr>
                <w:rFonts w:ascii="Tahoma" w:hAnsi="Tahoma" w:cs="Tahoma"/>
                <w:sz w:val="13"/>
              </w:rPr>
            </w:pPr>
          </w:p>
        </w:tc>
        <w:tc>
          <w:tcPr>
            <w:tcW w:w="810" w:type="dxa"/>
            <w:tcBorders>
              <w:bottom w:val="single" w:sz="4" w:space="0" w:color="auto"/>
            </w:tcBorders>
            <w:shd w:val="clear" w:color="auto" w:fill="FABF8F"/>
            <w:vAlign w:val="center"/>
          </w:tcPr>
          <w:p w14:paraId="7A3F64A6" w14:textId="77777777" w:rsidR="00913A0A" w:rsidRPr="0058047D" w:rsidRDefault="00913A0A" w:rsidP="00D55AB9">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6D053F25" w14:textId="77777777" w:rsidR="00913A0A" w:rsidRPr="0058047D" w:rsidRDefault="00913A0A" w:rsidP="00D55AB9">
            <w:pPr>
              <w:pStyle w:val="TableText"/>
              <w:widowControl w:val="0"/>
              <w:rPr>
                <w:rFonts w:ascii="Tahoma" w:hAnsi="Tahoma" w:cs="Tahoma"/>
                <w:sz w:val="13"/>
              </w:rPr>
            </w:pPr>
          </w:p>
        </w:tc>
        <w:tc>
          <w:tcPr>
            <w:tcW w:w="370" w:type="dxa"/>
            <w:tcBorders>
              <w:bottom w:val="single" w:sz="4" w:space="0" w:color="auto"/>
            </w:tcBorders>
            <w:shd w:val="clear" w:color="auto" w:fill="FABF8F"/>
            <w:vAlign w:val="center"/>
          </w:tcPr>
          <w:p w14:paraId="7D545E9B" w14:textId="77777777" w:rsidR="00913A0A" w:rsidRPr="0058047D" w:rsidRDefault="00913A0A" w:rsidP="00905D4E">
            <w:pPr>
              <w:pStyle w:val="TableText"/>
              <w:widowControl w:val="0"/>
              <w:rPr>
                <w:rFonts w:ascii="Tahoma" w:hAnsi="Tahoma" w:cs="Tahoma"/>
                <w:sz w:val="13"/>
              </w:rPr>
            </w:pPr>
          </w:p>
        </w:tc>
      </w:tr>
      <w:tr w:rsidR="00913A0A" w:rsidRPr="0058047D" w14:paraId="38A824D0" w14:textId="77777777" w:rsidTr="00D5491B">
        <w:trPr>
          <w:cantSplit/>
          <w:trHeight w:val="287"/>
        </w:trPr>
        <w:tc>
          <w:tcPr>
            <w:tcW w:w="2371" w:type="dxa"/>
            <w:tcBorders>
              <w:bottom w:val="single" w:sz="4" w:space="0" w:color="auto"/>
            </w:tcBorders>
            <w:shd w:val="clear" w:color="auto" w:fill="auto"/>
            <w:vAlign w:val="center"/>
          </w:tcPr>
          <w:p w14:paraId="2A1098C5" w14:textId="77777777" w:rsidR="00913A0A" w:rsidRPr="0058047D" w:rsidRDefault="00913A0A" w:rsidP="00E077BC">
            <w:pPr>
              <w:pStyle w:val="Heading2"/>
              <w:spacing w:beforeLines="20" w:before="48" w:afterLines="20" w:after="48"/>
              <w:ind w:left="0"/>
              <w:rPr>
                <w:rFonts w:ascii="Tahoma" w:hAnsi="Tahoma" w:cs="Tahoma"/>
                <w:b w:val="0"/>
                <w:sz w:val="14"/>
              </w:rPr>
            </w:pPr>
            <w:bookmarkStart w:id="56" w:name="_Toc336337865"/>
            <w:bookmarkStart w:id="57" w:name="_Toc371663270"/>
            <w:r w:rsidRPr="0058047D">
              <w:rPr>
                <w:rFonts w:ascii="Tahoma" w:hAnsi="Tahoma" w:cs="Tahoma"/>
                <w:b w:val="0"/>
                <w:sz w:val="14"/>
              </w:rPr>
              <w:t>Office per Mac Standard 2011</w:t>
            </w:r>
            <w:bookmarkEnd w:id="56"/>
            <w:bookmarkEnd w:id="57"/>
            <w:r w:rsidRPr="0058047D">
              <w:rPr>
                <w:rFonts w:ascii="Tahoma" w:hAnsi="Tahoma" w:cs="Tahoma"/>
                <w:b w:val="0"/>
                <w:sz w:val="14"/>
              </w:rPr>
              <w:t xml:space="preserve"> </w:t>
            </w:r>
          </w:p>
        </w:tc>
        <w:tc>
          <w:tcPr>
            <w:tcW w:w="429" w:type="dxa"/>
            <w:tcBorders>
              <w:bottom w:val="single" w:sz="4" w:space="0" w:color="auto"/>
            </w:tcBorders>
            <w:shd w:val="clear" w:color="auto" w:fill="auto"/>
            <w:vAlign w:val="center"/>
          </w:tcPr>
          <w:p w14:paraId="59C18B31" w14:textId="77777777" w:rsidR="00913A0A" w:rsidRPr="0058047D" w:rsidRDefault="00C86F50" w:rsidP="00D55AB9">
            <w:pPr>
              <w:pStyle w:val="TableText"/>
              <w:widowControl w:val="0"/>
              <w:rPr>
                <w:rStyle w:val="EndnoteReference"/>
                <w:b w:val="0"/>
                <w:color w:val="0000FF"/>
                <w:sz w:val="13"/>
                <w:szCs w:val="13"/>
                <w:u w:val="single"/>
              </w:rPr>
            </w:pPr>
            <w:hyperlink w:anchor="_8_Office_for" w:history="1">
              <w:r w:rsidR="00BF5FC6" w:rsidRPr="0058047D">
                <w:rPr>
                  <w:rStyle w:val="Hyperlink"/>
                  <w:b/>
                  <w:sz w:val="13"/>
                  <w:szCs w:val="13"/>
                </w:rPr>
                <w:t>9</w:t>
              </w:r>
            </w:hyperlink>
            <w:hyperlink w:anchor="_76_Office_for" w:history="1"/>
          </w:p>
        </w:tc>
        <w:tc>
          <w:tcPr>
            <w:tcW w:w="429" w:type="dxa"/>
            <w:tcBorders>
              <w:bottom w:val="single" w:sz="4" w:space="0" w:color="auto"/>
            </w:tcBorders>
            <w:shd w:val="clear" w:color="auto" w:fill="auto"/>
            <w:vAlign w:val="center"/>
          </w:tcPr>
          <w:p w14:paraId="7105B788"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035EC95B"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65F5FBA"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auto"/>
            <w:vAlign w:val="center"/>
          </w:tcPr>
          <w:p w14:paraId="73E86132"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5</w:t>
            </w:r>
          </w:p>
        </w:tc>
        <w:tc>
          <w:tcPr>
            <w:tcW w:w="429" w:type="dxa"/>
            <w:tcBorders>
              <w:bottom w:val="single" w:sz="4" w:space="0" w:color="auto"/>
            </w:tcBorders>
            <w:shd w:val="clear" w:color="auto" w:fill="auto"/>
            <w:vAlign w:val="center"/>
          </w:tcPr>
          <w:p w14:paraId="34E5BA52"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4</w:t>
            </w:r>
          </w:p>
        </w:tc>
        <w:tc>
          <w:tcPr>
            <w:tcW w:w="429" w:type="dxa"/>
            <w:tcBorders>
              <w:bottom w:val="single" w:sz="4" w:space="0" w:color="auto"/>
            </w:tcBorders>
            <w:shd w:val="clear" w:color="auto" w:fill="auto"/>
            <w:vAlign w:val="center"/>
          </w:tcPr>
          <w:p w14:paraId="6C2998B4"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3</w:t>
            </w:r>
          </w:p>
        </w:tc>
        <w:tc>
          <w:tcPr>
            <w:tcW w:w="429" w:type="dxa"/>
            <w:tcBorders>
              <w:bottom w:val="single" w:sz="4" w:space="0" w:color="auto"/>
            </w:tcBorders>
            <w:shd w:val="clear" w:color="auto" w:fill="auto"/>
            <w:vAlign w:val="center"/>
          </w:tcPr>
          <w:p w14:paraId="12D42515"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3</w:t>
            </w:r>
          </w:p>
        </w:tc>
        <w:tc>
          <w:tcPr>
            <w:tcW w:w="429" w:type="dxa"/>
            <w:tcBorders>
              <w:bottom w:val="single" w:sz="4" w:space="0" w:color="auto"/>
            </w:tcBorders>
            <w:shd w:val="clear" w:color="auto" w:fill="auto"/>
            <w:vAlign w:val="center"/>
          </w:tcPr>
          <w:p w14:paraId="6F9F5B7C"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F85A17A"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1</w:t>
            </w:r>
          </w:p>
        </w:tc>
        <w:tc>
          <w:tcPr>
            <w:tcW w:w="353" w:type="dxa"/>
            <w:gridSpan w:val="2"/>
            <w:tcBorders>
              <w:left w:val="single" w:sz="18" w:space="0" w:color="auto"/>
              <w:bottom w:val="single" w:sz="4" w:space="0" w:color="auto"/>
            </w:tcBorders>
            <w:shd w:val="clear" w:color="auto" w:fill="auto"/>
            <w:vAlign w:val="center"/>
          </w:tcPr>
          <w:p w14:paraId="5490A1DB"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2</w:t>
            </w:r>
          </w:p>
        </w:tc>
        <w:tc>
          <w:tcPr>
            <w:tcW w:w="360" w:type="dxa"/>
            <w:tcBorders>
              <w:bottom w:val="single" w:sz="4" w:space="0" w:color="auto"/>
            </w:tcBorders>
            <w:shd w:val="clear" w:color="auto" w:fill="auto"/>
            <w:vAlign w:val="center"/>
          </w:tcPr>
          <w:p w14:paraId="4B9E34E9"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4</w:t>
            </w:r>
          </w:p>
        </w:tc>
        <w:tc>
          <w:tcPr>
            <w:tcW w:w="378" w:type="dxa"/>
            <w:tcBorders>
              <w:bottom w:val="single" w:sz="4" w:space="0" w:color="auto"/>
              <w:right w:val="single" w:sz="18" w:space="0" w:color="auto"/>
            </w:tcBorders>
            <w:shd w:val="clear" w:color="auto" w:fill="auto"/>
            <w:vAlign w:val="center"/>
          </w:tcPr>
          <w:p w14:paraId="0F60AD22"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2</w:t>
            </w:r>
          </w:p>
        </w:tc>
        <w:tc>
          <w:tcPr>
            <w:tcW w:w="414" w:type="dxa"/>
            <w:tcBorders>
              <w:left w:val="single" w:sz="18" w:space="0" w:color="auto"/>
              <w:bottom w:val="single" w:sz="4" w:space="0" w:color="auto"/>
            </w:tcBorders>
            <w:shd w:val="clear" w:color="auto" w:fill="auto"/>
            <w:vAlign w:val="center"/>
          </w:tcPr>
          <w:p w14:paraId="0ADEA6B4"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1</w:t>
            </w:r>
          </w:p>
        </w:tc>
        <w:tc>
          <w:tcPr>
            <w:tcW w:w="405" w:type="dxa"/>
            <w:tcBorders>
              <w:bottom w:val="single" w:sz="4" w:space="0" w:color="auto"/>
              <w:right w:val="single" w:sz="18" w:space="0" w:color="auto"/>
            </w:tcBorders>
            <w:shd w:val="clear" w:color="auto" w:fill="auto"/>
            <w:vAlign w:val="center"/>
          </w:tcPr>
          <w:p w14:paraId="1AAE0775" w14:textId="77777777" w:rsidR="00913A0A" w:rsidRPr="0058047D" w:rsidRDefault="00913A0A" w:rsidP="00D55AB9">
            <w:pPr>
              <w:pStyle w:val="TableText"/>
              <w:widowControl w:val="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2160D299"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auto"/>
            <w:vAlign w:val="center"/>
          </w:tcPr>
          <w:p w14:paraId="1A7BE8D0"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E</w:t>
            </w:r>
          </w:p>
        </w:tc>
        <w:tc>
          <w:tcPr>
            <w:tcW w:w="495" w:type="dxa"/>
            <w:tcBorders>
              <w:bottom w:val="single" w:sz="4" w:space="0" w:color="auto"/>
            </w:tcBorders>
            <w:shd w:val="clear" w:color="auto" w:fill="auto"/>
            <w:vAlign w:val="center"/>
          </w:tcPr>
          <w:p w14:paraId="1E9F3401" w14:textId="77777777" w:rsidR="00913A0A" w:rsidRPr="0058047D" w:rsidRDefault="00913A0A" w:rsidP="00D55AB9">
            <w:pPr>
              <w:pStyle w:val="TableText"/>
              <w:widowControl w:val="0"/>
              <w:rPr>
                <w:rFonts w:ascii="Tahoma" w:hAnsi="Tahoma" w:cs="Tahoma"/>
                <w:sz w:val="13"/>
              </w:rPr>
            </w:pPr>
          </w:p>
        </w:tc>
        <w:tc>
          <w:tcPr>
            <w:tcW w:w="370" w:type="dxa"/>
            <w:tcBorders>
              <w:bottom w:val="single" w:sz="4" w:space="0" w:color="auto"/>
            </w:tcBorders>
            <w:vAlign w:val="center"/>
          </w:tcPr>
          <w:p w14:paraId="5C9AC5EE" w14:textId="77777777" w:rsidR="00913A0A" w:rsidRPr="0058047D" w:rsidRDefault="00913A0A" w:rsidP="00905D4E">
            <w:pPr>
              <w:pStyle w:val="TableText"/>
              <w:widowControl w:val="0"/>
              <w:rPr>
                <w:rFonts w:ascii="Tahoma" w:hAnsi="Tahoma" w:cs="Tahoma"/>
                <w:sz w:val="13"/>
              </w:rPr>
            </w:pPr>
          </w:p>
        </w:tc>
      </w:tr>
      <w:tr w:rsidR="008A0F85" w:rsidRPr="0058047D" w14:paraId="4B29D057" w14:textId="77777777" w:rsidTr="00D5491B">
        <w:trPr>
          <w:cantSplit/>
          <w:trHeight w:val="287"/>
        </w:trPr>
        <w:tc>
          <w:tcPr>
            <w:tcW w:w="2371" w:type="dxa"/>
            <w:tcBorders>
              <w:bottom w:val="single" w:sz="4" w:space="0" w:color="auto"/>
            </w:tcBorders>
            <w:shd w:val="clear" w:color="auto" w:fill="FABF8F"/>
            <w:vAlign w:val="center"/>
          </w:tcPr>
          <w:p w14:paraId="259901E0" w14:textId="77777777" w:rsidR="00913A0A" w:rsidRPr="0058047D" w:rsidRDefault="00913A0A" w:rsidP="00E077BC">
            <w:pPr>
              <w:pStyle w:val="Heading2"/>
              <w:spacing w:beforeLines="20" w:before="48" w:afterLines="20" w:after="48"/>
              <w:ind w:left="0"/>
              <w:rPr>
                <w:rFonts w:ascii="Tahoma" w:hAnsi="Tahoma" w:cs="Tahoma"/>
                <w:b w:val="0"/>
                <w:sz w:val="14"/>
              </w:rPr>
            </w:pPr>
            <w:bookmarkStart w:id="58" w:name="_Office_Multi-Language_Pack"/>
            <w:bookmarkStart w:id="59" w:name="_Toc336337866"/>
            <w:bookmarkStart w:id="60" w:name="_Toc371663271"/>
            <w:bookmarkEnd w:id="58"/>
            <w:r w:rsidRPr="0058047D">
              <w:rPr>
                <w:rFonts w:ascii="Tahoma" w:hAnsi="Tahoma" w:cs="Tahoma"/>
                <w:b w:val="0"/>
                <w:sz w:val="14"/>
              </w:rPr>
              <w:t xml:space="preserve">Office Multi-Language Pack </w:t>
            </w:r>
            <w:bookmarkEnd w:id="59"/>
            <w:r w:rsidRPr="0058047D">
              <w:rPr>
                <w:rFonts w:ascii="Tahoma" w:hAnsi="Tahoma" w:cs="Tahoma"/>
                <w:b w:val="0"/>
                <w:sz w:val="14"/>
              </w:rPr>
              <w:t>2013</w:t>
            </w:r>
            <w:bookmarkEnd w:id="60"/>
          </w:p>
        </w:tc>
        <w:tc>
          <w:tcPr>
            <w:tcW w:w="429" w:type="dxa"/>
            <w:tcBorders>
              <w:bottom w:val="single" w:sz="4" w:space="0" w:color="auto"/>
            </w:tcBorders>
            <w:shd w:val="clear" w:color="auto" w:fill="FABF8F"/>
            <w:vAlign w:val="center"/>
          </w:tcPr>
          <w:p w14:paraId="79E9BEB2" w14:textId="77777777" w:rsidR="00913A0A" w:rsidRPr="0058047D" w:rsidRDefault="00C86F50" w:rsidP="00D55AB9">
            <w:pPr>
              <w:pStyle w:val="TableText"/>
              <w:widowControl w:val="0"/>
              <w:rPr>
                <w:rStyle w:val="EndnoteReference"/>
                <w:b w:val="0"/>
                <w:color w:val="0000FF"/>
                <w:sz w:val="13"/>
                <w:szCs w:val="13"/>
                <w:u w:val="single"/>
              </w:rPr>
            </w:pPr>
            <w:hyperlink w:anchor="_9_Office_Multi-Language" w:history="1">
              <w:r w:rsidR="00BF5FC6" w:rsidRPr="0058047D">
                <w:rPr>
                  <w:rStyle w:val="Hyperlink"/>
                  <w:b/>
                  <w:sz w:val="13"/>
                  <w:szCs w:val="13"/>
                </w:rPr>
                <w:t>10</w:t>
              </w:r>
            </w:hyperlink>
            <w:hyperlink w:anchor="_87_Office_Multi-Language" w:history="1"/>
          </w:p>
        </w:tc>
        <w:tc>
          <w:tcPr>
            <w:tcW w:w="429" w:type="dxa"/>
            <w:tcBorders>
              <w:bottom w:val="single" w:sz="4" w:space="0" w:color="auto"/>
            </w:tcBorders>
            <w:shd w:val="clear" w:color="auto" w:fill="FABF8F"/>
            <w:vAlign w:val="center"/>
          </w:tcPr>
          <w:p w14:paraId="1745A814"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64DD304" w14:textId="77777777" w:rsidR="00913A0A" w:rsidRPr="0058047D"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2A532CB"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1</w:t>
            </w:r>
          </w:p>
        </w:tc>
        <w:tc>
          <w:tcPr>
            <w:tcW w:w="429" w:type="dxa"/>
            <w:tcBorders>
              <w:bottom w:val="single" w:sz="4" w:space="0" w:color="auto"/>
            </w:tcBorders>
            <w:shd w:val="clear" w:color="auto" w:fill="FABF8F"/>
            <w:vAlign w:val="center"/>
          </w:tcPr>
          <w:p w14:paraId="269A76A1"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3</w:t>
            </w:r>
          </w:p>
        </w:tc>
        <w:tc>
          <w:tcPr>
            <w:tcW w:w="429" w:type="dxa"/>
            <w:tcBorders>
              <w:bottom w:val="single" w:sz="4" w:space="0" w:color="auto"/>
            </w:tcBorders>
            <w:shd w:val="clear" w:color="auto" w:fill="FABF8F"/>
            <w:vAlign w:val="center"/>
          </w:tcPr>
          <w:p w14:paraId="0EC5D303"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563CC95E"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75060C96"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041DD6D9"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7C7FC28"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1</w:t>
            </w:r>
          </w:p>
        </w:tc>
        <w:tc>
          <w:tcPr>
            <w:tcW w:w="353" w:type="dxa"/>
            <w:gridSpan w:val="2"/>
            <w:tcBorders>
              <w:left w:val="single" w:sz="18" w:space="0" w:color="auto"/>
              <w:bottom w:val="single" w:sz="4" w:space="0" w:color="auto"/>
            </w:tcBorders>
            <w:shd w:val="clear" w:color="auto" w:fill="FABF8F"/>
            <w:vAlign w:val="center"/>
          </w:tcPr>
          <w:p w14:paraId="1E213C49"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1</w:t>
            </w:r>
          </w:p>
        </w:tc>
        <w:tc>
          <w:tcPr>
            <w:tcW w:w="360" w:type="dxa"/>
            <w:tcBorders>
              <w:bottom w:val="single" w:sz="4" w:space="0" w:color="auto"/>
            </w:tcBorders>
            <w:shd w:val="clear" w:color="auto" w:fill="FABF8F"/>
            <w:vAlign w:val="center"/>
          </w:tcPr>
          <w:p w14:paraId="7C12875F"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14:paraId="6DE032F5"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1</w:t>
            </w:r>
          </w:p>
        </w:tc>
        <w:tc>
          <w:tcPr>
            <w:tcW w:w="414" w:type="dxa"/>
            <w:tcBorders>
              <w:left w:val="single" w:sz="18" w:space="0" w:color="auto"/>
              <w:bottom w:val="single" w:sz="4" w:space="0" w:color="auto"/>
            </w:tcBorders>
            <w:shd w:val="clear" w:color="auto" w:fill="FABF8F"/>
            <w:vAlign w:val="center"/>
          </w:tcPr>
          <w:p w14:paraId="4D0FCD20"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1</w:t>
            </w:r>
          </w:p>
        </w:tc>
        <w:tc>
          <w:tcPr>
            <w:tcW w:w="405" w:type="dxa"/>
            <w:tcBorders>
              <w:bottom w:val="single" w:sz="4" w:space="0" w:color="auto"/>
              <w:right w:val="single" w:sz="18" w:space="0" w:color="auto"/>
            </w:tcBorders>
            <w:shd w:val="clear" w:color="auto" w:fill="FABF8F"/>
            <w:vAlign w:val="center"/>
          </w:tcPr>
          <w:p w14:paraId="723D22A8"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2E6785A9" w14:textId="77777777" w:rsidR="00913A0A" w:rsidRPr="0058047D" w:rsidRDefault="00913A0A" w:rsidP="00D55AB9">
            <w:pPr>
              <w:pStyle w:val="TableText"/>
              <w:widowControl w:val="0"/>
              <w:rPr>
                <w:rFonts w:ascii="Tahoma" w:hAnsi="Tahoma" w:cs="Tahoma"/>
                <w:sz w:val="13"/>
              </w:rPr>
            </w:pPr>
          </w:p>
        </w:tc>
        <w:tc>
          <w:tcPr>
            <w:tcW w:w="810" w:type="dxa"/>
            <w:tcBorders>
              <w:bottom w:val="single" w:sz="4" w:space="0" w:color="auto"/>
            </w:tcBorders>
            <w:shd w:val="clear" w:color="auto" w:fill="FABF8F"/>
            <w:vAlign w:val="center"/>
          </w:tcPr>
          <w:p w14:paraId="547F7D55"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A</w:t>
            </w:r>
          </w:p>
        </w:tc>
        <w:tc>
          <w:tcPr>
            <w:tcW w:w="495" w:type="dxa"/>
            <w:tcBorders>
              <w:bottom w:val="single" w:sz="4" w:space="0" w:color="auto"/>
            </w:tcBorders>
            <w:shd w:val="clear" w:color="auto" w:fill="FABF8F"/>
            <w:vAlign w:val="center"/>
          </w:tcPr>
          <w:p w14:paraId="39F81705" w14:textId="77777777" w:rsidR="00913A0A" w:rsidRPr="0058047D" w:rsidRDefault="00913A0A" w:rsidP="00D55AB9">
            <w:pPr>
              <w:pStyle w:val="TableText"/>
              <w:widowControl w:val="0"/>
              <w:rPr>
                <w:rFonts w:ascii="Tahoma" w:hAnsi="Tahoma" w:cs="Tahoma"/>
                <w:sz w:val="13"/>
              </w:rPr>
            </w:pPr>
          </w:p>
        </w:tc>
        <w:tc>
          <w:tcPr>
            <w:tcW w:w="370" w:type="dxa"/>
            <w:tcBorders>
              <w:bottom w:val="single" w:sz="4" w:space="0" w:color="auto"/>
            </w:tcBorders>
            <w:shd w:val="clear" w:color="auto" w:fill="FABF8F"/>
            <w:vAlign w:val="center"/>
          </w:tcPr>
          <w:p w14:paraId="7D97FF4B" w14:textId="77777777" w:rsidR="00913A0A" w:rsidRPr="0058047D" w:rsidRDefault="00913A0A" w:rsidP="00905D4E">
            <w:pPr>
              <w:pStyle w:val="TableText"/>
              <w:widowControl w:val="0"/>
              <w:rPr>
                <w:rFonts w:ascii="Tahoma" w:hAnsi="Tahoma" w:cs="Tahoma"/>
                <w:sz w:val="13"/>
              </w:rPr>
            </w:pPr>
            <w:r w:rsidRPr="0058047D">
              <w:rPr>
                <w:rFonts w:ascii="Tahoma" w:hAnsi="Tahoma" w:cs="Tahoma"/>
                <w:sz w:val="13"/>
              </w:rPr>
              <w:t>A</w:t>
            </w:r>
          </w:p>
        </w:tc>
      </w:tr>
      <w:tr w:rsidR="00913A0A" w:rsidRPr="0058047D" w14:paraId="64DE6264" w14:textId="77777777" w:rsidTr="00D5491B">
        <w:trPr>
          <w:cantSplit/>
          <w:trHeight w:val="422"/>
        </w:trPr>
        <w:tc>
          <w:tcPr>
            <w:tcW w:w="2371" w:type="dxa"/>
            <w:tcBorders>
              <w:bottom w:val="single" w:sz="4" w:space="0" w:color="auto"/>
            </w:tcBorders>
            <w:shd w:val="clear" w:color="auto" w:fill="auto"/>
            <w:vAlign w:val="center"/>
          </w:tcPr>
          <w:p w14:paraId="1E2A6942" w14:textId="77777777" w:rsidR="00913A0A" w:rsidRPr="0058047D" w:rsidRDefault="00913A0A" w:rsidP="00E077BC">
            <w:pPr>
              <w:pStyle w:val="ProductNames"/>
              <w:spacing w:beforeLines="20" w:before="48" w:afterLines="20" w:after="48"/>
              <w:rPr>
                <w:rFonts w:ascii="Tahoma" w:hAnsi="Tahoma" w:cs="Tahoma"/>
                <w:sz w:val="14"/>
              </w:rPr>
            </w:pPr>
            <w:bookmarkStart w:id="61" w:name="_Toc336337867"/>
            <w:bookmarkStart w:id="62" w:name="_Toc371663272"/>
            <w:r w:rsidRPr="0058047D">
              <w:rPr>
                <w:rFonts w:ascii="Tahoma" w:hAnsi="Tahoma" w:cs="Tahoma"/>
                <w:sz w:val="14"/>
              </w:rPr>
              <w:t xml:space="preserve">Office Professional Plus </w:t>
            </w:r>
            <w:bookmarkEnd w:id="61"/>
            <w:r w:rsidRPr="0058047D">
              <w:rPr>
                <w:rFonts w:ascii="Tahoma" w:hAnsi="Tahoma" w:cs="Tahoma"/>
                <w:sz w:val="14"/>
              </w:rPr>
              <w:t>2013</w:t>
            </w:r>
            <w:bookmarkEnd w:id="62"/>
          </w:p>
        </w:tc>
        <w:tc>
          <w:tcPr>
            <w:tcW w:w="429" w:type="dxa"/>
            <w:tcBorders>
              <w:bottom w:val="single" w:sz="4" w:space="0" w:color="auto"/>
            </w:tcBorders>
            <w:shd w:val="clear" w:color="auto" w:fill="auto"/>
            <w:vAlign w:val="center"/>
          </w:tcPr>
          <w:p w14:paraId="5C14BFAC" w14:textId="77777777" w:rsidR="00913A0A" w:rsidRPr="0058047D" w:rsidRDefault="00C86F50" w:rsidP="00D55AB9">
            <w:pPr>
              <w:pStyle w:val="TableText"/>
              <w:widowControl w:val="0"/>
              <w:rPr>
                <w:rStyle w:val="EndnoteReference"/>
                <w:b w:val="0"/>
                <w:color w:val="0000FF"/>
                <w:sz w:val="13"/>
                <w:szCs w:val="13"/>
                <w:u w:val="single"/>
              </w:rPr>
            </w:pPr>
            <w:hyperlink w:anchor="_10_Office_Professional" w:history="1">
              <w:r w:rsidR="00BF5FC6" w:rsidRPr="0058047D">
                <w:rPr>
                  <w:rStyle w:val="Hyperlink"/>
                  <w:b/>
                  <w:sz w:val="13"/>
                  <w:szCs w:val="13"/>
                </w:rPr>
                <w:t>11</w:t>
              </w:r>
            </w:hyperlink>
            <w:hyperlink w:anchor="_98_Office_Professional" w:history="1"/>
          </w:p>
        </w:tc>
        <w:tc>
          <w:tcPr>
            <w:tcW w:w="429" w:type="dxa"/>
            <w:tcBorders>
              <w:bottom w:val="single" w:sz="4" w:space="0" w:color="auto"/>
            </w:tcBorders>
            <w:shd w:val="clear" w:color="auto" w:fill="auto"/>
            <w:vAlign w:val="center"/>
          </w:tcPr>
          <w:p w14:paraId="230A1A41"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559DF140"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73D0296"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auto"/>
            <w:vAlign w:val="center"/>
          </w:tcPr>
          <w:p w14:paraId="6A990244"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5</w:t>
            </w:r>
          </w:p>
        </w:tc>
        <w:tc>
          <w:tcPr>
            <w:tcW w:w="429" w:type="dxa"/>
            <w:tcBorders>
              <w:bottom w:val="single" w:sz="4" w:space="0" w:color="auto"/>
            </w:tcBorders>
            <w:shd w:val="clear" w:color="auto" w:fill="auto"/>
            <w:vAlign w:val="center"/>
          </w:tcPr>
          <w:p w14:paraId="0AF8D960"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4</w:t>
            </w:r>
          </w:p>
        </w:tc>
        <w:tc>
          <w:tcPr>
            <w:tcW w:w="429" w:type="dxa"/>
            <w:tcBorders>
              <w:bottom w:val="single" w:sz="4" w:space="0" w:color="auto"/>
            </w:tcBorders>
            <w:shd w:val="clear" w:color="auto" w:fill="auto"/>
            <w:vAlign w:val="center"/>
          </w:tcPr>
          <w:p w14:paraId="07B7F638"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3</w:t>
            </w:r>
          </w:p>
        </w:tc>
        <w:tc>
          <w:tcPr>
            <w:tcW w:w="429" w:type="dxa"/>
            <w:tcBorders>
              <w:bottom w:val="single" w:sz="4" w:space="0" w:color="auto"/>
            </w:tcBorders>
            <w:shd w:val="clear" w:color="auto" w:fill="auto"/>
            <w:vAlign w:val="center"/>
          </w:tcPr>
          <w:p w14:paraId="376D7A9E"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3</w:t>
            </w:r>
          </w:p>
        </w:tc>
        <w:tc>
          <w:tcPr>
            <w:tcW w:w="429" w:type="dxa"/>
            <w:tcBorders>
              <w:bottom w:val="single" w:sz="4" w:space="0" w:color="auto"/>
            </w:tcBorders>
            <w:shd w:val="clear" w:color="auto" w:fill="auto"/>
            <w:vAlign w:val="center"/>
          </w:tcPr>
          <w:p w14:paraId="7E05C2AE"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3E0A91C2"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1</w:t>
            </w:r>
          </w:p>
        </w:tc>
        <w:tc>
          <w:tcPr>
            <w:tcW w:w="353" w:type="dxa"/>
            <w:gridSpan w:val="2"/>
            <w:tcBorders>
              <w:left w:val="single" w:sz="18" w:space="0" w:color="auto"/>
              <w:bottom w:val="single" w:sz="4" w:space="0" w:color="auto"/>
            </w:tcBorders>
            <w:shd w:val="clear" w:color="auto" w:fill="auto"/>
            <w:vAlign w:val="center"/>
          </w:tcPr>
          <w:p w14:paraId="3686A5C1"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2</w:t>
            </w:r>
          </w:p>
        </w:tc>
        <w:tc>
          <w:tcPr>
            <w:tcW w:w="360" w:type="dxa"/>
            <w:tcBorders>
              <w:bottom w:val="single" w:sz="4" w:space="0" w:color="auto"/>
            </w:tcBorders>
            <w:shd w:val="clear" w:color="auto" w:fill="auto"/>
            <w:vAlign w:val="center"/>
          </w:tcPr>
          <w:p w14:paraId="6691B4A1"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4</w:t>
            </w:r>
          </w:p>
        </w:tc>
        <w:tc>
          <w:tcPr>
            <w:tcW w:w="378" w:type="dxa"/>
            <w:tcBorders>
              <w:bottom w:val="single" w:sz="4" w:space="0" w:color="auto"/>
              <w:right w:val="single" w:sz="18" w:space="0" w:color="auto"/>
            </w:tcBorders>
            <w:shd w:val="clear" w:color="auto" w:fill="auto"/>
            <w:vAlign w:val="center"/>
          </w:tcPr>
          <w:p w14:paraId="7ECB6451"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2</w:t>
            </w:r>
          </w:p>
        </w:tc>
        <w:tc>
          <w:tcPr>
            <w:tcW w:w="414" w:type="dxa"/>
            <w:tcBorders>
              <w:left w:val="single" w:sz="18" w:space="0" w:color="auto"/>
              <w:bottom w:val="single" w:sz="4" w:space="0" w:color="auto"/>
            </w:tcBorders>
            <w:shd w:val="clear" w:color="auto" w:fill="auto"/>
            <w:vAlign w:val="center"/>
          </w:tcPr>
          <w:p w14:paraId="5BD483D7"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1</w:t>
            </w:r>
          </w:p>
        </w:tc>
        <w:tc>
          <w:tcPr>
            <w:tcW w:w="405" w:type="dxa"/>
            <w:tcBorders>
              <w:bottom w:val="single" w:sz="4" w:space="0" w:color="auto"/>
              <w:right w:val="single" w:sz="18" w:space="0" w:color="auto"/>
            </w:tcBorders>
            <w:shd w:val="clear" w:color="auto" w:fill="auto"/>
            <w:vAlign w:val="center"/>
          </w:tcPr>
          <w:p w14:paraId="02D2B83C"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E</w:t>
            </w:r>
          </w:p>
        </w:tc>
        <w:tc>
          <w:tcPr>
            <w:tcW w:w="405" w:type="dxa"/>
            <w:tcBorders>
              <w:left w:val="single" w:sz="18" w:space="0" w:color="auto"/>
              <w:bottom w:val="single" w:sz="4" w:space="0" w:color="auto"/>
              <w:right w:val="single" w:sz="18" w:space="0" w:color="auto"/>
            </w:tcBorders>
            <w:shd w:val="clear" w:color="auto" w:fill="auto"/>
            <w:vAlign w:val="center"/>
          </w:tcPr>
          <w:p w14:paraId="68F28334"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E, P</w:t>
            </w:r>
          </w:p>
        </w:tc>
        <w:tc>
          <w:tcPr>
            <w:tcW w:w="810" w:type="dxa"/>
            <w:tcBorders>
              <w:bottom w:val="single" w:sz="4" w:space="0" w:color="auto"/>
            </w:tcBorders>
            <w:shd w:val="clear" w:color="auto" w:fill="auto"/>
            <w:vAlign w:val="center"/>
          </w:tcPr>
          <w:p w14:paraId="3AA03E94"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E, ST</w:t>
            </w:r>
          </w:p>
        </w:tc>
        <w:tc>
          <w:tcPr>
            <w:tcW w:w="495" w:type="dxa"/>
            <w:tcBorders>
              <w:bottom w:val="single" w:sz="4" w:space="0" w:color="auto"/>
            </w:tcBorders>
            <w:shd w:val="clear" w:color="auto" w:fill="auto"/>
            <w:vAlign w:val="center"/>
          </w:tcPr>
          <w:p w14:paraId="308D98B2" w14:textId="77777777" w:rsidR="00913A0A" w:rsidRPr="0058047D" w:rsidRDefault="00913A0A" w:rsidP="00D55AB9">
            <w:pPr>
              <w:pStyle w:val="TableText"/>
              <w:widowControl w:val="0"/>
              <w:rPr>
                <w:rFonts w:ascii="Tahoma" w:hAnsi="Tahoma" w:cs="Tahoma"/>
                <w:sz w:val="13"/>
              </w:rPr>
            </w:pPr>
          </w:p>
        </w:tc>
        <w:tc>
          <w:tcPr>
            <w:tcW w:w="370" w:type="dxa"/>
            <w:tcBorders>
              <w:bottom w:val="single" w:sz="4" w:space="0" w:color="auto"/>
            </w:tcBorders>
            <w:vAlign w:val="center"/>
          </w:tcPr>
          <w:p w14:paraId="4327B1D7" w14:textId="77777777" w:rsidR="00913A0A" w:rsidRPr="0058047D" w:rsidRDefault="00913A0A" w:rsidP="00905D4E">
            <w:pPr>
              <w:pStyle w:val="TableText"/>
              <w:widowControl w:val="0"/>
              <w:rPr>
                <w:rFonts w:ascii="Tahoma" w:hAnsi="Tahoma" w:cs="Tahoma"/>
                <w:sz w:val="13"/>
              </w:rPr>
            </w:pPr>
          </w:p>
        </w:tc>
      </w:tr>
      <w:tr w:rsidR="008A0F85" w:rsidRPr="0058047D" w14:paraId="0FAB9D3C" w14:textId="77777777" w:rsidTr="00D5491B">
        <w:trPr>
          <w:cantSplit/>
          <w:trHeight w:val="278"/>
        </w:trPr>
        <w:tc>
          <w:tcPr>
            <w:tcW w:w="2371" w:type="dxa"/>
            <w:tcBorders>
              <w:bottom w:val="single" w:sz="4" w:space="0" w:color="auto"/>
            </w:tcBorders>
            <w:shd w:val="clear" w:color="auto" w:fill="FABF8F"/>
            <w:vAlign w:val="center"/>
          </w:tcPr>
          <w:p w14:paraId="427175A3" w14:textId="77777777" w:rsidR="00913A0A" w:rsidRPr="0058047D" w:rsidRDefault="00913A0A" w:rsidP="00E077BC">
            <w:pPr>
              <w:pStyle w:val="Heading3"/>
              <w:spacing w:beforeLines="20" w:before="48" w:afterLines="20" w:after="48"/>
              <w:rPr>
                <w:rFonts w:ascii="Tahoma" w:hAnsi="Tahoma" w:cs="Tahoma"/>
                <w:b w:val="0"/>
                <w:sz w:val="14"/>
              </w:rPr>
            </w:pPr>
            <w:bookmarkStart w:id="63" w:name="_Toc336337868"/>
            <w:bookmarkStart w:id="64" w:name="_Toc371663273"/>
            <w:r w:rsidRPr="0058047D">
              <w:rPr>
                <w:rFonts w:ascii="Tahoma" w:hAnsi="Tahoma" w:cs="Tahoma"/>
                <w:b w:val="0"/>
                <w:sz w:val="14"/>
              </w:rPr>
              <w:t xml:space="preserve">Office Standard </w:t>
            </w:r>
            <w:bookmarkEnd w:id="63"/>
            <w:r w:rsidRPr="0058047D">
              <w:rPr>
                <w:rFonts w:ascii="Tahoma" w:hAnsi="Tahoma" w:cs="Tahoma"/>
                <w:b w:val="0"/>
                <w:sz w:val="14"/>
              </w:rPr>
              <w:t>2013</w:t>
            </w:r>
            <w:bookmarkEnd w:id="64"/>
            <w:r w:rsidRPr="0058047D">
              <w:rPr>
                <w:rFonts w:ascii="Tahoma" w:hAnsi="Tahoma" w:cs="Tahoma"/>
                <w:b w:val="0"/>
                <w:sz w:val="14"/>
              </w:rPr>
              <w:t xml:space="preserve"> </w:t>
            </w:r>
          </w:p>
        </w:tc>
        <w:tc>
          <w:tcPr>
            <w:tcW w:w="429" w:type="dxa"/>
            <w:tcBorders>
              <w:bottom w:val="single" w:sz="4" w:space="0" w:color="auto"/>
            </w:tcBorders>
            <w:shd w:val="clear" w:color="auto" w:fill="FABF8F"/>
            <w:vAlign w:val="center"/>
          </w:tcPr>
          <w:p w14:paraId="15BAC9DB" w14:textId="77777777" w:rsidR="00913A0A" w:rsidRPr="0058047D" w:rsidRDefault="00C86F50" w:rsidP="00D55AB9">
            <w:pPr>
              <w:pStyle w:val="TableText"/>
              <w:widowControl w:val="0"/>
              <w:rPr>
                <w:rStyle w:val="EndnoteReference"/>
                <w:b w:val="0"/>
                <w:color w:val="0000FF"/>
                <w:sz w:val="13"/>
                <w:szCs w:val="13"/>
                <w:u w:val="single"/>
              </w:rPr>
            </w:pPr>
            <w:hyperlink w:anchor="_11_Office_Standard" w:history="1">
              <w:r w:rsidR="00BF5FC6" w:rsidRPr="0058047D">
                <w:rPr>
                  <w:rStyle w:val="Hyperlink"/>
                  <w:b/>
                  <w:sz w:val="13"/>
                  <w:szCs w:val="13"/>
                </w:rPr>
                <w:t>12</w:t>
              </w:r>
            </w:hyperlink>
            <w:hyperlink w:anchor="_109_Office_Standard" w:history="1"/>
          </w:p>
        </w:tc>
        <w:tc>
          <w:tcPr>
            <w:tcW w:w="429" w:type="dxa"/>
            <w:tcBorders>
              <w:bottom w:val="single" w:sz="4" w:space="0" w:color="auto"/>
            </w:tcBorders>
            <w:shd w:val="clear" w:color="auto" w:fill="FABF8F"/>
            <w:vAlign w:val="center"/>
          </w:tcPr>
          <w:p w14:paraId="39DE8FA8"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2A39E33E" w14:textId="77777777" w:rsidR="00913A0A" w:rsidRPr="0058047D" w:rsidRDefault="00913A0A" w:rsidP="00D55AB9">
            <w:pPr>
              <w:pStyle w:val="TableText"/>
              <w:widowControl w:val="0"/>
              <w:rPr>
                <w:rFonts w:ascii="Tahoma" w:hAnsi="Tahoma" w:cs="Tahoma"/>
                <w:b/>
                <w:sz w:val="13"/>
              </w:rPr>
            </w:pPr>
            <w:r w:rsidRPr="0058047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9CF98BE"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7C2374FB"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5</w:t>
            </w:r>
          </w:p>
        </w:tc>
        <w:tc>
          <w:tcPr>
            <w:tcW w:w="429" w:type="dxa"/>
            <w:tcBorders>
              <w:bottom w:val="single" w:sz="4" w:space="0" w:color="auto"/>
            </w:tcBorders>
            <w:shd w:val="clear" w:color="auto" w:fill="FABF8F"/>
            <w:vAlign w:val="center"/>
          </w:tcPr>
          <w:p w14:paraId="774BB7B8"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4</w:t>
            </w:r>
          </w:p>
        </w:tc>
        <w:tc>
          <w:tcPr>
            <w:tcW w:w="429" w:type="dxa"/>
            <w:tcBorders>
              <w:bottom w:val="single" w:sz="4" w:space="0" w:color="auto"/>
            </w:tcBorders>
            <w:shd w:val="clear" w:color="auto" w:fill="FABF8F"/>
            <w:vAlign w:val="center"/>
          </w:tcPr>
          <w:p w14:paraId="2ED3F579"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3</w:t>
            </w:r>
          </w:p>
        </w:tc>
        <w:tc>
          <w:tcPr>
            <w:tcW w:w="429" w:type="dxa"/>
            <w:tcBorders>
              <w:bottom w:val="single" w:sz="4" w:space="0" w:color="auto"/>
            </w:tcBorders>
            <w:shd w:val="clear" w:color="auto" w:fill="FABF8F"/>
            <w:vAlign w:val="center"/>
          </w:tcPr>
          <w:p w14:paraId="147CDE87"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3</w:t>
            </w:r>
          </w:p>
        </w:tc>
        <w:tc>
          <w:tcPr>
            <w:tcW w:w="429" w:type="dxa"/>
            <w:tcBorders>
              <w:bottom w:val="single" w:sz="4" w:space="0" w:color="auto"/>
            </w:tcBorders>
            <w:shd w:val="clear" w:color="auto" w:fill="FABF8F"/>
            <w:vAlign w:val="center"/>
          </w:tcPr>
          <w:p w14:paraId="1571A408"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3AE8938"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1</w:t>
            </w:r>
          </w:p>
        </w:tc>
        <w:tc>
          <w:tcPr>
            <w:tcW w:w="353" w:type="dxa"/>
            <w:gridSpan w:val="2"/>
            <w:tcBorders>
              <w:left w:val="single" w:sz="18" w:space="0" w:color="auto"/>
              <w:bottom w:val="single" w:sz="4" w:space="0" w:color="auto"/>
            </w:tcBorders>
            <w:shd w:val="clear" w:color="auto" w:fill="FABF8F"/>
            <w:vAlign w:val="center"/>
          </w:tcPr>
          <w:p w14:paraId="19D2F9AB"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2</w:t>
            </w:r>
          </w:p>
        </w:tc>
        <w:tc>
          <w:tcPr>
            <w:tcW w:w="360" w:type="dxa"/>
            <w:tcBorders>
              <w:bottom w:val="single" w:sz="4" w:space="0" w:color="auto"/>
            </w:tcBorders>
            <w:shd w:val="clear" w:color="auto" w:fill="FABF8F"/>
            <w:vAlign w:val="center"/>
          </w:tcPr>
          <w:p w14:paraId="4DC0E42C"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4</w:t>
            </w:r>
          </w:p>
        </w:tc>
        <w:tc>
          <w:tcPr>
            <w:tcW w:w="378" w:type="dxa"/>
            <w:tcBorders>
              <w:bottom w:val="single" w:sz="4" w:space="0" w:color="auto"/>
              <w:right w:val="single" w:sz="18" w:space="0" w:color="auto"/>
            </w:tcBorders>
            <w:shd w:val="clear" w:color="auto" w:fill="FABF8F"/>
            <w:vAlign w:val="center"/>
          </w:tcPr>
          <w:p w14:paraId="7BFE37A9"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2</w:t>
            </w:r>
          </w:p>
        </w:tc>
        <w:tc>
          <w:tcPr>
            <w:tcW w:w="414" w:type="dxa"/>
            <w:tcBorders>
              <w:left w:val="single" w:sz="18" w:space="0" w:color="auto"/>
              <w:bottom w:val="single" w:sz="4" w:space="0" w:color="auto"/>
            </w:tcBorders>
            <w:shd w:val="clear" w:color="auto" w:fill="FABF8F"/>
            <w:vAlign w:val="center"/>
          </w:tcPr>
          <w:p w14:paraId="62AA39C4" w14:textId="77777777" w:rsidR="00913A0A" w:rsidRPr="0058047D" w:rsidRDefault="00913A0A" w:rsidP="00D55AB9">
            <w:pPr>
              <w:pStyle w:val="TableText"/>
              <w:widowControl w:val="0"/>
              <w:rPr>
                <w:rFonts w:ascii="Tahoma" w:hAnsi="Tahoma" w:cs="Tahoma"/>
                <w:sz w:val="13"/>
              </w:rPr>
            </w:pPr>
          </w:p>
        </w:tc>
        <w:tc>
          <w:tcPr>
            <w:tcW w:w="405" w:type="dxa"/>
            <w:tcBorders>
              <w:bottom w:val="single" w:sz="4" w:space="0" w:color="auto"/>
              <w:right w:val="single" w:sz="18" w:space="0" w:color="auto"/>
            </w:tcBorders>
            <w:shd w:val="clear" w:color="auto" w:fill="FABF8F"/>
            <w:vAlign w:val="center"/>
          </w:tcPr>
          <w:p w14:paraId="3776F948" w14:textId="77777777" w:rsidR="00913A0A" w:rsidRPr="0058047D" w:rsidRDefault="00913A0A" w:rsidP="00D55AB9">
            <w:pPr>
              <w:pStyle w:val="TableText"/>
              <w:widowControl w:val="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6A461A44"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FABF8F"/>
            <w:vAlign w:val="center"/>
          </w:tcPr>
          <w:p w14:paraId="1E6A9E1D" w14:textId="77777777" w:rsidR="00913A0A" w:rsidRPr="0058047D" w:rsidRDefault="00913A0A" w:rsidP="00D55AB9">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7B40783A" w14:textId="77777777" w:rsidR="00913A0A" w:rsidRPr="0058047D" w:rsidRDefault="00913A0A" w:rsidP="00D55AB9">
            <w:pPr>
              <w:pStyle w:val="TableText"/>
              <w:widowControl w:val="0"/>
              <w:rPr>
                <w:rFonts w:ascii="Tahoma" w:hAnsi="Tahoma" w:cs="Tahoma"/>
                <w:sz w:val="13"/>
              </w:rPr>
            </w:pPr>
          </w:p>
        </w:tc>
        <w:tc>
          <w:tcPr>
            <w:tcW w:w="370" w:type="dxa"/>
            <w:tcBorders>
              <w:bottom w:val="single" w:sz="4" w:space="0" w:color="auto"/>
            </w:tcBorders>
            <w:shd w:val="clear" w:color="auto" w:fill="FABF8F"/>
            <w:vAlign w:val="center"/>
          </w:tcPr>
          <w:p w14:paraId="73514406" w14:textId="77777777" w:rsidR="00913A0A" w:rsidRPr="0058047D" w:rsidRDefault="00913A0A" w:rsidP="00905D4E">
            <w:pPr>
              <w:pStyle w:val="TableText"/>
              <w:widowControl w:val="0"/>
              <w:rPr>
                <w:rFonts w:ascii="Tahoma" w:hAnsi="Tahoma" w:cs="Tahoma"/>
                <w:sz w:val="13"/>
              </w:rPr>
            </w:pPr>
          </w:p>
        </w:tc>
      </w:tr>
      <w:tr w:rsidR="000956ED" w:rsidRPr="0058047D" w14:paraId="6B6E2037" w14:textId="77777777" w:rsidTr="0058047D">
        <w:trPr>
          <w:cantSplit/>
          <w:trHeight w:val="305"/>
        </w:trPr>
        <w:tc>
          <w:tcPr>
            <w:tcW w:w="2371" w:type="dxa"/>
            <w:tcBorders>
              <w:bottom w:val="single" w:sz="4" w:space="0" w:color="auto"/>
            </w:tcBorders>
            <w:shd w:val="clear" w:color="auto" w:fill="auto"/>
          </w:tcPr>
          <w:p w14:paraId="45BBAE6F" w14:textId="77777777" w:rsidR="000956ED" w:rsidRPr="003F471F" w:rsidRDefault="000956ED" w:rsidP="00E077BC">
            <w:pPr>
              <w:pStyle w:val="Heading2"/>
              <w:spacing w:beforeLines="20" w:before="48" w:afterLines="20" w:after="48"/>
              <w:ind w:left="0"/>
              <w:rPr>
                <w:rFonts w:ascii="Tahoma" w:hAnsi="Tahoma" w:cs="Tahoma"/>
                <w:b w:val="0"/>
                <w:sz w:val="14"/>
                <w:lang w:val="it-IT"/>
              </w:rPr>
            </w:pPr>
            <w:bookmarkStart w:id="65" w:name="_Toc336337869"/>
            <w:bookmarkStart w:id="66" w:name="_Toc371663274"/>
            <w:r w:rsidRPr="003F471F">
              <w:rPr>
                <w:rFonts w:ascii="Tahoma" w:hAnsi="Tahoma" w:cs="Tahoma"/>
                <w:b w:val="0"/>
                <w:sz w:val="14"/>
                <w:lang w:val="it-IT"/>
              </w:rPr>
              <w:t>Office 365 ProPlus (SL per Utente)</w:t>
            </w:r>
            <w:bookmarkEnd w:id="65"/>
            <w:bookmarkEnd w:id="66"/>
          </w:p>
        </w:tc>
        <w:tc>
          <w:tcPr>
            <w:tcW w:w="429" w:type="dxa"/>
            <w:tcBorders>
              <w:bottom w:val="single" w:sz="4" w:space="0" w:color="auto"/>
            </w:tcBorders>
            <w:shd w:val="clear" w:color="auto" w:fill="auto"/>
          </w:tcPr>
          <w:p w14:paraId="4C1FB589" w14:textId="77777777" w:rsidR="000956ED" w:rsidRPr="0058047D" w:rsidRDefault="00C86F50" w:rsidP="00D55AB9">
            <w:pPr>
              <w:pStyle w:val="TableText"/>
              <w:widowControl w:val="0"/>
              <w:spacing w:before="120"/>
              <w:rPr>
                <w:b/>
                <w:color w:val="0000FF"/>
                <w:sz w:val="13"/>
                <w:szCs w:val="13"/>
                <w:u w:val="single"/>
              </w:rPr>
            </w:pPr>
            <w:hyperlink w:anchor="_12_Office_365" w:history="1">
              <w:r w:rsidR="00BF5FC6" w:rsidRPr="0058047D">
                <w:rPr>
                  <w:rStyle w:val="Hyperlink"/>
                  <w:b/>
                  <w:sz w:val="13"/>
                  <w:szCs w:val="13"/>
                </w:rPr>
                <w:t>13</w:t>
              </w:r>
            </w:hyperlink>
            <w:hyperlink w:anchor="Aps_9OfficeProPlusSubUserSL" w:history="1"/>
          </w:p>
        </w:tc>
        <w:tc>
          <w:tcPr>
            <w:tcW w:w="429" w:type="dxa"/>
            <w:tcBorders>
              <w:bottom w:val="single" w:sz="4" w:space="0" w:color="auto"/>
            </w:tcBorders>
            <w:shd w:val="clear" w:color="auto" w:fill="auto"/>
            <w:vAlign w:val="center"/>
          </w:tcPr>
          <w:p w14:paraId="7784211B" w14:textId="77777777" w:rsidR="000956ED" w:rsidRPr="0058047D" w:rsidRDefault="000956ED" w:rsidP="00D55AB9">
            <w:pPr>
              <w:pStyle w:val="TableText"/>
              <w:rPr>
                <w:rFonts w:ascii="Tahoma" w:hAnsi="Tahoma" w:cs="Tahoma"/>
                <w:sz w:val="13"/>
              </w:rPr>
            </w:pPr>
            <w:r w:rsidRPr="0058047D">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22F70EEF" w14:textId="77777777" w:rsidR="000956ED" w:rsidRPr="0058047D" w:rsidRDefault="000956ED" w:rsidP="00905D4E">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B049FB1" w14:textId="77777777" w:rsidR="000956ED" w:rsidRPr="0058047D"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7B6F4454" w14:textId="77777777" w:rsidR="000956ED" w:rsidRPr="0058047D"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769D549B" w14:textId="77777777" w:rsidR="000956ED" w:rsidRPr="0058047D"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0CC3B586" w14:textId="77777777" w:rsidR="000956ED" w:rsidRPr="0058047D"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4B1788DB" w14:textId="77777777" w:rsidR="000956ED" w:rsidRPr="0058047D"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60EA15B8" w14:textId="77777777" w:rsidR="000956ED" w:rsidRPr="0058047D" w:rsidRDefault="000956ED" w:rsidP="00905D4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F501DB9" w14:textId="77777777" w:rsidR="000956ED" w:rsidRPr="0058047D" w:rsidRDefault="000956ED" w:rsidP="00905D4E">
            <w:pPr>
              <w:pStyle w:val="TableText"/>
              <w:rPr>
                <w:rFonts w:ascii="Tahoma" w:hAnsi="Tahoma" w:cs="Tahoma"/>
                <w:sz w:val="13"/>
              </w:rPr>
            </w:pPr>
          </w:p>
        </w:tc>
        <w:tc>
          <w:tcPr>
            <w:tcW w:w="1091" w:type="dxa"/>
            <w:gridSpan w:val="4"/>
            <w:tcBorders>
              <w:left w:val="single" w:sz="18" w:space="0" w:color="auto"/>
              <w:bottom w:val="single" w:sz="4" w:space="0" w:color="auto"/>
              <w:right w:val="single" w:sz="18" w:space="0" w:color="auto"/>
            </w:tcBorders>
            <w:shd w:val="clear" w:color="auto" w:fill="auto"/>
            <w:vAlign w:val="center"/>
          </w:tcPr>
          <w:p w14:paraId="0F90E893" w14:textId="77777777" w:rsidR="000956ED" w:rsidRPr="0058047D" w:rsidRDefault="000956ED" w:rsidP="00905D4E">
            <w:pPr>
              <w:pStyle w:val="TableText"/>
              <w:rPr>
                <w:rFonts w:ascii="Tahoma" w:hAnsi="Tahoma" w:cs="Tahoma"/>
                <w:sz w:val="13"/>
              </w:rPr>
            </w:pPr>
            <w:r w:rsidRPr="0058047D">
              <w:rPr>
                <w:rFonts w:ascii="Tahoma" w:hAnsi="Tahoma" w:cs="Tahoma"/>
                <w:sz w:val="13"/>
              </w:rPr>
              <w:t>2</w:t>
            </w:r>
          </w:p>
        </w:tc>
        <w:tc>
          <w:tcPr>
            <w:tcW w:w="414" w:type="dxa"/>
            <w:tcBorders>
              <w:left w:val="single" w:sz="18" w:space="0" w:color="auto"/>
              <w:bottom w:val="single" w:sz="4" w:space="0" w:color="auto"/>
            </w:tcBorders>
            <w:shd w:val="clear" w:color="auto" w:fill="auto"/>
            <w:vAlign w:val="center"/>
          </w:tcPr>
          <w:p w14:paraId="453702E1" w14:textId="77777777" w:rsidR="000956ED" w:rsidRPr="0058047D" w:rsidRDefault="000956ED" w:rsidP="00905D4E">
            <w:pPr>
              <w:pStyle w:val="TableText"/>
              <w:rPr>
                <w:rFonts w:ascii="Tahoma" w:hAnsi="Tahoma" w:cs="Tahoma"/>
                <w:sz w:val="13"/>
              </w:rPr>
            </w:pPr>
          </w:p>
        </w:tc>
        <w:tc>
          <w:tcPr>
            <w:tcW w:w="405" w:type="dxa"/>
            <w:tcBorders>
              <w:bottom w:val="single" w:sz="4" w:space="0" w:color="auto"/>
              <w:right w:val="single" w:sz="18" w:space="0" w:color="auto"/>
            </w:tcBorders>
            <w:shd w:val="clear" w:color="auto" w:fill="auto"/>
            <w:vAlign w:val="center"/>
          </w:tcPr>
          <w:p w14:paraId="6A764368" w14:textId="77777777" w:rsidR="000956ED" w:rsidRPr="0058047D" w:rsidRDefault="000956ED" w:rsidP="00905D4E">
            <w:pPr>
              <w:pStyle w:val="TableText"/>
              <w:rPr>
                <w:rFonts w:ascii="Tahoma" w:hAnsi="Tahoma" w:cs="Tahoma"/>
                <w:sz w:val="13"/>
              </w:rPr>
            </w:pPr>
            <w:r w:rsidRPr="0058047D">
              <w:rPr>
                <w:rFonts w:ascii="Tahoma" w:hAnsi="Tahoma" w:cs="Tahoma"/>
                <w:sz w:val="13"/>
              </w:rPr>
              <w:t>E, S</w:t>
            </w:r>
          </w:p>
        </w:tc>
        <w:tc>
          <w:tcPr>
            <w:tcW w:w="405" w:type="dxa"/>
            <w:tcBorders>
              <w:left w:val="single" w:sz="18" w:space="0" w:color="auto"/>
              <w:bottom w:val="single" w:sz="4" w:space="0" w:color="auto"/>
              <w:right w:val="single" w:sz="18" w:space="0" w:color="auto"/>
            </w:tcBorders>
            <w:shd w:val="clear" w:color="auto" w:fill="auto"/>
            <w:vAlign w:val="center"/>
          </w:tcPr>
          <w:p w14:paraId="5604EC88" w14:textId="77777777" w:rsidR="000956ED" w:rsidRPr="0058047D" w:rsidRDefault="000956ED" w:rsidP="00905D4E">
            <w:pPr>
              <w:pStyle w:val="TableText"/>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auto"/>
            <w:vAlign w:val="center"/>
          </w:tcPr>
          <w:p w14:paraId="15F311FF" w14:textId="77777777" w:rsidR="000956ED" w:rsidRPr="0058047D" w:rsidRDefault="000956ED" w:rsidP="00905D4E">
            <w:pPr>
              <w:pStyle w:val="TableText"/>
              <w:rPr>
                <w:rFonts w:ascii="Tahoma" w:hAnsi="Tahoma" w:cs="Tahoma"/>
                <w:sz w:val="13"/>
              </w:rPr>
            </w:pPr>
          </w:p>
        </w:tc>
        <w:tc>
          <w:tcPr>
            <w:tcW w:w="495" w:type="dxa"/>
            <w:tcBorders>
              <w:bottom w:val="single" w:sz="4" w:space="0" w:color="auto"/>
            </w:tcBorders>
            <w:shd w:val="clear" w:color="auto" w:fill="auto"/>
            <w:vAlign w:val="center"/>
          </w:tcPr>
          <w:p w14:paraId="29062F64" w14:textId="77777777" w:rsidR="000956ED" w:rsidRPr="0058047D" w:rsidRDefault="000956ED" w:rsidP="00905D4E">
            <w:pPr>
              <w:pStyle w:val="TableText"/>
              <w:rPr>
                <w:rFonts w:ascii="Tahoma" w:hAnsi="Tahoma" w:cs="Tahoma"/>
                <w:sz w:val="13"/>
              </w:rPr>
            </w:pPr>
            <w:r w:rsidRPr="0058047D">
              <w:rPr>
                <w:rFonts w:ascii="Tahoma" w:hAnsi="Tahoma" w:cs="Tahoma"/>
                <w:sz w:val="13"/>
              </w:rPr>
              <w:t>OL/OV</w:t>
            </w:r>
          </w:p>
        </w:tc>
        <w:tc>
          <w:tcPr>
            <w:tcW w:w="370" w:type="dxa"/>
            <w:tcBorders>
              <w:bottom w:val="single" w:sz="4" w:space="0" w:color="auto"/>
            </w:tcBorders>
            <w:vAlign w:val="center"/>
          </w:tcPr>
          <w:p w14:paraId="6D54DB4E" w14:textId="77777777" w:rsidR="000956ED" w:rsidRPr="0058047D" w:rsidRDefault="000956ED" w:rsidP="00905D4E">
            <w:pPr>
              <w:pStyle w:val="TableText"/>
              <w:rPr>
                <w:rFonts w:ascii="Tahoma" w:hAnsi="Tahoma" w:cs="Tahoma"/>
                <w:sz w:val="13"/>
              </w:rPr>
            </w:pPr>
          </w:p>
        </w:tc>
      </w:tr>
      <w:tr w:rsidR="008A0F85" w:rsidRPr="0058047D" w14:paraId="48E3297D" w14:textId="77777777" w:rsidTr="00D5491B">
        <w:trPr>
          <w:cantSplit/>
          <w:trHeight w:val="305"/>
        </w:trPr>
        <w:tc>
          <w:tcPr>
            <w:tcW w:w="2371" w:type="dxa"/>
            <w:tcBorders>
              <w:bottom w:val="single" w:sz="4" w:space="0" w:color="auto"/>
            </w:tcBorders>
            <w:shd w:val="clear" w:color="auto" w:fill="FABF8F"/>
            <w:vAlign w:val="center"/>
          </w:tcPr>
          <w:p w14:paraId="7AD6D8EF" w14:textId="77777777" w:rsidR="00913A0A" w:rsidRPr="0058047D" w:rsidRDefault="00913A0A" w:rsidP="00E077BC">
            <w:pPr>
              <w:pStyle w:val="Heading2"/>
              <w:spacing w:beforeLines="20" w:before="48" w:afterLines="20" w:after="48"/>
              <w:ind w:left="0"/>
              <w:rPr>
                <w:rFonts w:ascii="Tahoma" w:hAnsi="Tahoma" w:cs="Tahoma"/>
                <w:b w:val="0"/>
                <w:sz w:val="14"/>
              </w:rPr>
            </w:pPr>
            <w:bookmarkStart w:id="67" w:name="_Toc371663275"/>
            <w:r w:rsidRPr="0058047D">
              <w:rPr>
                <w:rFonts w:ascii="Tahoma" w:hAnsi="Tahoma" w:cs="Tahoma"/>
                <w:b w:val="0"/>
                <w:sz w:val="14"/>
              </w:rPr>
              <w:t xml:space="preserve">Office 365 ProPlus SA Transition </w:t>
            </w:r>
            <w:r w:rsidR="00D5491B">
              <w:rPr>
                <w:rFonts w:ascii="Tahoma" w:hAnsi="Tahoma" w:cs="Tahoma"/>
                <w:b w:val="0"/>
                <w:sz w:val="14"/>
              </w:rPr>
              <w:br/>
            </w:r>
            <w:r w:rsidRPr="0058047D">
              <w:rPr>
                <w:rFonts w:ascii="Tahoma" w:hAnsi="Tahoma" w:cs="Tahoma"/>
                <w:b w:val="0"/>
                <w:sz w:val="14"/>
              </w:rPr>
              <w:t>(SL per Utente)</w:t>
            </w:r>
            <w:bookmarkEnd w:id="67"/>
          </w:p>
        </w:tc>
        <w:tc>
          <w:tcPr>
            <w:tcW w:w="429" w:type="dxa"/>
            <w:tcBorders>
              <w:bottom w:val="single" w:sz="4" w:space="0" w:color="auto"/>
            </w:tcBorders>
            <w:shd w:val="clear" w:color="auto" w:fill="FABF8F"/>
            <w:vAlign w:val="center"/>
          </w:tcPr>
          <w:p w14:paraId="1F4D4BE0" w14:textId="77777777" w:rsidR="00913A0A" w:rsidRPr="0058047D" w:rsidRDefault="00C86F50" w:rsidP="00D55AB9">
            <w:pPr>
              <w:pStyle w:val="TableText"/>
              <w:widowControl w:val="0"/>
              <w:rPr>
                <w:b/>
                <w:color w:val="0000FF"/>
                <w:sz w:val="13"/>
                <w:szCs w:val="13"/>
                <w:u w:val="single"/>
              </w:rPr>
            </w:pPr>
            <w:hyperlink w:anchor="_12_Office_365" w:history="1">
              <w:r w:rsidR="00BF5FC6" w:rsidRPr="0058047D">
                <w:rPr>
                  <w:rStyle w:val="Hyperlink"/>
                  <w:b/>
                  <w:sz w:val="13"/>
                  <w:szCs w:val="13"/>
                </w:rPr>
                <w:t>13</w:t>
              </w:r>
            </w:hyperlink>
          </w:p>
        </w:tc>
        <w:tc>
          <w:tcPr>
            <w:tcW w:w="429" w:type="dxa"/>
            <w:tcBorders>
              <w:bottom w:val="single" w:sz="4" w:space="0" w:color="auto"/>
            </w:tcBorders>
            <w:shd w:val="clear" w:color="auto" w:fill="FABF8F"/>
            <w:vAlign w:val="center"/>
          </w:tcPr>
          <w:p w14:paraId="73649E5F" w14:textId="77777777" w:rsidR="00913A0A" w:rsidRPr="0058047D" w:rsidRDefault="00913A0A" w:rsidP="00D55AB9">
            <w:pPr>
              <w:pStyle w:val="TableText"/>
              <w:rPr>
                <w:rFonts w:ascii="Tahoma" w:hAnsi="Tahoma" w:cs="Tahoma"/>
                <w:sz w:val="13"/>
              </w:rPr>
            </w:pPr>
            <w:r w:rsidRPr="0058047D">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14:paraId="761CA615" w14:textId="77777777" w:rsidR="00913A0A" w:rsidRPr="0058047D"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41C7255" w14:textId="77777777" w:rsidR="00913A0A" w:rsidRPr="0058047D"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125B06B7" w14:textId="77777777" w:rsidR="00913A0A" w:rsidRPr="0058047D"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91D5A2B" w14:textId="77777777" w:rsidR="00913A0A" w:rsidRPr="0058047D"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6190C99" w14:textId="77777777" w:rsidR="00913A0A" w:rsidRPr="0058047D"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A050F6B" w14:textId="77777777" w:rsidR="00913A0A" w:rsidRPr="0058047D"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7F2D3A6F" w14:textId="77777777" w:rsidR="00913A0A" w:rsidRPr="0058047D"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527A7DE" w14:textId="77777777" w:rsidR="00913A0A" w:rsidRPr="0058047D" w:rsidRDefault="00913A0A" w:rsidP="00D55AB9">
            <w:pPr>
              <w:pStyle w:val="TableText"/>
              <w:rPr>
                <w:rFonts w:ascii="Tahoma" w:hAnsi="Tahoma" w:cs="Tahoma"/>
                <w:sz w:val="13"/>
              </w:rPr>
            </w:pPr>
          </w:p>
        </w:tc>
        <w:tc>
          <w:tcPr>
            <w:tcW w:w="335" w:type="dxa"/>
            <w:tcBorders>
              <w:left w:val="single" w:sz="18" w:space="0" w:color="auto"/>
              <w:bottom w:val="single" w:sz="4" w:space="0" w:color="auto"/>
            </w:tcBorders>
            <w:shd w:val="clear" w:color="auto" w:fill="FABF8F"/>
            <w:vAlign w:val="center"/>
          </w:tcPr>
          <w:p w14:paraId="5D5FA6B8" w14:textId="77777777" w:rsidR="00913A0A" w:rsidRPr="0058047D" w:rsidRDefault="00913A0A" w:rsidP="00D55AB9">
            <w:pPr>
              <w:pStyle w:val="TableText"/>
              <w:rPr>
                <w:rFonts w:ascii="Tahoma" w:hAnsi="Tahoma" w:cs="Tahoma"/>
                <w:sz w:val="13"/>
              </w:rPr>
            </w:pPr>
          </w:p>
        </w:tc>
        <w:tc>
          <w:tcPr>
            <w:tcW w:w="378" w:type="dxa"/>
            <w:gridSpan w:val="2"/>
            <w:tcBorders>
              <w:bottom w:val="single" w:sz="4" w:space="0" w:color="auto"/>
            </w:tcBorders>
            <w:shd w:val="clear" w:color="auto" w:fill="FABF8F"/>
            <w:vAlign w:val="center"/>
          </w:tcPr>
          <w:p w14:paraId="398BCE17" w14:textId="77777777" w:rsidR="00913A0A" w:rsidRPr="0058047D" w:rsidRDefault="00913A0A" w:rsidP="00D55AB9">
            <w:pPr>
              <w:pStyle w:val="TableText"/>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14:paraId="436E1BC0" w14:textId="77777777" w:rsidR="00913A0A" w:rsidRPr="0058047D" w:rsidRDefault="00913A0A" w:rsidP="00D55AB9">
            <w:pPr>
              <w:pStyle w:val="TableText"/>
              <w:rPr>
                <w:rFonts w:ascii="Tahoma" w:hAnsi="Tahoma" w:cs="Tahoma"/>
                <w:sz w:val="13"/>
              </w:rPr>
            </w:pPr>
          </w:p>
        </w:tc>
        <w:tc>
          <w:tcPr>
            <w:tcW w:w="414" w:type="dxa"/>
            <w:tcBorders>
              <w:left w:val="single" w:sz="18" w:space="0" w:color="auto"/>
              <w:bottom w:val="single" w:sz="4" w:space="0" w:color="auto"/>
            </w:tcBorders>
            <w:shd w:val="clear" w:color="auto" w:fill="FABF8F"/>
            <w:vAlign w:val="center"/>
          </w:tcPr>
          <w:p w14:paraId="722B74F5" w14:textId="77777777" w:rsidR="00913A0A" w:rsidRPr="0058047D" w:rsidRDefault="00913A0A" w:rsidP="00D55AB9">
            <w:pPr>
              <w:pStyle w:val="TableText"/>
              <w:rPr>
                <w:rFonts w:ascii="Tahoma" w:hAnsi="Tahoma" w:cs="Tahoma"/>
                <w:sz w:val="13"/>
              </w:rPr>
            </w:pPr>
          </w:p>
        </w:tc>
        <w:tc>
          <w:tcPr>
            <w:tcW w:w="405" w:type="dxa"/>
            <w:tcBorders>
              <w:bottom w:val="single" w:sz="4" w:space="0" w:color="auto"/>
              <w:right w:val="single" w:sz="18" w:space="0" w:color="auto"/>
            </w:tcBorders>
            <w:shd w:val="clear" w:color="auto" w:fill="FABF8F"/>
            <w:vAlign w:val="center"/>
          </w:tcPr>
          <w:p w14:paraId="0832BD8A" w14:textId="77777777" w:rsidR="00913A0A" w:rsidRPr="0058047D" w:rsidRDefault="00913A0A" w:rsidP="00D55AB9">
            <w:pPr>
              <w:pStyle w:val="TableText"/>
              <w:rPr>
                <w:rFonts w:ascii="Tahoma" w:hAnsi="Tahoma" w:cs="Tahoma"/>
                <w:sz w:val="13"/>
              </w:rPr>
            </w:pPr>
            <w:r w:rsidRPr="0058047D">
              <w:rPr>
                <w:rFonts w:ascii="Tahoma" w:hAnsi="Tahoma" w:cs="Tahoma"/>
                <w:sz w:val="13"/>
              </w:rPr>
              <w:t>E, S</w:t>
            </w:r>
          </w:p>
        </w:tc>
        <w:tc>
          <w:tcPr>
            <w:tcW w:w="405" w:type="dxa"/>
            <w:tcBorders>
              <w:left w:val="single" w:sz="18" w:space="0" w:color="auto"/>
              <w:bottom w:val="single" w:sz="4" w:space="0" w:color="auto"/>
              <w:right w:val="single" w:sz="18" w:space="0" w:color="auto"/>
            </w:tcBorders>
            <w:shd w:val="clear" w:color="auto" w:fill="FABF8F"/>
            <w:vAlign w:val="center"/>
          </w:tcPr>
          <w:p w14:paraId="1D9E0537" w14:textId="77777777" w:rsidR="00913A0A" w:rsidRPr="0058047D" w:rsidRDefault="00913A0A" w:rsidP="00D55AB9">
            <w:pPr>
              <w:pStyle w:val="TableText"/>
              <w:rPr>
                <w:rFonts w:ascii="Tahoma" w:hAnsi="Tahoma" w:cs="Tahoma"/>
                <w:sz w:val="13"/>
              </w:rPr>
            </w:pPr>
          </w:p>
        </w:tc>
        <w:tc>
          <w:tcPr>
            <w:tcW w:w="810" w:type="dxa"/>
            <w:tcBorders>
              <w:bottom w:val="single" w:sz="4" w:space="0" w:color="auto"/>
            </w:tcBorders>
            <w:shd w:val="clear" w:color="auto" w:fill="FABF8F"/>
            <w:vAlign w:val="center"/>
          </w:tcPr>
          <w:p w14:paraId="523ADDA8" w14:textId="77777777" w:rsidR="00913A0A" w:rsidRPr="0058047D" w:rsidRDefault="00913A0A" w:rsidP="00D55AB9">
            <w:pPr>
              <w:pStyle w:val="TableText"/>
              <w:rPr>
                <w:rFonts w:ascii="Tahoma" w:hAnsi="Tahoma" w:cs="Tahoma"/>
                <w:sz w:val="13"/>
              </w:rPr>
            </w:pPr>
          </w:p>
        </w:tc>
        <w:tc>
          <w:tcPr>
            <w:tcW w:w="495" w:type="dxa"/>
            <w:tcBorders>
              <w:bottom w:val="single" w:sz="4" w:space="0" w:color="auto"/>
            </w:tcBorders>
            <w:shd w:val="clear" w:color="auto" w:fill="FABF8F"/>
            <w:vAlign w:val="center"/>
          </w:tcPr>
          <w:p w14:paraId="3756453B" w14:textId="77777777" w:rsidR="00913A0A" w:rsidRPr="0058047D" w:rsidRDefault="00913A0A" w:rsidP="00D55AB9">
            <w:pPr>
              <w:pStyle w:val="TableText"/>
              <w:rPr>
                <w:rFonts w:ascii="Tahoma" w:hAnsi="Tahoma" w:cs="Tahoma"/>
                <w:sz w:val="13"/>
              </w:rPr>
            </w:pPr>
          </w:p>
        </w:tc>
        <w:tc>
          <w:tcPr>
            <w:tcW w:w="370" w:type="dxa"/>
            <w:tcBorders>
              <w:bottom w:val="single" w:sz="4" w:space="0" w:color="auto"/>
            </w:tcBorders>
            <w:shd w:val="clear" w:color="auto" w:fill="FABF8F"/>
            <w:vAlign w:val="center"/>
          </w:tcPr>
          <w:p w14:paraId="03AAC20D" w14:textId="77777777" w:rsidR="00913A0A" w:rsidRPr="0058047D" w:rsidRDefault="00913A0A" w:rsidP="00905D4E">
            <w:pPr>
              <w:pStyle w:val="TableText"/>
              <w:rPr>
                <w:rFonts w:ascii="Tahoma" w:hAnsi="Tahoma" w:cs="Tahoma"/>
                <w:sz w:val="13"/>
              </w:rPr>
            </w:pPr>
          </w:p>
        </w:tc>
      </w:tr>
      <w:tr w:rsidR="00913A0A" w:rsidRPr="0058047D" w14:paraId="18349025" w14:textId="77777777" w:rsidTr="0058047D">
        <w:trPr>
          <w:cantSplit/>
          <w:trHeight w:val="305"/>
        </w:trPr>
        <w:tc>
          <w:tcPr>
            <w:tcW w:w="2371" w:type="dxa"/>
            <w:tcBorders>
              <w:bottom w:val="single" w:sz="4" w:space="0" w:color="auto"/>
            </w:tcBorders>
            <w:shd w:val="clear" w:color="auto" w:fill="auto"/>
            <w:vAlign w:val="center"/>
          </w:tcPr>
          <w:p w14:paraId="4DBB862A" w14:textId="77777777" w:rsidR="00913A0A" w:rsidRPr="003F471F" w:rsidRDefault="00913A0A" w:rsidP="00E077BC">
            <w:pPr>
              <w:pStyle w:val="Heading2"/>
              <w:spacing w:beforeLines="20" w:before="48" w:afterLines="20" w:after="48"/>
              <w:ind w:left="0"/>
              <w:rPr>
                <w:rFonts w:ascii="Tahoma" w:hAnsi="Tahoma" w:cs="Tahoma"/>
                <w:b w:val="0"/>
                <w:sz w:val="14"/>
                <w:lang w:val="it-IT"/>
              </w:rPr>
            </w:pPr>
            <w:bookmarkStart w:id="68" w:name="_Toc336337870"/>
            <w:bookmarkStart w:id="69" w:name="_Toc371663276"/>
            <w:r w:rsidRPr="003F471F">
              <w:rPr>
                <w:rFonts w:ascii="Tahoma" w:hAnsi="Tahoma" w:cs="Tahoma"/>
                <w:b w:val="0"/>
                <w:sz w:val="14"/>
                <w:lang w:val="it-IT"/>
              </w:rPr>
              <w:t>Sottoscrizione Office Professional Plus A (SL per Utente)</w:t>
            </w:r>
            <w:bookmarkEnd w:id="68"/>
            <w:bookmarkEnd w:id="69"/>
          </w:p>
        </w:tc>
        <w:tc>
          <w:tcPr>
            <w:tcW w:w="429" w:type="dxa"/>
            <w:tcBorders>
              <w:bottom w:val="single" w:sz="4" w:space="0" w:color="auto"/>
            </w:tcBorders>
            <w:shd w:val="clear" w:color="auto" w:fill="auto"/>
            <w:vAlign w:val="center"/>
          </w:tcPr>
          <w:p w14:paraId="2E16C65C" w14:textId="77777777" w:rsidR="00913A0A" w:rsidRPr="003F471F" w:rsidRDefault="00913A0A" w:rsidP="00D55AB9">
            <w:pPr>
              <w:pStyle w:val="TableText"/>
              <w:widowControl w:val="0"/>
              <w:rPr>
                <w:color w:val="0000FF"/>
                <w:sz w:val="13"/>
                <w:szCs w:val="13"/>
                <w:u w:val="single"/>
                <w:lang w:val="it-IT"/>
              </w:rPr>
            </w:pPr>
          </w:p>
        </w:tc>
        <w:tc>
          <w:tcPr>
            <w:tcW w:w="429" w:type="dxa"/>
            <w:tcBorders>
              <w:bottom w:val="single" w:sz="4" w:space="0" w:color="auto"/>
            </w:tcBorders>
            <w:shd w:val="clear" w:color="auto" w:fill="auto"/>
            <w:vAlign w:val="center"/>
          </w:tcPr>
          <w:p w14:paraId="3AC48DBD" w14:textId="77777777" w:rsidR="00913A0A" w:rsidRPr="0058047D" w:rsidRDefault="00913A0A" w:rsidP="00D55AB9">
            <w:pPr>
              <w:pStyle w:val="TableText"/>
              <w:rPr>
                <w:rFonts w:ascii="Tahoma" w:hAnsi="Tahoma" w:cs="Tahoma"/>
                <w:sz w:val="13"/>
              </w:rPr>
            </w:pPr>
            <w:r w:rsidRPr="0058047D">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217E6F18" w14:textId="77777777" w:rsidR="00913A0A" w:rsidRPr="0058047D"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A78A09F" w14:textId="77777777" w:rsidR="00913A0A" w:rsidRPr="0058047D"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0B6B061" w14:textId="77777777" w:rsidR="00913A0A" w:rsidRPr="0058047D"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0B99510F" w14:textId="77777777" w:rsidR="00913A0A" w:rsidRPr="0058047D"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13C75B6F" w14:textId="77777777" w:rsidR="00913A0A" w:rsidRPr="0058047D"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20B6087" w14:textId="77777777" w:rsidR="00913A0A" w:rsidRPr="0058047D"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9830584" w14:textId="77777777" w:rsidR="00913A0A" w:rsidRPr="0058047D"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2777710" w14:textId="77777777" w:rsidR="00913A0A" w:rsidRPr="0058047D" w:rsidRDefault="00913A0A" w:rsidP="00D55AB9">
            <w:pPr>
              <w:pStyle w:val="TableText"/>
              <w:rPr>
                <w:rFonts w:ascii="Tahoma" w:hAnsi="Tahoma" w:cs="Tahoma"/>
                <w:sz w:val="13"/>
              </w:rPr>
            </w:pPr>
          </w:p>
        </w:tc>
        <w:tc>
          <w:tcPr>
            <w:tcW w:w="1091" w:type="dxa"/>
            <w:gridSpan w:val="4"/>
            <w:tcBorders>
              <w:left w:val="single" w:sz="18" w:space="0" w:color="auto"/>
              <w:bottom w:val="single" w:sz="4" w:space="0" w:color="auto"/>
              <w:right w:val="single" w:sz="18" w:space="0" w:color="auto"/>
            </w:tcBorders>
            <w:shd w:val="clear" w:color="auto" w:fill="auto"/>
            <w:vAlign w:val="center"/>
          </w:tcPr>
          <w:p w14:paraId="1C1F800D"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414" w:type="dxa"/>
            <w:tcBorders>
              <w:left w:val="single" w:sz="18" w:space="0" w:color="auto"/>
              <w:bottom w:val="single" w:sz="4" w:space="0" w:color="auto"/>
            </w:tcBorders>
            <w:shd w:val="clear" w:color="auto" w:fill="auto"/>
            <w:vAlign w:val="center"/>
          </w:tcPr>
          <w:p w14:paraId="7F802106"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405" w:type="dxa"/>
            <w:tcBorders>
              <w:bottom w:val="single" w:sz="4" w:space="0" w:color="auto"/>
              <w:right w:val="single" w:sz="18" w:space="0" w:color="auto"/>
            </w:tcBorders>
            <w:shd w:val="clear" w:color="auto" w:fill="auto"/>
            <w:vAlign w:val="center"/>
          </w:tcPr>
          <w:p w14:paraId="717FED1F" w14:textId="77777777" w:rsidR="00913A0A" w:rsidRPr="0058047D" w:rsidRDefault="00913A0A" w:rsidP="00D55AB9">
            <w:pPr>
              <w:pStyle w:val="TableText"/>
              <w:rPr>
                <w:rFonts w:ascii="Tahoma" w:hAnsi="Tahoma" w:cs="Tahoma"/>
                <w:sz w:val="13"/>
              </w:rPr>
            </w:pPr>
            <w:r w:rsidRPr="0058047D">
              <w:rPr>
                <w:rFonts w:ascii="Tahoma" w:hAnsi="Tahoma" w:cs="Tahoma"/>
                <w:sz w:val="13"/>
              </w:rPr>
              <w:t>E</w:t>
            </w:r>
          </w:p>
        </w:tc>
        <w:tc>
          <w:tcPr>
            <w:tcW w:w="405" w:type="dxa"/>
            <w:tcBorders>
              <w:left w:val="single" w:sz="18" w:space="0" w:color="auto"/>
              <w:bottom w:val="single" w:sz="4" w:space="0" w:color="auto"/>
              <w:right w:val="single" w:sz="18" w:space="0" w:color="auto"/>
            </w:tcBorders>
            <w:shd w:val="clear" w:color="auto" w:fill="auto"/>
            <w:vAlign w:val="center"/>
          </w:tcPr>
          <w:p w14:paraId="53B8A789" w14:textId="77777777" w:rsidR="00913A0A" w:rsidRPr="0058047D" w:rsidRDefault="00913A0A" w:rsidP="00D55AB9">
            <w:pPr>
              <w:pStyle w:val="TableText"/>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auto"/>
            <w:vAlign w:val="center"/>
          </w:tcPr>
          <w:p w14:paraId="6E00148C" w14:textId="77777777" w:rsidR="00913A0A" w:rsidRPr="0058047D" w:rsidRDefault="00913A0A" w:rsidP="00D55AB9">
            <w:pPr>
              <w:pStyle w:val="TableText"/>
              <w:rPr>
                <w:rFonts w:ascii="Tahoma" w:hAnsi="Tahoma" w:cs="Tahoma"/>
                <w:sz w:val="13"/>
              </w:rPr>
            </w:pPr>
            <w:r w:rsidRPr="0058047D">
              <w:rPr>
                <w:rFonts w:ascii="Tahoma" w:hAnsi="Tahoma" w:cs="Tahoma"/>
                <w:sz w:val="13"/>
              </w:rPr>
              <w:t>E (Solo EES), A (OVS-ES)</w:t>
            </w:r>
          </w:p>
        </w:tc>
        <w:tc>
          <w:tcPr>
            <w:tcW w:w="495" w:type="dxa"/>
            <w:tcBorders>
              <w:bottom w:val="single" w:sz="4" w:space="0" w:color="auto"/>
            </w:tcBorders>
            <w:shd w:val="clear" w:color="auto" w:fill="auto"/>
            <w:vAlign w:val="center"/>
          </w:tcPr>
          <w:p w14:paraId="142140A3" w14:textId="77777777" w:rsidR="00913A0A" w:rsidRPr="0058047D" w:rsidRDefault="00913A0A" w:rsidP="00D55AB9">
            <w:pPr>
              <w:pStyle w:val="TableText"/>
              <w:rPr>
                <w:rFonts w:ascii="Tahoma" w:hAnsi="Tahoma" w:cs="Tahoma"/>
                <w:sz w:val="13"/>
              </w:rPr>
            </w:pPr>
            <w:r w:rsidRPr="0058047D">
              <w:rPr>
                <w:rFonts w:ascii="Tahoma" w:hAnsi="Tahoma" w:cs="Tahoma"/>
                <w:sz w:val="13"/>
              </w:rPr>
              <w:t>OL</w:t>
            </w:r>
          </w:p>
        </w:tc>
        <w:tc>
          <w:tcPr>
            <w:tcW w:w="370" w:type="dxa"/>
            <w:tcBorders>
              <w:bottom w:val="single" w:sz="4" w:space="0" w:color="auto"/>
            </w:tcBorders>
            <w:vAlign w:val="center"/>
          </w:tcPr>
          <w:p w14:paraId="5AB977C4" w14:textId="77777777" w:rsidR="00913A0A" w:rsidRPr="0058047D" w:rsidRDefault="00913A0A" w:rsidP="00905D4E">
            <w:pPr>
              <w:pStyle w:val="TableText"/>
              <w:rPr>
                <w:rFonts w:ascii="Tahoma" w:hAnsi="Tahoma" w:cs="Tahoma"/>
                <w:sz w:val="13"/>
              </w:rPr>
            </w:pPr>
          </w:p>
        </w:tc>
      </w:tr>
      <w:tr w:rsidR="008A0F85" w:rsidRPr="0058047D" w14:paraId="1D8665AC" w14:textId="77777777" w:rsidTr="00D5491B">
        <w:trPr>
          <w:cantSplit/>
          <w:trHeight w:val="305"/>
        </w:trPr>
        <w:tc>
          <w:tcPr>
            <w:tcW w:w="2371" w:type="dxa"/>
            <w:tcBorders>
              <w:bottom w:val="single" w:sz="4" w:space="0" w:color="auto"/>
            </w:tcBorders>
            <w:shd w:val="clear" w:color="auto" w:fill="FABF8F"/>
            <w:vAlign w:val="center"/>
          </w:tcPr>
          <w:p w14:paraId="338A8B2C" w14:textId="77777777" w:rsidR="00913A0A" w:rsidRPr="0058047D" w:rsidRDefault="00913A0A" w:rsidP="00E077BC">
            <w:pPr>
              <w:pStyle w:val="Heading2"/>
              <w:spacing w:beforeLines="20" w:before="48" w:afterLines="20" w:after="48"/>
              <w:ind w:left="0"/>
              <w:rPr>
                <w:rFonts w:ascii="Tahoma" w:hAnsi="Tahoma" w:cs="Tahoma"/>
                <w:b w:val="0"/>
                <w:sz w:val="14"/>
              </w:rPr>
            </w:pPr>
            <w:bookmarkStart w:id="70" w:name="_Toc336337873"/>
            <w:bookmarkStart w:id="71" w:name="_Toc371663277"/>
            <w:r w:rsidRPr="0058047D">
              <w:rPr>
                <w:rFonts w:ascii="Tahoma" w:hAnsi="Tahoma" w:cs="Tahoma"/>
                <w:b w:val="0"/>
                <w:sz w:val="14"/>
              </w:rPr>
              <w:t>OneNote</w:t>
            </w:r>
            <w:r w:rsidR="00E53A46" w:rsidRPr="0058047D">
              <w:rPr>
                <w:rFonts w:ascii="Tahoma" w:hAnsi="Tahoma" w:cs="Tahoma"/>
                <w:b w:val="0"/>
                <w:sz w:val="14"/>
                <w:vertAlign w:val="superscript"/>
              </w:rPr>
              <w:t>®</w:t>
            </w:r>
            <w:r w:rsidRPr="0058047D">
              <w:rPr>
                <w:rFonts w:ascii="Tahoma" w:hAnsi="Tahoma" w:cs="Tahoma"/>
                <w:b w:val="0"/>
                <w:sz w:val="14"/>
              </w:rPr>
              <w:t xml:space="preserve"> </w:t>
            </w:r>
            <w:bookmarkEnd w:id="70"/>
            <w:r w:rsidRPr="0058047D">
              <w:rPr>
                <w:rFonts w:ascii="Tahoma" w:hAnsi="Tahoma" w:cs="Tahoma"/>
                <w:b w:val="0"/>
                <w:sz w:val="14"/>
              </w:rPr>
              <w:t>2013</w:t>
            </w:r>
            <w:bookmarkEnd w:id="71"/>
          </w:p>
        </w:tc>
        <w:tc>
          <w:tcPr>
            <w:tcW w:w="429" w:type="dxa"/>
            <w:tcBorders>
              <w:bottom w:val="single" w:sz="4" w:space="0" w:color="auto"/>
            </w:tcBorders>
            <w:shd w:val="clear" w:color="auto" w:fill="FABF8F"/>
            <w:vAlign w:val="center"/>
          </w:tcPr>
          <w:p w14:paraId="6509E582" w14:textId="77777777" w:rsidR="00913A0A" w:rsidRPr="0058047D" w:rsidRDefault="00913A0A" w:rsidP="00D55AB9">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47B693DA" w14:textId="77777777" w:rsidR="00913A0A" w:rsidRPr="0058047D" w:rsidRDefault="00913A0A" w:rsidP="00D55AB9">
            <w:pPr>
              <w:pStyle w:val="TableText"/>
              <w:rPr>
                <w:rFonts w:ascii="Tahoma" w:hAnsi="Tahoma" w:cs="Tahoma"/>
                <w:sz w:val="13"/>
              </w:rPr>
            </w:pPr>
            <w:r w:rsidRPr="0058047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4252F40D" w14:textId="77777777" w:rsidR="00913A0A" w:rsidRPr="0058047D" w:rsidRDefault="00913A0A" w:rsidP="00D55AB9">
            <w:pPr>
              <w:pStyle w:val="TableText"/>
              <w:rPr>
                <w:rFonts w:ascii="Tahoma" w:hAnsi="Tahoma" w:cs="Tahoma"/>
                <w:sz w:val="13"/>
              </w:rPr>
            </w:pPr>
            <w:r w:rsidRPr="0058047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369791C"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429" w:type="dxa"/>
            <w:tcBorders>
              <w:bottom w:val="single" w:sz="4" w:space="0" w:color="auto"/>
            </w:tcBorders>
            <w:shd w:val="clear" w:color="auto" w:fill="FABF8F"/>
            <w:vAlign w:val="center"/>
          </w:tcPr>
          <w:p w14:paraId="0057C73F" w14:textId="77777777" w:rsidR="00913A0A" w:rsidRPr="0058047D" w:rsidRDefault="00913A0A" w:rsidP="00D55AB9">
            <w:pPr>
              <w:pStyle w:val="TableText"/>
              <w:rPr>
                <w:rFonts w:ascii="Tahoma" w:hAnsi="Tahoma" w:cs="Tahoma"/>
                <w:sz w:val="13"/>
              </w:rPr>
            </w:pPr>
            <w:r w:rsidRPr="0058047D">
              <w:rPr>
                <w:rFonts w:ascii="Tahoma" w:hAnsi="Tahoma" w:cs="Tahoma"/>
                <w:sz w:val="13"/>
              </w:rPr>
              <w:t>3</w:t>
            </w:r>
          </w:p>
        </w:tc>
        <w:tc>
          <w:tcPr>
            <w:tcW w:w="429" w:type="dxa"/>
            <w:tcBorders>
              <w:bottom w:val="single" w:sz="4" w:space="0" w:color="auto"/>
            </w:tcBorders>
            <w:shd w:val="clear" w:color="auto" w:fill="FABF8F"/>
            <w:vAlign w:val="center"/>
          </w:tcPr>
          <w:p w14:paraId="42836579"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45D8A588"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23531AB7"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46349CD2"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B7102EC"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353" w:type="dxa"/>
            <w:gridSpan w:val="2"/>
            <w:tcBorders>
              <w:left w:val="single" w:sz="18" w:space="0" w:color="auto"/>
              <w:bottom w:val="single" w:sz="4" w:space="0" w:color="auto"/>
            </w:tcBorders>
            <w:shd w:val="clear" w:color="auto" w:fill="FABF8F"/>
            <w:vAlign w:val="center"/>
          </w:tcPr>
          <w:p w14:paraId="698A0162"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360" w:type="dxa"/>
            <w:tcBorders>
              <w:bottom w:val="single" w:sz="4" w:space="0" w:color="auto"/>
            </w:tcBorders>
            <w:shd w:val="clear" w:color="auto" w:fill="FABF8F"/>
            <w:vAlign w:val="center"/>
          </w:tcPr>
          <w:p w14:paraId="6E63EAEF"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14:paraId="0A38C6F7"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414" w:type="dxa"/>
            <w:tcBorders>
              <w:left w:val="single" w:sz="18" w:space="0" w:color="auto"/>
              <w:bottom w:val="single" w:sz="4" w:space="0" w:color="auto"/>
            </w:tcBorders>
            <w:shd w:val="clear" w:color="auto" w:fill="FABF8F"/>
            <w:vAlign w:val="center"/>
          </w:tcPr>
          <w:p w14:paraId="3F35BA30" w14:textId="77777777" w:rsidR="00913A0A" w:rsidRPr="0058047D" w:rsidRDefault="00913A0A" w:rsidP="00D55AB9">
            <w:pPr>
              <w:pStyle w:val="TableText"/>
              <w:rPr>
                <w:rFonts w:ascii="Tahoma" w:hAnsi="Tahoma" w:cs="Tahoma"/>
                <w:sz w:val="13"/>
              </w:rPr>
            </w:pPr>
          </w:p>
        </w:tc>
        <w:tc>
          <w:tcPr>
            <w:tcW w:w="405" w:type="dxa"/>
            <w:tcBorders>
              <w:bottom w:val="single" w:sz="4" w:space="0" w:color="auto"/>
              <w:right w:val="single" w:sz="18" w:space="0" w:color="auto"/>
            </w:tcBorders>
            <w:shd w:val="clear" w:color="auto" w:fill="FABF8F"/>
            <w:vAlign w:val="center"/>
          </w:tcPr>
          <w:p w14:paraId="0B348FB8" w14:textId="77777777" w:rsidR="00913A0A" w:rsidRPr="0058047D" w:rsidRDefault="00913A0A" w:rsidP="00D55AB9">
            <w:pPr>
              <w:pStyle w:val="TableText"/>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A7A35DF" w14:textId="77777777" w:rsidR="00913A0A" w:rsidRPr="0058047D" w:rsidRDefault="00913A0A" w:rsidP="00D55AB9">
            <w:pPr>
              <w:pStyle w:val="TableText"/>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FABF8F"/>
          </w:tcPr>
          <w:p w14:paraId="3D719669" w14:textId="77777777" w:rsidR="00913A0A" w:rsidRPr="0058047D" w:rsidRDefault="00913A0A" w:rsidP="00D55AB9">
            <w:pPr>
              <w:pStyle w:val="TableText"/>
              <w:rPr>
                <w:rFonts w:ascii="Tahoma" w:hAnsi="Tahoma" w:cs="Tahoma"/>
                <w:sz w:val="13"/>
              </w:rPr>
            </w:pPr>
          </w:p>
        </w:tc>
        <w:tc>
          <w:tcPr>
            <w:tcW w:w="495" w:type="dxa"/>
            <w:tcBorders>
              <w:bottom w:val="single" w:sz="4" w:space="0" w:color="auto"/>
            </w:tcBorders>
            <w:shd w:val="clear" w:color="auto" w:fill="FABF8F"/>
            <w:vAlign w:val="center"/>
          </w:tcPr>
          <w:p w14:paraId="49A41149" w14:textId="77777777" w:rsidR="00913A0A" w:rsidRPr="0058047D" w:rsidRDefault="00913A0A" w:rsidP="00D55AB9">
            <w:pPr>
              <w:pStyle w:val="TableText"/>
              <w:rPr>
                <w:rFonts w:ascii="Tahoma" w:hAnsi="Tahoma" w:cs="Tahoma"/>
                <w:sz w:val="13"/>
              </w:rPr>
            </w:pPr>
          </w:p>
        </w:tc>
        <w:tc>
          <w:tcPr>
            <w:tcW w:w="370" w:type="dxa"/>
            <w:tcBorders>
              <w:bottom w:val="single" w:sz="4" w:space="0" w:color="auto"/>
            </w:tcBorders>
            <w:shd w:val="clear" w:color="auto" w:fill="FABF8F"/>
            <w:vAlign w:val="center"/>
          </w:tcPr>
          <w:p w14:paraId="363800E0" w14:textId="77777777" w:rsidR="00913A0A" w:rsidRPr="0058047D" w:rsidRDefault="00913A0A" w:rsidP="00905D4E">
            <w:pPr>
              <w:pStyle w:val="TableText"/>
              <w:rPr>
                <w:rFonts w:ascii="Tahoma" w:hAnsi="Tahoma" w:cs="Tahoma"/>
                <w:sz w:val="13"/>
              </w:rPr>
            </w:pPr>
          </w:p>
        </w:tc>
      </w:tr>
      <w:tr w:rsidR="00913A0A" w:rsidRPr="0058047D" w14:paraId="163DD297" w14:textId="77777777" w:rsidTr="00D5491B">
        <w:trPr>
          <w:cantSplit/>
          <w:trHeight w:val="350"/>
        </w:trPr>
        <w:tc>
          <w:tcPr>
            <w:tcW w:w="2371" w:type="dxa"/>
            <w:tcBorders>
              <w:bottom w:val="single" w:sz="4" w:space="0" w:color="auto"/>
            </w:tcBorders>
            <w:shd w:val="clear" w:color="auto" w:fill="auto"/>
            <w:vAlign w:val="center"/>
          </w:tcPr>
          <w:p w14:paraId="47F73839" w14:textId="77777777" w:rsidR="00913A0A" w:rsidRPr="0058047D" w:rsidRDefault="00913A0A" w:rsidP="00E077BC">
            <w:pPr>
              <w:pStyle w:val="Heading2"/>
              <w:spacing w:beforeLines="20" w:before="48" w:afterLines="20" w:after="48"/>
              <w:ind w:left="0"/>
              <w:rPr>
                <w:rFonts w:ascii="Tahoma" w:hAnsi="Tahoma" w:cs="Tahoma"/>
                <w:b w:val="0"/>
                <w:sz w:val="14"/>
              </w:rPr>
            </w:pPr>
            <w:bookmarkStart w:id="72" w:name="_Toc336337874"/>
            <w:bookmarkStart w:id="73" w:name="_Toc371663278"/>
            <w:r w:rsidRPr="0058047D">
              <w:rPr>
                <w:rFonts w:ascii="Tahoma" w:hAnsi="Tahoma" w:cs="Tahoma"/>
                <w:b w:val="0"/>
                <w:sz w:val="14"/>
              </w:rPr>
              <w:t>Outlook</w:t>
            </w:r>
            <w:r w:rsidR="00E53A46" w:rsidRPr="0058047D">
              <w:rPr>
                <w:rFonts w:ascii="Tahoma" w:hAnsi="Tahoma" w:cs="Tahoma"/>
                <w:b w:val="0"/>
                <w:sz w:val="14"/>
                <w:vertAlign w:val="superscript"/>
              </w:rPr>
              <w:t>®</w:t>
            </w:r>
            <w:r w:rsidRPr="0058047D">
              <w:rPr>
                <w:rFonts w:ascii="Tahoma" w:hAnsi="Tahoma" w:cs="Tahoma"/>
                <w:b w:val="0"/>
                <w:sz w:val="14"/>
              </w:rPr>
              <w:t xml:space="preserve"> </w:t>
            </w:r>
            <w:bookmarkEnd w:id="72"/>
            <w:r w:rsidRPr="0058047D">
              <w:rPr>
                <w:rFonts w:ascii="Tahoma" w:hAnsi="Tahoma" w:cs="Tahoma"/>
                <w:b w:val="0"/>
                <w:sz w:val="14"/>
              </w:rPr>
              <w:t>2013</w:t>
            </w:r>
            <w:bookmarkEnd w:id="73"/>
          </w:p>
        </w:tc>
        <w:tc>
          <w:tcPr>
            <w:tcW w:w="429" w:type="dxa"/>
            <w:tcBorders>
              <w:bottom w:val="single" w:sz="4" w:space="0" w:color="auto"/>
            </w:tcBorders>
            <w:shd w:val="clear" w:color="auto" w:fill="auto"/>
            <w:vAlign w:val="center"/>
          </w:tcPr>
          <w:p w14:paraId="7234BA25" w14:textId="77777777" w:rsidR="00913A0A" w:rsidRPr="0058047D" w:rsidRDefault="00913A0A" w:rsidP="00D55AB9">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14:paraId="6BD61CAB" w14:textId="77777777" w:rsidR="00913A0A" w:rsidRPr="0058047D" w:rsidRDefault="00913A0A" w:rsidP="00D55AB9">
            <w:pPr>
              <w:pStyle w:val="TableText"/>
              <w:spacing w:before="60" w:after="60"/>
              <w:rPr>
                <w:rFonts w:ascii="Tahoma" w:hAnsi="Tahoma" w:cs="Tahoma"/>
                <w:sz w:val="13"/>
              </w:rPr>
            </w:pPr>
            <w:r w:rsidRPr="0058047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1016B673" w14:textId="77777777" w:rsidR="00913A0A" w:rsidRPr="0058047D" w:rsidRDefault="00913A0A" w:rsidP="00D55AB9">
            <w:pPr>
              <w:pStyle w:val="TableText"/>
              <w:rPr>
                <w:rFonts w:ascii="Tahoma" w:hAnsi="Tahoma" w:cs="Tahoma"/>
                <w:sz w:val="13"/>
              </w:rPr>
            </w:pPr>
            <w:r w:rsidRPr="0058047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26203A9"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429" w:type="dxa"/>
            <w:tcBorders>
              <w:bottom w:val="single" w:sz="4" w:space="0" w:color="auto"/>
            </w:tcBorders>
            <w:shd w:val="clear" w:color="auto" w:fill="auto"/>
            <w:vAlign w:val="center"/>
          </w:tcPr>
          <w:p w14:paraId="153358D7" w14:textId="77777777" w:rsidR="00913A0A" w:rsidRPr="0058047D" w:rsidRDefault="00913A0A" w:rsidP="00D55AB9">
            <w:pPr>
              <w:pStyle w:val="TableText"/>
              <w:rPr>
                <w:rFonts w:ascii="Tahoma" w:hAnsi="Tahoma" w:cs="Tahoma"/>
                <w:sz w:val="13"/>
              </w:rPr>
            </w:pPr>
            <w:r w:rsidRPr="0058047D">
              <w:rPr>
                <w:rFonts w:ascii="Tahoma" w:hAnsi="Tahoma" w:cs="Tahoma"/>
                <w:sz w:val="13"/>
              </w:rPr>
              <w:t>3</w:t>
            </w:r>
          </w:p>
        </w:tc>
        <w:tc>
          <w:tcPr>
            <w:tcW w:w="429" w:type="dxa"/>
            <w:tcBorders>
              <w:bottom w:val="single" w:sz="4" w:space="0" w:color="auto"/>
            </w:tcBorders>
            <w:shd w:val="clear" w:color="auto" w:fill="auto"/>
            <w:vAlign w:val="center"/>
          </w:tcPr>
          <w:p w14:paraId="6DE3FFE7"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auto"/>
            <w:vAlign w:val="center"/>
          </w:tcPr>
          <w:p w14:paraId="5EDD2BEA"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auto"/>
            <w:vAlign w:val="center"/>
          </w:tcPr>
          <w:p w14:paraId="65EA9888"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auto"/>
            <w:vAlign w:val="center"/>
          </w:tcPr>
          <w:p w14:paraId="73EA8227"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6900FD4"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353" w:type="dxa"/>
            <w:gridSpan w:val="2"/>
            <w:tcBorders>
              <w:left w:val="single" w:sz="18" w:space="0" w:color="auto"/>
              <w:bottom w:val="single" w:sz="4" w:space="0" w:color="auto"/>
            </w:tcBorders>
            <w:shd w:val="clear" w:color="auto" w:fill="auto"/>
            <w:vAlign w:val="center"/>
          </w:tcPr>
          <w:p w14:paraId="5FBBDCA7"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360" w:type="dxa"/>
            <w:tcBorders>
              <w:bottom w:val="single" w:sz="4" w:space="0" w:color="auto"/>
            </w:tcBorders>
            <w:shd w:val="clear" w:color="auto" w:fill="auto"/>
            <w:vAlign w:val="center"/>
          </w:tcPr>
          <w:p w14:paraId="450CEC0D"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378" w:type="dxa"/>
            <w:tcBorders>
              <w:bottom w:val="single" w:sz="4" w:space="0" w:color="auto"/>
              <w:right w:val="single" w:sz="18" w:space="0" w:color="auto"/>
            </w:tcBorders>
            <w:shd w:val="clear" w:color="auto" w:fill="auto"/>
            <w:vAlign w:val="center"/>
          </w:tcPr>
          <w:p w14:paraId="1BC89274"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414" w:type="dxa"/>
            <w:tcBorders>
              <w:left w:val="single" w:sz="18" w:space="0" w:color="auto"/>
              <w:bottom w:val="single" w:sz="4" w:space="0" w:color="auto"/>
            </w:tcBorders>
            <w:shd w:val="clear" w:color="auto" w:fill="auto"/>
            <w:vAlign w:val="center"/>
          </w:tcPr>
          <w:p w14:paraId="78A73CE9" w14:textId="77777777" w:rsidR="00913A0A" w:rsidRPr="0058047D" w:rsidRDefault="00913A0A" w:rsidP="00D55AB9">
            <w:pPr>
              <w:pStyle w:val="TableText"/>
              <w:rPr>
                <w:rFonts w:ascii="Tahoma" w:hAnsi="Tahoma" w:cs="Tahoma"/>
                <w:sz w:val="13"/>
              </w:rPr>
            </w:pPr>
          </w:p>
        </w:tc>
        <w:tc>
          <w:tcPr>
            <w:tcW w:w="405" w:type="dxa"/>
            <w:tcBorders>
              <w:bottom w:val="single" w:sz="4" w:space="0" w:color="auto"/>
              <w:right w:val="single" w:sz="18" w:space="0" w:color="auto"/>
            </w:tcBorders>
            <w:shd w:val="clear" w:color="auto" w:fill="auto"/>
            <w:vAlign w:val="center"/>
          </w:tcPr>
          <w:p w14:paraId="42D8AF81" w14:textId="77777777" w:rsidR="00913A0A" w:rsidRPr="0058047D" w:rsidRDefault="00913A0A" w:rsidP="00D55AB9">
            <w:pPr>
              <w:pStyle w:val="TableText"/>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0DD1C142" w14:textId="77777777" w:rsidR="00913A0A" w:rsidRPr="0058047D" w:rsidRDefault="00913A0A" w:rsidP="00D55AB9">
            <w:pPr>
              <w:pStyle w:val="TableText"/>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auto"/>
            <w:vAlign w:val="center"/>
          </w:tcPr>
          <w:p w14:paraId="42EFA8D7" w14:textId="77777777" w:rsidR="00913A0A" w:rsidRPr="0058047D" w:rsidRDefault="00913A0A" w:rsidP="00D55AB9">
            <w:pPr>
              <w:pStyle w:val="TableText"/>
              <w:rPr>
                <w:rFonts w:ascii="Tahoma" w:hAnsi="Tahoma" w:cs="Tahoma"/>
                <w:sz w:val="13"/>
              </w:rPr>
            </w:pPr>
          </w:p>
        </w:tc>
        <w:tc>
          <w:tcPr>
            <w:tcW w:w="495" w:type="dxa"/>
            <w:tcBorders>
              <w:bottom w:val="single" w:sz="4" w:space="0" w:color="auto"/>
            </w:tcBorders>
            <w:shd w:val="clear" w:color="auto" w:fill="auto"/>
            <w:vAlign w:val="center"/>
          </w:tcPr>
          <w:p w14:paraId="7F2D0BDB" w14:textId="77777777" w:rsidR="00913A0A" w:rsidRPr="0058047D" w:rsidRDefault="00913A0A" w:rsidP="00D55AB9">
            <w:pPr>
              <w:pStyle w:val="TableText"/>
              <w:rPr>
                <w:rFonts w:ascii="Tahoma" w:hAnsi="Tahoma" w:cs="Tahoma"/>
                <w:sz w:val="13"/>
              </w:rPr>
            </w:pPr>
          </w:p>
        </w:tc>
        <w:tc>
          <w:tcPr>
            <w:tcW w:w="370" w:type="dxa"/>
            <w:tcBorders>
              <w:bottom w:val="single" w:sz="4" w:space="0" w:color="auto"/>
            </w:tcBorders>
            <w:vAlign w:val="center"/>
          </w:tcPr>
          <w:p w14:paraId="7E2CC2E5" w14:textId="77777777" w:rsidR="00913A0A" w:rsidRPr="0058047D" w:rsidRDefault="00913A0A" w:rsidP="00905D4E">
            <w:pPr>
              <w:pStyle w:val="TableText"/>
              <w:rPr>
                <w:rFonts w:ascii="Tahoma" w:hAnsi="Tahoma" w:cs="Tahoma"/>
                <w:sz w:val="13"/>
              </w:rPr>
            </w:pPr>
          </w:p>
        </w:tc>
      </w:tr>
      <w:tr w:rsidR="008A0F85" w:rsidRPr="0058047D" w14:paraId="014D37CD" w14:textId="77777777" w:rsidTr="00D5491B">
        <w:trPr>
          <w:cantSplit/>
          <w:trHeight w:val="305"/>
        </w:trPr>
        <w:tc>
          <w:tcPr>
            <w:tcW w:w="2371" w:type="dxa"/>
            <w:tcBorders>
              <w:bottom w:val="single" w:sz="4" w:space="0" w:color="auto"/>
            </w:tcBorders>
            <w:shd w:val="clear" w:color="auto" w:fill="FABF8F"/>
            <w:vAlign w:val="center"/>
          </w:tcPr>
          <w:p w14:paraId="5CC4A705" w14:textId="77777777" w:rsidR="00913A0A" w:rsidRPr="0058047D" w:rsidRDefault="00913A0A" w:rsidP="00E077BC">
            <w:pPr>
              <w:pStyle w:val="Heading2"/>
              <w:spacing w:beforeLines="20" w:before="48" w:afterLines="20" w:after="48"/>
              <w:ind w:left="0"/>
              <w:rPr>
                <w:rFonts w:ascii="Tahoma" w:hAnsi="Tahoma" w:cs="Tahoma"/>
                <w:b w:val="0"/>
                <w:sz w:val="16"/>
                <w:szCs w:val="16"/>
              </w:rPr>
            </w:pPr>
            <w:bookmarkStart w:id="74" w:name="_Toc336337875"/>
            <w:bookmarkStart w:id="75" w:name="_Toc371663279"/>
            <w:r w:rsidRPr="0058047D">
              <w:rPr>
                <w:rFonts w:ascii="Tahoma" w:hAnsi="Tahoma" w:cs="Tahoma"/>
                <w:b w:val="0"/>
                <w:sz w:val="14"/>
                <w:szCs w:val="16"/>
              </w:rPr>
              <w:t xml:space="preserve">Outlook </w:t>
            </w:r>
            <w:bookmarkEnd w:id="74"/>
            <w:r w:rsidRPr="0058047D">
              <w:rPr>
                <w:rFonts w:ascii="Tahoma" w:hAnsi="Tahoma" w:cs="Tahoma"/>
                <w:b w:val="0"/>
                <w:sz w:val="14"/>
                <w:szCs w:val="16"/>
              </w:rPr>
              <w:t>per Mac 2011</w:t>
            </w:r>
            <w:bookmarkEnd w:id="75"/>
          </w:p>
        </w:tc>
        <w:tc>
          <w:tcPr>
            <w:tcW w:w="429" w:type="dxa"/>
            <w:tcBorders>
              <w:bottom w:val="single" w:sz="4" w:space="0" w:color="auto"/>
            </w:tcBorders>
            <w:shd w:val="clear" w:color="auto" w:fill="FABF8F"/>
            <w:vAlign w:val="center"/>
          </w:tcPr>
          <w:p w14:paraId="7F48658C" w14:textId="77777777" w:rsidR="00913A0A" w:rsidRPr="0058047D" w:rsidRDefault="00C86F50" w:rsidP="00D55AB9">
            <w:pPr>
              <w:pStyle w:val="TableText"/>
              <w:widowControl w:val="0"/>
              <w:rPr>
                <w:rStyle w:val="EndnoteReference"/>
                <w:b w:val="0"/>
                <w:color w:val="0000FF"/>
                <w:sz w:val="13"/>
                <w:szCs w:val="13"/>
                <w:u w:val="single"/>
              </w:rPr>
            </w:pPr>
            <w:hyperlink w:anchor="_14_Outlook_per" w:history="1">
              <w:r w:rsidR="00BF5FC6" w:rsidRPr="0058047D">
                <w:rPr>
                  <w:rStyle w:val="Hyperlink"/>
                  <w:b/>
                  <w:sz w:val="13"/>
                  <w:szCs w:val="13"/>
                </w:rPr>
                <w:t>14</w:t>
              </w:r>
            </w:hyperlink>
            <w:hyperlink w:anchor="Srv_9OutlookMac2011" w:history="1"/>
          </w:p>
        </w:tc>
        <w:tc>
          <w:tcPr>
            <w:tcW w:w="429" w:type="dxa"/>
            <w:tcBorders>
              <w:bottom w:val="single" w:sz="4" w:space="0" w:color="auto"/>
            </w:tcBorders>
            <w:shd w:val="clear" w:color="auto" w:fill="FABF8F"/>
            <w:vAlign w:val="center"/>
          </w:tcPr>
          <w:p w14:paraId="176C99EF"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3C5A12DB"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6923BC4"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1</w:t>
            </w:r>
          </w:p>
        </w:tc>
        <w:tc>
          <w:tcPr>
            <w:tcW w:w="429" w:type="dxa"/>
            <w:tcBorders>
              <w:bottom w:val="single" w:sz="4" w:space="0" w:color="auto"/>
            </w:tcBorders>
            <w:shd w:val="clear" w:color="auto" w:fill="FABF8F"/>
            <w:vAlign w:val="center"/>
          </w:tcPr>
          <w:p w14:paraId="130BB0BD"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3</w:t>
            </w:r>
          </w:p>
        </w:tc>
        <w:tc>
          <w:tcPr>
            <w:tcW w:w="429" w:type="dxa"/>
            <w:tcBorders>
              <w:bottom w:val="single" w:sz="4" w:space="0" w:color="auto"/>
            </w:tcBorders>
            <w:shd w:val="clear" w:color="auto" w:fill="FABF8F"/>
            <w:vAlign w:val="center"/>
          </w:tcPr>
          <w:p w14:paraId="4287F0AB"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742897D3"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54557356"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6D36837B"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F5EEC55"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1</w:t>
            </w:r>
          </w:p>
        </w:tc>
        <w:tc>
          <w:tcPr>
            <w:tcW w:w="353" w:type="dxa"/>
            <w:gridSpan w:val="2"/>
            <w:tcBorders>
              <w:left w:val="single" w:sz="18" w:space="0" w:color="auto"/>
              <w:bottom w:val="single" w:sz="4" w:space="0" w:color="auto"/>
            </w:tcBorders>
            <w:shd w:val="clear" w:color="auto" w:fill="FABF8F"/>
            <w:vAlign w:val="center"/>
          </w:tcPr>
          <w:p w14:paraId="579D7363"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1</w:t>
            </w:r>
          </w:p>
        </w:tc>
        <w:tc>
          <w:tcPr>
            <w:tcW w:w="360" w:type="dxa"/>
            <w:tcBorders>
              <w:bottom w:val="single" w:sz="4" w:space="0" w:color="auto"/>
            </w:tcBorders>
            <w:shd w:val="clear" w:color="auto" w:fill="FABF8F"/>
            <w:vAlign w:val="center"/>
          </w:tcPr>
          <w:p w14:paraId="4E607621"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14:paraId="65A0AFAB"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1</w:t>
            </w:r>
          </w:p>
        </w:tc>
        <w:tc>
          <w:tcPr>
            <w:tcW w:w="414" w:type="dxa"/>
            <w:tcBorders>
              <w:left w:val="single" w:sz="18" w:space="0" w:color="auto"/>
              <w:bottom w:val="single" w:sz="4" w:space="0" w:color="auto"/>
            </w:tcBorders>
            <w:shd w:val="clear" w:color="auto" w:fill="FABF8F"/>
            <w:vAlign w:val="center"/>
          </w:tcPr>
          <w:p w14:paraId="60803199" w14:textId="77777777" w:rsidR="00913A0A" w:rsidRPr="0058047D" w:rsidRDefault="00913A0A" w:rsidP="00D55AB9">
            <w:pPr>
              <w:pStyle w:val="TableText"/>
              <w:widowControl w:val="0"/>
              <w:rPr>
                <w:rFonts w:ascii="Tahoma" w:hAnsi="Tahoma" w:cs="Tahoma"/>
                <w:sz w:val="13"/>
              </w:rPr>
            </w:pPr>
          </w:p>
        </w:tc>
        <w:tc>
          <w:tcPr>
            <w:tcW w:w="405" w:type="dxa"/>
            <w:tcBorders>
              <w:bottom w:val="single" w:sz="4" w:space="0" w:color="auto"/>
              <w:right w:val="single" w:sz="18" w:space="0" w:color="auto"/>
            </w:tcBorders>
            <w:shd w:val="clear" w:color="auto" w:fill="FABF8F"/>
            <w:vAlign w:val="center"/>
          </w:tcPr>
          <w:p w14:paraId="30FBABCD" w14:textId="77777777" w:rsidR="00913A0A" w:rsidRPr="0058047D" w:rsidRDefault="00913A0A" w:rsidP="00D55AB9">
            <w:pPr>
              <w:pStyle w:val="TableText"/>
              <w:widowControl w:val="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41FA9C8F"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FABF8F"/>
            <w:vAlign w:val="center"/>
          </w:tcPr>
          <w:p w14:paraId="4654DF8F" w14:textId="77777777" w:rsidR="00913A0A" w:rsidRPr="0058047D" w:rsidRDefault="00913A0A" w:rsidP="00D55AB9">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411140F9" w14:textId="77777777" w:rsidR="00913A0A" w:rsidRPr="0058047D" w:rsidRDefault="00913A0A" w:rsidP="00D55AB9">
            <w:pPr>
              <w:pStyle w:val="TableText"/>
              <w:widowControl w:val="0"/>
              <w:rPr>
                <w:rFonts w:ascii="Tahoma" w:hAnsi="Tahoma" w:cs="Tahoma"/>
                <w:sz w:val="13"/>
              </w:rPr>
            </w:pPr>
          </w:p>
        </w:tc>
        <w:tc>
          <w:tcPr>
            <w:tcW w:w="370" w:type="dxa"/>
            <w:tcBorders>
              <w:bottom w:val="single" w:sz="4" w:space="0" w:color="auto"/>
            </w:tcBorders>
            <w:shd w:val="clear" w:color="auto" w:fill="FABF8F"/>
            <w:vAlign w:val="center"/>
          </w:tcPr>
          <w:p w14:paraId="4DF669FF" w14:textId="77777777" w:rsidR="00913A0A" w:rsidRPr="0058047D" w:rsidRDefault="00913A0A" w:rsidP="00905D4E">
            <w:pPr>
              <w:pStyle w:val="TableText"/>
              <w:widowControl w:val="0"/>
              <w:rPr>
                <w:rFonts w:ascii="Tahoma" w:hAnsi="Tahoma" w:cs="Tahoma"/>
                <w:sz w:val="13"/>
              </w:rPr>
            </w:pPr>
          </w:p>
        </w:tc>
      </w:tr>
      <w:tr w:rsidR="00913A0A" w:rsidRPr="0058047D" w14:paraId="3CCF2CD5" w14:textId="77777777" w:rsidTr="00D5491B">
        <w:trPr>
          <w:cantSplit/>
          <w:trHeight w:val="305"/>
        </w:trPr>
        <w:tc>
          <w:tcPr>
            <w:tcW w:w="2371" w:type="dxa"/>
            <w:tcBorders>
              <w:bottom w:val="single" w:sz="4" w:space="0" w:color="auto"/>
            </w:tcBorders>
            <w:shd w:val="clear" w:color="auto" w:fill="auto"/>
            <w:vAlign w:val="center"/>
          </w:tcPr>
          <w:p w14:paraId="0A6276FD" w14:textId="77777777" w:rsidR="00913A0A" w:rsidRPr="0058047D" w:rsidRDefault="00913A0A" w:rsidP="00E077BC">
            <w:pPr>
              <w:pStyle w:val="Heading3"/>
              <w:spacing w:beforeLines="20" w:before="48" w:afterLines="20" w:after="48"/>
              <w:rPr>
                <w:rFonts w:ascii="Tahoma" w:hAnsi="Tahoma" w:cs="Tahoma"/>
                <w:b w:val="0"/>
                <w:sz w:val="14"/>
              </w:rPr>
            </w:pPr>
            <w:bookmarkStart w:id="76" w:name="_Toc371663280"/>
            <w:r w:rsidRPr="0058047D">
              <w:rPr>
                <w:rFonts w:ascii="Tahoma" w:hAnsi="Tahoma" w:cs="Tahoma"/>
                <w:b w:val="0"/>
                <w:sz w:val="14"/>
              </w:rPr>
              <w:t>PowerPoint 2013</w:t>
            </w:r>
            <w:bookmarkEnd w:id="76"/>
          </w:p>
        </w:tc>
        <w:tc>
          <w:tcPr>
            <w:tcW w:w="429" w:type="dxa"/>
            <w:tcBorders>
              <w:bottom w:val="single" w:sz="4" w:space="0" w:color="auto"/>
            </w:tcBorders>
            <w:shd w:val="clear" w:color="auto" w:fill="auto"/>
            <w:vAlign w:val="center"/>
          </w:tcPr>
          <w:p w14:paraId="7E7B6E45" w14:textId="77777777" w:rsidR="00913A0A" w:rsidRPr="0058047D"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604258C5"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6C545DFF"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BA6F712"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1</w:t>
            </w:r>
          </w:p>
        </w:tc>
        <w:tc>
          <w:tcPr>
            <w:tcW w:w="429" w:type="dxa"/>
            <w:tcBorders>
              <w:bottom w:val="single" w:sz="4" w:space="0" w:color="auto"/>
            </w:tcBorders>
            <w:shd w:val="clear" w:color="auto" w:fill="auto"/>
            <w:vAlign w:val="center"/>
          </w:tcPr>
          <w:p w14:paraId="4F615C0F"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3</w:t>
            </w:r>
          </w:p>
        </w:tc>
        <w:tc>
          <w:tcPr>
            <w:tcW w:w="429" w:type="dxa"/>
            <w:tcBorders>
              <w:bottom w:val="single" w:sz="4" w:space="0" w:color="auto"/>
            </w:tcBorders>
            <w:shd w:val="clear" w:color="auto" w:fill="auto"/>
            <w:vAlign w:val="center"/>
          </w:tcPr>
          <w:p w14:paraId="6515824A"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auto"/>
            <w:vAlign w:val="center"/>
          </w:tcPr>
          <w:p w14:paraId="05343EBB"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auto"/>
            <w:vAlign w:val="center"/>
          </w:tcPr>
          <w:p w14:paraId="40574A59"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auto"/>
            <w:vAlign w:val="center"/>
          </w:tcPr>
          <w:p w14:paraId="6FCC1DEF"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4A53F5B"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1</w:t>
            </w:r>
          </w:p>
        </w:tc>
        <w:tc>
          <w:tcPr>
            <w:tcW w:w="353" w:type="dxa"/>
            <w:gridSpan w:val="2"/>
            <w:tcBorders>
              <w:left w:val="single" w:sz="18" w:space="0" w:color="auto"/>
              <w:bottom w:val="single" w:sz="4" w:space="0" w:color="auto"/>
            </w:tcBorders>
            <w:shd w:val="clear" w:color="auto" w:fill="auto"/>
            <w:vAlign w:val="center"/>
          </w:tcPr>
          <w:p w14:paraId="527C3E54"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1</w:t>
            </w:r>
          </w:p>
        </w:tc>
        <w:tc>
          <w:tcPr>
            <w:tcW w:w="360" w:type="dxa"/>
            <w:tcBorders>
              <w:bottom w:val="single" w:sz="4" w:space="0" w:color="auto"/>
            </w:tcBorders>
            <w:shd w:val="clear" w:color="auto" w:fill="auto"/>
            <w:vAlign w:val="center"/>
          </w:tcPr>
          <w:p w14:paraId="0370062B"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2</w:t>
            </w:r>
          </w:p>
        </w:tc>
        <w:tc>
          <w:tcPr>
            <w:tcW w:w="378" w:type="dxa"/>
            <w:tcBorders>
              <w:bottom w:val="single" w:sz="4" w:space="0" w:color="auto"/>
              <w:right w:val="single" w:sz="18" w:space="0" w:color="auto"/>
            </w:tcBorders>
            <w:shd w:val="clear" w:color="auto" w:fill="auto"/>
            <w:vAlign w:val="center"/>
          </w:tcPr>
          <w:p w14:paraId="7BA95770"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1</w:t>
            </w:r>
          </w:p>
        </w:tc>
        <w:tc>
          <w:tcPr>
            <w:tcW w:w="414" w:type="dxa"/>
            <w:tcBorders>
              <w:left w:val="single" w:sz="18" w:space="0" w:color="auto"/>
              <w:bottom w:val="single" w:sz="4" w:space="0" w:color="auto"/>
            </w:tcBorders>
            <w:shd w:val="clear" w:color="auto" w:fill="auto"/>
            <w:vAlign w:val="center"/>
          </w:tcPr>
          <w:p w14:paraId="2A8C7041" w14:textId="77777777" w:rsidR="00913A0A" w:rsidRPr="0058047D" w:rsidRDefault="00913A0A" w:rsidP="00D55AB9">
            <w:pPr>
              <w:pStyle w:val="TableText"/>
              <w:widowControl w:val="0"/>
              <w:rPr>
                <w:rFonts w:ascii="Tahoma" w:hAnsi="Tahoma" w:cs="Tahoma"/>
                <w:sz w:val="13"/>
              </w:rPr>
            </w:pPr>
          </w:p>
        </w:tc>
        <w:tc>
          <w:tcPr>
            <w:tcW w:w="405" w:type="dxa"/>
            <w:tcBorders>
              <w:bottom w:val="single" w:sz="4" w:space="0" w:color="auto"/>
              <w:right w:val="single" w:sz="18" w:space="0" w:color="auto"/>
            </w:tcBorders>
            <w:shd w:val="clear" w:color="auto" w:fill="auto"/>
            <w:vAlign w:val="center"/>
          </w:tcPr>
          <w:p w14:paraId="68BB3E29" w14:textId="77777777" w:rsidR="00913A0A" w:rsidRPr="0058047D" w:rsidRDefault="00913A0A" w:rsidP="00D55AB9">
            <w:pPr>
              <w:pStyle w:val="TableText"/>
              <w:widowControl w:val="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24C8ED9" w14:textId="77777777" w:rsidR="00913A0A" w:rsidRPr="0058047D" w:rsidRDefault="00913A0A" w:rsidP="00D55AB9">
            <w:pPr>
              <w:pStyle w:val="TableText"/>
              <w:widowControl w:val="0"/>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auto"/>
            <w:vAlign w:val="center"/>
          </w:tcPr>
          <w:p w14:paraId="7E110082" w14:textId="77777777" w:rsidR="00913A0A" w:rsidRPr="0058047D" w:rsidRDefault="00913A0A" w:rsidP="00D55AB9">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6D4D67CC" w14:textId="77777777" w:rsidR="00913A0A" w:rsidRPr="0058047D" w:rsidRDefault="00913A0A" w:rsidP="00D55AB9">
            <w:pPr>
              <w:pStyle w:val="TableText"/>
              <w:widowControl w:val="0"/>
              <w:rPr>
                <w:rFonts w:ascii="Tahoma" w:hAnsi="Tahoma" w:cs="Tahoma"/>
                <w:sz w:val="13"/>
              </w:rPr>
            </w:pPr>
          </w:p>
        </w:tc>
        <w:tc>
          <w:tcPr>
            <w:tcW w:w="370" w:type="dxa"/>
            <w:tcBorders>
              <w:bottom w:val="single" w:sz="4" w:space="0" w:color="auto"/>
            </w:tcBorders>
            <w:vAlign w:val="center"/>
          </w:tcPr>
          <w:p w14:paraId="4D93DE97" w14:textId="77777777" w:rsidR="00913A0A" w:rsidRPr="0058047D" w:rsidRDefault="00913A0A" w:rsidP="00905D4E">
            <w:pPr>
              <w:pStyle w:val="TableText"/>
              <w:widowControl w:val="0"/>
              <w:rPr>
                <w:rFonts w:ascii="Tahoma" w:hAnsi="Tahoma" w:cs="Tahoma"/>
                <w:sz w:val="13"/>
              </w:rPr>
            </w:pPr>
          </w:p>
        </w:tc>
      </w:tr>
      <w:tr w:rsidR="008A0F85" w:rsidRPr="0058047D" w14:paraId="0EFB3255" w14:textId="77777777" w:rsidTr="00D5491B">
        <w:trPr>
          <w:cantSplit/>
          <w:trHeight w:val="145"/>
        </w:trPr>
        <w:tc>
          <w:tcPr>
            <w:tcW w:w="2371" w:type="dxa"/>
            <w:tcBorders>
              <w:bottom w:val="single" w:sz="4" w:space="0" w:color="auto"/>
            </w:tcBorders>
            <w:shd w:val="clear" w:color="auto" w:fill="FABF8F"/>
          </w:tcPr>
          <w:p w14:paraId="72F7C962" w14:textId="77777777" w:rsidR="00913A0A" w:rsidRPr="0058047D" w:rsidRDefault="00913A0A" w:rsidP="00E077BC">
            <w:pPr>
              <w:pStyle w:val="Heading3"/>
              <w:spacing w:beforeLines="20" w:before="48" w:afterLines="20" w:after="48"/>
              <w:rPr>
                <w:rFonts w:ascii="Tahoma" w:hAnsi="Tahoma" w:cs="Tahoma"/>
                <w:b w:val="0"/>
                <w:sz w:val="14"/>
              </w:rPr>
            </w:pPr>
            <w:bookmarkStart w:id="77" w:name="_Toc336337878"/>
            <w:bookmarkStart w:id="78" w:name="_Toc371663281"/>
            <w:r w:rsidRPr="0058047D">
              <w:rPr>
                <w:rFonts w:ascii="Tahoma" w:hAnsi="Tahoma" w:cs="Tahoma"/>
                <w:b w:val="0"/>
                <w:sz w:val="14"/>
              </w:rPr>
              <w:t>Powerpoint per Mac 2011</w:t>
            </w:r>
            <w:bookmarkEnd w:id="77"/>
            <w:bookmarkEnd w:id="78"/>
          </w:p>
        </w:tc>
        <w:tc>
          <w:tcPr>
            <w:tcW w:w="429" w:type="dxa"/>
            <w:tcBorders>
              <w:bottom w:val="single" w:sz="4" w:space="0" w:color="auto"/>
            </w:tcBorders>
            <w:shd w:val="clear" w:color="auto" w:fill="FABF8F"/>
            <w:vAlign w:val="center"/>
          </w:tcPr>
          <w:p w14:paraId="26F5A4EC" w14:textId="77777777" w:rsidR="00913A0A" w:rsidRPr="0058047D"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38C4B000" w14:textId="77777777" w:rsidR="00913A0A" w:rsidRPr="0058047D" w:rsidRDefault="00913A0A" w:rsidP="00D55AB9">
            <w:pPr>
              <w:pStyle w:val="TableText"/>
              <w:spacing w:before="60" w:after="60"/>
              <w:rPr>
                <w:rFonts w:ascii="Tahoma" w:hAnsi="Tahoma" w:cs="Tahoma"/>
                <w:sz w:val="13"/>
              </w:rPr>
            </w:pPr>
            <w:r w:rsidRPr="0058047D">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6CA0C7AA" w14:textId="77777777" w:rsidR="00913A0A" w:rsidRPr="0058047D" w:rsidRDefault="00913A0A" w:rsidP="00D55AB9">
            <w:pPr>
              <w:pStyle w:val="TableText"/>
              <w:rPr>
                <w:rFonts w:ascii="Tahoma" w:hAnsi="Tahoma" w:cs="Tahoma"/>
                <w:sz w:val="13"/>
              </w:rPr>
            </w:pPr>
            <w:r w:rsidRPr="0058047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F18B286"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429" w:type="dxa"/>
            <w:tcBorders>
              <w:bottom w:val="single" w:sz="4" w:space="0" w:color="auto"/>
            </w:tcBorders>
            <w:shd w:val="clear" w:color="auto" w:fill="FABF8F"/>
            <w:vAlign w:val="center"/>
          </w:tcPr>
          <w:p w14:paraId="2185C2EE" w14:textId="77777777" w:rsidR="00913A0A" w:rsidRPr="0058047D" w:rsidRDefault="00913A0A" w:rsidP="00D55AB9">
            <w:pPr>
              <w:pStyle w:val="TableText"/>
              <w:rPr>
                <w:rFonts w:ascii="Tahoma" w:hAnsi="Tahoma" w:cs="Tahoma"/>
                <w:sz w:val="13"/>
              </w:rPr>
            </w:pPr>
            <w:r w:rsidRPr="0058047D">
              <w:rPr>
                <w:rFonts w:ascii="Tahoma" w:hAnsi="Tahoma" w:cs="Tahoma"/>
                <w:sz w:val="13"/>
              </w:rPr>
              <w:t>3</w:t>
            </w:r>
          </w:p>
        </w:tc>
        <w:tc>
          <w:tcPr>
            <w:tcW w:w="429" w:type="dxa"/>
            <w:tcBorders>
              <w:bottom w:val="single" w:sz="4" w:space="0" w:color="auto"/>
            </w:tcBorders>
            <w:shd w:val="clear" w:color="auto" w:fill="FABF8F"/>
            <w:vAlign w:val="center"/>
          </w:tcPr>
          <w:p w14:paraId="2393EEDE"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7D3F7C48"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078FDADC"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34CBD169"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A2D786C"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353" w:type="dxa"/>
            <w:gridSpan w:val="2"/>
            <w:tcBorders>
              <w:left w:val="single" w:sz="18" w:space="0" w:color="auto"/>
              <w:bottom w:val="single" w:sz="4" w:space="0" w:color="auto"/>
            </w:tcBorders>
            <w:shd w:val="clear" w:color="auto" w:fill="FABF8F"/>
            <w:vAlign w:val="center"/>
          </w:tcPr>
          <w:p w14:paraId="0D718175"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360" w:type="dxa"/>
            <w:tcBorders>
              <w:bottom w:val="single" w:sz="4" w:space="0" w:color="auto"/>
            </w:tcBorders>
            <w:shd w:val="clear" w:color="auto" w:fill="FABF8F"/>
            <w:vAlign w:val="center"/>
          </w:tcPr>
          <w:p w14:paraId="56801E26"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14:paraId="0C117DEF"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414" w:type="dxa"/>
            <w:tcBorders>
              <w:left w:val="single" w:sz="18" w:space="0" w:color="auto"/>
              <w:bottom w:val="single" w:sz="4" w:space="0" w:color="auto"/>
            </w:tcBorders>
            <w:shd w:val="clear" w:color="auto" w:fill="FABF8F"/>
            <w:vAlign w:val="center"/>
          </w:tcPr>
          <w:p w14:paraId="16190368" w14:textId="77777777" w:rsidR="00913A0A" w:rsidRPr="0058047D" w:rsidRDefault="00913A0A" w:rsidP="00D55AB9">
            <w:pPr>
              <w:pStyle w:val="TableText"/>
              <w:rPr>
                <w:rFonts w:ascii="Tahoma" w:hAnsi="Tahoma" w:cs="Tahoma"/>
                <w:sz w:val="13"/>
              </w:rPr>
            </w:pPr>
          </w:p>
        </w:tc>
        <w:tc>
          <w:tcPr>
            <w:tcW w:w="405" w:type="dxa"/>
            <w:tcBorders>
              <w:bottom w:val="single" w:sz="4" w:space="0" w:color="auto"/>
              <w:right w:val="single" w:sz="18" w:space="0" w:color="auto"/>
            </w:tcBorders>
            <w:shd w:val="clear" w:color="auto" w:fill="FABF8F"/>
            <w:vAlign w:val="center"/>
          </w:tcPr>
          <w:p w14:paraId="58A46E7E" w14:textId="77777777" w:rsidR="00913A0A" w:rsidRPr="0058047D" w:rsidRDefault="00913A0A" w:rsidP="00D55AB9">
            <w:pPr>
              <w:pStyle w:val="TableText"/>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372FBD14" w14:textId="77777777" w:rsidR="00913A0A" w:rsidRPr="0058047D" w:rsidRDefault="00913A0A" w:rsidP="00D55AB9">
            <w:pPr>
              <w:pStyle w:val="TableText"/>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FABF8F"/>
            <w:vAlign w:val="center"/>
          </w:tcPr>
          <w:p w14:paraId="3D7571EC" w14:textId="77777777" w:rsidR="00913A0A" w:rsidRPr="0058047D" w:rsidRDefault="00913A0A" w:rsidP="00D55AB9">
            <w:pPr>
              <w:pStyle w:val="TableText"/>
              <w:rPr>
                <w:rFonts w:ascii="Tahoma" w:hAnsi="Tahoma" w:cs="Tahoma"/>
                <w:sz w:val="13"/>
              </w:rPr>
            </w:pPr>
          </w:p>
        </w:tc>
        <w:tc>
          <w:tcPr>
            <w:tcW w:w="495" w:type="dxa"/>
            <w:tcBorders>
              <w:bottom w:val="single" w:sz="4" w:space="0" w:color="auto"/>
            </w:tcBorders>
            <w:shd w:val="clear" w:color="auto" w:fill="FABF8F"/>
            <w:vAlign w:val="center"/>
          </w:tcPr>
          <w:p w14:paraId="5DA0336A" w14:textId="77777777" w:rsidR="00913A0A" w:rsidRPr="0058047D" w:rsidRDefault="00913A0A" w:rsidP="00D55AB9">
            <w:pPr>
              <w:pStyle w:val="TableText"/>
              <w:rPr>
                <w:rFonts w:ascii="Tahoma" w:hAnsi="Tahoma" w:cs="Tahoma"/>
                <w:sz w:val="13"/>
              </w:rPr>
            </w:pPr>
          </w:p>
        </w:tc>
        <w:tc>
          <w:tcPr>
            <w:tcW w:w="370" w:type="dxa"/>
            <w:tcBorders>
              <w:bottom w:val="single" w:sz="4" w:space="0" w:color="auto"/>
            </w:tcBorders>
            <w:shd w:val="clear" w:color="auto" w:fill="FABF8F"/>
            <w:vAlign w:val="center"/>
          </w:tcPr>
          <w:p w14:paraId="65E14AB0" w14:textId="77777777" w:rsidR="00913A0A" w:rsidRPr="0058047D" w:rsidRDefault="00913A0A" w:rsidP="00905D4E">
            <w:pPr>
              <w:pStyle w:val="TableText"/>
              <w:rPr>
                <w:rFonts w:ascii="Tahoma" w:hAnsi="Tahoma" w:cs="Tahoma"/>
                <w:sz w:val="13"/>
              </w:rPr>
            </w:pPr>
          </w:p>
        </w:tc>
      </w:tr>
      <w:tr w:rsidR="00913A0A" w:rsidRPr="0058047D" w14:paraId="1422D490" w14:textId="77777777" w:rsidTr="00D5491B">
        <w:trPr>
          <w:cantSplit/>
          <w:trHeight w:val="145"/>
        </w:trPr>
        <w:tc>
          <w:tcPr>
            <w:tcW w:w="2371" w:type="dxa"/>
            <w:tcBorders>
              <w:bottom w:val="single" w:sz="4" w:space="0" w:color="auto"/>
            </w:tcBorders>
            <w:shd w:val="clear" w:color="auto" w:fill="auto"/>
          </w:tcPr>
          <w:p w14:paraId="55C6AC09" w14:textId="77777777" w:rsidR="00913A0A" w:rsidRPr="0058047D" w:rsidRDefault="00913A0A" w:rsidP="00E077BC">
            <w:pPr>
              <w:pStyle w:val="Heading3"/>
              <w:spacing w:beforeLines="20" w:before="48" w:afterLines="20" w:after="48"/>
              <w:rPr>
                <w:rFonts w:ascii="Tahoma" w:hAnsi="Tahoma" w:cs="Tahoma"/>
                <w:b w:val="0"/>
                <w:sz w:val="14"/>
              </w:rPr>
            </w:pPr>
            <w:bookmarkStart w:id="79" w:name="_Toc336337879"/>
            <w:bookmarkStart w:id="80" w:name="_Toc371663282"/>
            <w:r w:rsidRPr="0058047D">
              <w:rPr>
                <w:rFonts w:ascii="Tahoma" w:hAnsi="Tahoma" w:cs="Tahoma"/>
                <w:b w:val="0"/>
                <w:sz w:val="14"/>
              </w:rPr>
              <w:t>Project Standard</w:t>
            </w:r>
            <w:bookmarkEnd w:id="79"/>
            <w:r w:rsidRPr="0058047D">
              <w:rPr>
                <w:rFonts w:ascii="Tahoma" w:hAnsi="Tahoma" w:cs="Tahoma"/>
                <w:b w:val="0"/>
                <w:sz w:val="14"/>
              </w:rPr>
              <w:t xml:space="preserve"> 2013</w:t>
            </w:r>
            <w:bookmarkEnd w:id="80"/>
            <w:r w:rsidRPr="0058047D">
              <w:rPr>
                <w:rFonts w:ascii="Tahoma" w:hAnsi="Tahoma" w:cs="Tahoma"/>
                <w:b w:val="0"/>
                <w:sz w:val="14"/>
              </w:rPr>
              <w:t xml:space="preserve"> </w:t>
            </w:r>
          </w:p>
        </w:tc>
        <w:tc>
          <w:tcPr>
            <w:tcW w:w="429" w:type="dxa"/>
            <w:tcBorders>
              <w:bottom w:val="single" w:sz="4" w:space="0" w:color="auto"/>
            </w:tcBorders>
            <w:shd w:val="clear" w:color="auto" w:fill="auto"/>
            <w:vAlign w:val="center"/>
          </w:tcPr>
          <w:p w14:paraId="41C2C836" w14:textId="77777777" w:rsidR="00913A0A" w:rsidRPr="0058047D"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68878B84" w14:textId="77777777" w:rsidR="00913A0A" w:rsidRPr="0058047D" w:rsidRDefault="00913A0A" w:rsidP="00D55AB9">
            <w:pPr>
              <w:pStyle w:val="TableText"/>
              <w:spacing w:before="60" w:after="60"/>
              <w:rPr>
                <w:rFonts w:ascii="Tahoma" w:hAnsi="Tahoma" w:cs="Tahoma"/>
                <w:sz w:val="13"/>
              </w:rPr>
            </w:pPr>
            <w:r w:rsidRPr="0058047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3300473B" w14:textId="77777777" w:rsidR="00913A0A" w:rsidRPr="0058047D" w:rsidRDefault="00913A0A" w:rsidP="00D55AB9">
            <w:pPr>
              <w:pStyle w:val="TableText"/>
              <w:rPr>
                <w:rFonts w:ascii="Tahoma" w:hAnsi="Tahoma" w:cs="Tahoma"/>
                <w:sz w:val="13"/>
              </w:rPr>
            </w:pPr>
            <w:r w:rsidRPr="0058047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CB97B13"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auto"/>
            <w:vAlign w:val="center"/>
          </w:tcPr>
          <w:p w14:paraId="62B35D2B" w14:textId="77777777" w:rsidR="00913A0A" w:rsidRPr="0058047D" w:rsidRDefault="00913A0A" w:rsidP="00D55AB9">
            <w:pPr>
              <w:pStyle w:val="TableText"/>
              <w:rPr>
                <w:rFonts w:ascii="Tahoma" w:hAnsi="Tahoma" w:cs="Tahoma"/>
                <w:sz w:val="13"/>
              </w:rPr>
            </w:pPr>
            <w:r w:rsidRPr="0058047D">
              <w:rPr>
                <w:rFonts w:ascii="Tahoma" w:hAnsi="Tahoma" w:cs="Tahoma"/>
                <w:sz w:val="13"/>
              </w:rPr>
              <w:t>5</w:t>
            </w:r>
          </w:p>
        </w:tc>
        <w:tc>
          <w:tcPr>
            <w:tcW w:w="429" w:type="dxa"/>
            <w:tcBorders>
              <w:bottom w:val="single" w:sz="4" w:space="0" w:color="auto"/>
            </w:tcBorders>
            <w:shd w:val="clear" w:color="auto" w:fill="auto"/>
            <w:vAlign w:val="center"/>
          </w:tcPr>
          <w:p w14:paraId="160A2F96" w14:textId="77777777" w:rsidR="00913A0A" w:rsidRPr="0058047D" w:rsidRDefault="00913A0A" w:rsidP="00D55AB9">
            <w:pPr>
              <w:pStyle w:val="TableText"/>
              <w:rPr>
                <w:rFonts w:ascii="Tahoma" w:hAnsi="Tahoma" w:cs="Tahoma"/>
                <w:sz w:val="13"/>
              </w:rPr>
            </w:pPr>
            <w:r w:rsidRPr="0058047D">
              <w:rPr>
                <w:rFonts w:ascii="Tahoma" w:hAnsi="Tahoma" w:cs="Tahoma"/>
                <w:sz w:val="13"/>
              </w:rPr>
              <w:t>4</w:t>
            </w:r>
          </w:p>
        </w:tc>
        <w:tc>
          <w:tcPr>
            <w:tcW w:w="429" w:type="dxa"/>
            <w:tcBorders>
              <w:bottom w:val="single" w:sz="4" w:space="0" w:color="auto"/>
            </w:tcBorders>
            <w:shd w:val="clear" w:color="auto" w:fill="auto"/>
            <w:vAlign w:val="center"/>
          </w:tcPr>
          <w:p w14:paraId="1FD055BA" w14:textId="77777777" w:rsidR="00913A0A" w:rsidRPr="0058047D" w:rsidRDefault="00913A0A" w:rsidP="00D55AB9">
            <w:pPr>
              <w:pStyle w:val="TableText"/>
              <w:rPr>
                <w:rFonts w:ascii="Tahoma" w:hAnsi="Tahoma" w:cs="Tahoma"/>
                <w:sz w:val="13"/>
              </w:rPr>
            </w:pPr>
            <w:r w:rsidRPr="0058047D">
              <w:rPr>
                <w:rFonts w:ascii="Tahoma" w:hAnsi="Tahoma" w:cs="Tahoma"/>
                <w:sz w:val="13"/>
              </w:rPr>
              <w:t>3</w:t>
            </w:r>
          </w:p>
        </w:tc>
        <w:tc>
          <w:tcPr>
            <w:tcW w:w="429" w:type="dxa"/>
            <w:tcBorders>
              <w:bottom w:val="single" w:sz="4" w:space="0" w:color="auto"/>
            </w:tcBorders>
            <w:shd w:val="clear" w:color="auto" w:fill="auto"/>
            <w:vAlign w:val="center"/>
          </w:tcPr>
          <w:p w14:paraId="167577F2" w14:textId="77777777" w:rsidR="00913A0A" w:rsidRPr="0058047D" w:rsidRDefault="00913A0A" w:rsidP="00D55AB9">
            <w:pPr>
              <w:pStyle w:val="TableText"/>
              <w:rPr>
                <w:rFonts w:ascii="Tahoma" w:hAnsi="Tahoma" w:cs="Tahoma"/>
                <w:sz w:val="13"/>
              </w:rPr>
            </w:pPr>
            <w:r w:rsidRPr="0058047D">
              <w:rPr>
                <w:rFonts w:ascii="Tahoma" w:hAnsi="Tahoma" w:cs="Tahoma"/>
                <w:sz w:val="13"/>
              </w:rPr>
              <w:t>3</w:t>
            </w:r>
          </w:p>
        </w:tc>
        <w:tc>
          <w:tcPr>
            <w:tcW w:w="429" w:type="dxa"/>
            <w:tcBorders>
              <w:bottom w:val="single" w:sz="4" w:space="0" w:color="auto"/>
            </w:tcBorders>
            <w:shd w:val="clear" w:color="auto" w:fill="auto"/>
            <w:vAlign w:val="center"/>
          </w:tcPr>
          <w:p w14:paraId="33873B4F"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5FB089C"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353" w:type="dxa"/>
            <w:gridSpan w:val="2"/>
            <w:tcBorders>
              <w:left w:val="single" w:sz="18" w:space="0" w:color="auto"/>
              <w:bottom w:val="single" w:sz="4" w:space="0" w:color="auto"/>
            </w:tcBorders>
            <w:shd w:val="clear" w:color="auto" w:fill="auto"/>
            <w:vAlign w:val="center"/>
          </w:tcPr>
          <w:p w14:paraId="6A862A60"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360" w:type="dxa"/>
            <w:tcBorders>
              <w:bottom w:val="single" w:sz="4" w:space="0" w:color="auto"/>
            </w:tcBorders>
            <w:shd w:val="clear" w:color="auto" w:fill="auto"/>
            <w:vAlign w:val="center"/>
          </w:tcPr>
          <w:p w14:paraId="38149FAF" w14:textId="77777777" w:rsidR="00913A0A" w:rsidRPr="0058047D" w:rsidRDefault="00913A0A" w:rsidP="00D55AB9">
            <w:pPr>
              <w:pStyle w:val="TableText"/>
              <w:rPr>
                <w:rFonts w:ascii="Tahoma" w:hAnsi="Tahoma" w:cs="Tahoma"/>
                <w:sz w:val="13"/>
              </w:rPr>
            </w:pPr>
            <w:r w:rsidRPr="0058047D">
              <w:rPr>
                <w:rFonts w:ascii="Tahoma" w:hAnsi="Tahoma" w:cs="Tahoma"/>
                <w:sz w:val="13"/>
              </w:rPr>
              <w:t>4</w:t>
            </w:r>
          </w:p>
        </w:tc>
        <w:tc>
          <w:tcPr>
            <w:tcW w:w="378" w:type="dxa"/>
            <w:tcBorders>
              <w:bottom w:val="single" w:sz="4" w:space="0" w:color="auto"/>
              <w:right w:val="single" w:sz="18" w:space="0" w:color="auto"/>
            </w:tcBorders>
            <w:shd w:val="clear" w:color="auto" w:fill="auto"/>
            <w:vAlign w:val="center"/>
          </w:tcPr>
          <w:p w14:paraId="0A3ECB41"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414" w:type="dxa"/>
            <w:tcBorders>
              <w:left w:val="single" w:sz="18" w:space="0" w:color="auto"/>
              <w:bottom w:val="single" w:sz="4" w:space="0" w:color="auto"/>
            </w:tcBorders>
            <w:shd w:val="clear" w:color="auto" w:fill="auto"/>
            <w:vAlign w:val="center"/>
          </w:tcPr>
          <w:p w14:paraId="26082573" w14:textId="77777777" w:rsidR="00913A0A" w:rsidRPr="0058047D" w:rsidRDefault="00913A0A" w:rsidP="00D55AB9">
            <w:pPr>
              <w:pStyle w:val="TableText"/>
              <w:rPr>
                <w:rFonts w:ascii="Tahoma" w:hAnsi="Tahoma" w:cs="Tahoma"/>
                <w:sz w:val="13"/>
              </w:rPr>
            </w:pPr>
          </w:p>
        </w:tc>
        <w:tc>
          <w:tcPr>
            <w:tcW w:w="405" w:type="dxa"/>
            <w:tcBorders>
              <w:bottom w:val="single" w:sz="4" w:space="0" w:color="auto"/>
              <w:right w:val="single" w:sz="18" w:space="0" w:color="auto"/>
            </w:tcBorders>
            <w:shd w:val="clear" w:color="auto" w:fill="auto"/>
            <w:vAlign w:val="center"/>
          </w:tcPr>
          <w:p w14:paraId="21918665" w14:textId="77777777" w:rsidR="00913A0A" w:rsidRPr="0058047D" w:rsidRDefault="00913A0A" w:rsidP="00D55AB9">
            <w:pPr>
              <w:pStyle w:val="TableText"/>
              <w:rPr>
                <w:rFonts w:ascii="Tahoma" w:hAnsi="Tahoma" w:cs="Tahoma"/>
                <w:sz w:val="13"/>
              </w:rPr>
            </w:pPr>
            <w:r w:rsidRPr="0058047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14:paraId="66DD8D75" w14:textId="77777777" w:rsidR="00913A0A" w:rsidRPr="0058047D" w:rsidRDefault="00913A0A" w:rsidP="00D55AB9">
            <w:pPr>
              <w:pStyle w:val="TableText"/>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auto"/>
            <w:vAlign w:val="center"/>
          </w:tcPr>
          <w:p w14:paraId="5C88A741" w14:textId="77777777" w:rsidR="00913A0A" w:rsidRPr="0058047D" w:rsidRDefault="00913A0A" w:rsidP="00D55AB9">
            <w:pPr>
              <w:pStyle w:val="TableText"/>
              <w:rPr>
                <w:rFonts w:ascii="Tahoma" w:hAnsi="Tahoma" w:cs="Tahoma"/>
                <w:sz w:val="13"/>
              </w:rPr>
            </w:pPr>
          </w:p>
        </w:tc>
        <w:tc>
          <w:tcPr>
            <w:tcW w:w="495" w:type="dxa"/>
            <w:tcBorders>
              <w:bottom w:val="single" w:sz="4" w:space="0" w:color="auto"/>
            </w:tcBorders>
            <w:shd w:val="clear" w:color="auto" w:fill="auto"/>
            <w:vAlign w:val="center"/>
          </w:tcPr>
          <w:p w14:paraId="01855C15" w14:textId="77777777" w:rsidR="00913A0A" w:rsidRPr="0058047D" w:rsidRDefault="00913A0A" w:rsidP="00D55AB9">
            <w:pPr>
              <w:pStyle w:val="TableText"/>
              <w:rPr>
                <w:rFonts w:ascii="Tahoma" w:hAnsi="Tahoma" w:cs="Tahoma"/>
                <w:sz w:val="13"/>
              </w:rPr>
            </w:pPr>
          </w:p>
        </w:tc>
        <w:tc>
          <w:tcPr>
            <w:tcW w:w="370" w:type="dxa"/>
            <w:tcBorders>
              <w:bottom w:val="single" w:sz="4" w:space="0" w:color="auto"/>
            </w:tcBorders>
            <w:vAlign w:val="center"/>
          </w:tcPr>
          <w:p w14:paraId="742A4195" w14:textId="77777777" w:rsidR="00913A0A" w:rsidRPr="0058047D" w:rsidRDefault="00913A0A" w:rsidP="00905D4E">
            <w:pPr>
              <w:pStyle w:val="TableText"/>
              <w:rPr>
                <w:rFonts w:ascii="Tahoma" w:hAnsi="Tahoma" w:cs="Tahoma"/>
                <w:sz w:val="13"/>
              </w:rPr>
            </w:pPr>
            <w:r w:rsidRPr="0058047D">
              <w:rPr>
                <w:rFonts w:ascii="Tahoma" w:hAnsi="Tahoma" w:cs="Tahoma"/>
                <w:sz w:val="13"/>
              </w:rPr>
              <w:t>A</w:t>
            </w:r>
          </w:p>
        </w:tc>
      </w:tr>
      <w:tr w:rsidR="008A0F85" w:rsidRPr="0058047D" w14:paraId="62BA7D34" w14:textId="77777777" w:rsidTr="00D5491B">
        <w:trPr>
          <w:cantSplit/>
          <w:trHeight w:val="145"/>
        </w:trPr>
        <w:tc>
          <w:tcPr>
            <w:tcW w:w="2371" w:type="dxa"/>
            <w:tcBorders>
              <w:bottom w:val="single" w:sz="4" w:space="0" w:color="auto"/>
            </w:tcBorders>
            <w:shd w:val="clear" w:color="auto" w:fill="FABF8F"/>
          </w:tcPr>
          <w:p w14:paraId="174158D4" w14:textId="77777777" w:rsidR="00913A0A" w:rsidRPr="0058047D" w:rsidRDefault="00913A0A" w:rsidP="00E077BC">
            <w:pPr>
              <w:pStyle w:val="Heading3"/>
              <w:spacing w:beforeLines="20" w:before="48" w:afterLines="20" w:after="48"/>
              <w:rPr>
                <w:rFonts w:ascii="Tahoma" w:hAnsi="Tahoma" w:cs="Tahoma"/>
                <w:b w:val="0"/>
                <w:sz w:val="14"/>
              </w:rPr>
            </w:pPr>
            <w:bookmarkStart w:id="81" w:name="_Toc336337880"/>
            <w:bookmarkStart w:id="82" w:name="_Toc371663283"/>
            <w:r w:rsidRPr="0058047D">
              <w:rPr>
                <w:rFonts w:ascii="Tahoma" w:hAnsi="Tahoma" w:cs="Tahoma"/>
                <w:b w:val="0"/>
                <w:sz w:val="14"/>
              </w:rPr>
              <w:t>Project Professional 2013</w:t>
            </w:r>
            <w:bookmarkEnd w:id="81"/>
            <w:bookmarkEnd w:id="82"/>
            <w:r w:rsidRPr="0058047D">
              <w:rPr>
                <w:rFonts w:ascii="Tahoma" w:hAnsi="Tahoma" w:cs="Tahoma"/>
                <w:b w:val="0"/>
                <w:sz w:val="14"/>
              </w:rPr>
              <w:t xml:space="preserve"> </w:t>
            </w:r>
          </w:p>
        </w:tc>
        <w:tc>
          <w:tcPr>
            <w:tcW w:w="429" w:type="dxa"/>
            <w:tcBorders>
              <w:bottom w:val="single" w:sz="4" w:space="0" w:color="auto"/>
            </w:tcBorders>
            <w:shd w:val="clear" w:color="auto" w:fill="FABF8F"/>
            <w:vAlign w:val="center"/>
          </w:tcPr>
          <w:p w14:paraId="40F97F8D" w14:textId="77777777" w:rsidR="00913A0A" w:rsidRPr="0058047D" w:rsidRDefault="00C86F50" w:rsidP="00D55AB9">
            <w:pPr>
              <w:pStyle w:val="TableText"/>
              <w:widowControl w:val="0"/>
              <w:rPr>
                <w:rStyle w:val="EndnoteReference"/>
                <w:b w:val="0"/>
                <w:color w:val="0000FF"/>
                <w:sz w:val="13"/>
                <w:szCs w:val="13"/>
                <w:u w:val="single"/>
              </w:rPr>
            </w:pPr>
            <w:hyperlink w:anchor="_14_Project_Professional" w:history="1">
              <w:r w:rsidR="00BF5FC6" w:rsidRPr="0058047D">
                <w:rPr>
                  <w:rStyle w:val="Hyperlink"/>
                  <w:b/>
                  <w:sz w:val="13"/>
                  <w:szCs w:val="13"/>
                </w:rPr>
                <w:t>15</w:t>
              </w:r>
            </w:hyperlink>
          </w:p>
        </w:tc>
        <w:tc>
          <w:tcPr>
            <w:tcW w:w="429" w:type="dxa"/>
            <w:tcBorders>
              <w:bottom w:val="single" w:sz="4" w:space="0" w:color="auto"/>
            </w:tcBorders>
            <w:shd w:val="clear" w:color="auto" w:fill="FABF8F"/>
            <w:vAlign w:val="center"/>
          </w:tcPr>
          <w:p w14:paraId="3E9F2974" w14:textId="77777777" w:rsidR="00913A0A" w:rsidRPr="0058047D" w:rsidRDefault="00913A0A" w:rsidP="00D55AB9">
            <w:pPr>
              <w:pStyle w:val="TableText"/>
              <w:spacing w:before="60" w:after="60"/>
              <w:rPr>
                <w:rFonts w:ascii="Tahoma" w:hAnsi="Tahoma" w:cs="Tahoma"/>
                <w:sz w:val="13"/>
              </w:rPr>
            </w:pPr>
            <w:r w:rsidRPr="0058047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B0609D3" w14:textId="77777777" w:rsidR="00913A0A" w:rsidRPr="0058047D" w:rsidRDefault="00913A0A" w:rsidP="00D55AB9">
            <w:pPr>
              <w:pStyle w:val="TableText"/>
              <w:rPr>
                <w:rFonts w:ascii="Tahoma" w:hAnsi="Tahoma" w:cs="Tahoma"/>
                <w:sz w:val="13"/>
              </w:rPr>
            </w:pPr>
            <w:r w:rsidRPr="0058047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1B3D6D1" w14:textId="77777777" w:rsidR="00913A0A" w:rsidRPr="0058047D" w:rsidRDefault="00913A0A" w:rsidP="00D55AB9">
            <w:pPr>
              <w:pStyle w:val="TableText"/>
              <w:rPr>
                <w:rFonts w:ascii="Tahoma" w:hAnsi="Tahoma" w:cs="Tahoma"/>
                <w:sz w:val="13"/>
                <w:szCs w:val="13"/>
              </w:rPr>
            </w:pPr>
            <w:r w:rsidRPr="0058047D">
              <w:rPr>
                <w:rFonts w:ascii="Tahoma" w:hAnsi="Tahoma" w:cs="Tahoma"/>
                <w:sz w:val="13"/>
                <w:szCs w:val="13"/>
              </w:rPr>
              <w:t>4</w:t>
            </w:r>
          </w:p>
        </w:tc>
        <w:tc>
          <w:tcPr>
            <w:tcW w:w="429" w:type="dxa"/>
            <w:tcBorders>
              <w:bottom w:val="single" w:sz="4" w:space="0" w:color="auto"/>
            </w:tcBorders>
            <w:shd w:val="clear" w:color="auto" w:fill="FABF8F"/>
            <w:vAlign w:val="center"/>
          </w:tcPr>
          <w:p w14:paraId="5B44F0CF" w14:textId="77777777" w:rsidR="00913A0A" w:rsidRPr="0058047D" w:rsidRDefault="00913A0A" w:rsidP="00D55AB9">
            <w:pPr>
              <w:pStyle w:val="TableText"/>
              <w:rPr>
                <w:rFonts w:ascii="Tahoma" w:hAnsi="Tahoma" w:cs="Tahoma"/>
                <w:sz w:val="13"/>
                <w:szCs w:val="13"/>
              </w:rPr>
            </w:pPr>
            <w:r w:rsidRPr="0058047D">
              <w:rPr>
                <w:rFonts w:ascii="Tahoma" w:hAnsi="Tahoma" w:cs="Tahoma"/>
                <w:sz w:val="13"/>
                <w:szCs w:val="13"/>
              </w:rPr>
              <w:t>10</w:t>
            </w:r>
          </w:p>
        </w:tc>
        <w:tc>
          <w:tcPr>
            <w:tcW w:w="429" w:type="dxa"/>
            <w:tcBorders>
              <w:bottom w:val="single" w:sz="4" w:space="0" w:color="auto"/>
            </w:tcBorders>
            <w:shd w:val="clear" w:color="auto" w:fill="FABF8F"/>
            <w:vAlign w:val="center"/>
          </w:tcPr>
          <w:p w14:paraId="7ED709B7" w14:textId="77777777" w:rsidR="00913A0A" w:rsidRPr="0058047D" w:rsidRDefault="00913A0A" w:rsidP="00D55AB9">
            <w:pPr>
              <w:pStyle w:val="TableText"/>
              <w:rPr>
                <w:rFonts w:ascii="Tahoma" w:hAnsi="Tahoma" w:cs="Tahoma"/>
                <w:sz w:val="13"/>
                <w:szCs w:val="13"/>
              </w:rPr>
            </w:pPr>
            <w:r w:rsidRPr="0058047D">
              <w:rPr>
                <w:rFonts w:ascii="Tahoma" w:hAnsi="Tahoma" w:cs="Tahoma"/>
                <w:sz w:val="13"/>
                <w:szCs w:val="13"/>
              </w:rPr>
              <w:t>8</w:t>
            </w:r>
          </w:p>
        </w:tc>
        <w:tc>
          <w:tcPr>
            <w:tcW w:w="429" w:type="dxa"/>
            <w:tcBorders>
              <w:bottom w:val="single" w:sz="4" w:space="0" w:color="auto"/>
            </w:tcBorders>
            <w:shd w:val="clear" w:color="auto" w:fill="FABF8F"/>
            <w:vAlign w:val="center"/>
          </w:tcPr>
          <w:p w14:paraId="1A9CAD7D" w14:textId="77777777" w:rsidR="00913A0A" w:rsidRPr="0058047D" w:rsidRDefault="00913A0A" w:rsidP="00D55AB9">
            <w:pPr>
              <w:pStyle w:val="TableText"/>
              <w:rPr>
                <w:rFonts w:ascii="Tahoma" w:hAnsi="Tahoma" w:cs="Tahoma"/>
                <w:sz w:val="13"/>
                <w:szCs w:val="13"/>
              </w:rPr>
            </w:pPr>
            <w:r w:rsidRPr="0058047D">
              <w:rPr>
                <w:rFonts w:ascii="Tahoma" w:hAnsi="Tahoma" w:cs="Tahoma"/>
                <w:sz w:val="13"/>
                <w:szCs w:val="13"/>
              </w:rPr>
              <w:t>6</w:t>
            </w:r>
          </w:p>
        </w:tc>
        <w:tc>
          <w:tcPr>
            <w:tcW w:w="429" w:type="dxa"/>
            <w:tcBorders>
              <w:bottom w:val="single" w:sz="4" w:space="0" w:color="auto"/>
            </w:tcBorders>
            <w:shd w:val="clear" w:color="auto" w:fill="FABF8F"/>
            <w:vAlign w:val="center"/>
          </w:tcPr>
          <w:p w14:paraId="07B85F91" w14:textId="77777777" w:rsidR="00913A0A" w:rsidRPr="0058047D" w:rsidRDefault="00913A0A" w:rsidP="00D55AB9">
            <w:pPr>
              <w:pStyle w:val="TableText"/>
              <w:rPr>
                <w:rFonts w:ascii="Tahoma" w:hAnsi="Tahoma" w:cs="Tahoma"/>
                <w:sz w:val="13"/>
                <w:szCs w:val="13"/>
              </w:rPr>
            </w:pPr>
            <w:r w:rsidRPr="0058047D">
              <w:rPr>
                <w:rFonts w:ascii="Tahoma" w:hAnsi="Tahoma" w:cs="Tahoma"/>
                <w:sz w:val="13"/>
                <w:szCs w:val="13"/>
              </w:rPr>
              <w:t>6</w:t>
            </w:r>
          </w:p>
        </w:tc>
        <w:tc>
          <w:tcPr>
            <w:tcW w:w="429" w:type="dxa"/>
            <w:tcBorders>
              <w:bottom w:val="single" w:sz="4" w:space="0" w:color="auto"/>
            </w:tcBorders>
            <w:shd w:val="clear" w:color="auto" w:fill="FABF8F"/>
            <w:vAlign w:val="center"/>
          </w:tcPr>
          <w:p w14:paraId="4736F845" w14:textId="77777777" w:rsidR="00913A0A" w:rsidRPr="0058047D" w:rsidRDefault="00913A0A" w:rsidP="00D55AB9">
            <w:pPr>
              <w:pStyle w:val="TableText"/>
              <w:rPr>
                <w:rFonts w:ascii="Tahoma" w:hAnsi="Tahoma" w:cs="Tahoma"/>
                <w:sz w:val="13"/>
                <w:szCs w:val="13"/>
              </w:rPr>
            </w:pPr>
            <w:r w:rsidRPr="0058047D">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22DF4A8E" w14:textId="77777777" w:rsidR="00913A0A" w:rsidRPr="0058047D" w:rsidRDefault="00913A0A" w:rsidP="00D55AB9">
            <w:pPr>
              <w:pStyle w:val="TableText"/>
              <w:rPr>
                <w:rFonts w:ascii="Tahoma" w:hAnsi="Tahoma" w:cs="Tahoma"/>
                <w:sz w:val="13"/>
                <w:szCs w:val="13"/>
              </w:rPr>
            </w:pPr>
            <w:r w:rsidRPr="0058047D">
              <w:rPr>
                <w:rFonts w:ascii="Tahoma" w:hAnsi="Tahoma" w:cs="Tahoma"/>
                <w:sz w:val="13"/>
                <w:szCs w:val="13"/>
              </w:rPr>
              <w:t>2</w:t>
            </w:r>
          </w:p>
        </w:tc>
        <w:tc>
          <w:tcPr>
            <w:tcW w:w="353" w:type="dxa"/>
            <w:gridSpan w:val="2"/>
            <w:tcBorders>
              <w:left w:val="single" w:sz="18" w:space="0" w:color="auto"/>
              <w:bottom w:val="single" w:sz="4" w:space="0" w:color="auto"/>
            </w:tcBorders>
            <w:shd w:val="clear" w:color="auto" w:fill="FABF8F"/>
            <w:vAlign w:val="center"/>
          </w:tcPr>
          <w:p w14:paraId="6B3BFB1B" w14:textId="77777777" w:rsidR="00913A0A" w:rsidRPr="0058047D" w:rsidRDefault="00913A0A" w:rsidP="00D55AB9">
            <w:pPr>
              <w:pStyle w:val="TableText"/>
              <w:rPr>
                <w:rFonts w:ascii="Tahoma" w:hAnsi="Tahoma" w:cs="Tahoma"/>
                <w:sz w:val="13"/>
                <w:szCs w:val="13"/>
              </w:rPr>
            </w:pPr>
            <w:r w:rsidRPr="0058047D">
              <w:rPr>
                <w:rFonts w:ascii="Tahoma" w:hAnsi="Tahoma" w:cs="Tahoma"/>
                <w:sz w:val="13"/>
                <w:szCs w:val="13"/>
              </w:rPr>
              <w:t>4</w:t>
            </w:r>
          </w:p>
        </w:tc>
        <w:tc>
          <w:tcPr>
            <w:tcW w:w="360" w:type="dxa"/>
            <w:tcBorders>
              <w:bottom w:val="single" w:sz="4" w:space="0" w:color="auto"/>
            </w:tcBorders>
            <w:shd w:val="clear" w:color="auto" w:fill="FABF8F"/>
            <w:vAlign w:val="center"/>
          </w:tcPr>
          <w:p w14:paraId="771D2C9F" w14:textId="77777777" w:rsidR="00913A0A" w:rsidRPr="0058047D" w:rsidRDefault="00913A0A" w:rsidP="00D55AB9">
            <w:pPr>
              <w:pStyle w:val="TableText"/>
              <w:rPr>
                <w:rFonts w:ascii="Tahoma" w:hAnsi="Tahoma" w:cs="Tahoma"/>
                <w:sz w:val="13"/>
                <w:szCs w:val="13"/>
              </w:rPr>
            </w:pPr>
            <w:r w:rsidRPr="0058047D">
              <w:rPr>
                <w:rFonts w:ascii="Tahoma" w:hAnsi="Tahoma" w:cs="Tahoma"/>
                <w:sz w:val="13"/>
                <w:szCs w:val="13"/>
              </w:rPr>
              <w:t>8</w:t>
            </w:r>
          </w:p>
        </w:tc>
        <w:tc>
          <w:tcPr>
            <w:tcW w:w="378" w:type="dxa"/>
            <w:tcBorders>
              <w:bottom w:val="single" w:sz="4" w:space="0" w:color="auto"/>
              <w:right w:val="single" w:sz="18" w:space="0" w:color="auto"/>
            </w:tcBorders>
            <w:shd w:val="clear" w:color="auto" w:fill="FABF8F"/>
            <w:vAlign w:val="center"/>
          </w:tcPr>
          <w:p w14:paraId="3545CCAB" w14:textId="77777777" w:rsidR="00913A0A" w:rsidRPr="0058047D" w:rsidRDefault="00913A0A" w:rsidP="00D55AB9">
            <w:pPr>
              <w:pStyle w:val="TableText"/>
              <w:rPr>
                <w:rFonts w:ascii="Tahoma" w:hAnsi="Tahoma" w:cs="Tahoma"/>
                <w:sz w:val="13"/>
                <w:szCs w:val="13"/>
              </w:rPr>
            </w:pPr>
            <w:r w:rsidRPr="0058047D">
              <w:rPr>
                <w:rFonts w:ascii="Tahoma" w:hAnsi="Tahoma" w:cs="Tahoma"/>
                <w:sz w:val="13"/>
                <w:szCs w:val="13"/>
              </w:rPr>
              <w:t>4</w:t>
            </w:r>
          </w:p>
        </w:tc>
        <w:tc>
          <w:tcPr>
            <w:tcW w:w="414" w:type="dxa"/>
            <w:tcBorders>
              <w:left w:val="single" w:sz="18" w:space="0" w:color="auto"/>
              <w:bottom w:val="single" w:sz="4" w:space="0" w:color="auto"/>
            </w:tcBorders>
            <w:shd w:val="clear" w:color="auto" w:fill="FABF8F"/>
            <w:vAlign w:val="center"/>
          </w:tcPr>
          <w:p w14:paraId="51C98E2B" w14:textId="77777777" w:rsidR="00913A0A" w:rsidRPr="0058047D" w:rsidRDefault="00913A0A" w:rsidP="00D55AB9">
            <w:pPr>
              <w:pStyle w:val="TableText"/>
              <w:rPr>
                <w:rFonts w:ascii="Tahoma" w:hAnsi="Tahoma" w:cs="Tahoma"/>
                <w:sz w:val="13"/>
                <w:szCs w:val="13"/>
              </w:rPr>
            </w:pPr>
            <w:r w:rsidRPr="0058047D">
              <w:rPr>
                <w:rFonts w:ascii="Tahoma" w:hAnsi="Tahoma" w:cs="Tahoma"/>
                <w:sz w:val="13"/>
                <w:szCs w:val="13"/>
              </w:rPr>
              <w:t>1</w:t>
            </w:r>
          </w:p>
        </w:tc>
        <w:tc>
          <w:tcPr>
            <w:tcW w:w="405" w:type="dxa"/>
            <w:tcBorders>
              <w:bottom w:val="single" w:sz="4" w:space="0" w:color="auto"/>
              <w:right w:val="single" w:sz="18" w:space="0" w:color="auto"/>
            </w:tcBorders>
            <w:shd w:val="clear" w:color="auto" w:fill="FABF8F"/>
            <w:vAlign w:val="center"/>
          </w:tcPr>
          <w:p w14:paraId="3C5FDD7D" w14:textId="77777777" w:rsidR="00913A0A" w:rsidRPr="0058047D" w:rsidRDefault="00913A0A" w:rsidP="00D55AB9">
            <w:pPr>
              <w:pStyle w:val="TableText"/>
              <w:rPr>
                <w:rFonts w:ascii="Tahoma" w:hAnsi="Tahoma" w:cs="Tahoma"/>
                <w:sz w:val="13"/>
              </w:rPr>
            </w:pPr>
            <w:r w:rsidRPr="0058047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44C0E465" w14:textId="77777777" w:rsidR="00913A0A" w:rsidRPr="0058047D" w:rsidRDefault="00913A0A" w:rsidP="00D55AB9">
            <w:pPr>
              <w:pStyle w:val="TableText"/>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FABF8F"/>
            <w:vAlign w:val="center"/>
          </w:tcPr>
          <w:p w14:paraId="3706C451" w14:textId="77777777" w:rsidR="00913A0A" w:rsidRPr="0058047D" w:rsidRDefault="00913A0A" w:rsidP="00D55AB9">
            <w:pPr>
              <w:pStyle w:val="TableText"/>
              <w:rPr>
                <w:rFonts w:ascii="Tahoma" w:hAnsi="Tahoma" w:cs="Tahoma"/>
                <w:sz w:val="13"/>
              </w:rPr>
            </w:pPr>
            <w:r w:rsidRPr="0058047D">
              <w:rPr>
                <w:rFonts w:ascii="Tahoma" w:hAnsi="Tahoma" w:cs="Tahoma"/>
                <w:sz w:val="13"/>
              </w:rPr>
              <w:t>A, AO, ST</w:t>
            </w:r>
          </w:p>
        </w:tc>
        <w:tc>
          <w:tcPr>
            <w:tcW w:w="495" w:type="dxa"/>
            <w:tcBorders>
              <w:bottom w:val="single" w:sz="4" w:space="0" w:color="auto"/>
            </w:tcBorders>
            <w:shd w:val="clear" w:color="auto" w:fill="FABF8F"/>
            <w:vAlign w:val="center"/>
          </w:tcPr>
          <w:p w14:paraId="19A63829" w14:textId="77777777" w:rsidR="00913A0A" w:rsidRPr="0058047D" w:rsidRDefault="00913A0A" w:rsidP="00D55AB9">
            <w:pPr>
              <w:pStyle w:val="TableText"/>
              <w:rPr>
                <w:rFonts w:ascii="Tahoma" w:hAnsi="Tahoma" w:cs="Tahoma"/>
                <w:sz w:val="13"/>
              </w:rPr>
            </w:pPr>
          </w:p>
        </w:tc>
        <w:tc>
          <w:tcPr>
            <w:tcW w:w="370" w:type="dxa"/>
            <w:tcBorders>
              <w:bottom w:val="single" w:sz="4" w:space="0" w:color="auto"/>
            </w:tcBorders>
            <w:shd w:val="clear" w:color="auto" w:fill="FABF8F"/>
            <w:vAlign w:val="center"/>
          </w:tcPr>
          <w:p w14:paraId="18C5437B" w14:textId="77777777" w:rsidR="00913A0A" w:rsidRPr="0058047D" w:rsidRDefault="00913A0A" w:rsidP="00905D4E">
            <w:pPr>
              <w:pStyle w:val="TableText"/>
              <w:rPr>
                <w:rFonts w:ascii="Tahoma" w:hAnsi="Tahoma" w:cs="Tahoma"/>
                <w:sz w:val="13"/>
              </w:rPr>
            </w:pPr>
            <w:r w:rsidRPr="0058047D">
              <w:rPr>
                <w:rFonts w:ascii="Tahoma" w:hAnsi="Tahoma" w:cs="Tahoma"/>
                <w:sz w:val="13"/>
              </w:rPr>
              <w:t>A</w:t>
            </w:r>
          </w:p>
        </w:tc>
      </w:tr>
      <w:tr w:rsidR="00905D4E" w:rsidRPr="0058047D" w14:paraId="5C49E722" w14:textId="77777777" w:rsidTr="0058047D">
        <w:trPr>
          <w:cantSplit/>
          <w:trHeight w:val="145"/>
        </w:trPr>
        <w:tc>
          <w:tcPr>
            <w:tcW w:w="2371" w:type="dxa"/>
            <w:tcBorders>
              <w:bottom w:val="single" w:sz="4" w:space="0" w:color="auto"/>
            </w:tcBorders>
            <w:shd w:val="clear" w:color="auto" w:fill="auto"/>
          </w:tcPr>
          <w:p w14:paraId="27622496" w14:textId="77777777" w:rsidR="00905D4E" w:rsidRPr="0058047D" w:rsidRDefault="00905D4E" w:rsidP="00E077BC">
            <w:pPr>
              <w:pStyle w:val="Heading3"/>
              <w:spacing w:beforeLines="20" w:before="48" w:afterLines="20" w:after="48"/>
              <w:rPr>
                <w:rFonts w:ascii="Tahoma" w:hAnsi="Tahoma" w:cs="Tahoma"/>
                <w:b w:val="0"/>
                <w:sz w:val="14"/>
              </w:rPr>
            </w:pPr>
            <w:bookmarkStart w:id="83" w:name="_Toc371663284"/>
            <w:r w:rsidRPr="0058047D">
              <w:rPr>
                <w:rFonts w:ascii="Tahoma" w:hAnsi="Tahoma" w:cs="Tahoma"/>
                <w:b w:val="0"/>
                <w:sz w:val="14"/>
              </w:rPr>
              <w:t>Project Pro per Office 365</w:t>
            </w:r>
            <w:bookmarkEnd w:id="83"/>
            <w:r w:rsidR="00E34ED3" w:rsidRPr="0058047D">
              <w:rPr>
                <w:rFonts w:ascii="Tahoma" w:hAnsi="Tahoma" w:cs="Tahoma"/>
                <w:b w:val="0"/>
                <w:sz w:val="14"/>
              </w:rPr>
              <w:t xml:space="preserve"> </w:t>
            </w:r>
          </w:p>
        </w:tc>
        <w:tc>
          <w:tcPr>
            <w:tcW w:w="429" w:type="dxa"/>
            <w:tcBorders>
              <w:bottom w:val="single" w:sz="4" w:space="0" w:color="auto"/>
            </w:tcBorders>
            <w:shd w:val="clear" w:color="auto" w:fill="auto"/>
            <w:vAlign w:val="center"/>
          </w:tcPr>
          <w:p w14:paraId="7B224928" w14:textId="77777777" w:rsidR="00905D4E" w:rsidRPr="0058047D" w:rsidRDefault="00C86F50" w:rsidP="00D55AB9">
            <w:pPr>
              <w:pStyle w:val="TableText"/>
              <w:widowControl w:val="0"/>
              <w:rPr>
                <w:b/>
                <w:color w:val="0000FF"/>
                <w:sz w:val="13"/>
                <w:szCs w:val="13"/>
                <w:u w:val="single"/>
              </w:rPr>
            </w:pPr>
            <w:hyperlink w:anchor="_15_Project_Pro" w:history="1">
              <w:r w:rsidR="00BF5FC6" w:rsidRPr="0058047D">
                <w:rPr>
                  <w:rStyle w:val="Hyperlink"/>
                  <w:b/>
                  <w:sz w:val="13"/>
                  <w:szCs w:val="13"/>
                </w:rPr>
                <w:t>16</w:t>
              </w:r>
            </w:hyperlink>
          </w:p>
        </w:tc>
        <w:tc>
          <w:tcPr>
            <w:tcW w:w="429" w:type="dxa"/>
            <w:tcBorders>
              <w:bottom w:val="single" w:sz="4" w:space="0" w:color="auto"/>
            </w:tcBorders>
            <w:shd w:val="clear" w:color="auto" w:fill="auto"/>
            <w:vAlign w:val="center"/>
          </w:tcPr>
          <w:p w14:paraId="6D5D8C59" w14:textId="77777777" w:rsidR="00905D4E" w:rsidRPr="0058047D" w:rsidRDefault="00905D4E" w:rsidP="00D55AB9">
            <w:pPr>
              <w:pStyle w:val="TableText"/>
              <w:spacing w:before="60" w:after="60"/>
              <w:rPr>
                <w:rFonts w:ascii="Tahoma" w:hAnsi="Tahoma" w:cs="Tahoma"/>
                <w:sz w:val="13"/>
              </w:rPr>
            </w:pPr>
            <w:r w:rsidRPr="0058047D">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38DE263F" w14:textId="77777777" w:rsidR="00905D4E" w:rsidRPr="0058047D" w:rsidRDefault="00905D4E" w:rsidP="00D55AB9">
            <w:pPr>
              <w:pStyle w:val="TableText"/>
              <w:rPr>
                <w:rFonts w:ascii="Tahoma" w:hAnsi="Tahoma" w:cs="Tahoma"/>
                <w:sz w:val="13"/>
              </w:rPr>
            </w:pPr>
            <w:r w:rsidRPr="0058047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D6E18BA" w14:textId="77777777" w:rsidR="00905D4E" w:rsidRPr="0058047D"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43B7693E" w14:textId="77777777" w:rsidR="00905D4E" w:rsidRPr="0058047D"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6E4D48E9" w14:textId="77777777" w:rsidR="00905D4E" w:rsidRPr="0058047D"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25F3073C" w14:textId="77777777" w:rsidR="00905D4E" w:rsidRPr="0058047D"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7769548C" w14:textId="77777777" w:rsidR="00905D4E" w:rsidRPr="0058047D"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1EDD7134" w14:textId="77777777" w:rsidR="00905D4E" w:rsidRPr="0058047D"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304C9290" w14:textId="77777777" w:rsidR="00905D4E" w:rsidRPr="0058047D" w:rsidRDefault="00905D4E" w:rsidP="00D55AB9">
            <w:pPr>
              <w:pStyle w:val="TableText"/>
              <w:spacing w:after="120"/>
              <w:rPr>
                <w:rFonts w:ascii="Tahoma" w:hAnsi="Tahoma" w:cs="Tahoma"/>
                <w:sz w:val="13"/>
                <w:szCs w:val="13"/>
              </w:rPr>
            </w:pPr>
          </w:p>
        </w:tc>
        <w:tc>
          <w:tcPr>
            <w:tcW w:w="1091" w:type="dxa"/>
            <w:gridSpan w:val="4"/>
            <w:tcBorders>
              <w:left w:val="single" w:sz="18" w:space="0" w:color="auto"/>
              <w:bottom w:val="single" w:sz="4" w:space="0" w:color="auto"/>
              <w:right w:val="single" w:sz="18" w:space="0" w:color="auto"/>
            </w:tcBorders>
            <w:shd w:val="clear" w:color="auto" w:fill="auto"/>
            <w:vAlign w:val="center"/>
          </w:tcPr>
          <w:p w14:paraId="049F5A69" w14:textId="77777777" w:rsidR="00905D4E" w:rsidRPr="0058047D" w:rsidRDefault="00905D4E" w:rsidP="00D55AB9">
            <w:pPr>
              <w:pStyle w:val="TableText"/>
              <w:spacing w:after="120"/>
              <w:rPr>
                <w:rFonts w:ascii="Tahoma" w:hAnsi="Tahoma" w:cs="Tahoma"/>
                <w:sz w:val="13"/>
                <w:szCs w:val="13"/>
              </w:rPr>
            </w:pPr>
            <w:r w:rsidRPr="0058047D">
              <w:rPr>
                <w:rFonts w:ascii="Tahoma" w:hAnsi="Tahoma" w:cs="Tahoma"/>
                <w:sz w:val="13"/>
                <w:szCs w:val="13"/>
              </w:rPr>
              <w:t>1</w:t>
            </w:r>
          </w:p>
        </w:tc>
        <w:tc>
          <w:tcPr>
            <w:tcW w:w="414" w:type="dxa"/>
            <w:tcBorders>
              <w:left w:val="single" w:sz="18" w:space="0" w:color="auto"/>
              <w:bottom w:val="single" w:sz="4" w:space="0" w:color="auto"/>
            </w:tcBorders>
            <w:shd w:val="clear" w:color="auto" w:fill="auto"/>
            <w:vAlign w:val="center"/>
          </w:tcPr>
          <w:p w14:paraId="705C152E" w14:textId="77777777" w:rsidR="00905D4E" w:rsidRPr="0058047D" w:rsidRDefault="00905D4E" w:rsidP="00D55AB9">
            <w:pPr>
              <w:pStyle w:val="TableText"/>
              <w:spacing w:after="120"/>
              <w:rPr>
                <w:rFonts w:ascii="Tahoma" w:hAnsi="Tahoma" w:cs="Tahoma"/>
                <w:sz w:val="13"/>
                <w:szCs w:val="13"/>
              </w:rPr>
            </w:pPr>
          </w:p>
        </w:tc>
        <w:tc>
          <w:tcPr>
            <w:tcW w:w="405" w:type="dxa"/>
            <w:tcBorders>
              <w:bottom w:val="single" w:sz="4" w:space="0" w:color="auto"/>
              <w:right w:val="single" w:sz="18" w:space="0" w:color="auto"/>
            </w:tcBorders>
            <w:shd w:val="clear" w:color="auto" w:fill="auto"/>
            <w:vAlign w:val="center"/>
          </w:tcPr>
          <w:p w14:paraId="17A577E8" w14:textId="77777777" w:rsidR="00905D4E" w:rsidRPr="0058047D" w:rsidRDefault="00905D4E" w:rsidP="00D55AB9">
            <w:pPr>
              <w:pStyle w:val="TableText"/>
              <w:rPr>
                <w:rFonts w:ascii="Tahoma" w:hAnsi="Tahoma" w:cs="Tahoma"/>
                <w:sz w:val="13"/>
              </w:rPr>
            </w:pPr>
            <w:r w:rsidRPr="0058047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14:paraId="41F5ABDD" w14:textId="77777777" w:rsidR="00905D4E" w:rsidRPr="0058047D" w:rsidRDefault="00905D4E" w:rsidP="00D55AB9">
            <w:pPr>
              <w:pStyle w:val="TableText"/>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auto"/>
            <w:vAlign w:val="center"/>
          </w:tcPr>
          <w:p w14:paraId="08CF1A0D" w14:textId="77777777" w:rsidR="00905D4E" w:rsidRPr="0058047D" w:rsidRDefault="00905D4E" w:rsidP="00D55AB9">
            <w:pPr>
              <w:pStyle w:val="TableText"/>
              <w:rPr>
                <w:rFonts w:ascii="Tahoma" w:hAnsi="Tahoma" w:cs="Tahoma"/>
                <w:sz w:val="13"/>
              </w:rPr>
            </w:pPr>
          </w:p>
        </w:tc>
        <w:tc>
          <w:tcPr>
            <w:tcW w:w="495" w:type="dxa"/>
            <w:tcBorders>
              <w:bottom w:val="single" w:sz="4" w:space="0" w:color="auto"/>
            </w:tcBorders>
            <w:shd w:val="clear" w:color="auto" w:fill="auto"/>
            <w:vAlign w:val="center"/>
          </w:tcPr>
          <w:p w14:paraId="0C271342" w14:textId="77777777" w:rsidR="00905D4E" w:rsidRPr="0058047D" w:rsidRDefault="00905D4E" w:rsidP="00D55AB9">
            <w:pPr>
              <w:pStyle w:val="TableText"/>
              <w:rPr>
                <w:rFonts w:ascii="Tahoma" w:hAnsi="Tahoma" w:cs="Tahoma"/>
                <w:sz w:val="13"/>
              </w:rPr>
            </w:pPr>
            <w:r w:rsidRPr="0058047D">
              <w:rPr>
                <w:rFonts w:ascii="Tahoma" w:hAnsi="Tahoma" w:cs="Tahoma"/>
                <w:sz w:val="13"/>
              </w:rPr>
              <w:t>OL/OV</w:t>
            </w:r>
          </w:p>
        </w:tc>
        <w:tc>
          <w:tcPr>
            <w:tcW w:w="370" w:type="dxa"/>
            <w:tcBorders>
              <w:bottom w:val="single" w:sz="4" w:space="0" w:color="auto"/>
            </w:tcBorders>
            <w:vAlign w:val="center"/>
          </w:tcPr>
          <w:p w14:paraId="521A76BC" w14:textId="77777777" w:rsidR="00905D4E" w:rsidRPr="0058047D" w:rsidRDefault="00905D4E" w:rsidP="00905D4E">
            <w:pPr>
              <w:pStyle w:val="TableText"/>
              <w:rPr>
                <w:rFonts w:ascii="Tahoma" w:hAnsi="Tahoma" w:cs="Tahoma"/>
                <w:sz w:val="13"/>
              </w:rPr>
            </w:pPr>
            <w:r w:rsidRPr="0058047D">
              <w:rPr>
                <w:rFonts w:ascii="Tahoma" w:hAnsi="Tahoma" w:cs="Tahoma"/>
                <w:sz w:val="13"/>
              </w:rPr>
              <w:t>A</w:t>
            </w:r>
          </w:p>
        </w:tc>
      </w:tr>
      <w:tr w:rsidR="00905D4E" w:rsidRPr="0058047D" w14:paraId="40C5C315" w14:textId="77777777" w:rsidTr="0058047D">
        <w:trPr>
          <w:cantSplit/>
          <w:trHeight w:val="145"/>
        </w:trPr>
        <w:tc>
          <w:tcPr>
            <w:tcW w:w="2371" w:type="dxa"/>
            <w:tcBorders>
              <w:bottom w:val="single" w:sz="4" w:space="0" w:color="auto"/>
            </w:tcBorders>
            <w:shd w:val="clear" w:color="auto" w:fill="FABF8F"/>
          </w:tcPr>
          <w:p w14:paraId="1A34DF37" w14:textId="77777777" w:rsidR="00905D4E" w:rsidRPr="0058047D" w:rsidRDefault="00905D4E" w:rsidP="00E077BC">
            <w:pPr>
              <w:pStyle w:val="Heading3"/>
              <w:spacing w:beforeLines="20" w:before="48" w:afterLines="20" w:after="48"/>
              <w:rPr>
                <w:rFonts w:ascii="Tahoma" w:hAnsi="Tahoma" w:cs="Tahoma"/>
                <w:b w:val="0"/>
                <w:sz w:val="14"/>
              </w:rPr>
            </w:pPr>
            <w:bookmarkStart w:id="84" w:name="_Toc371663285"/>
            <w:r w:rsidRPr="0058047D">
              <w:rPr>
                <w:rFonts w:ascii="Tahoma" w:hAnsi="Tahoma" w:cs="Tahoma"/>
                <w:b w:val="0"/>
                <w:sz w:val="14"/>
              </w:rPr>
              <w:t>Project Pro per Office 365 A</w:t>
            </w:r>
            <w:bookmarkEnd w:id="84"/>
          </w:p>
        </w:tc>
        <w:tc>
          <w:tcPr>
            <w:tcW w:w="429" w:type="dxa"/>
            <w:tcBorders>
              <w:bottom w:val="single" w:sz="4" w:space="0" w:color="auto"/>
            </w:tcBorders>
            <w:shd w:val="clear" w:color="auto" w:fill="FABF8F"/>
            <w:vAlign w:val="center"/>
          </w:tcPr>
          <w:p w14:paraId="79640EFA" w14:textId="77777777" w:rsidR="00905D4E" w:rsidRPr="0058047D" w:rsidRDefault="00905D4E" w:rsidP="00D55AB9">
            <w:pPr>
              <w:pStyle w:val="TableText"/>
              <w:widowControl w:val="0"/>
              <w:rPr>
                <w:b/>
                <w:color w:val="0000FF"/>
                <w:sz w:val="13"/>
                <w:szCs w:val="13"/>
                <w:u w:val="single"/>
              </w:rPr>
            </w:pPr>
          </w:p>
        </w:tc>
        <w:tc>
          <w:tcPr>
            <w:tcW w:w="429" w:type="dxa"/>
            <w:tcBorders>
              <w:bottom w:val="single" w:sz="4" w:space="0" w:color="auto"/>
            </w:tcBorders>
            <w:shd w:val="clear" w:color="auto" w:fill="FABF8F"/>
            <w:vAlign w:val="center"/>
          </w:tcPr>
          <w:p w14:paraId="0E9F9066" w14:textId="77777777" w:rsidR="00905D4E" w:rsidRPr="0058047D" w:rsidRDefault="00905D4E" w:rsidP="00D55AB9">
            <w:pPr>
              <w:pStyle w:val="TableText"/>
              <w:spacing w:before="60" w:after="60"/>
              <w:rPr>
                <w:rFonts w:ascii="Tahoma" w:hAnsi="Tahoma" w:cs="Tahoma"/>
                <w:sz w:val="13"/>
              </w:rPr>
            </w:pPr>
            <w:r w:rsidRPr="0058047D">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1A734B09" w14:textId="77777777" w:rsidR="00905D4E" w:rsidRPr="0058047D" w:rsidRDefault="00905D4E" w:rsidP="00D55AB9">
            <w:pPr>
              <w:pStyle w:val="TableText"/>
              <w:rPr>
                <w:rFonts w:ascii="Tahoma" w:hAnsi="Tahoma" w:cs="Tahoma"/>
                <w:sz w:val="13"/>
              </w:rPr>
            </w:pPr>
            <w:r w:rsidRPr="0058047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41251AA" w14:textId="77777777" w:rsidR="00905D4E" w:rsidRPr="0058047D"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5DD3C5D7" w14:textId="77777777" w:rsidR="00905D4E" w:rsidRPr="0058047D"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2059B634" w14:textId="77777777" w:rsidR="00905D4E" w:rsidRPr="0058047D"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2CAFAE5A" w14:textId="77777777" w:rsidR="00905D4E" w:rsidRPr="0058047D"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6AC074C8" w14:textId="77777777" w:rsidR="00905D4E" w:rsidRPr="0058047D"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744CFE6F" w14:textId="77777777" w:rsidR="00905D4E" w:rsidRPr="0058047D"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48C9EA1A" w14:textId="77777777" w:rsidR="00905D4E" w:rsidRPr="0058047D" w:rsidRDefault="00905D4E" w:rsidP="00D55AB9">
            <w:pPr>
              <w:pStyle w:val="TableText"/>
              <w:spacing w:after="120"/>
              <w:rPr>
                <w:rFonts w:ascii="Tahoma" w:hAnsi="Tahoma" w:cs="Tahoma"/>
                <w:sz w:val="13"/>
                <w:szCs w:val="13"/>
              </w:rPr>
            </w:pPr>
          </w:p>
        </w:tc>
        <w:tc>
          <w:tcPr>
            <w:tcW w:w="1091" w:type="dxa"/>
            <w:gridSpan w:val="4"/>
            <w:tcBorders>
              <w:left w:val="single" w:sz="18" w:space="0" w:color="auto"/>
              <w:bottom w:val="single" w:sz="4" w:space="0" w:color="auto"/>
              <w:right w:val="single" w:sz="18" w:space="0" w:color="auto"/>
            </w:tcBorders>
            <w:shd w:val="clear" w:color="auto" w:fill="FABF8F"/>
            <w:vAlign w:val="center"/>
          </w:tcPr>
          <w:p w14:paraId="0526B201" w14:textId="77777777" w:rsidR="00905D4E" w:rsidRPr="0058047D" w:rsidRDefault="00905D4E" w:rsidP="00D55AB9">
            <w:pPr>
              <w:pStyle w:val="TableText"/>
              <w:spacing w:after="120"/>
              <w:rPr>
                <w:rFonts w:ascii="Tahoma" w:hAnsi="Tahoma" w:cs="Tahoma"/>
                <w:sz w:val="13"/>
                <w:szCs w:val="13"/>
              </w:rPr>
            </w:pPr>
            <w:r w:rsidRPr="0058047D">
              <w:rPr>
                <w:rFonts w:ascii="Tahoma" w:hAnsi="Tahoma" w:cs="Tahoma"/>
                <w:sz w:val="13"/>
                <w:szCs w:val="13"/>
              </w:rPr>
              <w:t>1</w:t>
            </w:r>
          </w:p>
        </w:tc>
        <w:tc>
          <w:tcPr>
            <w:tcW w:w="414" w:type="dxa"/>
            <w:tcBorders>
              <w:left w:val="single" w:sz="18" w:space="0" w:color="auto"/>
              <w:bottom w:val="single" w:sz="4" w:space="0" w:color="auto"/>
            </w:tcBorders>
            <w:shd w:val="clear" w:color="auto" w:fill="FABF8F"/>
            <w:vAlign w:val="center"/>
          </w:tcPr>
          <w:p w14:paraId="38877993" w14:textId="77777777" w:rsidR="00905D4E" w:rsidRPr="0058047D" w:rsidRDefault="00905D4E" w:rsidP="00D55AB9">
            <w:pPr>
              <w:pStyle w:val="TableText"/>
              <w:spacing w:after="120"/>
              <w:rPr>
                <w:rFonts w:ascii="Tahoma" w:hAnsi="Tahoma" w:cs="Tahoma"/>
                <w:sz w:val="13"/>
                <w:szCs w:val="13"/>
              </w:rPr>
            </w:pPr>
            <w:r w:rsidRPr="0058047D">
              <w:rPr>
                <w:rFonts w:ascii="Tahoma" w:hAnsi="Tahoma" w:cs="Tahoma"/>
                <w:sz w:val="13"/>
                <w:szCs w:val="13"/>
              </w:rPr>
              <w:t>1</w:t>
            </w:r>
          </w:p>
        </w:tc>
        <w:tc>
          <w:tcPr>
            <w:tcW w:w="405" w:type="dxa"/>
            <w:tcBorders>
              <w:bottom w:val="single" w:sz="4" w:space="0" w:color="auto"/>
              <w:right w:val="single" w:sz="18" w:space="0" w:color="auto"/>
            </w:tcBorders>
            <w:shd w:val="clear" w:color="auto" w:fill="FABF8F"/>
            <w:vAlign w:val="center"/>
          </w:tcPr>
          <w:p w14:paraId="404FD27F" w14:textId="77777777" w:rsidR="00905D4E" w:rsidRPr="0058047D" w:rsidRDefault="00905D4E" w:rsidP="00D55AB9">
            <w:pPr>
              <w:pStyle w:val="TableText"/>
              <w:rPr>
                <w:rFonts w:ascii="Tahoma" w:hAnsi="Tahoma" w:cs="Tahoma"/>
                <w:sz w:val="13"/>
              </w:rPr>
            </w:pPr>
            <w:r w:rsidRPr="0058047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514B20A9" w14:textId="77777777" w:rsidR="00905D4E" w:rsidRPr="0058047D" w:rsidRDefault="00905D4E" w:rsidP="00D55AB9">
            <w:pPr>
              <w:pStyle w:val="TableText"/>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FABF8F"/>
            <w:vAlign w:val="center"/>
          </w:tcPr>
          <w:p w14:paraId="4A30DB05" w14:textId="77777777" w:rsidR="00905D4E" w:rsidRPr="0058047D" w:rsidRDefault="00905D4E" w:rsidP="00905D4E">
            <w:pPr>
              <w:pStyle w:val="TableText"/>
              <w:rPr>
                <w:rFonts w:ascii="Tahoma" w:hAnsi="Tahoma" w:cs="Tahoma"/>
                <w:sz w:val="13"/>
              </w:rPr>
            </w:pPr>
            <w:r w:rsidRPr="0058047D">
              <w:rPr>
                <w:rFonts w:ascii="Tahoma" w:hAnsi="Tahoma" w:cs="Tahoma"/>
                <w:sz w:val="13"/>
              </w:rPr>
              <w:t xml:space="preserve">A, ST (EES) A, ST </w:t>
            </w:r>
            <w:r w:rsidR="00D5491B">
              <w:rPr>
                <w:rFonts w:ascii="Tahoma" w:hAnsi="Tahoma" w:cs="Tahoma"/>
                <w:sz w:val="13"/>
              </w:rPr>
              <w:br/>
            </w:r>
            <w:r w:rsidRPr="0058047D">
              <w:rPr>
                <w:rFonts w:ascii="Tahoma" w:hAnsi="Tahoma" w:cs="Tahoma"/>
                <w:sz w:val="13"/>
              </w:rPr>
              <w:t>(OVS-ES)</w:t>
            </w:r>
          </w:p>
        </w:tc>
        <w:tc>
          <w:tcPr>
            <w:tcW w:w="495" w:type="dxa"/>
            <w:tcBorders>
              <w:bottom w:val="single" w:sz="4" w:space="0" w:color="auto"/>
            </w:tcBorders>
            <w:shd w:val="clear" w:color="auto" w:fill="FABF8F"/>
            <w:vAlign w:val="center"/>
          </w:tcPr>
          <w:p w14:paraId="4F4F30AC" w14:textId="77777777" w:rsidR="00905D4E" w:rsidRPr="0058047D" w:rsidRDefault="00905D4E" w:rsidP="00D55AB9">
            <w:pPr>
              <w:pStyle w:val="TableText"/>
              <w:rPr>
                <w:rFonts w:ascii="Tahoma" w:hAnsi="Tahoma" w:cs="Tahoma"/>
                <w:sz w:val="13"/>
              </w:rPr>
            </w:pPr>
            <w:r w:rsidRPr="0058047D">
              <w:rPr>
                <w:rFonts w:ascii="Tahoma" w:hAnsi="Tahoma" w:cs="Tahoma"/>
                <w:sz w:val="13"/>
              </w:rPr>
              <w:t>OL/OV</w:t>
            </w:r>
          </w:p>
        </w:tc>
        <w:tc>
          <w:tcPr>
            <w:tcW w:w="370" w:type="dxa"/>
            <w:tcBorders>
              <w:bottom w:val="single" w:sz="4" w:space="0" w:color="auto"/>
            </w:tcBorders>
            <w:shd w:val="clear" w:color="auto" w:fill="FABF8F"/>
            <w:vAlign w:val="center"/>
          </w:tcPr>
          <w:p w14:paraId="2C0B18DE" w14:textId="77777777" w:rsidR="00905D4E" w:rsidRPr="0058047D" w:rsidRDefault="00905D4E" w:rsidP="00905D4E">
            <w:pPr>
              <w:pStyle w:val="TableText"/>
              <w:rPr>
                <w:rFonts w:ascii="Tahoma" w:hAnsi="Tahoma" w:cs="Tahoma"/>
                <w:sz w:val="13"/>
              </w:rPr>
            </w:pPr>
            <w:r w:rsidRPr="0058047D">
              <w:rPr>
                <w:rFonts w:ascii="Tahoma" w:hAnsi="Tahoma" w:cs="Tahoma"/>
                <w:sz w:val="13"/>
              </w:rPr>
              <w:t>A</w:t>
            </w:r>
          </w:p>
        </w:tc>
      </w:tr>
      <w:tr w:rsidR="00913A0A" w:rsidRPr="0058047D" w14:paraId="5D27C63D" w14:textId="77777777" w:rsidTr="00D5491B">
        <w:trPr>
          <w:cantSplit/>
          <w:trHeight w:val="145"/>
        </w:trPr>
        <w:tc>
          <w:tcPr>
            <w:tcW w:w="2371" w:type="dxa"/>
            <w:tcBorders>
              <w:bottom w:val="single" w:sz="4" w:space="0" w:color="auto"/>
            </w:tcBorders>
            <w:shd w:val="clear" w:color="auto" w:fill="auto"/>
          </w:tcPr>
          <w:p w14:paraId="7DD9CC93" w14:textId="77777777" w:rsidR="00913A0A" w:rsidRPr="0058047D" w:rsidRDefault="00913A0A" w:rsidP="00E077BC">
            <w:pPr>
              <w:pStyle w:val="Heading3"/>
              <w:spacing w:beforeLines="20" w:before="48" w:afterLines="20" w:after="48"/>
              <w:rPr>
                <w:rFonts w:ascii="Tahoma" w:hAnsi="Tahoma" w:cs="Tahoma"/>
                <w:b w:val="0"/>
                <w:sz w:val="14"/>
              </w:rPr>
            </w:pPr>
            <w:bookmarkStart w:id="85" w:name="_Toc371663286"/>
            <w:r w:rsidRPr="0058047D">
              <w:rPr>
                <w:rFonts w:ascii="Tahoma" w:hAnsi="Tahoma" w:cs="Tahoma"/>
                <w:b w:val="0"/>
                <w:sz w:val="14"/>
              </w:rPr>
              <w:t>Publisher 2013</w:t>
            </w:r>
            <w:bookmarkEnd w:id="85"/>
          </w:p>
        </w:tc>
        <w:tc>
          <w:tcPr>
            <w:tcW w:w="429" w:type="dxa"/>
            <w:tcBorders>
              <w:bottom w:val="single" w:sz="4" w:space="0" w:color="auto"/>
            </w:tcBorders>
            <w:shd w:val="clear" w:color="auto" w:fill="auto"/>
            <w:vAlign w:val="center"/>
          </w:tcPr>
          <w:p w14:paraId="278A1C57" w14:textId="77777777" w:rsidR="00913A0A" w:rsidRPr="0058047D" w:rsidRDefault="00913A0A" w:rsidP="00D55AB9">
            <w:pPr>
              <w:pStyle w:val="TableText"/>
              <w:widowControl w:val="0"/>
              <w:rPr>
                <w:b/>
                <w:color w:val="0000FF"/>
                <w:sz w:val="13"/>
                <w:szCs w:val="13"/>
                <w:u w:val="single"/>
              </w:rPr>
            </w:pPr>
            <w:bookmarkStart w:id="86" w:name="_Hlt335908485"/>
          </w:p>
        </w:tc>
        <w:bookmarkEnd w:id="86"/>
        <w:tc>
          <w:tcPr>
            <w:tcW w:w="429" w:type="dxa"/>
            <w:tcBorders>
              <w:bottom w:val="single" w:sz="4" w:space="0" w:color="auto"/>
            </w:tcBorders>
            <w:shd w:val="clear" w:color="auto" w:fill="auto"/>
            <w:vAlign w:val="center"/>
          </w:tcPr>
          <w:p w14:paraId="786DEFAC" w14:textId="77777777" w:rsidR="00913A0A" w:rsidRPr="0058047D" w:rsidDel="00527D48" w:rsidRDefault="00913A0A" w:rsidP="00D55AB9">
            <w:pPr>
              <w:pStyle w:val="TableText"/>
              <w:spacing w:before="60" w:after="60"/>
              <w:rPr>
                <w:rFonts w:ascii="Tahoma" w:hAnsi="Tahoma" w:cs="Tahoma"/>
                <w:sz w:val="13"/>
              </w:rPr>
            </w:pPr>
            <w:r w:rsidRPr="0058047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2C9090EC" w14:textId="77777777" w:rsidR="00913A0A" w:rsidRPr="0058047D"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11475E4" w14:textId="77777777" w:rsidR="00913A0A" w:rsidRPr="0058047D" w:rsidRDefault="00913A0A" w:rsidP="00D55AB9">
            <w:pPr>
              <w:pStyle w:val="TableText"/>
              <w:spacing w:after="120"/>
              <w:rPr>
                <w:rFonts w:ascii="Tahoma" w:hAnsi="Tahoma" w:cs="Tahoma"/>
                <w:sz w:val="13"/>
                <w:szCs w:val="13"/>
              </w:rPr>
            </w:pPr>
            <w:r w:rsidRPr="0058047D">
              <w:rPr>
                <w:rFonts w:ascii="Tahoma" w:hAnsi="Tahoma" w:cs="Tahoma"/>
                <w:sz w:val="13"/>
                <w:szCs w:val="13"/>
              </w:rPr>
              <w:t>1</w:t>
            </w:r>
          </w:p>
        </w:tc>
        <w:tc>
          <w:tcPr>
            <w:tcW w:w="429" w:type="dxa"/>
            <w:tcBorders>
              <w:bottom w:val="single" w:sz="4" w:space="0" w:color="auto"/>
            </w:tcBorders>
            <w:shd w:val="clear" w:color="auto" w:fill="auto"/>
            <w:vAlign w:val="center"/>
          </w:tcPr>
          <w:p w14:paraId="48FB8298" w14:textId="77777777" w:rsidR="00913A0A" w:rsidRPr="0058047D" w:rsidRDefault="00913A0A" w:rsidP="00D55AB9">
            <w:pPr>
              <w:pStyle w:val="TableText"/>
              <w:spacing w:after="120"/>
              <w:rPr>
                <w:rFonts w:ascii="Tahoma" w:hAnsi="Tahoma" w:cs="Tahoma"/>
                <w:sz w:val="13"/>
                <w:szCs w:val="13"/>
              </w:rPr>
            </w:pPr>
            <w:r w:rsidRPr="0058047D">
              <w:rPr>
                <w:rFonts w:ascii="Tahoma" w:hAnsi="Tahoma" w:cs="Tahoma"/>
                <w:sz w:val="13"/>
                <w:szCs w:val="13"/>
              </w:rPr>
              <w:t>3</w:t>
            </w:r>
          </w:p>
        </w:tc>
        <w:tc>
          <w:tcPr>
            <w:tcW w:w="429" w:type="dxa"/>
            <w:tcBorders>
              <w:bottom w:val="single" w:sz="4" w:space="0" w:color="auto"/>
            </w:tcBorders>
            <w:shd w:val="clear" w:color="auto" w:fill="auto"/>
            <w:vAlign w:val="center"/>
          </w:tcPr>
          <w:p w14:paraId="73CDE818" w14:textId="77777777" w:rsidR="00913A0A" w:rsidRPr="0058047D" w:rsidRDefault="00913A0A" w:rsidP="00D55AB9">
            <w:pPr>
              <w:pStyle w:val="TableText"/>
              <w:spacing w:after="120"/>
              <w:rPr>
                <w:rFonts w:ascii="Tahoma" w:hAnsi="Tahoma" w:cs="Tahoma"/>
                <w:sz w:val="13"/>
                <w:szCs w:val="13"/>
              </w:rPr>
            </w:pPr>
            <w:r w:rsidRPr="0058047D">
              <w:rPr>
                <w:rFonts w:ascii="Tahoma" w:hAnsi="Tahoma" w:cs="Tahoma"/>
                <w:sz w:val="13"/>
                <w:szCs w:val="13"/>
              </w:rPr>
              <w:t>2</w:t>
            </w:r>
          </w:p>
        </w:tc>
        <w:tc>
          <w:tcPr>
            <w:tcW w:w="429" w:type="dxa"/>
            <w:tcBorders>
              <w:bottom w:val="single" w:sz="4" w:space="0" w:color="auto"/>
            </w:tcBorders>
            <w:shd w:val="clear" w:color="auto" w:fill="auto"/>
            <w:vAlign w:val="center"/>
          </w:tcPr>
          <w:p w14:paraId="3D4DC99E" w14:textId="77777777" w:rsidR="00913A0A" w:rsidRPr="0058047D" w:rsidRDefault="00913A0A" w:rsidP="00D55AB9">
            <w:pPr>
              <w:pStyle w:val="TableText"/>
              <w:spacing w:after="120"/>
              <w:rPr>
                <w:rFonts w:ascii="Tahoma" w:hAnsi="Tahoma" w:cs="Tahoma"/>
                <w:sz w:val="13"/>
                <w:szCs w:val="13"/>
              </w:rPr>
            </w:pPr>
            <w:r w:rsidRPr="0058047D">
              <w:rPr>
                <w:rFonts w:ascii="Tahoma" w:hAnsi="Tahoma" w:cs="Tahoma"/>
                <w:sz w:val="13"/>
                <w:szCs w:val="13"/>
              </w:rPr>
              <w:t>2</w:t>
            </w:r>
          </w:p>
        </w:tc>
        <w:tc>
          <w:tcPr>
            <w:tcW w:w="429" w:type="dxa"/>
            <w:tcBorders>
              <w:bottom w:val="single" w:sz="4" w:space="0" w:color="auto"/>
            </w:tcBorders>
            <w:shd w:val="clear" w:color="auto" w:fill="auto"/>
            <w:vAlign w:val="center"/>
          </w:tcPr>
          <w:p w14:paraId="6C3C97A0" w14:textId="77777777" w:rsidR="00913A0A" w:rsidRPr="0058047D" w:rsidRDefault="00913A0A" w:rsidP="00D55AB9">
            <w:pPr>
              <w:pStyle w:val="TableText"/>
              <w:spacing w:after="120"/>
              <w:rPr>
                <w:rFonts w:ascii="Tahoma" w:hAnsi="Tahoma" w:cs="Tahoma"/>
                <w:sz w:val="13"/>
                <w:szCs w:val="13"/>
              </w:rPr>
            </w:pPr>
            <w:r w:rsidRPr="0058047D">
              <w:rPr>
                <w:rFonts w:ascii="Tahoma" w:hAnsi="Tahoma" w:cs="Tahoma"/>
                <w:sz w:val="13"/>
                <w:szCs w:val="13"/>
              </w:rPr>
              <w:t>2</w:t>
            </w:r>
          </w:p>
        </w:tc>
        <w:tc>
          <w:tcPr>
            <w:tcW w:w="429" w:type="dxa"/>
            <w:tcBorders>
              <w:bottom w:val="single" w:sz="4" w:space="0" w:color="auto"/>
            </w:tcBorders>
            <w:shd w:val="clear" w:color="auto" w:fill="auto"/>
            <w:vAlign w:val="center"/>
          </w:tcPr>
          <w:p w14:paraId="6B91BE2C" w14:textId="77777777" w:rsidR="00913A0A" w:rsidRPr="0058047D" w:rsidRDefault="00913A0A" w:rsidP="00D55AB9">
            <w:pPr>
              <w:pStyle w:val="TableText"/>
              <w:spacing w:after="120"/>
              <w:rPr>
                <w:rFonts w:ascii="Tahoma" w:hAnsi="Tahoma" w:cs="Tahoma"/>
                <w:sz w:val="13"/>
                <w:szCs w:val="13"/>
              </w:rPr>
            </w:pPr>
            <w:r w:rsidRPr="0058047D">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5139914C" w14:textId="77777777" w:rsidR="00913A0A" w:rsidRPr="0058047D" w:rsidRDefault="00913A0A" w:rsidP="00D55AB9">
            <w:pPr>
              <w:pStyle w:val="TableText"/>
              <w:spacing w:after="120"/>
              <w:rPr>
                <w:rFonts w:ascii="Tahoma" w:hAnsi="Tahoma" w:cs="Tahoma"/>
                <w:sz w:val="13"/>
                <w:szCs w:val="13"/>
              </w:rPr>
            </w:pPr>
            <w:r w:rsidRPr="0058047D">
              <w:rPr>
                <w:rFonts w:ascii="Tahoma" w:hAnsi="Tahoma" w:cs="Tahoma"/>
                <w:sz w:val="13"/>
                <w:szCs w:val="13"/>
              </w:rPr>
              <w:t>1</w:t>
            </w:r>
          </w:p>
        </w:tc>
        <w:tc>
          <w:tcPr>
            <w:tcW w:w="353" w:type="dxa"/>
            <w:gridSpan w:val="2"/>
            <w:tcBorders>
              <w:left w:val="single" w:sz="18" w:space="0" w:color="auto"/>
              <w:bottom w:val="single" w:sz="4" w:space="0" w:color="auto"/>
            </w:tcBorders>
            <w:shd w:val="clear" w:color="auto" w:fill="auto"/>
            <w:vAlign w:val="center"/>
          </w:tcPr>
          <w:p w14:paraId="2887FF6E" w14:textId="77777777" w:rsidR="00913A0A" w:rsidRPr="0058047D" w:rsidRDefault="00913A0A" w:rsidP="00D55AB9">
            <w:pPr>
              <w:pStyle w:val="TableText"/>
              <w:spacing w:after="120"/>
              <w:rPr>
                <w:rFonts w:ascii="Tahoma" w:hAnsi="Tahoma" w:cs="Tahoma"/>
                <w:sz w:val="13"/>
                <w:szCs w:val="13"/>
              </w:rPr>
            </w:pPr>
            <w:r w:rsidRPr="0058047D">
              <w:rPr>
                <w:rFonts w:ascii="Tahoma" w:hAnsi="Tahoma" w:cs="Tahoma"/>
                <w:sz w:val="13"/>
                <w:szCs w:val="13"/>
              </w:rPr>
              <w:t>1</w:t>
            </w:r>
          </w:p>
        </w:tc>
        <w:tc>
          <w:tcPr>
            <w:tcW w:w="360" w:type="dxa"/>
            <w:tcBorders>
              <w:bottom w:val="single" w:sz="4" w:space="0" w:color="auto"/>
            </w:tcBorders>
            <w:shd w:val="clear" w:color="auto" w:fill="auto"/>
            <w:vAlign w:val="center"/>
          </w:tcPr>
          <w:p w14:paraId="045EEB3E" w14:textId="77777777" w:rsidR="00913A0A" w:rsidRPr="0058047D" w:rsidRDefault="00913A0A" w:rsidP="00D55AB9">
            <w:pPr>
              <w:pStyle w:val="TableText"/>
              <w:spacing w:after="120"/>
              <w:rPr>
                <w:rFonts w:ascii="Tahoma" w:hAnsi="Tahoma" w:cs="Tahoma"/>
                <w:sz w:val="13"/>
                <w:szCs w:val="13"/>
              </w:rPr>
            </w:pPr>
            <w:r w:rsidRPr="0058047D">
              <w:rPr>
                <w:rFonts w:ascii="Tahoma" w:hAnsi="Tahoma" w:cs="Tahoma"/>
                <w:sz w:val="13"/>
                <w:szCs w:val="13"/>
              </w:rPr>
              <w:t>2</w:t>
            </w:r>
          </w:p>
        </w:tc>
        <w:tc>
          <w:tcPr>
            <w:tcW w:w="378" w:type="dxa"/>
            <w:tcBorders>
              <w:bottom w:val="single" w:sz="4" w:space="0" w:color="auto"/>
              <w:right w:val="single" w:sz="18" w:space="0" w:color="auto"/>
            </w:tcBorders>
            <w:shd w:val="clear" w:color="auto" w:fill="auto"/>
            <w:vAlign w:val="center"/>
          </w:tcPr>
          <w:p w14:paraId="4873598D" w14:textId="77777777" w:rsidR="00913A0A" w:rsidRPr="0058047D" w:rsidRDefault="00913A0A" w:rsidP="00D55AB9">
            <w:pPr>
              <w:pStyle w:val="TableText"/>
              <w:spacing w:after="120"/>
              <w:rPr>
                <w:rFonts w:ascii="Tahoma" w:hAnsi="Tahoma" w:cs="Tahoma"/>
                <w:sz w:val="13"/>
                <w:szCs w:val="13"/>
              </w:rPr>
            </w:pPr>
            <w:r w:rsidRPr="0058047D">
              <w:rPr>
                <w:rFonts w:ascii="Tahoma" w:hAnsi="Tahoma" w:cs="Tahoma"/>
                <w:sz w:val="13"/>
                <w:szCs w:val="13"/>
              </w:rPr>
              <w:t>1</w:t>
            </w:r>
          </w:p>
        </w:tc>
        <w:tc>
          <w:tcPr>
            <w:tcW w:w="414" w:type="dxa"/>
            <w:tcBorders>
              <w:left w:val="single" w:sz="18" w:space="0" w:color="auto"/>
              <w:bottom w:val="single" w:sz="4" w:space="0" w:color="auto"/>
            </w:tcBorders>
            <w:shd w:val="clear" w:color="auto" w:fill="auto"/>
            <w:vAlign w:val="center"/>
          </w:tcPr>
          <w:p w14:paraId="0C3F60A0" w14:textId="77777777" w:rsidR="00913A0A" w:rsidRPr="0058047D" w:rsidRDefault="00913A0A" w:rsidP="00D55AB9">
            <w:pPr>
              <w:pStyle w:val="TableText"/>
              <w:spacing w:after="120"/>
              <w:rPr>
                <w:rFonts w:ascii="Tahoma" w:hAnsi="Tahoma" w:cs="Tahoma"/>
                <w:sz w:val="13"/>
                <w:szCs w:val="13"/>
              </w:rPr>
            </w:pPr>
          </w:p>
        </w:tc>
        <w:tc>
          <w:tcPr>
            <w:tcW w:w="405" w:type="dxa"/>
            <w:tcBorders>
              <w:bottom w:val="single" w:sz="4" w:space="0" w:color="auto"/>
              <w:right w:val="single" w:sz="18" w:space="0" w:color="auto"/>
            </w:tcBorders>
            <w:shd w:val="clear" w:color="auto" w:fill="auto"/>
            <w:vAlign w:val="center"/>
          </w:tcPr>
          <w:p w14:paraId="766A8AE6" w14:textId="77777777" w:rsidR="00913A0A" w:rsidRPr="0058047D" w:rsidRDefault="00913A0A" w:rsidP="00D55AB9">
            <w:pPr>
              <w:pStyle w:val="TableText"/>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05FA345" w14:textId="77777777" w:rsidR="00913A0A" w:rsidRPr="0058047D" w:rsidRDefault="00913A0A" w:rsidP="00D55AB9">
            <w:pPr>
              <w:pStyle w:val="TableText"/>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auto"/>
            <w:vAlign w:val="center"/>
          </w:tcPr>
          <w:p w14:paraId="200788E0" w14:textId="77777777" w:rsidR="00913A0A" w:rsidRPr="0058047D" w:rsidRDefault="00913A0A" w:rsidP="00D55AB9">
            <w:pPr>
              <w:pStyle w:val="TableText"/>
              <w:rPr>
                <w:rFonts w:ascii="Tahoma" w:hAnsi="Tahoma" w:cs="Tahoma"/>
                <w:sz w:val="13"/>
              </w:rPr>
            </w:pPr>
          </w:p>
        </w:tc>
        <w:tc>
          <w:tcPr>
            <w:tcW w:w="495" w:type="dxa"/>
            <w:tcBorders>
              <w:bottom w:val="single" w:sz="4" w:space="0" w:color="auto"/>
            </w:tcBorders>
            <w:shd w:val="clear" w:color="auto" w:fill="auto"/>
            <w:vAlign w:val="center"/>
          </w:tcPr>
          <w:p w14:paraId="5C1AC820" w14:textId="77777777" w:rsidR="00913A0A" w:rsidRPr="0058047D" w:rsidRDefault="00913A0A" w:rsidP="00D55AB9">
            <w:pPr>
              <w:pStyle w:val="TableText"/>
              <w:rPr>
                <w:rFonts w:ascii="Tahoma" w:hAnsi="Tahoma" w:cs="Tahoma"/>
                <w:sz w:val="13"/>
              </w:rPr>
            </w:pPr>
          </w:p>
        </w:tc>
        <w:tc>
          <w:tcPr>
            <w:tcW w:w="370" w:type="dxa"/>
            <w:tcBorders>
              <w:bottom w:val="single" w:sz="4" w:space="0" w:color="auto"/>
            </w:tcBorders>
            <w:vAlign w:val="center"/>
          </w:tcPr>
          <w:p w14:paraId="0A7C49CC" w14:textId="77777777" w:rsidR="00913A0A" w:rsidRPr="0058047D" w:rsidRDefault="00913A0A" w:rsidP="00905D4E">
            <w:pPr>
              <w:pStyle w:val="TableText"/>
              <w:rPr>
                <w:rFonts w:ascii="Tahoma" w:hAnsi="Tahoma" w:cs="Tahoma"/>
                <w:sz w:val="13"/>
              </w:rPr>
            </w:pPr>
          </w:p>
        </w:tc>
      </w:tr>
      <w:tr w:rsidR="008A0F85" w:rsidRPr="0058047D" w14:paraId="3EF30C13" w14:textId="77777777" w:rsidTr="00D5491B">
        <w:trPr>
          <w:cantSplit/>
          <w:trHeight w:val="145"/>
        </w:trPr>
        <w:tc>
          <w:tcPr>
            <w:tcW w:w="2371" w:type="dxa"/>
            <w:tcBorders>
              <w:bottom w:val="single" w:sz="4" w:space="0" w:color="auto"/>
            </w:tcBorders>
            <w:shd w:val="clear" w:color="auto" w:fill="FABF8F"/>
          </w:tcPr>
          <w:p w14:paraId="59ECF5AA" w14:textId="77777777" w:rsidR="00913A0A" w:rsidRPr="003F471F" w:rsidRDefault="00913A0A" w:rsidP="00E077BC">
            <w:pPr>
              <w:pStyle w:val="Heading3"/>
              <w:spacing w:beforeLines="20" w:before="48" w:afterLines="20" w:after="48"/>
              <w:rPr>
                <w:rFonts w:ascii="Tahoma" w:hAnsi="Tahoma" w:cs="Tahoma"/>
                <w:b w:val="0"/>
                <w:sz w:val="14"/>
                <w:lang w:val="it-IT"/>
              </w:rPr>
            </w:pPr>
            <w:bookmarkStart w:id="87" w:name="_Toc336337882"/>
            <w:bookmarkStart w:id="88" w:name="_Toc371663287"/>
            <w:r w:rsidRPr="003F471F">
              <w:rPr>
                <w:rFonts w:ascii="Tahoma" w:hAnsi="Tahoma" w:cs="Tahoma"/>
                <w:b w:val="0"/>
                <w:sz w:val="14"/>
                <w:lang w:val="it-IT"/>
              </w:rPr>
              <w:t xml:space="preserve">Diritti di Noleggio per Office </w:t>
            </w:r>
            <w:bookmarkEnd w:id="87"/>
            <w:r w:rsidRPr="003F471F">
              <w:rPr>
                <w:rFonts w:ascii="Tahoma" w:hAnsi="Tahoma" w:cs="Tahoma"/>
                <w:b w:val="0"/>
                <w:sz w:val="14"/>
                <w:lang w:val="it-IT"/>
              </w:rPr>
              <w:t>Standard</w:t>
            </w:r>
            <w:bookmarkEnd w:id="88"/>
          </w:p>
        </w:tc>
        <w:tc>
          <w:tcPr>
            <w:tcW w:w="429" w:type="dxa"/>
            <w:tcBorders>
              <w:bottom w:val="single" w:sz="4" w:space="0" w:color="auto"/>
            </w:tcBorders>
            <w:shd w:val="clear" w:color="auto" w:fill="FABF8F"/>
            <w:vAlign w:val="center"/>
          </w:tcPr>
          <w:p w14:paraId="72995CFC" w14:textId="77777777" w:rsidR="00913A0A" w:rsidRPr="0058047D" w:rsidRDefault="00C86F50" w:rsidP="00D55AB9">
            <w:pPr>
              <w:pStyle w:val="TableText"/>
              <w:widowControl w:val="0"/>
              <w:rPr>
                <w:rStyle w:val="EndnoteReference"/>
                <w:b w:val="0"/>
                <w:color w:val="0000FF"/>
                <w:sz w:val="13"/>
                <w:szCs w:val="13"/>
                <w:u w:val="single"/>
              </w:rPr>
            </w:pPr>
            <w:hyperlink w:anchor="_16_Rental_Rights" w:history="1">
              <w:r w:rsidR="00BF5FC6" w:rsidRPr="0058047D">
                <w:rPr>
                  <w:rStyle w:val="Hyperlink"/>
                  <w:b/>
                  <w:sz w:val="13"/>
                  <w:szCs w:val="13"/>
                </w:rPr>
                <w:t>17</w:t>
              </w:r>
            </w:hyperlink>
          </w:p>
        </w:tc>
        <w:tc>
          <w:tcPr>
            <w:tcW w:w="429" w:type="dxa"/>
            <w:tcBorders>
              <w:bottom w:val="single" w:sz="4" w:space="0" w:color="auto"/>
            </w:tcBorders>
            <w:shd w:val="clear" w:color="auto" w:fill="FABF8F"/>
            <w:vAlign w:val="center"/>
          </w:tcPr>
          <w:p w14:paraId="009134C6" w14:textId="77777777" w:rsidR="00913A0A" w:rsidRPr="0058047D" w:rsidRDefault="00913A0A" w:rsidP="00D55AB9">
            <w:pPr>
              <w:pStyle w:val="TableText"/>
              <w:spacing w:before="60" w:after="60"/>
              <w:rPr>
                <w:rFonts w:ascii="Tahoma" w:hAnsi="Tahoma" w:cs="Tahoma"/>
                <w:sz w:val="13"/>
              </w:rPr>
            </w:pPr>
            <w:r w:rsidRPr="0058047D">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5DA241E8" w14:textId="77777777" w:rsidR="00913A0A" w:rsidRPr="0058047D" w:rsidRDefault="00913A0A" w:rsidP="00D55AB9">
            <w:pPr>
              <w:pStyle w:val="TableText"/>
              <w:rPr>
                <w:rFonts w:ascii="Tahoma" w:hAnsi="Tahoma" w:cs="Tahoma"/>
                <w:sz w:val="13"/>
              </w:rPr>
            </w:pPr>
            <w:r w:rsidRPr="0058047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4C7410B"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429" w:type="dxa"/>
            <w:tcBorders>
              <w:bottom w:val="single" w:sz="4" w:space="0" w:color="auto"/>
            </w:tcBorders>
            <w:shd w:val="clear" w:color="auto" w:fill="FABF8F"/>
            <w:vAlign w:val="center"/>
          </w:tcPr>
          <w:p w14:paraId="5B17072E" w14:textId="77777777" w:rsidR="00913A0A" w:rsidRPr="0058047D"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1D7B54CB" w14:textId="77777777" w:rsidR="00913A0A" w:rsidRPr="0058047D"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1F70A47F" w14:textId="77777777" w:rsidR="00913A0A" w:rsidRPr="0058047D"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3F63712E" w14:textId="77777777" w:rsidR="00913A0A" w:rsidRPr="0058047D"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4F9D1C4" w14:textId="77777777" w:rsidR="00913A0A" w:rsidRPr="0058047D"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EF14729" w14:textId="77777777" w:rsidR="00913A0A" w:rsidRPr="0058047D" w:rsidRDefault="00913A0A" w:rsidP="00D55AB9">
            <w:pPr>
              <w:pStyle w:val="TableText"/>
              <w:rPr>
                <w:rFonts w:ascii="Tahoma" w:hAnsi="Tahoma" w:cs="Tahoma"/>
                <w:sz w:val="13"/>
              </w:rPr>
            </w:pPr>
          </w:p>
        </w:tc>
        <w:tc>
          <w:tcPr>
            <w:tcW w:w="353" w:type="dxa"/>
            <w:gridSpan w:val="2"/>
            <w:tcBorders>
              <w:left w:val="single" w:sz="18" w:space="0" w:color="auto"/>
              <w:bottom w:val="single" w:sz="4" w:space="0" w:color="auto"/>
            </w:tcBorders>
            <w:shd w:val="clear" w:color="auto" w:fill="FABF8F"/>
            <w:vAlign w:val="center"/>
          </w:tcPr>
          <w:p w14:paraId="6943CC81"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360" w:type="dxa"/>
            <w:tcBorders>
              <w:bottom w:val="single" w:sz="4" w:space="0" w:color="auto"/>
            </w:tcBorders>
            <w:shd w:val="clear" w:color="auto" w:fill="FABF8F"/>
            <w:vAlign w:val="center"/>
          </w:tcPr>
          <w:p w14:paraId="69095E2E" w14:textId="77777777" w:rsidR="00913A0A" w:rsidRPr="0058047D" w:rsidRDefault="00913A0A" w:rsidP="00D55AB9">
            <w:pPr>
              <w:pStyle w:val="TableText"/>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14:paraId="276F0B71" w14:textId="77777777" w:rsidR="00913A0A" w:rsidRPr="0058047D" w:rsidRDefault="00913A0A" w:rsidP="00D55AB9">
            <w:pPr>
              <w:pStyle w:val="TableText"/>
              <w:rPr>
                <w:rFonts w:ascii="Tahoma" w:hAnsi="Tahoma" w:cs="Tahoma"/>
                <w:sz w:val="13"/>
              </w:rPr>
            </w:pPr>
          </w:p>
        </w:tc>
        <w:tc>
          <w:tcPr>
            <w:tcW w:w="414" w:type="dxa"/>
            <w:tcBorders>
              <w:left w:val="single" w:sz="18" w:space="0" w:color="auto"/>
              <w:bottom w:val="single" w:sz="4" w:space="0" w:color="auto"/>
            </w:tcBorders>
            <w:shd w:val="clear" w:color="auto" w:fill="FABF8F"/>
            <w:vAlign w:val="center"/>
          </w:tcPr>
          <w:p w14:paraId="6A16A3C6" w14:textId="77777777" w:rsidR="00913A0A" w:rsidRPr="0058047D" w:rsidRDefault="00913A0A" w:rsidP="00D55AB9">
            <w:pPr>
              <w:pStyle w:val="TableText"/>
              <w:rPr>
                <w:rFonts w:ascii="Tahoma" w:hAnsi="Tahoma" w:cs="Tahoma"/>
                <w:sz w:val="13"/>
              </w:rPr>
            </w:pPr>
          </w:p>
        </w:tc>
        <w:tc>
          <w:tcPr>
            <w:tcW w:w="405" w:type="dxa"/>
            <w:tcBorders>
              <w:bottom w:val="single" w:sz="4" w:space="0" w:color="auto"/>
              <w:right w:val="single" w:sz="18" w:space="0" w:color="auto"/>
            </w:tcBorders>
            <w:shd w:val="clear" w:color="auto" w:fill="FABF8F"/>
            <w:vAlign w:val="center"/>
          </w:tcPr>
          <w:p w14:paraId="0195C5D7" w14:textId="77777777" w:rsidR="00913A0A" w:rsidRPr="0058047D" w:rsidRDefault="00913A0A" w:rsidP="00D55AB9">
            <w:pPr>
              <w:pStyle w:val="TableText"/>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69D37396" w14:textId="77777777" w:rsidR="00913A0A" w:rsidRPr="0058047D" w:rsidRDefault="00913A0A" w:rsidP="00D55AB9">
            <w:pPr>
              <w:pStyle w:val="TableText"/>
              <w:rPr>
                <w:rFonts w:ascii="Tahoma" w:hAnsi="Tahoma" w:cs="Tahoma"/>
                <w:sz w:val="13"/>
              </w:rPr>
            </w:pPr>
          </w:p>
        </w:tc>
        <w:tc>
          <w:tcPr>
            <w:tcW w:w="810" w:type="dxa"/>
            <w:tcBorders>
              <w:bottom w:val="single" w:sz="4" w:space="0" w:color="auto"/>
            </w:tcBorders>
            <w:shd w:val="clear" w:color="auto" w:fill="FABF8F"/>
            <w:vAlign w:val="center"/>
          </w:tcPr>
          <w:p w14:paraId="70064152" w14:textId="77777777" w:rsidR="00913A0A" w:rsidRPr="0058047D" w:rsidRDefault="00913A0A" w:rsidP="00D55AB9">
            <w:pPr>
              <w:pStyle w:val="TableText"/>
              <w:rPr>
                <w:rFonts w:ascii="Tahoma" w:hAnsi="Tahoma" w:cs="Tahoma"/>
                <w:sz w:val="13"/>
              </w:rPr>
            </w:pPr>
          </w:p>
        </w:tc>
        <w:tc>
          <w:tcPr>
            <w:tcW w:w="495" w:type="dxa"/>
            <w:tcBorders>
              <w:bottom w:val="single" w:sz="4" w:space="0" w:color="auto"/>
            </w:tcBorders>
            <w:shd w:val="clear" w:color="auto" w:fill="FABF8F"/>
            <w:vAlign w:val="center"/>
          </w:tcPr>
          <w:p w14:paraId="3B04C772" w14:textId="77777777" w:rsidR="00913A0A" w:rsidRPr="0058047D" w:rsidRDefault="00913A0A" w:rsidP="00D55AB9">
            <w:pPr>
              <w:pStyle w:val="TableText"/>
              <w:rPr>
                <w:rFonts w:ascii="Tahoma" w:hAnsi="Tahoma" w:cs="Tahoma"/>
                <w:sz w:val="13"/>
              </w:rPr>
            </w:pPr>
          </w:p>
        </w:tc>
        <w:tc>
          <w:tcPr>
            <w:tcW w:w="370" w:type="dxa"/>
            <w:tcBorders>
              <w:bottom w:val="single" w:sz="4" w:space="0" w:color="auto"/>
            </w:tcBorders>
            <w:shd w:val="clear" w:color="auto" w:fill="FABF8F"/>
            <w:vAlign w:val="center"/>
          </w:tcPr>
          <w:p w14:paraId="4164468B" w14:textId="77777777" w:rsidR="00913A0A" w:rsidRPr="0058047D" w:rsidRDefault="00913A0A" w:rsidP="00905D4E">
            <w:pPr>
              <w:pStyle w:val="TableText"/>
              <w:rPr>
                <w:rFonts w:ascii="Tahoma" w:hAnsi="Tahoma" w:cs="Tahoma"/>
                <w:sz w:val="13"/>
              </w:rPr>
            </w:pPr>
          </w:p>
        </w:tc>
      </w:tr>
      <w:tr w:rsidR="00913A0A" w:rsidRPr="0058047D" w14:paraId="7CBC31BA" w14:textId="77777777" w:rsidTr="00D5491B">
        <w:trPr>
          <w:cantSplit/>
          <w:trHeight w:val="145"/>
        </w:trPr>
        <w:tc>
          <w:tcPr>
            <w:tcW w:w="2371" w:type="dxa"/>
            <w:tcBorders>
              <w:bottom w:val="single" w:sz="4" w:space="0" w:color="auto"/>
            </w:tcBorders>
            <w:shd w:val="clear" w:color="auto" w:fill="auto"/>
          </w:tcPr>
          <w:p w14:paraId="0D231CFB" w14:textId="77777777" w:rsidR="00913A0A" w:rsidRPr="003F471F" w:rsidRDefault="00913A0A" w:rsidP="00E077BC">
            <w:pPr>
              <w:pStyle w:val="Heading3"/>
              <w:spacing w:beforeLines="20" w:before="48" w:afterLines="20" w:after="48"/>
              <w:rPr>
                <w:rFonts w:ascii="Tahoma" w:hAnsi="Tahoma" w:cs="Tahoma"/>
                <w:b w:val="0"/>
                <w:sz w:val="14"/>
                <w:lang w:val="it-IT"/>
              </w:rPr>
            </w:pPr>
            <w:bookmarkStart w:id="89" w:name="_Toc371663288"/>
            <w:r w:rsidRPr="003F471F">
              <w:rPr>
                <w:rFonts w:ascii="Tahoma" w:hAnsi="Tahoma" w:cs="Tahoma"/>
                <w:b w:val="0"/>
                <w:sz w:val="14"/>
                <w:lang w:val="it-IT"/>
              </w:rPr>
              <w:t>Diritto di Noleggio per Office Professional Plus</w:t>
            </w:r>
            <w:bookmarkEnd w:id="89"/>
          </w:p>
        </w:tc>
        <w:tc>
          <w:tcPr>
            <w:tcW w:w="429" w:type="dxa"/>
            <w:tcBorders>
              <w:bottom w:val="single" w:sz="4" w:space="0" w:color="auto"/>
            </w:tcBorders>
            <w:shd w:val="clear" w:color="auto" w:fill="auto"/>
            <w:vAlign w:val="center"/>
          </w:tcPr>
          <w:p w14:paraId="171B8820" w14:textId="77777777" w:rsidR="00913A0A" w:rsidRPr="0058047D" w:rsidRDefault="00C86F50" w:rsidP="00D55AB9">
            <w:pPr>
              <w:pStyle w:val="TableText"/>
              <w:widowControl w:val="0"/>
              <w:rPr>
                <w:rStyle w:val="EndnoteReference"/>
                <w:b w:val="0"/>
                <w:color w:val="0000FF"/>
                <w:sz w:val="13"/>
                <w:szCs w:val="13"/>
                <w:u w:val="single"/>
              </w:rPr>
            </w:pPr>
            <w:hyperlink w:anchor="_16_Rental_Rights" w:history="1">
              <w:r w:rsidR="00BF5FC6" w:rsidRPr="0058047D">
                <w:rPr>
                  <w:rStyle w:val="Hyperlink"/>
                  <w:b/>
                  <w:sz w:val="13"/>
                  <w:szCs w:val="13"/>
                </w:rPr>
                <w:t>17</w:t>
              </w:r>
            </w:hyperlink>
          </w:p>
        </w:tc>
        <w:tc>
          <w:tcPr>
            <w:tcW w:w="429" w:type="dxa"/>
            <w:tcBorders>
              <w:bottom w:val="single" w:sz="4" w:space="0" w:color="auto"/>
            </w:tcBorders>
            <w:shd w:val="clear" w:color="auto" w:fill="auto"/>
            <w:vAlign w:val="center"/>
          </w:tcPr>
          <w:p w14:paraId="1641FD48" w14:textId="77777777" w:rsidR="00913A0A" w:rsidRPr="0058047D" w:rsidRDefault="00913A0A" w:rsidP="00D55AB9">
            <w:pPr>
              <w:pStyle w:val="TableText"/>
              <w:spacing w:before="60" w:after="60"/>
              <w:rPr>
                <w:rFonts w:ascii="Tahoma" w:hAnsi="Tahoma" w:cs="Tahoma"/>
                <w:sz w:val="13"/>
              </w:rPr>
            </w:pPr>
            <w:r w:rsidRPr="0058047D">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7C9E7BD5" w14:textId="77777777" w:rsidR="00913A0A" w:rsidRPr="0058047D" w:rsidRDefault="00913A0A" w:rsidP="00D55AB9">
            <w:pPr>
              <w:pStyle w:val="TableText"/>
              <w:rPr>
                <w:rFonts w:ascii="Tahoma" w:hAnsi="Tahoma" w:cs="Tahoma"/>
                <w:sz w:val="13"/>
              </w:rPr>
            </w:pPr>
            <w:r w:rsidRPr="0058047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701A1EC"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429" w:type="dxa"/>
            <w:tcBorders>
              <w:bottom w:val="single" w:sz="4" w:space="0" w:color="auto"/>
            </w:tcBorders>
            <w:shd w:val="clear" w:color="auto" w:fill="auto"/>
            <w:vAlign w:val="center"/>
          </w:tcPr>
          <w:p w14:paraId="44ADCB34" w14:textId="77777777" w:rsidR="00913A0A" w:rsidRPr="0058047D"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A595604" w14:textId="77777777" w:rsidR="00913A0A" w:rsidRPr="0058047D"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045C646" w14:textId="77777777" w:rsidR="00913A0A" w:rsidRPr="0058047D"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FD437B4" w14:textId="77777777" w:rsidR="00913A0A" w:rsidRPr="0058047D"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0B69F126" w14:textId="77777777" w:rsidR="00913A0A" w:rsidRPr="0058047D"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A5502E9" w14:textId="77777777" w:rsidR="00913A0A" w:rsidRPr="0058047D" w:rsidRDefault="00913A0A" w:rsidP="00D55AB9">
            <w:pPr>
              <w:pStyle w:val="TableText"/>
              <w:rPr>
                <w:rFonts w:ascii="Tahoma" w:hAnsi="Tahoma" w:cs="Tahoma"/>
                <w:sz w:val="13"/>
              </w:rPr>
            </w:pPr>
          </w:p>
        </w:tc>
        <w:tc>
          <w:tcPr>
            <w:tcW w:w="353" w:type="dxa"/>
            <w:gridSpan w:val="2"/>
            <w:tcBorders>
              <w:left w:val="single" w:sz="18" w:space="0" w:color="auto"/>
              <w:bottom w:val="single" w:sz="4" w:space="0" w:color="auto"/>
            </w:tcBorders>
            <w:shd w:val="clear" w:color="auto" w:fill="auto"/>
            <w:vAlign w:val="center"/>
          </w:tcPr>
          <w:p w14:paraId="2A5DA91F"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360" w:type="dxa"/>
            <w:tcBorders>
              <w:bottom w:val="single" w:sz="4" w:space="0" w:color="auto"/>
            </w:tcBorders>
            <w:shd w:val="clear" w:color="auto" w:fill="auto"/>
            <w:vAlign w:val="center"/>
          </w:tcPr>
          <w:p w14:paraId="662DC321" w14:textId="77777777" w:rsidR="00913A0A" w:rsidRPr="0058047D" w:rsidRDefault="00913A0A" w:rsidP="00D55AB9">
            <w:pPr>
              <w:pStyle w:val="TableText"/>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14:paraId="04A3C406" w14:textId="77777777" w:rsidR="00913A0A" w:rsidRPr="0058047D" w:rsidRDefault="00913A0A" w:rsidP="00D55AB9">
            <w:pPr>
              <w:pStyle w:val="TableText"/>
              <w:rPr>
                <w:rFonts w:ascii="Tahoma" w:hAnsi="Tahoma" w:cs="Tahoma"/>
                <w:sz w:val="13"/>
              </w:rPr>
            </w:pPr>
          </w:p>
        </w:tc>
        <w:tc>
          <w:tcPr>
            <w:tcW w:w="414" w:type="dxa"/>
            <w:tcBorders>
              <w:left w:val="single" w:sz="18" w:space="0" w:color="auto"/>
              <w:bottom w:val="single" w:sz="4" w:space="0" w:color="auto"/>
            </w:tcBorders>
            <w:shd w:val="clear" w:color="auto" w:fill="auto"/>
            <w:vAlign w:val="center"/>
          </w:tcPr>
          <w:p w14:paraId="19A3D766" w14:textId="77777777" w:rsidR="00913A0A" w:rsidRPr="0058047D" w:rsidRDefault="00913A0A" w:rsidP="00D55AB9">
            <w:pPr>
              <w:pStyle w:val="TableText"/>
              <w:rPr>
                <w:rFonts w:ascii="Tahoma" w:hAnsi="Tahoma" w:cs="Tahoma"/>
                <w:sz w:val="13"/>
              </w:rPr>
            </w:pPr>
          </w:p>
        </w:tc>
        <w:tc>
          <w:tcPr>
            <w:tcW w:w="405" w:type="dxa"/>
            <w:tcBorders>
              <w:bottom w:val="single" w:sz="4" w:space="0" w:color="auto"/>
              <w:right w:val="single" w:sz="18" w:space="0" w:color="auto"/>
            </w:tcBorders>
            <w:shd w:val="clear" w:color="auto" w:fill="auto"/>
            <w:vAlign w:val="center"/>
          </w:tcPr>
          <w:p w14:paraId="3D8B26E4" w14:textId="77777777" w:rsidR="00913A0A" w:rsidRPr="0058047D" w:rsidRDefault="00913A0A" w:rsidP="00D55AB9">
            <w:pPr>
              <w:pStyle w:val="TableText"/>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1E5FD392" w14:textId="77777777" w:rsidR="00913A0A" w:rsidRPr="0058047D" w:rsidRDefault="00913A0A" w:rsidP="00D55AB9">
            <w:pPr>
              <w:pStyle w:val="TableText"/>
              <w:rPr>
                <w:rFonts w:ascii="Tahoma" w:hAnsi="Tahoma" w:cs="Tahoma"/>
                <w:sz w:val="13"/>
              </w:rPr>
            </w:pPr>
          </w:p>
        </w:tc>
        <w:tc>
          <w:tcPr>
            <w:tcW w:w="810" w:type="dxa"/>
            <w:tcBorders>
              <w:bottom w:val="single" w:sz="4" w:space="0" w:color="auto"/>
            </w:tcBorders>
            <w:shd w:val="clear" w:color="auto" w:fill="auto"/>
            <w:vAlign w:val="center"/>
          </w:tcPr>
          <w:p w14:paraId="5D443A3D" w14:textId="77777777" w:rsidR="00913A0A" w:rsidRPr="0058047D" w:rsidRDefault="00913A0A" w:rsidP="00D55AB9">
            <w:pPr>
              <w:pStyle w:val="TableText"/>
              <w:rPr>
                <w:rFonts w:ascii="Tahoma" w:hAnsi="Tahoma" w:cs="Tahoma"/>
                <w:sz w:val="13"/>
              </w:rPr>
            </w:pPr>
          </w:p>
        </w:tc>
        <w:tc>
          <w:tcPr>
            <w:tcW w:w="495" w:type="dxa"/>
            <w:tcBorders>
              <w:bottom w:val="single" w:sz="4" w:space="0" w:color="auto"/>
            </w:tcBorders>
            <w:shd w:val="clear" w:color="auto" w:fill="auto"/>
            <w:vAlign w:val="center"/>
          </w:tcPr>
          <w:p w14:paraId="1D7B2AD3" w14:textId="77777777" w:rsidR="00913A0A" w:rsidRPr="0058047D" w:rsidRDefault="00913A0A" w:rsidP="00D55AB9">
            <w:pPr>
              <w:pStyle w:val="TableText"/>
              <w:rPr>
                <w:rFonts w:ascii="Tahoma" w:hAnsi="Tahoma" w:cs="Tahoma"/>
                <w:sz w:val="13"/>
              </w:rPr>
            </w:pPr>
          </w:p>
        </w:tc>
        <w:tc>
          <w:tcPr>
            <w:tcW w:w="370" w:type="dxa"/>
            <w:tcBorders>
              <w:bottom w:val="single" w:sz="4" w:space="0" w:color="auto"/>
            </w:tcBorders>
            <w:vAlign w:val="center"/>
          </w:tcPr>
          <w:p w14:paraId="1926B360" w14:textId="77777777" w:rsidR="00913A0A" w:rsidRPr="0058047D" w:rsidRDefault="00913A0A" w:rsidP="00905D4E">
            <w:pPr>
              <w:pStyle w:val="TableText"/>
              <w:rPr>
                <w:rFonts w:ascii="Tahoma" w:hAnsi="Tahoma" w:cs="Tahoma"/>
                <w:sz w:val="13"/>
              </w:rPr>
            </w:pPr>
          </w:p>
        </w:tc>
      </w:tr>
      <w:tr w:rsidR="008A0F85" w:rsidRPr="0058047D" w14:paraId="1895799F" w14:textId="77777777" w:rsidTr="00D5491B">
        <w:trPr>
          <w:cantSplit/>
          <w:trHeight w:val="145"/>
        </w:trPr>
        <w:tc>
          <w:tcPr>
            <w:tcW w:w="2371" w:type="dxa"/>
            <w:tcBorders>
              <w:bottom w:val="single" w:sz="4" w:space="0" w:color="auto"/>
            </w:tcBorders>
            <w:shd w:val="clear" w:color="auto" w:fill="FABF8F"/>
          </w:tcPr>
          <w:p w14:paraId="5ACCB430" w14:textId="77777777" w:rsidR="00913A0A" w:rsidRPr="0058047D" w:rsidRDefault="00913A0A" w:rsidP="00E077BC">
            <w:pPr>
              <w:pStyle w:val="Heading3"/>
              <w:spacing w:beforeLines="20" w:before="48" w:afterLines="20" w:after="48"/>
              <w:rPr>
                <w:rFonts w:ascii="Tahoma" w:hAnsi="Tahoma" w:cs="Tahoma"/>
                <w:b w:val="0"/>
                <w:sz w:val="14"/>
              </w:rPr>
            </w:pPr>
            <w:bookmarkStart w:id="90" w:name="_Toc336337884"/>
            <w:bookmarkStart w:id="91" w:name="_Toc371663289"/>
            <w:r w:rsidRPr="0058047D">
              <w:rPr>
                <w:rFonts w:ascii="Tahoma" w:hAnsi="Tahoma" w:cs="Tahoma"/>
                <w:b w:val="0"/>
                <w:sz w:val="14"/>
              </w:rPr>
              <w:t>Streets and Trips 2013</w:t>
            </w:r>
            <w:bookmarkEnd w:id="90"/>
            <w:bookmarkEnd w:id="91"/>
          </w:p>
        </w:tc>
        <w:tc>
          <w:tcPr>
            <w:tcW w:w="429" w:type="dxa"/>
            <w:tcBorders>
              <w:bottom w:val="single" w:sz="4" w:space="0" w:color="auto"/>
            </w:tcBorders>
            <w:shd w:val="clear" w:color="auto" w:fill="FABF8F"/>
            <w:vAlign w:val="center"/>
          </w:tcPr>
          <w:p w14:paraId="7A298CF2" w14:textId="77777777" w:rsidR="00913A0A" w:rsidRPr="0058047D"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27111541" w14:textId="77777777" w:rsidR="00913A0A" w:rsidRPr="0058047D" w:rsidRDefault="00913A0A" w:rsidP="00D55AB9">
            <w:pPr>
              <w:pStyle w:val="TableText"/>
              <w:spacing w:before="60" w:after="60"/>
              <w:rPr>
                <w:rFonts w:ascii="Tahoma" w:hAnsi="Tahoma" w:cs="Tahoma"/>
                <w:sz w:val="13"/>
              </w:rPr>
            </w:pPr>
            <w:r w:rsidRPr="0058047D">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55692379" w14:textId="77777777" w:rsidR="00913A0A" w:rsidRPr="0058047D" w:rsidRDefault="00913A0A" w:rsidP="00D55AB9">
            <w:pPr>
              <w:pStyle w:val="TableText"/>
              <w:rPr>
                <w:rFonts w:ascii="Tahoma" w:hAnsi="Tahoma" w:cs="Tahoma"/>
                <w:sz w:val="13"/>
              </w:rPr>
            </w:pPr>
            <w:r w:rsidRPr="0058047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D82B006"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429" w:type="dxa"/>
            <w:tcBorders>
              <w:bottom w:val="single" w:sz="4" w:space="0" w:color="auto"/>
            </w:tcBorders>
            <w:shd w:val="clear" w:color="auto" w:fill="FABF8F"/>
            <w:vAlign w:val="center"/>
          </w:tcPr>
          <w:p w14:paraId="59A7B291" w14:textId="77777777" w:rsidR="00913A0A" w:rsidRPr="0058047D" w:rsidRDefault="00913A0A" w:rsidP="00D55AB9">
            <w:pPr>
              <w:pStyle w:val="TableText"/>
              <w:rPr>
                <w:rFonts w:ascii="Tahoma" w:hAnsi="Tahoma" w:cs="Tahoma"/>
                <w:sz w:val="13"/>
              </w:rPr>
            </w:pPr>
            <w:r w:rsidRPr="0058047D">
              <w:rPr>
                <w:rFonts w:ascii="Tahoma" w:hAnsi="Tahoma" w:cs="Tahoma"/>
                <w:sz w:val="13"/>
              </w:rPr>
              <w:t>3</w:t>
            </w:r>
          </w:p>
        </w:tc>
        <w:tc>
          <w:tcPr>
            <w:tcW w:w="429" w:type="dxa"/>
            <w:tcBorders>
              <w:bottom w:val="single" w:sz="4" w:space="0" w:color="auto"/>
            </w:tcBorders>
            <w:shd w:val="clear" w:color="auto" w:fill="FABF8F"/>
            <w:vAlign w:val="center"/>
          </w:tcPr>
          <w:p w14:paraId="117A3D18"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19868216"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58393A97"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2689A054"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8D87875"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353" w:type="dxa"/>
            <w:gridSpan w:val="2"/>
            <w:tcBorders>
              <w:left w:val="single" w:sz="18" w:space="0" w:color="auto"/>
              <w:bottom w:val="single" w:sz="4" w:space="0" w:color="auto"/>
            </w:tcBorders>
            <w:shd w:val="clear" w:color="auto" w:fill="FABF8F"/>
            <w:vAlign w:val="center"/>
          </w:tcPr>
          <w:p w14:paraId="7391CDFC"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360" w:type="dxa"/>
            <w:tcBorders>
              <w:bottom w:val="single" w:sz="4" w:space="0" w:color="auto"/>
            </w:tcBorders>
            <w:shd w:val="clear" w:color="auto" w:fill="FABF8F"/>
            <w:vAlign w:val="center"/>
          </w:tcPr>
          <w:p w14:paraId="3B982034"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14:paraId="561834D8"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414" w:type="dxa"/>
            <w:tcBorders>
              <w:left w:val="single" w:sz="18" w:space="0" w:color="auto"/>
              <w:bottom w:val="single" w:sz="4" w:space="0" w:color="auto"/>
            </w:tcBorders>
            <w:shd w:val="clear" w:color="auto" w:fill="FABF8F"/>
            <w:vAlign w:val="center"/>
          </w:tcPr>
          <w:p w14:paraId="79B02705"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405" w:type="dxa"/>
            <w:tcBorders>
              <w:bottom w:val="single" w:sz="4" w:space="0" w:color="auto"/>
              <w:right w:val="single" w:sz="18" w:space="0" w:color="auto"/>
            </w:tcBorders>
            <w:shd w:val="clear" w:color="auto" w:fill="FABF8F"/>
            <w:vAlign w:val="center"/>
          </w:tcPr>
          <w:p w14:paraId="75D5E1E0" w14:textId="77777777" w:rsidR="00913A0A" w:rsidRPr="0058047D" w:rsidRDefault="00913A0A" w:rsidP="00D55AB9">
            <w:pPr>
              <w:pStyle w:val="TableText"/>
              <w:rPr>
                <w:rFonts w:ascii="Tahoma" w:hAnsi="Tahoma" w:cs="Tahoma"/>
                <w:sz w:val="13"/>
              </w:rPr>
            </w:pPr>
            <w:r w:rsidRPr="0058047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29474058" w14:textId="77777777" w:rsidR="00913A0A" w:rsidRPr="0058047D" w:rsidRDefault="00913A0A" w:rsidP="00D55AB9">
            <w:pPr>
              <w:pStyle w:val="TableText"/>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FABF8F"/>
            <w:vAlign w:val="center"/>
          </w:tcPr>
          <w:p w14:paraId="2D7C2E16" w14:textId="77777777" w:rsidR="00913A0A" w:rsidRPr="0058047D" w:rsidRDefault="00913A0A" w:rsidP="00D55AB9">
            <w:pPr>
              <w:pStyle w:val="TableText"/>
              <w:rPr>
                <w:rFonts w:ascii="Tahoma" w:hAnsi="Tahoma" w:cs="Tahoma"/>
                <w:sz w:val="13"/>
              </w:rPr>
            </w:pPr>
            <w:r w:rsidRPr="0058047D">
              <w:rPr>
                <w:rFonts w:ascii="Tahoma" w:hAnsi="Tahoma" w:cs="Tahoma"/>
                <w:sz w:val="13"/>
              </w:rPr>
              <w:t>A, ST</w:t>
            </w:r>
          </w:p>
        </w:tc>
        <w:tc>
          <w:tcPr>
            <w:tcW w:w="495" w:type="dxa"/>
            <w:tcBorders>
              <w:bottom w:val="single" w:sz="4" w:space="0" w:color="auto"/>
            </w:tcBorders>
            <w:shd w:val="clear" w:color="auto" w:fill="FABF8F"/>
            <w:vAlign w:val="center"/>
          </w:tcPr>
          <w:p w14:paraId="1000CBBA" w14:textId="77777777" w:rsidR="00913A0A" w:rsidRPr="0058047D" w:rsidRDefault="00913A0A" w:rsidP="00D55AB9">
            <w:pPr>
              <w:pStyle w:val="TableText"/>
              <w:rPr>
                <w:rFonts w:ascii="Tahoma" w:hAnsi="Tahoma" w:cs="Tahoma"/>
                <w:sz w:val="13"/>
              </w:rPr>
            </w:pPr>
          </w:p>
        </w:tc>
        <w:tc>
          <w:tcPr>
            <w:tcW w:w="370" w:type="dxa"/>
            <w:tcBorders>
              <w:bottom w:val="single" w:sz="4" w:space="0" w:color="auto"/>
            </w:tcBorders>
            <w:shd w:val="clear" w:color="auto" w:fill="FABF8F"/>
            <w:vAlign w:val="center"/>
          </w:tcPr>
          <w:p w14:paraId="099447DC" w14:textId="77777777" w:rsidR="00913A0A" w:rsidRPr="0058047D" w:rsidRDefault="00913A0A" w:rsidP="00905D4E">
            <w:pPr>
              <w:pStyle w:val="TableText"/>
              <w:rPr>
                <w:rFonts w:ascii="Tahoma" w:hAnsi="Tahoma" w:cs="Tahoma"/>
                <w:sz w:val="13"/>
              </w:rPr>
            </w:pPr>
          </w:p>
        </w:tc>
      </w:tr>
      <w:tr w:rsidR="00913A0A" w:rsidRPr="0058047D" w14:paraId="23900177" w14:textId="77777777" w:rsidTr="00D5491B">
        <w:trPr>
          <w:cantSplit/>
          <w:trHeight w:val="145"/>
        </w:trPr>
        <w:tc>
          <w:tcPr>
            <w:tcW w:w="2371" w:type="dxa"/>
            <w:tcBorders>
              <w:bottom w:val="single" w:sz="4" w:space="0" w:color="auto"/>
            </w:tcBorders>
            <w:shd w:val="clear" w:color="auto" w:fill="auto"/>
          </w:tcPr>
          <w:p w14:paraId="3967932B" w14:textId="77777777" w:rsidR="00913A0A" w:rsidRPr="0058047D" w:rsidRDefault="00913A0A" w:rsidP="00E077BC">
            <w:pPr>
              <w:pStyle w:val="Heading3"/>
              <w:spacing w:beforeLines="20" w:before="48" w:afterLines="20" w:after="48"/>
              <w:rPr>
                <w:rFonts w:ascii="Tahoma" w:hAnsi="Tahoma" w:cs="Tahoma"/>
                <w:b w:val="0"/>
                <w:sz w:val="14"/>
              </w:rPr>
            </w:pPr>
            <w:bookmarkStart w:id="92" w:name="_Toc336337886"/>
            <w:bookmarkStart w:id="93" w:name="_Toc371663290"/>
            <w:r w:rsidRPr="0058047D">
              <w:rPr>
                <w:rFonts w:ascii="Tahoma" w:hAnsi="Tahoma" w:cs="Tahoma"/>
                <w:b w:val="0"/>
                <w:sz w:val="14"/>
              </w:rPr>
              <w:t>Visio</w:t>
            </w:r>
            <w:r w:rsidR="00E53A46" w:rsidRPr="0058047D">
              <w:rPr>
                <w:rFonts w:ascii="Tahoma" w:hAnsi="Tahoma" w:cs="Tahoma"/>
                <w:b w:val="0"/>
                <w:sz w:val="14"/>
                <w:vertAlign w:val="superscript"/>
              </w:rPr>
              <w:t>®</w:t>
            </w:r>
            <w:r w:rsidRPr="0058047D">
              <w:rPr>
                <w:rFonts w:ascii="Tahoma" w:hAnsi="Tahoma" w:cs="Tahoma"/>
                <w:b w:val="0"/>
                <w:sz w:val="14"/>
              </w:rPr>
              <w:t xml:space="preserve"> 2013 Professional</w:t>
            </w:r>
            <w:bookmarkEnd w:id="92"/>
            <w:bookmarkEnd w:id="93"/>
            <w:r w:rsidR="00E34ED3" w:rsidRPr="0058047D">
              <w:rPr>
                <w:rFonts w:ascii="Tahoma" w:hAnsi="Tahoma" w:cs="Tahoma"/>
                <w:b w:val="0"/>
                <w:sz w:val="14"/>
              </w:rPr>
              <w:t xml:space="preserve"> </w:t>
            </w:r>
          </w:p>
        </w:tc>
        <w:tc>
          <w:tcPr>
            <w:tcW w:w="429" w:type="dxa"/>
            <w:tcBorders>
              <w:bottom w:val="single" w:sz="4" w:space="0" w:color="auto"/>
            </w:tcBorders>
            <w:shd w:val="clear" w:color="auto" w:fill="auto"/>
            <w:vAlign w:val="center"/>
          </w:tcPr>
          <w:p w14:paraId="55859A42" w14:textId="77777777" w:rsidR="00913A0A" w:rsidRPr="0058047D" w:rsidRDefault="00C86F50" w:rsidP="00D55AB9">
            <w:pPr>
              <w:pStyle w:val="TableText"/>
              <w:widowControl w:val="0"/>
              <w:rPr>
                <w:rStyle w:val="EndnoteReference"/>
                <w:b w:val="0"/>
                <w:color w:val="0000FF"/>
                <w:sz w:val="13"/>
                <w:szCs w:val="13"/>
                <w:u w:val="single"/>
              </w:rPr>
            </w:pPr>
            <w:hyperlink w:anchor="_17_Visio_Professional" w:history="1">
              <w:r w:rsidR="00BF5FC6" w:rsidRPr="0058047D">
                <w:rPr>
                  <w:rStyle w:val="Hyperlink"/>
                  <w:b/>
                  <w:sz w:val="13"/>
                  <w:szCs w:val="13"/>
                </w:rPr>
                <w:t>18</w:t>
              </w:r>
            </w:hyperlink>
          </w:p>
        </w:tc>
        <w:tc>
          <w:tcPr>
            <w:tcW w:w="429" w:type="dxa"/>
            <w:tcBorders>
              <w:bottom w:val="single" w:sz="4" w:space="0" w:color="auto"/>
            </w:tcBorders>
            <w:shd w:val="clear" w:color="auto" w:fill="auto"/>
            <w:vAlign w:val="center"/>
          </w:tcPr>
          <w:p w14:paraId="017BB451" w14:textId="77777777" w:rsidR="00913A0A" w:rsidRPr="0058047D" w:rsidRDefault="00913A0A" w:rsidP="00D55AB9">
            <w:pPr>
              <w:pStyle w:val="TableText"/>
              <w:spacing w:before="60" w:after="60"/>
              <w:rPr>
                <w:rFonts w:ascii="Tahoma" w:hAnsi="Tahoma" w:cs="Tahoma"/>
                <w:sz w:val="13"/>
              </w:rPr>
            </w:pPr>
            <w:r w:rsidRPr="0058047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01C12ED8" w14:textId="77777777" w:rsidR="00913A0A" w:rsidRPr="0058047D" w:rsidRDefault="00913A0A" w:rsidP="00D55AB9">
            <w:pPr>
              <w:pStyle w:val="TableText"/>
              <w:rPr>
                <w:rFonts w:ascii="Tahoma" w:hAnsi="Tahoma" w:cs="Tahoma"/>
                <w:sz w:val="13"/>
              </w:rPr>
            </w:pPr>
            <w:r w:rsidRPr="0058047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B2EB669"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auto"/>
            <w:vAlign w:val="center"/>
          </w:tcPr>
          <w:p w14:paraId="7A18CA58" w14:textId="77777777" w:rsidR="00913A0A" w:rsidRPr="0058047D" w:rsidRDefault="00913A0A" w:rsidP="00D55AB9">
            <w:pPr>
              <w:pStyle w:val="TableText"/>
              <w:rPr>
                <w:rFonts w:ascii="Tahoma" w:hAnsi="Tahoma" w:cs="Tahoma"/>
                <w:sz w:val="13"/>
              </w:rPr>
            </w:pPr>
            <w:r w:rsidRPr="0058047D">
              <w:rPr>
                <w:rFonts w:ascii="Tahoma" w:hAnsi="Tahoma" w:cs="Tahoma"/>
                <w:sz w:val="13"/>
              </w:rPr>
              <w:t>5</w:t>
            </w:r>
          </w:p>
        </w:tc>
        <w:tc>
          <w:tcPr>
            <w:tcW w:w="429" w:type="dxa"/>
            <w:tcBorders>
              <w:bottom w:val="single" w:sz="4" w:space="0" w:color="auto"/>
            </w:tcBorders>
            <w:shd w:val="clear" w:color="auto" w:fill="auto"/>
            <w:vAlign w:val="center"/>
          </w:tcPr>
          <w:p w14:paraId="24178EBA" w14:textId="77777777" w:rsidR="00913A0A" w:rsidRPr="0058047D" w:rsidRDefault="00913A0A" w:rsidP="00D55AB9">
            <w:pPr>
              <w:pStyle w:val="TableText"/>
              <w:rPr>
                <w:rFonts w:ascii="Tahoma" w:hAnsi="Tahoma" w:cs="Tahoma"/>
                <w:sz w:val="13"/>
              </w:rPr>
            </w:pPr>
            <w:r w:rsidRPr="0058047D">
              <w:rPr>
                <w:rFonts w:ascii="Tahoma" w:hAnsi="Tahoma" w:cs="Tahoma"/>
                <w:sz w:val="13"/>
              </w:rPr>
              <w:t>4</w:t>
            </w:r>
          </w:p>
        </w:tc>
        <w:tc>
          <w:tcPr>
            <w:tcW w:w="429" w:type="dxa"/>
            <w:tcBorders>
              <w:bottom w:val="single" w:sz="4" w:space="0" w:color="auto"/>
            </w:tcBorders>
            <w:shd w:val="clear" w:color="auto" w:fill="auto"/>
            <w:vAlign w:val="center"/>
          </w:tcPr>
          <w:p w14:paraId="36CB39AE" w14:textId="77777777" w:rsidR="00913A0A" w:rsidRPr="0058047D" w:rsidRDefault="00913A0A" w:rsidP="00D55AB9">
            <w:pPr>
              <w:pStyle w:val="TableText"/>
              <w:rPr>
                <w:rFonts w:ascii="Tahoma" w:hAnsi="Tahoma" w:cs="Tahoma"/>
                <w:sz w:val="13"/>
              </w:rPr>
            </w:pPr>
            <w:r w:rsidRPr="0058047D">
              <w:rPr>
                <w:rFonts w:ascii="Tahoma" w:hAnsi="Tahoma" w:cs="Tahoma"/>
                <w:sz w:val="13"/>
              </w:rPr>
              <w:t>3</w:t>
            </w:r>
          </w:p>
        </w:tc>
        <w:tc>
          <w:tcPr>
            <w:tcW w:w="429" w:type="dxa"/>
            <w:tcBorders>
              <w:bottom w:val="single" w:sz="4" w:space="0" w:color="auto"/>
            </w:tcBorders>
            <w:shd w:val="clear" w:color="auto" w:fill="auto"/>
            <w:vAlign w:val="center"/>
          </w:tcPr>
          <w:p w14:paraId="2D70A653" w14:textId="77777777" w:rsidR="00913A0A" w:rsidRPr="0058047D" w:rsidRDefault="00913A0A" w:rsidP="00D55AB9">
            <w:pPr>
              <w:pStyle w:val="TableText"/>
              <w:rPr>
                <w:rFonts w:ascii="Tahoma" w:hAnsi="Tahoma" w:cs="Tahoma"/>
                <w:sz w:val="13"/>
              </w:rPr>
            </w:pPr>
            <w:r w:rsidRPr="0058047D">
              <w:rPr>
                <w:rFonts w:ascii="Tahoma" w:hAnsi="Tahoma" w:cs="Tahoma"/>
                <w:sz w:val="13"/>
              </w:rPr>
              <w:t>3</w:t>
            </w:r>
          </w:p>
        </w:tc>
        <w:tc>
          <w:tcPr>
            <w:tcW w:w="429" w:type="dxa"/>
            <w:tcBorders>
              <w:bottom w:val="single" w:sz="4" w:space="0" w:color="auto"/>
            </w:tcBorders>
            <w:shd w:val="clear" w:color="auto" w:fill="auto"/>
            <w:vAlign w:val="center"/>
          </w:tcPr>
          <w:p w14:paraId="55A97706"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147F5D9"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353" w:type="dxa"/>
            <w:gridSpan w:val="2"/>
            <w:tcBorders>
              <w:left w:val="single" w:sz="18" w:space="0" w:color="auto"/>
              <w:bottom w:val="single" w:sz="4" w:space="0" w:color="auto"/>
            </w:tcBorders>
            <w:shd w:val="clear" w:color="auto" w:fill="auto"/>
            <w:vAlign w:val="center"/>
          </w:tcPr>
          <w:p w14:paraId="20AF696A"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360" w:type="dxa"/>
            <w:tcBorders>
              <w:bottom w:val="single" w:sz="4" w:space="0" w:color="auto"/>
            </w:tcBorders>
            <w:shd w:val="clear" w:color="auto" w:fill="auto"/>
            <w:vAlign w:val="center"/>
          </w:tcPr>
          <w:p w14:paraId="046BCA59" w14:textId="77777777" w:rsidR="00913A0A" w:rsidRPr="0058047D" w:rsidRDefault="00913A0A" w:rsidP="00D55AB9">
            <w:pPr>
              <w:pStyle w:val="TableText"/>
              <w:rPr>
                <w:rFonts w:ascii="Tahoma" w:hAnsi="Tahoma" w:cs="Tahoma"/>
                <w:sz w:val="13"/>
              </w:rPr>
            </w:pPr>
            <w:r w:rsidRPr="0058047D">
              <w:rPr>
                <w:rFonts w:ascii="Tahoma" w:hAnsi="Tahoma" w:cs="Tahoma"/>
                <w:sz w:val="13"/>
              </w:rPr>
              <w:t>4</w:t>
            </w:r>
          </w:p>
        </w:tc>
        <w:tc>
          <w:tcPr>
            <w:tcW w:w="378" w:type="dxa"/>
            <w:tcBorders>
              <w:bottom w:val="single" w:sz="4" w:space="0" w:color="auto"/>
              <w:right w:val="single" w:sz="18" w:space="0" w:color="auto"/>
            </w:tcBorders>
            <w:shd w:val="clear" w:color="auto" w:fill="auto"/>
            <w:vAlign w:val="center"/>
          </w:tcPr>
          <w:p w14:paraId="363E6CB5"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414" w:type="dxa"/>
            <w:tcBorders>
              <w:left w:val="single" w:sz="18" w:space="0" w:color="auto"/>
              <w:bottom w:val="single" w:sz="4" w:space="0" w:color="auto"/>
            </w:tcBorders>
            <w:shd w:val="clear" w:color="auto" w:fill="auto"/>
            <w:vAlign w:val="center"/>
          </w:tcPr>
          <w:p w14:paraId="13DD3452"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405" w:type="dxa"/>
            <w:tcBorders>
              <w:bottom w:val="single" w:sz="4" w:space="0" w:color="auto"/>
              <w:right w:val="single" w:sz="18" w:space="0" w:color="auto"/>
            </w:tcBorders>
            <w:shd w:val="clear" w:color="auto" w:fill="auto"/>
            <w:vAlign w:val="center"/>
          </w:tcPr>
          <w:p w14:paraId="282CFC17" w14:textId="77777777" w:rsidR="00913A0A" w:rsidRPr="0058047D" w:rsidRDefault="00913A0A" w:rsidP="00D55AB9">
            <w:pPr>
              <w:pStyle w:val="TableText"/>
              <w:rPr>
                <w:rFonts w:ascii="Tahoma" w:hAnsi="Tahoma" w:cs="Tahoma"/>
                <w:sz w:val="13"/>
              </w:rPr>
            </w:pPr>
            <w:r w:rsidRPr="0058047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14:paraId="60CFD113" w14:textId="77777777" w:rsidR="00913A0A" w:rsidRPr="0058047D" w:rsidRDefault="00913A0A" w:rsidP="00D55AB9">
            <w:pPr>
              <w:pStyle w:val="TableText"/>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auto"/>
            <w:vAlign w:val="center"/>
          </w:tcPr>
          <w:p w14:paraId="1F94B420" w14:textId="77777777" w:rsidR="00913A0A" w:rsidRPr="0058047D" w:rsidRDefault="00913A0A" w:rsidP="00D55AB9">
            <w:pPr>
              <w:pStyle w:val="TableText"/>
              <w:rPr>
                <w:rFonts w:ascii="Tahoma" w:hAnsi="Tahoma" w:cs="Tahoma"/>
                <w:sz w:val="13"/>
              </w:rPr>
            </w:pPr>
          </w:p>
        </w:tc>
        <w:tc>
          <w:tcPr>
            <w:tcW w:w="495" w:type="dxa"/>
            <w:tcBorders>
              <w:bottom w:val="single" w:sz="4" w:space="0" w:color="auto"/>
            </w:tcBorders>
            <w:shd w:val="clear" w:color="auto" w:fill="auto"/>
            <w:vAlign w:val="center"/>
          </w:tcPr>
          <w:p w14:paraId="26CEEA85" w14:textId="77777777" w:rsidR="00913A0A" w:rsidRPr="0058047D" w:rsidRDefault="00913A0A" w:rsidP="00D55AB9">
            <w:pPr>
              <w:pStyle w:val="TableText"/>
              <w:rPr>
                <w:rFonts w:ascii="Tahoma" w:hAnsi="Tahoma" w:cs="Tahoma"/>
                <w:sz w:val="13"/>
              </w:rPr>
            </w:pPr>
          </w:p>
        </w:tc>
        <w:tc>
          <w:tcPr>
            <w:tcW w:w="370" w:type="dxa"/>
            <w:tcBorders>
              <w:bottom w:val="single" w:sz="4" w:space="0" w:color="auto"/>
            </w:tcBorders>
            <w:vAlign w:val="center"/>
          </w:tcPr>
          <w:p w14:paraId="6B07C150" w14:textId="77777777" w:rsidR="00913A0A" w:rsidRPr="0058047D" w:rsidRDefault="00913A0A" w:rsidP="00905D4E">
            <w:pPr>
              <w:pStyle w:val="TableText"/>
              <w:rPr>
                <w:rFonts w:ascii="Tahoma" w:hAnsi="Tahoma" w:cs="Tahoma"/>
                <w:sz w:val="13"/>
              </w:rPr>
            </w:pPr>
          </w:p>
        </w:tc>
      </w:tr>
      <w:tr w:rsidR="008A0F85" w:rsidRPr="0058047D" w14:paraId="0CEB80F0" w14:textId="77777777" w:rsidTr="00D5491B">
        <w:trPr>
          <w:cantSplit/>
          <w:trHeight w:val="145"/>
        </w:trPr>
        <w:tc>
          <w:tcPr>
            <w:tcW w:w="2371" w:type="dxa"/>
            <w:tcBorders>
              <w:bottom w:val="single" w:sz="4" w:space="0" w:color="auto"/>
            </w:tcBorders>
            <w:shd w:val="clear" w:color="auto" w:fill="FABF8F"/>
          </w:tcPr>
          <w:p w14:paraId="6694FF2E" w14:textId="77777777" w:rsidR="00913A0A" w:rsidRPr="0058047D" w:rsidRDefault="00913A0A" w:rsidP="00E077BC">
            <w:pPr>
              <w:pStyle w:val="Heading3"/>
              <w:spacing w:beforeLines="20" w:before="48" w:afterLines="20" w:after="48"/>
              <w:rPr>
                <w:rFonts w:ascii="Tahoma" w:hAnsi="Tahoma" w:cs="Tahoma"/>
                <w:b w:val="0"/>
                <w:sz w:val="14"/>
              </w:rPr>
            </w:pPr>
            <w:bookmarkStart w:id="94" w:name="_Toc336337887"/>
            <w:bookmarkStart w:id="95" w:name="_Toc371663291"/>
            <w:r w:rsidRPr="0058047D">
              <w:rPr>
                <w:rFonts w:ascii="Tahoma" w:hAnsi="Tahoma" w:cs="Tahoma"/>
                <w:b w:val="0"/>
                <w:sz w:val="14"/>
              </w:rPr>
              <w:t>Visio</w:t>
            </w:r>
            <w:r w:rsidR="00E53A46" w:rsidRPr="0058047D">
              <w:rPr>
                <w:rFonts w:ascii="Tahoma" w:hAnsi="Tahoma" w:cs="Tahoma"/>
                <w:b w:val="0"/>
                <w:sz w:val="14"/>
                <w:vertAlign w:val="superscript"/>
              </w:rPr>
              <w:t>®</w:t>
            </w:r>
            <w:r w:rsidRPr="0058047D">
              <w:rPr>
                <w:rFonts w:ascii="Tahoma" w:hAnsi="Tahoma" w:cs="Tahoma"/>
                <w:b w:val="0"/>
                <w:sz w:val="14"/>
              </w:rPr>
              <w:t xml:space="preserve"> 2013 Standard</w:t>
            </w:r>
            <w:bookmarkEnd w:id="94"/>
            <w:bookmarkEnd w:id="95"/>
            <w:r w:rsidRPr="0058047D">
              <w:rPr>
                <w:rFonts w:ascii="Tahoma" w:hAnsi="Tahoma" w:cs="Tahoma"/>
                <w:b w:val="0"/>
                <w:sz w:val="14"/>
              </w:rPr>
              <w:t xml:space="preserve"> </w:t>
            </w:r>
          </w:p>
        </w:tc>
        <w:tc>
          <w:tcPr>
            <w:tcW w:w="429" w:type="dxa"/>
            <w:tcBorders>
              <w:bottom w:val="single" w:sz="4" w:space="0" w:color="auto"/>
            </w:tcBorders>
            <w:shd w:val="clear" w:color="auto" w:fill="FABF8F"/>
            <w:vAlign w:val="center"/>
          </w:tcPr>
          <w:p w14:paraId="7D0E7674" w14:textId="77777777" w:rsidR="00913A0A" w:rsidRPr="0058047D"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2EE32BD0" w14:textId="77777777" w:rsidR="00913A0A" w:rsidRPr="0058047D" w:rsidRDefault="00913A0A" w:rsidP="00D55AB9">
            <w:pPr>
              <w:pStyle w:val="TableText"/>
              <w:spacing w:before="60" w:after="60"/>
              <w:rPr>
                <w:rFonts w:ascii="Tahoma" w:hAnsi="Tahoma" w:cs="Tahoma"/>
                <w:sz w:val="13"/>
              </w:rPr>
            </w:pPr>
            <w:r w:rsidRPr="0058047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C14A526" w14:textId="77777777" w:rsidR="00913A0A" w:rsidRPr="0058047D" w:rsidRDefault="00913A0A" w:rsidP="00D55AB9">
            <w:pPr>
              <w:pStyle w:val="TableText"/>
              <w:rPr>
                <w:rFonts w:ascii="Tahoma" w:hAnsi="Tahoma" w:cs="Tahoma"/>
                <w:sz w:val="13"/>
              </w:rPr>
            </w:pPr>
            <w:r w:rsidRPr="0058047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F1093CD"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429" w:type="dxa"/>
            <w:tcBorders>
              <w:bottom w:val="single" w:sz="4" w:space="0" w:color="auto"/>
            </w:tcBorders>
            <w:shd w:val="clear" w:color="auto" w:fill="FABF8F"/>
            <w:vAlign w:val="center"/>
          </w:tcPr>
          <w:p w14:paraId="5A02CFA6" w14:textId="77777777" w:rsidR="00913A0A" w:rsidRPr="0058047D" w:rsidRDefault="00913A0A" w:rsidP="00D55AB9">
            <w:pPr>
              <w:pStyle w:val="TableText"/>
              <w:rPr>
                <w:rFonts w:ascii="Tahoma" w:hAnsi="Tahoma" w:cs="Tahoma"/>
                <w:sz w:val="13"/>
              </w:rPr>
            </w:pPr>
            <w:r w:rsidRPr="0058047D">
              <w:rPr>
                <w:rFonts w:ascii="Tahoma" w:hAnsi="Tahoma" w:cs="Tahoma"/>
                <w:sz w:val="13"/>
              </w:rPr>
              <w:t>3</w:t>
            </w:r>
          </w:p>
        </w:tc>
        <w:tc>
          <w:tcPr>
            <w:tcW w:w="429" w:type="dxa"/>
            <w:tcBorders>
              <w:bottom w:val="single" w:sz="4" w:space="0" w:color="auto"/>
            </w:tcBorders>
            <w:shd w:val="clear" w:color="auto" w:fill="FABF8F"/>
            <w:vAlign w:val="center"/>
          </w:tcPr>
          <w:p w14:paraId="38E50BA4"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45FC617A"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7E34696C"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3BBD47D9"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77A3429"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353" w:type="dxa"/>
            <w:gridSpan w:val="2"/>
            <w:tcBorders>
              <w:left w:val="single" w:sz="18" w:space="0" w:color="auto"/>
              <w:bottom w:val="single" w:sz="4" w:space="0" w:color="auto"/>
            </w:tcBorders>
            <w:shd w:val="clear" w:color="auto" w:fill="FABF8F"/>
            <w:vAlign w:val="center"/>
          </w:tcPr>
          <w:p w14:paraId="562FEB0D"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360" w:type="dxa"/>
            <w:tcBorders>
              <w:bottom w:val="single" w:sz="4" w:space="0" w:color="auto"/>
            </w:tcBorders>
            <w:shd w:val="clear" w:color="auto" w:fill="FABF8F"/>
            <w:vAlign w:val="center"/>
          </w:tcPr>
          <w:p w14:paraId="0759299E"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14:paraId="029E485A"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414" w:type="dxa"/>
            <w:tcBorders>
              <w:left w:val="single" w:sz="18" w:space="0" w:color="auto"/>
              <w:bottom w:val="single" w:sz="4" w:space="0" w:color="auto"/>
            </w:tcBorders>
            <w:shd w:val="clear" w:color="auto" w:fill="FABF8F"/>
            <w:vAlign w:val="center"/>
          </w:tcPr>
          <w:p w14:paraId="0D4A4FC8" w14:textId="77777777" w:rsidR="00913A0A" w:rsidRPr="0058047D" w:rsidRDefault="00913A0A" w:rsidP="00D55AB9">
            <w:pPr>
              <w:pStyle w:val="TableText"/>
              <w:rPr>
                <w:rFonts w:ascii="Tahoma" w:hAnsi="Tahoma" w:cs="Tahoma"/>
                <w:sz w:val="13"/>
              </w:rPr>
            </w:pPr>
          </w:p>
        </w:tc>
        <w:tc>
          <w:tcPr>
            <w:tcW w:w="405" w:type="dxa"/>
            <w:tcBorders>
              <w:bottom w:val="single" w:sz="4" w:space="0" w:color="auto"/>
              <w:right w:val="single" w:sz="18" w:space="0" w:color="auto"/>
            </w:tcBorders>
            <w:shd w:val="clear" w:color="auto" w:fill="FABF8F"/>
            <w:vAlign w:val="center"/>
          </w:tcPr>
          <w:p w14:paraId="76E37024" w14:textId="77777777" w:rsidR="00913A0A" w:rsidRPr="0058047D" w:rsidRDefault="00913A0A" w:rsidP="00D55AB9">
            <w:pPr>
              <w:pStyle w:val="TableText"/>
              <w:rPr>
                <w:rFonts w:ascii="Tahoma" w:hAnsi="Tahoma" w:cs="Tahoma"/>
                <w:sz w:val="13"/>
              </w:rPr>
            </w:pPr>
            <w:r w:rsidRPr="0058047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0E5206AA" w14:textId="77777777" w:rsidR="00913A0A" w:rsidRPr="0058047D" w:rsidRDefault="00913A0A" w:rsidP="00D55AB9">
            <w:pPr>
              <w:pStyle w:val="TableText"/>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FABF8F"/>
            <w:vAlign w:val="center"/>
          </w:tcPr>
          <w:p w14:paraId="7BD65A2E" w14:textId="77777777" w:rsidR="00913A0A" w:rsidRPr="0058047D" w:rsidRDefault="00913A0A" w:rsidP="00D55AB9">
            <w:pPr>
              <w:pStyle w:val="TableText"/>
              <w:rPr>
                <w:rFonts w:ascii="Tahoma" w:hAnsi="Tahoma" w:cs="Tahoma"/>
                <w:sz w:val="13"/>
              </w:rPr>
            </w:pPr>
          </w:p>
        </w:tc>
        <w:tc>
          <w:tcPr>
            <w:tcW w:w="495" w:type="dxa"/>
            <w:tcBorders>
              <w:bottom w:val="single" w:sz="4" w:space="0" w:color="auto"/>
            </w:tcBorders>
            <w:shd w:val="clear" w:color="auto" w:fill="FABF8F"/>
            <w:vAlign w:val="center"/>
          </w:tcPr>
          <w:p w14:paraId="694EA047" w14:textId="77777777" w:rsidR="00913A0A" w:rsidRPr="0058047D" w:rsidRDefault="00913A0A" w:rsidP="00D55AB9">
            <w:pPr>
              <w:pStyle w:val="TableText"/>
              <w:rPr>
                <w:rFonts w:ascii="Tahoma" w:hAnsi="Tahoma" w:cs="Tahoma"/>
                <w:sz w:val="13"/>
              </w:rPr>
            </w:pPr>
          </w:p>
        </w:tc>
        <w:tc>
          <w:tcPr>
            <w:tcW w:w="370" w:type="dxa"/>
            <w:tcBorders>
              <w:bottom w:val="single" w:sz="4" w:space="0" w:color="auto"/>
            </w:tcBorders>
            <w:shd w:val="clear" w:color="auto" w:fill="FABF8F"/>
            <w:vAlign w:val="center"/>
          </w:tcPr>
          <w:p w14:paraId="0867B085" w14:textId="77777777" w:rsidR="00913A0A" w:rsidRPr="0058047D" w:rsidRDefault="00913A0A" w:rsidP="00905D4E">
            <w:pPr>
              <w:pStyle w:val="TableText"/>
              <w:rPr>
                <w:rFonts w:ascii="Tahoma" w:hAnsi="Tahoma" w:cs="Tahoma"/>
                <w:sz w:val="13"/>
              </w:rPr>
            </w:pPr>
          </w:p>
        </w:tc>
      </w:tr>
      <w:tr w:rsidR="00905D4E" w:rsidRPr="0058047D" w14:paraId="00B23B7D" w14:textId="77777777" w:rsidTr="0058047D">
        <w:trPr>
          <w:cantSplit/>
          <w:trHeight w:val="145"/>
        </w:trPr>
        <w:tc>
          <w:tcPr>
            <w:tcW w:w="2371" w:type="dxa"/>
            <w:tcBorders>
              <w:bottom w:val="single" w:sz="4" w:space="0" w:color="auto"/>
            </w:tcBorders>
            <w:shd w:val="clear" w:color="auto" w:fill="auto"/>
          </w:tcPr>
          <w:p w14:paraId="41BE2784" w14:textId="77777777" w:rsidR="00905D4E" w:rsidRPr="0058047D" w:rsidRDefault="00905D4E" w:rsidP="00E077BC">
            <w:pPr>
              <w:pStyle w:val="ProductNames"/>
              <w:spacing w:beforeLines="20" w:before="48" w:afterLines="20" w:after="48"/>
              <w:rPr>
                <w:rFonts w:ascii="Tahoma" w:hAnsi="Tahoma" w:cs="Tahoma"/>
                <w:sz w:val="14"/>
              </w:rPr>
            </w:pPr>
            <w:bookmarkStart w:id="96" w:name="_Toc371663292"/>
            <w:r w:rsidRPr="0058047D">
              <w:rPr>
                <w:rFonts w:ascii="Tahoma" w:hAnsi="Tahoma" w:cs="Tahoma"/>
                <w:sz w:val="14"/>
              </w:rPr>
              <w:t>Visio Pro per Office 365</w:t>
            </w:r>
            <w:bookmarkEnd w:id="96"/>
          </w:p>
        </w:tc>
        <w:tc>
          <w:tcPr>
            <w:tcW w:w="429" w:type="dxa"/>
            <w:tcBorders>
              <w:bottom w:val="single" w:sz="4" w:space="0" w:color="auto"/>
            </w:tcBorders>
            <w:shd w:val="clear" w:color="auto" w:fill="auto"/>
            <w:vAlign w:val="center"/>
          </w:tcPr>
          <w:p w14:paraId="36FED2DD" w14:textId="77777777" w:rsidR="00905D4E" w:rsidRPr="0058047D" w:rsidRDefault="00C86F50" w:rsidP="00D55AB9">
            <w:pPr>
              <w:pStyle w:val="TableText"/>
              <w:widowControl w:val="0"/>
              <w:rPr>
                <w:rStyle w:val="EndnoteReference"/>
                <w:rFonts w:cs="Tahoma"/>
                <w:b w:val="0"/>
                <w:color w:val="0000FF"/>
                <w:sz w:val="13"/>
                <w:szCs w:val="13"/>
                <w:u w:val="single"/>
              </w:rPr>
            </w:pPr>
            <w:hyperlink w:anchor="_18_Visio_Pro" w:history="1">
              <w:r w:rsidR="00BF5FC6" w:rsidRPr="0058047D">
                <w:rPr>
                  <w:rStyle w:val="Hyperlink"/>
                  <w:rFonts w:cs="Tahoma"/>
                  <w:b/>
                  <w:sz w:val="13"/>
                  <w:szCs w:val="13"/>
                </w:rPr>
                <w:t>19</w:t>
              </w:r>
            </w:hyperlink>
          </w:p>
        </w:tc>
        <w:tc>
          <w:tcPr>
            <w:tcW w:w="429" w:type="dxa"/>
            <w:tcBorders>
              <w:bottom w:val="single" w:sz="4" w:space="0" w:color="auto"/>
            </w:tcBorders>
            <w:shd w:val="clear" w:color="auto" w:fill="auto"/>
            <w:vAlign w:val="center"/>
          </w:tcPr>
          <w:p w14:paraId="68EC2EF1" w14:textId="77777777" w:rsidR="00905D4E" w:rsidRPr="0058047D" w:rsidRDefault="00905D4E" w:rsidP="00D55AB9">
            <w:pPr>
              <w:pStyle w:val="TableText"/>
              <w:spacing w:before="60" w:after="60"/>
              <w:rPr>
                <w:rFonts w:ascii="Tahoma" w:hAnsi="Tahoma" w:cs="Tahoma"/>
                <w:sz w:val="13"/>
              </w:rPr>
            </w:pPr>
            <w:r w:rsidRPr="0058047D">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47D1B867" w14:textId="77777777" w:rsidR="00905D4E" w:rsidRPr="0058047D" w:rsidRDefault="00905D4E" w:rsidP="00D55AB9">
            <w:pPr>
              <w:pStyle w:val="TableText"/>
              <w:rPr>
                <w:rFonts w:ascii="Tahoma" w:hAnsi="Tahoma" w:cs="Tahoma"/>
                <w:sz w:val="13"/>
              </w:rPr>
            </w:pPr>
            <w:r w:rsidRPr="0058047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39C33FD" w14:textId="77777777" w:rsidR="00905D4E" w:rsidRPr="0058047D"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2A835252" w14:textId="77777777" w:rsidR="00905D4E" w:rsidRPr="0058047D"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0AF9CC5D" w14:textId="77777777" w:rsidR="00905D4E" w:rsidRPr="0058047D"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2C21C495" w14:textId="77777777" w:rsidR="00905D4E" w:rsidRPr="0058047D"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267F55D5" w14:textId="77777777" w:rsidR="00905D4E" w:rsidRPr="0058047D"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E0C8DB7" w14:textId="77777777" w:rsidR="00905D4E" w:rsidRPr="0058047D"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2A58E4E" w14:textId="77777777" w:rsidR="00905D4E" w:rsidRPr="0058047D" w:rsidRDefault="00905D4E" w:rsidP="00D55AB9">
            <w:pPr>
              <w:pStyle w:val="TableText"/>
              <w:rPr>
                <w:rFonts w:ascii="Tahoma" w:hAnsi="Tahoma" w:cs="Tahoma"/>
                <w:sz w:val="13"/>
              </w:rPr>
            </w:pPr>
          </w:p>
        </w:tc>
        <w:tc>
          <w:tcPr>
            <w:tcW w:w="1091" w:type="dxa"/>
            <w:gridSpan w:val="4"/>
            <w:tcBorders>
              <w:left w:val="single" w:sz="18" w:space="0" w:color="auto"/>
              <w:bottom w:val="single" w:sz="4" w:space="0" w:color="auto"/>
              <w:right w:val="single" w:sz="18" w:space="0" w:color="auto"/>
            </w:tcBorders>
            <w:shd w:val="clear" w:color="auto" w:fill="auto"/>
            <w:vAlign w:val="center"/>
          </w:tcPr>
          <w:p w14:paraId="645124AB" w14:textId="77777777" w:rsidR="00905D4E" w:rsidRPr="0058047D" w:rsidRDefault="00905D4E" w:rsidP="00D55AB9">
            <w:pPr>
              <w:pStyle w:val="TableText"/>
              <w:rPr>
                <w:rFonts w:ascii="Tahoma" w:hAnsi="Tahoma" w:cs="Tahoma"/>
                <w:sz w:val="13"/>
              </w:rPr>
            </w:pPr>
            <w:r w:rsidRPr="0058047D">
              <w:rPr>
                <w:rFonts w:ascii="Tahoma" w:hAnsi="Tahoma" w:cs="Tahoma"/>
                <w:sz w:val="13"/>
              </w:rPr>
              <w:t>1</w:t>
            </w:r>
          </w:p>
        </w:tc>
        <w:tc>
          <w:tcPr>
            <w:tcW w:w="414" w:type="dxa"/>
            <w:tcBorders>
              <w:left w:val="single" w:sz="18" w:space="0" w:color="auto"/>
              <w:bottom w:val="single" w:sz="4" w:space="0" w:color="auto"/>
            </w:tcBorders>
            <w:shd w:val="clear" w:color="auto" w:fill="auto"/>
            <w:vAlign w:val="center"/>
          </w:tcPr>
          <w:p w14:paraId="17F8A843" w14:textId="77777777" w:rsidR="00905D4E" w:rsidRPr="0058047D" w:rsidRDefault="00905D4E" w:rsidP="00D55AB9">
            <w:pPr>
              <w:pStyle w:val="TableText"/>
              <w:rPr>
                <w:rFonts w:ascii="Tahoma" w:hAnsi="Tahoma" w:cs="Tahoma"/>
                <w:sz w:val="13"/>
              </w:rPr>
            </w:pPr>
          </w:p>
        </w:tc>
        <w:tc>
          <w:tcPr>
            <w:tcW w:w="405" w:type="dxa"/>
            <w:tcBorders>
              <w:bottom w:val="single" w:sz="4" w:space="0" w:color="auto"/>
              <w:right w:val="single" w:sz="18" w:space="0" w:color="auto"/>
            </w:tcBorders>
            <w:shd w:val="clear" w:color="auto" w:fill="auto"/>
            <w:vAlign w:val="center"/>
          </w:tcPr>
          <w:p w14:paraId="395BDAA5" w14:textId="77777777" w:rsidR="00905D4E" w:rsidRPr="0058047D" w:rsidRDefault="00905D4E" w:rsidP="00D55AB9">
            <w:pPr>
              <w:pStyle w:val="TableText"/>
              <w:rPr>
                <w:rFonts w:ascii="Tahoma" w:hAnsi="Tahoma" w:cs="Tahoma"/>
                <w:sz w:val="13"/>
              </w:rPr>
            </w:pPr>
            <w:r w:rsidRPr="0058047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14:paraId="13DFD0A6" w14:textId="77777777" w:rsidR="00905D4E" w:rsidRPr="0058047D" w:rsidRDefault="00905D4E" w:rsidP="00D55AB9">
            <w:pPr>
              <w:pStyle w:val="TableText"/>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auto"/>
            <w:vAlign w:val="center"/>
          </w:tcPr>
          <w:p w14:paraId="0C542894" w14:textId="77777777" w:rsidR="00905D4E" w:rsidRPr="0058047D" w:rsidRDefault="00905D4E" w:rsidP="00D55AB9">
            <w:pPr>
              <w:pStyle w:val="TableText"/>
              <w:rPr>
                <w:rFonts w:ascii="Tahoma" w:hAnsi="Tahoma" w:cs="Tahoma"/>
                <w:sz w:val="13"/>
              </w:rPr>
            </w:pPr>
          </w:p>
        </w:tc>
        <w:tc>
          <w:tcPr>
            <w:tcW w:w="495" w:type="dxa"/>
            <w:tcBorders>
              <w:bottom w:val="single" w:sz="4" w:space="0" w:color="auto"/>
            </w:tcBorders>
            <w:shd w:val="clear" w:color="auto" w:fill="auto"/>
            <w:vAlign w:val="center"/>
          </w:tcPr>
          <w:p w14:paraId="13A5790E" w14:textId="77777777" w:rsidR="00905D4E" w:rsidRPr="0058047D" w:rsidRDefault="00905D4E" w:rsidP="00D55AB9">
            <w:pPr>
              <w:pStyle w:val="TableText"/>
              <w:rPr>
                <w:rFonts w:ascii="Tahoma" w:hAnsi="Tahoma" w:cs="Tahoma"/>
                <w:sz w:val="13"/>
              </w:rPr>
            </w:pPr>
            <w:r w:rsidRPr="0058047D">
              <w:rPr>
                <w:rFonts w:ascii="Tahoma" w:hAnsi="Tahoma" w:cs="Tahoma"/>
                <w:sz w:val="13"/>
              </w:rPr>
              <w:t>OL/OV</w:t>
            </w:r>
          </w:p>
        </w:tc>
        <w:tc>
          <w:tcPr>
            <w:tcW w:w="370" w:type="dxa"/>
            <w:tcBorders>
              <w:bottom w:val="single" w:sz="4" w:space="0" w:color="auto"/>
            </w:tcBorders>
            <w:vAlign w:val="center"/>
          </w:tcPr>
          <w:p w14:paraId="4E21C5E8" w14:textId="77777777" w:rsidR="00905D4E" w:rsidRPr="0058047D" w:rsidRDefault="00905D4E" w:rsidP="00905D4E">
            <w:pPr>
              <w:pStyle w:val="TableText"/>
              <w:rPr>
                <w:rFonts w:ascii="Tahoma" w:hAnsi="Tahoma" w:cs="Tahoma"/>
                <w:sz w:val="13"/>
              </w:rPr>
            </w:pPr>
          </w:p>
        </w:tc>
      </w:tr>
      <w:tr w:rsidR="00905D4E" w:rsidRPr="0058047D" w14:paraId="1ED7709B" w14:textId="77777777" w:rsidTr="0058047D">
        <w:trPr>
          <w:cantSplit/>
          <w:trHeight w:val="145"/>
        </w:trPr>
        <w:tc>
          <w:tcPr>
            <w:tcW w:w="2371" w:type="dxa"/>
            <w:tcBorders>
              <w:bottom w:val="single" w:sz="4" w:space="0" w:color="auto"/>
            </w:tcBorders>
            <w:shd w:val="clear" w:color="auto" w:fill="FABF8F"/>
            <w:vAlign w:val="center"/>
          </w:tcPr>
          <w:p w14:paraId="50A0D498" w14:textId="77777777" w:rsidR="00905D4E" w:rsidRPr="003F471F" w:rsidRDefault="00905D4E" w:rsidP="00E077BC">
            <w:pPr>
              <w:pStyle w:val="ProductNames"/>
              <w:spacing w:beforeLines="20" w:before="48" w:afterLines="20" w:after="48"/>
              <w:rPr>
                <w:rFonts w:ascii="Tahoma" w:hAnsi="Tahoma" w:cs="Tahoma"/>
                <w:sz w:val="14"/>
                <w:lang w:val="it-IT"/>
              </w:rPr>
            </w:pPr>
            <w:bookmarkStart w:id="97" w:name="_Toc371663293"/>
            <w:r w:rsidRPr="003F471F">
              <w:rPr>
                <w:rFonts w:ascii="Tahoma" w:hAnsi="Tahoma" w:cs="Tahoma"/>
                <w:sz w:val="14"/>
                <w:lang w:val="it-IT"/>
              </w:rPr>
              <w:t>Visio Pro per Office 365 A</w:t>
            </w:r>
            <w:bookmarkEnd w:id="97"/>
          </w:p>
        </w:tc>
        <w:tc>
          <w:tcPr>
            <w:tcW w:w="429" w:type="dxa"/>
            <w:tcBorders>
              <w:bottom w:val="single" w:sz="4" w:space="0" w:color="auto"/>
            </w:tcBorders>
            <w:shd w:val="clear" w:color="auto" w:fill="FABF8F"/>
            <w:vAlign w:val="center"/>
          </w:tcPr>
          <w:p w14:paraId="4508AF2D" w14:textId="77777777" w:rsidR="00905D4E" w:rsidRPr="003F471F" w:rsidRDefault="00905D4E" w:rsidP="00D55AB9">
            <w:pPr>
              <w:pStyle w:val="TableText"/>
              <w:widowControl w:val="0"/>
              <w:rPr>
                <w:rStyle w:val="EndnoteReference"/>
                <w:rFonts w:cs="Tahoma"/>
                <w:color w:val="0000FF"/>
                <w:sz w:val="13"/>
                <w:szCs w:val="13"/>
                <w:u w:val="single"/>
                <w:lang w:val="it-IT"/>
              </w:rPr>
            </w:pPr>
          </w:p>
        </w:tc>
        <w:tc>
          <w:tcPr>
            <w:tcW w:w="429" w:type="dxa"/>
            <w:tcBorders>
              <w:bottom w:val="single" w:sz="4" w:space="0" w:color="auto"/>
            </w:tcBorders>
            <w:shd w:val="clear" w:color="auto" w:fill="FABF8F"/>
            <w:vAlign w:val="center"/>
          </w:tcPr>
          <w:p w14:paraId="79351C1F" w14:textId="77777777" w:rsidR="00905D4E" w:rsidRPr="0058047D" w:rsidRDefault="00905D4E" w:rsidP="00D55AB9">
            <w:pPr>
              <w:pStyle w:val="TableText"/>
              <w:spacing w:before="60" w:after="60"/>
              <w:rPr>
                <w:rFonts w:ascii="Tahoma" w:hAnsi="Tahoma" w:cs="Tahoma"/>
                <w:sz w:val="13"/>
              </w:rPr>
            </w:pPr>
            <w:r w:rsidRPr="0058047D">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0584DC1C" w14:textId="77777777" w:rsidR="00905D4E" w:rsidRPr="0058047D" w:rsidRDefault="00905D4E" w:rsidP="00D55AB9">
            <w:pPr>
              <w:pStyle w:val="TableText"/>
              <w:rPr>
                <w:rFonts w:ascii="Tahoma" w:hAnsi="Tahoma" w:cs="Tahoma"/>
                <w:sz w:val="13"/>
              </w:rPr>
            </w:pPr>
            <w:r w:rsidRPr="0058047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4FCC19D" w14:textId="77777777" w:rsidR="00905D4E" w:rsidRPr="0058047D"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7F9C7AA6" w14:textId="77777777" w:rsidR="00905D4E" w:rsidRPr="0058047D"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311A319C" w14:textId="77777777" w:rsidR="00905D4E" w:rsidRPr="0058047D"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4EDF886" w14:textId="77777777" w:rsidR="00905D4E" w:rsidRPr="0058047D"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8641820" w14:textId="77777777" w:rsidR="00905D4E" w:rsidRPr="0058047D"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2FE6F99" w14:textId="77777777" w:rsidR="00905D4E" w:rsidRPr="0058047D"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60C109B" w14:textId="77777777" w:rsidR="00905D4E" w:rsidRPr="0058047D" w:rsidRDefault="00905D4E" w:rsidP="00D55AB9">
            <w:pPr>
              <w:pStyle w:val="TableText"/>
              <w:rPr>
                <w:rFonts w:ascii="Tahoma" w:hAnsi="Tahoma" w:cs="Tahoma"/>
                <w:sz w:val="13"/>
              </w:rPr>
            </w:pPr>
          </w:p>
        </w:tc>
        <w:tc>
          <w:tcPr>
            <w:tcW w:w="1091" w:type="dxa"/>
            <w:gridSpan w:val="4"/>
            <w:tcBorders>
              <w:left w:val="single" w:sz="18" w:space="0" w:color="auto"/>
              <w:bottom w:val="single" w:sz="4" w:space="0" w:color="auto"/>
              <w:right w:val="single" w:sz="18" w:space="0" w:color="auto"/>
            </w:tcBorders>
            <w:shd w:val="clear" w:color="auto" w:fill="FABF8F"/>
            <w:vAlign w:val="center"/>
          </w:tcPr>
          <w:p w14:paraId="07E5E3DA" w14:textId="77777777" w:rsidR="00905D4E" w:rsidRPr="0058047D" w:rsidRDefault="00905D4E" w:rsidP="00D55AB9">
            <w:pPr>
              <w:pStyle w:val="TableText"/>
              <w:rPr>
                <w:rFonts w:ascii="Tahoma" w:hAnsi="Tahoma" w:cs="Tahoma"/>
                <w:sz w:val="13"/>
              </w:rPr>
            </w:pPr>
            <w:r w:rsidRPr="0058047D">
              <w:rPr>
                <w:rFonts w:ascii="Tahoma" w:hAnsi="Tahoma" w:cs="Tahoma"/>
                <w:sz w:val="13"/>
              </w:rPr>
              <w:t>1</w:t>
            </w:r>
          </w:p>
        </w:tc>
        <w:tc>
          <w:tcPr>
            <w:tcW w:w="414" w:type="dxa"/>
            <w:tcBorders>
              <w:left w:val="single" w:sz="18" w:space="0" w:color="auto"/>
              <w:bottom w:val="single" w:sz="4" w:space="0" w:color="auto"/>
            </w:tcBorders>
            <w:shd w:val="clear" w:color="auto" w:fill="FABF8F"/>
            <w:vAlign w:val="center"/>
          </w:tcPr>
          <w:p w14:paraId="1962D7FF" w14:textId="77777777" w:rsidR="00905D4E" w:rsidRPr="0058047D" w:rsidRDefault="00905D4E" w:rsidP="00D55AB9">
            <w:pPr>
              <w:pStyle w:val="TableText"/>
              <w:rPr>
                <w:rFonts w:ascii="Tahoma" w:hAnsi="Tahoma" w:cs="Tahoma"/>
                <w:sz w:val="13"/>
              </w:rPr>
            </w:pPr>
            <w:r w:rsidRPr="0058047D">
              <w:rPr>
                <w:rFonts w:ascii="Tahoma" w:hAnsi="Tahoma" w:cs="Tahoma"/>
                <w:sz w:val="13"/>
              </w:rPr>
              <w:t>1</w:t>
            </w:r>
          </w:p>
        </w:tc>
        <w:tc>
          <w:tcPr>
            <w:tcW w:w="405" w:type="dxa"/>
            <w:tcBorders>
              <w:bottom w:val="single" w:sz="4" w:space="0" w:color="auto"/>
              <w:right w:val="single" w:sz="18" w:space="0" w:color="auto"/>
            </w:tcBorders>
            <w:shd w:val="clear" w:color="auto" w:fill="FABF8F"/>
            <w:vAlign w:val="center"/>
          </w:tcPr>
          <w:p w14:paraId="00051527" w14:textId="77777777" w:rsidR="00905D4E" w:rsidRPr="0058047D" w:rsidRDefault="00905D4E" w:rsidP="00D55AB9">
            <w:pPr>
              <w:pStyle w:val="TableText"/>
              <w:rPr>
                <w:rFonts w:ascii="Tahoma" w:hAnsi="Tahoma" w:cs="Tahoma"/>
                <w:sz w:val="13"/>
              </w:rPr>
            </w:pPr>
            <w:r w:rsidRPr="0058047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5E091F88" w14:textId="77777777" w:rsidR="00905D4E" w:rsidRPr="0058047D" w:rsidRDefault="00905D4E" w:rsidP="00D55AB9">
            <w:pPr>
              <w:pStyle w:val="TableText"/>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FABF8F"/>
            <w:vAlign w:val="center"/>
          </w:tcPr>
          <w:p w14:paraId="1F0B7E40" w14:textId="77777777" w:rsidR="00905D4E" w:rsidRPr="0058047D" w:rsidRDefault="00905D4E" w:rsidP="00905D4E">
            <w:pPr>
              <w:pStyle w:val="TableText"/>
              <w:rPr>
                <w:rFonts w:ascii="Tahoma" w:hAnsi="Tahoma" w:cs="Tahoma"/>
                <w:sz w:val="13"/>
              </w:rPr>
            </w:pPr>
            <w:r w:rsidRPr="0058047D">
              <w:rPr>
                <w:rFonts w:ascii="Tahoma" w:hAnsi="Tahoma" w:cs="Tahoma"/>
                <w:sz w:val="13"/>
              </w:rPr>
              <w:t>A, ST (EES), A (OVS-ES)</w:t>
            </w:r>
          </w:p>
        </w:tc>
        <w:tc>
          <w:tcPr>
            <w:tcW w:w="495" w:type="dxa"/>
            <w:tcBorders>
              <w:bottom w:val="single" w:sz="4" w:space="0" w:color="auto"/>
            </w:tcBorders>
            <w:shd w:val="clear" w:color="auto" w:fill="FABF8F"/>
            <w:vAlign w:val="center"/>
          </w:tcPr>
          <w:p w14:paraId="16F7166C" w14:textId="77777777" w:rsidR="00905D4E" w:rsidRPr="0058047D" w:rsidRDefault="00905D4E" w:rsidP="00D55AB9">
            <w:pPr>
              <w:pStyle w:val="TableText"/>
              <w:rPr>
                <w:rFonts w:ascii="Tahoma" w:hAnsi="Tahoma" w:cs="Tahoma"/>
                <w:sz w:val="13"/>
              </w:rPr>
            </w:pPr>
            <w:r w:rsidRPr="0058047D">
              <w:rPr>
                <w:rFonts w:ascii="Tahoma" w:hAnsi="Tahoma" w:cs="Tahoma"/>
                <w:sz w:val="13"/>
              </w:rPr>
              <w:t>OL/OV</w:t>
            </w:r>
          </w:p>
        </w:tc>
        <w:tc>
          <w:tcPr>
            <w:tcW w:w="370" w:type="dxa"/>
            <w:tcBorders>
              <w:bottom w:val="single" w:sz="4" w:space="0" w:color="auto"/>
            </w:tcBorders>
            <w:shd w:val="clear" w:color="auto" w:fill="FABF8F"/>
            <w:vAlign w:val="center"/>
          </w:tcPr>
          <w:p w14:paraId="2023F76A" w14:textId="77777777" w:rsidR="00905D4E" w:rsidRPr="0058047D" w:rsidRDefault="00905D4E" w:rsidP="00905D4E">
            <w:pPr>
              <w:pStyle w:val="TableText"/>
              <w:rPr>
                <w:rFonts w:ascii="Tahoma" w:hAnsi="Tahoma" w:cs="Tahoma"/>
                <w:sz w:val="13"/>
              </w:rPr>
            </w:pPr>
          </w:p>
        </w:tc>
      </w:tr>
      <w:tr w:rsidR="00913A0A" w:rsidRPr="0058047D" w14:paraId="1832EBD9" w14:textId="77777777" w:rsidTr="00D5491B">
        <w:trPr>
          <w:cantSplit/>
          <w:trHeight w:val="145"/>
        </w:trPr>
        <w:tc>
          <w:tcPr>
            <w:tcW w:w="2371" w:type="dxa"/>
            <w:tcBorders>
              <w:bottom w:val="single" w:sz="4" w:space="0" w:color="auto"/>
            </w:tcBorders>
            <w:shd w:val="clear" w:color="auto" w:fill="auto"/>
          </w:tcPr>
          <w:p w14:paraId="4A07AEA5" w14:textId="77777777" w:rsidR="00913A0A" w:rsidRPr="0058047D" w:rsidRDefault="00913A0A" w:rsidP="00E077BC">
            <w:pPr>
              <w:pStyle w:val="ProductNames"/>
              <w:spacing w:beforeLines="20" w:before="48" w:afterLines="20" w:after="48"/>
              <w:rPr>
                <w:rFonts w:ascii="Tahoma" w:hAnsi="Tahoma" w:cs="Tahoma"/>
                <w:sz w:val="14"/>
              </w:rPr>
            </w:pPr>
            <w:bookmarkStart w:id="98" w:name="_Toc336337889"/>
            <w:bookmarkStart w:id="99" w:name="_Toc371663294"/>
            <w:r w:rsidRPr="0058047D">
              <w:rPr>
                <w:rFonts w:ascii="Tahoma" w:hAnsi="Tahoma" w:cs="Tahoma"/>
                <w:sz w:val="14"/>
              </w:rPr>
              <w:t>Visual Studio</w:t>
            </w:r>
            <w:r w:rsidR="00E53A46" w:rsidRPr="0058047D">
              <w:rPr>
                <w:rFonts w:ascii="Tahoma" w:hAnsi="Tahoma" w:cs="Tahoma"/>
                <w:sz w:val="14"/>
                <w:vertAlign w:val="superscript"/>
              </w:rPr>
              <w:t>®</w:t>
            </w:r>
            <w:r w:rsidRPr="0058047D">
              <w:rPr>
                <w:rFonts w:ascii="Tahoma" w:hAnsi="Tahoma" w:cs="Tahoma"/>
                <w:sz w:val="14"/>
              </w:rPr>
              <w:t xml:space="preserve"> Professional </w:t>
            </w:r>
            <w:bookmarkEnd w:id="98"/>
            <w:r w:rsidRPr="0058047D">
              <w:rPr>
                <w:rFonts w:ascii="Tahoma" w:hAnsi="Tahoma" w:cs="Tahoma"/>
                <w:sz w:val="14"/>
              </w:rPr>
              <w:t>2013</w:t>
            </w:r>
            <w:bookmarkEnd w:id="99"/>
          </w:p>
        </w:tc>
        <w:tc>
          <w:tcPr>
            <w:tcW w:w="429" w:type="dxa"/>
            <w:tcBorders>
              <w:bottom w:val="single" w:sz="4" w:space="0" w:color="auto"/>
            </w:tcBorders>
            <w:shd w:val="clear" w:color="auto" w:fill="auto"/>
            <w:vAlign w:val="center"/>
          </w:tcPr>
          <w:p w14:paraId="23C3BC98" w14:textId="77777777" w:rsidR="00913A0A" w:rsidRPr="0058047D" w:rsidRDefault="00C86F50" w:rsidP="00D55AB9">
            <w:pPr>
              <w:pStyle w:val="TableText"/>
              <w:widowControl w:val="0"/>
              <w:rPr>
                <w:b/>
                <w:color w:val="0000FF"/>
                <w:sz w:val="13"/>
                <w:szCs w:val="13"/>
                <w:u w:val="single"/>
              </w:rPr>
            </w:pPr>
            <w:hyperlink w:anchor="_19_Visual_Studio" w:history="1">
              <w:r w:rsidR="00BF5FC6" w:rsidRPr="0058047D">
                <w:rPr>
                  <w:rStyle w:val="Hyperlink"/>
                  <w:b/>
                  <w:sz w:val="13"/>
                  <w:szCs w:val="13"/>
                </w:rPr>
                <w:t>20</w:t>
              </w:r>
            </w:hyperlink>
          </w:p>
        </w:tc>
        <w:tc>
          <w:tcPr>
            <w:tcW w:w="429" w:type="dxa"/>
            <w:tcBorders>
              <w:bottom w:val="single" w:sz="4" w:space="0" w:color="auto"/>
            </w:tcBorders>
            <w:shd w:val="clear" w:color="auto" w:fill="auto"/>
            <w:vAlign w:val="center"/>
          </w:tcPr>
          <w:p w14:paraId="2726E617" w14:textId="77777777" w:rsidR="00913A0A" w:rsidRPr="0058047D" w:rsidRDefault="00C86F50" w:rsidP="00C86F50">
            <w:pPr>
              <w:pStyle w:val="TableText"/>
              <w:spacing w:before="60" w:after="60"/>
              <w:rPr>
                <w:rFonts w:ascii="Tahoma" w:hAnsi="Tahoma" w:cs="Tahoma"/>
                <w:sz w:val="13"/>
              </w:rPr>
            </w:pPr>
            <w:r>
              <w:rPr>
                <w:rFonts w:ascii="Tahoma" w:hAnsi="Tahoma" w:cs="Tahoma"/>
                <w:sz w:val="13"/>
              </w:rPr>
              <w:t>1</w:t>
            </w:r>
            <w:r w:rsidR="00913A0A" w:rsidRPr="0058047D">
              <w:rPr>
                <w:rFonts w:ascii="Tahoma" w:hAnsi="Tahoma" w:cs="Tahoma"/>
                <w:sz w:val="13"/>
              </w:rPr>
              <w:t>0/1</w:t>
            </w:r>
            <w:r>
              <w:rPr>
                <w:rFonts w:ascii="Tahoma" w:hAnsi="Tahoma" w:cs="Tahoma"/>
                <w:sz w:val="13"/>
              </w:rPr>
              <w:t>3</w:t>
            </w:r>
          </w:p>
        </w:tc>
        <w:tc>
          <w:tcPr>
            <w:tcW w:w="429" w:type="dxa"/>
            <w:tcBorders>
              <w:bottom w:val="single" w:sz="4" w:space="0" w:color="auto"/>
              <w:right w:val="single" w:sz="18" w:space="0" w:color="auto"/>
            </w:tcBorders>
            <w:shd w:val="clear" w:color="auto" w:fill="auto"/>
            <w:vAlign w:val="center"/>
          </w:tcPr>
          <w:p w14:paraId="1A55D627" w14:textId="77777777" w:rsidR="00913A0A" w:rsidRPr="0058047D"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A0548D1" w14:textId="77777777" w:rsidR="00913A0A" w:rsidRPr="0058047D" w:rsidRDefault="00913A0A" w:rsidP="00D55AB9">
            <w:pPr>
              <w:pStyle w:val="TableText"/>
              <w:spacing w:after="12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auto"/>
            <w:vAlign w:val="center"/>
          </w:tcPr>
          <w:p w14:paraId="67C77209" w14:textId="77777777" w:rsidR="00913A0A" w:rsidRPr="0058047D"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696EA3A0" w14:textId="77777777" w:rsidR="00913A0A" w:rsidRPr="0058047D"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54882197" w14:textId="77777777" w:rsidR="00913A0A" w:rsidRPr="0058047D"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057D905A" w14:textId="77777777" w:rsidR="00913A0A" w:rsidRPr="0058047D"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3D176ECA" w14:textId="77777777" w:rsidR="00913A0A" w:rsidRPr="0058047D"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70207A9" w14:textId="77777777" w:rsidR="00913A0A" w:rsidRPr="0058047D" w:rsidRDefault="00913A0A" w:rsidP="00D55AB9">
            <w:pPr>
              <w:pStyle w:val="TableText"/>
              <w:spacing w:after="120"/>
              <w:rPr>
                <w:rFonts w:ascii="Tahoma" w:hAnsi="Tahoma" w:cs="Tahoma"/>
                <w:sz w:val="13"/>
              </w:rPr>
            </w:pPr>
          </w:p>
        </w:tc>
        <w:tc>
          <w:tcPr>
            <w:tcW w:w="353" w:type="dxa"/>
            <w:gridSpan w:val="2"/>
            <w:tcBorders>
              <w:left w:val="single" w:sz="18" w:space="0" w:color="auto"/>
              <w:bottom w:val="single" w:sz="4" w:space="0" w:color="auto"/>
            </w:tcBorders>
            <w:shd w:val="clear" w:color="auto" w:fill="auto"/>
            <w:vAlign w:val="center"/>
          </w:tcPr>
          <w:p w14:paraId="33ECB4CA" w14:textId="77777777" w:rsidR="00913A0A" w:rsidRPr="0058047D" w:rsidRDefault="00913A0A" w:rsidP="00D55AB9">
            <w:pPr>
              <w:pStyle w:val="TableText"/>
              <w:spacing w:after="120"/>
              <w:rPr>
                <w:rFonts w:ascii="Tahoma" w:hAnsi="Tahoma" w:cs="Tahoma"/>
                <w:sz w:val="13"/>
              </w:rPr>
            </w:pPr>
            <w:r w:rsidRPr="0058047D">
              <w:rPr>
                <w:rFonts w:ascii="Tahoma" w:hAnsi="Tahoma" w:cs="Tahoma"/>
                <w:sz w:val="13"/>
              </w:rPr>
              <w:t>2</w:t>
            </w:r>
          </w:p>
        </w:tc>
        <w:tc>
          <w:tcPr>
            <w:tcW w:w="360" w:type="dxa"/>
            <w:tcBorders>
              <w:bottom w:val="single" w:sz="4" w:space="0" w:color="auto"/>
            </w:tcBorders>
            <w:shd w:val="clear" w:color="auto" w:fill="auto"/>
            <w:vAlign w:val="center"/>
          </w:tcPr>
          <w:p w14:paraId="1AE06D6C" w14:textId="77777777" w:rsidR="00913A0A" w:rsidRPr="0058047D" w:rsidRDefault="00913A0A" w:rsidP="00D55AB9">
            <w:pPr>
              <w:pStyle w:val="TableText"/>
              <w:spacing w:after="12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14:paraId="2ED27904" w14:textId="77777777" w:rsidR="00913A0A" w:rsidRPr="0058047D" w:rsidRDefault="00913A0A" w:rsidP="00D55AB9">
            <w:pPr>
              <w:pStyle w:val="TableText"/>
              <w:spacing w:after="120"/>
              <w:rPr>
                <w:rFonts w:ascii="Tahoma" w:hAnsi="Tahoma" w:cs="Tahoma"/>
                <w:sz w:val="13"/>
              </w:rPr>
            </w:pPr>
          </w:p>
        </w:tc>
        <w:tc>
          <w:tcPr>
            <w:tcW w:w="414" w:type="dxa"/>
            <w:tcBorders>
              <w:left w:val="single" w:sz="18" w:space="0" w:color="auto"/>
              <w:bottom w:val="single" w:sz="4" w:space="0" w:color="auto"/>
            </w:tcBorders>
            <w:shd w:val="clear" w:color="auto" w:fill="auto"/>
            <w:vAlign w:val="center"/>
          </w:tcPr>
          <w:p w14:paraId="5B794B72" w14:textId="77777777" w:rsidR="00913A0A" w:rsidRPr="0058047D" w:rsidRDefault="00913A0A" w:rsidP="00D55AB9">
            <w:pPr>
              <w:pStyle w:val="TableText"/>
              <w:spacing w:before="120" w:after="120"/>
              <w:rPr>
                <w:rFonts w:ascii="Tahoma" w:hAnsi="Tahoma" w:cs="Tahoma"/>
                <w:sz w:val="13"/>
              </w:rPr>
            </w:pPr>
          </w:p>
        </w:tc>
        <w:tc>
          <w:tcPr>
            <w:tcW w:w="405" w:type="dxa"/>
            <w:tcBorders>
              <w:bottom w:val="single" w:sz="4" w:space="0" w:color="auto"/>
              <w:right w:val="single" w:sz="18" w:space="0" w:color="auto"/>
            </w:tcBorders>
            <w:shd w:val="clear" w:color="auto" w:fill="auto"/>
            <w:vAlign w:val="center"/>
          </w:tcPr>
          <w:p w14:paraId="575028B5" w14:textId="77777777" w:rsidR="00913A0A" w:rsidRPr="0058047D" w:rsidRDefault="00913A0A" w:rsidP="00D55AB9">
            <w:pPr>
              <w:pStyle w:val="TableText"/>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39368EDB" w14:textId="77777777" w:rsidR="00913A0A" w:rsidRPr="0058047D" w:rsidRDefault="00913A0A" w:rsidP="00D55AB9">
            <w:pPr>
              <w:pStyle w:val="TableText"/>
              <w:rPr>
                <w:rFonts w:ascii="Tahoma" w:hAnsi="Tahoma" w:cs="Tahoma"/>
                <w:sz w:val="13"/>
              </w:rPr>
            </w:pPr>
          </w:p>
        </w:tc>
        <w:tc>
          <w:tcPr>
            <w:tcW w:w="810" w:type="dxa"/>
            <w:tcBorders>
              <w:bottom w:val="single" w:sz="4" w:space="0" w:color="auto"/>
            </w:tcBorders>
            <w:shd w:val="clear" w:color="auto" w:fill="auto"/>
            <w:vAlign w:val="center"/>
          </w:tcPr>
          <w:p w14:paraId="7D133EFF" w14:textId="77777777" w:rsidR="00913A0A" w:rsidRPr="0058047D" w:rsidRDefault="00913A0A" w:rsidP="00D55AB9">
            <w:pPr>
              <w:pStyle w:val="TableText"/>
              <w:rPr>
                <w:rFonts w:ascii="Tahoma" w:hAnsi="Tahoma" w:cs="Tahoma"/>
                <w:sz w:val="13"/>
              </w:rPr>
            </w:pPr>
          </w:p>
        </w:tc>
        <w:tc>
          <w:tcPr>
            <w:tcW w:w="495" w:type="dxa"/>
            <w:tcBorders>
              <w:bottom w:val="single" w:sz="4" w:space="0" w:color="auto"/>
            </w:tcBorders>
            <w:shd w:val="clear" w:color="auto" w:fill="auto"/>
            <w:vAlign w:val="center"/>
          </w:tcPr>
          <w:p w14:paraId="6664BBDD" w14:textId="77777777" w:rsidR="00913A0A" w:rsidRPr="0058047D" w:rsidRDefault="00913A0A" w:rsidP="00D55AB9">
            <w:pPr>
              <w:pStyle w:val="TableText"/>
              <w:rPr>
                <w:rFonts w:ascii="Tahoma" w:hAnsi="Tahoma" w:cs="Tahoma"/>
                <w:sz w:val="13"/>
              </w:rPr>
            </w:pPr>
          </w:p>
        </w:tc>
        <w:tc>
          <w:tcPr>
            <w:tcW w:w="370" w:type="dxa"/>
            <w:tcBorders>
              <w:bottom w:val="single" w:sz="4" w:space="0" w:color="auto"/>
            </w:tcBorders>
            <w:vAlign w:val="center"/>
          </w:tcPr>
          <w:p w14:paraId="4187F79C" w14:textId="77777777" w:rsidR="00913A0A" w:rsidRPr="0058047D" w:rsidRDefault="00913A0A" w:rsidP="00905D4E">
            <w:pPr>
              <w:pStyle w:val="TableText"/>
              <w:rPr>
                <w:rFonts w:ascii="Tahoma" w:hAnsi="Tahoma" w:cs="Tahoma"/>
                <w:sz w:val="13"/>
              </w:rPr>
            </w:pPr>
          </w:p>
        </w:tc>
      </w:tr>
      <w:tr w:rsidR="008A0F85" w:rsidRPr="0058047D" w14:paraId="5849A3CD" w14:textId="77777777" w:rsidTr="00D5491B">
        <w:trPr>
          <w:cantSplit/>
          <w:trHeight w:val="145"/>
        </w:trPr>
        <w:tc>
          <w:tcPr>
            <w:tcW w:w="2371" w:type="dxa"/>
            <w:tcBorders>
              <w:bottom w:val="single" w:sz="4" w:space="0" w:color="auto"/>
            </w:tcBorders>
            <w:shd w:val="clear" w:color="auto" w:fill="FABF8F"/>
          </w:tcPr>
          <w:p w14:paraId="748EA4F1" w14:textId="77777777" w:rsidR="00913A0A" w:rsidRPr="003F471F" w:rsidRDefault="00913A0A" w:rsidP="00D5491B">
            <w:pPr>
              <w:pStyle w:val="ProductNames"/>
              <w:spacing w:beforeLines="20" w:before="48" w:afterLines="20" w:after="48"/>
              <w:rPr>
                <w:rFonts w:ascii="Tahoma" w:hAnsi="Tahoma" w:cs="Tahoma"/>
                <w:sz w:val="14"/>
                <w:lang w:val="it-IT"/>
              </w:rPr>
            </w:pPr>
            <w:bookmarkStart w:id="100" w:name="_Toc336337890"/>
            <w:bookmarkStart w:id="101" w:name="_Toc371663295"/>
            <w:r w:rsidRPr="003F471F">
              <w:rPr>
                <w:rFonts w:ascii="Tahoma" w:hAnsi="Tahoma" w:cs="Tahoma"/>
                <w:sz w:val="14"/>
                <w:lang w:val="it-IT"/>
              </w:rPr>
              <w:t>Visual Studio</w:t>
            </w:r>
            <w:r w:rsidR="00E53A46" w:rsidRPr="003F471F">
              <w:rPr>
                <w:rFonts w:ascii="Tahoma" w:hAnsi="Tahoma" w:cs="Tahoma"/>
                <w:sz w:val="14"/>
                <w:vertAlign w:val="superscript"/>
                <w:lang w:val="it-IT"/>
              </w:rPr>
              <w:t>®</w:t>
            </w:r>
            <w:r w:rsidRPr="003F471F">
              <w:rPr>
                <w:rFonts w:ascii="Tahoma" w:hAnsi="Tahoma" w:cs="Tahoma"/>
                <w:sz w:val="14"/>
                <w:lang w:val="it-IT"/>
              </w:rPr>
              <w:t xml:space="preserve"> Professional 2013 con</w:t>
            </w:r>
            <w:r w:rsidR="00D5491B" w:rsidRPr="003F471F">
              <w:rPr>
                <w:rFonts w:ascii="Tahoma" w:hAnsi="Tahoma" w:cs="Tahoma"/>
                <w:sz w:val="14"/>
                <w:lang w:val="it-IT"/>
              </w:rPr>
              <w:t> </w:t>
            </w:r>
            <w:r w:rsidRPr="003F471F">
              <w:rPr>
                <w:rFonts w:ascii="Tahoma" w:hAnsi="Tahoma" w:cs="Tahoma"/>
                <w:sz w:val="14"/>
                <w:lang w:val="it-IT"/>
              </w:rPr>
              <w:t>MSDN</w:t>
            </w:r>
            <w:bookmarkEnd w:id="100"/>
            <w:bookmarkEnd w:id="101"/>
            <w:r w:rsidRPr="003F471F">
              <w:rPr>
                <w:rFonts w:ascii="Tahoma" w:hAnsi="Tahoma" w:cs="Tahoma"/>
                <w:sz w:val="14"/>
                <w:lang w:val="it-IT"/>
              </w:rPr>
              <w:t xml:space="preserve"> </w:t>
            </w:r>
          </w:p>
        </w:tc>
        <w:tc>
          <w:tcPr>
            <w:tcW w:w="429" w:type="dxa"/>
            <w:tcBorders>
              <w:bottom w:val="single" w:sz="4" w:space="0" w:color="auto"/>
            </w:tcBorders>
            <w:shd w:val="clear" w:color="auto" w:fill="FABF8F"/>
            <w:vAlign w:val="center"/>
          </w:tcPr>
          <w:p w14:paraId="1F5AABD6" w14:textId="77777777" w:rsidR="00913A0A" w:rsidRPr="0058047D" w:rsidRDefault="00C86F50" w:rsidP="00D55AB9">
            <w:pPr>
              <w:pStyle w:val="TableText"/>
              <w:widowControl w:val="0"/>
              <w:rPr>
                <w:rStyle w:val="EndnoteReference"/>
                <w:b w:val="0"/>
                <w:color w:val="0000FF"/>
                <w:sz w:val="13"/>
                <w:szCs w:val="13"/>
                <w:u w:val="single"/>
              </w:rPr>
            </w:pPr>
            <w:hyperlink w:anchor="_20_Visual_Studio" w:history="1">
              <w:r w:rsidR="00BF5FC6" w:rsidRPr="0058047D">
                <w:rPr>
                  <w:rStyle w:val="Hyperlink"/>
                  <w:b/>
                  <w:sz w:val="13"/>
                  <w:szCs w:val="13"/>
                </w:rPr>
                <w:t>21</w:t>
              </w:r>
            </w:hyperlink>
            <w:hyperlink w:anchor="Aps_13VS2010ProfessionalMSDN" w:history="1"/>
          </w:p>
        </w:tc>
        <w:tc>
          <w:tcPr>
            <w:tcW w:w="429" w:type="dxa"/>
            <w:tcBorders>
              <w:bottom w:val="single" w:sz="4" w:space="0" w:color="auto"/>
            </w:tcBorders>
            <w:shd w:val="clear" w:color="auto" w:fill="FABF8F"/>
            <w:vAlign w:val="center"/>
          </w:tcPr>
          <w:p w14:paraId="747EF500" w14:textId="77777777" w:rsidR="00913A0A" w:rsidRPr="0058047D" w:rsidRDefault="00C86F50" w:rsidP="00D55AB9">
            <w:pPr>
              <w:pStyle w:val="TableText"/>
              <w:spacing w:before="60" w:after="60"/>
              <w:rPr>
                <w:rFonts w:ascii="Tahoma" w:hAnsi="Tahoma" w:cs="Tahoma"/>
                <w:sz w:val="13"/>
              </w:rPr>
            </w:pPr>
            <w:r>
              <w:rPr>
                <w:rFonts w:ascii="Tahoma" w:hAnsi="Tahoma" w:cs="Tahoma"/>
                <w:sz w:val="13"/>
              </w:rPr>
              <w:t>1</w:t>
            </w:r>
            <w:r w:rsidRPr="0058047D">
              <w:rPr>
                <w:rFonts w:ascii="Tahoma" w:hAnsi="Tahoma" w:cs="Tahoma"/>
                <w:sz w:val="13"/>
              </w:rPr>
              <w:t>0/1</w:t>
            </w:r>
            <w:r>
              <w:rPr>
                <w:rFonts w:ascii="Tahoma" w:hAnsi="Tahoma" w:cs="Tahoma"/>
                <w:sz w:val="13"/>
              </w:rPr>
              <w:t>3</w:t>
            </w:r>
          </w:p>
        </w:tc>
        <w:tc>
          <w:tcPr>
            <w:tcW w:w="429" w:type="dxa"/>
            <w:tcBorders>
              <w:bottom w:val="single" w:sz="4" w:space="0" w:color="auto"/>
              <w:right w:val="single" w:sz="18" w:space="0" w:color="auto"/>
            </w:tcBorders>
            <w:shd w:val="clear" w:color="auto" w:fill="FABF8F"/>
            <w:vAlign w:val="center"/>
          </w:tcPr>
          <w:p w14:paraId="4589ED0C" w14:textId="77777777" w:rsidR="00913A0A" w:rsidRPr="0058047D" w:rsidRDefault="00913A0A" w:rsidP="00D55AB9">
            <w:pPr>
              <w:pStyle w:val="TableText"/>
              <w:rPr>
                <w:rFonts w:ascii="Tahoma" w:hAnsi="Tahoma" w:cs="Tahoma"/>
                <w:sz w:val="13"/>
              </w:rPr>
            </w:pPr>
            <w:r w:rsidRPr="0058047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757BC80" w14:textId="77777777" w:rsidR="00913A0A" w:rsidRPr="0058047D"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5BE75DDB" w14:textId="77777777" w:rsidR="00913A0A" w:rsidRPr="0058047D" w:rsidRDefault="00913A0A" w:rsidP="00D55AB9">
            <w:pPr>
              <w:pStyle w:val="TableText"/>
              <w:spacing w:after="120"/>
              <w:rPr>
                <w:rFonts w:ascii="Tahoma" w:hAnsi="Tahoma" w:cs="Tahoma"/>
                <w:sz w:val="13"/>
              </w:rPr>
            </w:pPr>
            <w:r w:rsidRPr="0058047D">
              <w:rPr>
                <w:rFonts w:ascii="Tahoma" w:hAnsi="Tahoma" w:cs="Tahoma"/>
                <w:sz w:val="13"/>
              </w:rPr>
              <w:t>3</w:t>
            </w:r>
          </w:p>
        </w:tc>
        <w:tc>
          <w:tcPr>
            <w:tcW w:w="429" w:type="dxa"/>
            <w:tcBorders>
              <w:bottom w:val="single" w:sz="4" w:space="0" w:color="auto"/>
            </w:tcBorders>
            <w:shd w:val="clear" w:color="auto" w:fill="FABF8F"/>
            <w:vAlign w:val="center"/>
          </w:tcPr>
          <w:p w14:paraId="56086EDA" w14:textId="77777777" w:rsidR="00913A0A" w:rsidRPr="0058047D" w:rsidRDefault="00913A0A" w:rsidP="00D55AB9">
            <w:pPr>
              <w:pStyle w:val="TableText"/>
              <w:spacing w:after="12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1C91884D" w14:textId="77777777" w:rsidR="00913A0A" w:rsidRPr="0058047D" w:rsidRDefault="00913A0A" w:rsidP="00D55AB9">
            <w:pPr>
              <w:pStyle w:val="TableText"/>
              <w:spacing w:after="12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1626A30E" w14:textId="77777777" w:rsidR="00913A0A" w:rsidRPr="0058047D" w:rsidRDefault="00913A0A" w:rsidP="00D55AB9">
            <w:pPr>
              <w:pStyle w:val="TableText"/>
              <w:spacing w:after="120"/>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634A0296" w14:textId="77777777" w:rsidR="00913A0A" w:rsidRPr="0058047D" w:rsidRDefault="00913A0A" w:rsidP="00D55AB9">
            <w:pPr>
              <w:pStyle w:val="TableText"/>
              <w:spacing w:after="120"/>
              <w:rPr>
                <w:rFonts w:ascii="Tahoma" w:hAnsi="Tahoma" w:cs="Tahoma"/>
                <w:sz w:val="13"/>
              </w:rPr>
            </w:pPr>
            <w:r w:rsidRPr="0058047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9521EAB" w14:textId="77777777" w:rsidR="00913A0A" w:rsidRPr="0058047D" w:rsidRDefault="00913A0A" w:rsidP="00D55AB9">
            <w:pPr>
              <w:pStyle w:val="TableText"/>
              <w:spacing w:after="120"/>
              <w:rPr>
                <w:rFonts w:ascii="Tahoma" w:hAnsi="Tahoma" w:cs="Tahoma"/>
                <w:sz w:val="13"/>
              </w:rPr>
            </w:pPr>
            <w:r w:rsidRPr="0058047D">
              <w:rPr>
                <w:rFonts w:ascii="Tahoma" w:hAnsi="Tahoma" w:cs="Tahoma"/>
                <w:sz w:val="13"/>
              </w:rPr>
              <w:t>1</w:t>
            </w:r>
          </w:p>
        </w:tc>
        <w:tc>
          <w:tcPr>
            <w:tcW w:w="353" w:type="dxa"/>
            <w:gridSpan w:val="2"/>
            <w:tcBorders>
              <w:left w:val="single" w:sz="18" w:space="0" w:color="auto"/>
              <w:bottom w:val="single" w:sz="4" w:space="0" w:color="auto"/>
            </w:tcBorders>
            <w:shd w:val="clear" w:color="auto" w:fill="FABF8F"/>
            <w:vAlign w:val="center"/>
          </w:tcPr>
          <w:p w14:paraId="4E6F485B" w14:textId="77777777" w:rsidR="00913A0A" w:rsidRPr="0058047D" w:rsidRDefault="00913A0A" w:rsidP="00D55AB9">
            <w:pPr>
              <w:pStyle w:val="TableText"/>
              <w:spacing w:after="120"/>
              <w:rPr>
                <w:rFonts w:ascii="Tahoma" w:hAnsi="Tahoma" w:cs="Tahoma"/>
                <w:sz w:val="13"/>
              </w:rPr>
            </w:pPr>
          </w:p>
        </w:tc>
        <w:tc>
          <w:tcPr>
            <w:tcW w:w="360" w:type="dxa"/>
            <w:tcBorders>
              <w:bottom w:val="single" w:sz="4" w:space="0" w:color="auto"/>
            </w:tcBorders>
            <w:shd w:val="clear" w:color="auto" w:fill="FABF8F"/>
            <w:vAlign w:val="center"/>
          </w:tcPr>
          <w:p w14:paraId="1E37BAC7" w14:textId="77777777" w:rsidR="00913A0A" w:rsidRPr="0058047D" w:rsidRDefault="00913A0A" w:rsidP="00D55AB9">
            <w:pPr>
              <w:pStyle w:val="TableText"/>
              <w:spacing w:after="120"/>
              <w:rPr>
                <w:rFonts w:ascii="Tahoma" w:hAnsi="Tahoma" w:cs="Tahoma"/>
                <w:sz w:val="13"/>
              </w:rPr>
            </w:pPr>
            <w:r w:rsidRPr="0058047D">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14:paraId="5B053776" w14:textId="77777777" w:rsidR="00913A0A" w:rsidRPr="0058047D" w:rsidRDefault="00913A0A" w:rsidP="00D55AB9">
            <w:pPr>
              <w:pStyle w:val="TableText"/>
              <w:spacing w:after="120"/>
              <w:rPr>
                <w:rFonts w:ascii="Tahoma" w:hAnsi="Tahoma" w:cs="Tahoma"/>
                <w:sz w:val="13"/>
              </w:rPr>
            </w:pPr>
            <w:r w:rsidRPr="0058047D">
              <w:rPr>
                <w:rFonts w:ascii="Tahoma" w:hAnsi="Tahoma" w:cs="Tahoma"/>
                <w:sz w:val="13"/>
              </w:rPr>
              <w:t>1</w:t>
            </w:r>
          </w:p>
        </w:tc>
        <w:tc>
          <w:tcPr>
            <w:tcW w:w="414" w:type="dxa"/>
            <w:tcBorders>
              <w:left w:val="single" w:sz="18" w:space="0" w:color="auto"/>
              <w:bottom w:val="single" w:sz="4" w:space="0" w:color="auto"/>
            </w:tcBorders>
            <w:shd w:val="clear" w:color="auto" w:fill="FABF8F"/>
            <w:vAlign w:val="center"/>
          </w:tcPr>
          <w:p w14:paraId="722D9B88"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405" w:type="dxa"/>
            <w:tcBorders>
              <w:bottom w:val="single" w:sz="4" w:space="0" w:color="auto"/>
              <w:right w:val="single" w:sz="18" w:space="0" w:color="auto"/>
            </w:tcBorders>
            <w:shd w:val="clear" w:color="auto" w:fill="FABF8F"/>
            <w:vAlign w:val="center"/>
          </w:tcPr>
          <w:p w14:paraId="5AB49F4C" w14:textId="77777777" w:rsidR="00913A0A" w:rsidRPr="0058047D" w:rsidRDefault="00913A0A" w:rsidP="00D55AB9">
            <w:pPr>
              <w:pStyle w:val="TableText"/>
              <w:rPr>
                <w:rFonts w:ascii="Tahoma" w:hAnsi="Tahoma" w:cs="Tahoma"/>
                <w:sz w:val="13"/>
              </w:rPr>
            </w:pPr>
            <w:r w:rsidRPr="0058047D">
              <w:rPr>
                <w:rFonts w:ascii="Tahoma" w:hAnsi="Tahoma" w:cs="Tahoma"/>
                <w:sz w:val="13"/>
              </w:rPr>
              <w:t>A,S</w:t>
            </w:r>
          </w:p>
        </w:tc>
        <w:tc>
          <w:tcPr>
            <w:tcW w:w="405" w:type="dxa"/>
            <w:tcBorders>
              <w:left w:val="single" w:sz="18" w:space="0" w:color="auto"/>
              <w:bottom w:val="single" w:sz="4" w:space="0" w:color="auto"/>
              <w:right w:val="single" w:sz="18" w:space="0" w:color="auto"/>
            </w:tcBorders>
            <w:shd w:val="clear" w:color="auto" w:fill="FABF8F"/>
            <w:vAlign w:val="center"/>
          </w:tcPr>
          <w:p w14:paraId="5E502037" w14:textId="77777777" w:rsidR="00913A0A" w:rsidRPr="0058047D" w:rsidRDefault="00913A0A" w:rsidP="00D55AB9">
            <w:pPr>
              <w:pStyle w:val="TableText"/>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FABF8F"/>
            <w:vAlign w:val="center"/>
          </w:tcPr>
          <w:p w14:paraId="42F0D69D" w14:textId="77777777" w:rsidR="00913A0A" w:rsidRPr="0058047D" w:rsidRDefault="00913A0A" w:rsidP="00D55AB9">
            <w:pPr>
              <w:pStyle w:val="TableText"/>
              <w:rPr>
                <w:rFonts w:ascii="Tahoma" w:hAnsi="Tahoma" w:cs="Tahoma"/>
                <w:sz w:val="13"/>
              </w:rPr>
            </w:pPr>
            <w:r w:rsidRPr="0058047D">
              <w:rPr>
                <w:rFonts w:ascii="Tahoma" w:hAnsi="Tahoma" w:cs="Tahoma"/>
                <w:sz w:val="13"/>
              </w:rPr>
              <w:t>A</w:t>
            </w:r>
          </w:p>
        </w:tc>
        <w:tc>
          <w:tcPr>
            <w:tcW w:w="495" w:type="dxa"/>
            <w:tcBorders>
              <w:bottom w:val="single" w:sz="4" w:space="0" w:color="auto"/>
            </w:tcBorders>
            <w:shd w:val="clear" w:color="auto" w:fill="FABF8F"/>
            <w:vAlign w:val="center"/>
          </w:tcPr>
          <w:p w14:paraId="2C662FCF" w14:textId="77777777" w:rsidR="00913A0A" w:rsidRPr="0058047D" w:rsidRDefault="00913A0A" w:rsidP="00D55AB9">
            <w:pPr>
              <w:pStyle w:val="TableText"/>
            </w:pPr>
            <w:r w:rsidRPr="0058047D">
              <w:rPr>
                <w:rFonts w:ascii="Tahoma" w:hAnsi="Tahoma" w:cs="Tahoma"/>
                <w:sz w:val="13"/>
              </w:rPr>
              <w:t>OL/SA/</w:t>
            </w:r>
          </w:p>
          <w:p w14:paraId="6744EBD1" w14:textId="77777777" w:rsidR="00913A0A" w:rsidRPr="0058047D" w:rsidRDefault="00913A0A" w:rsidP="00D55AB9">
            <w:pPr>
              <w:pStyle w:val="TableText"/>
              <w:rPr>
                <w:rFonts w:ascii="Tahoma" w:hAnsi="Tahoma" w:cs="Tahoma"/>
                <w:sz w:val="13"/>
              </w:rPr>
            </w:pPr>
            <w:r w:rsidRPr="0058047D">
              <w:rPr>
                <w:rFonts w:ascii="Tahoma" w:hAnsi="Tahoma" w:cs="Tahoma"/>
                <w:sz w:val="13"/>
              </w:rPr>
              <w:t>OV</w:t>
            </w:r>
          </w:p>
        </w:tc>
        <w:tc>
          <w:tcPr>
            <w:tcW w:w="370" w:type="dxa"/>
            <w:tcBorders>
              <w:bottom w:val="single" w:sz="4" w:space="0" w:color="auto"/>
            </w:tcBorders>
            <w:shd w:val="clear" w:color="auto" w:fill="FABF8F"/>
            <w:vAlign w:val="center"/>
          </w:tcPr>
          <w:p w14:paraId="5A17A60A" w14:textId="77777777" w:rsidR="00913A0A" w:rsidRPr="0058047D" w:rsidRDefault="00913A0A" w:rsidP="00905D4E">
            <w:pPr>
              <w:pStyle w:val="TableText"/>
              <w:rPr>
                <w:rFonts w:ascii="Tahoma" w:hAnsi="Tahoma" w:cs="Tahoma"/>
                <w:sz w:val="13"/>
              </w:rPr>
            </w:pPr>
            <w:r w:rsidRPr="0058047D">
              <w:rPr>
                <w:rFonts w:ascii="Tahoma" w:hAnsi="Tahoma" w:cs="Tahoma"/>
                <w:sz w:val="13"/>
              </w:rPr>
              <w:t>A</w:t>
            </w:r>
          </w:p>
        </w:tc>
      </w:tr>
      <w:tr w:rsidR="00913A0A" w:rsidRPr="0058047D" w14:paraId="7FDBE3C7" w14:textId="77777777" w:rsidTr="00D5491B">
        <w:trPr>
          <w:cantSplit/>
          <w:trHeight w:val="145"/>
        </w:trPr>
        <w:tc>
          <w:tcPr>
            <w:tcW w:w="2371" w:type="dxa"/>
            <w:tcBorders>
              <w:bottom w:val="single" w:sz="4" w:space="0" w:color="auto"/>
            </w:tcBorders>
            <w:shd w:val="clear" w:color="auto" w:fill="auto"/>
          </w:tcPr>
          <w:p w14:paraId="1C1DC4F8" w14:textId="77777777" w:rsidR="00913A0A" w:rsidRPr="0058047D" w:rsidRDefault="00913A0A" w:rsidP="00D5491B">
            <w:pPr>
              <w:pStyle w:val="Heading2"/>
              <w:spacing w:beforeLines="20" w:before="48" w:afterLines="20" w:after="48"/>
              <w:ind w:left="0"/>
              <w:rPr>
                <w:rFonts w:ascii="Tahoma" w:hAnsi="Tahoma" w:cs="Tahoma"/>
                <w:b w:val="0"/>
                <w:sz w:val="14"/>
              </w:rPr>
            </w:pPr>
            <w:bookmarkStart w:id="102" w:name="_Toc336337891"/>
            <w:bookmarkStart w:id="103" w:name="_Toc371663296"/>
            <w:r w:rsidRPr="0058047D">
              <w:rPr>
                <w:rFonts w:ascii="Tahoma" w:hAnsi="Tahoma" w:cs="Tahoma"/>
                <w:b w:val="0"/>
                <w:sz w:val="14"/>
              </w:rPr>
              <w:t>Visual Studio</w:t>
            </w:r>
            <w:r w:rsidR="00E53A46" w:rsidRPr="0058047D">
              <w:rPr>
                <w:rFonts w:ascii="Tahoma" w:hAnsi="Tahoma" w:cs="Tahoma"/>
                <w:sz w:val="14"/>
                <w:vertAlign w:val="superscript"/>
              </w:rPr>
              <w:t>®</w:t>
            </w:r>
            <w:r w:rsidRPr="0058047D">
              <w:rPr>
                <w:rFonts w:ascii="Tahoma" w:hAnsi="Tahoma" w:cs="Tahoma"/>
                <w:b w:val="0"/>
                <w:sz w:val="14"/>
              </w:rPr>
              <w:t xml:space="preserve"> Premium 2013 con</w:t>
            </w:r>
            <w:r w:rsidR="00D5491B">
              <w:rPr>
                <w:rFonts w:ascii="Tahoma" w:hAnsi="Tahoma" w:cs="Tahoma"/>
                <w:b w:val="0"/>
                <w:sz w:val="14"/>
              </w:rPr>
              <w:t> </w:t>
            </w:r>
            <w:r w:rsidRPr="0058047D">
              <w:rPr>
                <w:rFonts w:ascii="Tahoma" w:hAnsi="Tahoma" w:cs="Tahoma"/>
                <w:b w:val="0"/>
                <w:sz w:val="14"/>
              </w:rPr>
              <w:t>MSDN</w:t>
            </w:r>
            <w:bookmarkEnd w:id="102"/>
            <w:bookmarkEnd w:id="103"/>
          </w:p>
        </w:tc>
        <w:tc>
          <w:tcPr>
            <w:tcW w:w="429" w:type="dxa"/>
            <w:tcBorders>
              <w:bottom w:val="single" w:sz="4" w:space="0" w:color="auto"/>
            </w:tcBorders>
            <w:shd w:val="clear" w:color="auto" w:fill="auto"/>
            <w:vAlign w:val="center"/>
          </w:tcPr>
          <w:p w14:paraId="3D1A1B3C" w14:textId="77777777" w:rsidR="00913A0A" w:rsidRPr="0058047D" w:rsidRDefault="00C86F50" w:rsidP="00D55AB9">
            <w:pPr>
              <w:pStyle w:val="TableText"/>
              <w:widowControl w:val="0"/>
              <w:rPr>
                <w:b/>
                <w:sz w:val="13"/>
                <w:szCs w:val="13"/>
                <w:u w:val="single"/>
              </w:rPr>
            </w:pPr>
            <w:hyperlink w:anchor="_21_Visual_Studio" w:history="1">
              <w:r w:rsidR="00BF5FC6" w:rsidRPr="0058047D">
                <w:rPr>
                  <w:rStyle w:val="Hyperlink"/>
                  <w:b/>
                  <w:sz w:val="13"/>
                  <w:szCs w:val="13"/>
                </w:rPr>
                <w:t>22</w:t>
              </w:r>
            </w:hyperlink>
          </w:p>
        </w:tc>
        <w:tc>
          <w:tcPr>
            <w:tcW w:w="429" w:type="dxa"/>
            <w:tcBorders>
              <w:bottom w:val="single" w:sz="4" w:space="0" w:color="auto"/>
            </w:tcBorders>
            <w:shd w:val="clear" w:color="auto" w:fill="auto"/>
            <w:vAlign w:val="center"/>
          </w:tcPr>
          <w:p w14:paraId="2D93AF08" w14:textId="77777777" w:rsidR="00913A0A" w:rsidRPr="0058047D" w:rsidRDefault="00C86F50" w:rsidP="00D55AB9">
            <w:pPr>
              <w:pStyle w:val="TableText"/>
              <w:spacing w:before="60" w:after="60"/>
              <w:rPr>
                <w:rFonts w:ascii="Tahoma" w:hAnsi="Tahoma" w:cs="Tahoma"/>
                <w:sz w:val="13"/>
              </w:rPr>
            </w:pPr>
            <w:r>
              <w:rPr>
                <w:rFonts w:ascii="Tahoma" w:hAnsi="Tahoma" w:cs="Tahoma"/>
                <w:sz w:val="13"/>
              </w:rPr>
              <w:t>1</w:t>
            </w:r>
            <w:r w:rsidRPr="0058047D">
              <w:rPr>
                <w:rFonts w:ascii="Tahoma" w:hAnsi="Tahoma" w:cs="Tahoma"/>
                <w:sz w:val="13"/>
              </w:rPr>
              <w:t>0/1</w:t>
            </w:r>
            <w:r>
              <w:rPr>
                <w:rFonts w:ascii="Tahoma" w:hAnsi="Tahoma" w:cs="Tahoma"/>
                <w:sz w:val="13"/>
              </w:rPr>
              <w:t>3</w:t>
            </w:r>
          </w:p>
        </w:tc>
        <w:tc>
          <w:tcPr>
            <w:tcW w:w="429" w:type="dxa"/>
            <w:tcBorders>
              <w:bottom w:val="single" w:sz="4" w:space="0" w:color="auto"/>
              <w:right w:val="single" w:sz="18" w:space="0" w:color="auto"/>
            </w:tcBorders>
            <w:shd w:val="clear" w:color="auto" w:fill="auto"/>
            <w:vAlign w:val="center"/>
          </w:tcPr>
          <w:p w14:paraId="15AE7E68" w14:textId="77777777" w:rsidR="00913A0A" w:rsidRPr="0058047D" w:rsidRDefault="00913A0A" w:rsidP="00D55AB9">
            <w:pPr>
              <w:pStyle w:val="TableText"/>
              <w:rPr>
                <w:rFonts w:ascii="Tahoma" w:hAnsi="Tahoma" w:cs="Tahoma"/>
                <w:sz w:val="13"/>
              </w:rPr>
            </w:pPr>
            <w:r w:rsidRPr="0058047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2340D9B" w14:textId="77777777" w:rsidR="00913A0A" w:rsidRPr="0058047D"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01FAEB7F" w14:textId="77777777" w:rsidR="00913A0A" w:rsidRPr="0058047D" w:rsidRDefault="00913A0A" w:rsidP="00D55AB9">
            <w:pPr>
              <w:pStyle w:val="TableText"/>
              <w:spacing w:after="120"/>
              <w:rPr>
                <w:rFonts w:ascii="Tahoma" w:hAnsi="Tahoma" w:cs="Tahoma"/>
                <w:sz w:val="13"/>
              </w:rPr>
            </w:pPr>
            <w:r w:rsidRPr="0058047D">
              <w:rPr>
                <w:rFonts w:ascii="Tahoma" w:hAnsi="Tahoma" w:cs="Tahoma"/>
                <w:sz w:val="13"/>
              </w:rPr>
              <w:t>40</w:t>
            </w:r>
          </w:p>
        </w:tc>
        <w:tc>
          <w:tcPr>
            <w:tcW w:w="429" w:type="dxa"/>
            <w:tcBorders>
              <w:bottom w:val="single" w:sz="4" w:space="0" w:color="auto"/>
            </w:tcBorders>
            <w:shd w:val="clear" w:color="auto" w:fill="auto"/>
            <w:vAlign w:val="center"/>
          </w:tcPr>
          <w:p w14:paraId="1229281A" w14:textId="77777777" w:rsidR="00913A0A" w:rsidRPr="0058047D" w:rsidRDefault="00913A0A" w:rsidP="00D55AB9">
            <w:pPr>
              <w:pStyle w:val="TableText"/>
              <w:spacing w:after="120"/>
              <w:rPr>
                <w:rFonts w:ascii="Tahoma" w:hAnsi="Tahoma" w:cs="Tahoma"/>
                <w:sz w:val="13"/>
              </w:rPr>
            </w:pPr>
            <w:r w:rsidRPr="0058047D">
              <w:rPr>
                <w:rFonts w:ascii="Tahoma" w:hAnsi="Tahoma" w:cs="Tahoma"/>
                <w:sz w:val="13"/>
              </w:rPr>
              <w:t>32</w:t>
            </w:r>
          </w:p>
        </w:tc>
        <w:tc>
          <w:tcPr>
            <w:tcW w:w="429" w:type="dxa"/>
            <w:tcBorders>
              <w:bottom w:val="single" w:sz="4" w:space="0" w:color="auto"/>
            </w:tcBorders>
            <w:shd w:val="clear" w:color="auto" w:fill="auto"/>
            <w:vAlign w:val="center"/>
          </w:tcPr>
          <w:p w14:paraId="4FF4336E" w14:textId="77777777" w:rsidR="00913A0A" w:rsidRPr="0058047D" w:rsidRDefault="00913A0A" w:rsidP="00D55AB9">
            <w:pPr>
              <w:pStyle w:val="TableText"/>
              <w:spacing w:after="120"/>
              <w:rPr>
                <w:rFonts w:ascii="Tahoma" w:hAnsi="Tahoma" w:cs="Tahoma"/>
                <w:sz w:val="13"/>
              </w:rPr>
            </w:pPr>
            <w:r w:rsidRPr="0058047D">
              <w:rPr>
                <w:rFonts w:ascii="Tahoma" w:hAnsi="Tahoma" w:cs="Tahoma"/>
                <w:sz w:val="13"/>
              </w:rPr>
              <w:t>24</w:t>
            </w:r>
          </w:p>
        </w:tc>
        <w:tc>
          <w:tcPr>
            <w:tcW w:w="429" w:type="dxa"/>
            <w:tcBorders>
              <w:bottom w:val="single" w:sz="4" w:space="0" w:color="auto"/>
            </w:tcBorders>
            <w:shd w:val="clear" w:color="auto" w:fill="auto"/>
            <w:vAlign w:val="center"/>
          </w:tcPr>
          <w:p w14:paraId="6665E677" w14:textId="77777777" w:rsidR="00913A0A" w:rsidRPr="0058047D" w:rsidRDefault="00913A0A" w:rsidP="00D55AB9">
            <w:pPr>
              <w:pStyle w:val="TableText"/>
              <w:spacing w:after="120"/>
              <w:rPr>
                <w:rFonts w:ascii="Tahoma" w:hAnsi="Tahoma" w:cs="Tahoma"/>
                <w:sz w:val="13"/>
              </w:rPr>
            </w:pPr>
            <w:r w:rsidRPr="0058047D">
              <w:rPr>
                <w:rFonts w:ascii="Tahoma" w:hAnsi="Tahoma" w:cs="Tahoma"/>
                <w:sz w:val="13"/>
              </w:rPr>
              <w:t>24</w:t>
            </w:r>
          </w:p>
        </w:tc>
        <w:tc>
          <w:tcPr>
            <w:tcW w:w="429" w:type="dxa"/>
            <w:tcBorders>
              <w:bottom w:val="single" w:sz="4" w:space="0" w:color="auto"/>
            </w:tcBorders>
            <w:shd w:val="clear" w:color="auto" w:fill="auto"/>
            <w:vAlign w:val="center"/>
          </w:tcPr>
          <w:p w14:paraId="6E474575" w14:textId="77777777" w:rsidR="00913A0A" w:rsidRPr="0058047D" w:rsidRDefault="00913A0A" w:rsidP="00D55AB9">
            <w:pPr>
              <w:pStyle w:val="TableText"/>
              <w:spacing w:after="120"/>
              <w:rPr>
                <w:rFonts w:ascii="Tahoma" w:hAnsi="Tahoma" w:cs="Tahoma"/>
                <w:sz w:val="13"/>
              </w:rPr>
            </w:pPr>
            <w:r w:rsidRPr="0058047D">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14:paraId="3F409EBA" w14:textId="77777777" w:rsidR="00913A0A" w:rsidRPr="0058047D" w:rsidRDefault="00913A0A" w:rsidP="00D55AB9">
            <w:pPr>
              <w:pStyle w:val="TableText"/>
              <w:spacing w:after="120"/>
              <w:rPr>
                <w:rFonts w:ascii="Tahoma" w:hAnsi="Tahoma" w:cs="Tahoma"/>
                <w:sz w:val="13"/>
              </w:rPr>
            </w:pPr>
            <w:r w:rsidRPr="0058047D">
              <w:rPr>
                <w:rFonts w:ascii="Tahoma" w:hAnsi="Tahoma" w:cs="Tahoma"/>
                <w:sz w:val="13"/>
              </w:rPr>
              <w:t>8</w:t>
            </w:r>
          </w:p>
        </w:tc>
        <w:tc>
          <w:tcPr>
            <w:tcW w:w="353" w:type="dxa"/>
            <w:gridSpan w:val="2"/>
            <w:tcBorders>
              <w:left w:val="single" w:sz="18" w:space="0" w:color="auto"/>
              <w:bottom w:val="single" w:sz="4" w:space="0" w:color="auto"/>
            </w:tcBorders>
            <w:shd w:val="clear" w:color="auto" w:fill="auto"/>
            <w:vAlign w:val="center"/>
          </w:tcPr>
          <w:p w14:paraId="2D161DEA" w14:textId="77777777" w:rsidR="00913A0A" w:rsidRPr="0058047D" w:rsidRDefault="00913A0A" w:rsidP="00D55AB9">
            <w:pPr>
              <w:pStyle w:val="TableText"/>
              <w:spacing w:after="120"/>
              <w:rPr>
                <w:rFonts w:ascii="Tahoma" w:hAnsi="Tahoma" w:cs="Tahoma"/>
                <w:sz w:val="13"/>
              </w:rPr>
            </w:pPr>
          </w:p>
        </w:tc>
        <w:tc>
          <w:tcPr>
            <w:tcW w:w="360" w:type="dxa"/>
            <w:tcBorders>
              <w:bottom w:val="single" w:sz="4" w:space="0" w:color="auto"/>
            </w:tcBorders>
            <w:shd w:val="clear" w:color="auto" w:fill="auto"/>
            <w:vAlign w:val="center"/>
          </w:tcPr>
          <w:p w14:paraId="44865367" w14:textId="77777777" w:rsidR="00913A0A" w:rsidRPr="0058047D" w:rsidRDefault="00913A0A" w:rsidP="00D55AB9">
            <w:pPr>
              <w:pStyle w:val="TableText"/>
              <w:spacing w:after="120"/>
              <w:rPr>
                <w:rFonts w:ascii="Tahoma" w:hAnsi="Tahoma" w:cs="Tahoma"/>
                <w:sz w:val="13"/>
              </w:rPr>
            </w:pPr>
            <w:r w:rsidRPr="0058047D">
              <w:rPr>
                <w:rFonts w:ascii="Tahoma" w:hAnsi="Tahoma" w:cs="Tahoma"/>
                <w:sz w:val="13"/>
              </w:rPr>
              <w:t>32</w:t>
            </w:r>
          </w:p>
        </w:tc>
        <w:tc>
          <w:tcPr>
            <w:tcW w:w="378" w:type="dxa"/>
            <w:tcBorders>
              <w:bottom w:val="single" w:sz="4" w:space="0" w:color="auto"/>
              <w:right w:val="single" w:sz="18" w:space="0" w:color="auto"/>
            </w:tcBorders>
            <w:shd w:val="clear" w:color="auto" w:fill="auto"/>
            <w:vAlign w:val="center"/>
          </w:tcPr>
          <w:p w14:paraId="703A7580" w14:textId="77777777" w:rsidR="00913A0A" w:rsidRPr="0058047D" w:rsidRDefault="00913A0A" w:rsidP="00D55AB9">
            <w:pPr>
              <w:pStyle w:val="TableText"/>
              <w:spacing w:after="120"/>
              <w:rPr>
                <w:rFonts w:ascii="Tahoma" w:hAnsi="Tahoma" w:cs="Tahoma"/>
                <w:sz w:val="13"/>
              </w:rPr>
            </w:pPr>
            <w:r w:rsidRPr="0058047D">
              <w:rPr>
                <w:rFonts w:ascii="Tahoma" w:hAnsi="Tahoma" w:cs="Tahoma"/>
                <w:sz w:val="13"/>
              </w:rPr>
              <w:t>16</w:t>
            </w:r>
          </w:p>
        </w:tc>
        <w:tc>
          <w:tcPr>
            <w:tcW w:w="414" w:type="dxa"/>
            <w:tcBorders>
              <w:left w:val="single" w:sz="18" w:space="0" w:color="auto"/>
              <w:bottom w:val="single" w:sz="4" w:space="0" w:color="auto"/>
            </w:tcBorders>
            <w:shd w:val="clear" w:color="auto" w:fill="auto"/>
            <w:vAlign w:val="center"/>
          </w:tcPr>
          <w:p w14:paraId="0DBA9C99"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405" w:type="dxa"/>
            <w:tcBorders>
              <w:bottom w:val="single" w:sz="4" w:space="0" w:color="auto"/>
              <w:right w:val="single" w:sz="18" w:space="0" w:color="auto"/>
            </w:tcBorders>
            <w:shd w:val="clear" w:color="auto" w:fill="auto"/>
            <w:vAlign w:val="center"/>
          </w:tcPr>
          <w:p w14:paraId="4B165F0A" w14:textId="77777777" w:rsidR="00913A0A" w:rsidRPr="0058047D" w:rsidRDefault="00913A0A" w:rsidP="00D55AB9">
            <w:pPr>
              <w:pStyle w:val="TableText"/>
              <w:rPr>
                <w:rFonts w:ascii="Tahoma" w:hAnsi="Tahoma" w:cs="Tahoma"/>
                <w:sz w:val="13"/>
              </w:rPr>
            </w:pPr>
            <w:r w:rsidRPr="0058047D">
              <w:rPr>
                <w:rFonts w:ascii="Tahoma" w:hAnsi="Tahoma" w:cs="Tahoma"/>
                <w:sz w:val="13"/>
              </w:rPr>
              <w:t>A,S</w:t>
            </w:r>
          </w:p>
        </w:tc>
        <w:tc>
          <w:tcPr>
            <w:tcW w:w="405" w:type="dxa"/>
            <w:tcBorders>
              <w:left w:val="single" w:sz="18" w:space="0" w:color="auto"/>
              <w:bottom w:val="single" w:sz="4" w:space="0" w:color="auto"/>
              <w:right w:val="single" w:sz="18" w:space="0" w:color="auto"/>
            </w:tcBorders>
            <w:shd w:val="clear" w:color="auto" w:fill="auto"/>
            <w:vAlign w:val="center"/>
          </w:tcPr>
          <w:p w14:paraId="3448EB15" w14:textId="77777777" w:rsidR="00913A0A" w:rsidRPr="0058047D" w:rsidRDefault="00913A0A" w:rsidP="00D55AB9">
            <w:pPr>
              <w:pStyle w:val="TableText"/>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auto"/>
            <w:vAlign w:val="center"/>
          </w:tcPr>
          <w:p w14:paraId="6C6F6668" w14:textId="77777777" w:rsidR="00913A0A" w:rsidRPr="0058047D" w:rsidRDefault="00913A0A" w:rsidP="00D55AB9">
            <w:pPr>
              <w:pStyle w:val="TableText"/>
              <w:rPr>
                <w:rFonts w:ascii="Tahoma" w:hAnsi="Tahoma" w:cs="Tahoma"/>
                <w:sz w:val="13"/>
              </w:rPr>
            </w:pPr>
            <w:r w:rsidRPr="0058047D">
              <w:rPr>
                <w:rFonts w:ascii="Tahoma" w:hAnsi="Tahoma" w:cs="Tahoma"/>
                <w:sz w:val="13"/>
              </w:rPr>
              <w:t>A</w:t>
            </w:r>
          </w:p>
        </w:tc>
        <w:tc>
          <w:tcPr>
            <w:tcW w:w="495" w:type="dxa"/>
            <w:tcBorders>
              <w:bottom w:val="single" w:sz="4" w:space="0" w:color="auto"/>
            </w:tcBorders>
            <w:shd w:val="clear" w:color="auto" w:fill="auto"/>
            <w:vAlign w:val="center"/>
          </w:tcPr>
          <w:p w14:paraId="08B8A590" w14:textId="77777777" w:rsidR="00913A0A" w:rsidRPr="0058047D" w:rsidRDefault="00913A0A" w:rsidP="00D55AB9">
            <w:pPr>
              <w:pStyle w:val="TableText"/>
            </w:pPr>
            <w:r w:rsidRPr="0058047D">
              <w:rPr>
                <w:rFonts w:ascii="Tahoma" w:hAnsi="Tahoma" w:cs="Tahoma"/>
                <w:sz w:val="13"/>
              </w:rPr>
              <w:t>OL/SA/</w:t>
            </w:r>
          </w:p>
          <w:p w14:paraId="2EB42981" w14:textId="77777777" w:rsidR="00913A0A" w:rsidRPr="0058047D" w:rsidRDefault="00913A0A" w:rsidP="00D55AB9">
            <w:pPr>
              <w:pStyle w:val="TableText"/>
              <w:rPr>
                <w:rFonts w:ascii="Tahoma" w:hAnsi="Tahoma" w:cs="Tahoma"/>
                <w:sz w:val="13"/>
              </w:rPr>
            </w:pPr>
            <w:r w:rsidRPr="0058047D">
              <w:rPr>
                <w:rFonts w:ascii="Tahoma" w:hAnsi="Tahoma" w:cs="Tahoma"/>
                <w:sz w:val="13"/>
              </w:rPr>
              <w:t>OV</w:t>
            </w:r>
          </w:p>
        </w:tc>
        <w:tc>
          <w:tcPr>
            <w:tcW w:w="370" w:type="dxa"/>
            <w:tcBorders>
              <w:bottom w:val="single" w:sz="4" w:space="0" w:color="auto"/>
            </w:tcBorders>
            <w:vAlign w:val="center"/>
          </w:tcPr>
          <w:p w14:paraId="50A90970" w14:textId="77777777" w:rsidR="00913A0A" w:rsidRPr="0058047D" w:rsidRDefault="00913A0A" w:rsidP="00905D4E">
            <w:pPr>
              <w:pStyle w:val="TableText"/>
              <w:rPr>
                <w:rFonts w:ascii="Tahoma" w:hAnsi="Tahoma" w:cs="Tahoma"/>
                <w:sz w:val="13"/>
              </w:rPr>
            </w:pPr>
            <w:r w:rsidRPr="0058047D">
              <w:rPr>
                <w:rFonts w:ascii="Tahoma" w:hAnsi="Tahoma" w:cs="Tahoma"/>
                <w:sz w:val="13"/>
              </w:rPr>
              <w:t>STP</w:t>
            </w:r>
          </w:p>
        </w:tc>
      </w:tr>
      <w:tr w:rsidR="008A0F85" w:rsidRPr="0058047D" w14:paraId="6EF8C312" w14:textId="77777777" w:rsidTr="00D5491B">
        <w:trPr>
          <w:cantSplit/>
          <w:trHeight w:val="145"/>
        </w:trPr>
        <w:tc>
          <w:tcPr>
            <w:tcW w:w="2371" w:type="dxa"/>
            <w:tcBorders>
              <w:bottom w:val="single" w:sz="4" w:space="0" w:color="auto"/>
            </w:tcBorders>
            <w:shd w:val="clear" w:color="auto" w:fill="FABF8F"/>
          </w:tcPr>
          <w:p w14:paraId="31BE3E2F" w14:textId="77777777" w:rsidR="00913A0A" w:rsidRPr="003F471F" w:rsidRDefault="00913A0A" w:rsidP="00D5491B">
            <w:pPr>
              <w:pStyle w:val="Heading2"/>
              <w:spacing w:beforeLines="20" w:before="48" w:afterLines="20" w:after="48"/>
              <w:ind w:left="0"/>
              <w:rPr>
                <w:rFonts w:ascii="Tahoma" w:hAnsi="Tahoma" w:cs="Tahoma"/>
                <w:b w:val="0"/>
                <w:sz w:val="14"/>
                <w:lang w:val="it-IT"/>
              </w:rPr>
            </w:pPr>
            <w:bookmarkStart w:id="104" w:name="_Toc336337892"/>
            <w:bookmarkStart w:id="105" w:name="_Toc371663297"/>
            <w:r w:rsidRPr="003F471F">
              <w:rPr>
                <w:rFonts w:ascii="Tahoma" w:hAnsi="Tahoma" w:cs="Tahoma"/>
                <w:b w:val="0"/>
                <w:sz w:val="14"/>
                <w:lang w:val="it-IT"/>
              </w:rPr>
              <w:t>Visual Studio</w:t>
            </w:r>
            <w:r w:rsidR="00E53A46" w:rsidRPr="003F471F">
              <w:rPr>
                <w:rFonts w:ascii="Tahoma" w:hAnsi="Tahoma" w:cs="Tahoma"/>
                <w:sz w:val="14"/>
                <w:vertAlign w:val="superscript"/>
                <w:lang w:val="it-IT"/>
              </w:rPr>
              <w:t>®</w:t>
            </w:r>
            <w:r w:rsidRPr="003F471F">
              <w:rPr>
                <w:rFonts w:ascii="Tahoma" w:hAnsi="Tahoma" w:cs="Tahoma"/>
                <w:b w:val="0"/>
                <w:sz w:val="14"/>
                <w:lang w:val="it-IT"/>
              </w:rPr>
              <w:t xml:space="preserve"> Ultimate 2013 con</w:t>
            </w:r>
            <w:r w:rsidR="00D5491B" w:rsidRPr="003F471F">
              <w:rPr>
                <w:rFonts w:ascii="Tahoma" w:hAnsi="Tahoma" w:cs="Tahoma"/>
                <w:b w:val="0"/>
                <w:sz w:val="14"/>
                <w:lang w:val="it-IT"/>
              </w:rPr>
              <w:t> </w:t>
            </w:r>
            <w:r w:rsidRPr="003F471F">
              <w:rPr>
                <w:rFonts w:ascii="Tahoma" w:hAnsi="Tahoma" w:cs="Tahoma"/>
                <w:b w:val="0"/>
                <w:sz w:val="14"/>
                <w:lang w:val="it-IT"/>
              </w:rPr>
              <w:t>MSDN</w:t>
            </w:r>
            <w:bookmarkEnd w:id="104"/>
            <w:bookmarkEnd w:id="105"/>
          </w:p>
        </w:tc>
        <w:tc>
          <w:tcPr>
            <w:tcW w:w="429" w:type="dxa"/>
            <w:tcBorders>
              <w:bottom w:val="single" w:sz="4" w:space="0" w:color="auto"/>
            </w:tcBorders>
            <w:shd w:val="clear" w:color="auto" w:fill="FABF8F"/>
            <w:vAlign w:val="center"/>
          </w:tcPr>
          <w:p w14:paraId="6A645256" w14:textId="77777777" w:rsidR="00913A0A" w:rsidRPr="0058047D" w:rsidRDefault="00C86F50" w:rsidP="00D55AB9">
            <w:pPr>
              <w:pStyle w:val="TableText"/>
              <w:widowControl w:val="0"/>
              <w:rPr>
                <w:b/>
                <w:sz w:val="13"/>
                <w:szCs w:val="13"/>
                <w:u w:val="single"/>
              </w:rPr>
            </w:pPr>
            <w:hyperlink w:anchor="_22_Visual_Studio" w:history="1">
              <w:r w:rsidR="00BF5FC6" w:rsidRPr="0058047D">
                <w:rPr>
                  <w:rStyle w:val="Hyperlink"/>
                  <w:b/>
                  <w:sz w:val="13"/>
                  <w:szCs w:val="13"/>
                </w:rPr>
                <w:t>23</w:t>
              </w:r>
            </w:hyperlink>
          </w:p>
        </w:tc>
        <w:tc>
          <w:tcPr>
            <w:tcW w:w="429" w:type="dxa"/>
            <w:tcBorders>
              <w:bottom w:val="single" w:sz="4" w:space="0" w:color="auto"/>
            </w:tcBorders>
            <w:shd w:val="clear" w:color="auto" w:fill="FABF8F"/>
            <w:vAlign w:val="center"/>
          </w:tcPr>
          <w:p w14:paraId="25B78F1A" w14:textId="77777777" w:rsidR="00913A0A" w:rsidRPr="0058047D" w:rsidRDefault="00C86F50" w:rsidP="00D55AB9">
            <w:pPr>
              <w:pStyle w:val="TableText"/>
              <w:spacing w:before="60" w:after="60"/>
              <w:rPr>
                <w:rFonts w:ascii="Tahoma" w:hAnsi="Tahoma" w:cs="Tahoma"/>
                <w:sz w:val="13"/>
              </w:rPr>
            </w:pPr>
            <w:r>
              <w:rPr>
                <w:rFonts w:ascii="Tahoma" w:hAnsi="Tahoma" w:cs="Tahoma"/>
                <w:sz w:val="13"/>
              </w:rPr>
              <w:t>1</w:t>
            </w:r>
            <w:r w:rsidRPr="0058047D">
              <w:rPr>
                <w:rFonts w:ascii="Tahoma" w:hAnsi="Tahoma" w:cs="Tahoma"/>
                <w:sz w:val="13"/>
              </w:rPr>
              <w:t>0/1</w:t>
            </w:r>
            <w:r>
              <w:rPr>
                <w:rFonts w:ascii="Tahoma" w:hAnsi="Tahoma" w:cs="Tahoma"/>
                <w:sz w:val="13"/>
              </w:rPr>
              <w:t>3</w:t>
            </w:r>
          </w:p>
        </w:tc>
        <w:tc>
          <w:tcPr>
            <w:tcW w:w="429" w:type="dxa"/>
            <w:tcBorders>
              <w:bottom w:val="single" w:sz="4" w:space="0" w:color="auto"/>
              <w:right w:val="single" w:sz="18" w:space="0" w:color="auto"/>
            </w:tcBorders>
            <w:shd w:val="clear" w:color="auto" w:fill="FABF8F"/>
            <w:vAlign w:val="center"/>
          </w:tcPr>
          <w:p w14:paraId="0DF99477" w14:textId="77777777" w:rsidR="00913A0A" w:rsidRPr="0058047D" w:rsidRDefault="00913A0A" w:rsidP="00D55AB9">
            <w:pPr>
              <w:pStyle w:val="TableText"/>
              <w:rPr>
                <w:rFonts w:ascii="Tahoma" w:hAnsi="Tahoma" w:cs="Tahoma"/>
                <w:sz w:val="13"/>
              </w:rPr>
            </w:pPr>
            <w:r w:rsidRPr="0058047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AC15FAA" w14:textId="77777777" w:rsidR="00913A0A" w:rsidRPr="0058047D"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77FCCB5" w14:textId="77777777" w:rsidR="00913A0A" w:rsidRPr="0058047D" w:rsidRDefault="00913A0A" w:rsidP="00D55AB9">
            <w:pPr>
              <w:pStyle w:val="TableText"/>
              <w:rPr>
                <w:rFonts w:ascii="Tahoma" w:hAnsi="Tahoma" w:cs="Tahoma"/>
                <w:sz w:val="13"/>
              </w:rPr>
            </w:pPr>
            <w:r w:rsidRPr="0058047D">
              <w:rPr>
                <w:rFonts w:ascii="Tahoma" w:hAnsi="Tahoma" w:cs="Tahoma"/>
                <w:sz w:val="13"/>
              </w:rPr>
              <w:t>85</w:t>
            </w:r>
          </w:p>
        </w:tc>
        <w:tc>
          <w:tcPr>
            <w:tcW w:w="429" w:type="dxa"/>
            <w:tcBorders>
              <w:bottom w:val="single" w:sz="4" w:space="0" w:color="auto"/>
            </w:tcBorders>
            <w:shd w:val="clear" w:color="auto" w:fill="FABF8F"/>
            <w:vAlign w:val="center"/>
          </w:tcPr>
          <w:p w14:paraId="6CDD0E53" w14:textId="77777777" w:rsidR="00913A0A" w:rsidRPr="0058047D" w:rsidRDefault="00913A0A" w:rsidP="00D55AB9">
            <w:pPr>
              <w:pStyle w:val="TableText"/>
              <w:rPr>
                <w:rFonts w:ascii="Tahoma" w:hAnsi="Tahoma" w:cs="Tahoma"/>
                <w:sz w:val="13"/>
              </w:rPr>
            </w:pPr>
            <w:r w:rsidRPr="0058047D">
              <w:rPr>
                <w:rFonts w:ascii="Tahoma" w:hAnsi="Tahoma" w:cs="Tahoma"/>
                <w:sz w:val="13"/>
              </w:rPr>
              <w:t>68</w:t>
            </w:r>
          </w:p>
        </w:tc>
        <w:tc>
          <w:tcPr>
            <w:tcW w:w="429" w:type="dxa"/>
            <w:tcBorders>
              <w:bottom w:val="single" w:sz="4" w:space="0" w:color="auto"/>
            </w:tcBorders>
            <w:shd w:val="clear" w:color="auto" w:fill="FABF8F"/>
            <w:vAlign w:val="center"/>
          </w:tcPr>
          <w:p w14:paraId="777B666F" w14:textId="77777777" w:rsidR="00913A0A" w:rsidRPr="0058047D" w:rsidRDefault="00913A0A" w:rsidP="00D55AB9">
            <w:pPr>
              <w:pStyle w:val="TableText"/>
              <w:rPr>
                <w:rFonts w:ascii="Tahoma" w:hAnsi="Tahoma" w:cs="Tahoma"/>
                <w:sz w:val="13"/>
              </w:rPr>
            </w:pPr>
            <w:r w:rsidRPr="0058047D">
              <w:rPr>
                <w:rFonts w:ascii="Tahoma" w:hAnsi="Tahoma" w:cs="Tahoma"/>
                <w:sz w:val="13"/>
              </w:rPr>
              <w:t>51</w:t>
            </w:r>
          </w:p>
        </w:tc>
        <w:tc>
          <w:tcPr>
            <w:tcW w:w="429" w:type="dxa"/>
            <w:tcBorders>
              <w:bottom w:val="single" w:sz="4" w:space="0" w:color="auto"/>
            </w:tcBorders>
            <w:shd w:val="clear" w:color="auto" w:fill="FABF8F"/>
            <w:vAlign w:val="center"/>
          </w:tcPr>
          <w:p w14:paraId="541599E6" w14:textId="77777777" w:rsidR="00913A0A" w:rsidRPr="0058047D" w:rsidRDefault="00913A0A" w:rsidP="00D55AB9">
            <w:pPr>
              <w:pStyle w:val="TableText"/>
              <w:rPr>
                <w:rFonts w:ascii="Tahoma" w:hAnsi="Tahoma" w:cs="Tahoma"/>
                <w:sz w:val="13"/>
              </w:rPr>
            </w:pPr>
            <w:r w:rsidRPr="0058047D">
              <w:rPr>
                <w:rFonts w:ascii="Tahoma" w:hAnsi="Tahoma" w:cs="Tahoma"/>
                <w:sz w:val="13"/>
              </w:rPr>
              <w:t>51</w:t>
            </w:r>
          </w:p>
        </w:tc>
        <w:tc>
          <w:tcPr>
            <w:tcW w:w="429" w:type="dxa"/>
            <w:tcBorders>
              <w:bottom w:val="single" w:sz="4" w:space="0" w:color="auto"/>
            </w:tcBorders>
            <w:shd w:val="clear" w:color="auto" w:fill="FABF8F"/>
            <w:vAlign w:val="center"/>
          </w:tcPr>
          <w:p w14:paraId="5BBDE3D8" w14:textId="77777777" w:rsidR="00913A0A" w:rsidRPr="0058047D" w:rsidRDefault="00913A0A" w:rsidP="00D55AB9">
            <w:pPr>
              <w:pStyle w:val="TableText"/>
              <w:rPr>
                <w:rFonts w:ascii="Tahoma" w:hAnsi="Tahoma" w:cs="Tahoma"/>
                <w:sz w:val="13"/>
              </w:rPr>
            </w:pPr>
            <w:r w:rsidRPr="0058047D">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14:paraId="1EDAC6C3" w14:textId="77777777" w:rsidR="00913A0A" w:rsidRPr="0058047D" w:rsidRDefault="00913A0A" w:rsidP="00D55AB9">
            <w:pPr>
              <w:pStyle w:val="TableText"/>
              <w:rPr>
                <w:rFonts w:ascii="Tahoma" w:hAnsi="Tahoma" w:cs="Tahoma"/>
                <w:sz w:val="13"/>
              </w:rPr>
            </w:pPr>
            <w:r w:rsidRPr="0058047D">
              <w:rPr>
                <w:rFonts w:ascii="Tahoma" w:hAnsi="Tahoma" w:cs="Tahoma"/>
                <w:sz w:val="13"/>
              </w:rPr>
              <w:t>17</w:t>
            </w:r>
          </w:p>
        </w:tc>
        <w:tc>
          <w:tcPr>
            <w:tcW w:w="353" w:type="dxa"/>
            <w:gridSpan w:val="2"/>
            <w:tcBorders>
              <w:left w:val="single" w:sz="18" w:space="0" w:color="auto"/>
              <w:bottom w:val="single" w:sz="4" w:space="0" w:color="auto"/>
            </w:tcBorders>
            <w:shd w:val="clear" w:color="auto" w:fill="FABF8F"/>
            <w:vAlign w:val="center"/>
          </w:tcPr>
          <w:p w14:paraId="4A07F2E4" w14:textId="77777777" w:rsidR="00913A0A" w:rsidRPr="0058047D" w:rsidRDefault="00913A0A" w:rsidP="00D55AB9">
            <w:pPr>
              <w:pStyle w:val="TableText"/>
              <w:rPr>
                <w:rFonts w:ascii="Tahoma" w:hAnsi="Tahoma" w:cs="Tahoma"/>
                <w:sz w:val="13"/>
              </w:rPr>
            </w:pPr>
          </w:p>
        </w:tc>
        <w:tc>
          <w:tcPr>
            <w:tcW w:w="360" w:type="dxa"/>
            <w:tcBorders>
              <w:bottom w:val="single" w:sz="4" w:space="0" w:color="auto"/>
            </w:tcBorders>
            <w:shd w:val="clear" w:color="auto" w:fill="FABF8F"/>
            <w:vAlign w:val="center"/>
          </w:tcPr>
          <w:p w14:paraId="2DFDFCAE" w14:textId="77777777" w:rsidR="00913A0A" w:rsidRPr="0058047D" w:rsidRDefault="00913A0A" w:rsidP="00D55AB9">
            <w:pPr>
              <w:pStyle w:val="TableText"/>
              <w:rPr>
                <w:rFonts w:ascii="Tahoma" w:hAnsi="Tahoma" w:cs="Tahoma"/>
                <w:sz w:val="13"/>
              </w:rPr>
            </w:pPr>
            <w:r w:rsidRPr="0058047D">
              <w:rPr>
                <w:rFonts w:ascii="Tahoma" w:hAnsi="Tahoma" w:cs="Tahoma"/>
                <w:sz w:val="13"/>
              </w:rPr>
              <w:t>68</w:t>
            </w:r>
          </w:p>
        </w:tc>
        <w:tc>
          <w:tcPr>
            <w:tcW w:w="378" w:type="dxa"/>
            <w:tcBorders>
              <w:bottom w:val="single" w:sz="4" w:space="0" w:color="auto"/>
              <w:right w:val="single" w:sz="18" w:space="0" w:color="auto"/>
            </w:tcBorders>
            <w:shd w:val="clear" w:color="auto" w:fill="FABF8F"/>
            <w:vAlign w:val="center"/>
          </w:tcPr>
          <w:p w14:paraId="03D36F9D" w14:textId="77777777" w:rsidR="00913A0A" w:rsidRPr="0058047D" w:rsidRDefault="00913A0A" w:rsidP="00D55AB9">
            <w:pPr>
              <w:pStyle w:val="TableText"/>
              <w:rPr>
                <w:rFonts w:ascii="Tahoma" w:hAnsi="Tahoma" w:cs="Tahoma"/>
                <w:sz w:val="13"/>
              </w:rPr>
            </w:pPr>
            <w:r w:rsidRPr="0058047D">
              <w:rPr>
                <w:rFonts w:ascii="Tahoma" w:hAnsi="Tahoma" w:cs="Tahoma"/>
                <w:sz w:val="13"/>
              </w:rPr>
              <w:t>34</w:t>
            </w:r>
          </w:p>
        </w:tc>
        <w:tc>
          <w:tcPr>
            <w:tcW w:w="414" w:type="dxa"/>
            <w:tcBorders>
              <w:left w:val="single" w:sz="18" w:space="0" w:color="auto"/>
              <w:bottom w:val="single" w:sz="4" w:space="0" w:color="auto"/>
            </w:tcBorders>
            <w:shd w:val="clear" w:color="auto" w:fill="FABF8F"/>
            <w:vAlign w:val="center"/>
          </w:tcPr>
          <w:p w14:paraId="616D89B0"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405" w:type="dxa"/>
            <w:tcBorders>
              <w:bottom w:val="single" w:sz="4" w:space="0" w:color="auto"/>
              <w:right w:val="single" w:sz="18" w:space="0" w:color="auto"/>
            </w:tcBorders>
            <w:shd w:val="clear" w:color="auto" w:fill="FABF8F"/>
            <w:vAlign w:val="center"/>
          </w:tcPr>
          <w:p w14:paraId="424812DC" w14:textId="77777777" w:rsidR="00913A0A" w:rsidRPr="0058047D" w:rsidRDefault="00913A0A" w:rsidP="00D55AB9">
            <w:pPr>
              <w:pStyle w:val="TableText"/>
              <w:rPr>
                <w:rFonts w:ascii="Tahoma" w:hAnsi="Tahoma" w:cs="Tahoma"/>
                <w:sz w:val="13"/>
              </w:rPr>
            </w:pPr>
            <w:r w:rsidRPr="0058047D">
              <w:rPr>
                <w:rFonts w:ascii="Tahoma" w:hAnsi="Tahoma" w:cs="Tahoma"/>
                <w:sz w:val="13"/>
              </w:rPr>
              <w:t>A,S</w:t>
            </w:r>
          </w:p>
        </w:tc>
        <w:tc>
          <w:tcPr>
            <w:tcW w:w="405" w:type="dxa"/>
            <w:tcBorders>
              <w:left w:val="single" w:sz="18" w:space="0" w:color="auto"/>
              <w:bottom w:val="single" w:sz="4" w:space="0" w:color="auto"/>
              <w:right w:val="single" w:sz="18" w:space="0" w:color="auto"/>
            </w:tcBorders>
            <w:shd w:val="clear" w:color="auto" w:fill="FABF8F"/>
            <w:vAlign w:val="center"/>
          </w:tcPr>
          <w:p w14:paraId="6208474E" w14:textId="77777777" w:rsidR="00913A0A" w:rsidRPr="0058047D" w:rsidRDefault="00913A0A" w:rsidP="00D55AB9">
            <w:pPr>
              <w:pStyle w:val="TableText"/>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FABF8F"/>
            <w:vAlign w:val="center"/>
          </w:tcPr>
          <w:p w14:paraId="72A45CD1" w14:textId="77777777" w:rsidR="00913A0A" w:rsidRPr="0058047D" w:rsidRDefault="00913A0A" w:rsidP="00D55AB9">
            <w:pPr>
              <w:pStyle w:val="TableText"/>
              <w:rPr>
                <w:rFonts w:ascii="Tahoma" w:hAnsi="Tahoma" w:cs="Tahoma"/>
                <w:sz w:val="13"/>
              </w:rPr>
            </w:pPr>
            <w:r w:rsidRPr="0058047D">
              <w:rPr>
                <w:rFonts w:ascii="Tahoma" w:hAnsi="Tahoma" w:cs="Tahoma"/>
                <w:sz w:val="13"/>
              </w:rPr>
              <w:t>A</w:t>
            </w:r>
          </w:p>
        </w:tc>
        <w:tc>
          <w:tcPr>
            <w:tcW w:w="495" w:type="dxa"/>
            <w:tcBorders>
              <w:bottom w:val="single" w:sz="4" w:space="0" w:color="auto"/>
            </w:tcBorders>
            <w:shd w:val="clear" w:color="auto" w:fill="FABF8F"/>
            <w:vAlign w:val="center"/>
          </w:tcPr>
          <w:p w14:paraId="2689A3D5" w14:textId="77777777" w:rsidR="00913A0A" w:rsidRPr="0058047D" w:rsidRDefault="00913A0A" w:rsidP="00D55AB9">
            <w:pPr>
              <w:pStyle w:val="TableText"/>
            </w:pPr>
            <w:r w:rsidRPr="0058047D">
              <w:rPr>
                <w:rFonts w:ascii="Tahoma" w:hAnsi="Tahoma" w:cs="Tahoma"/>
                <w:sz w:val="13"/>
              </w:rPr>
              <w:t>OL/SA/</w:t>
            </w:r>
          </w:p>
          <w:p w14:paraId="095ED70F" w14:textId="77777777" w:rsidR="00913A0A" w:rsidRPr="0058047D" w:rsidRDefault="00913A0A" w:rsidP="00D55AB9">
            <w:pPr>
              <w:pStyle w:val="TableText"/>
              <w:rPr>
                <w:rFonts w:ascii="Tahoma" w:hAnsi="Tahoma" w:cs="Tahoma"/>
                <w:sz w:val="13"/>
              </w:rPr>
            </w:pPr>
            <w:r w:rsidRPr="0058047D">
              <w:rPr>
                <w:rFonts w:ascii="Tahoma" w:hAnsi="Tahoma" w:cs="Tahoma"/>
                <w:sz w:val="13"/>
              </w:rPr>
              <w:t>OV</w:t>
            </w:r>
          </w:p>
        </w:tc>
        <w:tc>
          <w:tcPr>
            <w:tcW w:w="370" w:type="dxa"/>
            <w:tcBorders>
              <w:bottom w:val="single" w:sz="4" w:space="0" w:color="auto"/>
            </w:tcBorders>
            <w:shd w:val="clear" w:color="auto" w:fill="FABF8F"/>
          </w:tcPr>
          <w:p w14:paraId="166D022A" w14:textId="77777777" w:rsidR="00913A0A" w:rsidRPr="0058047D" w:rsidRDefault="00913A0A" w:rsidP="00D55AB9">
            <w:pPr>
              <w:pStyle w:val="TableText"/>
              <w:rPr>
                <w:rFonts w:ascii="Tahoma" w:hAnsi="Tahoma" w:cs="Tahoma"/>
                <w:sz w:val="13"/>
              </w:rPr>
            </w:pPr>
            <w:r w:rsidRPr="0058047D">
              <w:rPr>
                <w:rFonts w:ascii="Tahoma" w:hAnsi="Tahoma" w:cs="Tahoma"/>
                <w:sz w:val="13"/>
              </w:rPr>
              <w:t>STP</w:t>
            </w:r>
          </w:p>
        </w:tc>
      </w:tr>
      <w:tr w:rsidR="00913A0A" w:rsidRPr="0058047D" w14:paraId="4AE2894F" w14:textId="77777777" w:rsidTr="00D5491B">
        <w:trPr>
          <w:cantSplit/>
          <w:trHeight w:val="145"/>
        </w:trPr>
        <w:tc>
          <w:tcPr>
            <w:tcW w:w="2371" w:type="dxa"/>
            <w:tcBorders>
              <w:bottom w:val="single" w:sz="4" w:space="0" w:color="auto"/>
            </w:tcBorders>
            <w:shd w:val="clear" w:color="auto" w:fill="auto"/>
          </w:tcPr>
          <w:p w14:paraId="5860841F" w14:textId="77777777" w:rsidR="00913A0A" w:rsidRPr="0058047D" w:rsidRDefault="00913A0A" w:rsidP="00E077BC">
            <w:pPr>
              <w:pStyle w:val="Heading2"/>
              <w:spacing w:beforeLines="20" w:before="48" w:afterLines="20" w:after="48"/>
              <w:ind w:left="0"/>
              <w:rPr>
                <w:rFonts w:ascii="Tahoma" w:hAnsi="Tahoma" w:cs="Tahoma"/>
                <w:b w:val="0"/>
                <w:sz w:val="14"/>
              </w:rPr>
            </w:pPr>
            <w:bookmarkStart w:id="106" w:name="_Toc336337893"/>
            <w:bookmarkStart w:id="107" w:name="_Toc371663298"/>
            <w:r w:rsidRPr="0058047D">
              <w:rPr>
                <w:rFonts w:ascii="Tahoma" w:hAnsi="Tahoma" w:cs="Tahoma"/>
                <w:b w:val="0"/>
                <w:sz w:val="14"/>
              </w:rPr>
              <w:t>Visual Studio</w:t>
            </w:r>
            <w:r w:rsidR="00E53A46" w:rsidRPr="0058047D">
              <w:rPr>
                <w:rFonts w:ascii="Tahoma" w:hAnsi="Tahoma" w:cs="Tahoma"/>
                <w:sz w:val="14"/>
                <w:vertAlign w:val="superscript"/>
              </w:rPr>
              <w:t>®</w:t>
            </w:r>
            <w:r w:rsidRPr="0058047D">
              <w:rPr>
                <w:rFonts w:ascii="Tahoma" w:hAnsi="Tahoma" w:cs="Tahoma"/>
                <w:b w:val="0"/>
                <w:sz w:val="14"/>
              </w:rPr>
              <w:t xml:space="preserve"> Test Professional 2013 con MSDN</w:t>
            </w:r>
            <w:bookmarkEnd w:id="106"/>
            <w:bookmarkEnd w:id="107"/>
          </w:p>
        </w:tc>
        <w:tc>
          <w:tcPr>
            <w:tcW w:w="429" w:type="dxa"/>
            <w:tcBorders>
              <w:bottom w:val="single" w:sz="4" w:space="0" w:color="auto"/>
            </w:tcBorders>
            <w:shd w:val="clear" w:color="auto" w:fill="auto"/>
            <w:vAlign w:val="center"/>
          </w:tcPr>
          <w:p w14:paraId="09B97966" w14:textId="77777777" w:rsidR="00913A0A" w:rsidRPr="0058047D" w:rsidRDefault="00C86F50" w:rsidP="00D55AB9">
            <w:pPr>
              <w:pStyle w:val="TableText"/>
              <w:widowControl w:val="0"/>
              <w:rPr>
                <w:b/>
                <w:sz w:val="13"/>
                <w:szCs w:val="13"/>
                <w:u w:val="single"/>
              </w:rPr>
            </w:pPr>
            <w:hyperlink w:anchor="_23_Visual_Studio" w:history="1">
              <w:r w:rsidR="00BF5FC6" w:rsidRPr="0058047D">
                <w:rPr>
                  <w:rStyle w:val="Hyperlink"/>
                  <w:b/>
                  <w:sz w:val="13"/>
                  <w:szCs w:val="13"/>
                </w:rPr>
                <w:t>24</w:t>
              </w:r>
            </w:hyperlink>
          </w:p>
        </w:tc>
        <w:tc>
          <w:tcPr>
            <w:tcW w:w="429" w:type="dxa"/>
            <w:tcBorders>
              <w:bottom w:val="single" w:sz="4" w:space="0" w:color="auto"/>
            </w:tcBorders>
            <w:shd w:val="clear" w:color="auto" w:fill="auto"/>
            <w:vAlign w:val="center"/>
          </w:tcPr>
          <w:p w14:paraId="2B72F341" w14:textId="77777777" w:rsidR="00913A0A" w:rsidRPr="0058047D" w:rsidRDefault="00C86F50" w:rsidP="00D55AB9">
            <w:pPr>
              <w:pStyle w:val="TableText"/>
              <w:spacing w:before="60" w:after="60"/>
              <w:rPr>
                <w:rFonts w:ascii="Tahoma" w:hAnsi="Tahoma" w:cs="Tahoma"/>
                <w:sz w:val="13"/>
              </w:rPr>
            </w:pPr>
            <w:r>
              <w:rPr>
                <w:rFonts w:ascii="Tahoma" w:hAnsi="Tahoma" w:cs="Tahoma"/>
                <w:sz w:val="13"/>
              </w:rPr>
              <w:t>1</w:t>
            </w:r>
            <w:r w:rsidRPr="0058047D">
              <w:rPr>
                <w:rFonts w:ascii="Tahoma" w:hAnsi="Tahoma" w:cs="Tahoma"/>
                <w:sz w:val="13"/>
              </w:rPr>
              <w:t>0/1</w:t>
            </w:r>
            <w:r>
              <w:rPr>
                <w:rFonts w:ascii="Tahoma" w:hAnsi="Tahoma" w:cs="Tahoma"/>
                <w:sz w:val="13"/>
              </w:rPr>
              <w:t>3</w:t>
            </w:r>
          </w:p>
        </w:tc>
        <w:tc>
          <w:tcPr>
            <w:tcW w:w="429" w:type="dxa"/>
            <w:tcBorders>
              <w:bottom w:val="single" w:sz="4" w:space="0" w:color="auto"/>
              <w:right w:val="single" w:sz="18" w:space="0" w:color="auto"/>
            </w:tcBorders>
            <w:shd w:val="clear" w:color="auto" w:fill="auto"/>
            <w:vAlign w:val="center"/>
          </w:tcPr>
          <w:p w14:paraId="73EADD1A" w14:textId="77777777" w:rsidR="00913A0A" w:rsidRPr="0058047D" w:rsidRDefault="00913A0A" w:rsidP="00D55AB9">
            <w:pPr>
              <w:pStyle w:val="TableText"/>
              <w:rPr>
                <w:rFonts w:ascii="Tahoma" w:hAnsi="Tahoma" w:cs="Tahoma"/>
                <w:sz w:val="13"/>
              </w:rPr>
            </w:pPr>
            <w:r w:rsidRPr="0058047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4311C25" w14:textId="77777777" w:rsidR="00913A0A" w:rsidRPr="0058047D"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B1167EC" w14:textId="77777777" w:rsidR="00913A0A" w:rsidRPr="0058047D" w:rsidRDefault="00913A0A" w:rsidP="00D55AB9">
            <w:pPr>
              <w:pStyle w:val="TableText"/>
              <w:rPr>
                <w:rFonts w:ascii="Tahoma" w:hAnsi="Tahoma" w:cs="Tahoma"/>
                <w:sz w:val="13"/>
              </w:rPr>
            </w:pPr>
            <w:r w:rsidRPr="0058047D">
              <w:rPr>
                <w:rFonts w:ascii="Tahoma" w:hAnsi="Tahoma" w:cs="Tahoma"/>
                <w:sz w:val="13"/>
              </w:rPr>
              <w:t>15</w:t>
            </w:r>
          </w:p>
        </w:tc>
        <w:tc>
          <w:tcPr>
            <w:tcW w:w="429" w:type="dxa"/>
            <w:tcBorders>
              <w:bottom w:val="single" w:sz="4" w:space="0" w:color="auto"/>
            </w:tcBorders>
            <w:shd w:val="clear" w:color="auto" w:fill="auto"/>
            <w:vAlign w:val="center"/>
          </w:tcPr>
          <w:p w14:paraId="25CC9038" w14:textId="77777777" w:rsidR="00913A0A" w:rsidRPr="0058047D" w:rsidRDefault="00913A0A" w:rsidP="00D55AB9">
            <w:pPr>
              <w:pStyle w:val="TableText"/>
              <w:rPr>
                <w:rFonts w:ascii="Tahoma" w:hAnsi="Tahoma" w:cs="Tahoma"/>
                <w:sz w:val="13"/>
              </w:rPr>
            </w:pPr>
            <w:r w:rsidRPr="0058047D">
              <w:rPr>
                <w:rFonts w:ascii="Tahoma" w:hAnsi="Tahoma" w:cs="Tahoma"/>
                <w:sz w:val="13"/>
              </w:rPr>
              <w:t>12</w:t>
            </w:r>
          </w:p>
        </w:tc>
        <w:tc>
          <w:tcPr>
            <w:tcW w:w="429" w:type="dxa"/>
            <w:tcBorders>
              <w:bottom w:val="single" w:sz="4" w:space="0" w:color="auto"/>
            </w:tcBorders>
            <w:shd w:val="clear" w:color="auto" w:fill="auto"/>
            <w:vAlign w:val="center"/>
          </w:tcPr>
          <w:p w14:paraId="33C572C3" w14:textId="77777777" w:rsidR="00913A0A" w:rsidRPr="0058047D" w:rsidRDefault="00913A0A" w:rsidP="00D55AB9">
            <w:pPr>
              <w:pStyle w:val="TableText"/>
              <w:rPr>
                <w:rFonts w:ascii="Tahoma" w:hAnsi="Tahoma" w:cs="Tahoma"/>
                <w:sz w:val="13"/>
              </w:rPr>
            </w:pPr>
            <w:r w:rsidRPr="0058047D">
              <w:rPr>
                <w:rFonts w:ascii="Tahoma" w:hAnsi="Tahoma" w:cs="Tahoma"/>
                <w:sz w:val="13"/>
              </w:rPr>
              <w:t>9</w:t>
            </w:r>
          </w:p>
        </w:tc>
        <w:tc>
          <w:tcPr>
            <w:tcW w:w="429" w:type="dxa"/>
            <w:tcBorders>
              <w:bottom w:val="single" w:sz="4" w:space="0" w:color="auto"/>
            </w:tcBorders>
            <w:shd w:val="clear" w:color="auto" w:fill="auto"/>
            <w:vAlign w:val="center"/>
          </w:tcPr>
          <w:p w14:paraId="38D06215" w14:textId="77777777" w:rsidR="00913A0A" w:rsidRPr="0058047D" w:rsidRDefault="00913A0A" w:rsidP="00D55AB9">
            <w:pPr>
              <w:pStyle w:val="TableText"/>
              <w:rPr>
                <w:rFonts w:ascii="Tahoma" w:hAnsi="Tahoma" w:cs="Tahoma"/>
                <w:sz w:val="13"/>
              </w:rPr>
            </w:pPr>
            <w:r w:rsidRPr="0058047D">
              <w:rPr>
                <w:rFonts w:ascii="Tahoma" w:hAnsi="Tahoma" w:cs="Tahoma"/>
                <w:sz w:val="13"/>
              </w:rPr>
              <w:t>9</w:t>
            </w:r>
          </w:p>
        </w:tc>
        <w:tc>
          <w:tcPr>
            <w:tcW w:w="429" w:type="dxa"/>
            <w:tcBorders>
              <w:bottom w:val="single" w:sz="4" w:space="0" w:color="auto"/>
            </w:tcBorders>
            <w:shd w:val="clear" w:color="auto" w:fill="auto"/>
            <w:vAlign w:val="center"/>
          </w:tcPr>
          <w:p w14:paraId="2D4F7ECC" w14:textId="77777777" w:rsidR="00913A0A" w:rsidRPr="0058047D" w:rsidRDefault="00913A0A" w:rsidP="00D55AB9">
            <w:pPr>
              <w:pStyle w:val="TableText"/>
              <w:rPr>
                <w:rFonts w:ascii="Tahoma" w:hAnsi="Tahoma" w:cs="Tahoma"/>
                <w:sz w:val="13"/>
              </w:rPr>
            </w:pPr>
            <w:r w:rsidRPr="0058047D">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5DC0104E" w14:textId="77777777" w:rsidR="00913A0A" w:rsidRPr="0058047D" w:rsidRDefault="00913A0A" w:rsidP="00D55AB9">
            <w:pPr>
              <w:pStyle w:val="TableText"/>
              <w:rPr>
                <w:rFonts w:ascii="Tahoma" w:hAnsi="Tahoma" w:cs="Tahoma"/>
                <w:sz w:val="13"/>
              </w:rPr>
            </w:pPr>
            <w:r w:rsidRPr="0058047D">
              <w:rPr>
                <w:rFonts w:ascii="Tahoma" w:hAnsi="Tahoma" w:cs="Tahoma"/>
                <w:sz w:val="13"/>
              </w:rPr>
              <w:t>3</w:t>
            </w:r>
          </w:p>
        </w:tc>
        <w:tc>
          <w:tcPr>
            <w:tcW w:w="353" w:type="dxa"/>
            <w:gridSpan w:val="2"/>
            <w:tcBorders>
              <w:left w:val="single" w:sz="18" w:space="0" w:color="auto"/>
              <w:bottom w:val="single" w:sz="4" w:space="0" w:color="auto"/>
            </w:tcBorders>
            <w:shd w:val="clear" w:color="auto" w:fill="auto"/>
            <w:vAlign w:val="center"/>
          </w:tcPr>
          <w:p w14:paraId="2C3E6305" w14:textId="77777777" w:rsidR="00913A0A" w:rsidRPr="0058047D" w:rsidRDefault="00913A0A" w:rsidP="00D55AB9">
            <w:pPr>
              <w:pStyle w:val="TableText"/>
              <w:rPr>
                <w:rFonts w:ascii="Tahoma" w:hAnsi="Tahoma" w:cs="Tahoma"/>
                <w:sz w:val="13"/>
              </w:rPr>
            </w:pPr>
          </w:p>
        </w:tc>
        <w:tc>
          <w:tcPr>
            <w:tcW w:w="360" w:type="dxa"/>
            <w:tcBorders>
              <w:bottom w:val="single" w:sz="4" w:space="0" w:color="auto"/>
            </w:tcBorders>
            <w:shd w:val="clear" w:color="auto" w:fill="auto"/>
            <w:vAlign w:val="center"/>
          </w:tcPr>
          <w:p w14:paraId="706972C2" w14:textId="77777777" w:rsidR="00913A0A" w:rsidRPr="0058047D" w:rsidRDefault="00913A0A" w:rsidP="00D55AB9">
            <w:pPr>
              <w:pStyle w:val="TableText"/>
              <w:rPr>
                <w:rFonts w:ascii="Tahoma" w:hAnsi="Tahoma" w:cs="Tahoma"/>
                <w:sz w:val="13"/>
              </w:rPr>
            </w:pPr>
            <w:r w:rsidRPr="0058047D">
              <w:rPr>
                <w:rFonts w:ascii="Tahoma" w:hAnsi="Tahoma" w:cs="Tahoma"/>
                <w:sz w:val="13"/>
              </w:rPr>
              <w:t>12</w:t>
            </w:r>
          </w:p>
        </w:tc>
        <w:tc>
          <w:tcPr>
            <w:tcW w:w="378" w:type="dxa"/>
            <w:tcBorders>
              <w:bottom w:val="single" w:sz="4" w:space="0" w:color="auto"/>
              <w:right w:val="single" w:sz="18" w:space="0" w:color="auto"/>
            </w:tcBorders>
            <w:shd w:val="clear" w:color="auto" w:fill="auto"/>
            <w:vAlign w:val="center"/>
          </w:tcPr>
          <w:p w14:paraId="1864624F" w14:textId="77777777" w:rsidR="00913A0A" w:rsidRPr="0058047D" w:rsidRDefault="00913A0A" w:rsidP="00D55AB9">
            <w:pPr>
              <w:pStyle w:val="TableText"/>
              <w:rPr>
                <w:rFonts w:ascii="Tahoma" w:hAnsi="Tahoma" w:cs="Tahoma"/>
                <w:sz w:val="13"/>
              </w:rPr>
            </w:pPr>
            <w:r w:rsidRPr="0058047D">
              <w:rPr>
                <w:rFonts w:ascii="Tahoma" w:hAnsi="Tahoma" w:cs="Tahoma"/>
                <w:sz w:val="13"/>
              </w:rPr>
              <w:t>6</w:t>
            </w:r>
          </w:p>
        </w:tc>
        <w:tc>
          <w:tcPr>
            <w:tcW w:w="414" w:type="dxa"/>
            <w:tcBorders>
              <w:left w:val="single" w:sz="18" w:space="0" w:color="auto"/>
              <w:bottom w:val="single" w:sz="4" w:space="0" w:color="auto"/>
            </w:tcBorders>
            <w:shd w:val="clear" w:color="auto" w:fill="auto"/>
            <w:vAlign w:val="center"/>
          </w:tcPr>
          <w:p w14:paraId="5E1C1E7B"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405" w:type="dxa"/>
            <w:tcBorders>
              <w:bottom w:val="single" w:sz="4" w:space="0" w:color="auto"/>
              <w:right w:val="single" w:sz="18" w:space="0" w:color="auto"/>
            </w:tcBorders>
            <w:shd w:val="clear" w:color="auto" w:fill="auto"/>
            <w:vAlign w:val="center"/>
          </w:tcPr>
          <w:p w14:paraId="77CA2DD8" w14:textId="77777777" w:rsidR="00913A0A" w:rsidRPr="0058047D" w:rsidRDefault="00913A0A" w:rsidP="00D55AB9">
            <w:pPr>
              <w:pStyle w:val="TableText"/>
              <w:rPr>
                <w:rFonts w:ascii="Tahoma" w:hAnsi="Tahoma" w:cs="Tahoma"/>
                <w:sz w:val="13"/>
              </w:rPr>
            </w:pPr>
            <w:r w:rsidRPr="0058047D">
              <w:rPr>
                <w:rFonts w:ascii="Tahoma" w:hAnsi="Tahoma" w:cs="Tahoma"/>
                <w:sz w:val="13"/>
              </w:rPr>
              <w:t>A,S</w:t>
            </w:r>
          </w:p>
        </w:tc>
        <w:tc>
          <w:tcPr>
            <w:tcW w:w="405" w:type="dxa"/>
            <w:tcBorders>
              <w:left w:val="single" w:sz="18" w:space="0" w:color="auto"/>
              <w:bottom w:val="single" w:sz="4" w:space="0" w:color="auto"/>
              <w:right w:val="single" w:sz="18" w:space="0" w:color="auto"/>
            </w:tcBorders>
            <w:shd w:val="clear" w:color="auto" w:fill="auto"/>
            <w:vAlign w:val="center"/>
          </w:tcPr>
          <w:p w14:paraId="224DBD85" w14:textId="77777777" w:rsidR="00913A0A" w:rsidRPr="0058047D" w:rsidRDefault="00913A0A" w:rsidP="00D55AB9">
            <w:pPr>
              <w:pStyle w:val="TableText"/>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auto"/>
            <w:vAlign w:val="center"/>
          </w:tcPr>
          <w:p w14:paraId="1B6C4925" w14:textId="77777777" w:rsidR="00913A0A" w:rsidRPr="0058047D" w:rsidRDefault="00913A0A" w:rsidP="00D55AB9">
            <w:pPr>
              <w:pStyle w:val="TableText"/>
              <w:rPr>
                <w:rFonts w:ascii="Tahoma" w:hAnsi="Tahoma" w:cs="Tahoma"/>
                <w:sz w:val="13"/>
              </w:rPr>
            </w:pPr>
            <w:r w:rsidRPr="0058047D">
              <w:rPr>
                <w:rFonts w:ascii="Tahoma" w:hAnsi="Tahoma" w:cs="Tahoma"/>
                <w:sz w:val="13"/>
              </w:rPr>
              <w:t>A</w:t>
            </w:r>
          </w:p>
        </w:tc>
        <w:tc>
          <w:tcPr>
            <w:tcW w:w="495" w:type="dxa"/>
            <w:tcBorders>
              <w:bottom w:val="single" w:sz="4" w:space="0" w:color="auto"/>
            </w:tcBorders>
            <w:shd w:val="clear" w:color="auto" w:fill="auto"/>
            <w:vAlign w:val="center"/>
          </w:tcPr>
          <w:p w14:paraId="243EE244" w14:textId="77777777" w:rsidR="00913A0A" w:rsidRPr="0058047D" w:rsidRDefault="00913A0A" w:rsidP="00D55AB9">
            <w:pPr>
              <w:pStyle w:val="TableText"/>
            </w:pPr>
            <w:r w:rsidRPr="0058047D">
              <w:rPr>
                <w:rFonts w:ascii="Tahoma" w:hAnsi="Tahoma" w:cs="Tahoma"/>
                <w:sz w:val="13"/>
              </w:rPr>
              <w:t>OL/SA/</w:t>
            </w:r>
          </w:p>
          <w:p w14:paraId="1B7B0BAB" w14:textId="77777777" w:rsidR="00913A0A" w:rsidRPr="0058047D" w:rsidRDefault="00913A0A" w:rsidP="00D55AB9">
            <w:pPr>
              <w:pStyle w:val="TableText"/>
              <w:rPr>
                <w:rFonts w:ascii="Tahoma" w:hAnsi="Tahoma" w:cs="Tahoma"/>
                <w:sz w:val="13"/>
              </w:rPr>
            </w:pPr>
            <w:r w:rsidRPr="0058047D">
              <w:rPr>
                <w:rFonts w:ascii="Tahoma" w:hAnsi="Tahoma" w:cs="Tahoma"/>
                <w:sz w:val="13"/>
              </w:rPr>
              <w:t>OV</w:t>
            </w:r>
          </w:p>
        </w:tc>
        <w:tc>
          <w:tcPr>
            <w:tcW w:w="370" w:type="dxa"/>
            <w:tcBorders>
              <w:bottom w:val="single" w:sz="4" w:space="0" w:color="auto"/>
            </w:tcBorders>
          </w:tcPr>
          <w:p w14:paraId="5A7B651A" w14:textId="77777777" w:rsidR="00913A0A" w:rsidRPr="0058047D" w:rsidRDefault="00913A0A" w:rsidP="00D55AB9">
            <w:pPr>
              <w:pStyle w:val="TableText"/>
              <w:rPr>
                <w:rFonts w:ascii="Tahoma" w:hAnsi="Tahoma" w:cs="Tahoma"/>
                <w:sz w:val="13"/>
              </w:rPr>
            </w:pPr>
            <w:r w:rsidRPr="0058047D">
              <w:rPr>
                <w:rFonts w:ascii="Tahoma" w:hAnsi="Tahoma" w:cs="Tahoma"/>
                <w:sz w:val="13"/>
              </w:rPr>
              <w:t>STP</w:t>
            </w:r>
          </w:p>
        </w:tc>
      </w:tr>
      <w:tr w:rsidR="008A0F85" w:rsidRPr="0058047D" w14:paraId="78FF8407" w14:textId="77777777" w:rsidTr="00D5491B">
        <w:trPr>
          <w:cantSplit/>
          <w:trHeight w:val="70"/>
        </w:trPr>
        <w:tc>
          <w:tcPr>
            <w:tcW w:w="2371" w:type="dxa"/>
            <w:tcBorders>
              <w:bottom w:val="single" w:sz="4" w:space="0" w:color="auto"/>
            </w:tcBorders>
            <w:shd w:val="clear" w:color="auto" w:fill="FABF8F"/>
          </w:tcPr>
          <w:p w14:paraId="6FBA86FE" w14:textId="77777777" w:rsidR="00913A0A" w:rsidRPr="0058047D" w:rsidRDefault="00913A0A" w:rsidP="00E077BC">
            <w:pPr>
              <w:pStyle w:val="Heading2"/>
              <w:spacing w:beforeLines="20" w:before="48" w:afterLines="20" w:after="48"/>
              <w:ind w:left="0"/>
              <w:rPr>
                <w:rFonts w:ascii="Tahoma" w:hAnsi="Tahoma" w:cs="Tahoma"/>
                <w:b w:val="0"/>
                <w:sz w:val="14"/>
              </w:rPr>
            </w:pPr>
            <w:bookmarkStart w:id="108" w:name="_Toc336337894"/>
            <w:bookmarkStart w:id="109" w:name="_Toc371663299"/>
            <w:r w:rsidRPr="0058047D">
              <w:rPr>
                <w:rFonts w:ascii="Tahoma" w:hAnsi="Tahoma" w:cs="Tahoma"/>
                <w:b w:val="0"/>
                <w:sz w:val="14"/>
              </w:rPr>
              <w:t xml:space="preserve">Word </w:t>
            </w:r>
            <w:bookmarkEnd w:id="108"/>
            <w:r w:rsidRPr="0058047D">
              <w:rPr>
                <w:rFonts w:ascii="Tahoma" w:hAnsi="Tahoma" w:cs="Tahoma"/>
                <w:b w:val="0"/>
                <w:sz w:val="14"/>
              </w:rPr>
              <w:t>2013</w:t>
            </w:r>
            <w:bookmarkEnd w:id="109"/>
          </w:p>
        </w:tc>
        <w:tc>
          <w:tcPr>
            <w:tcW w:w="429" w:type="dxa"/>
            <w:tcBorders>
              <w:bottom w:val="single" w:sz="4" w:space="0" w:color="auto"/>
            </w:tcBorders>
            <w:shd w:val="clear" w:color="auto" w:fill="FABF8F"/>
            <w:vAlign w:val="center"/>
          </w:tcPr>
          <w:p w14:paraId="61D9C2AC" w14:textId="77777777" w:rsidR="00913A0A" w:rsidRPr="0058047D"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7A0E18D2" w14:textId="77777777" w:rsidR="00913A0A" w:rsidRPr="0058047D" w:rsidRDefault="00913A0A" w:rsidP="00D55AB9">
            <w:pPr>
              <w:pStyle w:val="TableText"/>
              <w:spacing w:before="60" w:after="60"/>
              <w:rPr>
                <w:rFonts w:ascii="Tahoma" w:hAnsi="Tahoma" w:cs="Tahoma"/>
                <w:sz w:val="13"/>
              </w:rPr>
            </w:pPr>
            <w:r w:rsidRPr="0058047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09DB366A" w14:textId="77777777" w:rsidR="00913A0A" w:rsidRPr="0058047D" w:rsidRDefault="00913A0A" w:rsidP="00D55AB9">
            <w:pPr>
              <w:pStyle w:val="TableText"/>
              <w:rPr>
                <w:rFonts w:ascii="Tahoma" w:hAnsi="Tahoma" w:cs="Tahoma"/>
                <w:sz w:val="13"/>
              </w:rPr>
            </w:pPr>
            <w:r w:rsidRPr="0058047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9C33961" w14:textId="77777777" w:rsidR="00913A0A" w:rsidRPr="0058047D" w:rsidRDefault="00913A0A" w:rsidP="00D55AB9">
            <w:pPr>
              <w:pStyle w:val="TableText"/>
              <w:spacing w:after="120"/>
              <w:rPr>
                <w:rFonts w:ascii="Tahoma" w:hAnsi="Tahoma" w:cs="Tahoma"/>
                <w:sz w:val="13"/>
              </w:rPr>
            </w:pPr>
            <w:r w:rsidRPr="0058047D">
              <w:rPr>
                <w:rFonts w:ascii="Tahoma" w:hAnsi="Tahoma" w:cs="Tahoma"/>
                <w:sz w:val="13"/>
              </w:rPr>
              <w:t>1</w:t>
            </w:r>
          </w:p>
        </w:tc>
        <w:tc>
          <w:tcPr>
            <w:tcW w:w="429" w:type="dxa"/>
            <w:tcBorders>
              <w:bottom w:val="single" w:sz="4" w:space="0" w:color="auto"/>
            </w:tcBorders>
            <w:shd w:val="clear" w:color="auto" w:fill="FABF8F"/>
            <w:vAlign w:val="center"/>
          </w:tcPr>
          <w:p w14:paraId="117D12E9" w14:textId="77777777" w:rsidR="00913A0A" w:rsidRPr="0058047D" w:rsidRDefault="00913A0A" w:rsidP="00D55AB9">
            <w:pPr>
              <w:pStyle w:val="TableText"/>
              <w:rPr>
                <w:rFonts w:ascii="Tahoma" w:hAnsi="Tahoma" w:cs="Tahoma"/>
                <w:sz w:val="13"/>
              </w:rPr>
            </w:pPr>
            <w:r w:rsidRPr="0058047D">
              <w:rPr>
                <w:rFonts w:ascii="Tahoma" w:hAnsi="Tahoma" w:cs="Tahoma"/>
                <w:sz w:val="13"/>
              </w:rPr>
              <w:t>3</w:t>
            </w:r>
          </w:p>
        </w:tc>
        <w:tc>
          <w:tcPr>
            <w:tcW w:w="429" w:type="dxa"/>
            <w:tcBorders>
              <w:bottom w:val="single" w:sz="4" w:space="0" w:color="auto"/>
            </w:tcBorders>
            <w:shd w:val="clear" w:color="auto" w:fill="FABF8F"/>
            <w:vAlign w:val="center"/>
          </w:tcPr>
          <w:p w14:paraId="064B31DD"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0DC4AE20"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4D58B600"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FABF8F"/>
            <w:vAlign w:val="center"/>
          </w:tcPr>
          <w:p w14:paraId="5F4AF690"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9E1E6F9"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353" w:type="dxa"/>
            <w:gridSpan w:val="2"/>
            <w:tcBorders>
              <w:left w:val="single" w:sz="18" w:space="0" w:color="auto"/>
              <w:bottom w:val="single" w:sz="4" w:space="0" w:color="auto"/>
            </w:tcBorders>
            <w:shd w:val="clear" w:color="auto" w:fill="FABF8F"/>
            <w:vAlign w:val="center"/>
          </w:tcPr>
          <w:p w14:paraId="4A66D78A"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360" w:type="dxa"/>
            <w:tcBorders>
              <w:bottom w:val="single" w:sz="4" w:space="0" w:color="auto"/>
            </w:tcBorders>
            <w:shd w:val="clear" w:color="auto" w:fill="FABF8F"/>
            <w:vAlign w:val="center"/>
          </w:tcPr>
          <w:p w14:paraId="6667B75A"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14:paraId="33F1D8F4"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414" w:type="dxa"/>
            <w:tcBorders>
              <w:left w:val="single" w:sz="18" w:space="0" w:color="auto"/>
              <w:bottom w:val="single" w:sz="4" w:space="0" w:color="auto"/>
            </w:tcBorders>
            <w:shd w:val="clear" w:color="auto" w:fill="FABF8F"/>
            <w:vAlign w:val="center"/>
          </w:tcPr>
          <w:p w14:paraId="601CD9A3" w14:textId="77777777" w:rsidR="00913A0A" w:rsidRPr="0058047D" w:rsidRDefault="00913A0A" w:rsidP="00D55AB9">
            <w:pPr>
              <w:pStyle w:val="TableText"/>
              <w:rPr>
                <w:rFonts w:ascii="Tahoma" w:hAnsi="Tahoma" w:cs="Tahoma"/>
                <w:sz w:val="13"/>
              </w:rPr>
            </w:pPr>
          </w:p>
        </w:tc>
        <w:tc>
          <w:tcPr>
            <w:tcW w:w="405" w:type="dxa"/>
            <w:tcBorders>
              <w:bottom w:val="single" w:sz="4" w:space="0" w:color="auto"/>
              <w:right w:val="single" w:sz="18" w:space="0" w:color="auto"/>
            </w:tcBorders>
            <w:shd w:val="clear" w:color="auto" w:fill="FABF8F"/>
            <w:vAlign w:val="center"/>
          </w:tcPr>
          <w:p w14:paraId="4DD6299E" w14:textId="77777777" w:rsidR="00913A0A" w:rsidRPr="0058047D" w:rsidRDefault="00913A0A" w:rsidP="00D55AB9">
            <w:pPr>
              <w:pStyle w:val="TableText"/>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2C075F5A" w14:textId="77777777" w:rsidR="00913A0A" w:rsidRPr="0058047D" w:rsidRDefault="00913A0A" w:rsidP="00D55AB9">
            <w:pPr>
              <w:pStyle w:val="TableText"/>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FABF8F"/>
            <w:vAlign w:val="center"/>
          </w:tcPr>
          <w:p w14:paraId="31E1C814" w14:textId="77777777" w:rsidR="00913A0A" w:rsidRPr="0058047D" w:rsidRDefault="00913A0A" w:rsidP="00D55AB9">
            <w:pPr>
              <w:pStyle w:val="TableText"/>
              <w:rPr>
                <w:rFonts w:ascii="Tahoma" w:hAnsi="Tahoma" w:cs="Tahoma"/>
                <w:sz w:val="13"/>
              </w:rPr>
            </w:pPr>
          </w:p>
        </w:tc>
        <w:tc>
          <w:tcPr>
            <w:tcW w:w="495" w:type="dxa"/>
            <w:tcBorders>
              <w:bottom w:val="single" w:sz="4" w:space="0" w:color="auto"/>
            </w:tcBorders>
            <w:shd w:val="clear" w:color="auto" w:fill="FABF8F"/>
            <w:vAlign w:val="center"/>
          </w:tcPr>
          <w:p w14:paraId="3DC56C93" w14:textId="77777777" w:rsidR="00913A0A" w:rsidRPr="0058047D" w:rsidRDefault="00913A0A" w:rsidP="00D55AB9">
            <w:pPr>
              <w:pStyle w:val="TableText"/>
              <w:rPr>
                <w:rFonts w:ascii="Tahoma" w:hAnsi="Tahoma" w:cs="Tahoma"/>
                <w:sz w:val="13"/>
              </w:rPr>
            </w:pPr>
          </w:p>
        </w:tc>
        <w:tc>
          <w:tcPr>
            <w:tcW w:w="370" w:type="dxa"/>
            <w:tcBorders>
              <w:bottom w:val="single" w:sz="4" w:space="0" w:color="auto"/>
            </w:tcBorders>
            <w:shd w:val="clear" w:color="auto" w:fill="FABF8F"/>
          </w:tcPr>
          <w:p w14:paraId="59E31DEA" w14:textId="77777777" w:rsidR="00913A0A" w:rsidRPr="0058047D" w:rsidRDefault="00913A0A" w:rsidP="00D55AB9">
            <w:pPr>
              <w:pStyle w:val="TableText"/>
              <w:rPr>
                <w:rFonts w:ascii="Tahoma" w:hAnsi="Tahoma" w:cs="Tahoma"/>
                <w:sz w:val="13"/>
              </w:rPr>
            </w:pPr>
          </w:p>
        </w:tc>
      </w:tr>
      <w:tr w:rsidR="00913A0A" w:rsidRPr="0058047D" w14:paraId="0B764DC7" w14:textId="77777777" w:rsidTr="00D5491B">
        <w:trPr>
          <w:cantSplit/>
          <w:trHeight w:val="323"/>
        </w:trPr>
        <w:tc>
          <w:tcPr>
            <w:tcW w:w="2371" w:type="dxa"/>
            <w:tcBorders>
              <w:bottom w:val="single" w:sz="4" w:space="0" w:color="auto"/>
            </w:tcBorders>
            <w:shd w:val="clear" w:color="auto" w:fill="auto"/>
          </w:tcPr>
          <w:p w14:paraId="7D790191" w14:textId="77777777" w:rsidR="00913A0A" w:rsidRPr="0058047D" w:rsidRDefault="00913A0A" w:rsidP="00E077BC">
            <w:pPr>
              <w:pStyle w:val="Heading2"/>
              <w:spacing w:beforeLines="20" w:before="48" w:afterLines="20" w:after="48"/>
              <w:ind w:left="0"/>
              <w:rPr>
                <w:rFonts w:ascii="Tahoma" w:hAnsi="Tahoma" w:cs="Tahoma"/>
                <w:b w:val="0"/>
                <w:sz w:val="14"/>
              </w:rPr>
            </w:pPr>
            <w:bookmarkStart w:id="110" w:name="_Toc336337895"/>
            <w:bookmarkStart w:id="111" w:name="_Toc371663300"/>
            <w:r w:rsidRPr="0058047D">
              <w:rPr>
                <w:rFonts w:ascii="Tahoma" w:hAnsi="Tahoma" w:cs="Tahoma"/>
                <w:b w:val="0"/>
                <w:sz w:val="14"/>
              </w:rPr>
              <w:t>Word per Mac 2011</w:t>
            </w:r>
            <w:bookmarkEnd w:id="110"/>
            <w:bookmarkEnd w:id="111"/>
          </w:p>
        </w:tc>
        <w:tc>
          <w:tcPr>
            <w:tcW w:w="429" w:type="dxa"/>
            <w:tcBorders>
              <w:bottom w:val="single" w:sz="4" w:space="0" w:color="auto"/>
            </w:tcBorders>
            <w:shd w:val="clear" w:color="auto" w:fill="auto"/>
            <w:vAlign w:val="center"/>
          </w:tcPr>
          <w:p w14:paraId="263E0FCA" w14:textId="77777777" w:rsidR="00913A0A" w:rsidRPr="0058047D" w:rsidRDefault="00913A0A" w:rsidP="00D55AB9">
            <w:pPr>
              <w:pStyle w:val="TableText"/>
              <w:widowControl w:val="0"/>
              <w:rPr>
                <w:rStyle w:val="EndnoteReference"/>
                <w:rFonts w:ascii="Tahoma" w:hAnsi="Tahoma"/>
                <w:color w:val="0000FF"/>
                <w:sz w:val="14"/>
              </w:rPr>
            </w:pPr>
          </w:p>
        </w:tc>
        <w:tc>
          <w:tcPr>
            <w:tcW w:w="429" w:type="dxa"/>
            <w:tcBorders>
              <w:bottom w:val="single" w:sz="4" w:space="0" w:color="auto"/>
            </w:tcBorders>
            <w:shd w:val="clear" w:color="auto" w:fill="auto"/>
            <w:vAlign w:val="center"/>
          </w:tcPr>
          <w:p w14:paraId="35F07274" w14:textId="77777777" w:rsidR="00913A0A" w:rsidRPr="0058047D" w:rsidRDefault="00913A0A" w:rsidP="00D55AB9">
            <w:pPr>
              <w:pStyle w:val="TableText"/>
              <w:spacing w:before="60" w:after="60"/>
              <w:rPr>
                <w:rFonts w:ascii="Tahoma" w:hAnsi="Tahoma" w:cs="Tahoma"/>
                <w:sz w:val="13"/>
              </w:rPr>
            </w:pPr>
            <w:r w:rsidRPr="0058047D">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64639D36" w14:textId="77777777" w:rsidR="00913A0A" w:rsidRPr="0058047D" w:rsidRDefault="00913A0A" w:rsidP="00D55AB9">
            <w:pPr>
              <w:pStyle w:val="TableText"/>
              <w:rPr>
                <w:rFonts w:ascii="Tahoma" w:hAnsi="Tahoma" w:cs="Tahoma"/>
                <w:sz w:val="13"/>
              </w:rPr>
            </w:pPr>
            <w:r w:rsidRPr="0058047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C930EFC" w14:textId="77777777" w:rsidR="00913A0A" w:rsidRPr="0058047D" w:rsidRDefault="00913A0A" w:rsidP="00D55AB9">
            <w:pPr>
              <w:pStyle w:val="TableText"/>
              <w:spacing w:after="120"/>
              <w:rPr>
                <w:rFonts w:ascii="Tahoma" w:hAnsi="Tahoma" w:cs="Tahoma"/>
                <w:sz w:val="13"/>
              </w:rPr>
            </w:pPr>
            <w:r w:rsidRPr="0058047D">
              <w:rPr>
                <w:rFonts w:ascii="Tahoma" w:hAnsi="Tahoma" w:cs="Tahoma"/>
                <w:sz w:val="13"/>
              </w:rPr>
              <w:t>1</w:t>
            </w:r>
          </w:p>
        </w:tc>
        <w:tc>
          <w:tcPr>
            <w:tcW w:w="429" w:type="dxa"/>
            <w:tcBorders>
              <w:bottom w:val="single" w:sz="4" w:space="0" w:color="auto"/>
            </w:tcBorders>
            <w:shd w:val="clear" w:color="auto" w:fill="auto"/>
            <w:vAlign w:val="center"/>
          </w:tcPr>
          <w:p w14:paraId="10B2C8BE" w14:textId="77777777" w:rsidR="00913A0A" w:rsidRPr="0058047D" w:rsidRDefault="00913A0A" w:rsidP="00D55AB9">
            <w:pPr>
              <w:pStyle w:val="TableText"/>
              <w:rPr>
                <w:rFonts w:ascii="Tahoma" w:hAnsi="Tahoma" w:cs="Tahoma"/>
                <w:sz w:val="13"/>
              </w:rPr>
            </w:pPr>
            <w:r w:rsidRPr="0058047D">
              <w:rPr>
                <w:rFonts w:ascii="Tahoma" w:hAnsi="Tahoma" w:cs="Tahoma"/>
                <w:sz w:val="13"/>
              </w:rPr>
              <w:t>3</w:t>
            </w:r>
          </w:p>
        </w:tc>
        <w:tc>
          <w:tcPr>
            <w:tcW w:w="429" w:type="dxa"/>
            <w:tcBorders>
              <w:bottom w:val="single" w:sz="4" w:space="0" w:color="auto"/>
            </w:tcBorders>
            <w:shd w:val="clear" w:color="auto" w:fill="auto"/>
            <w:vAlign w:val="center"/>
          </w:tcPr>
          <w:p w14:paraId="35CBE9C8"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auto"/>
            <w:vAlign w:val="center"/>
          </w:tcPr>
          <w:p w14:paraId="6AD45F71"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auto"/>
            <w:vAlign w:val="center"/>
          </w:tcPr>
          <w:p w14:paraId="705E5E52"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429" w:type="dxa"/>
            <w:tcBorders>
              <w:bottom w:val="single" w:sz="4" w:space="0" w:color="auto"/>
            </w:tcBorders>
            <w:shd w:val="clear" w:color="auto" w:fill="auto"/>
            <w:vAlign w:val="center"/>
          </w:tcPr>
          <w:p w14:paraId="6F555BC2"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8AE17F0"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353" w:type="dxa"/>
            <w:gridSpan w:val="2"/>
            <w:tcBorders>
              <w:left w:val="single" w:sz="18" w:space="0" w:color="auto"/>
              <w:bottom w:val="single" w:sz="4" w:space="0" w:color="auto"/>
            </w:tcBorders>
            <w:shd w:val="clear" w:color="auto" w:fill="auto"/>
            <w:vAlign w:val="center"/>
          </w:tcPr>
          <w:p w14:paraId="09D932C6"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360" w:type="dxa"/>
            <w:tcBorders>
              <w:bottom w:val="single" w:sz="4" w:space="0" w:color="auto"/>
            </w:tcBorders>
            <w:shd w:val="clear" w:color="auto" w:fill="auto"/>
            <w:vAlign w:val="center"/>
          </w:tcPr>
          <w:p w14:paraId="6C7D8E93" w14:textId="77777777" w:rsidR="00913A0A" w:rsidRPr="0058047D" w:rsidRDefault="00913A0A" w:rsidP="00D55AB9">
            <w:pPr>
              <w:pStyle w:val="TableText"/>
              <w:rPr>
                <w:rFonts w:ascii="Tahoma" w:hAnsi="Tahoma" w:cs="Tahoma"/>
                <w:sz w:val="13"/>
              </w:rPr>
            </w:pPr>
            <w:r w:rsidRPr="0058047D">
              <w:rPr>
                <w:rFonts w:ascii="Tahoma" w:hAnsi="Tahoma" w:cs="Tahoma"/>
                <w:sz w:val="13"/>
              </w:rPr>
              <w:t>2</w:t>
            </w:r>
          </w:p>
        </w:tc>
        <w:tc>
          <w:tcPr>
            <w:tcW w:w="378" w:type="dxa"/>
            <w:tcBorders>
              <w:bottom w:val="single" w:sz="4" w:space="0" w:color="auto"/>
              <w:right w:val="single" w:sz="18" w:space="0" w:color="auto"/>
            </w:tcBorders>
            <w:shd w:val="clear" w:color="auto" w:fill="auto"/>
            <w:vAlign w:val="center"/>
          </w:tcPr>
          <w:p w14:paraId="27D38388" w14:textId="77777777" w:rsidR="00913A0A" w:rsidRPr="0058047D" w:rsidRDefault="00913A0A" w:rsidP="00D55AB9">
            <w:pPr>
              <w:pStyle w:val="TableText"/>
              <w:rPr>
                <w:rFonts w:ascii="Tahoma" w:hAnsi="Tahoma" w:cs="Tahoma"/>
                <w:sz w:val="13"/>
              </w:rPr>
            </w:pPr>
            <w:r w:rsidRPr="0058047D">
              <w:rPr>
                <w:rFonts w:ascii="Tahoma" w:hAnsi="Tahoma" w:cs="Tahoma"/>
                <w:sz w:val="13"/>
              </w:rPr>
              <w:t>1</w:t>
            </w:r>
          </w:p>
        </w:tc>
        <w:tc>
          <w:tcPr>
            <w:tcW w:w="414" w:type="dxa"/>
            <w:tcBorders>
              <w:left w:val="single" w:sz="18" w:space="0" w:color="auto"/>
              <w:bottom w:val="single" w:sz="4" w:space="0" w:color="auto"/>
            </w:tcBorders>
            <w:shd w:val="clear" w:color="auto" w:fill="auto"/>
            <w:vAlign w:val="center"/>
          </w:tcPr>
          <w:p w14:paraId="7869C20F" w14:textId="77777777" w:rsidR="00913A0A" w:rsidRPr="0058047D" w:rsidRDefault="00913A0A" w:rsidP="00D55AB9">
            <w:pPr>
              <w:pStyle w:val="TableText"/>
              <w:rPr>
                <w:rFonts w:ascii="Tahoma" w:hAnsi="Tahoma" w:cs="Tahoma"/>
                <w:sz w:val="13"/>
              </w:rPr>
            </w:pPr>
          </w:p>
        </w:tc>
        <w:tc>
          <w:tcPr>
            <w:tcW w:w="405" w:type="dxa"/>
            <w:tcBorders>
              <w:bottom w:val="single" w:sz="4" w:space="0" w:color="auto"/>
              <w:right w:val="single" w:sz="18" w:space="0" w:color="auto"/>
            </w:tcBorders>
            <w:shd w:val="clear" w:color="auto" w:fill="auto"/>
            <w:vAlign w:val="center"/>
          </w:tcPr>
          <w:p w14:paraId="0C46A87F" w14:textId="77777777" w:rsidR="00913A0A" w:rsidRPr="0058047D" w:rsidRDefault="00913A0A" w:rsidP="00D55AB9">
            <w:pPr>
              <w:pStyle w:val="TableText"/>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0DBACB1C" w14:textId="77777777" w:rsidR="00913A0A" w:rsidRPr="0058047D" w:rsidRDefault="00913A0A" w:rsidP="00D55AB9">
            <w:pPr>
              <w:pStyle w:val="TableText"/>
              <w:rPr>
                <w:rFonts w:ascii="Tahoma" w:hAnsi="Tahoma" w:cs="Tahoma"/>
                <w:sz w:val="13"/>
              </w:rPr>
            </w:pPr>
            <w:r w:rsidRPr="0058047D">
              <w:rPr>
                <w:rFonts w:ascii="Tahoma" w:hAnsi="Tahoma" w:cs="Tahoma"/>
                <w:sz w:val="13"/>
              </w:rPr>
              <w:t>P</w:t>
            </w:r>
          </w:p>
        </w:tc>
        <w:tc>
          <w:tcPr>
            <w:tcW w:w="810" w:type="dxa"/>
            <w:tcBorders>
              <w:bottom w:val="single" w:sz="4" w:space="0" w:color="auto"/>
            </w:tcBorders>
            <w:shd w:val="clear" w:color="auto" w:fill="auto"/>
            <w:vAlign w:val="center"/>
          </w:tcPr>
          <w:p w14:paraId="520EA2C6" w14:textId="77777777" w:rsidR="00913A0A" w:rsidRPr="0058047D" w:rsidRDefault="00913A0A" w:rsidP="00D55AB9">
            <w:pPr>
              <w:pStyle w:val="TableText"/>
              <w:rPr>
                <w:rFonts w:ascii="Tahoma" w:hAnsi="Tahoma" w:cs="Tahoma"/>
                <w:sz w:val="13"/>
              </w:rPr>
            </w:pPr>
          </w:p>
        </w:tc>
        <w:tc>
          <w:tcPr>
            <w:tcW w:w="495" w:type="dxa"/>
            <w:tcBorders>
              <w:bottom w:val="single" w:sz="4" w:space="0" w:color="auto"/>
            </w:tcBorders>
            <w:shd w:val="clear" w:color="auto" w:fill="auto"/>
            <w:vAlign w:val="center"/>
          </w:tcPr>
          <w:p w14:paraId="16876936" w14:textId="77777777" w:rsidR="00913A0A" w:rsidRPr="0058047D" w:rsidRDefault="00913A0A" w:rsidP="00D55AB9">
            <w:pPr>
              <w:pStyle w:val="TableText"/>
              <w:rPr>
                <w:rFonts w:ascii="Tahoma" w:hAnsi="Tahoma" w:cs="Tahoma"/>
                <w:sz w:val="13"/>
              </w:rPr>
            </w:pPr>
          </w:p>
        </w:tc>
        <w:tc>
          <w:tcPr>
            <w:tcW w:w="370" w:type="dxa"/>
            <w:tcBorders>
              <w:bottom w:val="single" w:sz="4" w:space="0" w:color="auto"/>
            </w:tcBorders>
          </w:tcPr>
          <w:p w14:paraId="63DC09F1" w14:textId="77777777" w:rsidR="00913A0A" w:rsidRPr="0058047D" w:rsidRDefault="00913A0A" w:rsidP="00D55AB9">
            <w:pPr>
              <w:pStyle w:val="TableText"/>
              <w:rPr>
                <w:rFonts w:ascii="Tahoma" w:hAnsi="Tahoma" w:cs="Tahoma"/>
                <w:sz w:val="13"/>
              </w:rPr>
            </w:pPr>
          </w:p>
        </w:tc>
      </w:tr>
    </w:tbl>
    <w:p w14:paraId="54927BFF" w14:textId="77777777" w:rsidR="00023FE7" w:rsidRPr="0058047D" w:rsidRDefault="00E077BC">
      <w:pPr>
        <w:pStyle w:val="Bodywithspace"/>
        <w:ind w:left="0"/>
      </w:pPr>
      <w:r w:rsidRPr="0058047D">
        <w:rPr>
          <w:noProof/>
          <w:sz w:val="14"/>
        </w:rPr>
        <mc:AlternateContent>
          <mc:Choice Requires="wps">
            <w:drawing>
              <wp:anchor distT="0" distB="0" distL="114300" distR="114300" simplePos="0" relativeHeight="251658240" behindDoc="0" locked="0" layoutInCell="1" allowOverlap="1" wp14:anchorId="36011C1E" wp14:editId="63A0797F">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310DBA" w14:textId="77777777" w:rsidR="00C86F50" w:rsidRDefault="00C86F50">
                            <w:pPr>
                              <w:rPr>
                                <w:rFonts w:cs="Tahoma"/>
                                <w:i/>
                                <w:color w:val="000000"/>
                                <w:sz w:val="14"/>
                                <w:szCs w:val="14"/>
                              </w:rPr>
                            </w:pPr>
                            <w:r>
                              <w:rPr>
                                <w:rFonts w:cs="Tahoma"/>
                                <w:i/>
                                <w:color w:val="000000"/>
                                <w:sz w:val="14"/>
                                <w:szCs w:val="14"/>
                              </w:rPr>
                              <w:t>Nota: se la cella del prodotto è vuota significa che il prodotto non è attualmente offerto nel programma.</w:t>
                            </w:r>
                          </w:p>
                          <w:p w14:paraId="01E886DE" w14:textId="77777777" w:rsidR="00C86F50" w:rsidRDefault="00C86F50">
                            <w:pPr>
                              <w:rPr>
                                <w:rFonts w:cs="Tahoma"/>
                                <w:i/>
                                <w:color w:val="000000"/>
                                <w:sz w:val="14"/>
                                <w:szCs w:val="14"/>
                              </w:rPr>
                            </w:pPr>
                            <w:r>
                              <w:rPr>
                                <w:rFonts w:cs="Tahoma"/>
                                <w:i/>
                                <w:color w:val="000000"/>
                                <w:sz w:val="14"/>
                                <w:szCs w:val="14"/>
                              </w:rPr>
                              <w:t>*Per quanto riguarda Select Plus verranno utilizzati solo i valori "L" e tre anni per "L&amp;SA" / "SA".</w:t>
                            </w:r>
                          </w:p>
                          <w:p w14:paraId="508AB482" w14:textId="77777777" w:rsidR="00C86F50" w:rsidRDefault="00C86F5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6011C1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71310DBA" w14:textId="77777777" w:rsidR="00C86F50" w:rsidRDefault="00C86F50">
                      <w:pPr>
                        <w:rPr>
                          <w:rFonts w:cs="Tahoma"/>
                          <w:i/>
                          <w:color w:val="000000"/>
                          <w:sz w:val="14"/>
                          <w:szCs w:val="14"/>
                        </w:rPr>
                      </w:pPr>
                      <w:r>
                        <w:rPr>
                          <w:rFonts w:cs="Tahoma"/>
                          <w:i/>
                          <w:color w:val="000000"/>
                          <w:sz w:val="14"/>
                          <w:szCs w:val="14"/>
                        </w:rPr>
                        <w:t>Nota: se la cella del prodotto è vuota significa che il prodotto non è attualmente offerto nel programma.</w:t>
                      </w:r>
                    </w:p>
                    <w:p w14:paraId="01E886DE" w14:textId="77777777" w:rsidR="00C86F50" w:rsidRDefault="00C86F50">
                      <w:pPr>
                        <w:rPr>
                          <w:rFonts w:cs="Tahoma"/>
                          <w:i/>
                          <w:color w:val="000000"/>
                          <w:sz w:val="14"/>
                          <w:szCs w:val="14"/>
                        </w:rPr>
                      </w:pPr>
                      <w:r>
                        <w:rPr>
                          <w:rFonts w:cs="Tahoma"/>
                          <w:i/>
                          <w:color w:val="000000"/>
                          <w:sz w:val="14"/>
                          <w:szCs w:val="14"/>
                        </w:rPr>
                        <w:t>*Per quanto riguarda Select Plus verranno utilizzati solo i valori "L" e tre anni per "L&amp;SA" / "SA".</w:t>
                      </w:r>
                    </w:p>
                    <w:p w14:paraId="508AB482" w14:textId="77777777" w:rsidR="00C86F50" w:rsidRDefault="00C86F50"/>
                  </w:txbxContent>
                </v:textbox>
              </v:shape>
            </w:pict>
          </mc:Fallback>
        </mc:AlternateContent>
      </w:r>
    </w:p>
    <w:p w14:paraId="12ABC207" w14:textId="77777777" w:rsidR="00023FE7" w:rsidRPr="0058047D" w:rsidRDefault="00023FE7">
      <w:pPr>
        <w:pStyle w:val="ProductPool"/>
      </w:pPr>
    </w:p>
    <w:p w14:paraId="623F3898" w14:textId="77777777" w:rsidR="00E5334D" w:rsidRDefault="00E5334D"/>
    <w:p w14:paraId="2E6B05F2" w14:textId="77777777" w:rsidR="00D5491B" w:rsidRDefault="00D5491B"/>
    <w:p w14:paraId="5ACFEFE0" w14:textId="77777777" w:rsidR="00D5491B" w:rsidRDefault="00D5491B"/>
    <w:p w14:paraId="763251D8" w14:textId="77777777" w:rsidR="00D5491B" w:rsidRDefault="00D5491B"/>
    <w:p w14:paraId="037AB3C6" w14:textId="77777777" w:rsidR="00D5491B" w:rsidRDefault="00D5491B"/>
    <w:p w14:paraId="154F606A" w14:textId="77777777" w:rsidR="00D5491B" w:rsidRDefault="00D5491B"/>
    <w:p w14:paraId="21327FCD" w14:textId="77777777" w:rsidR="00D5491B" w:rsidRDefault="00D5491B"/>
    <w:p w14:paraId="295DA547" w14:textId="77777777" w:rsidR="00D5491B" w:rsidRDefault="00D5491B"/>
    <w:p w14:paraId="089A6B6A" w14:textId="77777777" w:rsidR="00D5491B" w:rsidRDefault="00D5491B"/>
    <w:p w14:paraId="27177416" w14:textId="77777777" w:rsidR="00023FE7" w:rsidRPr="0058047D" w:rsidRDefault="00023FE7" w:rsidP="004E292A">
      <w:pPr>
        <w:pStyle w:val="Heading3"/>
      </w:pPr>
      <w:bookmarkStart w:id="112" w:name="_Toc336337896"/>
      <w:bookmarkStart w:id="113" w:name="_Toc371663301"/>
      <w:r w:rsidRPr="0058047D">
        <w:rPr>
          <w:rFonts w:ascii="Tahoma" w:hAnsi="Tahoma" w:cs="Tahoma"/>
          <w:sz w:val="22"/>
        </w:rPr>
        <w:t>POOL DI SISTEMI</w:t>
      </w:r>
      <w:bookmarkEnd w:id="112"/>
      <w:bookmarkEnd w:id="113"/>
    </w:p>
    <w:p w14:paraId="49CD3AC5" w14:textId="77777777" w:rsidR="00023FE7" w:rsidRPr="0058047D" w:rsidRDefault="00023FE7"/>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83"/>
        <w:gridCol w:w="487"/>
        <w:gridCol w:w="450"/>
        <w:gridCol w:w="360"/>
        <w:gridCol w:w="360"/>
        <w:gridCol w:w="18"/>
        <w:gridCol w:w="350"/>
        <w:gridCol w:w="17"/>
        <w:gridCol w:w="439"/>
        <w:gridCol w:w="438"/>
        <w:gridCol w:w="12"/>
        <w:gridCol w:w="426"/>
        <w:gridCol w:w="24"/>
        <w:gridCol w:w="414"/>
        <w:gridCol w:w="36"/>
        <w:gridCol w:w="402"/>
        <w:gridCol w:w="450"/>
        <w:gridCol w:w="450"/>
        <w:gridCol w:w="450"/>
        <w:gridCol w:w="450"/>
        <w:gridCol w:w="450"/>
        <w:gridCol w:w="450"/>
        <w:gridCol w:w="502"/>
        <w:gridCol w:w="488"/>
        <w:gridCol w:w="360"/>
      </w:tblGrid>
      <w:tr w:rsidR="00913A0A" w:rsidRPr="0058047D" w14:paraId="6C3479A6" w14:textId="77777777" w:rsidTr="00D5491B">
        <w:trPr>
          <w:cantSplit/>
          <w:trHeight w:val="389"/>
          <w:tblHeader/>
        </w:trPr>
        <w:tc>
          <w:tcPr>
            <w:tcW w:w="2483" w:type="dxa"/>
            <w:vMerge w:val="restart"/>
            <w:tcBorders>
              <w:top w:val="single" w:sz="4" w:space="0" w:color="FFFFFF"/>
              <w:left w:val="single" w:sz="4" w:space="0" w:color="FFFFFF"/>
            </w:tcBorders>
          </w:tcPr>
          <w:p w14:paraId="61547C0B" w14:textId="77777777" w:rsidR="00913A0A" w:rsidRPr="0058047D" w:rsidRDefault="00D5491B">
            <w:pPr>
              <w:rPr>
                <w:rFonts w:cs="Tahoma"/>
                <w:sz w:val="20"/>
              </w:rPr>
            </w:pPr>
            <w:r w:rsidRPr="0058047D">
              <w:rPr>
                <w:rFonts w:ascii="Trebuchet MS" w:hAnsi="Trebuchet MS" w:cs="Tahoma"/>
                <w:noProof/>
                <w:sz w:val="9"/>
              </w:rPr>
              <mc:AlternateContent>
                <mc:Choice Requires="wps">
                  <w:drawing>
                    <wp:anchor distT="0" distB="0" distL="114300" distR="114300" simplePos="0" relativeHeight="251658242" behindDoc="0" locked="0" layoutInCell="1" allowOverlap="1" wp14:anchorId="6675D9AB" wp14:editId="522C71BA">
                      <wp:simplePos x="0" y="0"/>
                      <wp:positionH relativeFrom="column">
                        <wp:posOffset>1531620</wp:posOffset>
                      </wp:positionH>
                      <wp:positionV relativeFrom="paragraph">
                        <wp:posOffset>464820</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061E03" w14:textId="77777777" w:rsidR="00C86F50" w:rsidRDefault="00C86F50">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675D9AB" id="Text Box 61" o:spid="_x0000_s1027" type="#_x0000_t202" style="position:absolute;margin-left:120.6pt;margin-top:36.6pt;width:28.9pt;height:16.85pt;z-index:25165824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" filled="f" stroked="f">
                      <v:textbox style="mso-fit-shape-to-text:t">
                        <w:txbxContent>
                          <w:p w14:paraId="36061E03" w14:textId="77777777" w:rsidR="00C86F50" w:rsidRDefault="00C86F50">
                            <w:pPr>
                              <w:rPr>
                                <w:color w:val="0000FF"/>
                                <w:sz w:val="20"/>
                              </w:rPr>
                            </w:pPr>
                            <w:r>
                              <w:rPr>
                                <w:rFonts w:cs="Tahoma"/>
                                <w:b/>
                                <w:color w:val="0000FF"/>
                                <w:sz w:val="8"/>
                              </w:rPr>
                              <w:t>(Ctrl + Clic)</w:t>
                            </w:r>
                          </w:p>
                        </w:txbxContent>
                      </v:textbox>
                    </v:shape>
                  </w:pict>
                </mc:Fallback>
              </mc:AlternateContent>
            </w:r>
          </w:p>
        </w:tc>
        <w:tc>
          <w:tcPr>
            <w:tcW w:w="487" w:type="dxa"/>
            <w:vMerge w:val="restart"/>
            <w:tcBorders>
              <w:top w:val="single" w:sz="12" w:space="0" w:color="auto"/>
            </w:tcBorders>
            <w:textDirection w:val="btLr"/>
            <w:vAlign w:val="center"/>
          </w:tcPr>
          <w:p w14:paraId="0127A218" w14:textId="77777777" w:rsidR="00913A0A" w:rsidRPr="0058047D" w:rsidRDefault="00E07532" w:rsidP="00C750AC">
            <w:pPr>
              <w:pStyle w:val="TableVerticalText"/>
              <w:rPr>
                <w:rFonts w:ascii="Tahoma" w:hAnsi="Tahoma" w:cs="Tahoma"/>
                <w:sz w:val="9"/>
              </w:rPr>
            </w:pPr>
            <w:r w:rsidRPr="0058047D">
              <w:rPr>
                <w:rFonts w:ascii="Tahoma" w:hAnsi="Tahoma" w:cs="Tahoma"/>
                <w:sz w:val="9"/>
              </w:rPr>
              <w:t xml:space="preserve">Note del </w:t>
            </w:r>
            <w:r w:rsidR="00D5491B">
              <w:rPr>
                <w:rFonts w:ascii="Tahoma" w:hAnsi="Tahoma" w:cs="Tahoma"/>
                <w:sz w:val="9"/>
              </w:rPr>
              <w:br/>
            </w:r>
            <w:r w:rsidRPr="0058047D">
              <w:rPr>
                <w:rFonts w:ascii="Tahoma" w:hAnsi="Tahoma" w:cs="Tahoma"/>
                <w:sz w:val="9"/>
              </w:rPr>
              <w:t>Prodotto</w:t>
            </w:r>
          </w:p>
        </w:tc>
        <w:tc>
          <w:tcPr>
            <w:tcW w:w="450" w:type="dxa"/>
            <w:vMerge w:val="restart"/>
            <w:tcBorders>
              <w:top w:val="single" w:sz="12" w:space="0" w:color="auto"/>
            </w:tcBorders>
            <w:textDirection w:val="btLr"/>
          </w:tcPr>
          <w:p w14:paraId="68821C01" w14:textId="77777777" w:rsidR="00913A0A" w:rsidRPr="0058047D" w:rsidRDefault="00913A0A" w:rsidP="0019788A">
            <w:pPr>
              <w:pStyle w:val="TableVerticalText"/>
              <w:spacing w:before="120"/>
              <w:rPr>
                <w:rFonts w:ascii="Tahoma" w:hAnsi="Tahoma" w:cs="Tahoma"/>
                <w:sz w:val="9"/>
              </w:rPr>
            </w:pPr>
            <w:r w:rsidRPr="0058047D">
              <w:rPr>
                <w:rFonts w:ascii="Tahoma" w:hAnsi="Tahoma" w:cs="Tahoma"/>
                <w:sz w:val="9"/>
              </w:rPr>
              <w:t>Data Disponibilità</w:t>
            </w:r>
          </w:p>
        </w:tc>
        <w:tc>
          <w:tcPr>
            <w:tcW w:w="360" w:type="dxa"/>
            <w:vMerge w:val="restart"/>
            <w:tcBorders>
              <w:top w:val="single" w:sz="12" w:space="0" w:color="auto"/>
              <w:right w:val="single" w:sz="18" w:space="0" w:color="auto"/>
            </w:tcBorders>
            <w:textDirection w:val="btLr"/>
            <w:vAlign w:val="center"/>
          </w:tcPr>
          <w:p w14:paraId="62792F6C" w14:textId="77777777" w:rsidR="00913A0A" w:rsidRPr="0058047D" w:rsidRDefault="00913A0A">
            <w:pPr>
              <w:pStyle w:val="TableVerticalText"/>
              <w:rPr>
                <w:rFonts w:ascii="Tahoma" w:hAnsi="Tahoma" w:cs="Tahoma"/>
                <w:sz w:val="9"/>
              </w:rPr>
            </w:pPr>
            <w:r w:rsidRPr="0058047D">
              <w:rPr>
                <w:rFonts w:ascii="Tahoma" w:hAnsi="Tahoma" w:cs="Tahoma"/>
                <w:sz w:val="9"/>
              </w:rPr>
              <w:t>SAB</w:t>
            </w:r>
          </w:p>
        </w:tc>
        <w:tc>
          <w:tcPr>
            <w:tcW w:w="2936" w:type="dxa"/>
            <w:gridSpan w:val="12"/>
            <w:tcBorders>
              <w:top w:val="single" w:sz="12" w:space="0" w:color="auto"/>
              <w:left w:val="single" w:sz="18" w:space="0" w:color="auto"/>
              <w:right w:val="single" w:sz="18" w:space="0" w:color="auto"/>
            </w:tcBorders>
            <w:vAlign w:val="center"/>
          </w:tcPr>
          <w:p w14:paraId="5E1D3E77" w14:textId="77777777" w:rsidR="00913A0A" w:rsidRPr="0058047D" w:rsidRDefault="00913A0A">
            <w:pPr>
              <w:pStyle w:val="TableHeadingsBlack"/>
              <w:rPr>
                <w:rFonts w:ascii="Tahoma" w:hAnsi="Tahoma" w:cs="Tahoma"/>
                <w:sz w:val="9"/>
              </w:rPr>
            </w:pPr>
            <w:r w:rsidRPr="0058047D">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22F23B37" w14:textId="77777777" w:rsidR="00913A0A" w:rsidRPr="0058047D" w:rsidRDefault="00913A0A">
            <w:pPr>
              <w:pStyle w:val="TableHeadingsBlack"/>
              <w:rPr>
                <w:rFonts w:ascii="Tahoma" w:hAnsi="Tahoma" w:cs="Tahoma"/>
                <w:sz w:val="9"/>
              </w:rPr>
            </w:pPr>
            <w:r w:rsidRPr="0058047D">
              <w:rPr>
                <w:rFonts w:ascii="Tahoma" w:hAnsi="Tahoma" w:cs="Tahoma"/>
                <w:sz w:val="9"/>
              </w:rPr>
              <w:t>Licenza Open</w:t>
            </w:r>
          </w:p>
        </w:tc>
        <w:tc>
          <w:tcPr>
            <w:tcW w:w="450" w:type="dxa"/>
            <w:vMerge w:val="restart"/>
            <w:tcBorders>
              <w:top w:val="single" w:sz="12" w:space="0" w:color="auto"/>
              <w:left w:val="single" w:sz="18" w:space="0" w:color="auto"/>
            </w:tcBorders>
            <w:textDirection w:val="btLr"/>
            <w:vAlign w:val="center"/>
          </w:tcPr>
          <w:p w14:paraId="41D67A9B" w14:textId="77777777" w:rsidR="00913A0A" w:rsidRPr="0058047D" w:rsidRDefault="00913A0A">
            <w:pPr>
              <w:pStyle w:val="TableVerticalText"/>
              <w:rPr>
                <w:rFonts w:ascii="Tahoma" w:hAnsi="Tahoma" w:cs="Tahoma"/>
                <w:sz w:val="9"/>
              </w:rPr>
            </w:pPr>
            <w:r w:rsidRPr="0058047D">
              <w:rPr>
                <w:rFonts w:ascii="Tahoma" w:hAnsi="Tahoma" w:cs="Tahoma"/>
                <w:sz w:val="9"/>
              </w:rPr>
              <w:t>Unità Campus/School</w:t>
            </w:r>
          </w:p>
        </w:tc>
        <w:tc>
          <w:tcPr>
            <w:tcW w:w="450" w:type="dxa"/>
            <w:vMerge w:val="restart"/>
            <w:tcBorders>
              <w:top w:val="single" w:sz="12" w:space="0" w:color="auto"/>
              <w:right w:val="single" w:sz="18" w:space="0" w:color="auto"/>
            </w:tcBorders>
            <w:textDirection w:val="btLr"/>
            <w:vAlign w:val="center"/>
          </w:tcPr>
          <w:p w14:paraId="5C2A6D0A" w14:textId="77777777" w:rsidR="00913A0A" w:rsidRPr="0058047D" w:rsidRDefault="00913A0A">
            <w:pPr>
              <w:pStyle w:val="TableVerticalText"/>
              <w:rPr>
                <w:rFonts w:ascii="Tahoma" w:hAnsi="Tahoma" w:cs="Tahoma"/>
                <w:sz w:val="9"/>
              </w:rPr>
            </w:pPr>
            <w:r w:rsidRPr="0058047D">
              <w:rPr>
                <w:rFonts w:ascii="Tahoma" w:hAnsi="Tahoma" w:cs="Tahoma"/>
                <w:sz w:val="9"/>
              </w:rPr>
              <w:t xml:space="preserve">EA ed </w:t>
            </w:r>
            <w:r w:rsidRPr="0058047D">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62A60594" w14:textId="77777777" w:rsidR="00913A0A" w:rsidRPr="0058047D" w:rsidRDefault="00913A0A">
            <w:pPr>
              <w:pStyle w:val="TableVerticalText"/>
              <w:rPr>
                <w:rFonts w:ascii="Tahoma" w:hAnsi="Tahoma" w:cs="Tahoma"/>
                <w:sz w:val="9"/>
              </w:rPr>
            </w:pPr>
            <w:r w:rsidRPr="0058047D">
              <w:rPr>
                <w:rFonts w:ascii="Tahoma" w:hAnsi="Tahoma" w:cs="Tahoma"/>
                <w:sz w:val="9"/>
              </w:rPr>
              <w:t>OV / OVS</w:t>
            </w:r>
          </w:p>
        </w:tc>
        <w:tc>
          <w:tcPr>
            <w:tcW w:w="502" w:type="dxa"/>
            <w:vMerge w:val="restart"/>
            <w:tcBorders>
              <w:top w:val="single" w:sz="12" w:space="0" w:color="auto"/>
            </w:tcBorders>
            <w:textDirection w:val="btLr"/>
          </w:tcPr>
          <w:p w14:paraId="1630DCA7" w14:textId="77777777" w:rsidR="00913A0A" w:rsidRPr="0058047D" w:rsidRDefault="00E34ED3" w:rsidP="00E67091">
            <w:pPr>
              <w:pStyle w:val="TableVerticalText"/>
              <w:spacing w:before="120"/>
              <w:jc w:val="left"/>
              <w:rPr>
                <w:rFonts w:ascii="Tahoma" w:hAnsi="Tahoma" w:cs="Tahoma"/>
                <w:sz w:val="9"/>
              </w:rPr>
            </w:pPr>
            <w:r w:rsidRPr="0058047D">
              <w:rPr>
                <w:rFonts w:ascii="Tahoma" w:hAnsi="Tahoma" w:cs="Tahoma"/>
                <w:sz w:val="9"/>
              </w:rPr>
              <w:t xml:space="preserve"> </w:t>
            </w:r>
            <w:r w:rsidR="00913A0A" w:rsidRPr="0058047D">
              <w:rPr>
                <w:rFonts w:ascii="Tahoma" w:hAnsi="Tahoma" w:cs="Tahoma"/>
                <w:sz w:val="9"/>
              </w:rPr>
              <w:t>EES / OVS ES</w:t>
            </w:r>
          </w:p>
        </w:tc>
        <w:tc>
          <w:tcPr>
            <w:tcW w:w="488" w:type="dxa"/>
            <w:vMerge w:val="restart"/>
            <w:tcBorders>
              <w:top w:val="single" w:sz="12" w:space="0" w:color="auto"/>
            </w:tcBorders>
            <w:textDirection w:val="btLr"/>
            <w:vAlign w:val="center"/>
          </w:tcPr>
          <w:p w14:paraId="6B8DBCFF" w14:textId="77777777" w:rsidR="00913A0A" w:rsidRPr="003F471F" w:rsidRDefault="00913A0A" w:rsidP="00456002">
            <w:pPr>
              <w:pStyle w:val="TableVerticalText"/>
              <w:rPr>
                <w:rFonts w:ascii="Tahoma" w:hAnsi="Tahoma" w:cs="Tahoma"/>
                <w:sz w:val="9"/>
                <w:lang w:val="it-IT"/>
              </w:rPr>
            </w:pPr>
            <w:r w:rsidRPr="003F471F">
              <w:rPr>
                <w:rFonts w:ascii="Tahoma" w:hAnsi="Tahoma" w:cs="Tahoma"/>
                <w:sz w:val="9"/>
                <w:lang w:val="it-IT"/>
              </w:rPr>
              <w:t>Requisito minimo per i Programmi Open</w:t>
            </w:r>
          </w:p>
        </w:tc>
        <w:tc>
          <w:tcPr>
            <w:tcW w:w="360" w:type="dxa"/>
            <w:vMerge w:val="restart"/>
            <w:tcBorders>
              <w:top w:val="single" w:sz="12" w:space="0" w:color="auto"/>
            </w:tcBorders>
            <w:textDirection w:val="btLr"/>
            <w:vAlign w:val="center"/>
          </w:tcPr>
          <w:p w14:paraId="379863AB" w14:textId="77777777" w:rsidR="00913A0A" w:rsidRPr="0058047D" w:rsidRDefault="00913A0A" w:rsidP="00914B25">
            <w:pPr>
              <w:pStyle w:val="TableVerticalText"/>
              <w:rPr>
                <w:rFonts w:ascii="Tahoma" w:hAnsi="Tahoma" w:cs="Tahoma"/>
                <w:sz w:val="9"/>
              </w:rPr>
            </w:pPr>
            <w:r w:rsidRPr="0058047D">
              <w:rPr>
                <w:rFonts w:ascii="Tahoma" w:hAnsi="Tahoma" w:cs="Tahoma"/>
                <w:sz w:val="9"/>
              </w:rPr>
              <w:t>SCE</w:t>
            </w:r>
          </w:p>
        </w:tc>
      </w:tr>
      <w:tr w:rsidR="00913A0A" w:rsidRPr="0058047D" w14:paraId="5D820FD7" w14:textId="77777777" w:rsidTr="00D5491B">
        <w:trPr>
          <w:cantSplit/>
          <w:trHeight w:val="262"/>
          <w:tblHeader/>
        </w:trPr>
        <w:tc>
          <w:tcPr>
            <w:tcW w:w="2483" w:type="dxa"/>
            <w:vMerge/>
            <w:tcBorders>
              <w:left w:val="single" w:sz="4" w:space="0" w:color="FFFFFF"/>
            </w:tcBorders>
          </w:tcPr>
          <w:p w14:paraId="342BD00A" w14:textId="77777777" w:rsidR="00913A0A" w:rsidRPr="0058047D" w:rsidRDefault="00913A0A">
            <w:pPr>
              <w:rPr>
                <w:rFonts w:cs="Tahoma"/>
                <w:sz w:val="20"/>
              </w:rPr>
            </w:pPr>
          </w:p>
        </w:tc>
        <w:tc>
          <w:tcPr>
            <w:tcW w:w="487" w:type="dxa"/>
            <w:vMerge/>
          </w:tcPr>
          <w:p w14:paraId="0FD8D77E" w14:textId="77777777" w:rsidR="00913A0A" w:rsidRPr="0058047D" w:rsidRDefault="00913A0A">
            <w:pPr>
              <w:rPr>
                <w:rFonts w:cs="Tahoma"/>
                <w:b/>
                <w:sz w:val="20"/>
              </w:rPr>
            </w:pPr>
          </w:p>
        </w:tc>
        <w:tc>
          <w:tcPr>
            <w:tcW w:w="450" w:type="dxa"/>
            <w:vMerge/>
          </w:tcPr>
          <w:p w14:paraId="0CCFB7AC" w14:textId="77777777" w:rsidR="00913A0A" w:rsidRPr="0058047D" w:rsidRDefault="00913A0A">
            <w:pPr>
              <w:rPr>
                <w:rFonts w:cs="Tahoma"/>
                <w:sz w:val="20"/>
              </w:rPr>
            </w:pPr>
          </w:p>
        </w:tc>
        <w:tc>
          <w:tcPr>
            <w:tcW w:w="360" w:type="dxa"/>
            <w:vMerge/>
            <w:tcBorders>
              <w:right w:val="single" w:sz="18" w:space="0" w:color="auto"/>
            </w:tcBorders>
          </w:tcPr>
          <w:p w14:paraId="17C5EC1F" w14:textId="77777777" w:rsidR="00913A0A" w:rsidRPr="0058047D" w:rsidRDefault="00913A0A">
            <w:pPr>
              <w:rPr>
                <w:rFonts w:cs="Tahoma"/>
                <w:sz w:val="20"/>
              </w:rPr>
            </w:pPr>
          </w:p>
        </w:tc>
        <w:tc>
          <w:tcPr>
            <w:tcW w:w="360" w:type="dxa"/>
            <w:vMerge w:val="restart"/>
            <w:tcBorders>
              <w:left w:val="single" w:sz="18" w:space="0" w:color="auto"/>
            </w:tcBorders>
            <w:vAlign w:val="center"/>
          </w:tcPr>
          <w:p w14:paraId="1F00224D" w14:textId="77777777" w:rsidR="00913A0A" w:rsidRPr="0058047D" w:rsidRDefault="00913A0A">
            <w:pPr>
              <w:pStyle w:val="TableHeadingsRed"/>
              <w:rPr>
                <w:rFonts w:ascii="Tahoma" w:hAnsi="Tahoma" w:cs="Tahoma"/>
                <w:sz w:val="9"/>
              </w:rPr>
            </w:pPr>
            <w:r w:rsidRPr="0058047D">
              <w:rPr>
                <w:rFonts w:ascii="Tahoma" w:hAnsi="Tahoma" w:cs="Tahoma"/>
                <w:sz w:val="9"/>
              </w:rPr>
              <w:t>L</w:t>
            </w:r>
          </w:p>
        </w:tc>
        <w:tc>
          <w:tcPr>
            <w:tcW w:w="1274" w:type="dxa"/>
            <w:gridSpan w:val="6"/>
            <w:vAlign w:val="center"/>
          </w:tcPr>
          <w:p w14:paraId="6330B0EC" w14:textId="77777777" w:rsidR="00913A0A" w:rsidRPr="0058047D" w:rsidRDefault="00913A0A">
            <w:pPr>
              <w:pStyle w:val="TableHeadingsGreen"/>
              <w:rPr>
                <w:rFonts w:ascii="Tahoma" w:hAnsi="Tahoma" w:cs="Tahoma"/>
                <w:sz w:val="9"/>
              </w:rPr>
            </w:pPr>
            <w:r w:rsidRPr="0058047D">
              <w:rPr>
                <w:rFonts w:ascii="Tahoma" w:hAnsi="Tahoma" w:cs="Tahoma"/>
                <w:sz w:val="9"/>
              </w:rPr>
              <w:t>L&amp;SA</w:t>
            </w:r>
          </w:p>
        </w:tc>
        <w:tc>
          <w:tcPr>
            <w:tcW w:w="1302" w:type="dxa"/>
            <w:gridSpan w:val="5"/>
            <w:tcBorders>
              <w:right w:val="single" w:sz="18" w:space="0" w:color="auto"/>
            </w:tcBorders>
            <w:vAlign w:val="center"/>
          </w:tcPr>
          <w:p w14:paraId="5E003C7A" w14:textId="77777777" w:rsidR="00913A0A" w:rsidRPr="0058047D" w:rsidRDefault="00913A0A">
            <w:pPr>
              <w:pStyle w:val="TableHeadingsBlue"/>
              <w:rPr>
                <w:rFonts w:ascii="Tahoma" w:hAnsi="Tahoma" w:cs="Tahoma"/>
                <w:sz w:val="9"/>
              </w:rPr>
            </w:pPr>
            <w:r w:rsidRPr="0058047D">
              <w:rPr>
                <w:rFonts w:ascii="Tahoma" w:hAnsi="Tahoma" w:cs="Tahoma"/>
                <w:sz w:val="9"/>
              </w:rPr>
              <w:t>SA</w:t>
            </w:r>
          </w:p>
        </w:tc>
        <w:tc>
          <w:tcPr>
            <w:tcW w:w="450" w:type="dxa"/>
            <w:vMerge w:val="restart"/>
            <w:tcBorders>
              <w:left w:val="single" w:sz="18" w:space="0" w:color="auto"/>
            </w:tcBorders>
            <w:vAlign w:val="center"/>
          </w:tcPr>
          <w:p w14:paraId="4A1CFFFE" w14:textId="77777777" w:rsidR="00913A0A" w:rsidRPr="0058047D" w:rsidRDefault="00913A0A">
            <w:pPr>
              <w:pStyle w:val="TableHeadingsRed"/>
              <w:rPr>
                <w:rFonts w:ascii="Tahoma" w:hAnsi="Tahoma" w:cs="Tahoma"/>
                <w:sz w:val="9"/>
              </w:rPr>
            </w:pPr>
            <w:r w:rsidRPr="0058047D">
              <w:rPr>
                <w:rFonts w:ascii="Tahoma" w:hAnsi="Tahoma" w:cs="Tahoma"/>
                <w:sz w:val="9"/>
              </w:rPr>
              <w:t>L</w:t>
            </w:r>
          </w:p>
        </w:tc>
        <w:tc>
          <w:tcPr>
            <w:tcW w:w="450" w:type="dxa"/>
            <w:vAlign w:val="center"/>
          </w:tcPr>
          <w:p w14:paraId="55958DC9" w14:textId="77777777" w:rsidR="00913A0A" w:rsidRPr="0058047D" w:rsidRDefault="00913A0A">
            <w:pPr>
              <w:pStyle w:val="TableHeadingsGreen"/>
              <w:rPr>
                <w:rFonts w:ascii="Tahoma" w:hAnsi="Tahoma" w:cs="Tahoma"/>
                <w:sz w:val="9"/>
              </w:rPr>
            </w:pPr>
            <w:r w:rsidRPr="0058047D">
              <w:rPr>
                <w:rFonts w:ascii="Tahoma" w:hAnsi="Tahoma" w:cs="Tahoma"/>
                <w:sz w:val="9"/>
              </w:rPr>
              <w:t>L&amp;SA</w:t>
            </w:r>
          </w:p>
        </w:tc>
        <w:tc>
          <w:tcPr>
            <w:tcW w:w="450" w:type="dxa"/>
            <w:vMerge w:val="restart"/>
            <w:tcBorders>
              <w:right w:val="single" w:sz="18" w:space="0" w:color="auto"/>
            </w:tcBorders>
            <w:vAlign w:val="center"/>
          </w:tcPr>
          <w:p w14:paraId="656D420B" w14:textId="77777777" w:rsidR="00913A0A" w:rsidRPr="0058047D" w:rsidRDefault="00913A0A">
            <w:pPr>
              <w:pStyle w:val="TableHeadingsBlue"/>
              <w:rPr>
                <w:rFonts w:ascii="Tahoma" w:hAnsi="Tahoma" w:cs="Tahoma"/>
                <w:sz w:val="9"/>
              </w:rPr>
            </w:pPr>
            <w:r w:rsidRPr="0058047D">
              <w:rPr>
                <w:rFonts w:ascii="Tahoma" w:hAnsi="Tahoma" w:cs="Tahoma"/>
                <w:sz w:val="9"/>
              </w:rPr>
              <w:t>SA</w:t>
            </w:r>
          </w:p>
        </w:tc>
        <w:tc>
          <w:tcPr>
            <w:tcW w:w="450" w:type="dxa"/>
            <w:vMerge/>
            <w:tcBorders>
              <w:left w:val="single" w:sz="18" w:space="0" w:color="auto"/>
            </w:tcBorders>
          </w:tcPr>
          <w:p w14:paraId="2B8B7AA9" w14:textId="77777777" w:rsidR="00913A0A" w:rsidRPr="0058047D" w:rsidRDefault="00913A0A">
            <w:pPr>
              <w:rPr>
                <w:rFonts w:cs="Tahoma"/>
                <w:sz w:val="20"/>
              </w:rPr>
            </w:pPr>
          </w:p>
        </w:tc>
        <w:tc>
          <w:tcPr>
            <w:tcW w:w="450" w:type="dxa"/>
            <w:vMerge/>
            <w:tcBorders>
              <w:right w:val="single" w:sz="18" w:space="0" w:color="auto"/>
            </w:tcBorders>
          </w:tcPr>
          <w:p w14:paraId="20ED76FE" w14:textId="77777777" w:rsidR="00913A0A" w:rsidRPr="0058047D" w:rsidRDefault="00913A0A">
            <w:pPr>
              <w:rPr>
                <w:rFonts w:cs="Tahoma"/>
                <w:sz w:val="20"/>
              </w:rPr>
            </w:pPr>
          </w:p>
        </w:tc>
        <w:tc>
          <w:tcPr>
            <w:tcW w:w="450" w:type="dxa"/>
            <w:vMerge/>
            <w:tcBorders>
              <w:left w:val="single" w:sz="18" w:space="0" w:color="auto"/>
              <w:right w:val="single" w:sz="18" w:space="0" w:color="auto"/>
            </w:tcBorders>
          </w:tcPr>
          <w:p w14:paraId="50FAC0B2" w14:textId="77777777" w:rsidR="00913A0A" w:rsidRPr="0058047D" w:rsidRDefault="00913A0A">
            <w:pPr>
              <w:rPr>
                <w:rFonts w:cs="Tahoma"/>
                <w:sz w:val="20"/>
              </w:rPr>
            </w:pPr>
          </w:p>
        </w:tc>
        <w:tc>
          <w:tcPr>
            <w:tcW w:w="502" w:type="dxa"/>
            <w:vMerge/>
          </w:tcPr>
          <w:p w14:paraId="3EBF3F03" w14:textId="77777777" w:rsidR="00913A0A" w:rsidRPr="0058047D" w:rsidRDefault="00913A0A">
            <w:pPr>
              <w:rPr>
                <w:rFonts w:cs="Tahoma"/>
                <w:sz w:val="20"/>
              </w:rPr>
            </w:pPr>
          </w:p>
        </w:tc>
        <w:tc>
          <w:tcPr>
            <w:tcW w:w="488" w:type="dxa"/>
            <w:vMerge/>
          </w:tcPr>
          <w:p w14:paraId="49E12178" w14:textId="77777777" w:rsidR="00913A0A" w:rsidRPr="0058047D" w:rsidRDefault="00913A0A">
            <w:pPr>
              <w:rPr>
                <w:rFonts w:cs="Tahoma"/>
                <w:sz w:val="20"/>
              </w:rPr>
            </w:pPr>
          </w:p>
        </w:tc>
        <w:tc>
          <w:tcPr>
            <w:tcW w:w="360" w:type="dxa"/>
            <w:vMerge/>
          </w:tcPr>
          <w:p w14:paraId="5CCDC817" w14:textId="77777777" w:rsidR="00913A0A" w:rsidRPr="0058047D" w:rsidRDefault="00913A0A">
            <w:pPr>
              <w:rPr>
                <w:rFonts w:cs="Tahoma"/>
                <w:sz w:val="20"/>
              </w:rPr>
            </w:pPr>
          </w:p>
        </w:tc>
      </w:tr>
      <w:tr w:rsidR="00913A0A" w:rsidRPr="0058047D" w14:paraId="03620693" w14:textId="77777777" w:rsidTr="00D5491B">
        <w:trPr>
          <w:cantSplit/>
          <w:trHeight w:val="359"/>
          <w:tblHeader/>
        </w:trPr>
        <w:tc>
          <w:tcPr>
            <w:tcW w:w="2483" w:type="dxa"/>
            <w:vMerge/>
            <w:tcBorders>
              <w:left w:val="single" w:sz="4" w:space="0" w:color="FFFFFF"/>
              <w:bottom w:val="single" w:sz="4" w:space="0" w:color="auto"/>
            </w:tcBorders>
          </w:tcPr>
          <w:p w14:paraId="61A6A41D" w14:textId="77777777" w:rsidR="00913A0A" w:rsidRPr="0058047D" w:rsidRDefault="00913A0A">
            <w:pPr>
              <w:rPr>
                <w:rFonts w:cs="Tahoma"/>
                <w:sz w:val="20"/>
              </w:rPr>
            </w:pPr>
          </w:p>
        </w:tc>
        <w:tc>
          <w:tcPr>
            <w:tcW w:w="487" w:type="dxa"/>
            <w:vMerge/>
            <w:tcBorders>
              <w:bottom w:val="single" w:sz="4" w:space="0" w:color="auto"/>
            </w:tcBorders>
          </w:tcPr>
          <w:p w14:paraId="50F2D3C9" w14:textId="77777777" w:rsidR="00913A0A" w:rsidRPr="0058047D" w:rsidRDefault="00913A0A">
            <w:pPr>
              <w:rPr>
                <w:rFonts w:cs="Tahoma"/>
                <w:b/>
                <w:sz w:val="20"/>
              </w:rPr>
            </w:pPr>
          </w:p>
        </w:tc>
        <w:tc>
          <w:tcPr>
            <w:tcW w:w="450" w:type="dxa"/>
            <w:vMerge/>
            <w:tcBorders>
              <w:bottom w:val="single" w:sz="4" w:space="0" w:color="auto"/>
            </w:tcBorders>
          </w:tcPr>
          <w:p w14:paraId="0EB3AB67" w14:textId="77777777" w:rsidR="00913A0A" w:rsidRPr="0058047D" w:rsidRDefault="00913A0A">
            <w:pPr>
              <w:rPr>
                <w:rFonts w:cs="Tahoma"/>
                <w:sz w:val="20"/>
              </w:rPr>
            </w:pPr>
          </w:p>
        </w:tc>
        <w:tc>
          <w:tcPr>
            <w:tcW w:w="360" w:type="dxa"/>
            <w:vMerge/>
            <w:tcBorders>
              <w:bottom w:val="single" w:sz="4" w:space="0" w:color="auto"/>
              <w:right w:val="single" w:sz="18" w:space="0" w:color="auto"/>
            </w:tcBorders>
          </w:tcPr>
          <w:p w14:paraId="1DC338AE" w14:textId="77777777" w:rsidR="00913A0A" w:rsidRPr="0058047D" w:rsidRDefault="00913A0A">
            <w:pPr>
              <w:rPr>
                <w:rFonts w:cs="Tahoma"/>
                <w:sz w:val="20"/>
              </w:rPr>
            </w:pPr>
          </w:p>
        </w:tc>
        <w:tc>
          <w:tcPr>
            <w:tcW w:w="360" w:type="dxa"/>
            <w:vMerge/>
            <w:tcBorders>
              <w:left w:val="single" w:sz="18" w:space="0" w:color="auto"/>
              <w:bottom w:val="single" w:sz="4" w:space="0" w:color="auto"/>
            </w:tcBorders>
            <w:vAlign w:val="center"/>
          </w:tcPr>
          <w:p w14:paraId="65622FC5" w14:textId="77777777" w:rsidR="00913A0A" w:rsidRPr="0058047D" w:rsidRDefault="00913A0A">
            <w:pPr>
              <w:jc w:val="center"/>
              <w:rPr>
                <w:rFonts w:cs="Tahoma"/>
                <w:sz w:val="20"/>
              </w:rPr>
            </w:pPr>
          </w:p>
        </w:tc>
        <w:tc>
          <w:tcPr>
            <w:tcW w:w="368" w:type="dxa"/>
            <w:gridSpan w:val="2"/>
            <w:tcBorders>
              <w:bottom w:val="single" w:sz="4" w:space="0" w:color="auto"/>
            </w:tcBorders>
            <w:vAlign w:val="center"/>
          </w:tcPr>
          <w:p w14:paraId="02CF7A21" w14:textId="77777777" w:rsidR="00913A0A" w:rsidRPr="0058047D" w:rsidRDefault="00913A0A">
            <w:pPr>
              <w:pStyle w:val="TableHeadingsGreen"/>
              <w:rPr>
                <w:rFonts w:ascii="Tahoma" w:hAnsi="Tahoma" w:cs="Tahoma"/>
                <w:sz w:val="9"/>
              </w:rPr>
            </w:pPr>
            <w:r w:rsidRPr="0058047D">
              <w:rPr>
                <w:rFonts w:ascii="Tahoma" w:hAnsi="Tahoma" w:cs="Tahoma"/>
                <w:sz w:val="9"/>
              </w:rPr>
              <w:t>3An</w:t>
            </w:r>
          </w:p>
        </w:tc>
        <w:tc>
          <w:tcPr>
            <w:tcW w:w="456" w:type="dxa"/>
            <w:gridSpan w:val="2"/>
            <w:tcBorders>
              <w:bottom w:val="single" w:sz="4" w:space="0" w:color="auto"/>
            </w:tcBorders>
            <w:vAlign w:val="center"/>
          </w:tcPr>
          <w:p w14:paraId="6C8CE421" w14:textId="77777777" w:rsidR="00913A0A" w:rsidRPr="0058047D" w:rsidRDefault="00913A0A">
            <w:pPr>
              <w:pStyle w:val="TableHeadingsGreen"/>
              <w:rPr>
                <w:rFonts w:ascii="Tahoma" w:hAnsi="Tahoma" w:cs="Tahoma"/>
                <w:sz w:val="9"/>
              </w:rPr>
            </w:pPr>
            <w:r w:rsidRPr="0058047D">
              <w:rPr>
                <w:rFonts w:ascii="Tahoma" w:hAnsi="Tahoma" w:cs="Tahoma"/>
                <w:sz w:val="9"/>
              </w:rPr>
              <w:t>2An</w:t>
            </w:r>
          </w:p>
        </w:tc>
        <w:tc>
          <w:tcPr>
            <w:tcW w:w="450" w:type="dxa"/>
            <w:gridSpan w:val="2"/>
            <w:tcBorders>
              <w:bottom w:val="single" w:sz="4" w:space="0" w:color="auto"/>
            </w:tcBorders>
            <w:vAlign w:val="center"/>
          </w:tcPr>
          <w:p w14:paraId="7418C345" w14:textId="77777777" w:rsidR="00913A0A" w:rsidRPr="0058047D" w:rsidRDefault="00913A0A">
            <w:pPr>
              <w:pStyle w:val="TableHeadingsGreen"/>
              <w:rPr>
                <w:rFonts w:ascii="Tahoma" w:hAnsi="Tahoma" w:cs="Tahoma"/>
                <w:sz w:val="9"/>
              </w:rPr>
            </w:pPr>
            <w:r w:rsidRPr="0058047D">
              <w:rPr>
                <w:rFonts w:ascii="Tahoma" w:hAnsi="Tahoma" w:cs="Tahoma"/>
                <w:sz w:val="9"/>
              </w:rPr>
              <w:t>1An</w:t>
            </w:r>
          </w:p>
        </w:tc>
        <w:tc>
          <w:tcPr>
            <w:tcW w:w="450" w:type="dxa"/>
            <w:gridSpan w:val="2"/>
            <w:tcBorders>
              <w:bottom w:val="single" w:sz="4" w:space="0" w:color="auto"/>
            </w:tcBorders>
            <w:vAlign w:val="center"/>
          </w:tcPr>
          <w:p w14:paraId="75081397" w14:textId="77777777" w:rsidR="00913A0A" w:rsidRPr="0058047D" w:rsidRDefault="00913A0A">
            <w:pPr>
              <w:pStyle w:val="TableHeadingsBlue"/>
              <w:rPr>
                <w:rFonts w:ascii="Tahoma" w:hAnsi="Tahoma" w:cs="Tahoma"/>
                <w:sz w:val="9"/>
              </w:rPr>
            </w:pPr>
            <w:r w:rsidRPr="0058047D">
              <w:rPr>
                <w:rFonts w:ascii="Tahoma" w:hAnsi="Tahoma" w:cs="Tahoma"/>
                <w:sz w:val="9"/>
              </w:rPr>
              <w:t>3An</w:t>
            </w:r>
          </w:p>
        </w:tc>
        <w:tc>
          <w:tcPr>
            <w:tcW w:w="450" w:type="dxa"/>
            <w:gridSpan w:val="2"/>
            <w:tcBorders>
              <w:bottom w:val="single" w:sz="4" w:space="0" w:color="auto"/>
            </w:tcBorders>
            <w:vAlign w:val="center"/>
          </w:tcPr>
          <w:p w14:paraId="51E48CDA" w14:textId="77777777" w:rsidR="00913A0A" w:rsidRPr="0058047D" w:rsidRDefault="00913A0A">
            <w:pPr>
              <w:pStyle w:val="TableHeadingsBlue"/>
              <w:rPr>
                <w:rFonts w:ascii="Tahoma" w:hAnsi="Tahoma" w:cs="Tahoma"/>
                <w:sz w:val="9"/>
              </w:rPr>
            </w:pPr>
            <w:r w:rsidRPr="0058047D">
              <w:rPr>
                <w:rFonts w:ascii="Tahoma" w:hAnsi="Tahoma" w:cs="Tahoma"/>
                <w:sz w:val="9"/>
              </w:rPr>
              <w:t>2An</w:t>
            </w:r>
          </w:p>
        </w:tc>
        <w:tc>
          <w:tcPr>
            <w:tcW w:w="402" w:type="dxa"/>
            <w:tcBorders>
              <w:bottom w:val="single" w:sz="4" w:space="0" w:color="auto"/>
              <w:right w:val="single" w:sz="18" w:space="0" w:color="auto"/>
            </w:tcBorders>
            <w:vAlign w:val="center"/>
          </w:tcPr>
          <w:p w14:paraId="47FC70EB" w14:textId="77777777" w:rsidR="00913A0A" w:rsidRPr="0058047D" w:rsidRDefault="00913A0A">
            <w:pPr>
              <w:pStyle w:val="TableHeadingsBlue"/>
              <w:rPr>
                <w:rFonts w:ascii="Tahoma" w:hAnsi="Tahoma" w:cs="Tahoma"/>
                <w:sz w:val="9"/>
              </w:rPr>
            </w:pPr>
            <w:r w:rsidRPr="0058047D">
              <w:rPr>
                <w:rFonts w:ascii="Tahoma" w:hAnsi="Tahoma" w:cs="Tahoma"/>
                <w:sz w:val="9"/>
              </w:rPr>
              <w:t>1An</w:t>
            </w:r>
          </w:p>
        </w:tc>
        <w:tc>
          <w:tcPr>
            <w:tcW w:w="450" w:type="dxa"/>
            <w:vMerge/>
            <w:tcBorders>
              <w:left w:val="single" w:sz="18" w:space="0" w:color="auto"/>
              <w:bottom w:val="single" w:sz="4" w:space="0" w:color="auto"/>
            </w:tcBorders>
            <w:vAlign w:val="center"/>
          </w:tcPr>
          <w:p w14:paraId="3A84CC86" w14:textId="77777777" w:rsidR="00913A0A" w:rsidRPr="0058047D" w:rsidRDefault="00913A0A">
            <w:pPr>
              <w:jc w:val="center"/>
              <w:rPr>
                <w:rFonts w:cs="Tahoma"/>
                <w:sz w:val="20"/>
              </w:rPr>
            </w:pPr>
          </w:p>
        </w:tc>
        <w:tc>
          <w:tcPr>
            <w:tcW w:w="450" w:type="dxa"/>
            <w:tcBorders>
              <w:bottom w:val="single" w:sz="4" w:space="0" w:color="auto"/>
            </w:tcBorders>
            <w:vAlign w:val="center"/>
          </w:tcPr>
          <w:p w14:paraId="13A712C4" w14:textId="77777777" w:rsidR="00913A0A" w:rsidRPr="0058047D" w:rsidRDefault="00913A0A">
            <w:pPr>
              <w:pStyle w:val="TableHeadingsGreen"/>
              <w:rPr>
                <w:rFonts w:ascii="Tahoma" w:hAnsi="Tahoma" w:cs="Tahoma"/>
                <w:sz w:val="9"/>
              </w:rPr>
            </w:pPr>
            <w:r w:rsidRPr="0058047D">
              <w:rPr>
                <w:rFonts w:ascii="Tahoma" w:hAnsi="Tahoma" w:cs="Tahoma"/>
                <w:sz w:val="9"/>
              </w:rPr>
              <w:t>P</w:t>
            </w:r>
          </w:p>
        </w:tc>
        <w:tc>
          <w:tcPr>
            <w:tcW w:w="450" w:type="dxa"/>
            <w:vMerge/>
            <w:tcBorders>
              <w:bottom w:val="single" w:sz="4" w:space="0" w:color="auto"/>
              <w:right w:val="single" w:sz="18" w:space="0" w:color="auto"/>
            </w:tcBorders>
            <w:vAlign w:val="center"/>
          </w:tcPr>
          <w:p w14:paraId="0B8793C4" w14:textId="77777777" w:rsidR="00913A0A" w:rsidRPr="0058047D" w:rsidRDefault="00913A0A">
            <w:pPr>
              <w:jc w:val="center"/>
              <w:rPr>
                <w:rFonts w:cs="Tahoma"/>
                <w:sz w:val="20"/>
              </w:rPr>
            </w:pPr>
          </w:p>
        </w:tc>
        <w:tc>
          <w:tcPr>
            <w:tcW w:w="450" w:type="dxa"/>
            <w:vMerge/>
            <w:tcBorders>
              <w:left w:val="single" w:sz="18" w:space="0" w:color="auto"/>
              <w:bottom w:val="single" w:sz="4" w:space="0" w:color="auto"/>
            </w:tcBorders>
          </w:tcPr>
          <w:p w14:paraId="6B3C8045" w14:textId="77777777" w:rsidR="00913A0A" w:rsidRPr="0058047D" w:rsidRDefault="00913A0A">
            <w:pPr>
              <w:rPr>
                <w:rFonts w:cs="Tahoma"/>
                <w:sz w:val="20"/>
              </w:rPr>
            </w:pPr>
          </w:p>
        </w:tc>
        <w:tc>
          <w:tcPr>
            <w:tcW w:w="450" w:type="dxa"/>
            <w:vMerge/>
            <w:tcBorders>
              <w:bottom w:val="single" w:sz="4" w:space="0" w:color="auto"/>
              <w:right w:val="single" w:sz="18" w:space="0" w:color="auto"/>
            </w:tcBorders>
          </w:tcPr>
          <w:p w14:paraId="0B11CE81" w14:textId="77777777" w:rsidR="00913A0A" w:rsidRPr="0058047D"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452BF305" w14:textId="77777777" w:rsidR="00913A0A" w:rsidRPr="0058047D" w:rsidRDefault="00913A0A">
            <w:pPr>
              <w:rPr>
                <w:rFonts w:cs="Tahoma"/>
                <w:sz w:val="20"/>
              </w:rPr>
            </w:pPr>
          </w:p>
        </w:tc>
        <w:tc>
          <w:tcPr>
            <w:tcW w:w="502" w:type="dxa"/>
            <w:vMerge/>
            <w:tcBorders>
              <w:bottom w:val="single" w:sz="4" w:space="0" w:color="auto"/>
            </w:tcBorders>
          </w:tcPr>
          <w:p w14:paraId="4216DD95" w14:textId="77777777" w:rsidR="00913A0A" w:rsidRPr="0058047D" w:rsidRDefault="00913A0A">
            <w:pPr>
              <w:rPr>
                <w:rFonts w:cs="Tahoma"/>
                <w:sz w:val="20"/>
              </w:rPr>
            </w:pPr>
          </w:p>
        </w:tc>
        <w:tc>
          <w:tcPr>
            <w:tcW w:w="488" w:type="dxa"/>
            <w:vMerge/>
            <w:tcBorders>
              <w:bottom w:val="single" w:sz="4" w:space="0" w:color="auto"/>
            </w:tcBorders>
          </w:tcPr>
          <w:p w14:paraId="023F8402" w14:textId="77777777" w:rsidR="00913A0A" w:rsidRPr="0058047D" w:rsidRDefault="00913A0A">
            <w:pPr>
              <w:rPr>
                <w:rFonts w:cs="Tahoma"/>
                <w:sz w:val="20"/>
              </w:rPr>
            </w:pPr>
          </w:p>
        </w:tc>
        <w:tc>
          <w:tcPr>
            <w:tcW w:w="360" w:type="dxa"/>
            <w:vMerge/>
            <w:tcBorders>
              <w:bottom w:val="single" w:sz="4" w:space="0" w:color="auto"/>
            </w:tcBorders>
          </w:tcPr>
          <w:p w14:paraId="59B80343" w14:textId="77777777" w:rsidR="00913A0A" w:rsidRPr="0058047D" w:rsidRDefault="00913A0A">
            <w:pPr>
              <w:rPr>
                <w:rFonts w:cs="Tahoma"/>
                <w:sz w:val="20"/>
              </w:rPr>
            </w:pPr>
          </w:p>
        </w:tc>
      </w:tr>
      <w:tr w:rsidR="00F33969" w:rsidRPr="0058047D" w14:paraId="3F9B49C2" w14:textId="77777777" w:rsidTr="00D5491B">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83" w:type="dxa"/>
            <w:tcBorders>
              <w:bottom w:val="single" w:sz="3" w:space="0" w:color="auto"/>
            </w:tcBorders>
            <w:shd w:val="clear" w:color="auto" w:fill="FABF8F"/>
          </w:tcPr>
          <w:p w14:paraId="62A2E8BA" w14:textId="77777777" w:rsidR="00F33969" w:rsidRPr="0058047D" w:rsidRDefault="00F33969" w:rsidP="00F70479">
            <w:pPr>
              <w:pStyle w:val="ProductNames"/>
              <w:rPr>
                <w:rFonts w:ascii="Tahoma" w:hAnsi="Tahoma" w:cs="Tahoma"/>
                <w:sz w:val="14"/>
              </w:rPr>
            </w:pPr>
            <w:bookmarkStart w:id="114" w:name="_Toc371663302"/>
            <w:r w:rsidRPr="0058047D">
              <w:rPr>
                <w:rFonts w:ascii="Tahoma" w:hAnsi="Tahoma" w:cs="Tahoma"/>
                <w:sz w:val="14"/>
              </w:rPr>
              <w:t>Enterprise Sideloading per Windows Embedded 8.1</w:t>
            </w:r>
            <w:bookmarkEnd w:id="114"/>
          </w:p>
        </w:tc>
        <w:tc>
          <w:tcPr>
            <w:tcW w:w="487" w:type="dxa"/>
            <w:tcBorders>
              <w:bottom w:val="single" w:sz="3" w:space="0" w:color="auto"/>
            </w:tcBorders>
            <w:shd w:val="clear" w:color="auto" w:fill="FABF8F"/>
            <w:vAlign w:val="center"/>
          </w:tcPr>
          <w:p w14:paraId="1EC711AC" w14:textId="77777777" w:rsidR="00F33969" w:rsidRPr="0058047D" w:rsidRDefault="00C86F50" w:rsidP="00345408">
            <w:pPr>
              <w:pStyle w:val="TableText"/>
              <w:widowControl w:val="0"/>
            </w:pPr>
            <w:hyperlink w:anchor="_25_Enterprise_Sideloading" w:history="1">
              <w:r w:rsidR="00BF5FC6" w:rsidRPr="0058047D">
                <w:rPr>
                  <w:rStyle w:val="Hyperlink"/>
                  <w:b/>
                  <w:sz w:val="13"/>
                  <w:szCs w:val="13"/>
                </w:rPr>
                <w:t>25</w:t>
              </w:r>
            </w:hyperlink>
          </w:p>
        </w:tc>
        <w:tc>
          <w:tcPr>
            <w:tcW w:w="450" w:type="dxa"/>
            <w:tcBorders>
              <w:bottom w:val="single" w:sz="3" w:space="0" w:color="auto"/>
            </w:tcBorders>
            <w:shd w:val="clear" w:color="auto" w:fill="FABF8F"/>
            <w:vAlign w:val="center"/>
          </w:tcPr>
          <w:p w14:paraId="55FDAEC0" w14:textId="77777777" w:rsidR="00F33969" w:rsidRPr="0058047D" w:rsidRDefault="00C86F50" w:rsidP="00345408">
            <w:pPr>
              <w:pStyle w:val="TableText"/>
              <w:rPr>
                <w:rFonts w:ascii="Tahoma" w:hAnsi="Tahoma" w:cs="Tahoma"/>
                <w:sz w:val="13"/>
              </w:rPr>
            </w:pPr>
            <w:r>
              <w:rPr>
                <w:rFonts w:ascii="Tahoma" w:hAnsi="Tahoma" w:cs="Tahoma"/>
                <w:sz w:val="13"/>
              </w:rPr>
              <w:t>1</w:t>
            </w:r>
            <w:r w:rsidRPr="0058047D">
              <w:rPr>
                <w:rFonts w:ascii="Tahoma" w:hAnsi="Tahoma" w:cs="Tahoma"/>
                <w:sz w:val="13"/>
              </w:rPr>
              <w:t>0/1</w:t>
            </w:r>
            <w:r>
              <w:rPr>
                <w:rFonts w:ascii="Tahoma" w:hAnsi="Tahoma" w:cs="Tahoma"/>
                <w:sz w:val="13"/>
              </w:rPr>
              <w:t>3</w:t>
            </w:r>
          </w:p>
        </w:tc>
        <w:tc>
          <w:tcPr>
            <w:tcW w:w="360" w:type="dxa"/>
            <w:tcBorders>
              <w:bottom w:val="single" w:sz="3" w:space="0" w:color="auto"/>
              <w:right w:val="single" w:sz="18" w:space="0" w:color="auto"/>
            </w:tcBorders>
            <w:shd w:val="clear" w:color="auto" w:fill="FABF8F"/>
            <w:vAlign w:val="center"/>
          </w:tcPr>
          <w:p w14:paraId="0025EF98" w14:textId="77777777" w:rsidR="00F33969" w:rsidRPr="0058047D" w:rsidRDefault="00F33969" w:rsidP="00345408">
            <w:pPr>
              <w:pStyle w:val="TableText"/>
              <w:rPr>
                <w:rFonts w:ascii="Tahoma" w:hAnsi="Tahoma" w:cs="Tahoma"/>
                <w:sz w:val="13"/>
              </w:rPr>
            </w:pPr>
          </w:p>
        </w:tc>
        <w:tc>
          <w:tcPr>
            <w:tcW w:w="2936" w:type="dxa"/>
            <w:gridSpan w:val="12"/>
            <w:tcBorders>
              <w:top w:val="single" w:sz="4" w:space="0" w:color="auto"/>
              <w:left w:val="single" w:sz="18" w:space="0" w:color="auto"/>
              <w:bottom w:val="single" w:sz="4" w:space="0" w:color="auto"/>
              <w:right w:val="single" w:sz="18" w:space="0" w:color="auto"/>
            </w:tcBorders>
            <w:shd w:val="clear" w:color="auto" w:fill="FABF8F"/>
            <w:vAlign w:val="center"/>
          </w:tcPr>
          <w:p w14:paraId="4A6546A7" w14:textId="77777777" w:rsidR="00F33969" w:rsidRPr="0058047D" w:rsidRDefault="00F33969" w:rsidP="00345408">
            <w:pPr>
              <w:pStyle w:val="TableText"/>
              <w:rPr>
                <w:rFonts w:ascii="Tahoma" w:hAnsi="Tahoma" w:cs="Tahoma"/>
                <w:sz w:val="13"/>
              </w:rPr>
            </w:pPr>
            <w:r w:rsidRPr="0058047D">
              <w:rPr>
                <w:rFonts w:ascii="Tahoma" w:hAnsi="Tahoma" w:cs="Tahoma"/>
                <w:sz w:val="13"/>
              </w:rPr>
              <w:t>2</w:t>
            </w:r>
          </w:p>
        </w:tc>
        <w:tc>
          <w:tcPr>
            <w:tcW w:w="450" w:type="dxa"/>
            <w:tcBorders>
              <w:left w:val="single" w:sz="18" w:space="0" w:color="auto"/>
              <w:bottom w:val="single" w:sz="3" w:space="0" w:color="auto"/>
            </w:tcBorders>
            <w:shd w:val="clear" w:color="auto" w:fill="FABF8F"/>
            <w:vAlign w:val="center"/>
          </w:tcPr>
          <w:p w14:paraId="2A54437F" w14:textId="77777777" w:rsidR="00F33969" w:rsidRPr="0058047D" w:rsidRDefault="00F33969" w:rsidP="00345408">
            <w:pPr>
              <w:pStyle w:val="TableText"/>
              <w:rPr>
                <w:rFonts w:ascii="Tahoma" w:hAnsi="Tahoma" w:cs="Tahoma"/>
                <w:sz w:val="13"/>
              </w:rPr>
            </w:pPr>
            <w:r w:rsidRPr="0058047D">
              <w:rPr>
                <w:rFonts w:ascii="Tahoma" w:hAnsi="Tahoma" w:cs="Tahoma"/>
                <w:sz w:val="13"/>
              </w:rPr>
              <w:t>2</w:t>
            </w:r>
          </w:p>
        </w:tc>
        <w:tc>
          <w:tcPr>
            <w:tcW w:w="450" w:type="dxa"/>
            <w:tcBorders>
              <w:bottom w:val="single" w:sz="3" w:space="0" w:color="auto"/>
              <w:right w:val="single" w:sz="4" w:space="0" w:color="auto"/>
            </w:tcBorders>
            <w:shd w:val="clear" w:color="auto" w:fill="FABF8F"/>
            <w:vAlign w:val="center"/>
          </w:tcPr>
          <w:p w14:paraId="7DAE244B" w14:textId="77777777" w:rsidR="00F33969" w:rsidRPr="0058047D" w:rsidRDefault="00F33969" w:rsidP="00345408">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1CB34430" w14:textId="77777777" w:rsidR="00F33969" w:rsidRPr="0058047D" w:rsidRDefault="00F33969"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244BB17E" w14:textId="77777777" w:rsidR="00F33969" w:rsidRPr="0058047D" w:rsidRDefault="00F33969" w:rsidP="00345408">
            <w:pPr>
              <w:pStyle w:val="TableText"/>
              <w:rPr>
                <w:rFonts w:ascii="Tahoma" w:hAnsi="Tahoma" w:cs="Tahoma"/>
                <w:sz w:val="13"/>
              </w:rPr>
            </w:pPr>
          </w:p>
        </w:tc>
        <w:tc>
          <w:tcPr>
            <w:tcW w:w="450" w:type="dxa"/>
            <w:tcBorders>
              <w:bottom w:val="single" w:sz="3" w:space="0" w:color="auto"/>
              <w:right w:val="single" w:sz="18" w:space="0" w:color="auto"/>
            </w:tcBorders>
            <w:shd w:val="clear" w:color="auto" w:fill="FABF8F"/>
            <w:vAlign w:val="center"/>
          </w:tcPr>
          <w:p w14:paraId="06E4F044" w14:textId="77777777" w:rsidR="00F33969" w:rsidRPr="0058047D" w:rsidRDefault="00F33969" w:rsidP="00345408">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17E20ABE" w14:textId="77777777" w:rsidR="00F33969" w:rsidRPr="0058047D" w:rsidRDefault="00F33969" w:rsidP="00345408">
            <w:pPr>
              <w:pStyle w:val="TableText"/>
              <w:rPr>
                <w:rFonts w:ascii="Tahoma" w:hAnsi="Tahoma" w:cs="Tahoma"/>
                <w:sz w:val="13"/>
              </w:rPr>
            </w:pPr>
          </w:p>
        </w:tc>
        <w:tc>
          <w:tcPr>
            <w:tcW w:w="502" w:type="dxa"/>
            <w:tcBorders>
              <w:left w:val="single" w:sz="18" w:space="0" w:color="auto"/>
              <w:bottom w:val="single" w:sz="3" w:space="0" w:color="auto"/>
            </w:tcBorders>
            <w:shd w:val="clear" w:color="auto" w:fill="FABF8F"/>
            <w:vAlign w:val="center"/>
          </w:tcPr>
          <w:p w14:paraId="55C2CAAD" w14:textId="77777777" w:rsidR="00F33969" w:rsidRPr="0058047D" w:rsidRDefault="00F33969" w:rsidP="00345408">
            <w:pPr>
              <w:pStyle w:val="TableText"/>
              <w:rPr>
                <w:rFonts w:ascii="Tahoma" w:hAnsi="Tahoma" w:cs="Tahoma"/>
                <w:sz w:val="13"/>
              </w:rPr>
            </w:pPr>
          </w:p>
        </w:tc>
        <w:tc>
          <w:tcPr>
            <w:tcW w:w="488" w:type="dxa"/>
            <w:tcBorders>
              <w:bottom w:val="single" w:sz="3" w:space="0" w:color="auto"/>
            </w:tcBorders>
            <w:shd w:val="clear" w:color="auto" w:fill="FABF8F"/>
            <w:vAlign w:val="center"/>
          </w:tcPr>
          <w:p w14:paraId="2CE63CC5" w14:textId="77777777" w:rsidR="00F33969" w:rsidRPr="0058047D" w:rsidRDefault="00F33969" w:rsidP="00345408">
            <w:pPr>
              <w:pStyle w:val="TableText"/>
              <w:rPr>
                <w:rFonts w:ascii="Tahoma" w:hAnsi="Tahoma" w:cs="Tahoma"/>
                <w:sz w:val="13"/>
              </w:rPr>
            </w:pPr>
          </w:p>
        </w:tc>
        <w:tc>
          <w:tcPr>
            <w:tcW w:w="360" w:type="dxa"/>
            <w:tcBorders>
              <w:bottom w:val="single" w:sz="3" w:space="0" w:color="auto"/>
            </w:tcBorders>
            <w:shd w:val="clear" w:color="auto" w:fill="FABF8F"/>
            <w:vAlign w:val="center"/>
          </w:tcPr>
          <w:p w14:paraId="17B616F4" w14:textId="77777777" w:rsidR="00F33969" w:rsidRPr="0058047D" w:rsidRDefault="00F33969" w:rsidP="00345408">
            <w:pPr>
              <w:pStyle w:val="TableText"/>
              <w:rPr>
                <w:rFonts w:ascii="Tahoma" w:hAnsi="Tahoma" w:cs="Tahoma"/>
                <w:sz w:val="13"/>
              </w:rPr>
            </w:pPr>
          </w:p>
        </w:tc>
      </w:tr>
      <w:tr w:rsidR="008A0F85" w:rsidRPr="0058047D" w14:paraId="00BD9BF8" w14:textId="77777777" w:rsidTr="00D5491B">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83" w:type="dxa"/>
            <w:tcBorders>
              <w:bottom w:val="single" w:sz="3" w:space="0" w:color="auto"/>
            </w:tcBorders>
            <w:shd w:val="clear" w:color="auto" w:fill="auto"/>
          </w:tcPr>
          <w:p w14:paraId="43697D61" w14:textId="77777777" w:rsidR="00913A0A" w:rsidRPr="0058047D" w:rsidRDefault="00913A0A" w:rsidP="00F70479">
            <w:pPr>
              <w:pStyle w:val="ProductNames"/>
              <w:rPr>
                <w:rFonts w:ascii="Tahoma" w:hAnsi="Tahoma" w:cs="Tahoma"/>
                <w:sz w:val="14"/>
              </w:rPr>
            </w:pPr>
            <w:bookmarkStart w:id="115" w:name="_Toc371663303"/>
            <w:r w:rsidRPr="0058047D">
              <w:rPr>
                <w:rFonts w:ascii="Tahoma" w:hAnsi="Tahoma" w:cs="Tahoma"/>
                <w:sz w:val="14"/>
              </w:rPr>
              <w:t>Microsoft Desktop Optimization Pack per Software Assurance</w:t>
            </w:r>
            <w:bookmarkEnd w:id="115"/>
          </w:p>
        </w:tc>
        <w:tc>
          <w:tcPr>
            <w:tcW w:w="487" w:type="dxa"/>
            <w:tcBorders>
              <w:bottom w:val="single" w:sz="3" w:space="0" w:color="auto"/>
            </w:tcBorders>
            <w:shd w:val="clear" w:color="auto" w:fill="auto"/>
            <w:vAlign w:val="center"/>
          </w:tcPr>
          <w:p w14:paraId="40FBCD47" w14:textId="77777777" w:rsidR="00913A0A" w:rsidRPr="0058047D" w:rsidRDefault="00C86F50" w:rsidP="00345408">
            <w:pPr>
              <w:pStyle w:val="TableText"/>
              <w:widowControl w:val="0"/>
              <w:rPr>
                <w:b/>
                <w:color w:val="0000FF"/>
                <w:sz w:val="13"/>
                <w:szCs w:val="13"/>
                <w:u w:val="single"/>
              </w:rPr>
            </w:pPr>
            <w:hyperlink w:anchor="_24_Microsoft_Desktop" w:history="1">
              <w:r w:rsidR="00BF5FC6" w:rsidRPr="0058047D">
                <w:rPr>
                  <w:rStyle w:val="Hyperlink"/>
                  <w:b/>
                  <w:sz w:val="13"/>
                  <w:szCs w:val="13"/>
                </w:rPr>
                <w:t>26</w:t>
              </w:r>
            </w:hyperlink>
          </w:p>
        </w:tc>
        <w:tc>
          <w:tcPr>
            <w:tcW w:w="450" w:type="dxa"/>
            <w:tcBorders>
              <w:bottom w:val="single" w:sz="3" w:space="0" w:color="auto"/>
            </w:tcBorders>
            <w:shd w:val="clear" w:color="auto" w:fill="auto"/>
            <w:vAlign w:val="center"/>
          </w:tcPr>
          <w:p w14:paraId="16FEEADF" w14:textId="77777777" w:rsidR="00913A0A" w:rsidRPr="0058047D" w:rsidRDefault="00913A0A" w:rsidP="00345408">
            <w:pPr>
              <w:pStyle w:val="TableText"/>
              <w:rPr>
                <w:rFonts w:ascii="Tahoma" w:hAnsi="Tahoma" w:cs="Tahoma"/>
                <w:sz w:val="13"/>
              </w:rPr>
            </w:pPr>
            <w:r w:rsidRPr="0058047D">
              <w:rPr>
                <w:rFonts w:ascii="Tahoma" w:hAnsi="Tahoma" w:cs="Tahoma"/>
                <w:sz w:val="13"/>
              </w:rPr>
              <w:t>11/12</w:t>
            </w:r>
          </w:p>
        </w:tc>
        <w:tc>
          <w:tcPr>
            <w:tcW w:w="360" w:type="dxa"/>
            <w:tcBorders>
              <w:bottom w:val="single" w:sz="3" w:space="0" w:color="auto"/>
              <w:right w:val="single" w:sz="18" w:space="0" w:color="auto"/>
            </w:tcBorders>
            <w:shd w:val="clear" w:color="auto" w:fill="auto"/>
            <w:vAlign w:val="center"/>
          </w:tcPr>
          <w:p w14:paraId="4C852AD4" w14:textId="77777777" w:rsidR="00913A0A" w:rsidRPr="0058047D" w:rsidRDefault="00913A0A" w:rsidP="00345408">
            <w:pPr>
              <w:pStyle w:val="TableText"/>
              <w:rPr>
                <w:rFonts w:ascii="Tahoma" w:hAnsi="Tahoma" w:cs="Tahoma"/>
                <w:sz w:val="13"/>
              </w:rPr>
            </w:pPr>
          </w:p>
        </w:tc>
        <w:tc>
          <w:tcPr>
            <w:tcW w:w="2936" w:type="dxa"/>
            <w:gridSpan w:val="12"/>
            <w:tcBorders>
              <w:top w:val="single" w:sz="4" w:space="0" w:color="auto"/>
              <w:left w:val="single" w:sz="18" w:space="0" w:color="auto"/>
              <w:bottom w:val="single" w:sz="4" w:space="0" w:color="auto"/>
              <w:right w:val="single" w:sz="18" w:space="0" w:color="auto"/>
            </w:tcBorders>
            <w:shd w:val="clear" w:color="auto" w:fill="auto"/>
            <w:vAlign w:val="center"/>
          </w:tcPr>
          <w:p w14:paraId="2BC8DB3D" w14:textId="77777777" w:rsidR="00913A0A" w:rsidRPr="0058047D" w:rsidRDefault="00913A0A" w:rsidP="00345408">
            <w:pPr>
              <w:pStyle w:val="TableText"/>
              <w:rPr>
                <w:rFonts w:ascii="Tahoma" w:hAnsi="Tahoma" w:cs="Tahoma"/>
                <w:sz w:val="13"/>
              </w:rPr>
            </w:pPr>
            <w:r w:rsidRPr="0058047D">
              <w:rPr>
                <w:rFonts w:ascii="Tahoma" w:hAnsi="Tahoma" w:cs="Tahoma"/>
                <w:sz w:val="13"/>
              </w:rPr>
              <w:t>1</w:t>
            </w:r>
          </w:p>
        </w:tc>
        <w:tc>
          <w:tcPr>
            <w:tcW w:w="450" w:type="dxa"/>
            <w:tcBorders>
              <w:left w:val="single" w:sz="18" w:space="0" w:color="auto"/>
              <w:bottom w:val="single" w:sz="3" w:space="0" w:color="auto"/>
            </w:tcBorders>
            <w:shd w:val="clear" w:color="auto" w:fill="auto"/>
            <w:vAlign w:val="center"/>
          </w:tcPr>
          <w:p w14:paraId="538F6CEE" w14:textId="77777777" w:rsidR="00913A0A" w:rsidRPr="0058047D" w:rsidRDefault="00913A0A" w:rsidP="00345408">
            <w:pPr>
              <w:pStyle w:val="TableText"/>
              <w:rPr>
                <w:rFonts w:ascii="Tahoma" w:hAnsi="Tahoma" w:cs="Tahoma"/>
                <w:sz w:val="13"/>
              </w:rPr>
            </w:pPr>
          </w:p>
        </w:tc>
        <w:tc>
          <w:tcPr>
            <w:tcW w:w="450" w:type="dxa"/>
            <w:tcBorders>
              <w:bottom w:val="single" w:sz="3" w:space="0" w:color="auto"/>
              <w:right w:val="single" w:sz="4" w:space="0" w:color="auto"/>
            </w:tcBorders>
            <w:shd w:val="clear" w:color="auto" w:fill="auto"/>
            <w:vAlign w:val="center"/>
          </w:tcPr>
          <w:p w14:paraId="4052C206" w14:textId="77777777" w:rsidR="00913A0A" w:rsidRPr="0058047D" w:rsidRDefault="00913A0A" w:rsidP="00345408">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41EA38AC" w14:textId="77777777" w:rsidR="00913A0A" w:rsidRPr="0058047D" w:rsidRDefault="00913A0A"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auto"/>
            <w:vAlign w:val="center"/>
          </w:tcPr>
          <w:p w14:paraId="518CE5D1" w14:textId="77777777" w:rsidR="00913A0A" w:rsidRPr="0058047D" w:rsidRDefault="00913A0A" w:rsidP="00345408">
            <w:pPr>
              <w:pStyle w:val="TableText"/>
              <w:rPr>
                <w:rFonts w:ascii="Tahoma" w:hAnsi="Tahoma" w:cs="Tahoma"/>
                <w:sz w:val="13"/>
              </w:rPr>
            </w:pPr>
            <w:r w:rsidRPr="0058047D">
              <w:rPr>
                <w:rFonts w:ascii="Tahoma" w:hAnsi="Tahoma" w:cs="Tahoma"/>
                <w:sz w:val="13"/>
              </w:rPr>
              <w:t>1,E</w:t>
            </w:r>
          </w:p>
        </w:tc>
        <w:tc>
          <w:tcPr>
            <w:tcW w:w="450" w:type="dxa"/>
            <w:tcBorders>
              <w:bottom w:val="single" w:sz="3" w:space="0" w:color="auto"/>
              <w:right w:val="single" w:sz="18" w:space="0" w:color="auto"/>
            </w:tcBorders>
            <w:shd w:val="clear" w:color="auto" w:fill="auto"/>
            <w:vAlign w:val="center"/>
          </w:tcPr>
          <w:p w14:paraId="255959C5" w14:textId="77777777" w:rsidR="00913A0A" w:rsidRPr="0058047D" w:rsidRDefault="00913A0A" w:rsidP="00345408">
            <w:pPr>
              <w:pStyle w:val="TableText"/>
              <w:rPr>
                <w:rFonts w:ascii="Tahoma" w:hAnsi="Tahoma" w:cs="Tahoma"/>
                <w:sz w:val="13"/>
              </w:rPr>
            </w:pPr>
            <w:r w:rsidRPr="0058047D">
              <w:rPr>
                <w:rFonts w:ascii="Tahoma" w:hAnsi="Tahoma" w:cs="Tahoma"/>
                <w:sz w:val="13"/>
              </w:rPr>
              <w:t>E,A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6FD5A20C" w14:textId="77777777" w:rsidR="00913A0A" w:rsidRPr="0058047D" w:rsidRDefault="00913A0A" w:rsidP="00345408">
            <w:pPr>
              <w:pStyle w:val="TableText"/>
              <w:rPr>
                <w:rFonts w:ascii="Tahoma" w:hAnsi="Tahoma" w:cs="Tahoma"/>
                <w:sz w:val="13"/>
              </w:rPr>
            </w:pPr>
            <w:r w:rsidRPr="0058047D">
              <w:rPr>
                <w:rFonts w:ascii="Tahoma" w:hAnsi="Tahoma" w:cs="Tahoma"/>
                <w:sz w:val="13"/>
              </w:rPr>
              <w:t>P</w:t>
            </w:r>
          </w:p>
        </w:tc>
        <w:tc>
          <w:tcPr>
            <w:tcW w:w="502" w:type="dxa"/>
            <w:tcBorders>
              <w:left w:val="single" w:sz="18" w:space="0" w:color="auto"/>
              <w:bottom w:val="single" w:sz="3" w:space="0" w:color="auto"/>
            </w:tcBorders>
            <w:shd w:val="clear" w:color="auto" w:fill="auto"/>
            <w:vAlign w:val="center"/>
          </w:tcPr>
          <w:p w14:paraId="71B68B23" w14:textId="77777777" w:rsidR="00913A0A" w:rsidRPr="0058047D" w:rsidRDefault="00913A0A" w:rsidP="00345408">
            <w:pPr>
              <w:pStyle w:val="TableText"/>
              <w:rPr>
                <w:rFonts w:ascii="Tahoma" w:hAnsi="Tahoma" w:cs="Tahoma"/>
                <w:sz w:val="13"/>
              </w:rPr>
            </w:pPr>
            <w:r w:rsidRPr="0058047D">
              <w:rPr>
                <w:rFonts w:ascii="Tahoma" w:hAnsi="Tahoma" w:cs="Tahoma"/>
                <w:sz w:val="13"/>
              </w:rPr>
              <w:t>A, ST</w:t>
            </w:r>
          </w:p>
        </w:tc>
        <w:tc>
          <w:tcPr>
            <w:tcW w:w="488" w:type="dxa"/>
            <w:tcBorders>
              <w:bottom w:val="single" w:sz="3" w:space="0" w:color="auto"/>
            </w:tcBorders>
            <w:shd w:val="clear" w:color="auto" w:fill="auto"/>
            <w:vAlign w:val="center"/>
          </w:tcPr>
          <w:p w14:paraId="0304A366" w14:textId="77777777" w:rsidR="00913A0A" w:rsidRPr="0058047D" w:rsidRDefault="00913A0A" w:rsidP="00345408">
            <w:pPr>
              <w:pStyle w:val="TableText"/>
              <w:rPr>
                <w:rFonts w:ascii="Tahoma" w:hAnsi="Tahoma" w:cs="Tahoma"/>
                <w:sz w:val="13"/>
              </w:rPr>
            </w:pPr>
          </w:p>
        </w:tc>
        <w:tc>
          <w:tcPr>
            <w:tcW w:w="360" w:type="dxa"/>
            <w:tcBorders>
              <w:bottom w:val="single" w:sz="3" w:space="0" w:color="auto"/>
            </w:tcBorders>
            <w:shd w:val="clear" w:color="auto" w:fill="auto"/>
            <w:vAlign w:val="center"/>
          </w:tcPr>
          <w:p w14:paraId="63FD1FE6" w14:textId="77777777" w:rsidR="00913A0A" w:rsidRPr="0058047D" w:rsidRDefault="00913A0A" w:rsidP="00345408">
            <w:pPr>
              <w:pStyle w:val="TableText"/>
              <w:rPr>
                <w:rFonts w:ascii="Tahoma" w:hAnsi="Tahoma" w:cs="Tahoma"/>
                <w:sz w:val="13"/>
              </w:rPr>
            </w:pPr>
            <w:r w:rsidRPr="0058047D">
              <w:rPr>
                <w:rFonts w:ascii="Tahoma" w:hAnsi="Tahoma" w:cs="Tahoma"/>
                <w:sz w:val="13"/>
              </w:rPr>
              <w:t>A</w:t>
            </w:r>
          </w:p>
        </w:tc>
      </w:tr>
      <w:tr w:rsidR="00345408" w:rsidRPr="0058047D" w14:paraId="7B4AF13F" w14:textId="77777777" w:rsidTr="00D5491B">
        <w:trPr>
          <w:trHeight w:val="145"/>
        </w:trPr>
        <w:tc>
          <w:tcPr>
            <w:tcW w:w="2483" w:type="dxa"/>
            <w:tcBorders>
              <w:bottom w:val="single" w:sz="4" w:space="0" w:color="auto"/>
            </w:tcBorders>
            <w:shd w:val="clear" w:color="auto" w:fill="FABF8F"/>
          </w:tcPr>
          <w:p w14:paraId="0515224F" w14:textId="77777777" w:rsidR="00345408" w:rsidRPr="003F471F" w:rsidRDefault="00345408" w:rsidP="00345408">
            <w:pPr>
              <w:pStyle w:val="ProductNames"/>
              <w:rPr>
                <w:rFonts w:ascii="Tahoma" w:hAnsi="Tahoma" w:cs="Tahoma"/>
                <w:sz w:val="14"/>
                <w:lang w:val="it-IT"/>
              </w:rPr>
            </w:pPr>
            <w:bookmarkStart w:id="116" w:name="_Toc371663304"/>
            <w:bookmarkStart w:id="117" w:name="_Toc336337897"/>
            <w:r w:rsidRPr="003F471F">
              <w:rPr>
                <w:rFonts w:ascii="Tahoma" w:hAnsi="Tahoma" w:cs="Tahoma"/>
                <w:sz w:val="14"/>
                <w:lang w:val="it-IT"/>
              </w:rPr>
              <w:t>Diritti di Noleggio per Windows</w:t>
            </w:r>
            <w:bookmarkEnd w:id="116"/>
          </w:p>
        </w:tc>
        <w:tc>
          <w:tcPr>
            <w:tcW w:w="487" w:type="dxa"/>
            <w:tcBorders>
              <w:bottom w:val="single" w:sz="4" w:space="0" w:color="auto"/>
            </w:tcBorders>
            <w:shd w:val="clear" w:color="auto" w:fill="FABF8F"/>
            <w:vAlign w:val="center"/>
          </w:tcPr>
          <w:p w14:paraId="16D1E06F" w14:textId="77777777" w:rsidR="00345408" w:rsidRPr="003F471F" w:rsidRDefault="00345408" w:rsidP="00345408">
            <w:pPr>
              <w:pStyle w:val="TableText"/>
              <w:widowControl w:val="0"/>
              <w:rPr>
                <w:lang w:val="it-IT"/>
              </w:rPr>
            </w:pPr>
          </w:p>
        </w:tc>
        <w:tc>
          <w:tcPr>
            <w:tcW w:w="450" w:type="dxa"/>
            <w:tcBorders>
              <w:bottom w:val="single" w:sz="4" w:space="0" w:color="auto"/>
            </w:tcBorders>
            <w:shd w:val="clear" w:color="auto" w:fill="FABF8F"/>
            <w:vAlign w:val="center"/>
          </w:tcPr>
          <w:p w14:paraId="0C9BB5FC" w14:textId="77777777" w:rsidR="00345408" w:rsidRPr="0058047D" w:rsidRDefault="00345408" w:rsidP="00345408">
            <w:pPr>
              <w:pStyle w:val="TableText"/>
              <w:rPr>
                <w:rFonts w:ascii="Tahoma" w:hAnsi="Tahoma" w:cs="Tahoma"/>
                <w:sz w:val="13"/>
              </w:rPr>
            </w:pPr>
            <w:r w:rsidRPr="0058047D">
              <w:rPr>
                <w:rFonts w:ascii="Tahoma" w:hAnsi="Tahoma" w:cs="Tahoma"/>
                <w:sz w:val="13"/>
              </w:rPr>
              <w:t>04/09</w:t>
            </w:r>
          </w:p>
        </w:tc>
        <w:tc>
          <w:tcPr>
            <w:tcW w:w="360" w:type="dxa"/>
            <w:tcBorders>
              <w:bottom w:val="single" w:sz="4" w:space="0" w:color="auto"/>
              <w:right w:val="single" w:sz="18" w:space="0" w:color="auto"/>
            </w:tcBorders>
            <w:shd w:val="clear" w:color="auto" w:fill="FABF8F"/>
            <w:vAlign w:val="center"/>
          </w:tcPr>
          <w:p w14:paraId="4CA14CD5" w14:textId="77777777" w:rsidR="00345408" w:rsidRPr="0058047D" w:rsidRDefault="00345408" w:rsidP="00345408">
            <w:pPr>
              <w:pStyle w:val="TableText"/>
              <w:rPr>
                <w:rFonts w:ascii="Tahoma" w:hAnsi="Tahoma" w:cs="Tahoma"/>
                <w:sz w:val="13"/>
              </w:rPr>
            </w:pPr>
          </w:p>
        </w:tc>
        <w:tc>
          <w:tcPr>
            <w:tcW w:w="378"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630D73EE" w14:textId="77777777" w:rsidR="00345408" w:rsidRPr="0058047D" w:rsidRDefault="00345408" w:rsidP="00345408">
            <w:pPr>
              <w:pStyle w:val="TableText"/>
              <w:rPr>
                <w:rFonts w:ascii="Tahoma" w:hAnsi="Tahoma" w:cs="Tahoma"/>
                <w:sz w:val="13"/>
              </w:rPr>
            </w:pPr>
            <w:r w:rsidRPr="0058047D">
              <w:rPr>
                <w:rFonts w:ascii="Tahoma" w:hAnsi="Tahoma" w:cs="Tahoma"/>
                <w:sz w:val="13"/>
              </w:rPr>
              <w:t>2</w:t>
            </w:r>
          </w:p>
        </w:tc>
        <w:tc>
          <w:tcPr>
            <w:tcW w:w="367"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16255ABD" w14:textId="77777777" w:rsidR="00345408" w:rsidRPr="0058047D" w:rsidRDefault="00345408" w:rsidP="00345408">
            <w:pPr>
              <w:pStyle w:val="TableText"/>
              <w:rPr>
                <w:rFonts w:ascii="Tahoma" w:hAnsi="Tahoma" w:cs="Tahoma"/>
                <w:sz w:val="13"/>
              </w:rPr>
            </w:pPr>
          </w:p>
        </w:tc>
        <w:tc>
          <w:tcPr>
            <w:tcW w:w="439" w:type="dxa"/>
            <w:tcBorders>
              <w:top w:val="single" w:sz="4" w:space="0" w:color="auto"/>
              <w:left w:val="single" w:sz="4" w:space="0" w:color="auto"/>
              <w:bottom w:val="single" w:sz="4" w:space="0" w:color="auto"/>
              <w:right w:val="single" w:sz="4" w:space="0" w:color="auto"/>
            </w:tcBorders>
            <w:shd w:val="clear" w:color="auto" w:fill="FABF8F"/>
            <w:vAlign w:val="center"/>
          </w:tcPr>
          <w:p w14:paraId="3216C001" w14:textId="77777777" w:rsidR="00345408" w:rsidRPr="0058047D" w:rsidRDefault="00345408" w:rsidP="00345408">
            <w:pPr>
              <w:pStyle w:val="TableText"/>
              <w:rPr>
                <w:rFonts w:ascii="Tahoma" w:hAnsi="Tahoma" w:cs="Tahoma"/>
                <w:sz w:val="13"/>
              </w:rPr>
            </w:pPr>
          </w:p>
        </w:tc>
        <w:tc>
          <w:tcPr>
            <w:tcW w:w="438" w:type="dxa"/>
            <w:tcBorders>
              <w:top w:val="single" w:sz="4" w:space="0" w:color="auto"/>
              <w:left w:val="single" w:sz="4" w:space="0" w:color="auto"/>
              <w:bottom w:val="single" w:sz="4" w:space="0" w:color="auto"/>
              <w:right w:val="single" w:sz="4" w:space="0" w:color="auto"/>
            </w:tcBorders>
            <w:shd w:val="clear" w:color="auto" w:fill="FABF8F"/>
            <w:vAlign w:val="center"/>
          </w:tcPr>
          <w:p w14:paraId="2DD0BACF" w14:textId="77777777" w:rsidR="00345408" w:rsidRPr="0058047D"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B9B65E0" w14:textId="77777777" w:rsidR="00345408" w:rsidRPr="0058047D"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3A01193" w14:textId="77777777" w:rsidR="00345408" w:rsidRPr="0058047D"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3ECF0E04" w14:textId="77777777" w:rsidR="00345408" w:rsidRPr="0058047D"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8599296" w14:textId="77777777" w:rsidR="00345408" w:rsidRPr="0058047D" w:rsidRDefault="00345408" w:rsidP="00345408">
            <w:pPr>
              <w:pStyle w:val="TableText"/>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FABF8F"/>
            <w:vAlign w:val="center"/>
          </w:tcPr>
          <w:p w14:paraId="0F5943E3" w14:textId="77777777" w:rsidR="00345408" w:rsidRPr="0058047D" w:rsidRDefault="00345408" w:rsidP="00345408">
            <w:pPr>
              <w:pStyle w:val="TableText"/>
              <w:rPr>
                <w:rFonts w:ascii="Tahoma" w:hAnsi="Tahoma" w:cs="Tahoma"/>
                <w:sz w:val="13"/>
              </w:rPr>
            </w:pPr>
          </w:p>
        </w:tc>
        <w:tc>
          <w:tcPr>
            <w:tcW w:w="450" w:type="dxa"/>
            <w:tcBorders>
              <w:top w:val="single" w:sz="4" w:space="0" w:color="auto"/>
              <w:bottom w:val="single" w:sz="4" w:space="0" w:color="auto"/>
              <w:right w:val="single" w:sz="18" w:space="0" w:color="auto"/>
            </w:tcBorders>
            <w:shd w:val="clear" w:color="auto" w:fill="FABF8F"/>
            <w:vAlign w:val="center"/>
          </w:tcPr>
          <w:p w14:paraId="6E8E0233" w14:textId="77777777" w:rsidR="00345408" w:rsidRPr="0058047D"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8F75B35" w14:textId="77777777" w:rsidR="00345408" w:rsidRPr="0058047D"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472E3B0" w14:textId="77777777" w:rsidR="00345408" w:rsidRPr="0058047D" w:rsidRDefault="00345408" w:rsidP="00345408">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66958BD6" w14:textId="77777777" w:rsidR="00345408" w:rsidRPr="0058047D" w:rsidRDefault="00345408" w:rsidP="00345408">
            <w:pPr>
              <w:pStyle w:val="TableText"/>
              <w:rPr>
                <w:rFonts w:ascii="Tahoma" w:hAnsi="Tahoma" w:cs="Tahoma"/>
                <w:sz w:val="13"/>
              </w:rPr>
            </w:pPr>
          </w:p>
        </w:tc>
        <w:tc>
          <w:tcPr>
            <w:tcW w:w="502" w:type="dxa"/>
            <w:tcBorders>
              <w:bottom w:val="single" w:sz="4" w:space="0" w:color="auto"/>
            </w:tcBorders>
            <w:shd w:val="clear" w:color="auto" w:fill="FABF8F"/>
            <w:vAlign w:val="center"/>
          </w:tcPr>
          <w:p w14:paraId="122273BA" w14:textId="77777777" w:rsidR="00345408" w:rsidRPr="0058047D" w:rsidRDefault="00345408" w:rsidP="00345408">
            <w:pPr>
              <w:pStyle w:val="TableText"/>
              <w:rPr>
                <w:rFonts w:ascii="Tahoma" w:hAnsi="Tahoma" w:cs="Tahoma"/>
                <w:sz w:val="13"/>
              </w:rPr>
            </w:pPr>
          </w:p>
        </w:tc>
        <w:tc>
          <w:tcPr>
            <w:tcW w:w="488" w:type="dxa"/>
            <w:tcBorders>
              <w:bottom w:val="single" w:sz="4" w:space="0" w:color="auto"/>
            </w:tcBorders>
            <w:shd w:val="clear" w:color="auto" w:fill="FABF8F"/>
            <w:vAlign w:val="center"/>
          </w:tcPr>
          <w:p w14:paraId="4EBE5806" w14:textId="77777777" w:rsidR="00345408" w:rsidRPr="0058047D"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7743B385" w14:textId="77777777" w:rsidR="00345408" w:rsidRPr="0058047D" w:rsidRDefault="00345408" w:rsidP="00345408">
            <w:pPr>
              <w:pStyle w:val="TableText"/>
              <w:rPr>
                <w:rFonts w:ascii="Tahoma" w:hAnsi="Tahoma" w:cs="Tahoma"/>
                <w:sz w:val="13"/>
              </w:rPr>
            </w:pPr>
          </w:p>
        </w:tc>
      </w:tr>
      <w:tr w:rsidR="00345408" w:rsidRPr="0058047D" w14:paraId="3C8697DD" w14:textId="77777777" w:rsidTr="00D5491B">
        <w:trPr>
          <w:trHeight w:val="145"/>
        </w:trPr>
        <w:tc>
          <w:tcPr>
            <w:tcW w:w="2483" w:type="dxa"/>
            <w:tcBorders>
              <w:bottom w:val="single" w:sz="4" w:space="0" w:color="auto"/>
            </w:tcBorders>
            <w:shd w:val="clear" w:color="auto" w:fill="auto"/>
          </w:tcPr>
          <w:p w14:paraId="0515E883" w14:textId="77777777" w:rsidR="00345408" w:rsidRPr="0058047D" w:rsidRDefault="00345408" w:rsidP="00C86F50">
            <w:pPr>
              <w:pStyle w:val="ProductNames"/>
              <w:rPr>
                <w:rFonts w:ascii="Tahoma" w:hAnsi="Tahoma" w:cs="Tahoma"/>
                <w:sz w:val="14"/>
              </w:rPr>
            </w:pPr>
            <w:bookmarkStart w:id="118" w:name="_Toc371663305"/>
            <w:r w:rsidRPr="0058047D">
              <w:rPr>
                <w:rFonts w:ascii="Tahoma" w:hAnsi="Tahoma" w:cs="Tahoma"/>
                <w:sz w:val="14"/>
              </w:rPr>
              <w:t>Windows</w:t>
            </w:r>
            <w:r w:rsidR="00E53A46" w:rsidRPr="0058047D">
              <w:rPr>
                <w:rFonts w:ascii="Tahoma" w:hAnsi="Tahoma" w:cs="Tahoma"/>
                <w:sz w:val="14"/>
                <w:vertAlign w:val="superscript"/>
              </w:rPr>
              <w:t>®</w:t>
            </w:r>
            <w:r w:rsidRPr="0058047D">
              <w:rPr>
                <w:rFonts w:ascii="Tahoma" w:hAnsi="Tahoma" w:cs="Tahoma"/>
                <w:sz w:val="14"/>
              </w:rPr>
              <w:t xml:space="preserve"> </w:t>
            </w:r>
            <w:r w:rsidR="00C86F50">
              <w:rPr>
                <w:rFonts w:ascii="Tahoma" w:hAnsi="Tahoma" w:cs="Tahoma"/>
                <w:sz w:val="14"/>
              </w:rPr>
              <w:t>8</w:t>
            </w:r>
            <w:r w:rsidRPr="0058047D">
              <w:rPr>
                <w:rFonts w:ascii="Tahoma" w:hAnsi="Tahoma" w:cs="Tahoma"/>
                <w:sz w:val="14"/>
              </w:rPr>
              <w:t xml:space="preserve"> Partners in Learning</w:t>
            </w:r>
            <w:bookmarkEnd w:id="118"/>
            <w:r w:rsidRPr="0058047D">
              <w:rPr>
                <w:rFonts w:ascii="Tahoma" w:hAnsi="Tahoma" w:cs="Tahoma"/>
                <w:sz w:val="14"/>
              </w:rPr>
              <w:t xml:space="preserve"> </w:t>
            </w:r>
          </w:p>
        </w:tc>
        <w:tc>
          <w:tcPr>
            <w:tcW w:w="487" w:type="dxa"/>
            <w:tcBorders>
              <w:bottom w:val="single" w:sz="4" w:space="0" w:color="auto"/>
            </w:tcBorders>
            <w:shd w:val="clear" w:color="auto" w:fill="auto"/>
            <w:vAlign w:val="center"/>
          </w:tcPr>
          <w:p w14:paraId="3485AF59" w14:textId="77777777" w:rsidR="00345408" w:rsidRPr="0058047D" w:rsidRDefault="00C86F50" w:rsidP="006A6EB4">
            <w:pPr>
              <w:pStyle w:val="TableText"/>
              <w:widowControl w:val="0"/>
            </w:pPr>
            <w:hyperlink w:anchor="_30_Windows®_7" w:history="1">
              <w:r w:rsidR="00BF5FC6" w:rsidRPr="0058047D">
                <w:rPr>
                  <w:rStyle w:val="Hyperlink"/>
                  <w:b/>
                  <w:sz w:val="13"/>
                  <w:szCs w:val="13"/>
                </w:rPr>
                <w:t>27</w:t>
              </w:r>
            </w:hyperlink>
          </w:p>
        </w:tc>
        <w:tc>
          <w:tcPr>
            <w:tcW w:w="450" w:type="dxa"/>
            <w:tcBorders>
              <w:bottom w:val="single" w:sz="4" w:space="0" w:color="auto"/>
            </w:tcBorders>
            <w:shd w:val="clear" w:color="auto" w:fill="auto"/>
            <w:vAlign w:val="center"/>
          </w:tcPr>
          <w:p w14:paraId="07A4C74C" w14:textId="77777777" w:rsidR="00345408" w:rsidRPr="0058047D" w:rsidRDefault="00C86F50" w:rsidP="00C86F50">
            <w:pPr>
              <w:pStyle w:val="TableText"/>
              <w:rPr>
                <w:rFonts w:ascii="Tahoma" w:hAnsi="Tahoma" w:cs="Tahoma"/>
                <w:sz w:val="13"/>
              </w:rPr>
            </w:pPr>
            <w:r>
              <w:rPr>
                <w:rFonts w:ascii="Tahoma" w:hAnsi="Tahoma" w:cs="Tahoma"/>
                <w:sz w:val="13"/>
              </w:rPr>
              <w:t>11/13</w:t>
            </w:r>
          </w:p>
        </w:tc>
        <w:tc>
          <w:tcPr>
            <w:tcW w:w="360" w:type="dxa"/>
            <w:tcBorders>
              <w:bottom w:val="single" w:sz="4" w:space="0" w:color="auto"/>
              <w:right w:val="single" w:sz="18" w:space="0" w:color="auto"/>
            </w:tcBorders>
            <w:shd w:val="clear" w:color="auto" w:fill="auto"/>
            <w:vAlign w:val="center"/>
          </w:tcPr>
          <w:p w14:paraId="577E598B" w14:textId="77777777" w:rsidR="00345408" w:rsidRPr="0058047D" w:rsidRDefault="00345408" w:rsidP="00345408">
            <w:pPr>
              <w:pStyle w:val="TableText"/>
              <w:rPr>
                <w:rFonts w:ascii="Tahoma" w:hAnsi="Tahoma" w:cs="Tahoma"/>
                <w:sz w:val="13"/>
              </w:rPr>
            </w:pPr>
            <w:r w:rsidRPr="0058047D">
              <w:rPr>
                <w:rFonts w:ascii="Tahoma" w:hAnsi="Tahoma" w:cs="Tahoma"/>
                <w:sz w:val="13"/>
              </w:rPr>
              <w:t>DT</w:t>
            </w:r>
          </w:p>
        </w:tc>
        <w:tc>
          <w:tcPr>
            <w:tcW w:w="2936" w:type="dxa"/>
            <w:gridSpan w:val="12"/>
            <w:tcBorders>
              <w:left w:val="single" w:sz="18" w:space="0" w:color="auto"/>
              <w:bottom w:val="single" w:sz="4" w:space="0" w:color="auto"/>
              <w:right w:val="single" w:sz="18" w:space="0" w:color="auto"/>
            </w:tcBorders>
            <w:shd w:val="clear" w:color="auto" w:fill="auto"/>
            <w:vAlign w:val="center"/>
          </w:tcPr>
          <w:p w14:paraId="253E0669" w14:textId="77777777" w:rsidR="00345408" w:rsidRPr="0058047D"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788A69C" w14:textId="77777777" w:rsidR="00345408" w:rsidRPr="0058047D"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306C9EEA" w14:textId="77777777" w:rsidR="00345408" w:rsidRPr="0058047D"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2195498" w14:textId="77777777" w:rsidR="00345408" w:rsidRPr="0058047D"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0CF200A" w14:textId="77777777" w:rsidR="00345408" w:rsidRPr="0058047D" w:rsidRDefault="00345408" w:rsidP="00345408">
            <w:pPr>
              <w:pStyle w:val="TableText"/>
              <w:rPr>
                <w:rFonts w:ascii="Tahoma" w:hAnsi="Tahoma" w:cs="Tahoma"/>
                <w:sz w:val="13"/>
              </w:rPr>
            </w:pPr>
            <w:r w:rsidRPr="0058047D">
              <w:rPr>
                <w:rFonts w:ascii="Tahoma" w:hAnsi="Tahoma" w:cs="Tahoma"/>
                <w:sz w:val="13"/>
              </w:rPr>
              <w:t xml:space="preserve">2 </w:t>
            </w:r>
            <w:r w:rsidRPr="0058047D">
              <w:rPr>
                <w:rFonts w:ascii="Tahoma" w:hAnsi="Tahoma" w:cs="Tahoma"/>
                <w:sz w:val="10"/>
                <w:szCs w:val="12"/>
              </w:rPr>
              <w:t>(solo School)</w:t>
            </w:r>
          </w:p>
        </w:tc>
        <w:tc>
          <w:tcPr>
            <w:tcW w:w="450" w:type="dxa"/>
            <w:tcBorders>
              <w:bottom w:val="single" w:sz="4" w:space="0" w:color="auto"/>
              <w:right w:val="single" w:sz="18" w:space="0" w:color="auto"/>
            </w:tcBorders>
            <w:shd w:val="clear" w:color="auto" w:fill="auto"/>
            <w:vAlign w:val="center"/>
          </w:tcPr>
          <w:p w14:paraId="150CEACA" w14:textId="77777777" w:rsidR="00345408" w:rsidRPr="0058047D"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9801FA" w14:textId="77777777" w:rsidR="00345408" w:rsidRPr="0058047D" w:rsidRDefault="00345408" w:rsidP="00345408">
            <w:pPr>
              <w:pStyle w:val="TableText"/>
              <w:rPr>
                <w:rFonts w:ascii="Tahoma" w:hAnsi="Tahoma" w:cs="Tahoma"/>
                <w:sz w:val="13"/>
              </w:rPr>
            </w:pPr>
          </w:p>
        </w:tc>
        <w:tc>
          <w:tcPr>
            <w:tcW w:w="502" w:type="dxa"/>
            <w:tcBorders>
              <w:bottom w:val="single" w:sz="4" w:space="0" w:color="auto"/>
            </w:tcBorders>
            <w:shd w:val="clear" w:color="auto" w:fill="auto"/>
            <w:vAlign w:val="center"/>
          </w:tcPr>
          <w:p w14:paraId="0190AF50" w14:textId="77777777" w:rsidR="00345408" w:rsidRPr="0058047D" w:rsidRDefault="00345408" w:rsidP="00345408">
            <w:pPr>
              <w:pStyle w:val="TableText"/>
              <w:rPr>
                <w:rFonts w:ascii="Tahoma" w:hAnsi="Tahoma" w:cs="Tahoma"/>
                <w:sz w:val="13"/>
              </w:rPr>
            </w:pPr>
          </w:p>
        </w:tc>
        <w:tc>
          <w:tcPr>
            <w:tcW w:w="488" w:type="dxa"/>
            <w:tcBorders>
              <w:bottom w:val="single" w:sz="4" w:space="0" w:color="auto"/>
            </w:tcBorders>
            <w:shd w:val="clear" w:color="auto" w:fill="auto"/>
            <w:vAlign w:val="center"/>
          </w:tcPr>
          <w:p w14:paraId="26A23B39" w14:textId="77777777" w:rsidR="00345408" w:rsidRPr="0058047D"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38C6C529" w14:textId="77777777" w:rsidR="00345408" w:rsidRPr="0058047D" w:rsidRDefault="00345408" w:rsidP="00345408">
            <w:pPr>
              <w:pStyle w:val="TableText"/>
              <w:rPr>
                <w:rFonts w:ascii="Tahoma" w:hAnsi="Tahoma" w:cs="Tahoma"/>
                <w:sz w:val="13"/>
              </w:rPr>
            </w:pPr>
          </w:p>
        </w:tc>
      </w:tr>
      <w:tr w:rsidR="00C86F50" w:rsidRPr="0058047D" w14:paraId="1253AB52" w14:textId="77777777" w:rsidTr="00D5491B">
        <w:trPr>
          <w:trHeight w:val="145"/>
        </w:trPr>
        <w:tc>
          <w:tcPr>
            <w:tcW w:w="2483" w:type="dxa"/>
            <w:tcBorders>
              <w:bottom w:val="single" w:sz="4" w:space="0" w:color="auto"/>
            </w:tcBorders>
            <w:shd w:val="clear" w:color="auto" w:fill="FABF8F"/>
          </w:tcPr>
          <w:p w14:paraId="127CD2E7" w14:textId="77777777" w:rsidR="00C86F50" w:rsidRPr="0058047D" w:rsidRDefault="00C86F50" w:rsidP="00C86F50">
            <w:pPr>
              <w:pStyle w:val="ProductNames"/>
              <w:rPr>
                <w:rFonts w:ascii="Tahoma" w:hAnsi="Tahoma" w:cs="Tahoma"/>
                <w:sz w:val="14"/>
              </w:rPr>
            </w:pPr>
            <w:r w:rsidRPr="0058047D">
              <w:rPr>
                <w:rFonts w:ascii="Tahoma" w:hAnsi="Tahoma" w:cs="Tahoma"/>
                <w:sz w:val="14"/>
              </w:rPr>
              <w:t>Windows 8.1 Enterprise Sideloading (10 Confezioni)</w:t>
            </w:r>
          </w:p>
        </w:tc>
        <w:tc>
          <w:tcPr>
            <w:tcW w:w="487" w:type="dxa"/>
            <w:tcBorders>
              <w:bottom w:val="single" w:sz="4" w:space="0" w:color="auto"/>
            </w:tcBorders>
            <w:shd w:val="clear" w:color="auto" w:fill="FABF8F"/>
            <w:vAlign w:val="center"/>
          </w:tcPr>
          <w:p w14:paraId="59B3A4AF" w14:textId="77777777" w:rsidR="00C86F50" w:rsidRPr="0058047D" w:rsidRDefault="00C86F50" w:rsidP="00C86F50">
            <w:pPr>
              <w:pStyle w:val="TableText"/>
              <w:widowControl w:val="0"/>
            </w:pPr>
            <w:hyperlink w:anchor="_28_Windows®_8" w:history="1">
              <w:r w:rsidRPr="0058047D">
                <w:rPr>
                  <w:rStyle w:val="Hyperlink"/>
                  <w:b/>
                  <w:sz w:val="13"/>
                  <w:szCs w:val="13"/>
                </w:rPr>
                <w:t>28</w:t>
              </w:r>
            </w:hyperlink>
          </w:p>
        </w:tc>
        <w:tc>
          <w:tcPr>
            <w:tcW w:w="450" w:type="dxa"/>
            <w:tcBorders>
              <w:bottom w:val="single" w:sz="4" w:space="0" w:color="auto"/>
            </w:tcBorders>
            <w:shd w:val="clear" w:color="auto" w:fill="FABF8F"/>
            <w:vAlign w:val="center"/>
          </w:tcPr>
          <w:p w14:paraId="5BC1B353" w14:textId="77777777" w:rsidR="00C86F50" w:rsidRPr="0058047D" w:rsidRDefault="00C86F50" w:rsidP="00C86F50">
            <w:pPr>
              <w:pStyle w:val="TableText"/>
              <w:rPr>
                <w:rFonts w:ascii="Tahoma" w:hAnsi="Tahoma" w:cs="Tahoma"/>
                <w:sz w:val="13"/>
              </w:rPr>
            </w:pPr>
            <w:r w:rsidRPr="0058047D">
              <w:rPr>
                <w:rFonts w:ascii="Tahoma" w:hAnsi="Tahoma" w:cs="Tahoma"/>
                <w:sz w:val="13"/>
              </w:rPr>
              <w:t>12</w:t>
            </w:r>
            <w:r>
              <w:rPr>
                <w:rFonts w:ascii="Tahoma" w:hAnsi="Tahoma" w:cs="Tahoma"/>
                <w:sz w:val="13"/>
              </w:rPr>
              <w:t>/13</w:t>
            </w:r>
          </w:p>
        </w:tc>
        <w:tc>
          <w:tcPr>
            <w:tcW w:w="360" w:type="dxa"/>
            <w:tcBorders>
              <w:bottom w:val="single" w:sz="4" w:space="0" w:color="auto"/>
              <w:right w:val="single" w:sz="18" w:space="0" w:color="auto"/>
            </w:tcBorders>
            <w:shd w:val="clear" w:color="auto" w:fill="FABF8F"/>
            <w:vAlign w:val="center"/>
          </w:tcPr>
          <w:p w14:paraId="31096A9E" w14:textId="77777777" w:rsidR="00C86F50" w:rsidRPr="0058047D" w:rsidRDefault="00C86F50" w:rsidP="00C86F50">
            <w:pPr>
              <w:pStyle w:val="TableText"/>
              <w:rPr>
                <w:rFonts w:ascii="Tahoma" w:hAnsi="Tahoma" w:cs="Tahoma"/>
                <w:sz w:val="13"/>
              </w:rPr>
            </w:pPr>
          </w:p>
        </w:tc>
        <w:tc>
          <w:tcPr>
            <w:tcW w:w="378" w:type="dxa"/>
            <w:gridSpan w:val="2"/>
            <w:tcBorders>
              <w:left w:val="single" w:sz="18" w:space="0" w:color="auto"/>
              <w:bottom w:val="single" w:sz="4" w:space="0" w:color="auto"/>
              <w:right w:val="single" w:sz="4" w:space="0" w:color="auto"/>
            </w:tcBorders>
            <w:shd w:val="clear" w:color="auto" w:fill="FABF8F"/>
            <w:vAlign w:val="center"/>
          </w:tcPr>
          <w:p w14:paraId="514C05B7" w14:textId="77777777" w:rsidR="00C86F50" w:rsidRPr="0058047D" w:rsidRDefault="00C86F50" w:rsidP="00C86F50">
            <w:pPr>
              <w:pStyle w:val="TableText"/>
              <w:rPr>
                <w:rFonts w:ascii="Tahoma" w:hAnsi="Tahoma" w:cs="Tahoma"/>
                <w:sz w:val="13"/>
              </w:rPr>
            </w:pPr>
            <w:r w:rsidRPr="0058047D">
              <w:rPr>
                <w:rFonts w:ascii="Tahoma" w:hAnsi="Tahoma" w:cs="Tahoma"/>
                <w:sz w:val="13"/>
              </w:rPr>
              <w:t>1</w:t>
            </w:r>
          </w:p>
        </w:tc>
        <w:tc>
          <w:tcPr>
            <w:tcW w:w="367" w:type="dxa"/>
            <w:gridSpan w:val="2"/>
            <w:tcBorders>
              <w:left w:val="single" w:sz="4" w:space="0" w:color="auto"/>
              <w:bottom w:val="single" w:sz="4" w:space="0" w:color="auto"/>
              <w:right w:val="single" w:sz="4" w:space="0" w:color="auto"/>
            </w:tcBorders>
            <w:shd w:val="clear" w:color="auto" w:fill="FABF8F"/>
            <w:vAlign w:val="center"/>
          </w:tcPr>
          <w:p w14:paraId="6C8420E8" w14:textId="77777777" w:rsidR="00C86F50" w:rsidRPr="0058047D" w:rsidRDefault="00C86F50" w:rsidP="00C86F50">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23EF65E9" w14:textId="77777777" w:rsidR="00C86F50" w:rsidRPr="0058047D" w:rsidRDefault="00C86F50" w:rsidP="00C86F50">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3225586A" w14:textId="77777777" w:rsidR="00C86F50" w:rsidRPr="0058047D" w:rsidRDefault="00C86F50" w:rsidP="00C86F5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5DBD99E5" w14:textId="77777777" w:rsidR="00C86F50" w:rsidRPr="0058047D" w:rsidRDefault="00C86F50" w:rsidP="00C86F5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4DC5D9A8" w14:textId="77777777" w:rsidR="00C86F50" w:rsidRPr="0058047D" w:rsidRDefault="00C86F50" w:rsidP="00C86F50">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3A3BD859" w14:textId="77777777" w:rsidR="00C86F50" w:rsidRPr="0058047D" w:rsidRDefault="00C86F50" w:rsidP="00C86F50">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4E7B1C4" w14:textId="77777777" w:rsidR="00C86F50" w:rsidRPr="0058047D" w:rsidRDefault="00C86F50" w:rsidP="00C86F50">
            <w:pPr>
              <w:pStyle w:val="TableText"/>
              <w:rPr>
                <w:rFonts w:ascii="Tahoma" w:hAnsi="Tahoma" w:cs="Tahoma"/>
                <w:sz w:val="13"/>
              </w:rPr>
            </w:pPr>
            <w:r w:rsidRPr="0058047D">
              <w:rPr>
                <w:rFonts w:ascii="Tahoma" w:hAnsi="Tahoma" w:cs="Tahoma"/>
                <w:sz w:val="13"/>
              </w:rPr>
              <w:t>1</w:t>
            </w:r>
          </w:p>
        </w:tc>
        <w:tc>
          <w:tcPr>
            <w:tcW w:w="450" w:type="dxa"/>
            <w:tcBorders>
              <w:bottom w:val="single" w:sz="4" w:space="0" w:color="auto"/>
            </w:tcBorders>
            <w:shd w:val="clear" w:color="auto" w:fill="FABF8F"/>
            <w:vAlign w:val="center"/>
          </w:tcPr>
          <w:p w14:paraId="679B611A" w14:textId="77777777" w:rsidR="00C86F50" w:rsidRPr="0058047D" w:rsidRDefault="00C86F50" w:rsidP="00C86F50">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EE9056D" w14:textId="77777777" w:rsidR="00C86F50" w:rsidRPr="0058047D" w:rsidRDefault="00C86F50" w:rsidP="00C86F50">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C81FE6A" w14:textId="77777777" w:rsidR="00C86F50" w:rsidRPr="0058047D" w:rsidRDefault="00C86F50" w:rsidP="00C86F50">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209FDDB" w14:textId="77777777" w:rsidR="00C86F50" w:rsidRPr="0058047D" w:rsidRDefault="00C86F50" w:rsidP="00C86F50">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45C69C3" w14:textId="77777777" w:rsidR="00C86F50" w:rsidRPr="0058047D" w:rsidRDefault="00C86F50" w:rsidP="00C86F50">
            <w:pPr>
              <w:pStyle w:val="TableText"/>
              <w:rPr>
                <w:rFonts w:ascii="Tahoma" w:hAnsi="Tahoma" w:cs="Tahoma"/>
                <w:sz w:val="13"/>
              </w:rPr>
            </w:pPr>
          </w:p>
        </w:tc>
        <w:tc>
          <w:tcPr>
            <w:tcW w:w="502" w:type="dxa"/>
            <w:tcBorders>
              <w:bottom w:val="single" w:sz="4" w:space="0" w:color="auto"/>
            </w:tcBorders>
            <w:shd w:val="clear" w:color="auto" w:fill="FABF8F"/>
            <w:vAlign w:val="center"/>
          </w:tcPr>
          <w:p w14:paraId="78524850" w14:textId="77777777" w:rsidR="00C86F50" w:rsidRPr="0058047D" w:rsidRDefault="00C86F50" w:rsidP="00C86F50">
            <w:pPr>
              <w:pStyle w:val="TableText"/>
              <w:rPr>
                <w:rFonts w:ascii="Tahoma" w:hAnsi="Tahoma" w:cs="Tahoma"/>
                <w:sz w:val="13"/>
              </w:rPr>
            </w:pPr>
          </w:p>
        </w:tc>
        <w:tc>
          <w:tcPr>
            <w:tcW w:w="488" w:type="dxa"/>
            <w:tcBorders>
              <w:bottom w:val="single" w:sz="4" w:space="0" w:color="auto"/>
            </w:tcBorders>
            <w:shd w:val="clear" w:color="auto" w:fill="FABF8F"/>
            <w:vAlign w:val="center"/>
          </w:tcPr>
          <w:p w14:paraId="07AD1A2E" w14:textId="77777777" w:rsidR="00C86F50" w:rsidRPr="0058047D" w:rsidRDefault="00C86F50" w:rsidP="00C86F50">
            <w:pPr>
              <w:pStyle w:val="TableText"/>
              <w:rPr>
                <w:rFonts w:ascii="Tahoma" w:hAnsi="Tahoma" w:cs="Tahoma"/>
                <w:sz w:val="13"/>
              </w:rPr>
            </w:pPr>
            <w:r w:rsidRPr="0058047D">
              <w:rPr>
                <w:rFonts w:ascii="Tahoma" w:hAnsi="Tahoma" w:cs="Tahoma"/>
                <w:sz w:val="13"/>
              </w:rPr>
              <w:t>OL</w:t>
            </w:r>
          </w:p>
        </w:tc>
        <w:tc>
          <w:tcPr>
            <w:tcW w:w="360" w:type="dxa"/>
            <w:tcBorders>
              <w:bottom w:val="single" w:sz="4" w:space="0" w:color="auto"/>
            </w:tcBorders>
            <w:shd w:val="clear" w:color="auto" w:fill="FABF8F"/>
            <w:vAlign w:val="center"/>
          </w:tcPr>
          <w:p w14:paraId="16D20698" w14:textId="77777777" w:rsidR="00C86F50" w:rsidRPr="0058047D" w:rsidRDefault="00C86F50" w:rsidP="00C86F50">
            <w:pPr>
              <w:pStyle w:val="TableText"/>
              <w:rPr>
                <w:rFonts w:ascii="Tahoma" w:hAnsi="Tahoma" w:cs="Tahoma"/>
                <w:sz w:val="13"/>
              </w:rPr>
            </w:pPr>
          </w:p>
        </w:tc>
      </w:tr>
      <w:tr w:rsidR="00C86F50" w:rsidRPr="0058047D" w14:paraId="21E51A0C" w14:textId="77777777" w:rsidTr="00C86F50">
        <w:trPr>
          <w:trHeight w:val="145"/>
        </w:trPr>
        <w:tc>
          <w:tcPr>
            <w:tcW w:w="2483" w:type="dxa"/>
            <w:tcBorders>
              <w:bottom w:val="single" w:sz="4" w:space="0" w:color="auto"/>
            </w:tcBorders>
            <w:shd w:val="clear" w:color="auto" w:fill="auto"/>
          </w:tcPr>
          <w:p w14:paraId="2EE021D0" w14:textId="77777777" w:rsidR="00345408" w:rsidRPr="0058047D" w:rsidRDefault="00345408" w:rsidP="00345408">
            <w:pPr>
              <w:pStyle w:val="ProductNames"/>
              <w:rPr>
                <w:rFonts w:ascii="Tahoma" w:hAnsi="Tahoma" w:cs="Tahoma"/>
                <w:sz w:val="14"/>
              </w:rPr>
            </w:pPr>
            <w:bookmarkStart w:id="119" w:name="_Toc371663306"/>
            <w:r w:rsidRPr="0058047D">
              <w:rPr>
                <w:rFonts w:ascii="Tahoma" w:hAnsi="Tahoma" w:cs="Tahoma"/>
                <w:sz w:val="14"/>
              </w:rPr>
              <w:t>Windows 8.1 Enterprise Sideloading (100 Confezioni)</w:t>
            </w:r>
            <w:bookmarkEnd w:id="119"/>
          </w:p>
        </w:tc>
        <w:tc>
          <w:tcPr>
            <w:tcW w:w="487" w:type="dxa"/>
            <w:tcBorders>
              <w:bottom w:val="single" w:sz="4" w:space="0" w:color="auto"/>
            </w:tcBorders>
            <w:shd w:val="clear" w:color="auto" w:fill="auto"/>
            <w:vAlign w:val="center"/>
          </w:tcPr>
          <w:p w14:paraId="677DE4CE" w14:textId="77777777" w:rsidR="00345408" w:rsidRPr="0058047D" w:rsidRDefault="00C86F50" w:rsidP="006A6EB4">
            <w:pPr>
              <w:pStyle w:val="TableText"/>
              <w:widowControl w:val="0"/>
            </w:pPr>
            <w:hyperlink w:anchor="_28_Windows®_8" w:history="1">
              <w:r w:rsidR="00BF5FC6" w:rsidRPr="0058047D">
                <w:rPr>
                  <w:rStyle w:val="Hyperlink"/>
                  <w:b/>
                  <w:sz w:val="13"/>
                  <w:szCs w:val="13"/>
                </w:rPr>
                <w:t>28</w:t>
              </w:r>
            </w:hyperlink>
          </w:p>
        </w:tc>
        <w:tc>
          <w:tcPr>
            <w:tcW w:w="450" w:type="dxa"/>
            <w:tcBorders>
              <w:bottom w:val="single" w:sz="4" w:space="0" w:color="auto"/>
            </w:tcBorders>
            <w:shd w:val="clear" w:color="auto" w:fill="auto"/>
            <w:vAlign w:val="center"/>
          </w:tcPr>
          <w:p w14:paraId="63BF8E2C" w14:textId="77777777" w:rsidR="00345408" w:rsidRPr="0058047D" w:rsidRDefault="00345408" w:rsidP="00345408">
            <w:pPr>
              <w:pStyle w:val="TableText"/>
              <w:rPr>
                <w:rFonts w:ascii="Tahoma" w:hAnsi="Tahoma" w:cs="Tahoma"/>
                <w:sz w:val="13"/>
              </w:rPr>
            </w:pPr>
            <w:r w:rsidRPr="0058047D">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46BE17EF" w14:textId="77777777" w:rsidR="00345408" w:rsidRPr="0058047D" w:rsidRDefault="00345408" w:rsidP="00345408">
            <w:pPr>
              <w:pStyle w:val="TableText"/>
              <w:rPr>
                <w:rFonts w:ascii="Tahoma" w:hAnsi="Tahoma" w:cs="Tahoma"/>
                <w:sz w:val="13"/>
              </w:rPr>
            </w:pPr>
          </w:p>
        </w:tc>
        <w:tc>
          <w:tcPr>
            <w:tcW w:w="378" w:type="dxa"/>
            <w:gridSpan w:val="2"/>
            <w:tcBorders>
              <w:left w:val="single" w:sz="18" w:space="0" w:color="auto"/>
              <w:bottom w:val="single" w:sz="4" w:space="0" w:color="auto"/>
              <w:right w:val="single" w:sz="4" w:space="0" w:color="auto"/>
            </w:tcBorders>
            <w:shd w:val="clear" w:color="auto" w:fill="auto"/>
            <w:vAlign w:val="center"/>
          </w:tcPr>
          <w:p w14:paraId="05A8FF86" w14:textId="77777777" w:rsidR="00345408" w:rsidRPr="0058047D" w:rsidRDefault="00345408" w:rsidP="00345408">
            <w:pPr>
              <w:pStyle w:val="TableText"/>
              <w:rPr>
                <w:rFonts w:ascii="Tahoma" w:hAnsi="Tahoma" w:cs="Tahoma"/>
                <w:sz w:val="13"/>
              </w:rPr>
            </w:pPr>
            <w:r w:rsidRPr="0058047D">
              <w:rPr>
                <w:rFonts w:ascii="Tahoma" w:hAnsi="Tahoma" w:cs="Tahoma"/>
                <w:sz w:val="13"/>
              </w:rPr>
              <w:t>12</w:t>
            </w:r>
          </w:p>
        </w:tc>
        <w:tc>
          <w:tcPr>
            <w:tcW w:w="367" w:type="dxa"/>
            <w:gridSpan w:val="2"/>
            <w:tcBorders>
              <w:left w:val="single" w:sz="4" w:space="0" w:color="auto"/>
              <w:bottom w:val="single" w:sz="4" w:space="0" w:color="auto"/>
              <w:right w:val="single" w:sz="4" w:space="0" w:color="auto"/>
            </w:tcBorders>
            <w:shd w:val="clear" w:color="auto" w:fill="auto"/>
            <w:vAlign w:val="center"/>
          </w:tcPr>
          <w:p w14:paraId="3F5F6709" w14:textId="77777777" w:rsidR="00345408" w:rsidRPr="0058047D" w:rsidRDefault="00345408"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4A009651" w14:textId="77777777" w:rsidR="00345408" w:rsidRPr="0058047D" w:rsidRDefault="00345408"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1393774C" w14:textId="77777777" w:rsidR="00345408" w:rsidRPr="0058047D"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1B54583B" w14:textId="77777777" w:rsidR="00345408" w:rsidRPr="0058047D"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0DC99D10" w14:textId="77777777" w:rsidR="00345408" w:rsidRPr="0058047D"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0A9B292F" w14:textId="77777777" w:rsidR="00345408" w:rsidRPr="0058047D"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D87B6A7" w14:textId="77777777" w:rsidR="00345408" w:rsidRPr="0058047D" w:rsidRDefault="00345408" w:rsidP="00345408">
            <w:pPr>
              <w:pStyle w:val="TableText"/>
              <w:rPr>
                <w:rFonts w:ascii="Tahoma" w:hAnsi="Tahoma" w:cs="Tahoma"/>
                <w:sz w:val="13"/>
              </w:rPr>
            </w:pPr>
            <w:r w:rsidRPr="0058047D">
              <w:rPr>
                <w:rFonts w:ascii="Tahoma" w:hAnsi="Tahoma" w:cs="Tahoma"/>
                <w:sz w:val="13"/>
              </w:rPr>
              <w:t>12</w:t>
            </w:r>
          </w:p>
        </w:tc>
        <w:tc>
          <w:tcPr>
            <w:tcW w:w="450" w:type="dxa"/>
            <w:tcBorders>
              <w:bottom w:val="single" w:sz="4" w:space="0" w:color="auto"/>
            </w:tcBorders>
            <w:shd w:val="clear" w:color="auto" w:fill="auto"/>
            <w:vAlign w:val="center"/>
          </w:tcPr>
          <w:p w14:paraId="5A7728EA" w14:textId="77777777" w:rsidR="00345408" w:rsidRPr="0058047D"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86989C7" w14:textId="77777777" w:rsidR="00345408" w:rsidRPr="0058047D"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3D758ED" w14:textId="77777777" w:rsidR="00345408" w:rsidRPr="0058047D"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77B80CC" w14:textId="77777777" w:rsidR="00345408" w:rsidRPr="0058047D"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808DFF6" w14:textId="77777777" w:rsidR="00345408" w:rsidRPr="0058047D" w:rsidRDefault="00345408" w:rsidP="00345408">
            <w:pPr>
              <w:pStyle w:val="TableText"/>
              <w:rPr>
                <w:rFonts w:ascii="Tahoma" w:hAnsi="Tahoma" w:cs="Tahoma"/>
                <w:sz w:val="13"/>
              </w:rPr>
            </w:pPr>
          </w:p>
        </w:tc>
        <w:tc>
          <w:tcPr>
            <w:tcW w:w="502" w:type="dxa"/>
            <w:tcBorders>
              <w:bottom w:val="single" w:sz="4" w:space="0" w:color="auto"/>
            </w:tcBorders>
            <w:shd w:val="clear" w:color="auto" w:fill="auto"/>
            <w:vAlign w:val="center"/>
          </w:tcPr>
          <w:p w14:paraId="1784AFA5" w14:textId="77777777" w:rsidR="00345408" w:rsidRPr="0058047D" w:rsidRDefault="00345408" w:rsidP="00345408">
            <w:pPr>
              <w:pStyle w:val="TableText"/>
              <w:rPr>
                <w:rFonts w:ascii="Tahoma" w:hAnsi="Tahoma" w:cs="Tahoma"/>
                <w:sz w:val="13"/>
              </w:rPr>
            </w:pPr>
          </w:p>
        </w:tc>
        <w:tc>
          <w:tcPr>
            <w:tcW w:w="488" w:type="dxa"/>
            <w:tcBorders>
              <w:bottom w:val="single" w:sz="4" w:space="0" w:color="auto"/>
            </w:tcBorders>
            <w:shd w:val="clear" w:color="auto" w:fill="auto"/>
            <w:vAlign w:val="center"/>
          </w:tcPr>
          <w:p w14:paraId="58530729" w14:textId="77777777" w:rsidR="00345408" w:rsidRPr="0058047D" w:rsidRDefault="00345408" w:rsidP="00345408">
            <w:pPr>
              <w:pStyle w:val="TableText"/>
              <w:rPr>
                <w:rFonts w:ascii="Tahoma" w:hAnsi="Tahoma" w:cs="Tahoma"/>
                <w:sz w:val="13"/>
              </w:rPr>
            </w:pPr>
            <w:r w:rsidRPr="0058047D">
              <w:rPr>
                <w:rFonts w:ascii="Tahoma" w:hAnsi="Tahoma" w:cs="Tahoma"/>
                <w:sz w:val="13"/>
              </w:rPr>
              <w:t>OL</w:t>
            </w:r>
          </w:p>
        </w:tc>
        <w:tc>
          <w:tcPr>
            <w:tcW w:w="360" w:type="dxa"/>
            <w:tcBorders>
              <w:bottom w:val="single" w:sz="4" w:space="0" w:color="auto"/>
            </w:tcBorders>
            <w:shd w:val="clear" w:color="auto" w:fill="auto"/>
            <w:vAlign w:val="center"/>
          </w:tcPr>
          <w:p w14:paraId="04468EE8" w14:textId="77777777" w:rsidR="00345408" w:rsidRPr="0058047D" w:rsidRDefault="00345408" w:rsidP="00345408">
            <w:pPr>
              <w:pStyle w:val="TableText"/>
              <w:rPr>
                <w:rFonts w:ascii="Tahoma" w:hAnsi="Tahoma" w:cs="Tahoma"/>
                <w:sz w:val="13"/>
              </w:rPr>
            </w:pPr>
          </w:p>
        </w:tc>
      </w:tr>
      <w:tr w:rsidR="00345408" w:rsidRPr="0058047D" w14:paraId="2B24EECF" w14:textId="77777777" w:rsidTr="00C86F50">
        <w:trPr>
          <w:trHeight w:val="145"/>
        </w:trPr>
        <w:tc>
          <w:tcPr>
            <w:tcW w:w="2483" w:type="dxa"/>
            <w:tcBorders>
              <w:bottom w:val="single" w:sz="4" w:space="0" w:color="auto"/>
            </w:tcBorders>
            <w:shd w:val="clear" w:color="auto" w:fill="FABF8F"/>
          </w:tcPr>
          <w:p w14:paraId="6D2507F0" w14:textId="77777777" w:rsidR="00345408" w:rsidRPr="0058047D" w:rsidRDefault="00345408" w:rsidP="00345408">
            <w:pPr>
              <w:pStyle w:val="ProductNames"/>
              <w:rPr>
                <w:rFonts w:ascii="Tahoma" w:hAnsi="Tahoma" w:cs="Tahoma"/>
                <w:sz w:val="14"/>
              </w:rPr>
            </w:pPr>
            <w:bookmarkStart w:id="120" w:name="_Toc371663307"/>
            <w:r w:rsidRPr="0058047D">
              <w:rPr>
                <w:rFonts w:ascii="Tahoma" w:hAnsi="Tahoma" w:cs="Tahoma"/>
                <w:sz w:val="14"/>
              </w:rPr>
              <w:t>Windows</w:t>
            </w:r>
            <w:r w:rsidR="00E53A46" w:rsidRPr="0058047D">
              <w:rPr>
                <w:rFonts w:ascii="Tahoma" w:hAnsi="Tahoma" w:cs="Tahoma"/>
                <w:sz w:val="14"/>
                <w:vertAlign w:val="superscript"/>
              </w:rPr>
              <w:t>®</w:t>
            </w:r>
            <w:r w:rsidRPr="0058047D">
              <w:rPr>
                <w:rFonts w:ascii="Tahoma" w:hAnsi="Tahoma" w:cs="Tahoma"/>
                <w:sz w:val="14"/>
              </w:rPr>
              <w:t xml:space="preserve"> 8.1 Pro</w:t>
            </w:r>
            <w:bookmarkEnd w:id="120"/>
            <w:r w:rsidRPr="0058047D">
              <w:rPr>
                <w:rFonts w:ascii="Tahoma" w:hAnsi="Tahoma" w:cs="Tahoma"/>
                <w:sz w:val="14"/>
              </w:rPr>
              <w:t xml:space="preserve"> </w:t>
            </w:r>
          </w:p>
        </w:tc>
        <w:tc>
          <w:tcPr>
            <w:tcW w:w="487" w:type="dxa"/>
            <w:tcBorders>
              <w:bottom w:val="single" w:sz="4" w:space="0" w:color="auto"/>
            </w:tcBorders>
            <w:shd w:val="clear" w:color="auto" w:fill="FABF8F"/>
            <w:vAlign w:val="center"/>
          </w:tcPr>
          <w:p w14:paraId="40AE6A43" w14:textId="77777777" w:rsidR="00345408" w:rsidRPr="0058047D" w:rsidRDefault="00C86F50" w:rsidP="006A6EB4">
            <w:pPr>
              <w:pStyle w:val="TableText"/>
              <w:widowControl w:val="0"/>
            </w:pPr>
            <w:hyperlink w:anchor="_29_Windows®_8" w:history="1">
              <w:r w:rsidR="00BF5FC6" w:rsidRPr="0058047D">
                <w:rPr>
                  <w:rStyle w:val="Hyperlink"/>
                  <w:b/>
                  <w:sz w:val="13"/>
                  <w:szCs w:val="13"/>
                </w:rPr>
                <w:t>29</w:t>
              </w:r>
            </w:hyperlink>
            <w:hyperlink w:anchor="_29_Windows®_8" w:history="1"/>
          </w:p>
        </w:tc>
        <w:tc>
          <w:tcPr>
            <w:tcW w:w="450" w:type="dxa"/>
            <w:tcBorders>
              <w:bottom w:val="single" w:sz="4" w:space="0" w:color="auto"/>
            </w:tcBorders>
            <w:shd w:val="clear" w:color="auto" w:fill="FABF8F"/>
            <w:vAlign w:val="center"/>
          </w:tcPr>
          <w:p w14:paraId="7E2F71B7" w14:textId="77777777" w:rsidR="00345408" w:rsidRPr="0058047D" w:rsidRDefault="00C86F50" w:rsidP="00345408">
            <w:pPr>
              <w:pStyle w:val="TableText"/>
              <w:rPr>
                <w:rFonts w:ascii="Tahoma" w:hAnsi="Tahoma" w:cs="Tahoma"/>
                <w:sz w:val="13"/>
              </w:rPr>
            </w:pPr>
            <w:r>
              <w:rPr>
                <w:rFonts w:ascii="Tahoma" w:hAnsi="Tahoma" w:cs="Tahoma"/>
                <w:sz w:val="13"/>
              </w:rPr>
              <w:t>1</w:t>
            </w:r>
            <w:r w:rsidRPr="0058047D">
              <w:rPr>
                <w:rFonts w:ascii="Tahoma" w:hAnsi="Tahoma" w:cs="Tahoma"/>
                <w:sz w:val="13"/>
              </w:rPr>
              <w:t>0/1</w:t>
            </w:r>
            <w:r>
              <w:rPr>
                <w:rFonts w:ascii="Tahoma" w:hAnsi="Tahoma" w:cs="Tahoma"/>
                <w:sz w:val="13"/>
              </w:rPr>
              <w:t>3</w:t>
            </w:r>
          </w:p>
        </w:tc>
        <w:tc>
          <w:tcPr>
            <w:tcW w:w="360" w:type="dxa"/>
            <w:tcBorders>
              <w:bottom w:val="single" w:sz="4" w:space="0" w:color="auto"/>
              <w:right w:val="single" w:sz="18" w:space="0" w:color="auto"/>
            </w:tcBorders>
            <w:shd w:val="clear" w:color="auto" w:fill="FABF8F"/>
            <w:vAlign w:val="center"/>
          </w:tcPr>
          <w:p w14:paraId="7D2A7077" w14:textId="77777777" w:rsidR="00345408" w:rsidRPr="0058047D" w:rsidRDefault="00345408" w:rsidP="00345408">
            <w:pPr>
              <w:pStyle w:val="TableText"/>
              <w:rPr>
                <w:rFonts w:ascii="Tahoma" w:hAnsi="Tahoma" w:cs="Tahoma"/>
                <w:sz w:val="13"/>
              </w:rPr>
            </w:pPr>
            <w:r w:rsidRPr="0058047D">
              <w:rPr>
                <w:rFonts w:ascii="Tahoma" w:hAnsi="Tahoma" w:cs="Tahoma"/>
                <w:sz w:val="13"/>
              </w:rPr>
              <w:t>DT</w:t>
            </w:r>
          </w:p>
        </w:tc>
        <w:tc>
          <w:tcPr>
            <w:tcW w:w="378" w:type="dxa"/>
            <w:gridSpan w:val="2"/>
            <w:tcBorders>
              <w:left w:val="single" w:sz="18" w:space="0" w:color="auto"/>
              <w:bottom w:val="single" w:sz="4" w:space="0" w:color="auto"/>
              <w:right w:val="single" w:sz="4" w:space="0" w:color="auto"/>
            </w:tcBorders>
            <w:shd w:val="clear" w:color="auto" w:fill="FABF8F"/>
            <w:vAlign w:val="center"/>
          </w:tcPr>
          <w:p w14:paraId="60297027" w14:textId="77777777" w:rsidR="00345408" w:rsidRPr="0058047D" w:rsidRDefault="00345408" w:rsidP="00345408">
            <w:pPr>
              <w:pStyle w:val="TableText"/>
              <w:rPr>
                <w:rFonts w:ascii="Tahoma" w:hAnsi="Tahoma" w:cs="Tahoma"/>
                <w:sz w:val="13"/>
              </w:rPr>
            </w:pPr>
            <w:r w:rsidRPr="0058047D">
              <w:rPr>
                <w:rFonts w:ascii="Tahoma" w:hAnsi="Tahoma" w:cs="Tahoma"/>
                <w:sz w:val="13"/>
              </w:rPr>
              <w:t>2</w:t>
            </w:r>
          </w:p>
        </w:tc>
        <w:tc>
          <w:tcPr>
            <w:tcW w:w="367" w:type="dxa"/>
            <w:gridSpan w:val="2"/>
            <w:tcBorders>
              <w:left w:val="single" w:sz="4" w:space="0" w:color="auto"/>
              <w:bottom w:val="single" w:sz="4" w:space="0" w:color="auto"/>
              <w:right w:val="single" w:sz="4" w:space="0" w:color="auto"/>
            </w:tcBorders>
            <w:shd w:val="clear" w:color="auto" w:fill="FABF8F"/>
            <w:vAlign w:val="center"/>
          </w:tcPr>
          <w:p w14:paraId="30C069CD" w14:textId="77777777" w:rsidR="00345408" w:rsidRPr="0058047D" w:rsidRDefault="00345408" w:rsidP="00345408">
            <w:pPr>
              <w:pStyle w:val="TableText"/>
              <w:rPr>
                <w:rFonts w:ascii="Tahoma" w:hAnsi="Tahoma" w:cs="Tahoma"/>
                <w:sz w:val="13"/>
              </w:rPr>
            </w:pPr>
            <w:r w:rsidRPr="0058047D">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60A7AAF2" w14:textId="77777777" w:rsidR="00345408" w:rsidRPr="0058047D" w:rsidRDefault="00345408" w:rsidP="00345408">
            <w:pPr>
              <w:pStyle w:val="TableText"/>
              <w:rPr>
                <w:rFonts w:ascii="Tahoma" w:hAnsi="Tahoma" w:cs="Tahoma"/>
                <w:sz w:val="13"/>
              </w:rPr>
            </w:pPr>
            <w:r w:rsidRPr="0058047D">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1B55FF13" w14:textId="77777777" w:rsidR="00345408" w:rsidRPr="0058047D" w:rsidRDefault="00345408" w:rsidP="00345408">
            <w:pPr>
              <w:pStyle w:val="TableText"/>
              <w:rPr>
                <w:rFonts w:ascii="Tahoma" w:hAnsi="Tahoma" w:cs="Tahoma"/>
                <w:sz w:val="13"/>
              </w:rPr>
            </w:pPr>
            <w:r w:rsidRPr="0058047D">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D274ABA" w14:textId="77777777" w:rsidR="00345408" w:rsidRPr="0058047D" w:rsidRDefault="00345408" w:rsidP="00345408">
            <w:pPr>
              <w:pStyle w:val="TableText"/>
              <w:rPr>
                <w:rFonts w:ascii="Tahoma" w:hAnsi="Tahoma" w:cs="Tahoma"/>
                <w:sz w:val="13"/>
              </w:rPr>
            </w:pPr>
            <w:r w:rsidRPr="0058047D">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776A9EB4" w14:textId="77777777" w:rsidR="00345408" w:rsidRPr="0058047D" w:rsidRDefault="00345408" w:rsidP="00345408">
            <w:pPr>
              <w:pStyle w:val="TableText"/>
              <w:rPr>
                <w:rFonts w:ascii="Tahoma" w:hAnsi="Tahoma" w:cs="Tahoma"/>
                <w:sz w:val="13"/>
              </w:rPr>
            </w:pPr>
            <w:r w:rsidRPr="0058047D">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50575720" w14:textId="77777777" w:rsidR="00345408" w:rsidRPr="0058047D" w:rsidRDefault="00345408" w:rsidP="00345408">
            <w:pPr>
              <w:pStyle w:val="TableText"/>
              <w:rPr>
                <w:rFonts w:ascii="Tahoma" w:hAnsi="Tahoma" w:cs="Tahoma"/>
                <w:sz w:val="13"/>
              </w:rPr>
            </w:pPr>
            <w:r w:rsidRPr="0058047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1B64AA8" w14:textId="77777777" w:rsidR="00345408" w:rsidRPr="0058047D" w:rsidRDefault="00345408" w:rsidP="00345408">
            <w:pPr>
              <w:pStyle w:val="TableText"/>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FABF8F"/>
            <w:vAlign w:val="center"/>
          </w:tcPr>
          <w:p w14:paraId="095AD551" w14:textId="77777777" w:rsidR="00345408" w:rsidRPr="0058047D" w:rsidRDefault="00345408" w:rsidP="00345408">
            <w:pPr>
              <w:pStyle w:val="TableText"/>
              <w:rPr>
                <w:rFonts w:ascii="Tahoma" w:hAnsi="Tahoma" w:cs="Tahoma"/>
                <w:sz w:val="13"/>
              </w:rPr>
            </w:pPr>
            <w:r w:rsidRPr="0058047D">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7CB6466F" w14:textId="77777777" w:rsidR="00345408" w:rsidRPr="0058047D" w:rsidRDefault="00345408" w:rsidP="00345408">
            <w:pPr>
              <w:pStyle w:val="TableText"/>
              <w:rPr>
                <w:rFonts w:ascii="Tahoma" w:hAnsi="Tahoma" w:cs="Tahoma"/>
                <w:sz w:val="13"/>
              </w:rPr>
            </w:pPr>
            <w:r w:rsidRPr="0058047D">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77B9117F" w14:textId="77777777" w:rsidR="00345408" w:rsidRPr="0058047D" w:rsidRDefault="00345408" w:rsidP="00345408">
            <w:pPr>
              <w:pStyle w:val="TableText"/>
              <w:rPr>
                <w:rFonts w:ascii="Tahoma" w:hAnsi="Tahoma" w:cs="Tahoma"/>
                <w:sz w:val="13"/>
              </w:rPr>
            </w:pPr>
            <w:r w:rsidRPr="0058047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1E13B09" w14:textId="77777777" w:rsidR="00345408" w:rsidRPr="0058047D" w:rsidRDefault="00345408" w:rsidP="00345408">
            <w:pPr>
              <w:pStyle w:val="TableText"/>
              <w:rPr>
                <w:rFonts w:ascii="Tahoma" w:hAnsi="Tahoma" w:cs="Tahoma"/>
                <w:sz w:val="13"/>
              </w:rPr>
            </w:pPr>
            <w:r w:rsidRPr="0058047D">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08A29287" w14:textId="77777777" w:rsidR="00345408" w:rsidRPr="0058047D" w:rsidRDefault="00345408" w:rsidP="00345408">
            <w:pPr>
              <w:pStyle w:val="TableText"/>
              <w:rPr>
                <w:rFonts w:ascii="Tahoma" w:hAnsi="Tahoma" w:cs="Tahoma"/>
                <w:sz w:val="13"/>
              </w:rPr>
            </w:pPr>
            <w:r w:rsidRPr="0058047D">
              <w:rPr>
                <w:rFonts w:ascii="Tahoma" w:hAnsi="Tahoma" w:cs="Tahoma"/>
                <w:sz w:val="13"/>
              </w:rPr>
              <w:t>E, P</w:t>
            </w:r>
          </w:p>
        </w:tc>
        <w:tc>
          <w:tcPr>
            <w:tcW w:w="502" w:type="dxa"/>
            <w:tcBorders>
              <w:bottom w:val="single" w:sz="4" w:space="0" w:color="auto"/>
            </w:tcBorders>
            <w:shd w:val="clear" w:color="auto" w:fill="FABF8F"/>
            <w:vAlign w:val="center"/>
          </w:tcPr>
          <w:p w14:paraId="5FDBF8BE" w14:textId="77777777" w:rsidR="00345408" w:rsidRPr="0058047D" w:rsidRDefault="00345408" w:rsidP="00345408">
            <w:pPr>
              <w:pStyle w:val="TableText"/>
              <w:rPr>
                <w:rFonts w:ascii="Tahoma" w:hAnsi="Tahoma" w:cs="Tahoma"/>
                <w:sz w:val="13"/>
              </w:rPr>
            </w:pPr>
            <w:r w:rsidRPr="0058047D">
              <w:rPr>
                <w:rFonts w:ascii="Tahoma" w:hAnsi="Tahoma" w:cs="Tahoma"/>
                <w:sz w:val="13"/>
              </w:rPr>
              <w:t>E, ST</w:t>
            </w:r>
          </w:p>
        </w:tc>
        <w:tc>
          <w:tcPr>
            <w:tcW w:w="488" w:type="dxa"/>
            <w:tcBorders>
              <w:bottom w:val="single" w:sz="4" w:space="0" w:color="auto"/>
            </w:tcBorders>
            <w:shd w:val="clear" w:color="auto" w:fill="FABF8F"/>
            <w:vAlign w:val="center"/>
          </w:tcPr>
          <w:p w14:paraId="14E2779A" w14:textId="77777777" w:rsidR="00345408" w:rsidRPr="0058047D"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4F131BF9" w14:textId="77777777" w:rsidR="00345408" w:rsidRPr="0058047D" w:rsidRDefault="00345408" w:rsidP="00345408">
            <w:pPr>
              <w:pStyle w:val="TableText"/>
              <w:rPr>
                <w:rFonts w:ascii="Tahoma" w:hAnsi="Tahoma" w:cs="Tahoma"/>
                <w:sz w:val="13"/>
              </w:rPr>
            </w:pPr>
          </w:p>
        </w:tc>
      </w:tr>
      <w:tr w:rsidR="00C86F50" w:rsidRPr="0058047D" w14:paraId="3575198B" w14:textId="77777777" w:rsidTr="00C86F50">
        <w:trPr>
          <w:trHeight w:val="145"/>
        </w:trPr>
        <w:tc>
          <w:tcPr>
            <w:tcW w:w="2483" w:type="dxa"/>
            <w:tcBorders>
              <w:bottom w:val="single" w:sz="4" w:space="0" w:color="auto"/>
            </w:tcBorders>
            <w:shd w:val="clear" w:color="auto" w:fill="auto"/>
          </w:tcPr>
          <w:p w14:paraId="42EA3C63" w14:textId="77777777" w:rsidR="00345408" w:rsidRPr="0058047D" w:rsidRDefault="00345408" w:rsidP="00345408">
            <w:pPr>
              <w:pStyle w:val="ProductNames"/>
              <w:rPr>
                <w:rFonts w:ascii="Tahoma" w:hAnsi="Tahoma" w:cs="Tahoma"/>
                <w:sz w:val="14"/>
              </w:rPr>
            </w:pPr>
            <w:bookmarkStart w:id="121" w:name="_Toc371663308"/>
            <w:r w:rsidRPr="0058047D">
              <w:rPr>
                <w:rFonts w:ascii="Tahoma" w:hAnsi="Tahoma" w:cs="Tahoma"/>
                <w:sz w:val="14"/>
              </w:rPr>
              <w:t>Windows</w:t>
            </w:r>
            <w:r w:rsidR="00E53A46" w:rsidRPr="0058047D">
              <w:rPr>
                <w:rFonts w:ascii="Tahoma" w:hAnsi="Tahoma" w:cs="Tahoma"/>
                <w:sz w:val="14"/>
                <w:vertAlign w:val="superscript"/>
              </w:rPr>
              <w:t>®</w:t>
            </w:r>
            <w:r w:rsidRPr="0058047D">
              <w:rPr>
                <w:rFonts w:ascii="Tahoma" w:hAnsi="Tahoma" w:cs="Tahoma"/>
                <w:sz w:val="14"/>
              </w:rPr>
              <w:t xml:space="preserve"> 8.1 Pro con MDOP</w:t>
            </w:r>
            <w:bookmarkEnd w:id="121"/>
            <w:r w:rsidRPr="0058047D">
              <w:rPr>
                <w:rFonts w:ascii="Tahoma" w:hAnsi="Tahoma" w:cs="Tahoma"/>
                <w:sz w:val="14"/>
              </w:rPr>
              <w:t xml:space="preserve"> </w:t>
            </w:r>
          </w:p>
        </w:tc>
        <w:tc>
          <w:tcPr>
            <w:tcW w:w="487" w:type="dxa"/>
            <w:tcBorders>
              <w:bottom w:val="single" w:sz="4" w:space="0" w:color="auto"/>
            </w:tcBorders>
            <w:shd w:val="clear" w:color="auto" w:fill="auto"/>
            <w:vAlign w:val="center"/>
          </w:tcPr>
          <w:p w14:paraId="2F1B7CDB" w14:textId="77777777" w:rsidR="00345408" w:rsidRPr="0058047D" w:rsidRDefault="00345408" w:rsidP="00345408">
            <w:pPr>
              <w:pStyle w:val="TableText"/>
              <w:widowControl w:val="0"/>
            </w:pPr>
          </w:p>
        </w:tc>
        <w:tc>
          <w:tcPr>
            <w:tcW w:w="450" w:type="dxa"/>
            <w:tcBorders>
              <w:bottom w:val="single" w:sz="4" w:space="0" w:color="auto"/>
            </w:tcBorders>
            <w:shd w:val="clear" w:color="auto" w:fill="auto"/>
            <w:vAlign w:val="center"/>
          </w:tcPr>
          <w:p w14:paraId="4C919DB2" w14:textId="77777777" w:rsidR="00345408" w:rsidRPr="0058047D" w:rsidRDefault="00C86F50" w:rsidP="00345408">
            <w:pPr>
              <w:pStyle w:val="TableText"/>
              <w:rPr>
                <w:rFonts w:ascii="Tahoma" w:hAnsi="Tahoma" w:cs="Tahoma"/>
                <w:sz w:val="13"/>
              </w:rPr>
            </w:pPr>
            <w:r>
              <w:rPr>
                <w:rFonts w:ascii="Tahoma" w:hAnsi="Tahoma" w:cs="Tahoma"/>
                <w:sz w:val="13"/>
              </w:rPr>
              <w:t>1</w:t>
            </w:r>
            <w:r w:rsidRPr="0058047D">
              <w:rPr>
                <w:rFonts w:ascii="Tahoma" w:hAnsi="Tahoma" w:cs="Tahoma"/>
                <w:sz w:val="13"/>
              </w:rPr>
              <w:t>0/1</w:t>
            </w:r>
            <w:r>
              <w:rPr>
                <w:rFonts w:ascii="Tahoma" w:hAnsi="Tahoma" w:cs="Tahoma"/>
                <w:sz w:val="13"/>
              </w:rPr>
              <w:t>3</w:t>
            </w:r>
          </w:p>
        </w:tc>
        <w:tc>
          <w:tcPr>
            <w:tcW w:w="360" w:type="dxa"/>
            <w:tcBorders>
              <w:bottom w:val="single" w:sz="4" w:space="0" w:color="auto"/>
              <w:right w:val="single" w:sz="18" w:space="0" w:color="auto"/>
            </w:tcBorders>
            <w:shd w:val="clear" w:color="auto" w:fill="auto"/>
            <w:vAlign w:val="center"/>
          </w:tcPr>
          <w:p w14:paraId="095BA217" w14:textId="77777777" w:rsidR="00345408" w:rsidRPr="0058047D" w:rsidRDefault="00345408" w:rsidP="00345408">
            <w:pPr>
              <w:pStyle w:val="TableText"/>
              <w:rPr>
                <w:rFonts w:ascii="Tahoma" w:hAnsi="Tahoma" w:cs="Tahoma"/>
                <w:sz w:val="13"/>
              </w:rPr>
            </w:pPr>
            <w:r w:rsidRPr="0058047D">
              <w:rPr>
                <w:rFonts w:ascii="Tahoma" w:hAnsi="Tahoma" w:cs="Tahoma"/>
                <w:sz w:val="13"/>
              </w:rPr>
              <w:t>DT</w:t>
            </w:r>
          </w:p>
        </w:tc>
        <w:tc>
          <w:tcPr>
            <w:tcW w:w="378" w:type="dxa"/>
            <w:gridSpan w:val="2"/>
            <w:tcBorders>
              <w:left w:val="single" w:sz="18" w:space="0" w:color="auto"/>
              <w:bottom w:val="single" w:sz="4" w:space="0" w:color="auto"/>
              <w:right w:val="single" w:sz="4" w:space="0" w:color="auto"/>
            </w:tcBorders>
            <w:shd w:val="clear" w:color="auto" w:fill="auto"/>
            <w:vAlign w:val="center"/>
          </w:tcPr>
          <w:p w14:paraId="1B65F977" w14:textId="77777777" w:rsidR="00345408" w:rsidRPr="0058047D" w:rsidRDefault="00345408" w:rsidP="00345408">
            <w:pPr>
              <w:pStyle w:val="TableText"/>
              <w:rPr>
                <w:rFonts w:ascii="Tahoma" w:hAnsi="Tahoma" w:cs="Tahoma"/>
                <w:sz w:val="13"/>
              </w:rPr>
            </w:pPr>
            <w:r w:rsidRPr="0058047D">
              <w:rPr>
                <w:rFonts w:ascii="Tahoma" w:hAnsi="Tahoma" w:cs="Tahoma"/>
                <w:sz w:val="13"/>
              </w:rPr>
              <w:t>2</w:t>
            </w:r>
          </w:p>
        </w:tc>
        <w:tc>
          <w:tcPr>
            <w:tcW w:w="367" w:type="dxa"/>
            <w:gridSpan w:val="2"/>
            <w:tcBorders>
              <w:left w:val="single" w:sz="4" w:space="0" w:color="auto"/>
              <w:bottom w:val="single" w:sz="4" w:space="0" w:color="auto"/>
              <w:right w:val="single" w:sz="4" w:space="0" w:color="auto"/>
            </w:tcBorders>
            <w:shd w:val="clear" w:color="auto" w:fill="auto"/>
            <w:vAlign w:val="center"/>
          </w:tcPr>
          <w:p w14:paraId="32200B0B" w14:textId="77777777" w:rsidR="00345408" w:rsidRPr="0058047D" w:rsidRDefault="00345408" w:rsidP="00345408">
            <w:pPr>
              <w:pStyle w:val="TableText"/>
              <w:rPr>
                <w:rFonts w:ascii="Tahoma" w:hAnsi="Tahoma" w:cs="Tahoma"/>
                <w:sz w:val="13"/>
              </w:rPr>
            </w:pPr>
            <w:r w:rsidRPr="0058047D">
              <w:rPr>
                <w:rFonts w:ascii="Tahoma" w:hAnsi="Tahoma" w:cs="Tahoma"/>
                <w:sz w:val="13"/>
              </w:rPr>
              <w:t>6</w:t>
            </w:r>
          </w:p>
        </w:tc>
        <w:tc>
          <w:tcPr>
            <w:tcW w:w="439" w:type="dxa"/>
            <w:tcBorders>
              <w:left w:val="single" w:sz="4" w:space="0" w:color="auto"/>
              <w:bottom w:val="single" w:sz="4" w:space="0" w:color="auto"/>
              <w:right w:val="single" w:sz="4" w:space="0" w:color="auto"/>
            </w:tcBorders>
            <w:shd w:val="clear" w:color="auto" w:fill="auto"/>
            <w:vAlign w:val="center"/>
          </w:tcPr>
          <w:p w14:paraId="12548369" w14:textId="77777777" w:rsidR="00345408" w:rsidRPr="0058047D" w:rsidRDefault="00345408" w:rsidP="00345408">
            <w:pPr>
              <w:pStyle w:val="TableText"/>
              <w:rPr>
                <w:rFonts w:ascii="Tahoma" w:hAnsi="Tahoma" w:cs="Tahoma"/>
                <w:sz w:val="13"/>
              </w:rPr>
            </w:pPr>
            <w:r w:rsidRPr="0058047D">
              <w:rPr>
                <w:rFonts w:ascii="Tahoma" w:hAnsi="Tahoma" w:cs="Tahoma"/>
                <w:sz w:val="13"/>
              </w:rPr>
              <w:t>5</w:t>
            </w:r>
          </w:p>
        </w:tc>
        <w:tc>
          <w:tcPr>
            <w:tcW w:w="438" w:type="dxa"/>
            <w:tcBorders>
              <w:left w:val="single" w:sz="4" w:space="0" w:color="auto"/>
              <w:bottom w:val="single" w:sz="4" w:space="0" w:color="auto"/>
              <w:right w:val="single" w:sz="4" w:space="0" w:color="auto"/>
            </w:tcBorders>
            <w:shd w:val="clear" w:color="auto" w:fill="auto"/>
            <w:vAlign w:val="center"/>
          </w:tcPr>
          <w:p w14:paraId="4F420186" w14:textId="77777777" w:rsidR="00345408" w:rsidRPr="0058047D" w:rsidRDefault="00345408" w:rsidP="00345408">
            <w:pPr>
              <w:pStyle w:val="TableText"/>
              <w:rPr>
                <w:rFonts w:ascii="Tahoma" w:hAnsi="Tahoma" w:cs="Tahoma"/>
                <w:sz w:val="13"/>
              </w:rPr>
            </w:pPr>
            <w:r w:rsidRPr="0058047D">
              <w:rPr>
                <w:rFonts w:ascii="Tahoma" w:hAnsi="Tahoma" w:cs="Tahoma"/>
                <w:sz w:val="13"/>
              </w:rPr>
              <w:t>4</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32415C3B" w14:textId="77777777" w:rsidR="00345408" w:rsidRPr="0058047D" w:rsidRDefault="00345408" w:rsidP="00345408">
            <w:pPr>
              <w:pStyle w:val="TableText"/>
              <w:rPr>
                <w:rFonts w:ascii="Tahoma" w:hAnsi="Tahoma" w:cs="Tahoma"/>
                <w:sz w:val="13"/>
              </w:rPr>
            </w:pPr>
            <w:r w:rsidRPr="0058047D">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107C0227" w14:textId="77777777" w:rsidR="00345408" w:rsidRPr="0058047D" w:rsidRDefault="00345408" w:rsidP="00345408">
            <w:pPr>
              <w:pStyle w:val="TableText"/>
              <w:rPr>
                <w:rFonts w:ascii="Tahoma" w:hAnsi="Tahoma" w:cs="Tahoma"/>
                <w:sz w:val="13"/>
              </w:rPr>
            </w:pPr>
            <w:r w:rsidRPr="0058047D">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auto"/>
            <w:vAlign w:val="center"/>
          </w:tcPr>
          <w:p w14:paraId="006B46EC" w14:textId="77777777" w:rsidR="00345408" w:rsidRPr="0058047D" w:rsidRDefault="00345408" w:rsidP="00345408">
            <w:pPr>
              <w:pStyle w:val="TableText"/>
              <w:rPr>
                <w:rFonts w:ascii="Tahoma" w:hAnsi="Tahoma" w:cs="Tahoma"/>
                <w:sz w:val="13"/>
              </w:rPr>
            </w:pPr>
            <w:r w:rsidRPr="0058047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E8C7A6B" w14:textId="77777777" w:rsidR="00345408" w:rsidRPr="0058047D"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5E411491" w14:textId="77777777" w:rsidR="00345408" w:rsidRPr="0058047D"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1BEDEC7" w14:textId="77777777" w:rsidR="00345408" w:rsidRPr="0058047D"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27516DE" w14:textId="77777777" w:rsidR="00345408" w:rsidRPr="0058047D" w:rsidRDefault="00345408" w:rsidP="00345408">
            <w:pPr>
              <w:pStyle w:val="TableText"/>
              <w:rPr>
                <w:rFonts w:ascii="Tahoma" w:hAnsi="Tahoma" w:cs="Tahoma"/>
                <w:sz w:val="13"/>
              </w:rPr>
            </w:pPr>
            <w:r w:rsidRPr="0058047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30FAFA53" w14:textId="77777777" w:rsidR="00345408" w:rsidRPr="0058047D" w:rsidRDefault="00345408" w:rsidP="00345408">
            <w:pPr>
              <w:pStyle w:val="TableText"/>
              <w:rPr>
                <w:rFonts w:ascii="Tahoma" w:hAnsi="Tahoma" w:cs="Tahoma"/>
                <w:sz w:val="13"/>
              </w:rPr>
            </w:pPr>
            <w:r w:rsidRPr="0058047D">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27620B0F" w14:textId="77777777" w:rsidR="00345408" w:rsidRPr="0058047D" w:rsidRDefault="00345408" w:rsidP="00345408">
            <w:pPr>
              <w:pStyle w:val="TableText"/>
              <w:rPr>
                <w:rFonts w:ascii="Tahoma" w:hAnsi="Tahoma" w:cs="Tahoma"/>
                <w:sz w:val="13"/>
              </w:rPr>
            </w:pPr>
            <w:r w:rsidRPr="0058047D">
              <w:rPr>
                <w:rFonts w:ascii="Tahoma" w:hAnsi="Tahoma" w:cs="Tahoma"/>
                <w:sz w:val="13"/>
              </w:rPr>
              <w:t>E, P</w:t>
            </w:r>
          </w:p>
        </w:tc>
        <w:tc>
          <w:tcPr>
            <w:tcW w:w="502" w:type="dxa"/>
            <w:tcBorders>
              <w:bottom w:val="single" w:sz="4" w:space="0" w:color="auto"/>
            </w:tcBorders>
            <w:shd w:val="clear" w:color="auto" w:fill="auto"/>
            <w:vAlign w:val="center"/>
          </w:tcPr>
          <w:p w14:paraId="774F0E2B" w14:textId="77777777" w:rsidR="00345408" w:rsidRPr="0058047D" w:rsidRDefault="00345408" w:rsidP="00345408">
            <w:pPr>
              <w:pStyle w:val="TableText"/>
              <w:rPr>
                <w:rFonts w:ascii="Tahoma" w:hAnsi="Tahoma" w:cs="Tahoma"/>
                <w:sz w:val="13"/>
              </w:rPr>
            </w:pPr>
            <w:r w:rsidRPr="0058047D">
              <w:rPr>
                <w:rFonts w:ascii="Tahoma" w:hAnsi="Tahoma" w:cs="Tahoma"/>
                <w:sz w:val="13"/>
              </w:rPr>
              <w:t>E, ST</w:t>
            </w:r>
          </w:p>
        </w:tc>
        <w:tc>
          <w:tcPr>
            <w:tcW w:w="488" w:type="dxa"/>
            <w:tcBorders>
              <w:bottom w:val="single" w:sz="4" w:space="0" w:color="auto"/>
            </w:tcBorders>
            <w:shd w:val="clear" w:color="auto" w:fill="auto"/>
            <w:vAlign w:val="center"/>
          </w:tcPr>
          <w:p w14:paraId="2EDF9204" w14:textId="77777777" w:rsidR="00345408" w:rsidRPr="0058047D"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51F169CF" w14:textId="77777777" w:rsidR="00345408" w:rsidRPr="0058047D" w:rsidRDefault="00345408" w:rsidP="00345408">
            <w:pPr>
              <w:pStyle w:val="TableText"/>
              <w:rPr>
                <w:rFonts w:ascii="Tahoma" w:hAnsi="Tahoma" w:cs="Tahoma"/>
                <w:sz w:val="13"/>
              </w:rPr>
            </w:pPr>
          </w:p>
        </w:tc>
      </w:tr>
      <w:tr w:rsidR="00345408" w:rsidRPr="0058047D" w14:paraId="66E39C85" w14:textId="77777777" w:rsidTr="00C86F50">
        <w:trPr>
          <w:trHeight w:val="145"/>
        </w:trPr>
        <w:tc>
          <w:tcPr>
            <w:tcW w:w="2483" w:type="dxa"/>
            <w:tcBorders>
              <w:bottom w:val="single" w:sz="4" w:space="0" w:color="auto"/>
            </w:tcBorders>
            <w:shd w:val="clear" w:color="auto" w:fill="FABF8F"/>
          </w:tcPr>
          <w:p w14:paraId="6861C030" w14:textId="77777777" w:rsidR="00345408" w:rsidRPr="0058047D" w:rsidRDefault="00345408" w:rsidP="00345408">
            <w:pPr>
              <w:pStyle w:val="ProductNames"/>
              <w:rPr>
                <w:rFonts w:ascii="Tahoma" w:hAnsi="Tahoma" w:cs="Tahoma"/>
                <w:sz w:val="14"/>
              </w:rPr>
            </w:pPr>
            <w:bookmarkStart w:id="122" w:name="_Toc371663309"/>
            <w:r w:rsidRPr="0058047D">
              <w:rPr>
                <w:rFonts w:ascii="Tahoma" w:hAnsi="Tahoma" w:cs="Tahoma"/>
                <w:sz w:val="14"/>
              </w:rPr>
              <w:t>Licenza “Subscription” per Windows Companion</w:t>
            </w:r>
            <w:bookmarkEnd w:id="122"/>
          </w:p>
        </w:tc>
        <w:tc>
          <w:tcPr>
            <w:tcW w:w="487" w:type="dxa"/>
            <w:tcBorders>
              <w:bottom w:val="single" w:sz="4" w:space="0" w:color="auto"/>
            </w:tcBorders>
            <w:shd w:val="clear" w:color="auto" w:fill="FABF8F"/>
            <w:vAlign w:val="center"/>
          </w:tcPr>
          <w:p w14:paraId="0916D159" w14:textId="78786ACF" w:rsidR="00345408" w:rsidRPr="0058047D" w:rsidRDefault="00C86F50" w:rsidP="006A6EB4">
            <w:pPr>
              <w:pStyle w:val="TableText"/>
              <w:widowControl w:val="0"/>
            </w:pPr>
            <w:hyperlink r:id="rId20" w:anchor="_30_Licenza_" w:history="1">
              <w:r w:rsidR="00BF5FC6" w:rsidRPr="0058047D">
                <w:rPr>
                  <w:rStyle w:val="Hyperlink"/>
                  <w:b/>
                  <w:sz w:val="13"/>
                  <w:szCs w:val="13"/>
                </w:rPr>
                <w:t>30</w:t>
              </w:r>
            </w:hyperlink>
            <w:hyperlink w:anchor="_25_Windows®_Companion" w:history="1"/>
          </w:p>
        </w:tc>
        <w:tc>
          <w:tcPr>
            <w:tcW w:w="450" w:type="dxa"/>
            <w:tcBorders>
              <w:bottom w:val="single" w:sz="4" w:space="0" w:color="auto"/>
            </w:tcBorders>
            <w:shd w:val="clear" w:color="auto" w:fill="FABF8F"/>
            <w:vAlign w:val="center"/>
          </w:tcPr>
          <w:p w14:paraId="4B6A09FD" w14:textId="77777777" w:rsidR="00345408" w:rsidRPr="0058047D" w:rsidRDefault="00345408" w:rsidP="00345408">
            <w:pPr>
              <w:pStyle w:val="TableText"/>
              <w:rPr>
                <w:rFonts w:ascii="Tahoma" w:hAnsi="Tahoma" w:cs="Tahoma"/>
                <w:sz w:val="13"/>
              </w:rPr>
            </w:pPr>
            <w:r w:rsidRPr="0058047D">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3E0E13C4" w14:textId="77777777" w:rsidR="00345408" w:rsidRPr="0058047D" w:rsidRDefault="00345408" w:rsidP="00345408">
            <w:pPr>
              <w:pStyle w:val="TableText"/>
              <w:rPr>
                <w:rFonts w:ascii="Tahoma" w:hAnsi="Tahoma" w:cs="Tahoma"/>
                <w:sz w:val="13"/>
              </w:rPr>
            </w:pPr>
          </w:p>
        </w:tc>
        <w:tc>
          <w:tcPr>
            <w:tcW w:w="2936" w:type="dxa"/>
            <w:gridSpan w:val="12"/>
            <w:tcBorders>
              <w:left w:val="single" w:sz="18" w:space="0" w:color="auto"/>
              <w:bottom w:val="single" w:sz="4" w:space="0" w:color="auto"/>
              <w:right w:val="single" w:sz="18" w:space="0" w:color="auto"/>
            </w:tcBorders>
            <w:shd w:val="clear" w:color="auto" w:fill="FABF8F"/>
            <w:vAlign w:val="center"/>
          </w:tcPr>
          <w:p w14:paraId="3D190C69" w14:textId="77777777" w:rsidR="00345408" w:rsidRPr="0058047D" w:rsidRDefault="00345408" w:rsidP="00345408">
            <w:pPr>
              <w:pStyle w:val="TableText"/>
              <w:rPr>
                <w:rFonts w:ascii="Tahoma" w:hAnsi="Tahoma" w:cs="Tahoma"/>
                <w:sz w:val="13"/>
              </w:rPr>
            </w:pPr>
            <w:r w:rsidRPr="0058047D">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04FDF98E" w14:textId="77777777" w:rsidR="00345408" w:rsidRPr="0058047D"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1E5B7529" w14:textId="77777777" w:rsidR="00345408" w:rsidRPr="0058047D"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5AA5EB1" w14:textId="77777777" w:rsidR="00345408" w:rsidRPr="0058047D"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3FF7A00" w14:textId="77777777" w:rsidR="00345408" w:rsidRPr="0058047D" w:rsidRDefault="00345408" w:rsidP="00345408">
            <w:pPr>
              <w:pStyle w:val="TableText"/>
              <w:rPr>
                <w:rFonts w:ascii="Tahoma" w:hAnsi="Tahoma" w:cs="Tahoma"/>
                <w:sz w:val="13"/>
              </w:rPr>
            </w:pPr>
            <w:r w:rsidRPr="0058047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AF839B3" w14:textId="77777777" w:rsidR="00345408" w:rsidRPr="0058047D" w:rsidRDefault="00345408" w:rsidP="00345408">
            <w:pPr>
              <w:pStyle w:val="TableText"/>
              <w:rPr>
                <w:rFonts w:ascii="Tahoma" w:hAnsi="Tahoma" w:cs="Tahoma"/>
                <w:sz w:val="13"/>
              </w:rPr>
            </w:pPr>
            <w:r w:rsidRPr="0058047D">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7FCA70D9" w14:textId="77777777" w:rsidR="00345408" w:rsidRPr="0058047D" w:rsidRDefault="00345408" w:rsidP="00345408">
            <w:pPr>
              <w:pStyle w:val="TableText"/>
              <w:rPr>
                <w:rFonts w:ascii="Tahoma" w:hAnsi="Tahoma" w:cs="Tahoma"/>
                <w:sz w:val="13"/>
              </w:rPr>
            </w:pPr>
          </w:p>
        </w:tc>
        <w:tc>
          <w:tcPr>
            <w:tcW w:w="502" w:type="dxa"/>
            <w:tcBorders>
              <w:bottom w:val="single" w:sz="4" w:space="0" w:color="auto"/>
            </w:tcBorders>
            <w:shd w:val="clear" w:color="auto" w:fill="FABF8F"/>
            <w:vAlign w:val="center"/>
          </w:tcPr>
          <w:p w14:paraId="14583975" w14:textId="77777777" w:rsidR="00345408" w:rsidRPr="0058047D" w:rsidRDefault="00345408" w:rsidP="00345408">
            <w:pPr>
              <w:pStyle w:val="TableText"/>
              <w:rPr>
                <w:rFonts w:ascii="Tahoma" w:hAnsi="Tahoma" w:cs="Tahoma"/>
                <w:sz w:val="13"/>
              </w:rPr>
            </w:pPr>
            <w:r w:rsidRPr="0058047D">
              <w:rPr>
                <w:rFonts w:ascii="Tahoma" w:hAnsi="Tahoma" w:cs="Tahoma"/>
                <w:sz w:val="13"/>
              </w:rPr>
              <w:t>A (Solo EES)</w:t>
            </w:r>
          </w:p>
        </w:tc>
        <w:tc>
          <w:tcPr>
            <w:tcW w:w="488" w:type="dxa"/>
            <w:tcBorders>
              <w:bottom w:val="single" w:sz="4" w:space="0" w:color="auto"/>
            </w:tcBorders>
            <w:shd w:val="clear" w:color="auto" w:fill="FABF8F"/>
            <w:vAlign w:val="center"/>
          </w:tcPr>
          <w:p w14:paraId="17A10477" w14:textId="77777777" w:rsidR="00345408" w:rsidRPr="0058047D"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1734FD3C" w14:textId="77777777" w:rsidR="00345408" w:rsidRPr="0058047D" w:rsidRDefault="00345408" w:rsidP="00345408">
            <w:pPr>
              <w:pStyle w:val="TableText"/>
              <w:rPr>
                <w:rFonts w:ascii="Tahoma" w:hAnsi="Tahoma" w:cs="Tahoma"/>
                <w:sz w:val="13"/>
              </w:rPr>
            </w:pPr>
          </w:p>
        </w:tc>
      </w:tr>
      <w:tr w:rsidR="00C86F50" w:rsidRPr="0058047D" w14:paraId="45590CDE" w14:textId="77777777" w:rsidTr="00C86F50">
        <w:trPr>
          <w:trHeight w:val="145"/>
        </w:trPr>
        <w:tc>
          <w:tcPr>
            <w:tcW w:w="2483" w:type="dxa"/>
            <w:tcBorders>
              <w:bottom w:val="single" w:sz="4" w:space="0" w:color="auto"/>
            </w:tcBorders>
            <w:shd w:val="clear" w:color="auto" w:fill="auto"/>
          </w:tcPr>
          <w:p w14:paraId="44F87D39" w14:textId="77777777" w:rsidR="00345408" w:rsidRPr="0058047D" w:rsidRDefault="00345408" w:rsidP="00345408">
            <w:pPr>
              <w:pStyle w:val="ProductNames"/>
              <w:rPr>
                <w:rFonts w:ascii="Tahoma" w:hAnsi="Tahoma" w:cs="Tahoma"/>
                <w:sz w:val="14"/>
              </w:rPr>
            </w:pPr>
            <w:bookmarkStart w:id="123" w:name="_Toc371663310"/>
            <w:r w:rsidRPr="0058047D">
              <w:rPr>
                <w:rFonts w:ascii="Tahoma" w:hAnsi="Tahoma" w:cs="Tahoma"/>
                <w:sz w:val="14"/>
              </w:rPr>
              <w:t>Windows</w:t>
            </w:r>
            <w:r w:rsidR="00E53A46" w:rsidRPr="0058047D">
              <w:rPr>
                <w:rFonts w:ascii="Tahoma" w:hAnsi="Tahoma" w:cs="Tahoma"/>
                <w:sz w:val="14"/>
                <w:vertAlign w:val="superscript"/>
              </w:rPr>
              <w:t>®</w:t>
            </w:r>
            <w:r w:rsidRPr="0058047D">
              <w:rPr>
                <w:rFonts w:ascii="Tahoma" w:hAnsi="Tahoma" w:cs="Tahoma"/>
                <w:sz w:val="14"/>
              </w:rPr>
              <w:t xml:space="preserve"> Embedded 8 Standard Enterprise Kit</w:t>
            </w:r>
            <w:bookmarkEnd w:id="123"/>
          </w:p>
        </w:tc>
        <w:tc>
          <w:tcPr>
            <w:tcW w:w="487" w:type="dxa"/>
            <w:tcBorders>
              <w:bottom w:val="single" w:sz="4" w:space="0" w:color="auto"/>
            </w:tcBorders>
            <w:shd w:val="clear" w:color="auto" w:fill="auto"/>
            <w:vAlign w:val="center"/>
          </w:tcPr>
          <w:p w14:paraId="0BE8C48F" w14:textId="77777777" w:rsidR="00345408" w:rsidRPr="0058047D" w:rsidRDefault="00C86F50" w:rsidP="006A6EB4">
            <w:pPr>
              <w:pStyle w:val="TableText"/>
              <w:widowControl w:val="0"/>
            </w:pPr>
            <w:hyperlink w:anchor="_31_Windows_Embedded" w:history="1">
              <w:r w:rsidR="00BF5FC6" w:rsidRPr="0058047D">
                <w:rPr>
                  <w:rStyle w:val="Hyperlink"/>
                  <w:b/>
                  <w:sz w:val="13"/>
                  <w:szCs w:val="13"/>
                </w:rPr>
                <w:t>31</w:t>
              </w:r>
            </w:hyperlink>
          </w:p>
        </w:tc>
        <w:tc>
          <w:tcPr>
            <w:tcW w:w="450" w:type="dxa"/>
            <w:tcBorders>
              <w:bottom w:val="single" w:sz="4" w:space="0" w:color="auto"/>
            </w:tcBorders>
            <w:shd w:val="clear" w:color="auto" w:fill="auto"/>
            <w:vAlign w:val="center"/>
          </w:tcPr>
          <w:p w14:paraId="7BC9550C" w14:textId="77777777" w:rsidR="00345408" w:rsidRPr="0058047D" w:rsidRDefault="00345408" w:rsidP="002425DA">
            <w:pPr>
              <w:pStyle w:val="TableText"/>
              <w:rPr>
                <w:rFonts w:ascii="Tahoma" w:hAnsi="Tahoma" w:cs="Tahoma"/>
                <w:sz w:val="13"/>
              </w:rPr>
            </w:pPr>
            <w:r w:rsidRPr="0058047D">
              <w:rPr>
                <w:rFonts w:ascii="Tahoma" w:hAnsi="Tahoma" w:cs="Tahoma"/>
                <w:sz w:val="13"/>
              </w:rPr>
              <w:t>06/13</w:t>
            </w:r>
          </w:p>
        </w:tc>
        <w:tc>
          <w:tcPr>
            <w:tcW w:w="360" w:type="dxa"/>
            <w:tcBorders>
              <w:bottom w:val="single" w:sz="4" w:space="0" w:color="auto"/>
              <w:right w:val="single" w:sz="18" w:space="0" w:color="auto"/>
            </w:tcBorders>
            <w:shd w:val="clear" w:color="auto" w:fill="auto"/>
            <w:vAlign w:val="center"/>
          </w:tcPr>
          <w:p w14:paraId="75D0A8EA" w14:textId="77777777" w:rsidR="00345408" w:rsidRPr="0058047D" w:rsidRDefault="00345408" w:rsidP="00345408">
            <w:pPr>
              <w:pStyle w:val="TableText"/>
              <w:rPr>
                <w:rFonts w:ascii="Tahoma" w:hAnsi="Tahoma" w:cs="Tahoma"/>
                <w:sz w:val="13"/>
              </w:rPr>
            </w:pPr>
          </w:p>
        </w:tc>
        <w:tc>
          <w:tcPr>
            <w:tcW w:w="360" w:type="dxa"/>
            <w:tcBorders>
              <w:left w:val="single" w:sz="18" w:space="0" w:color="auto"/>
              <w:bottom w:val="single" w:sz="4" w:space="0" w:color="auto"/>
              <w:right w:val="single" w:sz="4" w:space="0" w:color="auto"/>
            </w:tcBorders>
            <w:shd w:val="clear" w:color="auto" w:fill="auto"/>
            <w:vAlign w:val="center"/>
          </w:tcPr>
          <w:p w14:paraId="60ED0713" w14:textId="77777777" w:rsidR="00345408" w:rsidRPr="0058047D" w:rsidRDefault="00345408" w:rsidP="00345408">
            <w:pPr>
              <w:pStyle w:val="TableText"/>
              <w:rPr>
                <w:rFonts w:ascii="Tahoma" w:hAnsi="Tahoma" w:cs="Tahoma"/>
                <w:sz w:val="13"/>
              </w:rPr>
            </w:pPr>
            <w:r w:rsidRPr="0058047D">
              <w:rPr>
                <w:rFonts w:ascii="Tahoma" w:hAnsi="Tahoma" w:cs="Tahoma"/>
                <w:sz w:val="13"/>
              </w:rPr>
              <w:t>2</w:t>
            </w:r>
          </w:p>
        </w:tc>
        <w:tc>
          <w:tcPr>
            <w:tcW w:w="385" w:type="dxa"/>
            <w:gridSpan w:val="3"/>
            <w:tcBorders>
              <w:left w:val="single" w:sz="4" w:space="0" w:color="auto"/>
              <w:bottom w:val="single" w:sz="4" w:space="0" w:color="auto"/>
              <w:right w:val="single" w:sz="4" w:space="0" w:color="auto"/>
            </w:tcBorders>
            <w:shd w:val="clear" w:color="auto" w:fill="auto"/>
            <w:vAlign w:val="center"/>
          </w:tcPr>
          <w:p w14:paraId="00355DAA" w14:textId="77777777" w:rsidR="00345408" w:rsidRPr="0058047D" w:rsidRDefault="00345408"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1A56FC9B" w14:textId="77777777" w:rsidR="00345408" w:rsidRPr="0058047D" w:rsidRDefault="00345408"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1625827B" w14:textId="77777777" w:rsidR="00345408" w:rsidRPr="0058047D"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380B650F" w14:textId="77777777" w:rsidR="00345408" w:rsidRPr="0058047D"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2830BB36" w14:textId="77777777" w:rsidR="00345408" w:rsidRPr="0058047D"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708ACC99" w14:textId="77777777" w:rsidR="00345408" w:rsidRPr="0058047D"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7D7FC73" w14:textId="77777777" w:rsidR="00345408" w:rsidRPr="0058047D" w:rsidRDefault="00345408" w:rsidP="00345408">
            <w:pPr>
              <w:pStyle w:val="TableText"/>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auto"/>
            <w:vAlign w:val="center"/>
          </w:tcPr>
          <w:p w14:paraId="53FC8CC9" w14:textId="77777777" w:rsidR="00345408" w:rsidRPr="0058047D"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AB1E007" w14:textId="77777777" w:rsidR="00345408" w:rsidRPr="0058047D"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4EC1A53" w14:textId="77777777" w:rsidR="00345408" w:rsidRPr="0058047D"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0BABB51" w14:textId="77777777" w:rsidR="00345408" w:rsidRPr="0058047D"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6B0F21B" w14:textId="77777777" w:rsidR="00345408" w:rsidRPr="0058047D" w:rsidRDefault="00345408" w:rsidP="00345408">
            <w:pPr>
              <w:pStyle w:val="TableText"/>
              <w:rPr>
                <w:rFonts w:ascii="Tahoma" w:hAnsi="Tahoma" w:cs="Tahoma"/>
                <w:sz w:val="13"/>
              </w:rPr>
            </w:pPr>
          </w:p>
        </w:tc>
        <w:tc>
          <w:tcPr>
            <w:tcW w:w="502" w:type="dxa"/>
            <w:tcBorders>
              <w:bottom w:val="single" w:sz="4" w:space="0" w:color="auto"/>
            </w:tcBorders>
            <w:shd w:val="clear" w:color="auto" w:fill="auto"/>
            <w:vAlign w:val="center"/>
          </w:tcPr>
          <w:p w14:paraId="7D44F449" w14:textId="77777777" w:rsidR="00345408" w:rsidRPr="0058047D" w:rsidRDefault="00345408" w:rsidP="00345408">
            <w:pPr>
              <w:pStyle w:val="TableText"/>
              <w:rPr>
                <w:rFonts w:ascii="Tahoma" w:hAnsi="Tahoma" w:cs="Tahoma"/>
                <w:sz w:val="13"/>
              </w:rPr>
            </w:pPr>
          </w:p>
        </w:tc>
        <w:tc>
          <w:tcPr>
            <w:tcW w:w="488" w:type="dxa"/>
            <w:tcBorders>
              <w:bottom w:val="single" w:sz="4" w:space="0" w:color="auto"/>
            </w:tcBorders>
            <w:shd w:val="clear" w:color="auto" w:fill="auto"/>
            <w:vAlign w:val="center"/>
          </w:tcPr>
          <w:p w14:paraId="595C85BC" w14:textId="77777777" w:rsidR="00345408" w:rsidRPr="0058047D"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4D8368D2" w14:textId="77777777" w:rsidR="00345408" w:rsidRPr="0058047D" w:rsidRDefault="00345408" w:rsidP="00345408">
            <w:pPr>
              <w:pStyle w:val="TableText"/>
              <w:rPr>
                <w:rFonts w:ascii="Tahoma" w:hAnsi="Tahoma" w:cs="Tahoma"/>
                <w:sz w:val="13"/>
              </w:rPr>
            </w:pPr>
          </w:p>
        </w:tc>
      </w:tr>
      <w:tr w:rsidR="00345408" w:rsidRPr="0058047D" w14:paraId="6A56B577" w14:textId="77777777" w:rsidTr="00C86F50">
        <w:trPr>
          <w:trHeight w:val="145"/>
        </w:trPr>
        <w:tc>
          <w:tcPr>
            <w:tcW w:w="2483" w:type="dxa"/>
            <w:tcBorders>
              <w:bottom w:val="single" w:sz="4" w:space="0" w:color="auto"/>
            </w:tcBorders>
            <w:shd w:val="clear" w:color="auto" w:fill="FABF8F"/>
          </w:tcPr>
          <w:p w14:paraId="044F6C8E" w14:textId="77777777" w:rsidR="00345408" w:rsidRPr="0058047D" w:rsidRDefault="00345408" w:rsidP="00345408">
            <w:pPr>
              <w:pStyle w:val="ProductNames"/>
              <w:rPr>
                <w:rFonts w:ascii="Tahoma" w:hAnsi="Tahoma" w:cs="Tahoma"/>
                <w:sz w:val="14"/>
              </w:rPr>
            </w:pPr>
            <w:bookmarkStart w:id="124" w:name="_Toc371663311"/>
            <w:r w:rsidRPr="0058047D">
              <w:rPr>
                <w:rFonts w:ascii="Tahoma" w:hAnsi="Tahoma" w:cs="Tahoma"/>
                <w:sz w:val="14"/>
              </w:rPr>
              <w:t>Windows</w:t>
            </w:r>
            <w:r w:rsidR="00E53A46" w:rsidRPr="0058047D">
              <w:rPr>
                <w:rFonts w:ascii="Tahoma" w:hAnsi="Tahoma" w:cs="Tahoma"/>
                <w:sz w:val="14"/>
                <w:vertAlign w:val="superscript"/>
              </w:rPr>
              <w:t>®</w:t>
            </w:r>
            <w:r w:rsidRPr="0058047D">
              <w:rPr>
                <w:rFonts w:ascii="Tahoma" w:hAnsi="Tahoma" w:cs="Tahoma"/>
                <w:sz w:val="14"/>
              </w:rPr>
              <w:t xml:space="preserve"> Embedded 8.1 Industry Pro</w:t>
            </w:r>
            <w:bookmarkEnd w:id="124"/>
          </w:p>
        </w:tc>
        <w:tc>
          <w:tcPr>
            <w:tcW w:w="487" w:type="dxa"/>
            <w:tcBorders>
              <w:bottom w:val="single" w:sz="4" w:space="0" w:color="auto"/>
            </w:tcBorders>
            <w:shd w:val="clear" w:color="auto" w:fill="FABF8F"/>
            <w:vAlign w:val="center"/>
          </w:tcPr>
          <w:p w14:paraId="76043722" w14:textId="77777777" w:rsidR="00345408" w:rsidRPr="0058047D" w:rsidRDefault="00C86F50" w:rsidP="006A6EB4">
            <w:pPr>
              <w:pStyle w:val="TableText"/>
              <w:widowControl w:val="0"/>
            </w:pPr>
            <w:hyperlink w:anchor="_32_Windows®_Embedded" w:history="1">
              <w:r w:rsidR="00BF5FC6" w:rsidRPr="0058047D">
                <w:rPr>
                  <w:rStyle w:val="Hyperlink"/>
                  <w:b/>
                  <w:sz w:val="13"/>
                  <w:szCs w:val="13"/>
                </w:rPr>
                <w:t>32</w:t>
              </w:r>
            </w:hyperlink>
          </w:p>
        </w:tc>
        <w:tc>
          <w:tcPr>
            <w:tcW w:w="450" w:type="dxa"/>
            <w:tcBorders>
              <w:bottom w:val="single" w:sz="4" w:space="0" w:color="auto"/>
            </w:tcBorders>
            <w:shd w:val="clear" w:color="auto" w:fill="FABF8F"/>
            <w:vAlign w:val="center"/>
          </w:tcPr>
          <w:p w14:paraId="1AC4125C" w14:textId="77777777" w:rsidR="00345408" w:rsidRPr="0058047D" w:rsidRDefault="00C86F50" w:rsidP="00345408">
            <w:pPr>
              <w:pStyle w:val="TableText"/>
              <w:rPr>
                <w:rFonts w:ascii="Tahoma" w:hAnsi="Tahoma" w:cs="Tahoma"/>
                <w:sz w:val="13"/>
              </w:rPr>
            </w:pPr>
            <w:r>
              <w:rPr>
                <w:rFonts w:ascii="Tahoma" w:hAnsi="Tahoma" w:cs="Tahoma"/>
                <w:sz w:val="13"/>
              </w:rPr>
              <w:t>1</w:t>
            </w:r>
            <w:r w:rsidRPr="0058047D">
              <w:rPr>
                <w:rFonts w:ascii="Tahoma" w:hAnsi="Tahoma" w:cs="Tahoma"/>
                <w:sz w:val="13"/>
              </w:rPr>
              <w:t>0/1</w:t>
            </w:r>
            <w:r>
              <w:rPr>
                <w:rFonts w:ascii="Tahoma" w:hAnsi="Tahoma" w:cs="Tahoma"/>
                <w:sz w:val="13"/>
              </w:rPr>
              <w:t>3</w:t>
            </w:r>
          </w:p>
        </w:tc>
        <w:tc>
          <w:tcPr>
            <w:tcW w:w="360" w:type="dxa"/>
            <w:tcBorders>
              <w:bottom w:val="single" w:sz="4" w:space="0" w:color="auto"/>
              <w:right w:val="single" w:sz="18" w:space="0" w:color="auto"/>
            </w:tcBorders>
            <w:shd w:val="clear" w:color="auto" w:fill="FABF8F"/>
            <w:vAlign w:val="center"/>
          </w:tcPr>
          <w:p w14:paraId="6F010266" w14:textId="77777777" w:rsidR="00345408" w:rsidRPr="0058047D" w:rsidRDefault="00345408" w:rsidP="00345408">
            <w:pPr>
              <w:pStyle w:val="TableText"/>
              <w:rPr>
                <w:rFonts w:ascii="Tahoma" w:hAnsi="Tahoma" w:cs="Tahoma"/>
                <w:sz w:val="13"/>
              </w:rPr>
            </w:pPr>
          </w:p>
        </w:tc>
        <w:tc>
          <w:tcPr>
            <w:tcW w:w="360" w:type="dxa"/>
            <w:tcBorders>
              <w:left w:val="single" w:sz="18" w:space="0" w:color="auto"/>
              <w:bottom w:val="single" w:sz="4" w:space="0" w:color="auto"/>
              <w:right w:val="single" w:sz="4" w:space="0" w:color="auto"/>
            </w:tcBorders>
            <w:shd w:val="clear" w:color="auto" w:fill="FABF8F"/>
            <w:vAlign w:val="center"/>
          </w:tcPr>
          <w:p w14:paraId="14C5FEFD" w14:textId="77777777" w:rsidR="00345408" w:rsidRPr="0058047D" w:rsidRDefault="00345408" w:rsidP="00345408">
            <w:pPr>
              <w:pStyle w:val="TableText"/>
              <w:rPr>
                <w:rFonts w:ascii="Tahoma" w:hAnsi="Tahoma" w:cs="Tahoma"/>
                <w:sz w:val="13"/>
              </w:rPr>
            </w:pPr>
            <w:r w:rsidRPr="0058047D">
              <w:rPr>
                <w:rFonts w:ascii="Tahoma" w:hAnsi="Tahoma" w:cs="Tahoma"/>
                <w:sz w:val="13"/>
              </w:rPr>
              <w:t>2</w:t>
            </w:r>
          </w:p>
        </w:tc>
        <w:tc>
          <w:tcPr>
            <w:tcW w:w="385" w:type="dxa"/>
            <w:gridSpan w:val="3"/>
            <w:tcBorders>
              <w:left w:val="single" w:sz="4" w:space="0" w:color="auto"/>
              <w:bottom w:val="single" w:sz="4" w:space="0" w:color="auto"/>
              <w:right w:val="single" w:sz="4" w:space="0" w:color="auto"/>
            </w:tcBorders>
            <w:shd w:val="clear" w:color="auto" w:fill="FABF8F"/>
            <w:vAlign w:val="center"/>
          </w:tcPr>
          <w:p w14:paraId="0AD3F42C" w14:textId="77777777" w:rsidR="00345408" w:rsidRPr="0058047D" w:rsidRDefault="00345408" w:rsidP="00345408">
            <w:pPr>
              <w:pStyle w:val="TableText"/>
              <w:rPr>
                <w:rFonts w:ascii="Tahoma" w:hAnsi="Tahoma" w:cs="Tahoma"/>
                <w:sz w:val="13"/>
              </w:rPr>
            </w:pPr>
            <w:r w:rsidRPr="0058047D">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004B01AC" w14:textId="77777777" w:rsidR="00345408" w:rsidRPr="0058047D" w:rsidRDefault="00345408" w:rsidP="00345408">
            <w:pPr>
              <w:pStyle w:val="TableText"/>
              <w:rPr>
                <w:rFonts w:ascii="Tahoma" w:hAnsi="Tahoma" w:cs="Tahoma"/>
                <w:sz w:val="13"/>
              </w:rPr>
            </w:pPr>
            <w:r w:rsidRPr="0058047D">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588BD41D" w14:textId="77777777" w:rsidR="00345408" w:rsidRPr="0058047D" w:rsidRDefault="00345408" w:rsidP="00345408">
            <w:pPr>
              <w:pStyle w:val="TableText"/>
              <w:rPr>
                <w:rFonts w:ascii="Tahoma" w:hAnsi="Tahoma" w:cs="Tahoma"/>
                <w:sz w:val="13"/>
              </w:rPr>
            </w:pPr>
            <w:r w:rsidRPr="0058047D">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075531F5" w14:textId="77777777" w:rsidR="00345408" w:rsidRPr="0058047D" w:rsidRDefault="00345408" w:rsidP="00345408">
            <w:pPr>
              <w:pStyle w:val="TableText"/>
              <w:rPr>
                <w:rFonts w:ascii="Tahoma" w:hAnsi="Tahoma" w:cs="Tahoma"/>
                <w:sz w:val="13"/>
              </w:rPr>
            </w:pPr>
            <w:r w:rsidRPr="0058047D">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6A6A4890" w14:textId="77777777" w:rsidR="00345408" w:rsidRPr="0058047D" w:rsidRDefault="00345408" w:rsidP="00345408">
            <w:pPr>
              <w:pStyle w:val="TableText"/>
              <w:rPr>
                <w:rFonts w:ascii="Tahoma" w:hAnsi="Tahoma" w:cs="Tahoma"/>
                <w:sz w:val="13"/>
              </w:rPr>
            </w:pPr>
            <w:r w:rsidRPr="0058047D">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0A6E9DDF" w14:textId="77777777" w:rsidR="00345408" w:rsidRPr="0058047D" w:rsidRDefault="00345408" w:rsidP="00345408">
            <w:pPr>
              <w:pStyle w:val="TableText"/>
              <w:rPr>
                <w:rFonts w:ascii="Tahoma" w:hAnsi="Tahoma" w:cs="Tahoma"/>
                <w:sz w:val="13"/>
              </w:rPr>
            </w:pPr>
            <w:r w:rsidRPr="0058047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0AB3A85" w14:textId="77777777" w:rsidR="00345408" w:rsidRPr="0058047D" w:rsidRDefault="00345408" w:rsidP="00345408">
            <w:pPr>
              <w:pStyle w:val="TableText"/>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FABF8F"/>
            <w:vAlign w:val="center"/>
          </w:tcPr>
          <w:p w14:paraId="53F0D73B" w14:textId="77777777" w:rsidR="00345408" w:rsidRPr="0058047D" w:rsidRDefault="00345408" w:rsidP="00345408">
            <w:pPr>
              <w:pStyle w:val="TableText"/>
              <w:rPr>
                <w:rFonts w:ascii="Tahoma" w:hAnsi="Tahoma" w:cs="Tahoma"/>
                <w:sz w:val="13"/>
              </w:rPr>
            </w:pPr>
            <w:r w:rsidRPr="0058047D">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597DE73F" w14:textId="77777777" w:rsidR="00345408" w:rsidRPr="0058047D" w:rsidRDefault="00345408" w:rsidP="00345408">
            <w:pPr>
              <w:pStyle w:val="TableText"/>
              <w:rPr>
                <w:rFonts w:ascii="Tahoma" w:hAnsi="Tahoma" w:cs="Tahoma"/>
                <w:sz w:val="13"/>
              </w:rPr>
            </w:pPr>
            <w:r w:rsidRPr="0058047D">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4E1D3C8B" w14:textId="77777777" w:rsidR="00345408" w:rsidRPr="0058047D" w:rsidRDefault="00345408" w:rsidP="00345408">
            <w:pPr>
              <w:pStyle w:val="TableText"/>
              <w:rPr>
                <w:rFonts w:ascii="Tahoma" w:hAnsi="Tahoma" w:cs="Tahoma"/>
                <w:sz w:val="13"/>
              </w:rPr>
            </w:pPr>
            <w:r w:rsidRPr="0058047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2A88679" w14:textId="77777777" w:rsidR="00345408" w:rsidRPr="0058047D" w:rsidRDefault="00345408" w:rsidP="00345408">
            <w:pPr>
              <w:pStyle w:val="TableText"/>
              <w:rPr>
                <w:rFonts w:ascii="Tahoma" w:hAnsi="Tahoma" w:cs="Tahoma"/>
                <w:sz w:val="13"/>
              </w:rPr>
            </w:pPr>
            <w:r w:rsidRPr="0058047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63BB1F7" w14:textId="77777777" w:rsidR="00345408" w:rsidRPr="0058047D" w:rsidRDefault="00345408" w:rsidP="00345408">
            <w:pPr>
              <w:pStyle w:val="TableText"/>
              <w:rPr>
                <w:rFonts w:ascii="Tahoma" w:hAnsi="Tahoma" w:cs="Tahoma"/>
                <w:sz w:val="13"/>
              </w:rPr>
            </w:pPr>
            <w:r w:rsidRPr="0058047D">
              <w:rPr>
                <w:rFonts w:ascii="Tahoma" w:hAnsi="Tahoma" w:cs="Tahoma"/>
                <w:sz w:val="13"/>
              </w:rPr>
              <w:t>P</w:t>
            </w:r>
          </w:p>
        </w:tc>
        <w:tc>
          <w:tcPr>
            <w:tcW w:w="502" w:type="dxa"/>
            <w:tcBorders>
              <w:bottom w:val="single" w:sz="4" w:space="0" w:color="auto"/>
            </w:tcBorders>
            <w:shd w:val="clear" w:color="auto" w:fill="FABF8F"/>
            <w:vAlign w:val="center"/>
          </w:tcPr>
          <w:p w14:paraId="5B271AAF" w14:textId="77777777" w:rsidR="00345408" w:rsidRPr="0058047D" w:rsidRDefault="00345408" w:rsidP="00345408">
            <w:pPr>
              <w:pStyle w:val="TableText"/>
              <w:rPr>
                <w:rFonts w:ascii="Tahoma" w:hAnsi="Tahoma" w:cs="Tahoma"/>
                <w:sz w:val="13"/>
              </w:rPr>
            </w:pPr>
          </w:p>
        </w:tc>
        <w:tc>
          <w:tcPr>
            <w:tcW w:w="488" w:type="dxa"/>
            <w:tcBorders>
              <w:bottom w:val="single" w:sz="4" w:space="0" w:color="auto"/>
            </w:tcBorders>
            <w:shd w:val="clear" w:color="auto" w:fill="FABF8F"/>
            <w:vAlign w:val="center"/>
          </w:tcPr>
          <w:p w14:paraId="06379022" w14:textId="77777777" w:rsidR="00345408" w:rsidRPr="0058047D"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1CA112B0" w14:textId="77777777" w:rsidR="00345408" w:rsidRPr="0058047D" w:rsidRDefault="00345408" w:rsidP="00345408">
            <w:pPr>
              <w:pStyle w:val="TableText"/>
              <w:rPr>
                <w:rFonts w:ascii="Tahoma" w:hAnsi="Tahoma" w:cs="Tahoma"/>
                <w:sz w:val="13"/>
              </w:rPr>
            </w:pPr>
            <w:r w:rsidRPr="0058047D">
              <w:rPr>
                <w:rFonts w:ascii="Tahoma" w:hAnsi="Tahoma" w:cs="Tahoma"/>
                <w:sz w:val="13"/>
              </w:rPr>
              <w:t>A</w:t>
            </w:r>
          </w:p>
        </w:tc>
      </w:tr>
      <w:tr w:rsidR="00345408" w:rsidRPr="0058047D" w14:paraId="40F9C332" w14:textId="77777777" w:rsidTr="00C86F50">
        <w:trPr>
          <w:trHeight w:val="145"/>
        </w:trPr>
        <w:tc>
          <w:tcPr>
            <w:tcW w:w="2483" w:type="dxa"/>
            <w:tcBorders>
              <w:bottom w:val="single" w:sz="4" w:space="0" w:color="auto"/>
            </w:tcBorders>
            <w:shd w:val="clear" w:color="auto" w:fill="auto"/>
          </w:tcPr>
          <w:p w14:paraId="1B7C73AB" w14:textId="77777777" w:rsidR="00345408" w:rsidRPr="0058047D" w:rsidRDefault="00345408" w:rsidP="00345408">
            <w:pPr>
              <w:pStyle w:val="ProductNames"/>
              <w:rPr>
                <w:rFonts w:ascii="Tahoma" w:hAnsi="Tahoma" w:cs="Tahoma"/>
                <w:sz w:val="14"/>
              </w:rPr>
            </w:pPr>
            <w:bookmarkStart w:id="125" w:name="_Toc371663312"/>
            <w:r w:rsidRPr="0058047D">
              <w:rPr>
                <w:rFonts w:ascii="Tahoma" w:hAnsi="Tahoma" w:cs="Tahoma"/>
                <w:sz w:val="14"/>
              </w:rPr>
              <w:t>Windows Intune (Per Dispositivo)</w:t>
            </w:r>
            <w:bookmarkEnd w:id="125"/>
          </w:p>
        </w:tc>
        <w:tc>
          <w:tcPr>
            <w:tcW w:w="487" w:type="dxa"/>
            <w:tcBorders>
              <w:bottom w:val="single" w:sz="4" w:space="0" w:color="auto"/>
            </w:tcBorders>
            <w:shd w:val="clear" w:color="auto" w:fill="auto"/>
            <w:vAlign w:val="center"/>
          </w:tcPr>
          <w:p w14:paraId="106E2E02" w14:textId="77777777" w:rsidR="00345408" w:rsidRPr="0058047D" w:rsidRDefault="00C86F50" w:rsidP="006A6EB4">
            <w:pPr>
              <w:pStyle w:val="TableText"/>
              <w:widowControl w:val="0"/>
            </w:pPr>
            <w:hyperlink w:anchor="_33_Componente_Aggiuntivo" w:history="1">
              <w:r w:rsidR="00BF5FC6" w:rsidRPr="0058047D">
                <w:rPr>
                  <w:rStyle w:val="Hyperlink"/>
                  <w:b/>
                  <w:sz w:val="13"/>
                  <w:szCs w:val="13"/>
                </w:rPr>
                <w:t>33</w:t>
              </w:r>
            </w:hyperlink>
          </w:p>
        </w:tc>
        <w:tc>
          <w:tcPr>
            <w:tcW w:w="450" w:type="dxa"/>
            <w:tcBorders>
              <w:bottom w:val="single" w:sz="4" w:space="0" w:color="auto"/>
            </w:tcBorders>
            <w:shd w:val="clear" w:color="auto" w:fill="auto"/>
            <w:vAlign w:val="center"/>
          </w:tcPr>
          <w:p w14:paraId="6DE7AFC2" w14:textId="77777777" w:rsidR="00345408" w:rsidRPr="0058047D" w:rsidRDefault="00345408" w:rsidP="00345408">
            <w:pPr>
              <w:pStyle w:val="TableText"/>
              <w:rPr>
                <w:rFonts w:ascii="Tahoma" w:hAnsi="Tahoma" w:cs="Tahoma"/>
                <w:sz w:val="13"/>
              </w:rPr>
            </w:pPr>
            <w:r w:rsidRPr="0058047D">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14:paraId="6C4E85AF" w14:textId="77777777" w:rsidR="00345408" w:rsidRPr="0058047D" w:rsidRDefault="00345408" w:rsidP="00345408">
            <w:pPr>
              <w:pStyle w:val="TableText"/>
              <w:rPr>
                <w:rFonts w:ascii="Tahoma" w:hAnsi="Tahoma" w:cs="Tahoma"/>
                <w:sz w:val="13"/>
              </w:rPr>
            </w:pPr>
          </w:p>
        </w:tc>
        <w:tc>
          <w:tcPr>
            <w:tcW w:w="2936" w:type="dxa"/>
            <w:gridSpan w:val="12"/>
            <w:tcBorders>
              <w:left w:val="single" w:sz="18" w:space="0" w:color="auto"/>
              <w:bottom w:val="single" w:sz="4" w:space="0" w:color="auto"/>
              <w:right w:val="single" w:sz="18" w:space="0" w:color="auto"/>
            </w:tcBorders>
            <w:shd w:val="clear" w:color="auto" w:fill="auto"/>
            <w:vAlign w:val="center"/>
          </w:tcPr>
          <w:p w14:paraId="1B6B6D1C" w14:textId="77777777" w:rsidR="00345408" w:rsidRPr="0058047D"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3457942" w14:textId="77777777" w:rsidR="00345408" w:rsidRPr="0058047D"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1B49814A" w14:textId="77777777" w:rsidR="00345408" w:rsidRPr="0058047D"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DF1C315" w14:textId="77777777" w:rsidR="00345408" w:rsidRPr="0058047D"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ED5ED3E" w14:textId="77777777" w:rsidR="00345408" w:rsidRPr="0058047D"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FFB6407" w14:textId="77777777" w:rsidR="00345408" w:rsidRPr="0058047D"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A3927CE" w14:textId="77777777" w:rsidR="00345408" w:rsidRPr="0058047D" w:rsidRDefault="00345408" w:rsidP="00345408">
            <w:pPr>
              <w:pStyle w:val="TableText"/>
              <w:rPr>
                <w:rFonts w:ascii="Tahoma" w:hAnsi="Tahoma" w:cs="Tahoma"/>
                <w:sz w:val="13"/>
              </w:rPr>
            </w:pPr>
          </w:p>
        </w:tc>
        <w:tc>
          <w:tcPr>
            <w:tcW w:w="502" w:type="dxa"/>
            <w:tcBorders>
              <w:bottom w:val="single" w:sz="4" w:space="0" w:color="auto"/>
            </w:tcBorders>
            <w:shd w:val="clear" w:color="auto" w:fill="auto"/>
            <w:vAlign w:val="center"/>
          </w:tcPr>
          <w:p w14:paraId="4DB8B359" w14:textId="77777777" w:rsidR="00345408" w:rsidRPr="0058047D" w:rsidRDefault="00345408" w:rsidP="00345408">
            <w:pPr>
              <w:pStyle w:val="TableText"/>
              <w:rPr>
                <w:rFonts w:ascii="Tahoma" w:hAnsi="Tahoma" w:cs="Tahoma"/>
                <w:sz w:val="13"/>
              </w:rPr>
            </w:pPr>
          </w:p>
        </w:tc>
        <w:tc>
          <w:tcPr>
            <w:tcW w:w="488" w:type="dxa"/>
            <w:tcBorders>
              <w:bottom w:val="single" w:sz="4" w:space="0" w:color="auto"/>
            </w:tcBorders>
            <w:shd w:val="clear" w:color="auto" w:fill="auto"/>
            <w:vAlign w:val="center"/>
          </w:tcPr>
          <w:p w14:paraId="41C528EF" w14:textId="77777777" w:rsidR="00345408" w:rsidRPr="0058047D"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43C03D3A" w14:textId="77777777" w:rsidR="00345408" w:rsidRPr="0058047D" w:rsidRDefault="00345408" w:rsidP="00345408">
            <w:pPr>
              <w:pStyle w:val="TableText"/>
              <w:rPr>
                <w:rFonts w:ascii="Tahoma" w:hAnsi="Tahoma" w:cs="Tahoma"/>
                <w:sz w:val="13"/>
              </w:rPr>
            </w:pPr>
          </w:p>
        </w:tc>
      </w:tr>
      <w:tr w:rsidR="00345408" w:rsidRPr="0058047D" w14:paraId="297BC748" w14:textId="77777777" w:rsidTr="00C86F50">
        <w:trPr>
          <w:trHeight w:val="145"/>
        </w:trPr>
        <w:tc>
          <w:tcPr>
            <w:tcW w:w="2483" w:type="dxa"/>
            <w:tcBorders>
              <w:bottom w:val="single" w:sz="4" w:space="0" w:color="auto"/>
            </w:tcBorders>
            <w:shd w:val="clear" w:color="auto" w:fill="FABF8F"/>
          </w:tcPr>
          <w:p w14:paraId="48C228EF" w14:textId="77777777" w:rsidR="00345408" w:rsidRPr="003F471F" w:rsidRDefault="00345408" w:rsidP="00345408">
            <w:pPr>
              <w:pStyle w:val="ProductNames"/>
              <w:rPr>
                <w:rFonts w:ascii="Tahoma" w:hAnsi="Tahoma" w:cs="Tahoma"/>
                <w:sz w:val="14"/>
                <w:lang w:val="it-IT"/>
              </w:rPr>
            </w:pPr>
            <w:bookmarkStart w:id="126" w:name="_Toc371663313"/>
            <w:r w:rsidRPr="003F471F">
              <w:rPr>
                <w:rFonts w:ascii="Tahoma" w:hAnsi="Tahoma" w:cs="Tahoma"/>
                <w:sz w:val="14"/>
                <w:lang w:val="it-IT"/>
              </w:rPr>
              <w:t>Componente Aggiuntivo per Windows Intune (Per Dispositivo)</w:t>
            </w:r>
            <w:bookmarkEnd w:id="126"/>
          </w:p>
        </w:tc>
        <w:tc>
          <w:tcPr>
            <w:tcW w:w="487" w:type="dxa"/>
            <w:tcBorders>
              <w:bottom w:val="single" w:sz="4" w:space="0" w:color="auto"/>
            </w:tcBorders>
            <w:shd w:val="clear" w:color="auto" w:fill="FABF8F"/>
            <w:vAlign w:val="center"/>
          </w:tcPr>
          <w:p w14:paraId="5BA93582" w14:textId="77777777" w:rsidR="00345408" w:rsidRPr="0058047D" w:rsidRDefault="00C86F50" w:rsidP="00345408">
            <w:pPr>
              <w:pStyle w:val="TableText"/>
              <w:widowControl w:val="0"/>
            </w:pPr>
            <w:hyperlink w:anchor="_98_Windows_Multipoint" w:history="1">
              <w:r w:rsidR="00BF5FC6" w:rsidRPr="0058047D">
                <w:rPr>
                  <w:rStyle w:val="Hyperlink"/>
                  <w:b/>
                  <w:sz w:val="13"/>
                  <w:szCs w:val="13"/>
                </w:rPr>
                <w:t>33</w:t>
              </w:r>
            </w:hyperlink>
            <w:hyperlink w:anchor="Sys_27WindowsVistaProUpgrade" w:history="1"/>
          </w:p>
        </w:tc>
        <w:tc>
          <w:tcPr>
            <w:tcW w:w="450" w:type="dxa"/>
            <w:tcBorders>
              <w:bottom w:val="single" w:sz="4" w:space="0" w:color="auto"/>
            </w:tcBorders>
            <w:shd w:val="clear" w:color="auto" w:fill="FABF8F"/>
            <w:vAlign w:val="center"/>
          </w:tcPr>
          <w:p w14:paraId="0576B085" w14:textId="77777777" w:rsidR="00345408" w:rsidRPr="0058047D" w:rsidRDefault="00345408" w:rsidP="00345408">
            <w:pPr>
              <w:pStyle w:val="TableText"/>
              <w:rPr>
                <w:rFonts w:ascii="Tahoma" w:hAnsi="Tahoma" w:cs="Tahoma"/>
                <w:sz w:val="13"/>
              </w:rPr>
            </w:pPr>
            <w:r w:rsidRPr="0058047D">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355E8E32" w14:textId="77777777" w:rsidR="00345408" w:rsidRPr="0058047D" w:rsidRDefault="00345408" w:rsidP="00345408">
            <w:pPr>
              <w:pStyle w:val="TableText"/>
              <w:rPr>
                <w:rFonts w:ascii="Tahoma" w:hAnsi="Tahoma" w:cs="Tahoma"/>
                <w:sz w:val="13"/>
              </w:rPr>
            </w:pPr>
          </w:p>
        </w:tc>
        <w:tc>
          <w:tcPr>
            <w:tcW w:w="2936" w:type="dxa"/>
            <w:gridSpan w:val="12"/>
            <w:tcBorders>
              <w:left w:val="single" w:sz="18" w:space="0" w:color="auto"/>
              <w:bottom w:val="single" w:sz="4" w:space="0" w:color="auto"/>
              <w:right w:val="single" w:sz="18" w:space="0" w:color="auto"/>
            </w:tcBorders>
            <w:shd w:val="clear" w:color="auto" w:fill="FABF8F"/>
            <w:vAlign w:val="center"/>
          </w:tcPr>
          <w:p w14:paraId="0781F0A1" w14:textId="77777777" w:rsidR="00345408" w:rsidRPr="0058047D"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EF90983" w14:textId="77777777" w:rsidR="00345408" w:rsidRPr="0058047D"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52EEA2D5" w14:textId="77777777" w:rsidR="00345408" w:rsidRPr="0058047D"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7E9A0B8" w14:textId="77777777" w:rsidR="00345408" w:rsidRPr="0058047D"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8C7766E" w14:textId="77777777" w:rsidR="00345408" w:rsidRPr="0058047D"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7172DA8" w14:textId="77777777" w:rsidR="00345408" w:rsidRPr="0058047D"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F3F5BC0" w14:textId="77777777" w:rsidR="00345408" w:rsidRPr="0058047D" w:rsidRDefault="00345408" w:rsidP="00345408">
            <w:pPr>
              <w:pStyle w:val="TableText"/>
              <w:rPr>
                <w:rFonts w:ascii="Tahoma" w:hAnsi="Tahoma" w:cs="Tahoma"/>
                <w:sz w:val="13"/>
              </w:rPr>
            </w:pPr>
          </w:p>
        </w:tc>
        <w:tc>
          <w:tcPr>
            <w:tcW w:w="502" w:type="dxa"/>
            <w:tcBorders>
              <w:bottom w:val="single" w:sz="4" w:space="0" w:color="auto"/>
            </w:tcBorders>
            <w:shd w:val="clear" w:color="auto" w:fill="FABF8F"/>
            <w:vAlign w:val="center"/>
          </w:tcPr>
          <w:p w14:paraId="7CAFA6CB" w14:textId="77777777" w:rsidR="00345408" w:rsidRPr="0058047D" w:rsidRDefault="00345408" w:rsidP="00345408">
            <w:pPr>
              <w:pStyle w:val="TableText"/>
              <w:rPr>
                <w:rFonts w:ascii="Tahoma" w:hAnsi="Tahoma" w:cs="Tahoma"/>
                <w:sz w:val="13"/>
              </w:rPr>
            </w:pPr>
          </w:p>
        </w:tc>
        <w:tc>
          <w:tcPr>
            <w:tcW w:w="488" w:type="dxa"/>
            <w:tcBorders>
              <w:bottom w:val="single" w:sz="4" w:space="0" w:color="auto"/>
            </w:tcBorders>
            <w:shd w:val="clear" w:color="auto" w:fill="FABF8F"/>
            <w:vAlign w:val="center"/>
          </w:tcPr>
          <w:p w14:paraId="799EB5F9" w14:textId="77777777" w:rsidR="00345408" w:rsidRPr="0058047D"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58B817F4" w14:textId="77777777" w:rsidR="00345408" w:rsidRPr="0058047D" w:rsidRDefault="00345408" w:rsidP="00345408">
            <w:pPr>
              <w:pStyle w:val="TableText"/>
              <w:rPr>
                <w:rFonts w:ascii="Tahoma" w:hAnsi="Tahoma" w:cs="Tahoma"/>
                <w:sz w:val="13"/>
              </w:rPr>
            </w:pPr>
          </w:p>
        </w:tc>
      </w:tr>
      <w:tr w:rsidR="00345408" w:rsidRPr="0058047D" w14:paraId="3665575F" w14:textId="77777777" w:rsidTr="00C86F50">
        <w:trPr>
          <w:trHeight w:val="145"/>
        </w:trPr>
        <w:tc>
          <w:tcPr>
            <w:tcW w:w="2483" w:type="dxa"/>
            <w:tcBorders>
              <w:bottom w:val="single" w:sz="4" w:space="0" w:color="auto"/>
            </w:tcBorders>
            <w:shd w:val="clear" w:color="auto" w:fill="auto"/>
          </w:tcPr>
          <w:p w14:paraId="0C98CE41" w14:textId="77777777" w:rsidR="00345408" w:rsidRPr="0058047D" w:rsidRDefault="00345408" w:rsidP="00345408">
            <w:pPr>
              <w:pStyle w:val="ProductNames"/>
              <w:rPr>
                <w:rFonts w:ascii="Tahoma" w:hAnsi="Tahoma" w:cs="Tahoma"/>
                <w:sz w:val="14"/>
              </w:rPr>
            </w:pPr>
            <w:bookmarkStart w:id="127" w:name="_Toc371663314"/>
            <w:r w:rsidRPr="0058047D">
              <w:rPr>
                <w:rFonts w:ascii="Tahoma" w:hAnsi="Tahoma" w:cs="Tahoma"/>
                <w:sz w:val="14"/>
              </w:rPr>
              <w:t>Windows Virtual Desktop Access (VDA)</w:t>
            </w:r>
            <w:bookmarkEnd w:id="127"/>
          </w:p>
        </w:tc>
        <w:tc>
          <w:tcPr>
            <w:tcW w:w="487" w:type="dxa"/>
            <w:tcBorders>
              <w:bottom w:val="single" w:sz="4" w:space="0" w:color="auto"/>
            </w:tcBorders>
            <w:shd w:val="clear" w:color="auto" w:fill="auto"/>
            <w:vAlign w:val="center"/>
          </w:tcPr>
          <w:p w14:paraId="5D2D56D3" w14:textId="77777777" w:rsidR="00345408" w:rsidRPr="0058047D" w:rsidRDefault="00345408" w:rsidP="00345408">
            <w:pPr>
              <w:pStyle w:val="TableText"/>
              <w:widowControl w:val="0"/>
            </w:pPr>
          </w:p>
        </w:tc>
        <w:tc>
          <w:tcPr>
            <w:tcW w:w="450" w:type="dxa"/>
            <w:tcBorders>
              <w:bottom w:val="single" w:sz="4" w:space="0" w:color="auto"/>
            </w:tcBorders>
            <w:shd w:val="clear" w:color="auto" w:fill="auto"/>
            <w:vAlign w:val="center"/>
          </w:tcPr>
          <w:p w14:paraId="2F68B3DF" w14:textId="77777777" w:rsidR="00345408" w:rsidRPr="0058047D" w:rsidRDefault="00345408" w:rsidP="00345408">
            <w:pPr>
              <w:pStyle w:val="TableText"/>
              <w:rPr>
                <w:rFonts w:ascii="Tahoma" w:hAnsi="Tahoma" w:cs="Tahoma"/>
                <w:sz w:val="13"/>
              </w:rPr>
            </w:pPr>
            <w:r w:rsidRPr="0058047D">
              <w:rPr>
                <w:rFonts w:ascii="Tahoma" w:hAnsi="Tahoma" w:cs="Tahoma"/>
                <w:sz w:val="13"/>
              </w:rPr>
              <w:t>07/10</w:t>
            </w:r>
          </w:p>
        </w:tc>
        <w:tc>
          <w:tcPr>
            <w:tcW w:w="360" w:type="dxa"/>
            <w:tcBorders>
              <w:bottom w:val="single" w:sz="4" w:space="0" w:color="auto"/>
              <w:right w:val="single" w:sz="18" w:space="0" w:color="auto"/>
            </w:tcBorders>
            <w:shd w:val="clear" w:color="auto" w:fill="auto"/>
            <w:vAlign w:val="center"/>
          </w:tcPr>
          <w:p w14:paraId="5EC935F8" w14:textId="77777777" w:rsidR="00345408" w:rsidRPr="0058047D" w:rsidRDefault="00345408" w:rsidP="00345408">
            <w:pPr>
              <w:pStyle w:val="TableText"/>
              <w:rPr>
                <w:rFonts w:ascii="Tahoma" w:hAnsi="Tahoma" w:cs="Tahoma"/>
                <w:sz w:val="13"/>
              </w:rPr>
            </w:pPr>
            <w:r w:rsidRPr="0058047D">
              <w:rPr>
                <w:rFonts w:ascii="Tahoma" w:hAnsi="Tahoma" w:cs="Tahoma"/>
                <w:sz w:val="13"/>
              </w:rPr>
              <w:t>DT</w:t>
            </w:r>
          </w:p>
        </w:tc>
        <w:tc>
          <w:tcPr>
            <w:tcW w:w="2936" w:type="dxa"/>
            <w:gridSpan w:val="12"/>
            <w:tcBorders>
              <w:left w:val="single" w:sz="18" w:space="0" w:color="auto"/>
              <w:bottom w:val="single" w:sz="4" w:space="0" w:color="auto"/>
              <w:right w:val="single" w:sz="18" w:space="0" w:color="auto"/>
            </w:tcBorders>
            <w:shd w:val="clear" w:color="auto" w:fill="auto"/>
            <w:vAlign w:val="center"/>
          </w:tcPr>
          <w:p w14:paraId="682861A1" w14:textId="77777777" w:rsidR="00345408" w:rsidRPr="0058047D" w:rsidRDefault="00345408" w:rsidP="00345408">
            <w:pPr>
              <w:pStyle w:val="TableText"/>
              <w:rPr>
                <w:rFonts w:ascii="Tahoma" w:hAnsi="Tahoma" w:cs="Tahoma"/>
                <w:sz w:val="13"/>
              </w:rPr>
            </w:pPr>
            <w:r w:rsidRPr="0058047D">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703644F6" w14:textId="77777777" w:rsidR="00345408" w:rsidRPr="0058047D"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6D008BA6" w14:textId="77777777" w:rsidR="00345408" w:rsidRPr="0058047D"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8FA49ED" w14:textId="77777777" w:rsidR="00345408" w:rsidRPr="0058047D"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4F2F538" w14:textId="77777777" w:rsidR="00345408" w:rsidRPr="0058047D" w:rsidRDefault="00345408" w:rsidP="00914B25">
            <w:pPr>
              <w:pStyle w:val="TableText"/>
              <w:rPr>
                <w:rFonts w:ascii="Tahoma" w:hAnsi="Tahoma" w:cs="Tahoma"/>
                <w:sz w:val="13"/>
              </w:rPr>
            </w:pPr>
            <w:r w:rsidRPr="0058047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37B6434E" w14:textId="77777777" w:rsidR="00345408" w:rsidRPr="0058047D" w:rsidRDefault="00345408" w:rsidP="00345408">
            <w:pPr>
              <w:pStyle w:val="TableText"/>
              <w:rPr>
                <w:rFonts w:ascii="Tahoma" w:hAnsi="Tahoma" w:cs="Tahoma"/>
                <w:sz w:val="13"/>
              </w:rPr>
            </w:pPr>
            <w:r w:rsidRPr="0058047D">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auto"/>
            <w:vAlign w:val="center"/>
          </w:tcPr>
          <w:p w14:paraId="6640D8A2" w14:textId="77777777" w:rsidR="00345408" w:rsidRPr="0058047D" w:rsidRDefault="00345408" w:rsidP="00345408">
            <w:pPr>
              <w:pStyle w:val="TableText"/>
              <w:rPr>
                <w:rFonts w:ascii="Tahoma" w:hAnsi="Tahoma" w:cs="Tahoma"/>
                <w:sz w:val="13"/>
              </w:rPr>
            </w:pPr>
            <w:r w:rsidRPr="0058047D">
              <w:rPr>
                <w:rFonts w:ascii="Tahoma" w:hAnsi="Tahoma" w:cs="Tahoma"/>
                <w:sz w:val="13"/>
              </w:rPr>
              <w:t>P</w:t>
            </w:r>
          </w:p>
        </w:tc>
        <w:tc>
          <w:tcPr>
            <w:tcW w:w="502" w:type="dxa"/>
            <w:tcBorders>
              <w:bottom w:val="single" w:sz="4" w:space="0" w:color="auto"/>
            </w:tcBorders>
            <w:shd w:val="clear" w:color="auto" w:fill="auto"/>
            <w:vAlign w:val="center"/>
          </w:tcPr>
          <w:p w14:paraId="60C39BC3" w14:textId="77777777" w:rsidR="00345408" w:rsidRPr="0058047D" w:rsidRDefault="00345408" w:rsidP="00345408">
            <w:pPr>
              <w:pStyle w:val="TableText"/>
              <w:rPr>
                <w:rFonts w:ascii="Tahoma" w:hAnsi="Tahoma" w:cs="Tahoma"/>
                <w:sz w:val="13"/>
              </w:rPr>
            </w:pPr>
            <w:r w:rsidRPr="0058047D">
              <w:rPr>
                <w:rFonts w:ascii="Tahoma" w:hAnsi="Tahoma" w:cs="Tahoma"/>
                <w:sz w:val="13"/>
              </w:rPr>
              <w:t>A</w:t>
            </w:r>
          </w:p>
        </w:tc>
        <w:tc>
          <w:tcPr>
            <w:tcW w:w="488" w:type="dxa"/>
            <w:tcBorders>
              <w:bottom w:val="single" w:sz="4" w:space="0" w:color="auto"/>
            </w:tcBorders>
            <w:shd w:val="clear" w:color="auto" w:fill="auto"/>
            <w:vAlign w:val="center"/>
          </w:tcPr>
          <w:p w14:paraId="4B3B6AAB" w14:textId="77777777" w:rsidR="00345408" w:rsidRPr="0058047D"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4178125D" w14:textId="77777777" w:rsidR="00345408" w:rsidRPr="0058047D" w:rsidRDefault="00345408" w:rsidP="00345408">
            <w:pPr>
              <w:pStyle w:val="TableText"/>
              <w:rPr>
                <w:rFonts w:ascii="Tahoma" w:hAnsi="Tahoma" w:cs="Tahoma"/>
                <w:sz w:val="13"/>
              </w:rPr>
            </w:pPr>
          </w:p>
        </w:tc>
      </w:tr>
      <w:bookmarkEnd w:id="117"/>
    </w:tbl>
    <w:p w14:paraId="68D5AC54" w14:textId="77777777" w:rsidR="00091558" w:rsidRPr="00D5491B" w:rsidRDefault="00091558">
      <w:pPr>
        <w:pStyle w:val="ProductPool"/>
        <w:rPr>
          <w:rFonts w:ascii="Tahoma" w:hAnsi="Tahoma" w:cs="Tahoma"/>
          <w:b w:val="0"/>
          <w:sz w:val="18"/>
          <w:szCs w:val="18"/>
        </w:rPr>
      </w:pPr>
    </w:p>
    <w:p w14:paraId="68410408" w14:textId="77777777" w:rsidR="0021637C" w:rsidRPr="00D5491B" w:rsidRDefault="0021637C" w:rsidP="004E292A">
      <w:pPr>
        <w:pStyle w:val="Heading3"/>
        <w:rPr>
          <w:rFonts w:ascii="Tahoma" w:hAnsi="Tahoma" w:cs="Tahoma"/>
          <w:b w:val="0"/>
          <w:sz w:val="18"/>
          <w:szCs w:val="18"/>
        </w:rPr>
      </w:pPr>
    </w:p>
    <w:p w14:paraId="214487DE" w14:textId="77777777" w:rsidR="00023FE7" w:rsidRPr="0058047D" w:rsidRDefault="00023FE7" w:rsidP="004E292A">
      <w:pPr>
        <w:pStyle w:val="Heading3"/>
      </w:pPr>
      <w:bookmarkStart w:id="128" w:name="_Toc336337908"/>
      <w:bookmarkStart w:id="129" w:name="_Toc371663315"/>
      <w:r w:rsidRPr="0058047D">
        <w:rPr>
          <w:rFonts w:ascii="Tahoma" w:hAnsi="Tahoma" w:cs="Tahoma"/>
          <w:sz w:val="22"/>
          <w:szCs w:val="22"/>
        </w:rPr>
        <w:t>POOL DI SERVER</w:t>
      </w:r>
      <w:bookmarkEnd w:id="128"/>
      <w:bookmarkEnd w:id="129"/>
    </w:p>
    <w:p w14:paraId="5D1D04C5" w14:textId="77777777" w:rsidR="00023FE7" w:rsidRPr="0058047D" w:rsidRDefault="00023FE7"/>
    <w:tbl>
      <w:tblPr>
        <w:tblW w:w="10933"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13"/>
        <w:gridCol w:w="2606"/>
        <w:gridCol w:w="554"/>
        <w:gridCol w:w="516"/>
        <w:gridCol w:w="358"/>
        <w:gridCol w:w="330"/>
        <w:gridCol w:w="324"/>
        <w:gridCol w:w="366"/>
        <w:gridCol w:w="90"/>
        <w:gridCol w:w="366"/>
        <w:gridCol w:w="450"/>
        <w:gridCol w:w="450"/>
        <w:gridCol w:w="336"/>
        <w:gridCol w:w="477"/>
        <w:gridCol w:w="450"/>
        <w:gridCol w:w="414"/>
        <w:gridCol w:w="468"/>
        <w:gridCol w:w="477"/>
        <w:gridCol w:w="324"/>
        <w:gridCol w:w="655"/>
        <w:gridCol w:w="504"/>
        <w:gridCol w:w="405"/>
      </w:tblGrid>
      <w:tr w:rsidR="00F96F42" w:rsidRPr="0058047D" w14:paraId="2BECD63E" w14:textId="77777777" w:rsidTr="00C86F50">
        <w:trPr>
          <w:cantSplit/>
          <w:trHeight w:val="389"/>
          <w:tblHeader/>
        </w:trPr>
        <w:tc>
          <w:tcPr>
            <w:tcW w:w="2619" w:type="dxa"/>
            <w:gridSpan w:val="2"/>
            <w:vMerge w:val="restart"/>
            <w:tcBorders>
              <w:top w:val="single" w:sz="4" w:space="0" w:color="FFFFFF"/>
              <w:left w:val="single" w:sz="4" w:space="0" w:color="FFFFFF"/>
            </w:tcBorders>
          </w:tcPr>
          <w:p w14:paraId="3D4CF174" w14:textId="77777777" w:rsidR="00F96F42" w:rsidRPr="0058047D" w:rsidRDefault="00F96F42">
            <w:pPr>
              <w:rPr>
                <w:rFonts w:cs="Tahoma"/>
                <w:sz w:val="20"/>
              </w:rPr>
            </w:pPr>
            <w:r w:rsidRPr="0058047D">
              <w:rPr>
                <w:rFonts w:cs="Tahoma"/>
                <w:noProof/>
              </w:rPr>
              <mc:AlternateContent>
                <mc:Choice Requires="wps">
                  <w:drawing>
                    <wp:anchor distT="0" distB="0" distL="114300" distR="114300" simplePos="0" relativeHeight="251670531" behindDoc="0" locked="0" layoutInCell="1" allowOverlap="1" wp14:anchorId="0E13C909" wp14:editId="2814174B">
                      <wp:simplePos x="0" y="0"/>
                      <wp:positionH relativeFrom="column">
                        <wp:posOffset>1635125</wp:posOffset>
                      </wp:positionH>
                      <wp:positionV relativeFrom="paragraph">
                        <wp:posOffset>472136</wp:posOffset>
                      </wp:positionV>
                      <wp:extent cx="374650" cy="209550"/>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650"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6F521B" w14:textId="77777777" w:rsidR="00C86F50" w:rsidRDefault="00C86F50">
                                  <w:pPr>
                                    <w:rPr>
                                      <w:color w:val="0000FF"/>
                                      <w:sz w:val="20"/>
                                    </w:rPr>
                                  </w:pPr>
                                  <w:r>
                                    <w:rPr>
                                      <w:rFonts w:cs="Tahoma"/>
                                      <w:b/>
                                      <w:color w:val="0000FF"/>
                                      <w:sz w:val="8"/>
                                    </w:rPr>
                                    <w:t>(Ctrl + Clic)</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13C909" id="Text Box 64" o:spid="_x0000_s1028" type="#_x0000_t202" style="position:absolute;margin-left:128.75pt;margin-top:37.2pt;width:29.5pt;height:16.5pt;z-index:25167053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QmatwIAAMA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" filled="f" stroked="f">
                      <v:textbox>
                        <w:txbxContent>
                          <w:p w14:paraId="356F521B" w14:textId="77777777" w:rsidR="00C86F50" w:rsidRDefault="00C86F50">
                            <w:pPr>
                              <w:rPr>
                                <w:color w:val="0000FF"/>
                                <w:sz w:val="20"/>
                              </w:rPr>
                            </w:pPr>
                            <w:r>
                              <w:rPr>
                                <w:rFonts w:cs="Tahoma"/>
                                <w:b/>
                                <w:color w:val="0000FF"/>
                                <w:sz w:val="8"/>
                              </w:rPr>
                              <w:t>(Ctrl + Clic)</w:t>
                            </w:r>
                          </w:p>
                        </w:txbxContent>
                      </v:textbox>
                    </v:shape>
                  </w:pict>
                </mc:Fallback>
              </mc:AlternateContent>
            </w:r>
          </w:p>
        </w:tc>
        <w:tc>
          <w:tcPr>
            <w:tcW w:w="554" w:type="dxa"/>
            <w:vMerge w:val="restart"/>
            <w:tcBorders>
              <w:top w:val="single" w:sz="12" w:space="0" w:color="auto"/>
            </w:tcBorders>
            <w:textDirection w:val="btLr"/>
            <w:vAlign w:val="center"/>
          </w:tcPr>
          <w:p w14:paraId="4BD7BA98" w14:textId="77777777" w:rsidR="00F96F42" w:rsidRPr="0058047D" w:rsidRDefault="00F96F42" w:rsidP="00B421CF">
            <w:pPr>
              <w:pStyle w:val="TableVerticalText"/>
              <w:rPr>
                <w:rFonts w:ascii="Tahoma" w:hAnsi="Tahoma" w:cs="Tahoma"/>
                <w:sz w:val="9"/>
              </w:rPr>
            </w:pPr>
            <w:r w:rsidRPr="0058047D">
              <w:rPr>
                <w:rFonts w:ascii="Tahoma" w:hAnsi="Tahoma" w:cs="Tahoma"/>
                <w:sz w:val="9"/>
              </w:rPr>
              <w:t xml:space="preserve">Note del </w:t>
            </w:r>
            <w:r>
              <w:rPr>
                <w:rFonts w:ascii="Tahoma" w:hAnsi="Tahoma" w:cs="Tahoma"/>
                <w:sz w:val="9"/>
              </w:rPr>
              <w:br/>
            </w:r>
            <w:r w:rsidRPr="0058047D">
              <w:rPr>
                <w:rStyle w:val="Emphasis"/>
              </w:rPr>
              <w:t>Prodotto</w:t>
            </w:r>
          </w:p>
        </w:tc>
        <w:tc>
          <w:tcPr>
            <w:tcW w:w="516" w:type="dxa"/>
            <w:vMerge w:val="restart"/>
            <w:tcBorders>
              <w:top w:val="single" w:sz="12" w:space="0" w:color="auto"/>
            </w:tcBorders>
            <w:textDirection w:val="btLr"/>
          </w:tcPr>
          <w:p w14:paraId="2E1E2FB0" w14:textId="77777777" w:rsidR="00F96F42" w:rsidRPr="0058047D" w:rsidRDefault="00F96F42">
            <w:pPr>
              <w:pStyle w:val="TableVerticalText"/>
            </w:pPr>
          </w:p>
          <w:p w14:paraId="57183DF1" w14:textId="77777777" w:rsidR="00F96F42" w:rsidRPr="0058047D" w:rsidRDefault="00F96F42">
            <w:pPr>
              <w:pStyle w:val="TableVerticalText"/>
              <w:rPr>
                <w:rFonts w:ascii="Tahoma" w:hAnsi="Tahoma" w:cs="Tahoma"/>
                <w:sz w:val="9"/>
              </w:rPr>
            </w:pPr>
            <w:r w:rsidRPr="0058047D">
              <w:rPr>
                <w:rFonts w:ascii="Tahoma" w:hAnsi="Tahoma" w:cs="Tahoma"/>
                <w:sz w:val="9"/>
              </w:rPr>
              <w:t>Data Disponibilità</w:t>
            </w:r>
          </w:p>
        </w:tc>
        <w:tc>
          <w:tcPr>
            <w:tcW w:w="358" w:type="dxa"/>
            <w:vMerge w:val="restart"/>
            <w:tcBorders>
              <w:top w:val="single" w:sz="12" w:space="0" w:color="auto"/>
              <w:right w:val="single" w:sz="18" w:space="0" w:color="auto"/>
            </w:tcBorders>
            <w:textDirection w:val="btLr"/>
            <w:vAlign w:val="center"/>
          </w:tcPr>
          <w:p w14:paraId="580D1992" w14:textId="77777777" w:rsidR="00F96F42" w:rsidRPr="0058047D" w:rsidRDefault="00F96F42">
            <w:pPr>
              <w:pStyle w:val="TableVerticalText"/>
              <w:rPr>
                <w:rFonts w:ascii="Tahoma" w:hAnsi="Tahoma" w:cs="Tahoma"/>
                <w:sz w:val="9"/>
              </w:rPr>
            </w:pPr>
            <w:r w:rsidRPr="0058047D">
              <w:rPr>
                <w:rFonts w:ascii="Tahoma" w:hAnsi="Tahoma" w:cs="Tahoma"/>
                <w:sz w:val="9"/>
              </w:rPr>
              <w:t>SAB / OLB</w:t>
            </w:r>
          </w:p>
        </w:tc>
        <w:tc>
          <w:tcPr>
            <w:tcW w:w="2712" w:type="dxa"/>
            <w:gridSpan w:val="8"/>
            <w:tcBorders>
              <w:top w:val="single" w:sz="12" w:space="0" w:color="auto"/>
              <w:left w:val="single" w:sz="18" w:space="0" w:color="auto"/>
              <w:right w:val="single" w:sz="18" w:space="0" w:color="auto"/>
            </w:tcBorders>
            <w:vAlign w:val="center"/>
          </w:tcPr>
          <w:p w14:paraId="099AD9C6" w14:textId="77777777" w:rsidR="00F96F42" w:rsidRPr="0058047D" w:rsidRDefault="00F96F42">
            <w:pPr>
              <w:pStyle w:val="TableHeadingsBlack"/>
              <w:rPr>
                <w:rFonts w:ascii="Tahoma" w:hAnsi="Tahoma" w:cs="Tahoma"/>
              </w:rPr>
            </w:pPr>
            <w:r w:rsidRPr="0058047D">
              <w:rPr>
                <w:rFonts w:ascii="Tahoma" w:hAnsi="Tahoma" w:cs="Tahoma"/>
              </w:rPr>
              <w:t>Select / Select Plus*</w:t>
            </w:r>
          </w:p>
        </w:tc>
        <w:tc>
          <w:tcPr>
            <w:tcW w:w="1341" w:type="dxa"/>
            <w:gridSpan w:val="3"/>
            <w:tcBorders>
              <w:top w:val="single" w:sz="12" w:space="0" w:color="auto"/>
              <w:left w:val="single" w:sz="18" w:space="0" w:color="auto"/>
              <w:right w:val="single" w:sz="18" w:space="0" w:color="auto"/>
            </w:tcBorders>
            <w:vAlign w:val="center"/>
          </w:tcPr>
          <w:p w14:paraId="14A12B58" w14:textId="77777777" w:rsidR="00F96F42" w:rsidRPr="0058047D" w:rsidRDefault="00F96F42">
            <w:pPr>
              <w:pStyle w:val="TableHeadingsBlack"/>
              <w:rPr>
                <w:rFonts w:ascii="Tahoma" w:hAnsi="Tahoma" w:cs="Tahoma"/>
                <w:szCs w:val="11"/>
              </w:rPr>
            </w:pPr>
            <w:r w:rsidRPr="0058047D">
              <w:rPr>
                <w:rFonts w:ascii="Tahoma" w:hAnsi="Tahoma" w:cs="Tahoma"/>
                <w:szCs w:val="11"/>
              </w:rPr>
              <w:t>Licenza Open</w:t>
            </w:r>
          </w:p>
        </w:tc>
        <w:tc>
          <w:tcPr>
            <w:tcW w:w="468" w:type="dxa"/>
            <w:vMerge w:val="restart"/>
            <w:tcBorders>
              <w:top w:val="single" w:sz="12" w:space="0" w:color="auto"/>
              <w:left w:val="single" w:sz="18" w:space="0" w:color="auto"/>
            </w:tcBorders>
            <w:textDirection w:val="btLr"/>
            <w:vAlign w:val="center"/>
          </w:tcPr>
          <w:p w14:paraId="06087B1B" w14:textId="77777777" w:rsidR="00F96F42" w:rsidRPr="0058047D" w:rsidRDefault="00F96F42" w:rsidP="009323A0">
            <w:pPr>
              <w:pStyle w:val="TableVerticalText"/>
              <w:rPr>
                <w:rFonts w:ascii="Tahoma" w:hAnsi="Tahoma" w:cs="Tahoma"/>
                <w:sz w:val="9"/>
              </w:rPr>
            </w:pPr>
            <w:r w:rsidRPr="0058047D">
              <w:rPr>
                <w:rFonts w:ascii="Tahoma" w:hAnsi="Tahoma" w:cs="Tahoma"/>
                <w:sz w:val="9"/>
              </w:rPr>
              <w:t>Unità Campus/School</w:t>
            </w:r>
          </w:p>
        </w:tc>
        <w:tc>
          <w:tcPr>
            <w:tcW w:w="477" w:type="dxa"/>
            <w:vMerge w:val="restart"/>
            <w:tcBorders>
              <w:top w:val="single" w:sz="12" w:space="0" w:color="auto"/>
              <w:right w:val="single" w:sz="18" w:space="0" w:color="auto"/>
            </w:tcBorders>
            <w:textDirection w:val="btLr"/>
            <w:vAlign w:val="center"/>
          </w:tcPr>
          <w:p w14:paraId="0E676DC3" w14:textId="77777777" w:rsidR="00F96F42" w:rsidRPr="0058047D" w:rsidRDefault="00F96F42" w:rsidP="009323A0">
            <w:pPr>
              <w:pStyle w:val="TableVerticalText"/>
              <w:rPr>
                <w:rFonts w:ascii="Tahoma" w:hAnsi="Tahoma" w:cs="Tahoma"/>
                <w:sz w:val="9"/>
              </w:rPr>
            </w:pPr>
            <w:r w:rsidRPr="0058047D">
              <w:rPr>
                <w:rFonts w:ascii="Tahoma" w:hAnsi="Tahoma" w:cs="Tahoma"/>
                <w:sz w:val="9"/>
              </w:rPr>
              <w:t xml:space="preserve">EA ed </w:t>
            </w:r>
            <w:r w:rsidRPr="0058047D">
              <w:rPr>
                <w:rFonts w:ascii="Tahoma" w:hAnsi="Tahoma" w:cs="Tahoma"/>
                <w:sz w:val="9"/>
              </w:rPr>
              <w:br/>
              <w:t>EA Sub</w:t>
            </w:r>
          </w:p>
        </w:tc>
        <w:tc>
          <w:tcPr>
            <w:tcW w:w="324" w:type="dxa"/>
            <w:vMerge w:val="restart"/>
            <w:tcBorders>
              <w:top w:val="single" w:sz="12" w:space="0" w:color="auto"/>
              <w:left w:val="single" w:sz="18" w:space="0" w:color="auto"/>
              <w:right w:val="single" w:sz="18" w:space="0" w:color="auto"/>
            </w:tcBorders>
            <w:textDirection w:val="btLr"/>
            <w:vAlign w:val="center"/>
          </w:tcPr>
          <w:p w14:paraId="30EA9919" w14:textId="77777777" w:rsidR="00F96F42" w:rsidRPr="0058047D" w:rsidRDefault="00F96F42" w:rsidP="009323A0">
            <w:pPr>
              <w:pStyle w:val="TableVerticalText"/>
              <w:rPr>
                <w:rFonts w:ascii="Tahoma" w:hAnsi="Tahoma" w:cs="Tahoma"/>
                <w:sz w:val="9"/>
              </w:rPr>
            </w:pPr>
            <w:r w:rsidRPr="0058047D">
              <w:rPr>
                <w:rFonts w:ascii="Tahoma" w:hAnsi="Tahoma" w:cs="Tahoma"/>
                <w:sz w:val="9"/>
              </w:rPr>
              <w:t>OV / OVS</w:t>
            </w:r>
          </w:p>
        </w:tc>
        <w:tc>
          <w:tcPr>
            <w:tcW w:w="655" w:type="dxa"/>
            <w:vMerge w:val="restart"/>
            <w:tcBorders>
              <w:top w:val="single" w:sz="12" w:space="0" w:color="auto"/>
            </w:tcBorders>
            <w:textDirection w:val="btLr"/>
            <w:vAlign w:val="center"/>
          </w:tcPr>
          <w:p w14:paraId="330023F5" w14:textId="77777777" w:rsidR="00F96F42" w:rsidRPr="0058047D" w:rsidRDefault="00F96F42" w:rsidP="009323A0">
            <w:pPr>
              <w:pStyle w:val="TableVerticalText"/>
              <w:spacing w:before="120"/>
              <w:rPr>
                <w:rFonts w:ascii="Tahoma" w:hAnsi="Tahoma" w:cs="Tahoma"/>
                <w:sz w:val="9"/>
              </w:rPr>
            </w:pPr>
            <w:r w:rsidRPr="0058047D">
              <w:rPr>
                <w:rFonts w:ascii="Tahoma" w:hAnsi="Tahoma" w:cs="Tahoma"/>
                <w:sz w:val="9"/>
              </w:rPr>
              <w:t>EES / OVS - ES</w:t>
            </w:r>
          </w:p>
        </w:tc>
        <w:tc>
          <w:tcPr>
            <w:tcW w:w="504" w:type="dxa"/>
            <w:vMerge w:val="restart"/>
            <w:tcBorders>
              <w:top w:val="single" w:sz="12" w:space="0" w:color="auto"/>
            </w:tcBorders>
            <w:textDirection w:val="btLr"/>
            <w:vAlign w:val="center"/>
          </w:tcPr>
          <w:p w14:paraId="2770399C" w14:textId="77777777" w:rsidR="00F96F42" w:rsidRPr="003F471F" w:rsidRDefault="00F96F42" w:rsidP="009323A0">
            <w:pPr>
              <w:pStyle w:val="TableVerticalText"/>
              <w:rPr>
                <w:rFonts w:ascii="Tahoma" w:hAnsi="Tahoma" w:cs="Tahoma"/>
                <w:sz w:val="9"/>
                <w:lang w:val="it-IT"/>
              </w:rPr>
            </w:pPr>
            <w:r w:rsidRPr="003F471F">
              <w:rPr>
                <w:rFonts w:ascii="Tahoma" w:hAnsi="Tahoma" w:cs="Tahoma"/>
                <w:sz w:val="9"/>
                <w:lang w:val="it-IT"/>
              </w:rPr>
              <w:t>Requisito minimo per i Programmi Open</w:t>
            </w:r>
          </w:p>
        </w:tc>
        <w:tc>
          <w:tcPr>
            <w:tcW w:w="405" w:type="dxa"/>
            <w:vMerge w:val="restart"/>
            <w:tcBorders>
              <w:top w:val="single" w:sz="12" w:space="0" w:color="auto"/>
            </w:tcBorders>
            <w:textDirection w:val="btLr"/>
            <w:vAlign w:val="center"/>
          </w:tcPr>
          <w:p w14:paraId="175ED3B7" w14:textId="77777777" w:rsidR="00F96F42" w:rsidRPr="0058047D" w:rsidRDefault="00F96F42" w:rsidP="009323A0">
            <w:pPr>
              <w:pStyle w:val="TableVerticalText"/>
              <w:rPr>
                <w:rFonts w:ascii="Tahoma" w:hAnsi="Tahoma" w:cs="Tahoma"/>
                <w:sz w:val="9"/>
              </w:rPr>
            </w:pPr>
            <w:r w:rsidRPr="0058047D">
              <w:rPr>
                <w:rFonts w:ascii="Tahoma" w:hAnsi="Tahoma" w:cs="Tahoma"/>
                <w:sz w:val="9"/>
              </w:rPr>
              <w:t>SCE</w:t>
            </w:r>
          </w:p>
        </w:tc>
      </w:tr>
      <w:tr w:rsidR="00F96F42" w:rsidRPr="0058047D" w14:paraId="2D4B62E3" w14:textId="77777777" w:rsidTr="00C86F50">
        <w:trPr>
          <w:cantSplit/>
          <w:trHeight w:val="262"/>
          <w:tblHeader/>
        </w:trPr>
        <w:tc>
          <w:tcPr>
            <w:tcW w:w="2619" w:type="dxa"/>
            <w:gridSpan w:val="2"/>
            <w:vMerge/>
            <w:tcBorders>
              <w:left w:val="single" w:sz="4" w:space="0" w:color="FFFFFF"/>
            </w:tcBorders>
          </w:tcPr>
          <w:p w14:paraId="37E3DC4B" w14:textId="77777777" w:rsidR="00F96F42" w:rsidRPr="0058047D" w:rsidRDefault="00F96F42">
            <w:pPr>
              <w:rPr>
                <w:rFonts w:cs="Tahoma"/>
                <w:sz w:val="20"/>
              </w:rPr>
            </w:pPr>
          </w:p>
        </w:tc>
        <w:tc>
          <w:tcPr>
            <w:tcW w:w="554" w:type="dxa"/>
            <w:vMerge/>
          </w:tcPr>
          <w:p w14:paraId="3B8705EF" w14:textId="77777777" w:rsidR="00F96F42" w:rsidRPr="0058047D" w:rsidRDefault="00F96F42">
            <w:pPr>
              <w:rPr>
                <w:rFonts w:cs="Tahoma"/>
                <w:b/>
                <w:sz w:val="20"/>
              </w:rPr>
            </w:pPr>
          </w:p>
        </w:tc>
        <w:tc>
          <w:tcPr>
            <w:tcW w:w="516" w:type="dxa"/>
            <w:vMerge/>
          </w:tcPr>
          <w:p w14:paraId="45FB6FC0" w14:textId="77777777" w:rsidR="00F96F42" w:rsidRPr="0058047D" w:rsidRDefault="00F96F42">
            <w:pPr>
              <w:rPr>
                <w:rFonts w:cs="Tahoma"/>
                <w:sz w:val="20"/>
              </w:rPr>
            </w:pPr>
          </w:p>
        </w:tc>
        <w:tc>
          <w:tcPr>
            <w:tcW w:w="358" w:type="dxa"/>
            <w:vMerge/>
            <w:tcBorders>
              <w:right w:val="single" w:sz="18" w:space="0" w:color="auto"/>
            </w:tcBorders>
          </w:tcPr>
          <w:p w14:paraId="59FAEEFE" w14:textId="77777777" w:rsidR="00F96F42" w:rsidRPr="0058047D" w:rsidRDefault="00F96F42">
            <w:pPr>
              <w:rPr>
                <w:rFonts w:cs="Tahoma"/>
                <w:sz w:val="20"/>
              </w:rPr>
            </w:pPr>
          </w:p>
        </w:tc>
        <w:tc>
          <w:tcPr>
            <w:tcW w:w="330" w:type="dxa"/>
            <w:vMerge w:val="restart"/>
            <w:tcBorders>
              <w:left w:val="single" w:sz="18" w:space="0" w:color="auto"/>
            </w:tcBorders>
            <w:vAlign w:val="center"/>
          </w:tcPr>
          <w:p w14:paraId="0AAF62BD" w14:textId="77777777" w:rsidR="00F96F42" w:rsidRPr="0058047D" w:rsidRDefault="00F96F42">
            <w:pPr>
              <w:pStyle w:val="TableHeadingsRed"/>
              <w:rPr>
                <w:rFonts w:ascii="Tahoma" w:hAnsi="Tahoma" w:cs="Tahoma"/>
                <w:sz w:val="9"/>
              </w:rPr>
            </w:pPr>
            <w:r w:rsidRPr="0058047D">
              <w:rPr>
                <w:rFonts w:ascii="Tahoma" w:hAnsi="Tahoma" w:cs="Tahoma"/>
                <w:sz w:val="9"/>
              </w:rPr>
              <w:t>L</w:t>
            </w:r>
          </w:p>
        </w:tc>
        <w:tc>
          <w:tcPr>
            <w:tcW w:w="1146" w:type="dxa"/>
            <w:gridSpan w:val="4"/>
            <w:vAlign w:val="center"/>
          </w:tcPr>
          <w:p w14:paraId="056BA5AF" w14:textId="77777777" w:rsidR="00F96F42" w:rsidRPr="0058047D" w:rsidRDefault="00F96F42">
            <w:pPr>
              <w:pStyle w:val="TableHeadingsGreen"/>
              <w:rPr>
                <w:rFonts w:ascii="Tahoma" w:hAnsi="Tahoma" w:cs="Tahoma"/>
                <w:sz w:val="9"/>
              </w:rPr>
            </w:pPr>
            <w:r w:rsidRPr="0058047D">
              <w:rPr>
                <w:rFonts w:ascii="Tahoma" w:hAnsi="Tahoma" w:cs="Tahoma"/>
                <w:sz w:val="9"/>
              </w:rPr>
              <w:t>L&amp;SA</w:t>
            </w:r>
          </w:p>
        </w:tc>
        <w:tc>
          <w:tcPr>
            <w:tcW w:w="1236" w:type="dxa"/>
            <w:gridSpan w:val="3"/>
            <w:tcBorders>
              <w:right w:val="single" w:sz="18" w:space="0" w:color="auto"/>
            </w:tcBorders>
            <w:vAlign w:val="center"/>
          </w:tcPr>
          <w:p w14:paraId="0DBFE6D2" w14:textId="77777777" w:rsidR="00F96F42" w:rsidRPr="0058047D" w:rsidRDefault="00F96F42">
            <w:pPr>
              <w:pStyle w:val="TableHeadingsBlue"/>
              <w:rPr>
                <w:rFonts w:ascii="Tahoma" w:hAnsi="Tahoma" w:cs="Tahoma"/>
                <w:sz w:val="9"/>
              </w:rPr>
            </w:pPr>
            <w:r w:rsidRPr="0058047D">
              <w:rPr>
                <w:rFonts w:ascii="Tahoma" w:hAnsi="Tahoma" w:cs="Tahoma"/>
                <w:sz w:val="9"/>
              </w:rPr>
              <w:t>SA</w:t>
            </w:r>
          </w:p>
        </w:tc>
        <w:tc>
          <w:tcPr>
            <w:tcW w:w="477" w:type="dxa"/>
            <w:vMerge w:val="restart"/>
            <w:tcBorders>
              <w:left w:val="single" w:sz="18" w:space="0" w:color="auto"/>
            </w:tcBorders>
            <w:vAlign w:val="center"/>
          </w:tcPr>
          <w:p w14:paraId="1606BB44" w14:textId="77777777" w:rsidR="00F96F42" w:rsidRPr="0058047D" w:rsidRDefault="00F96F42">
            <w:pPr>
              <w:pStyle w:val="TableHeadingsRed"/>
              <w:rPr>
                <w:rFonts w:ascii="Tahoma" w:hAnsi="Tahoma" w:cs="Tahoma"/>
                <w:sz w:val="9"/>
              </w:rPr>
            </w:pPr>
            <w:r w:rsidRPr="0058047D">
              <w:rPr>
                <w:rFonts w:ascii="Tahoma" w:hAnsi="Tahoma" w:cs="Tahoma"/>
                <w:sz w:val="9"/>
              </w:rPr>
              <w:t>L</w:t>
            </w:r>
          </w:p>
        </w:tc>
        <w:tc>
          <w:tcPr>
            <w:tcW w:w="450" w:type="dxa"/>
            <w:vAlign w:val="center"/>
          </w:tcPr>
          <w:p w14:paraId="1B4AE34A" w14:textId="77777777" w:rsidR="00F96F42" w:rsidRPr="0058047D" w:rsidRDefault="00F96F42">
            <w:pPr>
              <w:pStyle w:val="TableHeadingsGreen"/>
              <w:rPr>
                <w:rFonts w:ascii="Tahoma" w:hAnsi="Tahoma" w:cs="Tahoma"/>
                <w:sz w:val="9"/>
              </w:rPr>
            </w:pPr>
            <w:r w:rsidRPr="0058047D">
              <w:rPr>
                <w:rFonts w:ascii="Tahoma" w:hAnsi="Tahoma" w:cs="Tahoma"/>
                <w:sz w:val="9"/>
              </w:rPr>
              <w:t>L&amp;SA</w:t>
            </w:r>
          </w:p>
        </w:tc>
        <w:tc>
          <w:tcPr>
            <w:tcW w:w="414" w:type="dxa"/>
            <w:vMerge w:val="restart"/>
            <w:tcBorders>
              <w:right w:val="single" w:sz="18" w:space="0" w:color="auto"/>
            </w:tcBorders>
            <w:vAlign w:val="center"/>
          </w:tcPr>
          <w:p w14:paraId="22FE6194" w14:textId="77777777" w:rsidR="00F96F42" w:rsidRPr="0058047D" w:rsidRDefault="00F96F42">
            <w:pPr>
              <w:pStyle w:val="TableHeadingsBlue"/>
              <w:rPr>
                <w:rFonts w:ascii="Tahoma" w:hAnsi="Tahoma" w:cs="Tahoma"/>
                <w:sz w:val="9"/>
              </w:rPr>
            </w:pPr>
            <w:r w:rsidRPr="0058047D">
              <w:rPr>
                <w:rFonts w:ascii="Tahoma" w:hAnsi="Tahoma" w:cs="Tahoma"/>
                <w:sz w:val="9"/>
              </w:rPr>
              <w:t>SA</w:t>
            </w:r>
          </w:p>
        </w:tc>
        <w:tc>
          <w:tcPr>
            <w:tcW w:w="468" w:type="dxa"/>
            <w:vMerge/>
            <w:tcBorders>
              <w:left w:val="single" w:sz="18" w:space="0" w:color="auto"/>
            </w:tcBorders>
          </w:tcPr>
          <w:p w14:paraId="13F2407D" w14:textId="77777777" w:rsidR="00F96F42" w:rsidRPr="0058047D" w:rsidRDefault="00F96F42">
            <w:pPr>
              <w:rPr>
                <w:rFonts w:cs="Tahoma"/>
                <w:sz w:val="20"/>
              </w:rPr>
            </w:pPr>
          </w:p>
        </w:tc>
        <w:tc>
          <w:tcPr>
            <w:tcW w:w="477" w:type="dxa"/>
            <w:vMerge/>
            <w:tcBorders>
              <w:right w:val="single" w:sz="18" w:space="0" w:color="auto"/>
            </w:tcBorders>
          </w:tcPr>
          <w:p w14:paraId="4FA0A718" w14:textId="77777777" w:rsidR="00F96F42" w:rsidRPr="0058047D" w:rsidRDefault="00F96F42">
            <w:pPr>
              <w:rPr>
                <w:rFonts w:cs="Tahoma"/>
                <w:sz w:val="20"/>
              </w:rPr>
            </w:pPr>
          </w:p>
        </w:tc>
        <w:tc>
          <w:tcPr>
            <w:tcW w:w="324" w:type="dxa"/>
            <w:vMerge/>
            <w:tcBorders>
              <w:left w:val="single" w:sz="18" w:space="0" w:color="auto"/>
              <w:right w:val="single" w:sz="18" w:space="0" w:color="auto"/>
            </w:tcBorders>
          </w:tcPr>
          <w:p w14:paraId="61371996" w14:textId="77777777" w:rsidR="00F96F42" w:rsidRPr="0058047D" w:rsidRDefault="00F96F42">
            <w:pPr>
              <w:rPr>
                <w:rFonts w:cs="Tahoma"/>
                <w:sz w:val="20"/>
              </w:rPr>
            </w:pPr>
          </w:p>
        </w:tc>
        <w:tc>
          <w:tcPr>
            <w:tcW w:w="655" w:type="dxa"/>
            <w:vMerge/>
          </w:tcPr>
          <w:p w14:paraId="19DD6F7A" w14:textId="77777777" w:rsidR="00F96F42" w:rsidRPr="0058047D" w:rsidRDefault="00F96F42">
            <w:pPr>
              <w:rPr>
                <w:rFonts w:cs="Tahoma"/>
                <w:sz w:val="20"/>
              </w:rPr>
            </w:pPr>
          </w:p>
        </w:tc>
        <w:tc>
          <w:tcPr>
            <w:tcW w:w="504" w:type="dxa"/>
            <w:vMerge/>
          </w:tcPr>
          <w:p w14:paraId="5F0A68F2" w14:textId="77777777" w:rsidR="00F96F42" w:rsidRPr="0058047D" w:rsidRDefault="00F96F42">
            <w:pPr>
              <w:rPr>
                <w:rFonts w:cs="Tahoma"/>
                <w:sz w:val="20"/>
              </w:rPr>
            </w:pPr>
          </w:p>
        </w:tc>
        <w:tc>
          <w:tcPr>
            <w:tcW w:w="405" w:type="dxa"/>
            <w:vMerge/>
          </w:tcPr>
          <w:p w14:paraId="2D68ECA6" w14:textId="77777777" w:rsidR="00F96F42" w:rsidRPr="0058047D" w:rsidRDefault="00F96F42">
            <w:pPr>
              <w:rPr>
                <w:rFonts w:cs="Tahoma"/>
                <w:sz w:val="20"/>
              </w:rPr>
            </w:pPr>
          </w:p>
        </w:tc>
      </w:tr>
      <w:tr w:rsidR="00F96F42" w:rsidRPr="0058047D" w14:paraId="411735DB" w14:textId="77777777" w:rsidTr="00C86F50">
        <w:trPr>
          <w:cantSplit/>
          <w:trHeight w:val="386"/>
          <w:tblHeader/>
        </w:trPr>
        <w:tc>
          <w:tcPr>
            <w:tcW w:w="2619" w:type="dxa"/>
            <w:gridSpan w:val="2"/>
            <w:vMerge/>
            <w:tcBorders>
              <w:left w:val="single" w:sz="4" w:space="0" w:color="FFFFFF"/>
              <w:bottom w:val="single" w:sz="4" w:space="0" w:color="auto"/>
            </w:tcBorders>
          </w:tcPr>
          <w:p w14:paraId="401D7C5A" w14:textId="77777777" w:rsidR="00F96F42" w:rsidRPr="0058047D" w:rsidRDefault="00F96F42">
            <w:pPr>
              <w:rPr>
                <w:rFonts w:cs="Tahoma"/>
                <w:sz w:val="20"/>
              </w:rPr>
            </w:pPr>
          </w:p>
        </w:tc>
        <w:tc>
          <w:tcPr>
            <w:tcW w:w="554" w:type="dxa"/>
            <w:vMerge/>
            <w:tcBorders>
              <w:bottom w:val="single" w:sz="4" w:space="0" w:color="auto"/>
            </w:tcBorders>
          </w:tcPr>
          <w:p w14:paraId="46385306" w14:textId="77777777" w:rsidR="00F96F42" w:rsidRPr="0058047D" w:rsidRDefault="00F96F42">
            <w:pPr>
              <w:rPr>
                <w:rFonts w:cs="Tahoma"/>
                <w:b/>
                <w:sz w:val="20"/>
              </w:rPr>
            </w:pPr>
          </w:p>
        </w:tc>
        <w:tc>
          <w:tcPr>
            <w:tcW w:w="516" w:type="dxa"/>
            <w:vMerge/>
            <w:tcBorders>
              <w:bottom w:val="single" w:sz="4" w:space="0" w:color="auto"/>
            </w:tcBorders>
          </w:tcPr>
          <w:p w14:paraId="79D5EE35" w14:textId="77777777" w:rsidR="00F96F42" w:rsidRPr="0058047D" w:rsidRDefault="00F96F42">
            <w:pPr>
              <w:rPr>
                <w:rFonts w:cs="Tahoma"/>
                <w:sz w:val="20"/>
              </w:rPr>
            </w:pPr>
          </w:p>
        </w:tc>
        <w:tc>
          <w:tcPr>
            <w:tcW w:w="358" w:type="dxa"/>
            <w:vMerge/>
            <w:tcBorders>
              <w:bottom w:val="single" w:sz="4" w:space="0" w:color="auto"/>
              <w:right w:val="single" w:sz="18" w:space="0" w:color="auto"/>
            </w:tcBorders>
          </w:tcPr>
          <w:p w14:paraId="1F207013" w14:textId="77777777" w:rsidR="00F96F42" w:rsidRPr="0058047D" w:rsidRDefault="00F96F42">
            <w:pPr>
              <w:rPr>
                <w:rFonts w:cs="Tahoma"/>
                <w:sz w:val="20"/>
              </w:rPr>
            </w:pPr>
          </w:p>
        </w:tc>
        <w:tc>
          <w:tcPr>
            <w:tcW w:w="330" w:type="dxa"/>
            <w:vMerge/>
            <w:tcBorders>
              <w:left w:val="single" w:sz="18" w:space="0" w:color="auto"/>
              <w:bottom w:val="single" w:sz="4" w:space="0" w:color="auto"/>
            </w:tcBorders>
            <w:vAlign w:val="center"/>
          </w:tcPr>
          <w:p w14:paraId="3A785674" w14:textId="77777777" w:rsidR="00F96F42" w:rsidRPr="0058047D" w:rsidRDefault="00F96F42">
            <w:pPr>
              <w:jc w:val="center"/>
              <w:rPr>
                <w:rFonts w:cs="Tahoma"/>
                <w:sz w:val="20"/>
              </w:rPr>
            </w:pPr>
          </w:p>
        </w:tc>
        <w:tc>
          <w:tcPr>
            <w:tcW w:w="324" w:type="dxa"/>
            <w:tcBorders>
              <w:bottom w:val="single" w:sz="4" w:space="0" w:color="auto"/>
            </w:tcBorders>
            <w:vAlign w:val="center"/>
          </w:tcPr>
          <w:p w14:paraId="359979E8" w14:textId="77777777" w:rsidR="00F96F42" w:rsidRPr="0058047D" w:rsidRDefault="00F96F42">
            <w:pPr>
              <w:pStyle w:val="TableHeadingsGreen"/>
              <w:rPr>
                <w:rFonts w:ascii="Tahoma" w:hAnsi="Tahoma" w:cs="Tahoma"/>
                <w:sz w:val="9"/>
              </w:rPr>
            </w:pPr>
            <w:r w:rsidRPr="0058047D">
              <w:rPr>
                <w:rFonts w:ascii="Tahoma" w:hAnsi="Tahoma" w:cs="Tahoma"/>
                <w:sz w:val="9"/>
              </w:rPr>
              <w:t>3An</w:t>
            </w:r>
          </w:p>
        </w:tc>
        <w:tc>
          <w:tcPr>
            <w:tcW w:w="366" w:type="dxa"/>
            <w:tcBorders>
              <w:bottom w:val="single" w:sz="4" w:space="0" w:color="auto"/>
            </w:tcBorders>
            <w:vAlign w:val="center"/>
          </w:tcPr>
          <w:p w14:paraId="5BE683FC" w14:textId="77777777" w:rsidR="00F96F42" w:rsidRPr="0058047D" w:rsidRDefault="00F96F42">
            <w:pPr>
              <w:pStyle w:val="TableHeadingsGreen"/>
              <w:rPr>
                <w:rFonts w:ascii="Tahoma" w:hAnsi="Tahoma" w:cs="Tahoma"/>
                <w:sz w:val="9"/>
              </w:rPr>
            </w:pPr>
            <w:r w:rsidRPr="0058047D">
              <w:rPr>
                <w:rFonts w:ascii="Tahoma" w:hAnsi="Tahoma" w:cs="Tahoma"/>
                <w:sz w:val="9"/>
              </w:rPr>
              <w:t>2An</w:t>
            </w:r>
          </w:p>
        </w:tc>
        <w:tc>
          <w:tcPr>
            <w:tcW w:w="456" w:type="dxa"/>
            <w:gridSpan w:val="2"/>
            <w:tcBorders>
              <w:bottom w:val="single" w:sz="4" w:space="0" w:color="auto"/>
            </w:tcBorders>
            <w:vAlign w:val="center"/>
          </w:tcPr>
          <w:p w14:paraId="3562380F" w14:textId="77777777" w:rsidR="00F96F42" w:rsidRPr="0058047D" w:rsidRDefault="00F96F42">
            <w:pPr>
              <w:pStyle w:val="TableHeadingsGreen"/>
              <w:rPr>
                <w:rFonts w:ascii="Tahoma" w:hAnsi="Tahoma" w:cs="Tahoma"/>
                <w:sz w:val="9"/>
              </w:rPr>
            </w:pPr>
            <w:r w:rsidRPr="0058047D">
              <w:rPr>
                <w:rFonts w:ascii="Tahoma" w:hAnsi="Tahoma" w:cs="Tahoma"/>
                <w:sz w:val="9"/>
              </w:rPr>
              <w:t>1An</w:t>
            </w:r>
          </w:p>
        </w:tc>
        <w:tc>
          <w:tcPr>
            <w:tcW w:w="450" w:type="dxa"/>
            <w:tcBorders>
              <w:bottom w:val="single" w:sz="4" w:space="0" w:color="auto"/>
            </w:tcBorders>
            <w:vAlign w:val="center"/>
          </w:tcPr>
          <w:p w14:paraId="140D654D" w14:textId="77777777" w:rsidR="00F96F42" w:rsidRPr="0058047D" w:rsidRDefault="00F96F42">
            <w:pPr>
              <w:pStyle w:val="TableHeadingsBlue"/>
              <w:rPr>
                <w:rFonts w:ascii="Tahoma" w:hAnsi="Tahoma" w:cs="Tahoma"/>
                <w:sz w:val="9"/>
              </w:rPr>
            </w:pPr>
            <w:r w:rsidRPr="0058047D">
              <w:rPr>
                <w:rFonts w:ascii="Tahoma" w:hAnsi="Tahoma" w:cs="Tahoma"/>
                <w:sz w:val="9"/>
              </w:rPr>
              <w:t>3An</w:t>
            </w:r>
          </w:p>
        </w:tc>
        <w:tc>
          <w:tcPr>
            <w:tcW w:w="450" w:type="dxa"/>
            <w:tcBorders>
              <w:bottom w:val="single" w:sz="4" w:space="0" w:color="auto"/>
            </w:tcBorders>
            <w:vAlign w:val="center"/>
          </w:tcPr>
          <w:p w14:paraId="60F40A3F" w14:textId="77777777" w:rsidR="00F96F42" w:rsidRPr="0058047D" w:rsidRDefault="00F96F42">
            <w:pPr>
              <w:pStyle w:val="TableHeadingsBlue"/>
              <w:rPr>
                <w:rFonts w:ascii="Tahoma" w:hAnsi="Tahoma" w:cs="Tahoma"/>
                <w:sz w:val="9"/>
              </w:rPr>
            </w:pPr>
            <w:r w:rsidRPr="0058047D">
              <w:rPr>
                <w:rFonts w:ascii="Tahoma" w:hAnsi="Tahoma" w:cs="Tahoma"/>
                <w:sz w:val="9"/>
              </w:rPr>
              <w:t>2An</w:t>
            </w:r>
          </w:p>
        </w:tc>
        <w:tc>
          <w:tcPr>
            <w:tcW w:w="336" w:type="dxa"/>
            <w:tcBorders>
              <w:bottom w:val="single" w:sz="4" w:space="0" w:color="auto"/>
              <w:right w:val="single" w:sz="18" w:space="0" w:color="auto"/>
            </w:tcBorders>
            <w:vAlign w:val="center"/>
          </w:tcPr>
          <w:p w14:paraId="0D39F379" w14:textId="77777777" w:rsidR="00F96F42" w:rsidRPr="0058047D" w:rsidRDefault="00F96F42">
            <w:pPr>
              <w:pStyle w:val="TableHeadingsBlue"/>
              <w:rPr>
                <w:rFonts w:ascii="Tahoma" w:hAnsi="Tahoma" w:cs="Tahoma"/>
                <w:sz w:val="9"/>
              </w:rPr>
            </w:pPr>
            <w:r w:rsidRPr="0058047D">
              <w:rPr>
                <w:rFonts w:ascii="Tahoma" w:hAnsi="Tahoma" w:cs="Tahoma"/>
                <w:sz w:val="9"/>
              </w:rPr>
              <w:t>1An</w:t>
            </w:r>
          </w:p>
        </w:tc>
        <w:tc>
          <w:tcPr>
            <w:tcW w:w="477" w:type="dxa"/>
            <w:vMerge/>
            <w:tcBorders>
              <w:left w:val="single" w:sz="18" w:space="0" w:color="auto"/>
              <w:bottom w:val="single" w:sz="4" w:space="0" w:color="auto"/>
            </w:tcBorders>
            <w:vAlign w:val="center"/>
          </w:tcPr>
          <w:p w14:paraId="033E219B" w14:textId="77777777" w:rsidR="00F96F42" w:rsidRPr="0058047D" w:rsidRDefault="00F96F42">
            <w:pPr>
              <w:jc w:val="center"/>
              <w:rPr>
                <w:rFonts w:cs="Tahoma"/>
                <w:sz w:val="20"/>
              </w:rPr>
            </w:pPr>
          </w:p>
        </w:tc>
        <w:tc>
          <w:tcPr>
            <w:tcW w:w="450" w:type="dxa"/>
            <w:tcBorders>
              <w:bottom w:val="single" w:sz="4" w:space="0" w:color="auto"/>
            </w:tcBorders>
            <w:vAlign w:val="center"/>
          </w:tcPr>
          <w:p w14:paraId="019BF714" w14:textId="77777777" w:rsidR="00F96F42" w:rsidRPr="0058047D" w:rsidRDefault="00F96F42">
            <w:pPr>
              <w:pStyle w:val="TableHeadingsGreen"/>
              <w:rPr>
                <w:rFonts w:ascii="Tahoma" w:hAnsi="Tahoma" w:cs="Tahoma"/>
                <w:sz w:val="9"/>
              </w:rPr>
            </w:pPr>
            <w:r w:rsidRPr="0058047D">
              <w:rPr>
                <w:rFonts w:ascii="Tahoma" w:hAnsi="Tahoma" w:cs="Tahoma"/>
                <w:sz w:val="9"/>
              </w:rPr>
              <w:t>P</w:t>
            </w:r>
          </w:p>
        </w:tc>
        <w:tc>
          <w:tcPr>
            <w:tcW w:w="414" w:type="dxa"/>
            <w:vMerge/>
            <w:tcBorders>
              <w:bottom w:val="single" w:sz="4" w:space="0" w:color="auto"/>
              <w:right w:val="single" w:sz="18" w:space="0" w:color="auto"/>
            </w:tcBorders>
            <w:vAlign w:val="center"/>
          </w:tcPr>
          <w:p w14:paraId="57625D7C" w14:textId="77777777" w:rsidR="00F96F42" w:rsidRPr="0058047D" w:rsidRDefault="00F96F42">
            <w:pPr>
              <w:jc w:val="center"/>
              <w:rPr>
                <w:rFonts w:cs="Tahoma"/>
                <w:sz w:val="20"/>
              </w:rPr>
            </w:pPr>
          </w:p>
        </w:tc>
        <w:tc>
          <w:tcPr>
            <w:tcW w:w="468" w:type="dxa"/>
            <w:vMerge/>
            <w:tcBorders>
              <w:left w:val="single" w:sz="18" w:space="0" w:color="auto"/>
              <w:bottom w:val="single" w:sz="4" w:space="0" w:color="auto"/>
            </w:tcBorders>
          </w:tcPr>
          <w:p w14:paraId="73A936C1" w14:textId="77777777" w:rsidR="00F96F42" w:rsidRPr="0058047D" w:rsidRDefault="00F96F42">
            <w:pPr>
              <w:rPr>
                <w:rFonts w:cs="Tahoma"/>
                <w:sz w:val="20"/>
              </w:rPr>
            </w:pPr>
          </w:p>
        </w:tc>
        <w:tc>
          <w:tcPr>
            <w:tcW w:w="477" w:type="dxa"/>
            <w:vMerge/>
            <w:tcBorders>
              <w:bottom w:val="single" w:sz="4" w:space="0" w:color="auto"/>
              <w:right w:val="single" w:sz="18" w:space="0" w:color="auto"/>
            </w:tcBorders>
          </w:tcPr>
          <w:p w14:paraId="3DA6799B" w14:textId="77777777" w:rsidR="00F96F42" w:rsidRPr="0058047D" w:rsidRDefault="00F96F42">
            <w:pPr>
              <w:rPr>
                <w:rFonts w:cs="Tahoma"/>
                <w:sz w:val="20"/>
              </w:rPr>
            </w:pPr>
          </w:p>
        </w:tc>
        <w:tc>
          <w:tcPr>
            <w:tcW w:w="324" w:type="dxa"/>
            <w:vMerge/>
            <w:tcBorders>
              <w:left w:val="single" w:sz="18" w:space="0" w:color="auto"/>
              <w:bottom w:val="single" w:sz="4" w:space="0" w:color="auto"/>
              <w:right w:val="single" w:sz="18" w:space="0" w:color="auto"/>
            </w:tcBorders>
          </w:tcPr>
          <w:p w14:paraId="369413F0" w14:textId="77777777" w:rsidR="00F96F42" w:rsidRPr="0058047D" w:rsidRDefault="00F96F42">
            <w:pPr>
              <w:rPr>
                <w:rFonts w:cs="Tahoma"/>
                <w:sz w:val="20"/>
              </w:rPr>
            </w:pPr>
          </w:p>
        </w:tc>
        <w:tc>
          <w:tcPr>
            <w:tcW w:w="655" w:type="dxa"/>
            <w:vMerge/>
            <w:tcBorders>
              <w:bottom w:val="single" w:sz="4" w:space="0" w:color="auto"/>
            </w:tcBorders>
          </w:tcPr>
          <w:p w14:paraId="69CDB5DA" w14:textId="77777777" w:rsidR="00F96F42" w:rsidRPr="0058047D" w:rsidRDefault="00F96F42">
            <w:pPr>
              <w:rPr>
                <w:rFonts w:cs="Tahoma"/>
                <w:sz w:val="20"/>
              </w:rPr>
            </w:pPr>
          </w:p>
        </w:tc>
        <w:tc>
          <w:tcPr>
            <w:tcW w:w="504" w:type="dxa"/>
            <w:vMerge/>
            <w:tcBorders>
              <w:bottom w:val="single" w:sz="4" w:space="0" w:color="auto"/>
            </w:tcBorders>
          </w:tcPr>
          <w:p w14:paraId="13C659F8" w14:textId="77777777" w:rsidR="00F96F42" w:rsidRPr="0058047D" w:rsidRDefault="00F96F42">
            <w:pPr>
              <w:rPr>
                <w:rFonts w:cs="Tahoma"/>
                <w:sz w:val="20"/>
              </w:rPr>
            </w:pPr>
          </w:p>
        </w:tc>
        <w:tc>
          <w:tcPr>
            <w:tcW w:w="405" w:type="dxa"/>
            <w:vMerge/>
            <w:tcBorders>
              <w:bottom w:val="single" w:sz="4" w:space="0" w:color="auto"/>
            </w:tcBorders>
          </w:tcPr>
          <w:p w14:paraId="3B76368B" w14:textId="77777777" w:rsidR="00F96F42" w:rsidRPr="0058047D" w:rsidRDefault="00F96F42">
            <w:pPr>
              <w:rPr>
                <w:rFonts w:cs="Tahoma"/>
                <w:sz w:val="20"/>
              </w:rPr>
            </w:pPr>
          </w:p>
        </w:tc>
      </w:tr>
      <w:tr w:rsidR="009323A0" w:rsidRPr="0058047D" w14:paraId="17804A4A" w14:textId="77777777" w:rsidTr="00C86F50">
        <w:trPr>
          <w:trHeight w:val="145"/>
        </w:trPr>
        <w:tc>
          <w:tcPr>
            <w:tcW w:w="2619" w:type="dxa"/>
            <w:gridSpan w:val="2"/>
            <w:tcBorders>
              <w:bottom w:val="single" w:sz="4" w:space="0" w:color="auto"/>
            </w:tcBorders>
            <w:shd w:val="clear" w:color="auto" w:fill="auto"/>
            <w:vAlign w:val="center"/>
          </w:tcPr>
          <w:p w14:paraId="3279F7B7" w14:textId="77777777" w:rsidR="00913A0A" w:rsidRPr="0058047D" w:rsidRDefault="00913A0A" w:rsidP="007E466C">
            <w:pPr>
              <w:pStyle w:val="ProductNames"/>
              <w:spacing w:before="0" w:after="0"/>
              <w:rPr>
                <w:rFonts w:ascii="Tahoma" w:hAnsi="Tahoma" w:cs="Tahoma"/>
                <w:sz w:val="14"/>
              </w:rPr>
            </w:pPr>
            <w:bookmarkStart w:id="130" w:name="_Toc371663316"/>
            <w:r w:rsidRPr="0058047D">
              <w:rPr>
                <w:rFonts w:ascii="Tahoma" w:hAnsi="Tahoma" w:cs="Tahoma"/>
                <w:sz w:val="14"/>
              </w:rPr>
              <w:t>Bing Maps Consumer Tracked Per Asset Monthly Sub</w:t>
            </w:r>
            <w:bookmarkEnd w:id="130"/>
          </w:p>
        </w:tc>
        <w:tc>
          <w:tcPr>
            <w:tcW w:w="554" w:type="dxa"/>
            <w:tcBorders>
              <w:bottom w:val="single" w:sz="4" w:space="0" w:color="auto"/>
            </w:tcBorders>
            <w:shd w:val="clear" w:color="auto" w:fill="auto"/>
            <w:vAlign w:val="center"/>
          </w:tcPr>
          <w:p w14:paraId="0C20E334" w14:textId="77777777" w:rsidR="00913A0A" w:rsidRPr="0058047D" w:rsidRDefault="00C86F50" w:rsidP="003D4F46">
            <w:pPr>
              <w:jc w:val="center"/>
              <w:rPr>
                <w:rFonts w:ascii="Trebuchet MS" w:hAnsi="Trebuchet MS"/>
                <w:b/>
                <w:sz w:val="13"/>
                <w:szCs w:val="13"/>
              </w:rPr>
            </w:pPr>
            <w:hyperlink w:anchor="_34_Bing_Maps" w:history="1">
              <w:r w:rsidR="00BF5FC6" w:rsidRPr="0058047D">
                <w:rPr>
                  <w:rStyle w:val="Hyperlink"/>
                  <w:rFonts w:ascii="Trebuchet MS" w:hAnsi="Trebuchet MS"/>
                  <w:b/>
                  <w:sz w:val="13"/>
                  <w:szCs w:val="13"/>
                </w:rPr>
                <w:t>34</w:t>
              </w:r>
            </w:hyperlink>
          </w:p>
        </w:tc>
        <w:tc>
          <w:tcPr>
            <w:tcW w:w="516" w:type="dxa"/>
            <w:tcBorders>
              <w:bottom w:val="single" w:sz="4" w:space="0" w:color="auto"/>
            </w:tcBorders>
            <w:shd w:val="clear" w:color="auto" w:fill="auto"/>
            <w:vAlign w:val="center"/>
          </w:tcPr>
          <w:p w14:paraId="64B8EC73" w14:textId="77777777" w:rsidR="00913A0A" w:rsidRPr="0058047D" w:rsidRDefault="00913A0A" w:rsidP="002253A3">
            <w:pPr>
              <w:jc w:val="center"/>
              <w:rPr>
                <w:rFonts w:cs="Tahoma"/>
                <w:sz w:val="13"/>
              </w:rPr>
            </w:pPr>
            <w:r w:rsidRPr="0058047D">
              <w:rPr>
                <w:rFonts w:cs="Tahoma"/>
                <w:sz w:val="13"/>
              </w:rPr>
              <w:t>04/13</w:t>
            </w:r>
          </w:p>
        </w:tc>
        <w:tc>
          <w:tcPr>
            <w:tcW w:w="358" w:type="dxa"/>
            <w:tcBorders>
              <w:bottom w:val="single" w:sz="4" w:space="0" w:color="auto"/>
              <w:right w:val="single" w:sz="18" w:space="0" w:color="auto"/>
            </w:tcBorders>
            <w:shd w:val="clear" w:color="auto" w:fill="auto"/>
            <w:vAlign w:val="center"/>
          </w:tcPr>
          <w:p w14:paraId="2553D836" w14:textId="77777777" w:rsidR="00913A0A" w:rsidRPr="0058047D" w:rsidRDefault="00913A0A" w:rsidP="002253A3">
            <w:pPr>
              <w:jc w:val="center"/>
              <w:rPr>
                <w:rFonts w:cs="Tahoma"/>
                <w:sz w:val="13"/>
              </w:rPr>
            </w:pPr>
          </w:p>
        </w:tc>
        <w:tc>
          <w:tcPr>
            <w:tcW w:w="2712" w:type="dxa"/>
            <w:gridSpan w:val="8"/>
            <w:tcBorders>
              <w:left w:val="single" w:sz="18" w:space="0" w:color="auto"/>
              <w:bottom w:val="single" w:sz="4" w:space="0" w:color="auto"/>
              <w:right w:val="single" w:sz="18" w:space="0" w:color="auto"/>
            </w:tcBorders>
            <w:shd w:val="clear" w:color="auto" w:fill="auto"/>
            <w:vAlign w:val="center"/>
          </w:tcPr>
          <w:p w14:paraId="1C9A60B1" w14:textId="77777777" w:rsidR="00913A0A" w:rsidRPr="0058047D" w:rsidRDefault="00913A0A" w:rsidP="002253A3">
            <w:pPr>
              <w:jc w:val="center"/>
              <w:rPr>
                <w:rFonts w:cs="Tahoma"/>
                <w:sz w:val="13"/>
              </w:rPr>
            </w:pPr>
            <w:r w:rsidRPr="0058047D">
              <w:rPr>
                <w:rFonts w:cs="Tahoma"/>
                <w:sz w:val="13"/>
              </w:rPr>
              <w:t>1 punto</w:t>
            </w:r>
          </w:p>
        </w:tc>
        <w:tc>
          <w:tcPr>
            <w:tcW w:w="477" w:type="dxa"/>
            <w:tcBorders>
              <w:left w:val="single" w:sz="18" w:space="0" w:color="auto"/>
              <w:bottom w:val="single" w:sz="4" w:space="0" w:color="auto"/>
            </w:tcBorders>
            <w:shd w:val="clear" w:color="auto" w:fill="auto"/>
            <w:vAlign w:val="center"/>
          </w:tcPr>
          <w:p w14:paraId="697C2E4E" w14:textId="77777777" w:rsidR="00913A0A" w:rsidRPr="0058047D" w:rsidRDefault="00913A0A" w:rsidP="002253A3">
            <w:pPr>
              <w:jc w:val="center"/>
              <w:rPr>
                <w:rFonts w:cs="Tahoma"/>
                <w:sz w:val="13"/>
              </w:rPr>
            </w:pPr>
            <w:r w:rsidRPr="0058047D">
              <w:rPr>
                <w:rFonts w:cs="Tahoma"/>
                <w:sz w:val="13"/>
              </w:rPr>
              <w:t>1</w:t>
            </w:r>
          </w:p>
        </w:tc>
        <w:tc>
          <w:tcPr>
            <w:tcW w:w="450" w:type="dxa"/>
            <w:tcBorders>
              <w:bottom w:val="single" w:sz="4" w:space="0" w:color="auto"/>
            </w:tcBorders>
            <w:shd w:val="clear" w:color="auto" w:fill="auto"/>
            <w:vAlign w:val="center"/>
          </w:tcPr>
          <w:p w14:paraId="5C095587" w14:textId="77777777" w:rsidR="00913A0A" w:rsidRPr="0058047D" w:rsidRDefault="00913A0A" w:rsidP="002253A3">
            <w:pPr>
              <w:jc w:val="center"/>
              <w:rPr>
                <w:rFonts w:cs="Tahoma"/>
                <w:sz w:val="13"/>
              </w:rPr>
            </w:pPr>
          </w:p>
        </w:tc>
        <w:tc>
          <w:tcPr>
            <w:tcW w:w="414" w:type="dxa"/>
            <w:tcBorders>
              <w:bottom w:val="single" w:sz="4" w:space="0" w:color="auto"/>
              <w:right w:val="single" w:sz="18" w:space="0" w:color="auto"/>
            </w:tcBorders>
            <w:shd w:val="clear" w:color="auto" w:fill="auto"/>
            <w:vAlign w:val="center"/>
          </w:tcPr>
          <w:p w14:paraId="6D230B29" w14:textId="77777777" w:rsidR="00913A0A" w:rsidRPr="0058047D" w:rsidRDefault="00913A0A" w:rsidP="002253A3">
            <w:pPr>
              <w:jc w:val="center"/>
              <w:rPr>
                <w:rFonts w:cs="Tahoma"/>
                <w:sz w:val="13"/>
              </w:rPr>
            </w:pPr>
          </w:p>
        </w:tc>
        <w:tc>
          <w:tcPr>
            <w:tcW w:w="468" w:type="dxa"/>
            <w:tcBorders>
              <w:left w:val="single" w:sz="18" w:space="0" w:color="auto"/>
              <w:bottom w:val="single" w:sz="4" w:space="0" w:color="auto"/>
            </w:tcBorders>
            <w:shd w:val="clear" w:color="auto" w:fill="auto"/>
            <w:vAlign w:val="center"/>
          </w:tcPr>
          <w:p w14:paraId="74700C0B" w14:textId="77777777" w:rsidR="00913A0A" w:rsidRPr="0058047D" w:rsidRDefault="00913A0A" w:rsidP="002253A3">
            <w:pPr>
              <w:jc w:val="center"/>
              <w:rPr>
                <w:rFonts w:cs="Tahoma"/>
                <w:sz w:val="13"/>
              </w:rPr>
            </w:pPr>
          </w:p>
        </w:tc>
        <w:tc>
          <w:tcPr>
            <w:tcW w:w="477" w:type="dxa"/>
            <w:tcBorders>
              <w:bottom w:val="single" w:sz="4" w:space="0" w:color="auto"/>
              <w:right w:val="single" w:sz="18" w:space="0" w:color="auto"/>
            </w:tcBorders>
            <w:shd w:val="clear" w:color="auto" w:fill="auto"/>
            <w:vAlign w:val="center"/>
          </w:tcPr>
          <w:p w14:paraId="098AEE6C" w14:textId="77777777" w:rsidR="00913A0A" w:rsidRPr="0058047D" w:rsidRDefault="00913A0A" w:rsidP="002253A3">
            <w:pPr>
              <w:jc w:val="center"/>
              <w:rPr>
                <w:rFonts w:cs="Tahoma"/>
                <w:sz w:val="13"/>
              </w:rPr>
            </w:pPr>
            <w:r w:rsidRPr="0058047D">
              <w:rPr>
                <w:rFonts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31E9526B" w14:textId="77777777" w:rsidR="00913A0A" w:rsidRPr="0058047D" w:rsidRDefault="00913A0A" w:rsidP="002253A3">
            <w:pPr>
              <w:jc w:val="center"/>
              <w:rPr>
                <w:rFonts w:cs="Tahoma"/>
                <w:sz w:val="13"/>
              </w:rPr>
            </w:pPr>
            <w:r w:rsidRPr="0058047D">
              <w:rPr>
                <w:rFonts w:cs="Tahoma"/>
                <w:sz w:val="13"/>
              </w:rPr>
              <w:t>P</w:t>
            </w:r>
          </w:p>
        </w:tc>
        <w:tc>
          <w:tcPr>
            <w:tcW w:w="655" w:type="dxa"/>
            <w:tcBorders>
              <w:bottom w:val="single" w:sz="4" w:space="0" w:color="auto"/>
            </w:tcBorders>
            <w:shd w:val="clear" w:color="auto" w:fill="auto"/>
            <w:vAlign w:val="center"/>
          </w:tcPr>
          <w:p w14:paraId="5F0B9AA7" w14:textId="77777777" w:rsidR="00913A0A" w:rsidRPr="0058047D" w:rsidRDefault="00913A0A" w:rsidP="002253A3">
            <w:pPr>
              <w:jc w:val="center"/>
              <w:rPr>
                <w:rFonts w:cs="Tahoma"/>
                <w:sz w:val="13"/>
              </w:rPr>
            </w:pPr>
          </w:p>
        </w:tc>
        <w:tc>
          <w:tcPr>
            <w:tcW w:w="504" w:type="dxa"/>
            <w:tcBorders>
              <w:bottom w:val="single" w:sz="4" w:space="0" w:color="auto"/>
            </w:tcBorders>
            <w:shd w:val="clear" w:color="auto" w:fill="auto"/>
            <w:vAlign w:val="center"/>
          </w:tcPr>
          <w:p w14:paraId="5B38D2F5" w14:textId="77777777" w:rsidR="00913A0A" w:rsidRPr="0058047D" w:rsidRDefault="00913A0A" w:rsidP="002253A3">
            <w:pPr>
              <w:jc w:val="center"/>
              <w:rPr>
                <w:rFonts w:cs="Tahoma"/>
                <w:sz w:val="13"/>
              </w:rPr>
            </w:pPr>
            <w:r w:rsidRPr="0058047D">
              <w:rPr>
                <w:rFonts w:cs="Tahoma"/>
                <w:sz w:val="13"/>
              </w:rPr>
              <w:t>OL/OV</w:t>
            </w:r>
          </w:p>
        </w:tc>
        <w:tc>
          <w:tcPr>
            <w:tcW w:w="405" w:type="dxa"/>
            <w:tcBorders>
              <w:bottom w:val="single" w:sz="4" w:space="0" w:color="auto"/>
            </w:tcBorders>
          </w:tcPr>
          <w:p w14:paraId="2E01D620" w14:textId="77777777" w:rsidR="00913A0A" w:rsidRPr="0058047D" w:rsidRDefault="00913A0A" w:rsidP="002253A3">
            <w:pPr>
              <w:jc w:val="center"/>
              <w:rPr>
                <w:rFonts w:cs="Tahoma"/>
                <w:sz w:val="13"/>
              </w:rPr>
            </w:pPr>
            <w:r w:rsidRPr="0058047D">
              <w:rPr>
                <w:rFonts w:cs="Tahoma"/>
                <w:sz w:val="13"/>
              </w:rPr>
              <w:t>A</w:t>
            </w:r>
          </w:p>
        </w:tc>
      </w:tr>
      <w:tr w:rsidR="009323A0" w:rsidRPr="0058047D" w14:paraId="1B090572" w14:textId="77777777" w:rsidTr="00C86F50">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619" w:type="dxa"/>
            <w:gridSpan w:val="2"/>
            <w:tcBorders>
              <w:bottom w:val="single" w:sz="3" w:space="0" w:color="auto"/>
            </w:tcBorders>
            <w:shd w:val="clear" w:color="auto" w:fill="FABF8F"/>
          </w:tcPr>
          <w:p w14:paraId="2FAEC95B" w14:textId="77777777" w:rsidR="00913A0A" w:rsidRPr="0058047D" w:rsidRDefault="00913A0A" w:rsidP="00AD481C">
            <w:pPr>
              <w:pStyle w:val="ProductNames"/>
              <w:spacing w:before="0" w:after="0"/>
              <w:rPr>
                <w:rFonts w:ascii="Tahoma" w:hAnsi="Tahoma" w:cs="Tahoma"/>
                <w:sz w:val="14"/>
              </w:rPr>
            </w:pPr>
            <w:bookmarkStart w:id="131" w:name="_Toc371663317"/>
            <w:r w:rsidRPr="0058047D">
              <w:rPr>
                <w:rFonts w:ascii="Tahoma" w:hAnsi="Tahoma" w:cs="Tahoma"/>
                <w:sz w:val="14"/>
              </w:rPr>
              <w:t>Bing Maps Enterprise Fee Monthly Sub</w:t>
            </w:r>
            <w:bookmarkEnd w:id="131"/>
          </w:p>
        </w:tc>
        <w:tc>
          <w:tcPr>
            <w:tcW w:w="554" w:type="dxa"/>
            <w:tcBorders>
              <w:bottom w:val="single" w:sz="3" w:space="0" w:color="auto"/>
            </w:tcBorders>
            <w:shd w:val="clear" w:color="auto" w:fill="FABF8F"/>
            <w:vAlign w:val="center"/>
          </w:tcPr>
          <w:p w14:paraId="5F6F850B" w14:textId="77777777" w:rsidR="00913A0A" w:rsidRPr="0058047D" w:rsidRDefault="00C86F50" w:rsidP="003D4F46">
            <w:pPr>
              <w:jc w:val="center"/>
              <w:rPr>
                <w:rFonts w:ascii="Trebuchet MS" w:hAnsi="Trebuchet MS" w:cs="Tahoma"/>
                <w:b/>
                <w:sz w:val="13"/>
                <w:szCs w:val="13"/>
              </w:rPr>
            </w:pPr>
            <w:hyperlink w:anchor="_34_Bing_Maps" w:history="1">
              <w:r w:rsidR="00BF5FC6" w:rsidRPr="0058047D">
                <w:rPr>
                  <w:rStyle w:val="Hyperlink"/>
                  <w:rFonts w:ascii="Trebuchet MS" w:hAnsi="Trebuchet MS"/>
                  <w:b/>
                  <w:sz w:val="13"/>
                  <w:szCs w:val="13"/>
                </w:rPr>
                <w:t>34</w:t>
              </w:r>
            </w:hyperlink>
          </w:p>
        </w:tc>
        <w:tc>
          <w:tcPr>
            <w:tcW w:w="516" w:type="dxa"/>
            <w:tcBorders>
              <w:bottom w:val="single" w:sz="3" w:space="0" w:color="auto"/>
            </w:tcBorders>
            <w:shd w:val="clear" w:color="auto" w:fill="FABF8F"/>
            <w:vAlign w:val="center"/>
          </w:tcPr>
          <w:p w14:paraId="544FE0CB" w14:textId="77777777" w:rsidR="00913A0A" w:rsidRPr="0058047D" w:rsidRDefault="00913A0A" w:rsidP="002253A3">
            <w:pPr>
              <w:jc w:val="center"/>
              <w:rPr>
                <w:rFonts w:cs="Tahoma"/>
                <w:sz w:val="14"/>
              </w:rPr>
            </w:pPr>
            <w:r w:rsidRPr="0058047D">
              <w:rPr>
                <w:rFonts w:cs="Tahoma"/>
                <w:sz w:val="14"/>
              </w:rPr>
              <w:t>04/13</w:t>
            </w:r>
          </w:p>
        </w:tc>
        <w:tc>
          <w:tcPr>
            <w:tcW w:w="358" w:type="dxa"/>
            <w:tcBorders>
              <w:bottom w:val="single" w:sz="3" w:space="0" w:color="auto"/>
              <w:right w:val="single" w:sz="15" w:space="0" w:color="auto"/>
            </w:tcBorders>
            <w:shd w:val="clear" w:color="auto" w:fill="FABF8F"/>
            <w:vAlign w:val="center"/>
          </w:tcPr>
          <w:p w14:paraId="176FB7DF" w14:textId="77777777" w:rsidR="00913A0A" w:rsidRPr="0058047D" w:rsidRDefault="00913A0A" w:rsidP="002253A3">
            <w:pPr>
              <w:jc w:val="center"/>
              <w:rPr>
                <w:rFonts w:cs="Tahoma"/>
                <w:sz w:val="14"/>
              </w:rPr>
            </w:pPr>
          </w:p>
        </w:tc>
        <w:tc>
          <w:tcPr>
            <w:tcW w:w="2712" w:type="dxa"/>
            <w:gridSpan w:val="8"/>
            <w:tcBorders>
              <w:left w:val="single" w:sz="15" w:space="0" w:color="auto"/>
              <w:bottom w:val="single" w:sz="3" w:space="0" w:color="auto"/>
              <w:right w:val="single" w:sz="15" w:space="0" w:color="auto"/>
            </w:tcBorders>
            <w:shd w:val="clear" w:color="auto" w:fill="FABF8F"/>
            <w:vAlign w:val="center"/>
          </w:tcPr>
          <w:p w14:paraId="33ED9D9C" w14:textId="77777777" w:rsidR="00913A0A" w:rsidRPr="0058047D" w:rsidRDefault="00913A0A" w:rsidP="002253A3">
            <w:pPr>
              <w:jc w:val="center"/>
              <w:rPr>
                <w:rFonts w:cs="Tahoma"/>
                <w:sz w:val="14"/>
              </w:rPr>
            </w:pPr>
            <w:r w:rsidRPr="0058047D">
              <w:rPr>
                <w:rFonts w:cs="Tahoma"/>
                <w:sz w:val="14"/>
              </w:rPr>
              <w:t>25 crediti</w:t>
            </w:r>
          </w:p>
        </w:tc>
        <w:tc>
          <w:tcPr>
            <w:tcW w:w="477" w:type="dxa"/>
            <w:tcBorders>
              <w:left w:val="single" w:sz="15" w:space="0" w:color="auto"/>
              <w:bottom w:val="single" w:sz="3" w:space="0" w:color="auto"/>
            </w:tcBorders>
            <w:shd w:val="clear" w:color="auto" w:fill="FABF8F"/>
            <w:vAlign w:val="center"/>
          </w:tcPr>
          <w:p w14:paraId="3DC43AF8" w14:textId="77777777" w:rsidR="00913A0A" w:rsidRPr="0058047D" w:rsidRDefault="00913A0A" w:rsidP="002253A3">
            <w:pPr>
              <w:jc w:val="center"/>
              <w:rPr>
                <w:rFonts w:cs="Tahoma"/>
                <w:sz w:val="14"/>
              </w:rPr>
            </w:pPr>
            <w:r w:rsidRPr="0058047D">
              <w:rPr>
                <w:rFonts w:cs="Tahoma"/>
                <w:sz w:val="14"/>
              </w:rPr>
              <w:t>25</w:t>
            </w:r>
          </w:p>
        </w:tc>
        <w:tc>
          <w:tcPr>
            <w:tcW w:w="450" w:type="dxa"/>
            <w:tcBorders>
              <w:bottom w:val="single" w:sz="3" w:space="0" w:color="auto"/>
              <w:right w:val="single" w:sz="4" w:space="0" w:color="auto"/>
            </w:tcBorders>
            <w:shd w:val="clear" w:color="auto" w:fill="FABF8F"/>
            <w:vAlign w:val="center"/>
          </w:tcPr>
          <w:p w14:paraId="2C171902" w14:textId="77777777" w:rsidR="00913A0A" w:rsidRPr="0058047D" w:rsidRDefault="00913A0A" w:rsidP="002253A3">
            <w:pPr>
              <w:jc w:val="center"/>
              <w:rPr>
                <w:rFonts w:cs="Tahoma"/>
                <w:sz w:val="14"/>
              </w:rPr>
            </w:pPr>
          </w:p>
        </w:tc>
        <w:tc>
          <w:tcPr>
            <w:tcW w:w="414" w:type="dxa"/>
            <w:tcBorders>
              <w:top w:val="single" w:sz="4" w:space="0" w:color="auto"/>
              <w:left w:val="single" w:sz="4" w:space="0" w:color="auto"/>
              <w:bottom w:val="single" w:sz="4" w:space="0" w:color="auto"/>
              <w:right w:val="single" w:sz="18" w:space="0" w:color="auto"/>
            </w:tcBorders>
            <w:shd w:val="clear" w:color="auto" w:fill="FABF8F"/>
            <w:vAlign w:val="center"/>
          </w:tcPr>
          <w:p w14:paraId="0D271E32" w14:textId="77777777" w:rsidR="00913A0A" w:rsidRPr="0058047D" w:rsidRDefault="00913A0A" w:rsidP="002253A3">
            <w:pPr>
              <w:jc w:val="center"/>
              <w:rPr>
                <w:rFonts w:cs="Tahoma"/>
                <w:sz w:val="14"/>
              </w:rPr>
            </w:pPr>
          </w:p>
        </w:tc>
        <w:tc>
          <w:tcPr>
            <w:tcW w:w="468" w:type="dxa"/>
            <w:tcBorders>
              <w:top w:val="single" w:sz="4" w:space="0" w:color="auto"/>
              <w:left w:val="single" w:sz="18" w:space="0" w:color="auto"/>
              <w:bottom w:val="single" w:sz="4" w:space="0" w:color="auto"/>
              <w:right w:val="single" w:sz="4" w:space="0" w:color="auto"/>
            </w:tcBorders>
            <w:shd w:val="clear" w:color="auto" w:fill="FABF8F"/>
            <w:vAlign w:val="center"/>
          </w:tcPr>
          <w:p w14:paraId="30BE2E0B" w14:textId="77777777" w:rsidR="00913A0A" w:rsidRPr="0058047D" w:rsidRDefault="00913A0A" w:rsidP="002253A3">
            <w:pPr>
              <w:jc w:val="center"/>
              <w:rPr>
                <w:rFonts w:cs="Tahoma"/>
                <w:sz w:val="14"/>
              </w:rPr>
            </w:pPr>
          </w:p>
        </w:tc>
        <w:tc>
          <w:tcPr>
            <w:tcW w:w="477" w:type="dxa"/>
            <w:tcBorders>
              <w:left w:val="single" w:sz="4" w:space="0" w:color="auto"/>
              <w:bottom w:val="single" w:sz="3" w:space="0" w:color="auto"/>
              <w:right w:val="single" w:sz="18" w:space="0" w:color="auto"/>
            </w:tcBorders>
            <w:shd w:val="clear" w:color="auto" w:fill="FABF8F"/>
            <w:vAlign w:val="center"/>
          </w:tcPr>
          <w:p w14:paraId="0AF93996" w14:textId="77777777" w:rsidR="00913A0A" w:rsidRPr="0058047D" w:rsidRDefault="00913A0A" w:rsidP="002253A3">
            <w:pPr>
              <w:jc w:val="center"/>
              <w:rPr>
                <w:rFonts w:cs="Tahoma"/>
                <w:sz w:val="14"/>
              </w:rPr>
            </w:pPr>
            <w:r w:rsidRPr="0058047D">
              <w:rPr>
                <w:rFonts w:cs="Tahoma"/>
                <w:sz w:val="13"/>
              </w:rPr>
              <w:t>A</w:t>
            </w:r>
          </w:p>
        </w:tc>
        <w:tc>
          <w:tcPr>
            <w:tcW w:w="324" w:type="dxa"/>
            <w:tcBorders>
              <w:top w:val="single" w:sz="4" w:space="0" w:color="auto"/>
              <w:left w:val="single" w:sz="18" w:space="0" w:color="auto"/>
              <w:bottom w:val="single" w:sz="4" w:space="0" w:color="auto"/>
              <w:right w:val="single" w:sz="18" w:space="0" w:color="auto"/>
            </w:tcBorders>
            <w:shd w:val="clear" w:color="auto" w:fill="FABF8F"/>
            <w:vAlign w:val="center"/>
          </w:tcPr>
          <w:p w14:paraId="1622DDF3" w14:textId="77777777" w:rsidR="00913A0A" w:rsidRPr="0058047D" w:rsidRDefault="00913A0A" w:rsidP="002253A3">
            <w:pPr>
              <w:jc w:val="center"/>
              <w:rPr>
                <w:rFonts w:cs="Tahoma"/>
                <w:sz w:val="14"/>
              </w:rPr>
            </w:pPr>
            <w:r w:rsidRPr="0058047D">
              <w:rPr>
                <w:rFonts w:cs="Tahoma"/>
                <w:sz w:val="13"/>
              </w:rPr>
              <w:t>P</w:t>
            </w:r>
          </w:p>
        </w:tc>
        <w:tc>
          <w:tcPr>
            <w:tcW w:w="655" w:type="dxa"/>
            <w:tcBorders>
              <w:left w:val="single" w:sz="18" w:space="0" w:color="auto"/>
              <w:bottom w:val="single" w:sz="3" w:space="0" w:color="auto"/>
            </w:tcBorders>
            <w:shd w:val="clear" w:color="auto" w:fill="FABF8F"/>
            <w:vAlign w:val="center"/>
          </w:tcPr>
          <w:p w14:paraId="52A97E6E" w14:textId="77777777" w:rsidR="00913A0A" w:rsidRPr="0058047D" w:rsidRDefault="00913A0A" w:rsidP="002253A3">
            <w:pPr>
              <w:jc w:val="center"/>
              <w:rPr>
                <w:rFonts w:cs="Tahoma"/>
                <w:sz w:val="14"/>
              </w:rPr>
            </w:pPr>
          </w:p>
        </w:tc>
        <w:tc>
          <w:tcPr>
            <w:tcW w:w="504" w:type="dxa"/>
            <w:tcBorders>
              <w:bottom w:val="single" w:sz="3" w:space="0" w:color="auto"/>
            </w:tcBorders>
            <w:shd w:val="clear" w:color="auto" w:fill="FABF8F"/>
            <w:vAlign w:val="center"/>
          </w:tcPr>
          <w:p w14:paraId="4B6422EB" w14:textId="77777777" w:rsidR="00913A0A" w:rsidRPr="0058047D" w:rsidRDefault="00913A0A" w:rsidP="002253A3">
            <w:pPr>
              <w:jc w:val="center"/>
              <w:rPr>
                <w:rFonts w:cs="Tahoma"/>
                <w:sz w:val="14"/>
              </w:rPr>
            </w:pPr>
            <w:r w:rsidRPr="0058047D">
              <w:rPr>
                <w:rFonts w:cs="Tahoma"/>
                <w:sz w:val="13"/>
              </w:rPr>
              <w:t>OL/OV</w:t>
            </w:r>
          </w:p>
        </w:tc>
        <w:tc>
          <w:tcPr>
            <w:tcW w:w="405" w:type="dxa"/>
            <w:tcBorders>
              <w:bottom w:val="single" w:sz="3" w:space="0" w:color="auto"/>
            </w:tcBorders>
            <w:shd w:val="clear" w:color="auto" w:fill="FABF8F"/>
          </w:tcPr>
          <w:p w14:paraId="5B9C6CDB" w14:textId="77777777" w:rsidR="00913A0A" w:rsidRPr="0058047D" w:rsidRDefault="00913A0A" w:rsidP="002253A3">
            <w:pPr>
              <w:jc w:val="center"/>
              <w:rPr>
                <w:rFonts w:cs="Tahoma"/>
                <w:sz w:val="13"/>
              </w:rPr>
            </w:pPr>
            <w:r w:rsidRPr="0058047D">
              <w:rPr>
                <w:rFonts w:cs="Tahoma"/>
                <w:sz w:val="13"/>
              </w:rPr>
              <w:t>A</w:t>
            </w:r>
          </w:p>
        </w:tc>
      </w:tr>
      <w:tr w:rsidR="009323A0" w:rsidRPr="0058047D" w14:paraId="1AE0375C" w14:textId="77777777" w:rsidTr="00C86F50">
        <w:trPr>
          <w:trHeight w:val="145"/>
        </w:trPr>
        <w:tc>
          <w:tcPr>
            <w:tcW w:w="2619" w:type="dxa"/>
            <w:gridSpan w:val="2"/>
            <w:tcBorders>
              <w:bottom w:val="single" w:sz="4" w:space="0" w:color="auto"/>
            </w:tcBorders>
            <w:shd w:val="clear" w:color="auto" w:fill="auto"/>
          </w:tcPr>
          <w:p w14:paraId="4422B1DE" w14:textId="77777777" w:rsidR="00913A0A" w:rsidRPr="0058047D" w:rsidRDefault="00913A0A" w:rsidP="001A63C6">
            <w:pPr>
              <w:pStyle w:val="ProductNames"/>
              <w:spacing w:before="0" w:after="0"/>
              <w:rPr>
                <w:rFonts w:ascii="Tahoma" w:hAnsi="Tahoma" w:cs="Tahoma"/>
                <w:sz w:val="14"/>
              </w:rPr>
            </w:pPr>
            <w:bookmarkStart w:id="132" w:name="_Toc371663318"/>
            <w:r w:rsidRPr="0058047D">
              <w:rPr>
                <w:rFonts w:ascii="Tahoma" w:hAnsi="Tahoma" w:cs="Tahoma"/>
                <w:sz w:val="14"/>
              </w:rPr>
              <w:t>Bing Maps Public Website Usage 100K Transactions Monthly Sub</w:t>
            </w:r>
            <w:bookmarkEnd w:id="132"/>
          </w:p>
        </w:tc>
        <w:tc>
          <w:tcPr>
            <w:tcW w:w="554" w:type="dxa"/>
            <w:tcBorders>
              <w:bottom w:val="single" w:sz="4" w:space="0" w:color="auto"/>
            </w:tcBorders>
            <w:shd w:val="clear" w:color="auto" w:fill="auto"/>
            <w:vAlign w:val="center"/>
          </w:tcPr>
          <w:p w14:paraId="020E681F" w14:textId="77777777" w:rsidR="00913A0A" w:rsidRPr="0058047D" w:rsidRDefault="00C86F50" w:rsidP="003D4F46">
            <w:pPr>
              <w:jc w:val="center"/>
              <w:rPr>
                <w:rFonts w:ascii="Trebuchet MS" w:hAnsi="Trebuchet MS" w:cs="Tahoma"/>
                <w:b/>
                <w:sz w:val="13"/>
                <w:szCs w:val="13"/>
              </w:rPr>
            </w:pPr>
            <w:hyperlink w:anchor="_34_Bing_Maps" w:history="1">
              <w:r w:rsidR="00BF5FC6" w:rsidRPr="0058047D">
                <w:rPr>
                  <w:rStyle w:val="Hyperlink"/>
                  <w:rFonts w:ascii="Trebuchet MS" w:hAnsi="Trebuchet MS"/>
                  <w:b/>
                  <w:sz w:val="13"/>
                  <w:szCs w:val="13"/>
                </w:rPr>
                <w:t>34</w:t>
              </w:r>
            </w:hyperlink>
          </w:p>
        </w:tc>
        <w:tc>
          <w:tcPr>
            <w:tcW w:w="516" w:type="dxa"/>
            <w:tcBorders>
              <w:bottom w:val="single" w:sz="4" w:space="0" w:color="auto"/>
            </w:tcBorders>
            <w:shd w:val="clear" w:color="auto" w:fill="auto"/>
            <w:vAlign w:val="center"/>
          </w:tcPr>
          <w:p w14:paraId="7DBD11E6" w14:textId="77777777" w:rsidR="00913A0A" w:rsidRPr="0058047D" w:rsidRDefault="00913A0A" w:rsidP="002253A3">
            <w:pPr>
              <w:jc w:val="center"/>
              <w:rPr>
                <w:rFonts w:cs="Tahoma"/>
                <w:sz w:val="14"/>
              </w:rPr>
            </w:pPr>
            <w:r w:rsidRPr="0058047D">
              <w:rPr>
                <w:rFonts w:cs="Tahoma"/>
                <w:sz w:val="14"/>
              </w:rPr>
              <w:t>04/13</w:t>
            </w:r>
          </w:p>
        </w:tc>
        <w:tc>
          <w:tcPr>
            <w:tcW w:w="358" w:type="dxa"/>
            <w:tcBorders>
              <w:bottom w:val="single" w:sz="4" w:space="0" w:color="auto"/>
              <w:right w:val="single" w:sz="18" w:space="0" w:color="auto"/>
            </w:tcBorders>
            <w:shd w:val="clear" w:color="auto" w:fill="auto"/>
            <w:vAlign w:val="center"/>
          </w:tcPr>
          <w:p w14:paraId="59649DF1" w14:textId="77777777" w:rsidR="00913A0A" w:rsidRPr="0058047D" w:rsidRDefault="00913A0A" w:rsidP="002253A3">
            <w:pPr>
              <w:jc w:val="center"/>
              <w:rPr>
                <w:rFonts w:cs="Tahoma"/>
                <w:sz w:val="14"/>
              </w:rPr>
            </w:pPr>
          </w:p>
        </w:tc>
        <w:tc>
          <w:tcPr>
            <w:tcW w:w="2712" w:type="dxa"/>
            <w:gridSpan w:val="8"/>
            <w:tcBorders>
              <w:left w:val="single" w:sz="18" w:space="0" w:color="auto"/>
              <w:bottom w:val="single" w:sz="4" w:space="0" w:color="auto"/>
              <w:right w:val="single" w:sz="18" w:space="0" w:color="auto"/>
            </w:tcBorders>
            <w:shd w:val="clear" w:color="auto" w:fill="auto"/>
            <w:vAlign w:val="center"/>
          </w:tcPr>
          <w:p w14:paraId="040BFB00" w14:textId="77777777" w:rsidR="00913A0A" w:rsidRPr="0058047D" w:rsidRDefault="00913A0A" w:rsidP="002253A3">
            <w:pPr>
              <w:jc w:val="center"/>
              <w:rPr>
                <w:rFonts w:cs="Tahoma"/>
                <w:sz w:val="14"/>
              </w:rPr>
            </w:pPr>
            <w:r w:rsidRPr="0058047D">
              <w:rPr>
                <w:rFonts w:cs="Tahoma"/>
                <w:sz w:val="14"/>
              </w:rPr>
              <w:t>50 crediti</w:t>
            </w:r>
          </w:p>
        </w:tc>
        <w:tc>
          <w:tcPr>
            <w:tcW w:w="477" w:type="dxa"/>
            <w:tcBorders>
              <w:left w:val="single" w:sz="18" w:space="0" w:color="auto"/>
              <w:bottom w:val="single" w:sz="4" w:space="0" w:color="auto"/>
            </w:tcBorders>
            <w:shd w:val="clear" w:color="auto" w:fill="auto"/>
            <w:vAlign w:val="center"/>
          </w:tcPr>
          <w:p w14:paraId="5AA8D74F" w14:textId="77777777" w:rsidR="00913A0A" w:rsidRPr="0058047D" w:rsidRDefault="00913A0A" w:rsidP="002253A3">
            <w:pPr>
              <w:jc w:val="center"/>
              <w:rPr>
                <w:rFonts w:cs="Tahoma"/>
                <w:sz w:val="14"/>
              </w:rPr>
            </w:pPr>
            <w:r w:rsidRPr="0058047D">
              <w:rPr>
                <w:rFonts w:cs="Tahoma"/>
                <w:sz w:val="14"/>
              </w:rPr>
              <w:t>50</w:t>
            </w:r>
          </w:p>
        </w:tc>
        <w:tc>
          <w:tcPr>
            <w:tcW w:w="450" w:type="dxa"/>
            <w:tcBorders>
              <w:bottom w:val="single" w:sz="4" w:space="0" w:color="auto"/>
            </w:tcBorders>
            <w:shd w:val="clear" w:color="auto" w:fill="auto"/>
            <w:vAlign w:val="center"/>
          </w:tcPr>
          <w:p w14:paraId="1A58E744" w14:textId="77777777" w:rsidR="00913A0A" w:rsidRPr="0058047D" w:rsidRDefault="00913A0A" w:rsidP="002253A3">
            <w:pPr>
              <w:jc w:val="center"/>
              <w:rPr>
                <w:rFonts w:cs="Tahoma"/>
                <w:sz w:val="14"/>
              </w:rPr>
            </w:pPr>
          </w:p>
        </w:tc>
        <w:tc>
          <w:tcPr>
            <w:tcW w:w="414" w:type="dxa"/>
            <w:tcBorders>
              <w:top w:val="single" w:sz="4" w:space="0" w:color="auto"/>
              <w:bottom w:val="single" w:sz="4" w:space="0" w:color="auto"/>
              <w:right w:val="single" w:sz="18" w:space="0" w:color="auto"/>
            </w:tcBorders>
            <w:shd w:val="clear" w:color="auto" w:fill="auto"/>
            <w:vAlign w:val="center"/>
          </w:tcPr>
          <w:p w14:paraId="5FACCEF4" w14:textId="77777777" w:rsidR="00913A0A" w:rsidRPr="0058047D" w:rsidRDefault="00913A0A" w:rsidP="002253A3">
            <w:pPr>
              <w:jc w:val="center"/>
              <w:rPr>
                <w:rFonts w:cs="Tahoma"/>
                <w:sz w:val="14"/>
              </w:rPr>
            </w:pPr>
          </w:p>
        </w:tc>
        <w:tc>
          <w:tcPr>
            <w:tcW w:w="468" w:type="dxa"/>
            <w:tcBorders>
              <w:top w:val="single" w:sz="4" w:space="0" w:color="auto"/>
              <w:left w:val="single" w:sz="18" w:space="0" w:color="auto"/>
              <w:bottom w:val="single" w:sz="4" w:space="0" w:color="auto"/>
            </w:tcBorders>
            <w:shd w:val="clear" w:color="auto" w:fill="auto"/>
            <w:vAlign w:val="center"/>
          </w:tcPr>
          <w:p w14:paraId="038C49C6" w14:textId="77777777" w:rsidR="00913A0A" w:rsidRPr="0058047D" w:rsidRDefault="00913A0A" w:rsidP="002253A3">
            <w:pPr>
              <w:jc w:val="center"/>
              <w:rPr>
                <w:rFonts w:cs="Tahoma"/>
                <w:sz w:val="14"/>
              </w:rPr>
            </w:pPr>
          </w:p>
        </w:tc>
        <w:tc>
          <w:tcPr>
            <w:tcW w:w="477" w:type="dxa"/>
            <w:tcBorders>
              <w:bottom w:val="single" w:sz="4" w:space="0" w:color="auto"/>
              <w:right w:val="single" w:sz="18" w:space="0" w:color="auto"/>
            </w:tcBorders>
            <w:shd w:val="clear" w:color="auto" w:fill="auto"/>
            <w:vAlign w:val="center"/>
          </w:tcPr>
          <w:p w14:paraId="37F6F052" w14:textId="77777777" w:rsidR="00913A0A" w:rsidRPr="0058047D" w:rsidRDefault="00913A0A" w:rsidP="002253A3">
            <w:pPr>
              <w:jc w:val="center"/>
              <w:rPr>
                <w:rFonts w:cs="Tahoma"/>
                <w:sz w:val="14"/>
              </w:rPr>
            </w:pPr>
            <w:r w:rsidRPr="0058047D">
              <w:rPr>
                <w:rFonts w:cs="Tahoma"/>
                <w:sz w:val="13"/>
              </w:rPr>
              <w:t>A</w:t>
            </w:r>
          </w:p>
        </w:tc>
        <w:tc>
          <w:tcPr>
            <w:tcW w:w="324" w:type="dxa"/>
            <w:tcBorders>
              <w:top w:val="single" w:sz="4" w:space="0" w:color="auto"/>
              <w:left w:val="single" w:sz="18" w:space="0" w:color="auto"/>
              <w:bottom w:val="single" w:sz="4" w:space="0" w:color="auto"/>
              <w:right w:val="single" w:sz="18" w:space="0" w:color="auto"/>
            </w:tcBorders>
            <w:shd w:val="clear" w:color="auto" w:fill="auto"/>
            <w:vAlign w:val="center"/>
          </w:tcPr>
          <w:p w14:paraId="176E46E5" w14:textId="77777777" w:rsidR="00913A0A" w:rsidRPr="0058047D" w:rsidRDefault="00913A0A" w:rsidP="002253A3">
            <w:pPr>
              <w:jc w:val="center"/>
              <w:rPr>
                <w:rFonts w:cs="Tahoma"/>
                <w:sz w:val="14"/>
              </w:rPr>
            </w:pPr>
            <w:r w:rsidRPr="0058047D">
              <w:rPr>
                <w:rFonts w:cs="Tahoma"/>
                <w:sz w:val="13"/>
              </w:rPr>
              <w:t>P</w:t>
            </w:r>
          </w:p>
        </w:tc>
        <w:tc>
          <w:tcPr>
            <w:tcW w:w="655" w:type="dxa"/>
            <w:tcBorders>
              <w:bottom w:val="single" w:sz="4" w:space="0" w:color="auto"/>
            </w:tcBorders>
            <w:shd w:val="clear" w:color="auto" w:fill="auto"/>
            <w:vAlign w:val="center"/>
          </w:tcPr>
          <w:p w14:paraId="7CA26F24" w14:textId="77777777" w:rsidR="00913A0A" w:rsidRPr="0058047D" w:rsidRDefault="00913A0A" w:rsidP="002253A3">
            <w:pPr>
              <w:jc w:val="center"/>
              <w:rPr>
                <w:rFonts w:cs="Tahoma"/>
                <w:sz w:val="14"/>
              </w:rPr>
            </w:pPr>
          </w:p>
        </w:tc>
        <w:tc>
          <w:tcPr>
            <w:tcW w:w="504" w:type="dxa"/>
            <w:tcBorders>
              <w:bottom w:val="single" w:sz="4" w:space="0" w:color="auto"/>
            </w:tcBorders>
            <w:shd w:val="clear" w:color="auto" w:fill="auto"/>
            <w:vAlign w:val="center"/>
          </w:tcPr>
          <w:p w14:paraId="7E8EC1DE" w14:textId="77777777" w:rsidR="00913A0A" w:rsidRPr="0058047D" w:rsidRDefault="00913A0A" w:rsidP="002253A3">
            <w:pPr>
              <w:jc w:val="center"/>
              <w:rPr>
                <w:rFonts w:cs="Tahoma"/>
                <w:sz w:val="14"/>
              </w:rPr>
            </w:pPr>
            <w:r w:rsidRPr="0058047D">
              <w:rPr>
                <w:rFonts w:cs="Tahoma"/>
                <w:sz w:val="13"/>
              </w:rPr>
              <w:t>OL/OV</w:t>
            </w:r>
          </w:p>
        </w:tc>
        <w:tc>
          <w:tcPr>
            <w:tcW w:w="405" w:type="dxa"/>
            <w:tcBorders>
              <w:bottom w:val="single" w:sz="4" w:space="0" w:color="auto"/>
            </w:tcBorders>
          </w:tcPr>
          <w:p w14:paraId="45B06359" w14:textId="77777777" w:rsidR="00913A0A" w:rsidRPr="0058047D" w:rsidRDefault="00913A0A" w:rsidP="002253A3">
            <w:pPr>
              <w:jc w:val="center"/>
              <w:rPr>
                <w:rFonts w:cs="Tahoma"/>
                <w:sz w:val="13"/>
              </w:rPr>
            </w:pPr>
            <w:r w:rsidRPr="0058047D">
              <w:rPr>
                <w:rFonts w:cs="Tahoma"/>
                <w:sz w:val="13"/>
              </w:rPr>
              <w:t>A</w:t>
            </w:r>
          </w:p>
        </w:tc>
      </w:tr>
      <w:tr w:rsidR="009323A0" w:rsidRPr="0058047D" w14:paraId="4BDE0630" w14:textId="77777777" w:rsidTr="00C86F50">
        <w:trPr>
          <w:trHeight w:val="145"/>
        </w:trPr>
        <w:tc>
          <w:tcPr>
            <w:tcW w:w="2619" w:type="dxa"/>
            <w:gridSpan w:val="2"/>
            <w:tcBorders>
              <w:bottom w:val="single" w:sz="4" w:space="0" w:color="auto"/>
            </w:tcBorders>
            <w:shd w:val="clear" w:color="auto" w:fill="FABF8F"/>
          </w:tcPr>
          <w:p w14:paraId="26B878B9" w14:textId="77777777" w:rsidR="00913A0A" w:rsidRPr="0058047D" w:rsidRDefault="00913A0A" w:rsidP="001A63C6">
            <w:pPr>
              <w:pStyle w:val="ProductNames"/>
              <w:spacing w:before="0" w:after="0"/>
              <w:rPr>
                <w:rFonts w:ascii="Tahoma" w:hAnsi="Tahoma" w:cs="Tahoma"/>
                <w:sz w:val="14"/>
              </w:rPr>
            </w:pPr>
            <w:bookmarkStart w:id="133" w:name="_Toc371663319"/>
            <w:r w:rsidRPr="0058047D">
              <w:rPr>
                <w:rFonts w:ascii="Tahoma" w:hAnsi="Tahoma" w:cs="Tahoma"/>
                <w:sz w:val="14"/>
              </w:rPr>
              <w:t>Bing Maps Public Website Usage 420K (and higher) Transactions Monthly Sub</w:t>
            </w:r>
            <w:bookmarkEnd w:id="133"/>
          </w:p>
        </w:tc>
        <w:tc>
          <w:tcPr>
            <w:tcW w:w="554" w:type="dxa"/>
            <w:tcBorders>
              <w:bottom w:val="single" w:sz="4" w:space="0" w:color="auto"/>
            </w:tcBorders>
            <w:shd w:val="clear" w:color="auto" w:fill="FABF8F"/>
            <w:vAlign w:val="center"/>
          </w:tcPr>
          <w:p w14:paraId="0DFC22CF" w14:textId="77777777" w:rsidR="00913A0A" w:rsidRPr="0058047D" w:rsidRDefault="00C86F50" w:rsidP="003D4F46">
            <w:pPr>
              <w:jc w:val="center"/>
              <w:rPr>
                <w:rFonts w:ascii="Trebuchet MS" w:hAnsi="Trebuchet MS" w:cs="Tahoma"/>
                <w:b/>
                <w:sz w:val="13"/>
                <w:szCs w:val="13"/>
              </w:rPr>
            </w:pPr>
            <w:hyperlink w:anchor="_34_Bing_Maps" w:history="1">
              <w:r w:rsidR="00BF5FC6" w:rsidRPr="0058047D">
                <w:rPr>
                  <w:rStyle w:val="Hyperlink"/>
                  <w:rFonts w:ascii="Trebuchet MS" w:hAnsi="Trebuchet MS"/>
                  <w:b/>
                  <w:sz w:val="13"/>
                  <w:szCs w:val="13"/>
                </w:rPr>
                <w:t>34</w:t>
              </w:r>
            </w:hyperlink>
          </w:p>
        </w:tc>
        <w:tc>
          <w:tcPr>
            <w:tcW w:w="516" w:type="dxa"/>
            <w:tcBorders>
              <w:bottom w:val="single" w:sz="4" w:space="0" w:color="auto"/>
            </w:tcBorders>
            <w:shd w:val="clear" w:color="auto" w:fill="FABF8F"/>
            <w:vAlign w:val="center"/>
          </w:tcPr>
          <w:p w14:paraId="1CD00B42" w14:textId="77777777" w:rsidR="00913A0A" w:rsidRPr="0058047D" w:rsidRDefault="00913A0A" w:rsidP="002253A3">
            <w:pPr>
              <w:jc w:val="center"/>
              <w:rPr>
                <w:rFonts w:cs="Tahoma"/>
                <w:sz w:val="14"/>
              </w:rPr>
            </w:pPr>
            <w:r w:rsidRPr="0058047D">
              <w:rPr>
                <w:rFonts w:cs="Tahoma"/>
                <w:sz w:val="14"/>
              </w:rPr>
              <w:t>04/13</w:t>
            </w:r>
          </w:p>
        </w:tc>
        <w:tc>
          <w:tcPr>
            <w:tcW w:w="358" w:type="dxa"/>
            <w:tcBorders>
              <w:bottom w:val="single" w:sz="4" w:space="0" w:color="auto"/>
              <w:right w:val="single" w:sz="18" w:space="0" w:color="auto"/>
            </w:tcBorders>
            <w:shd w:val="clear" w:color="auto" w:fill="FABF8F"/>
            <w:vAlign w:val="center"/>
          </w:tcPr>
          <w:p w14:paraId="744CB552" w14:textId="77777777" w:rsidR="00913A0A" w:rsidRPr="0058047D" w:rsidRDefault="00913A0A" w:rsidP="002253A3">
            <w:pPr>
              <w:jc w:val="center"/>
              <w:rPr>
                <w:rFonts w:cs="Tahoma"/>
                <w:sz w:val="14"/>
              </w:rPr>
            </w:pPr>
          </w:p>
        </w:tc>
        <w:tc>
          <w:tcPr>
            <w:tcW w:w="2712" w:type="dxa"/>
            <w:gridSpan w:val="8"/>
            <w:tcBorders>
              <w:left w:val="single" w:sz="18" w:space="0" w:color="auto"/>
              <w:bottom w:val="single" w:sz="4" w:space="0" w:color="auto"/>
              <w:right w:val="single" w:sz="18" w:space="0" w:color="auto"/>
            </w:tcBorders>
            <w:shd w:val="clear" w:color="auto" w:fill="FABF8F"/>
            <w:vAlign w:val="center"/>
          </w:tcPr>
          <w:p w14:paraId="3DD4FC88" w14:textId="77777777" w:rsidR="00913A0A" w:rsidRPr="0058047D" w:rsidRDefault="00913A0A" w:rsidP="002253A3">
            <w:pPr>
              <w:jc w:val="center"/>
              <w:rPr>
                <w:rFonts w:cs="Tahoma"/>
                <w:sz w:val="14"/>
              </w:rPr>
            </w:pPr>
            <w:r w:rsidRPr="0058047D">
              <w:rPr>
                <w:rFonts w:cs="Tahoma"/>
                <w:sz w:val="14"/>
              </w:rPr>
              <w:t>200 crediti</w:t>
            </w:r>
          </w:p>
        </w:tc>
        <w:tc>
          <w:tcPr>
            <w:tcW w:w="477" w:type="dxa"/>
            <w:tcBorders>
              <w:left w:val="single" w:sz="18" w:space="0" w:color="auto"/>
              <w:bottom w:val="single" w:sz="4" w:space="0" w:color="auto"/>
            </w:tcBorders>
            <w:shd w:val="clear" w:color="auto" w:fill="FABF8F"/>
            <w:vAlign w:val="center"/>
          </w:tcPr>
          <w:p w14:paraId="2EE8BD0E" w14:textId="77777777" w:rsidR="00913A0A" w:rsidRPr="0058047D" w:rsidRDefault="00913A0A" w:rsidP="002253A3">
            <w:pPr>
              <w:jc w:val="center"/>
              <w:rPr>
                <w:rFonts w:cs="Tahoma"/>
                <w:sz w:val="14"/>
              </w:rPr>
            </w:pPr>
            <w:r w:rsidRPr="0058047D">
              <w:rPr>
                <w:rFonts w:cs="Tahoma"/>
                <w:sz w:val="14"/>
              </w:rPr>
              <w:t>200</w:t>
            </w:r>
          </w:p>
        </w:tc>
        <w:tc>
          <w:tcPr>
            <w:tcW w:w="450" w:type="dxa"/>
            <w:tcBorders>
              <w:bottom w:val="single" w:sz="4" w:space="0" w:color="auto"/>
            </w:tcBorders>
            <w:shd w:val="clear" w:color="auto" w:fill="FABF8F"/>
            <w:vAlign w:val="center"/>
          </w:tcPr>
          <w:p w14:paraId="31A99F26" w14:textId="77777777" w:rsidR="00913A0A" w:rsidRPr="0058047D" w:rsidRDefault="00913A0A" w:rsidP="002253A3">
            <w:pPr>
              <w:jc w:val="center"/>
              <w:rPr>
                <w:rFonts w:cs="Tahoma"/>
                <w:sz w:val="14"/>
              </w:rPr>
            </w:pPr>
          </w:p>
        </w:tc>
        <w:tc>
          <w:tcPr>
            <w:tcW w:w="414" w:type="dxa"/>
            <w:tcBorders>
              <w:bottom w:val="single" w:sz="4" w:space="0" w:color="auto"/>
              <w:right w:val="single" w:sz="18" w:space="0" w:color="auto"/>
            </w:tcBorders>
            <w:shd w:val="clear" w:color="auto" w:fill="FABF8F"/>
            <w:vAlign w:val="center"/>
          </w:tcPr>
          <w:p w14:paraId="534B3F35" w14:textId="77777777" w:rsidR="00913A0A" w:rsidRPr="0058047D" w:rsidRDefault="00913A0A" w:rsidP="002253A3">
            <w:pPr>
              <w:jc w:val="center"/>
              <w:rPr>
                <w:rFonts w:cs="Tahoma"/>
                <w:sz w:val="14"/>
              </w:rPr>
            </w:pPr>
          </w:p>
        </w:tc>
        <w:tc>
          <w:tcPr>
            <w:tcW w:w="468" w:type="dxa"/>
            <w:tcBorders>
              <w:left w:val="single" w:sz="18" w:space="0" w:color="auto"/>
              <w:bottom w:val="single" w:sz="4" w:space="0" w:color="auto"/>
            </w:tcBorders>
            <w:shd w:val="clear" w:color="auto" w:fill="FABF8F"/>
            <w:vAlign w:val="center"/>
          </w:tcPr>
          <w:p w14:paraId="08C4BC42" w14:textId="77777777" w:rsidR="00913A0A" w:rsidRPr="0058047D" w:rsidRDefault="00913A0A" w:rsidP="002253A3">
            <w:pPr>
              <w:jc w:val="center"/>
              <w:rPr>
                <w:rFonts w:cs="Tahoma"/>
                <w:sz w:val="14"/>
              </w:rPr>
            </w:pPr>
          </w:p>
        </w:tc>
        <w:tc>
          <w:tcPr>
            <w:tcW w:w="477" w:type="dxa"/>
            <w:tcBorders>
              <w:bottom w:val="single" w:sz="4" w:space="0" w:color="auto"/>
              <w:right w:val="single" w:sz="18" w:space="0" w:color="auto"/>
            </w:tcBorders>
            <w:shd w:val="clear" w:color="auto" w:fill="FABF8F"/>
            <w:vAlign w:val="center"/>
          </w:tcPr>
          <w:p w14:paraId="7E76E7F2" w14:textId="77777777" w:rsidR="00913A0A" w:rsidRPr="0058047D" w:rsidRDefault="00913A0A" w:rsidP="002253A3">
            <w:pPr>
              <w:jc w:val="center"/>
              <w:rPr>
                <w:rFonts w:cs="Tahoma"/>
                <w:sz w:val="14"/>
              </w:rPr>
            </w:pPr>
            <w:r w:rsidRPr="0058047D">
              <w:rPr>
                <w:rFonts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32AD230E" w14:textId="77777777" w:rsidR="00913A0A" w:rsidRPr="0058047D" w:rsidRDefault="00913A0A" w:rsidP="002253A3">
            <w:pPr>
              <w:jc w:val="center"/>
              <w:rPr>
                <w:rFonts w:cs="Tahoma"/>
                <w:sz w:val="14"/>
              </w:rPr>
            </w:pPr>
            <w:r w:rsidRPr="0058047D">
              <w:rPr>
                <w:rFonts w:cs="Tahoma"/>
                <w:sz w:val="13"/>
              </w:rPr>
              <w:t>P</w:t>
            </w:r>
          </w:p>
        </w:tc>
        <w:tc>
          <w:tcPr>
            <w:tcW w:w="655" w:type="dxa"/>
            <w:tcBorders>
              <w:bottom w:val="single" w:sz="4" w:space="0" w:color="auto"/>
            </w:tcBorders>
            <w:shd w:val="clear" w:color="auto" w:fill="FABF8F"/>
            <w:vAlign w:val="center"/>
          </w:tcPr>
          <w:p w14:paraId="3726988B" w14:textId="77777777" w:rsidR="00913A0A" w:rsidRPr="0058047D" w:rsidRDefault="00913A0A" w:rsidP="002253A3">
            <w:pPr>
              <w:jc w:val="center"/>
              <w:rPr>
                <w:rFonts w:cs="Tahoma"/>
                <w:sz w:val="14"/>
              </w:rPr>
            </w:pPr>
          </w:p>
        </w:tc>
        <w:tc>
          <w:tcPr>
            <w:tcW w:w="504" w:type="dxa"/>
            <w:tcBorders>
              <w:bottom w:val="single" w:sz="4" w:space="0" w:color="auto"/>
            </w:tcBorders>
            <w:shd w:val="clear" w:color="auto" w:fill="FABF8F"/>
            <w:vAlign w:val="center"/>
          </w:tcPr>
          <w:p w14:paraId="5EB6D8C6" w14:textId="77777777" w:rsidR="00913A0A" w:rsidRPr="0058047D" w:rsidRDefault="00913A0A" w:rsidP="002253A3">
            <w:pPr>
              <w:jc w:val="center"/>
              <w:rPr>
                <w:rFonts w:cs="Tahoma"/>
                <w:sz w:val="14"/>
              </w:rPr>
            </w:pPr>
            <w:r w:rsidRPr="0058047D">
              <w:rPr>
                <w:rFonts w:cs="Tahoma"/>
                <w:sz w:val="13"/>
              </w:rPr>
              <w:t>OL/OV</w:t>
            </w:r>
          </w:p>
        </w:tc>
        <w:tc>
          <w:tcPr>
            <w:tcW w:w="405" w:type="dxa"/>
            <w:tcBorders>
              <w:bottom w:val="single" w:sz="4" w:space="0" w:color="auto"/>
            </w:tcBorders>
            <w:shd w:val="clear" w:color="auto" w:fill="FABF8F"/>
          </w:tcPr>
          <w:p w14:paraId="27A6FA53" w14:textId="77777777" w:rsidR="00913A0A" w:rsidRPr="0058047D" w:rsidRDefault="00913A0A" w:rsidP="002253A3">
            <w:pPr>
              <w:jc w:val="center"/>
              <w:rPr>
                <w:rFonts w:cs="Tahoma"/>
                <w:sz w:val="13"/>
              </w:rPr>
            </w:pPr>
            <w:r w:rsidRPr="0058047D">
              <w:rPr>
                <w:rFonts w:cs="Tahoma"/>
                <w:sz w:val="13"/>
              </w:rPr>
              <w:t>A</w:t>
            </w:r>
          </w:p>
        </w:tc>
      </w:tr>
      <w:tr w:rsidR="009323A0" w:rsidRPr="0058047D" w14:paraId="1484FF1C" w14:textId="77777777" w:rsidTr="00C86F50">
        <w:trPr>
          <w:trHeight w:val="145"/>
        </w:trPr>
        <w:tc>
          <w:tcPr>
            <w:tcW w:w="2619" w:type="dxa"/>
            <w:gridSpan w:val="2"/>
            <w:tcBorders>
              <w:bottom w:val="single" w:sz="4" w:space="0" w:color="auto"/>
            </w:tcBorders>
            <w:shd w:val="clear" w:color="auto" w:fill="auto"/>
          </w:tcPr>
          <w:p w14:paraId="1FA03695" w14:textId="77777777" w:rsidR="00913A0A" w:rsidRPr="0058047D" w:rsidRDefault="00913A0A" w:rsidP="001A63C6">
            <w:pPr>
              <w:pStyle w:val="ProductNames"/>
              <w:spacing w:before="0" w:after="0"/>
              <w:rPr>
                <w:rFonts w:ascii="Tahoma" w:hAnsi="Tahoma" w:cs="Tahoma"/>
                <w:sz w:val="14"/>
              </w:rPr>
            </w:pPr>
            <w:bookmarkStart w:id="134" w:name="_Toc371663320"/>
            <w:r w:rsidRPr="0058047D">
              <w:rPr>
                <w:rFonts w:ascii="Tahoma" w:hAnsi="Tahoma" w:cs="Tahoma"/>
                <w:sz w:val="14"/>
              </w:rPr>
              <w:t>Bing Maps Internal Website Usage 100K Transactions Monthly Sub</w:t>
            </w:r>
            <w:bookmarkEnd w:id="134"/>
          </w:p>
        </w:tc>
        <w:tc>
          <w:tcPr>
            <w:tcW w:w="554" w:type="dxa"/>
            <w:tcBorders>
              <w:bottom w:val="single" w:sz="4" w:space="0" w:color="auto"/>
            </w:tcBorders>
            <w:shd w:val="clear" w:color="auto" w:fill="auto"/>
            <w:vAlign w:val="center"/>
          </w:tcPr>
          <w:p w14:paraId="605AAF1E" w14:textId="77777777" w:rsidR="00913A0A" w:rsidRPr="0058047D" w:rsidRDefault="00C86F50" w:rsidP="003D4F46">
            <w:pPr>
              <w:jc w:val="center"/>
              <w:rPr>
                <w:rFonts w:ascii="Trebuchet MS" w:hAnsi="Trebuchet MS" w:cs="Tahoma"/>
                <w:b/>
                <w:sz w:val="13"/>
                <w:szCs w:val="13"/>
              </w:rPr>
            </w:pPr>
            <w:hyperlink w:anchor="_34_Bing_Maps" w:history="1">
              <w:r w:rsidR="00BF5FC6" w:rsidRPr="0058047D">
                <w:rPr>
                  <w:rStyle w:val="Hyperlink"/>
                  <w:rFonts w:ascii="Trebuchet MS" w:hAnsi="Trebuchet MS"/>
                  <w:b/>
                  <w:sz w:val="13"/>
                  <w:szCs w:val="13"/>
                </w:rPr>
                <w:t>34</w:t>
              </w:r>
            </w:hyperlink>
          </w:p>
        </w:tc>
        <w:tc>
          <w:tcPr>
            <w:tcW w:w="516" w:type="dxa"/>
            <w:tcBorders>
              <w:bottom w:val="single" w:sz="4" w:space="0" w:color="auto"/>
            </w:tcBorders>
            <w:shd w:val="clear" w:color="auto" w:fill="auto"/>
            <w:vAlign w:val="center"/>
          </w:tcPr>
          <w:p w14:paraId="11FD0C8F" w14:textId="77777777" w:rsidR="00913A0A" w:rsidRPr="0058047D" w:rsidRDefault="00913A0A" w:rsidP="002253A3">
            <w:pPr>
              <w:jc w:val="center"/>
              <w:rPr>
                <w:rFonts w:cs="Tahoma"/>
                <w:sz w:val="14"/>
              </w:rPr>
            </w:pPr>
            <w:r w:rsidRPr="0058047D">
              <w:rPr>
                <w:rFonts w:cs="Tahoma"/>
                <w:sz w:val="14"/>
              </w:rPr>
              <w:t>04/13</w:t>
            </w:r>
          </w:p>
        </w:tc>
        <w:tc>
          <w:tcPr>
            <w:tcW w:w="358" w:type="dxa"/>
            <w:tcBorders>
              <w:bottom w:val="single" w:sz="4" w:space="0" w:color="auto"/>
              <w:right w:val="single" w:sz="18" w:space="0" w:color="auto"/>
            </w:tcBorders>
            <w:shd w:val="clear" w:color="auto" w:fill="auto"/>
            <w:vAlign w:val="center"/>
          </w:tcPr>
          <w:p w14:paraId="33D78AB0" w14:textId="77777777" w:rsidR="00913A0A" w:rsidRPr="0058047D" w:rsidRDefault="00913A0A" w:rsidP="002253A3">
            <w:pPr>
              <w:jc w:val="center"/>
              <w:rPr>
                <w:rFonts w:cs="Tahoma"/>
                <w:sz w:val="14"/>
              </w:rPr>
            </w:pPr>
          </w:p>
        </w:tc>
        <w:tc>
          <w:tcPr>
            <w:tcW w:w="2712" w:type="dxa"/>
            <w:gridSpan w:val="8"/>
            <w:tcBorders>
              <w:left w:val="single" w:sz="18" w:space="0" w:color="auto"/>
              <w:bottom w:val="single" w:sz="4" w:space="0" w:color="auto"/>
              <w:right w:val="single" w:sz="18" w:space="0" w:color="auto"/>
            </w:tcBorders>
            <w:shd w:val="clear" w:color="auto" w:fill="auto"/>
            <w:vAlign w:val="center"/>
          </w:tcPr>
          <w:p w14:paraId="6EF05960" w14:textId="77777777" w:rsidR="00913A0A" w:rsidRPr="0058047D" w:rsidRDefault="00913A0A" w:rsidP="002253A3">
            <w:pPr>
              <w:jc w:val="center"/>
              <w:rPr>
                <w:rFonts w:cs="Tahoma"/>
                <w:sz w:val="14"/>
              </w:rPr>
            </w:pPr>
            <w:r w:rsidRPr="0058047D">
              <w:rPr>
                <w:rFonts w:cs="Tahoma"/>
                <w:sz w:val="14"/>
              </w:rPr>
              <w:t>125 crediti</w:t>
            </w:r>
          </w:p>
        </w:tc>
        <w:tc>
          <w:tcPr>
            <w:tcW w:w="477" w:type="dxa"/>
            <w:tcBorders>
              <w:left w:val="single" w:sz="18" w:space="0" w:color="auto"/>
              <w:bottom w:val="single" w:sz="4" w:space="0" w:color="auto"/>
            </w:tcBorders>
            <w:shd w:val="clear" w:color="auto" w:fill="auto"/>
            <w:vAlign w:val="center"/>
          </w:tcPr>
          <w:p w14:paraId="15A1B71B" w14:textId="77777777" w:rsidR="00913A0A" w:rsidRPr="0058047D" w:rsidRDefault="00913A0A" w:rsidP="002253A3">
            <w:pPr>
              <w:jc w:val="center"/>
              <w:rPr>
                <w:rFonts w:cs="Tahoma"/>
                <w:sz w:val="14"/>
              </w:rPr>
            </w:pPr>
            <w:r w:rsidRPr="0058047D">
              <w:rPr>
                <w:rFonts w:cs="Tahoma"/>
                <w:sz w:val="14"/>
              </w:rPr>
              <w:t>125</w:t>
            </w:r>
          </w:p>
        </w:tc>
        <w:tc>
          <w:tcPr>
            <w:tcW w:w="450" w:type="dxa"/>
            <w:tcBorders>
              <w:bottom w:val="single" w:sz="4" w:space="0" w:color="auto"/>
            </w:tcBorders>
            <w:shd w:val="clear" w:color="auto" w:fill="auto"/>
            <w:vAlign w:val="center"/>
          </w:tcPr>
          <w:p w14:paraId="77FA4AC4" w14:textId="77777777" w:rsidR="00913A0A" w:rsidRPr="0058047D" w:rsidRDefault="00913A0A" w:rsidP="002253A3">
            <w:pPr>
              <w:jc w:val="center"/>
              <w:rPr>
                <w:rFonts w:cs="Tahoma"/>
                <w:sz w:val="14"/>
              </w:rPr>
            </w:pPr>
          </w:p>
        </w:tc>
        <w:tc>
          <w:tcPr>
            <w:tcW w:w="414" w:type="dxa"/>
            <w:tcBorders>
              <w:bottom w:val="single" w:sz="4" w:space="0" w:color="auto"/>
              <w:right w:val="single" w:sz="18" w:space="0" w:color="auto"/>
            </w:tcBorders>
            <w:shd w:val="clear" w:color="auto" w:fill="auto"/>
            <w:vAlign w:val="center"/>
          </w:tcPr>
          <w:p w14:paraId="581337BD" w14:textId="77777777" w:rsidR="00913A0A" w:rsidRPr="0058047D" w:rsidRDefault="00913A0A" w:rsidP="002253A3">
            <w:pPr>
              <w:jc w:val="center"/>
              <w:rPr>
                <w:rFonts w:cs="Tahoma"/>
                <w:sz w:val="14"/>
              </w:rPr>
            </w:pPr>
          </w:p>
        </w:tc>
        <w:tc>
          <w:tcPr>
            <w:tcW w:w="468" w:type="dxa"/>
            <w:tcBorders>
              <w:left w:val="single" w:sz="18" w:space="0" w:color="auto"/>
              <w:bottom w:val="single" w:sz="4" w:space="0" w:color="auto"/>
            </w:tcBorders>
            <w:shd w:val="clear" w:color="auto" w:fill="auto"/>
            <w:vAlign w:val="center"/>
          </w:tcPr>
          <w:p w14:paraId="744E3548" w14:textId="77777777" w:rsidR="00913A0A" w:rsidRPr="0058047D" w:rsidRDefault="00913A0A" w:rsidP="002253A3">
            <w:pPr>
              <w:jc w:val="center"/>
              <w:rPr>
                <w:rFonts w:cs="Tahoma"/>
                <w:sz w:val="14"/>
              </w:rPr>
            </w:pPr>
          </w:p>
        </w:tc>
        <w:tc>
          <w:tcPr>
            <w:tcW w:w="477" w:type="dxa"/>
            <w:tcBorders>
              <w:bottom w:val="single" w:sz="4" w:space="0" w:color="auto"/>
              <w:right w:val="single" w:sz="18" w:space="0" w:color="auto"/>
            </w:tcBorders>
            <w:shd w:val="clear" w:color="auto" w:fill="auto"/>
            <w:vAlign w:val="center"/>
          </w:tcPr>
          <w:p w14:paraId="775F135F" w14:textId="77777777" w:rsidR="00913A0A" w:rsidRPr="0058047D" w:rsidRDefault="00913A0A" w:rsidP="002253A3">
            <w:pPr>
              <w:jc w:val="center"/>
              <w:rPr>
                <w:rFonts w:cs="Tahoma"/>
                <w:sz w:val="14"/>
              </w:rPr>
            </w:pPr>
            <w:r w:rsidRPr="0058047D">
              <w:rPr>
                <w:rFonts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15772C69" w14:textId="77777777" w:rsidR="00913A0A" w:rsidRPr="0058047D" w:rsidRDefault="00913A0A" w:rsidP="002253A3">
            <w:pPr>
              <w:jc w:val="center"/>
              <w:rPr>
                <w:rFonts w:cs="Tahoma"/>
                <w:sz w:val="14"/>
              </w:rPr>
            </w:pPr>
            <w:r w:rsidRPr="0058047D">
              <w:rPr>
                <w:rFonts w:cs="Tahoma"/>
                <w:sz w:val="13"/>
              </w:rPr>
              <w:t>P</w:t>
            </w:r>
          </w:p>
        </w:tc>
        <w:tc>
          <w:tcPr>
            <w:tcW w:w="655" w:type="dxa"/>
            <w:tcBorders>
              <w:bottom w:val="single" w:sz="4" w:space="0" w:color="auto"/>
            </w:tcBorders>
            <w:shd w:val="clear" w:color="auto" w:fill="auto"/>
            <w:vAlign w:val="center"/>
          </w:tcPr>
          <w:p w14:paraId="17EF663A" w14:textId="77777777" w:rsidR="00913A0A" w:rsidRPr="0058047D" w:rsidRDefault="00913A0A" w:rsidP="002253A3">
            <w:pPr>
              <w:jc w:val="center"/>
              <w:rPr>
                <w:rFonts w:cs="Tahoma"/>
                <w:sz w:val="14"/>
              </w:rPr>
            </w:pPr>
          </w:p>
        </w:tc>
        <w:tc>
          <w:tcPr>
            <w:tcW w:w="504" w:type="dxa"/>
            <w:tcBorders>
              <w:bottom w:val="single" w:sz="4" w:space="0" w:color="auto"/>
            </w:tcBorders>
            <w:shd w:val="clear" w:color="auto" w:fill="auto"/>
            <w:vAlign w:val="center"/>
          </w:tcPr>
          <w:p w14:paraId="56318DBE" w14:textId="77777777" w:rsidR="00913A0A" w:rsidRPr="0058047D" w:rsidRDefault="00913A0A" w:rsidP="002253A3">
            <w:pPr>
              <w:jc w:val="center"/>
              <w:rPr>
                <w:rFonts w:cs="Tahoma"/>
                <w:sz w:val="14"/>
              </w:rPr>
            </w:pPr>
            <w:r w:rsidRPr="0058047D">
              <w:rPr>
                <w:rFonts w:cs="Tahoma"/>
                <w:sz w:val="13"/>
              </w:rPr>
              <w:t>OL/OV</w:t>
            </w:r>
          </w:p>
        </w:tc>
        <w:tc>
          <w:tcPr>
            <w:tcW w:w="405" w:type="dxa"/>
            <w:tcBorders>
              <w:bottom w:val="single" w:sz="4" w:space="0" w:color="auto"/>
            </w:tcBorders>
          </w:tcPr>
          <w:p w14:paraId="4617A796" w14:textId="77777777" w:rsidR="00913A0A" w:rsidRPr="0058047D" w:rsidRDefault="00913A0A" w:rsidP="002253A3">
            <w:pPr>
              <w:jc w:val="center"/>
              <w:rPr>
                <w:rFonts w:cs="Tahoma"/>
                <w:sz w:val="13"/>
              </w:rPr>
            </w:pPr>
            <w:r w:rsidRPr="0058047D">
              <w:rPr>
                <w:rFonts w:cs="Tahoma"/>
                <w:sz w:val="13"/>
              </w:rPr>
              <w:t>A</w:t>
            </w:r>
          </w:p>
        </w:tc>
      </w:tr>
      <w:tr w:rsidR="009323A0" w:rsidRPr="0058047D" w14:paraId="735C01C7" w14:textId="77777777" w:rsidTr="00C86F50">
        <w:trPr>
          <w:trHeight w:val="145"/>
        </w:trPr>
        <w:tc>
          <w:tcPr>
            <w:tcW w:w="2619" w:type="dxa"/>
            <w:gridSpan w:val="2"/>
            <w:tcBorders>
              <w:bottom w:val="single" w:sz="4" w:space="0" w:color="auto"/>
            </w:tcBorders>
            <w:shd w:val="clear" w:color="auto" w:fill="FABF8F"/>
          </w:tcPr>
          <w:p w14:paraId="4D3B91F0" w14:textId="77777777" w:rsidR="00913A0A" w:rsidRPr="0058047D" w:rsidRDefault="00913A0A" w:rsidP="001A63C6">
            <w:pPr>
              <w:pStyle w:val="ProductNames"/>
              <w:spacing w:before="0" w:after="0"/>
              <w:rPr>
                <w:rFonts w:ascii="Tahoma" w:hAnsi="Tahoma" w:cs="Tahoma"/>
                <w:sz w:val="14"/>
              </w:rPr>
            </w:pPr>
            <w:bookmarkStart w:id="135" w:name="_Toc371663321"/>
            <w:r w:rsidRPr="0058047D">
              <w:rPr>
                <w:rFonts w:ascii="Tahoma" w:hAnsi="Tahoma" w:cs="Tahoma"/>
                <w:sz w:val="14"/>
              </w:rPr>
              <w:t>Bing Maps Internal Website Usage 250K (and higher) Transactions Monthly Sub</w:t>
            </w:r>
            <w:bookmarkEnd w:id="135"/>
          </w:p>
        </w:tc>
        <w:tc>
          <w:tcPr>
            <w:tcW w:w="554" w:type="dxa"/>
            <w:tcBorders>
              <w:bottom w:val="single" w:sz="4" w:space="0" w:color="auto"/>
            </w:tcBorders>
            <w:shd w:val="clear" w:color="auto" w:fill="FABF8F"/>
            <w:vAlign w:val="center"/>
          </w:tcPr>
          <w:p w14:paraId="015A89F2" w14:textId="77777777" w:rsidR="00913A0A" w:rsidRPr="0058047D" w:rsidRDefault="00C86F50" w:rsidP="003D4F46">
            <w:pPr>
              <w:jc w:val="center"/>
              <w:rPr>
                <w:rFonts w:ascii="Trebuchet MS" w:hAnsi="Trebuchet MS" w:cs="Tahoma"/>
                <w:b/>
                <w:sz w:val="13"/>
                <w:szCs w:val="13"/>
              </w:rPr>
            </w:pPr>
            <w:hyperlink w:anchor="_34_Bing_Maps" w:history="1">
              <w:r w:rsidR="00BF5FC6" w:rsidRPr="0058047D">
                <w:rPr>
                  <w:rStyle w:val="Hyperlink"/>
                  <w:rFonts w:ascii="Trebuchet MS" w:hAnsi="Trebuchet MS"/>
                  <w:b/>
                  <w:sz w:val="13"/>
                  <w:szCs w:val="13"/>
                </w:rPr>
                <w:t>34</w:t>
              </w:r>
            </w:hyperlink>
          </w:p>
        </w:tc>
        <w:tc>
          <w:tcPr>
            <w:tcW w:w="516" w:type="dxa"/>
            <w:tcBorders>
              <w:bottom w:val="single" w:sz="4" w:space="0" w:color="auto"/>
            </w:tcBorders>
            <w:shd w:val="clear" w:color="auto" w:fill="FABF8F"/>
            <w:vAlign w:val="center"/>
          </w:tcPr>
          <w:p w14:paraId="096AAFA8" w14:textId="77777777" w:rsidR="00913A0A" w:rsidRPr="0058047D" w:rsidRDefault="00913A0A" w:rsidP="002253A3">
            <w:pPr>
              <w:jc w:val="center"/>
              <w:rPr>
                <w:rFonts w:cs="Tahoma"/>
                <w:sz w:val="14"/>
              </w:rPr>
            </w:pPr>
            <w:r w:rsidRPr="0058047D">
              <w:rPr>
                <w:rFonts w:cs="Tahoma"/>
                <w:sz w:val="14"/>
              </w:rPr>
              <w:t>04/13</w:t>
            </w:r>
          </w:p>
        </w:tc>
        <w:tc>
          <w:tcPr>
            <w:tcW w:w="358" w:type="dxa"/>
            <w:tcBorders>
              <w:bottom w:val="single" w:sz="4" w:space="0" w:color="auto"/>
              <w:right w:val="single" w:sz="18" w:space="0" w:color="auto"/>
            </w:tcBorders>
            <w:shd w:val="clear" w:color="auto" w:fill="FABF8F"/>
            <w:vAlign w:val="center"/>
          </w:tcPr>
          <w:p w14:paraId="5CE16FFC" w14:textId="77777777" w:rsidR="00913A0A" w:rsidRPr="0058047D" w:rsidRDefault="00913A0A" w:rsidP="002253A3">
            <w:pPr>
              <w:jc w:val="center"/>
              <w:rPr>
                <w:rFonts w:cs="Tahoma"/>
                <w:sz w:val="14"/>
              </w:rPr>
            </w:pPr>
          </w:p>
        </w:tc>
        <w:tc>
          <w:tcPr>
            <w:tcW w:w="2712" w:type="dxa"/>
            <w:gridSpan w:val="8"/>
            <w:tcBorders>
              <w:left w:val="single" w:sz="18" w:space="0" w:color="auto"/>
              <w:bottom w:val="single" w:sz="4" w:space="0" w:color="auto"/>
              <w:right w:val="single" w:sz="18" w:space="0" w:color="auto"/>
            </w:tcBorders>
            <w:shd w:val="clear" w:color="auto" w:fill="FABF8F"/>
            <w:vAlign w:val="center"/>
          </w:tcPr>
          <w:p w14:paraId="4F92057A" w14:textId="77777777" w:rsidR="00913A0A" w:rsidRPr="0058047D" w:rsidRDefault="00913A0A" w:rsidP="002253A3">
            <w:pPr>
              <w:jc w:val="center"/>
              <w:rPr>
                <w:rFonts w:cs="Tahoma"/>
                <w:sz w:val="14"/>
              </w:rPr>
            </w:pPr>
            <w:r w:rsidRPr="0058047D">
              <w:rPr>
                <w:rFonts w:cs="Tahoma"/>
                <w:sz w:val="14"/>
              </w:rPr>
              <w:t>200 crediti</w:t>
            </w:r>
          </w:p>
        </w:tc>
        <w:tc>
          <w:tcPr>
            <w:tcW w:w="477" w:type="dxa"/>
            <w:tcBorders>
              <w:left w:val="single" w:sz="18" w:space="0" w:color="auto"/>
              <w:bottom w:val="single" w:sz="4" w:space="0" w:color="auto"/>
            </w:tcBorders>
            <w:shd w:val="clear" w:color="auto" w:fill="FABF8F"/>
            <w:vAlign w:val="center"/>
          </w:tcPr>
          <w:p w14:paraId="2FE90345" w14:textId="77777777" w:rsidR="00913A0A" w:rsidRPr="0058047D" w:rsidRDefault="00913A0A" w:rsidP="002253A3">
            <w:pPr>
              <w:jc w:val="center"/>
              <w:rPr>
                <w:rFonts w:cs="Tahoma"/>
                <w:sz w:val="14"/>
              </w:rPr>
            </w:pPr>
            <w:r w:rsidRPr="0058047D">
              <w:rPr>
                <w:rFonts w:cs="Tahoma"/>
                <w:sz w:val="14"/>
              </w:rPr>
              <w:t>200</w:t>
            </w:r>
          </w:p>
        </w:tc>
        <w:tc>
          <w:tcPr>
            <w:tcW w:w="450" w:type="dxa"/>
            <w:tcBorders>
              <w:bottom w:val="single" w:sz="4" w:space="0" w:color="auto"/>
            </w:tcBorders>
            <w:shd w:val="clear" w:color="auto" w:fill="FABF8F"/>
            <w:vAlign w:val="center"/>
          </w:tcPr>
          <w:p w14:paraId="192F41C4" w14:textId="77777777" w:rsidR="00913A0A" w:rsidRPr="0058047D" w:rsidRDefault="00913A0A" w:rsidP="002253A3">
            <w:pPr>
              <w:jc w:val="center"/>
              <w:rPr>
                <w:rFonts w:cs="Tahoma"/>
                <w:sz w:val="14"/>
              </w:rPr>
            </w:pPr>
          </w:p>
        </w:tc>
        <w:tc>
          <w:tcPr>
            <w:tcW w:w="414" w:type="dxa"/>
            <w:tcBorders>
              <w:bottom w:val="single" w:sz="4" w:space="0" w:color="auto"/>
              <w:right w:val="single" w:sz="18" w:space="0" w:color="auto"/>
            </w:tcBorders>
            <w:shd w:val="clear" w:color="auto" w:fill="FABF8F"/>
            <w:vAlign w:val="center"/>
          </w:tcPr>
          <w:p w14:paraId="44FAAB8F" w14:textId="77777777" w:rsidR="00913A0A" w:rsidRPr="0058047D" w:rsidRDefault="00913A0A" w:rsidP="002253A3">
            <w:pPr>
              <w:jc w:val="center"/>
              <w:rPr>
                <w:rFonts w:cs="Tahoma"/>
                <w:sz w:val="14"/>
              </w:rPr>
            </w:pPr>
          </w:p>
        </w:tc>
        <w:tc>
          <w:tcPr>
            <w:tcW w:w="468" w:type="dxa"/>
            <w:tcBorders>
              <w:left w:val="single" w:sz="18" w:space="0" w:color="auto"/>
              <w:bottom w:val="single" w:sz="4" w:space="0" w:color="auto"/>
            </w:tcBorders>
            <w:shd w:val="clear" w:color="auto" w:fill="FABF8F"/>
            <w:vAlign w:val="center"/>
          </w:tcPr>
          <w:p w14:paraId="5F945EFE" w14:textId="77777777" w:rsidR="00913A0A" w:rsidRPr="0058047D" w:rsidRDefault="00913A0A" w:rsidP="002253A3">
            <w:pPr>
              <w:jc w:val="center"/>
              <w:rPr>
                <w:rFonts w:cs="Tahoma"/>
                <w:sz w:val="14"/>
              </w:rPr>
            </w:pPr>
          </w:p>
        </w:tc>
        <w:tc>
          <w:tcPr>
            <w:tcW w:w="477" w:type="dxa"/>
            <w:tcBorders>
              <w:bottom w:val="single" w:sz="4" w:space="0" w:color="auto"/>
              <w:right w:val="single" w:sz="18" w:space="0" w:color="auto"/>
            </w:tcBorders>
            <w:shd w:val="clear" w:color="auto" w:fill="FABF8F"/>
            <w:vAlign w:val="center"/>
          </w:tcPr>
          <w:p w14:paraId="5A0D3281" w14:textId="77777777" w:rsidR="00913A0A" w:rsidRPr="0058047D" w:rsidRDefault="00913A0A" w:rsidP="002253A3">
            <w:pPr>
              <w:jc w:val="center"/>
              <w:rPr>
                <w:rFonts w:cs="Tahoma"/>
                <w:sz w:val="14"/>
              </w:rPr>
            </w:pPr>
            <w:r w:rsidRPr="0058047D">
              <w:rPr>
                <w:rFonts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47575ED9" w14:textId="77777777" w:rsidR="00913A0A" w:rsidRPr="0058047D" w:rsidRDefault="00913A0A" w:rsidP="002253A3">
            <w:pPr>
              <w:jc w:val="center"/>
              <w:rPr>
                <w:rFonts w:cs="Tahoma"/>
                <w:sz w:val="14"/>
              </w:rPr>
            </w:pPr>
            <w:r w:rsidRPr="0058047D">
              <w:rPr>
                <w:rFonts w:cs="Tahoma"/>
                <w:sz w:val="13"/>
              </w:rPr>
              <w:t>P</w:t>
            </w:r>
          </w:p>
        </w:tc>
        <w:tc>
          <w:tcPr>
            <w:tcW w:w="655" w:type="dxa"/>
            <w:tcBorders>
              <w:bottom w:val="single" w:sz="4" w:space="0" w:color="auto"/>
            </w:tcBorders>
            <w:shd w:val="clear" w:color="auto" w:fill="FABF8F"/>
            <w:vAlign w:val="center"/>
          </w:tcPr>
          <w:p w14:paraId="7DDE7874" w14:textId="77777777" w:rsidR="00913A0A" w:rsidRPr="0058047D" w:rsidRDefault="00913A0A" w:rsidP="002253A3">
            <w:pPr>
              <w:jc w:val="center"/>
              <w:rPr>
                <w:rFonts w:cs="Tahoma"/>
                <w:sz w:val="14"/>
              </w:rPr>
            </w:pPr>
          </w:p>
        </w:tc>
        <w:tc>
          <w:tcPr>
            <w:tcW w:w="504" w:type="dxa"/>
            <w:tcBorders>
              <w:bottom w:val="single" w:sz="4" w:space="0" w:color="auto"/>
            </w:tcBorders>
            <w:shd w:val="clear" w:color="auto" w:fill="FABF8F"/>
            <w:vAlign w:val="center"/>
          </w:tcPr>
          <w:p w14:paraId="5AC0013C" w14:textId="77777777" w:rsidR="00913A0A" w:rsidRPr="0058047D" w:rsidRDefault="00913A0A" w:rsidP="002253A3">
            <w:pPr>
              <w:jc w:val="center"/>
              <w:rPr>
                <w:rFonts w:cs="Tahoma"/>
                <w:sz w:val="14"/>
              </w:rPr>
            </w:pPr>
            <w:r w:rsidRPr="0058047D">
              <w:rPr>
                <w:rFonts w:cs="Tahoma"/>
                <w:sz w:val="13"/>
              </w:rPr>
              <w:t>OL/OV</w:t>
            </w:r>
          </w:p>
        </w:tc>
        <w:tc>
          <w:tcPr>
            <w:tcW w:w="405" w:type="dxa"/>
            <w:tcBorders>
              <w:bottom w:val="single" w:sz="4" w:space="0" w:color="auto"/>
            </w:tcBorders>
            <w:shd w:val="clear" w:color="auto" w:fill="FABF8F"/>
          </w:tcPr>
          <w:p w14:paraId="12FC47D2" w14:textId="77777777" w:rsidR="00913A0A" w:rsidRPr="0058047D" w:rsidRDefault="00913A0A" w:rsidP="002253A3">
            <w:pPr>
              <w:jc w:val="center"/>
              <w:rPr>
                <w:rFonts w:cs="Tahoma"/>
                <w:sz w:val="13"/>
              </w:rPr>
            </w:pPr>
            <w:r w:rsidRPr="0058047D">
              <w:rPr>
                <w:rFonts w:cs="Tahoma"/>
                <w:sz w:val="13"/>
              </w:rPr>
              <w:t>A</w:t>
            </w:r>
          </w:p>
        </w:tc>
      </w:tr>
      <w:tr w:rsidR="009323A0" w:rsidRPr="0058047D" w14:paraId="7F76F66A" w14:textId="77777777" w:rsidTr="00C86F50">
        <w:trPr>
          <w:trHeight w:val="145"/>
        </w:trPr>
        <w:tc>
          <w:tcPr>
            <w:tcW w:w="2619" w:type="dxa"/>
            <w:gridSpan w:val="2"/>
            <w:tcBorders>
              <w:bottom w:val="single" w:sz="4" w:space="0" w:color="auto"/>
            </w:tcBorders>
            <w:shd w:val="clear" w:color="auto" w:fill="auto"/>
          </w:tcPr>
          <w:p w14:paraId="2BBD1BDE" w14:textId="77777777" w:rsidR="00913A0A" w:rsidRPr="0058047D" w:rsidRDefault="00913A0A" w:rsidP="00E077BC">
            <w:pPr>
              <w:pStyle w:val="ProductNames"/>
              <w:spacing w:beforeLines="20" w:before="48" w:afterLines="20" w:after="48"/>
              <w:rPr>
                <w:rFonts w:ascii="Tahoma" w:hAnsi="Tahoma" w:cs="Tahoma"/>
                <w:sz w:val="14"/>
              </w:rPr>
            </w:pPr>
            <w:bookmarkStart w:id="136" w:name="_Toc371663322"/>
            <w:r w:rsidRPr="0058047D">
              <w:rPr>
                <w:rFonts w:ascii="Tahoma" w:hAnsi="Tahoma" w:cs="Tahoma"/>
                <w:sz w:val="14"/>
              </w:rPr>
              <w:t>Bing Maps Per Known User Monthly Sub</w:t>
            </w:r>
            <w:bookmarkEnd w:id="136"/>
          </w:p>
        </w:tc>
        <w:tc>
          <w:tcPr>
            <w:tcW w:w="554" w:type="dxa"/>
            <w:tcBorders>
              <w:bottom w:val="single" w:sz="4" w:space="0" w:color="auto"/>
            </w:tcBorders>
            <w:shd w:val="clear" w:color="auto" w:fill="auto"/>
            <w:vAlign w:val="center"/>
          </w:tcPr>
          <w:p w14:paraId="10E2CEC5" w14:textId="77777777" w:rsidR="00913A0A" w:rsidRPr="0058047D" w:rsidRDefault="00C86F50" w:rsidP="003D4F46">
            <w:pPr>
              <w:jc w:val="center"/>
              <w:rPr>
                <w:rFonts w:ascii="Trebuchet MS" w:hAnsi="Trebuchet MS"/>
                <w:b/>
                <w:sz w:val="13"/>
                <w:szCs w:val="13"/>
              </w:rPr>
            </w:pPr>
            <w:hyperlink w:anchor="_34_Bing_Maps" w:history="1">
              <w:r w:rsidR="00BF5FC6" w:rsidRPr="0058047D">
                <w:rPr>
                  <w:rStyle w:val="Hyperlink"/>
                  <w:rFonts w:ascii="Trebuchet MS" w:hAnsi="Trebuchet MS"/>
                  <w:b/>
                  <w:sz w:val="13"/>
                  <w:szCs w:val="13"/>
                </w:rPr>
                <w:t>34</w:t>
              </w:r>
            </w:hyperlink>
          </w:p>
        </w:tc>
        <w:tc>
          <w:tcPr>
            <w:tcW w:w="516" w:type="dxa"/>
            <w:tcBorders>
              <w:bottom w:val="single" w:sz="4" w:space="0" w:color="auto"/>
            </w:tcBorders>
            <w:shd w:val="clear" w:color="auto" w:fill="auto"/>
            <w:vAlign w:val="center"/>
          </w:tcPr>
          <w:p w14:paraId="68231B1A" w14:textId="77777777" w:rsidR="00913A0A" w:rsidRPr="0058047D" w:rsidRDefault="00913A0A" w:rsidP="002253A3">
            <w:pPr>
              <w:jc w:val="center"/>
              <w:rPr>
                <w:rFonts w:cs="Tahoma"/>
                <w:sz w:val="14"/>
              </w:rPr>
            </w:pPr>
            <w:r w:rsidRPr="0058047D">
              <w:rPr>
                <w:rFonts w:cs="Tahoma"/>
                <w:sz w:val="14"/>
              </w:rPr>
              <w:t>04/13</w:t>
            </w:r>
          </w:p>
        </w:tc>
        <w:tc>
          <w:tcPr>
            <w:tcW w:w="358" w:type="dxa"/>
            <w:tcBorders>
              <w:bottom w:val="single" w:sz="4" w:space="0" w:color="auto"/>
              <w:right w:val="single" w:sz="18" w:space="0" w:color="auto"/>
            </w:tcBorders>
            <w:shd w:val="clear" w:color="auto" w:fill="auto"/>
            <w:vAlign w:val="center"/>
          </w:tcPr>
          <w:p w14:paraId="25D3B5D9" w14:textId="77777777" w:rsidR="00913A0A" w:rsidRPr="0058047D" w:rsidRDefault="00913A0A" w:rsidP="002253A3">
            <w:pPr>
              <w:jc w:val="center"/>
              <w:rPr>
                <w:rFonts w:cs="Tahoma"/>
                <w:sz w:val="13"/>
              </w:rPr>
            </w:pPr>
          </w:p>
        </w:tc>
        <w:tc>
          <w:tcPr>
            <w:tcW w:w="2712" w:type="dxa"/>
            <w:gridSpan w:val="8"/>
            <w:tcBorders>
              <w:left w:val="single" w:sz="18" w:space="0" w:color="auto"/>
              <w:bottom w:val="single" w:sz="4" w:space="0" w:color="auto"/>
              <w:right w:val="single" w:sz="18" w:space="0" w:color="auto"/>
            </w:tcBorders>
            <w:shd w:val="clear" w:color="auto" w:fill="auto"/>
            <w:vAlign w:val="center"/>
          </w:tcPr>
          <w:p w14:paraId="45F413E8" w14:textId="77777777" w:rsidR="00913A0A" w:rsidRPr="0058047D" w:rsidRDefault="00913A0A" w:rsidP="002253A3">
            <w:pPr>
              <w:jc w:val="center"/>
              <w:rPr>
                <w:rFonts w:cs="Tahoma"/>
                <w:sz w:val="14"/>
              </w:rPr>
            </w:pPr>
            <w:r w:rsidRPr="0058047D">
              <w:rPr>
                <w:rFonts w:cs="Tahoma"/>
                <w:sz w:val="14"/>
              </w:rPr>
              <w:t>1 punto</w:t>
            </w:r>
          </w:p>
        </w:tc>
        <w:tc>
          <w:tcPr>
            <w:tcW w:w="477" w:type="dxa"/>
            <w:tcBorders>
              <w:left w:val="single" w:sz="18" w:space="0" w:color="auto"/>
              <w:bottom w:val="single" w:sz="4" w:space="0" w:color="auto"/>
            </w:tcBorders>
            <w:shd w:val="clear" w:color="auto" w:fill="auto"/>
            <w:vAlign w:val="center"/>
          </w:tcPr>
          <w:p w14:paraId="3FAC8F76" w14:textId="77777777" w:rsidR="00913A0A" w:rsidRPr="0058047D" w:rsidRDefault="00913A0A" w:rsidP="002253A3">
            <w:pPr>
              <w:jc w:val="center"/>
              <w:rPr>
                <w:rFonts w:cs="Tahoma"/>
                <w:sz w:val="14"/>
              </w:rPr>
            </w:pPr>
            <w:r w:rsidRPr="0058047D">
              <w:rPr>
                <w:rFonts w:cs="Tahoma"/>
                <w:sz w:val="14"/>
              </w:rPr>
              <w:t>1</w:t>
            </w:r>
          </w:p>
        </w:tc>
        <w:tc>
          <w:tcPr>
            <w:tcW w:w="450" w:type="dxa"/>
            <w:tcBorders>
              <w:bottom w:val="single" w:sz="4" w:space="0" w:color="auto"/>
            </w:tcBorders>
            <w:shd w:val="clear" w:color="auto" w:fill="auto"/>
            <w:vAlign w:val="center"/>
          </w:tcPr>
          <w:p w14:paraId="5A087616" w14:textId="77777777" w:rsidR="00913A0A" w:rsidRPr="0058047D" w:rsidRDefault="00913A0A" w:rsidP="002253A3">
            <w:pPr>
              <w:jc w:val="center"/>
              <w:rPr>
                <w:rFonts w:cs="Tahoma"/>
                <w:sz w:val="13"/>
              </w:rPr>
            </w:pPr>
          </w:p>
        </w:tc>
        <w:tc>
          <w:tcPr>
            <w:tcW w:w="414" w:type="dxa"/>
            <w:tcBorders>
              <w:bottom w:val="single" w:sz="4" w:space="0" w:color="auto"/>
              <w:right w:val="single" w:sz="18" w:space="0" w:color="auto"/>
            </w:tcBorders>
            <w:shd w:val="clear" w:color="auto" w:fill="auto"/>
            <w:vAlign w:val="center"/>
          </w:tcPr>
          <w:p w14:paraId="11A70A21" w14:textId="77777777" w:rsidR="00913A0A" w:rsidRPr="0058047D" w:rsidRDefault="00913A0A" w:rsidP="002253A3">
            <w:pPr>
              <w:jc w:val="center"/>
              <w:rPr>
                <w:rFonts w:cs="Tahoma"/>
                <w:sz w:val="13"/>
              </w:rPr>
            </w:pPr>
          </w:p>
        </w:tc>
        <w:tc>
          <w:tcPr>
            <w:tcW w:w="468" w:type="dxa"/>
            <w:tcBorders>
              <w:left w:val="single" w:sz="18" w:space="0" w:color="auto"/>
              <w:bottom w:val="single" w:sz="4" w:space="0" w:color="auto"/>
            </w:tcBorders>
            <w:shd w:val="clear" w:color="auto" w:fill="auto"/>
            <w:vAlign w:val="center"/>
          </w:tcPr>
          <w:p w14:paraId="503C4930" w14:textId="77777777" w:rsidR="00913A0A" w:rsidRPr="0058047D" w:rsidRDefault="00913A0A" w:rsidP="002253A3">
            <w:pPr>
              <w:jc w:val="center"/>
              <w:rPr>
                <w:rFonts w:cs="Tahoma"/>
                <w:sz w:val="13"/>
              </w:rPr>
            </w:pPr>
          </w:p>
        </w:tc>
        <w:tc>
          <w:tcPr>
            <w:tcW w:w="477" w:type="dxa"/>
            <w:tcBorders>
              <w:bottom w:val="single" w:sz="4" w:space="0" w:color="auto"/>
              <w:right w:val="single" w:sz="18" w:space="0" w:color="auto"/>
            </w:tcBorders>
            <w:shd w:val="clear" w:color="auto" w:fill="auto"/>
            <w:vAlign w:val="center"/>
          </w:tcPr>
          <w:p w14:paraId="33D08EEE" w14:textId="77777777" w:rsidR="00913A0A" w:rsidRPr="0058047D" w:rsidRDefault="00913A0A" w:rsidP="002253A3">
            <w:pPr>
              <w:jc w:val="center"/>
              <w:rPr>
                <w:rFonts w:cs="Tahoma"/>
                <w:sz w:val="14"/>
              </w:rPr>
            </w:pPr>
            <w:r w:rsidRPr="0058047D">
              <w:rPr>
                <w:rFonts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630807CA" w14:textId="77777777" w:rsidR="00913A0A" w:rsidRPr="0058047D" w:rsidRDefault="00913A0A" w:rsidP="002253A3">
            <w:pPr>
              <w:jc w:val="center"/>
              <w:rPr>
                <w:rFonts w:cs="Tahoma"/>
                <w:sz w:val="14"/>
              </w:rPr>
            </w:pPr>
            <w:r w:rsidRPr="0058047D">
              <w:rPr>
                <w:rFonts w:cs="Tahoma"/>
                <w:sz w:val="13"/>
              </w:rPr>
              <w:t>P</w:t>
            </w:r>
          </w:p>
        </w:tc>
        <w:tc>
          <w:tcPr>
            <w:tcW w:w="655" w:type="dxa"/>
            <w:tcBorders>
              <w:bottom w:val="single" w:sz="4" w:space="0" w:color="auto"/>
            </w:tcBorders>
            <w:shd w:val="clear" w:color="auto" w:fill="auto"/>
            <w:vAlign w:val="center"/>
          </w:tcPr>
          <w:p w14:paraId="461FCD97" w14:textId="77777777" w:rsidR="00913A0A" w:rsidRPr="0058047D" w:rsidRDefault="00913A0A" w:rsidP="002253A3">
            <w:pPr>
              <w:jc w:val="center"/>
              <w:rPr>
                <w:rFonts w:cs="Tahoma"/>
                <w:sz w:val="13"/>
              </w:rPr>
            </w:pPr>
          </w:p>
        </w:tc>
        <w:tc>
          <w:tcPr>
            <w:tcW w:w="504" w:type="dxa"/>
            <w:tcBorders>
              <w:bottom w:val="single" w:sz="4" w:space="0" w:color="auto"/>
            </w:tcBorders>
            <w:shd w:val="clear" w:color="auto" w:fill="auto"/>
            <w:vAlign w:val="center"/>
          </w:tcPr>
          <w:p w14:paraId="4D1EE156" w14:textId="77777777" w:rsidR="00913A0A" w:rsidRPr="0058047D" w:rsidRDefault="00913A0A" w:rsidP="002253A3">
            <w:pPr>
              <w:jc w:val="center"/>
              <w:rPr>
                <w:rFonts w:cs="Tahoma"/>
                <w:sz w:val="14"/>
              </w:rPr>
            </w:pPr>
            <w:r w:rsidRPr="0058047D">
              <w:rPr>
                <w:rFonts w:cs="Tahoma"/>
                <w:sz w:val="13"/>
              </w:rPr>
              <w:t>OL/OV</w:t>
            </w:r>
          </w:p>
        </w:tc>
        <w:tc>
          <w:tcPr>
            <w:tcW w:w="405" w:type="dxa"/>
            <w:tcBorders>
              <w:bottom w:val="single" w:sz="4" w:space="0" w:color="auto"/>
            </w:tcBorders>
          </w:tcPr>
          <w:p w14:paraId="34B78506" w14:textId="77777777" w:rsidR="00913A0A" w:rsidRPr="0058047D" w:rsidRDefault="00913A0A" w:rsidP="002253A3">
            <w:pPr>
              <w:jc w:val="center"/>
              <w:rPr>
                <w:rFonts w:cs="Tahoma"/>
                <w:sz w:val="13"/>
              </w:rPr>
            </w:pPr>
            <w:r w:rsidRPr="0058047D">
              <w:rPr>
                <w:rFonts w:cs="Tahoma"/>
                <w:sz w:val="13"/>
              </w:rPr>
              <w:t>A</w:t>
            </w:r>
          </w:p>
        </w:tc>
      </w:tr>
      <w:tr w:rsidR="009323A0" w:rsidRPr="0058047D" w14:paraId="51D0DB40" w14:textId="77777777" w:rsidTr="00C86F50">
        <w:trPr>
          <w:trHeight w:val="145"/>
        </w:trPr>
        <w:tc>
          <w:tcPr>
            <w:tcW w:w="2619" w:type="dxa"/>
            <w:gridSpan w:val="2"/>
            <w:tcBorders>
              <w:bottom w:val="single" w:sz="4" w:space="0" w:color="auto"/>
            </w:tcBorders>
            <w:shd w:val="clear" w:color="auto" w:fill="FABF8F"/>
          </w:tcPr>
          <w:p w14:paraId="11D84C67" w14:textId="77777777" w:rsidR="00913A0A" w:rsidRPr="0058047D" w:rsidRDefault="00913A0A" w:rsidP="00E077BC">
            <w:pPr>
              <w:pStyle w:val="ProductNames"/>
              <w:spacing w:beforeLines="20" w:before="48" w:afterLines="20" w:after="48"/>
              <w:rPr>
                <w:rFonts w:ascii="Tahoma" w:hAnsi="Tahoma" w:cs="Tahoma"/>
                <w:sz w:val="14"/>
              </w:rPr>
            </w:pPr>
            <w:bookmarkStart w:id="137" w:name="_Toc371663323"/>
            <w:r w:rsidRPr="0058047D">
              <w:rPr>
                <w:rFonts w:ascii="Tahoma" w:hAnsi="Tahoma" w:cs="Tahoma"/>
                <w:sz w:val="14"/>
              </w:rPr>
              <w:t>Bing Maps Known User 5K Bundle Monthly Sub</w:t>
            </w:r>
            <w:bookmarkEnd w:id="137"/>
          </w:p>
        </w:tc>
        <w:tc>
          <w:tcPr>
            <w:tcW w:w="554" w:type="dxa"/>
            <w:tcBorders>
              <w:bottom w:val="single" w:sz="4" w:space="0" w:color="auto"/>
            </w:tcBorders>
            <w:shd w:val="clear" w:color="auto" w:fill="FABF8F"/>
            <w:vAlign w:val="center"/>
          </w:tcPr>
          <w:p w14:paraId="31F7C3B1" w14:textId="77777777" w:rsidR="00913A0A" w:rsidRPr="0058047D" w:rsidRDefault="00C86F50" w:rsidP="003D4F46">
            <w:pPr>
              <w:jc w:val="center"/>
              <w:rPr>
                <w:rFonts w:ascii="Trebuchet MS" w:hAnsi="Trebuchet MS"/>
                <w:b/>
                <w:sz w:val="13"/>
                <w:szCs w:val="13"/>
              </w:rPr>
            </w:pPr>
            <w:hyperlink w:anchor="_34_Bing_Maps" w:history="1">
              <w:r w:rsidR="00BF5FC6" w:rsidRPr="0058047D">
                <w:rPr>
                  <w:rStyle w:val="Hyperlink"/>
                  <w:rFonts w:ascii="Trebuchet MS" w:hAnsi="Trebuchet MS"/>
                  <w:b/>
                  <w:sz w:val="13"/>
                  <w:szCs w:val="13"/>
                </w:rPr>
                <w:t>34</w:t>
              </w:r>
            </w:hyperlink>
          </w:p>
        </w:tc>
        <w:tc>
          <w:tcPr>
            <w:tcW w:w="516" w:type="dxa"/>
            <w:tcBorders>
              <w:bottom w:val="single" w:sz="4" w:space="0" w:color="auto"/>
            </w:tcBorders>
            <w:shd w:val="clear" w:color="auto" w:fill="FABF8F"/>
            <w:vAlign w:val="center"/>
          </w:tcPr>
          <w:p w14:paraId="091B2097" w14:textId="77777777" w:rsidR="00913A0A" w:rsidRPr="0058047D" w:rsidRDefault="00913A0A" w:rsidP="002253A3">
            <w:pPr>
              <w:jc w:val="center"/>
              <w:rPr>
                <w:rFonts w:cs="Tahoma"/>
                <w:sz w:val="14"/>
              </w:rPr>
            </w:pPr>
            <w:r w:rsidRPr="0058047D">
              <w:rPr>
                <w:rFonts w:cs="Tahoma"/>
                <w:sz w:val="14"/>
              </w:rPr>
              <w:t>04/13</w:t>
            </w:r>
          </w:p>
        </w:tc>
        <w:tc>
          <w:tcPr>
            <w:tcW w:w="358" w:type="dxa"/>
            <w:tcBorders>
              <w:bottom w:val="single" w:sz="4" w:space="0" w:color="auto"/>
              <w:right w:val="single" w:sz="18" w:space="0" w:color="auto"/>
            </w:tcBorders>
            <w:shd w:val="clear" w:color="auto" w:fill="FABF8F"/>
            <w:vAlign w:val="center"/>
          </w:tcPr>
          <w:p w14:paraId="70BDF8AD" w14:textId="77777777" w:rsidR="00913A0A" w:rsidRPr="0058047D" w:rsidRDefault="00913A0A" w:rsidP="002253A3">
            <w:pPr>
              <w:jc w:val="center"/>
              <w:rPr>
                <w:rFonts w:cs="Tahoma"/>
                <w:sz w:val="13"/>
              </w:rPr>
            </w:pPr>
          </w:p>
        </w:tc>
        <w:tc>
          <w:tcPr>
            <w:tcW w:w="2712" w:type="dxa"/>
            <w:gridSpan w:val="8"/>
            <w:tcBorders>
              <w:left w:val="single" w:sz="18" w:space="0" w:color="auto"/>
              <w:bottom w:val="single" w:sz="4" w:space="0" w:color="auto"/>
              <w:right w:val="single" w:sz="18" w:space="0" w:color="auto"/>
            </w:tcBorders>
            <w:shd w:val="clear" w:color="auto" w:fill="FABF8F"/>
            <w:vAlign w:val="center"/>
          </w:tcPr>
          <w:p w14:paraId="42F9EB0D" w14:textId="77777777" w:rsidR="00913A0A" w:rsidRPr="0058047D" w:rsidRDefault="00913A0A" w:rsidP="002253A3">
            <w:pPr>
              <w:jc w:val="center"/>
              <w:rPr>
                <w:rFonts w:cs="Tahoma"/>
                <w:sz w:val="14"/>
              </w:rPr>
            </w:pPr>
            <w:r w:rsidRPr="0058047D">
              <w:rPr>
                <w:rFonts w:cs="Tahoma"/>
                <w:sz w:val="14"/>
              </w:rPr>
              <w:t>200 crediti</w:t>
            </w:r>
          </w:p>
        </w:tc>
        <w:tc>
          <w:tcPr>
            <w:tcW w:w="477" w:type="dxa"/>
            <w:tcBorders>
              <w:left w:val="single" w:sz="18" w:space="0" w:color="auto"/>
              <w:bottom w:val="single" w:sz="4" w:space="0" w:color="auto"/>
            </w:tcBorders>
            <w:shd w:val="clear" w:color="auto" w:fill="FABF8F"/>
            <w:vAlign w:val="center"/>
          </w:tcPr>
          <w:p w14:paraId="08BB2246" w14:textId="77777777" w:rsidR="00913A0A" w:rsidRPr="0058047D" w:rsidRDefault="00913A0A" w:rsidP="002253A3">
            <w:pPr>
              <w:jc w:val="center"/>
              <w:rPr>
                <w:rFonts w:cs="Tahoma"/>
                <w:sz w:val="14"/>
              </w:rPr>
            </w:pPr>
            <w:r w:rsidRPr="0058047D">
              <w:rPr>
                <w:rFonts w:cs="Tahoma"/>
                <w:sz w:val="14"/>
              </w:rPr>
              <w:t>200</w:t>
            </w:r>
          </w:p>
        </w:tc>
        <w:tc>
          <w:tcPr>
            <w:tcW w:w="450" w:type="dxa"/>
            <w:tcBorders>
              <w:bottom w:val="single" w:sz="4" w:space="0" w:color="auto"/>
            </w:tcBorders>
            <w:shd w:val="clear" w:color="auto" w:fill="FABF8F"/>
            <w:vAlign w:val="center"/>
          </w:tcPr>
          <w:p w14:paraId="0E1E9506" w14:textId="77777777" w:rsidR="00913A0A" w:rsidRPr="0058047D" w:rsidRDefault="00913A0A" w:rsidP="002253A3">
            <w:pPr>
              <w:jc w:val="center"/>
              <w:rPr>
                <w:rFonts w:cs="Tahoma"/>
                <w:sz w:val="13"/>
              </w:rPr>
            </w:pPr>
          </w:p>
        </w:tc>
        <w:tc>
          <w:tcPr>
            <w:tcW w:w="414" w:type="dxa"/>
            <w:tcBorders>
              <w:bottom w:val="single" w:sz="4" w:space="0" w:color="auto"/>
              <w:right w:val="single" w:sz="18" w:space="0" w:color="auto"/>
            </w:tcBorders>
            <w:shd w:val="clear" w:color="auto" w:fill="FABF8F"/>
            <w:vAlign w:val="center"/>
          </w:tcPr>
          <w:p w14:paraId="4647C67E" w14:textId="77777777" w:rsidR="00913A0A" w:rsidRPr="0058047D" w:rsidRDefault="00913A0A" w:rsidP="002253A3">
            <w:pPr>
              <w:jc w:val="center"/>
              <w:rPr>
                <w:rFonts w:cs="Tahoma"/>
                <w:sz w:val="13"/>
              </w:rPr>
            </w:pPr>
          </w:p>
        </w:tc>
        <w:tc>
          <w:tcPr>
            <w:tcW w:w="468" w:type="dxa"/>
            <w:tcBorders>
              <w:left w:val="single" w:sz="18" w:space="0" w:color="auto"/>
              <w:bottom w:val="single" w:sz="4" w:space="0" w:color="auto"/>
            </w:tcBorders>
            <w:shd w:val="clear" w:color="auto" w:fill="FABF8F"/>
            <w:vAlign w:val="center"/>
          </w:tcPr>
          <w:p w14:paraId="4A96BC45" w14:textId="77777777" w:rsidR="00913A0A" w:rsidRPr="0058047D" w:rsidRDefault="00913A0A" w:rsidP="002253A3">
            <w:pPr>
              <w:jc w:val="center"/>
              <w:rPr>
                <w:rFonts w:cs="Tahoma"/>
                <w:sz w:val="13"/>
              </w:rPr>
            </w:pPr>
          </w:p>
        </w:tc>
        <w:tc>
          <w:tcPr>
            <w:tcW w:w="477" w:type="dxa"/>
            <w:tcBorders>
              <w:bottom w:val="single" w:sz="4" w:space="0" w:color="auto"/>
              <w:right w:val="single" w:sz="18" w:space="0" w:color="auto"/>
            </w:tcBorders>
            <w:shd w:val="clear" w:color="auto" w:fill="FABF8F"/>
            <w:vAlign w:val="center"/>
          </w:tcPr>
          <w:p w14:paraId="13C17D82" w14:textId="77777777" w:rsidR="00913A0A" w:rsidRPr="0058047D" w:rsidRDefault="00913A0A" w:rsidP="002253A3">
            <w:pPr>
              <w:jc w:val="center"/>
              <w:rPr>
                <w:rFonts w:cs="Tahoma"/>
                <w:sz w:val="14"/>
              </w:rPr>
            </w:pPr>
            <w:r w:rsidRPr="0058047D">
              <w:rPr>
                <w:rFonts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00F8A0EC" w14:textId="77777777" w:rsidR="00913A0A" w:rsidRPr="0058047D" w:rsidRDefault="00913A0A" w:rsidP="002253A3">
            <w:pPr>
              <w:jc w:val="center"/>
              <w:rPr>
                <w:rFonts w:cs="Tahoma"/>
                <w:sz w:val="14"/>
              </w:rPr>
            </w:pPr>
            <w:r w:rsidRPr="0058047D">
              <w:rPr>
                <w:rFonts w:cs="Tahoma"/>
                <w:sz w:val="13"/>
              </w:rPr>
              <w:t>P</w:t>
            </w:r>
          </w:p>
        </w:tc>
        <w:tc>
          <w:tcPr>
            <w:tcW w:w="655" w:type="dxa"/>
            <w:tcBorders>
              <w:bottom w:val="single" w:sz="4" w:space="0" w:color="auto"/>
            </w:tcBorders>
            <w:shd w:val="clear" w:color="auto" w:fill="FABF8F"/>
            <w:vAlign w:val="center"/>
          </w:tcPr>
          <w:p w14:paraId="5D423627" w14:textId="77777777" w:rsidR="00913A0A" w:rsidRPr="0058047D" w:rsidRDefault="00913A0A" w:rsidP="002253A3">
            <w:pPr>
              <w:jc w:val="center"/>
              <w:rPr>
                <w:rFonts w:cs="Tahoma"/>
                <w:sz w:val="13"/>
              </w:rPr>
            </w:pPr>
          </w:p>
        </w:tc>
        <w:tc>
          <w:tcPr>
            <w:tcW w:w="504" w:type="dxa"/>
            <w:tcBorders>
              <w:bottom w:val="single" w:sz="4" w:space="0" w:color="auto"/>
            </w:tcBorders>
            <w:shd w:val="clear" w:color="auto" w:fill="FABF8F"/>
            <w:vAlign w:val="center"/>
          </w:tcPr>
          <w:p w14:paraId="50246DC1" w14:textId="77777777" w:rsidR="00913A0A" w:rsidRPr="0058047D" w:rsidRDefault="00913A0A" w:rsidP="002253A3">
            <w:pPr>
              <w:jc w:val="center"/>
              <w:rPr>
                <w:rFonts w:cs="Tahoma"/>
                <w:sz w:val="14"/>
              </w:rPr>
            </w:pPr>
            <w:r w:rsidRPr="0058047D">
              <w:rPr>
                <w:rFonts w:cs="Tahoma"/>
                <w:sz w:val="13"/>
              </w:rPr>
              <w:t>OL/OV</w:t>
            </w:r>
          </w:p>
        </w:tc>
        <w:tc>
          <w:tcPr>
            <w:tcW w:w="405" w:type="dxa"/>
            <w:tcBorders>
              <w:bottom w:val="single" w:sz="4" w:space="0" w:color="auto"/>
            </w:tcBorders>
            <w:shd w:val="clear" w:color="auto" w:fill="FABF8F"/>
          </w:tcPr>
          <w:p w14:paraId="20936686" w14:textId="77777777" w:rsidR="00913A0A" w:rsidRPr="0058047D" w:rsidRDefault="00913A0A" w:rsidP="002253A3">
            <w:pPr>
              <w:jc w:val="center"/>
              <w:rPr>
                <w:rFonts w:cs="Tahoma"/>
                <w:sz w:val="13"/>
              </w:rPr>
            </w:pPr>
            <w:r w:rsidRPr="0058047D">
              <w:rPr>
                <w:rFonts w:cs="Tahoma"/>
                <w:sz w:val="13"/>
              </w:rPr>
              <w:t>A</w:t>
            </w:r>
          </w:p>
        </w:tc>
      </w:tr>
      <w:tr w:rsidR="009323A0" w:rsidRPr="0058047D" w14:paraId="2F8402A9" w14:textId="77777777" w:rsidTr="00C86F50">
        <w:trPr>
          <w:trHeight w:val="145"/>
        </w:trPr>
        <w:tc>
          <w:tcPr>
            <w:tcW w:w="2619" w:type="dxa"/>
            <w:gridSpan w:val="2"/>
            <w:tcBorders>
              <w:bottom w:val="single" w:sz="4" w:space="0" w:color="auto"/>
            </w:tcBorders>
            <w:shd w:val="clear" w:color="auto" w:fill="auto"/>
          </w:tcPr>
          <w:p w14:paraId="54780568" w14:textId="77777777" w:rsidR="00913A0A" w:rsidRPr="0058047D" w:rsidRDefault="00913A0A" w:rsidP="00E077BC">
            <w:pPr>
              <w:pStyle w:val="ProductNames"/>
              <w:spacing w:beforeLines="20" w:before="48" w:afterLines="20" w:after="48"/>
              <w:rPr>
                <w:rFonts w:ascii="Tahoma" w:hAnsi="Tahoma" w:cs="Tahoma"/>
                <w:sz w:val="14"/>
              </w:rPr>
            </w:pPr>
            <w:bookmarkStart w:id="138" w:name="_Toc371663324"/>
            <w:r w:rsidRPr="0058047D">
              <w:rPr>
                <w:rFonts w:ascii="Tahoma" w:hAnsi="Tahoma" w:cs="Tahoma"/>
                <w:sz w:val="14"/>
              </w:rPr>
              <w:t>Bing Maps Light Known Per User Monthly Sub</w:t>
            </w:r>
            <w:bookmarkEnd w:id="138"/>
          </w:p>
        </w:tc>
        <w:tc>
          <w:tcPr>
            <w:tcW w:w="554" w:type="dxa"/>
            <w:tcBorders>
              <w:bottom w:val="single" w:sz="4" w:space="0" w:color="auto"/>
            </w:tcBorders>
            <w:shd w:val="clear" w:color="auto" w:fill="auto"/>
            <w:vAlign w:val="center"/>
          </w:tcPr>
          <w:p w14:paraId="1B745AD9" w14:textId="77777777" w:rsidR="00913A0A" w:rsidRPr="0058047D" w:rsidRDefault="00C86F50" w:rsidP="003D4F46">
            <w:pPr>
              <w:jc w:val="center"/>
              <w:rPr>
                <w:rFonts w:ascii="Trebuchet MS" w:hAnsi="Trebuchet MS"/>
                <w:b/>
                <w:sz w:val="13"/>
                <w:szCs w:val="13"/>
              </w:rPr>
            </w:pPr>
            <w:hyperlink w:anchor="_34_Bing_Maps" w:history="1">
              <w:r w:rsidR="00BF5FC6" w:rsidRPr="0058047D">
                <w:rPr>
                  <w:rStyle w:val="Hyperlink"/>
                  <w:rFonts w:ascii="Trebuchet MS" w:hAnsi="Trebuchet MS"/>
                  <w:b/>
                  <w:sz w:val="13"/>
                  <w:szCs w:val="13"/>
                </w:rPr>
                <w:t>34</w:t>
              </w:r>
            </w:hyperlink>
          </w:p>
        </w:tc>
        <w:tc>
          <w:tcPr>
            <w:tcW w:w="516" w:type="dxa"/>
            <w:tcBorders>
              <w:bottom w:val="single" w:sz="4" w:space="0" w:color="auto"/>
            </w:tcBorders>
            <w:shd w:val="clear" w:color="auto" w:fill="auto"/>
            <w:vAlign w:val="center"/>
          </w:tcPr>
          <w:p w14:paraId="59CDF82B" w14:textId="77777777" w:rsidR="00913A0A" w:rsidRPr="0058047D" w:rsidRDefault="00913A0A" w:rsidP="002253A3">
            <w:pPr>
              <w:jc w:val="center"/>
              <w:rPr>
                <w:rFonts w:cs="Tahoma"/>
                <w:sz w:val="14"/>
              </w:rPr>
            </w:pPr>
            <w:r w:rsidRPr="0058047D">
              <w:rPr>
                <w:rFonts w:cs="Tahoma"/>
                <w:sz w:val="14"/>
              </w:rPr>
              <w:t>04/13</w:t>
            </w:r>
          </w:p>
        </w:tc>
        <w:tc>
          <w:tcPr>
            <w:tcW w:w="358" w:type="dxa"/>
            <w:tcBorders>
              <w:bottom w:val="single" w:sz="4" w:space="0" w:color="auto"/>
              <w:right w:val="single" w:sz="18" w:space="0" w:color="auto"/>
            </w:tcBorders>
            <w:shd w:val="clear" w:color="auto" w:fill="auto"/>
            <w:vAlign w:val="center"/>
          </w:tcPr>
          <w:p w14:paraId="4DB67272" w14:textId="77777777" w:rsidR="00913A0A" w:rsidRPr="0058047D" w:rsidRDefault="00913A0A" w:rsidP="002253A3">
            <w:pPr>
              <w:jc w:val="center"/>
              <w:rPr>
                <w:rFonts w:cs="Tahoma"/>
                <w:sz w:val="13"/>
              </w:rPr>
            </w:pPr>
          </w:p>
        </w:tc>
        <w:tc>
          <w:tcPr>
            <w:tcW w:w="2712" w:type="dxa"/>
            <w:gridSpan w:val="8"/>
            <w:tcBorders>
              <w:left w:val="single" w:sz="18" w:space="0" w:color="auto"/>
              <w:bottom w:val="single" w:sz="4" w:space="0" w:color="auto"/>
              <w:right w:val="single" w:sz="18" w:space="0" w:color="auto"/>
            </w:tcBorders>
            <w:shd w:val="clear" w:color="auto" w:fill="auto"/>
            <w:vAlign w:val="center"/>
          </w:tcPr>
          <w:p w14:paraId="6B515DAC" w14:textId="77777777" w:rsidR="00913A0A" w:rsidRPr="0058047D" w:rsidRDefault="00913A0A" w:rsidP="002253A3">
            <w:pPr>
              <w:jc w:val="center"/>
              <w:rPr>
                <w:rFonts w:cs="Tahoma"/>
                <w:sz w:val="14"/>
              </w:rPr>
            </w:pPr>
            <w:r w:rsidRPr="0058047D">
              <w:rPr>
                <w:rFonts w:cs="Tahoma"/>
                <w:sz w:val="14"/>
              </w:rPr>
              <w:t>1 punto</w:t>
            </w:r>
          </w:p>
        </w:tc>
        <w:tc>
          <w:tcPr>
            <w:tcW w:w="477" w:type="dxa"/>
            <w:tcBorders>
              <w:left w:val="single" w:sz="18" w:space="0" w:color="auto"/>
              <w:bottom w:val="single" w:sz="4" w:space="0" w:color="auto"/>
            </w:tcBorders>
            <w:shd w:val="clear" w:color="auto" w:fill="auto"/>
            <w:vAlign w:val="center"/>
          </w:tcPr>
          <w:p w14:paraId="2B837CA8" w14:textId="77777777" w:rsidR="00913A0A" w:rsidRPr="0058047D" w:rsidRDefault="00913A0A" w:rsidP="002253A3">
            <w:pPr>
              <w:jc w:val="center"/>
              <w:rPr>
                <w:rFonts w:cs="Tahoma"/>
                <w:sz w:val="14"/>
              </w:rPr>
            </w:pPr>
            <w:r w:rsidRPr="0058047D">
              <w:rPr>
                <w:rFonts w:cs="Tahoma"/>
                <w:sz w:val="14"/>
              </w:rPr>
              <w:t>1</w:t>
            </w:r>
          </w:p>
        </w:tc>
        <w:tc>
          <w:tcPr>
            <w:tcW w:w="450" w:type="dxa"/>
            <w:tcBorders>
              <w:bottom w:val="single" w:sz="4" w:space="0" w:color="auto"/>
            </w:tcBorders>
            <w:shd w:val="clear" w:color="auto" w:fill="auto"/>
            <w:vAlign w:val="center"/>
          </w:tcPr>
          <w:p w14:paraId="6E520588" w14:textId="77777777" w:rsidR="00913A0A" w:rsidRPr="0058047D" w:rsidRDefault="00913A0A" w:rsidP="002253A3">
            <w:pPr>
              <w:jc w:val="center"/>
              <w:rPr>
                <w:rFonts w:cs="Tahoma"/>
                <w:sz w:val="13"/>
              </w:rPr>
            </w:pPr>
          </w:p>
        </w:tc>
        <w:tc>
          <w:tcPr>
            <w:tcW w:w="414" w:type="dxa"/>
            <w:tcBorders>
              <w:bottom w:val="single" w:sz="4" w:space="0" w:color="auto"/>
              <w:right w:val="single" w:sz="18" w:space="0" w:color="auto"/>
            </w:tcBorders>
            <w:shd w:val="clear" w:color="auto" w:fill="auto"/>
            <w:vAlign w:val="center"/>
          </w:tcPr>
          <w:p w14:paraId="5BAB1DB4" w14:textId="77777777" w:rsidR="00913A0A" w:rsidRPr="0058047D" w:rsidRDefault="00913A0A" w:rsidP="002253A3">
            <w:pPr>
              <w:jc w:val="center"/>
              <w:rPr>
                <w:rFonts w:cs="Tahoma"/>
                <w:sz w:val="13"/>
              </w:rPr>
            </w:pPr>
          </w:p>
        </w:tc>
        <w:tc>
          <w:tcPr>
            <w:tcW w:w="468" w:type="dxa"/>
            <w:tcBorders>
              <w:left w:val="single" w:sz="18" w:space="0" w:color="auto"/>
              <w:bottom w:val="single" w:sz="4" w:space="0" w:color="auto"/>
            </w:tcBorders>
            <w:shd w:val="clear" w:color="auto" w:fill="auto"/>
            <w:vAlign w:val="center"/>
          </w:tcPr>
          <w:p w14:paraId="4E9F606D" w14:textId="77777777" w:rsidR="00913A0A" w:rsidRPr="0058047D" w:rsidRDefault="00913A0A" w:rsidP="002253A3">
            <w:pPr>
              <w:jc w:val="center"/>
              <w:rPr>
                <w:rFonts w:cs="Tahoma"/>
                <w:sz w:val="13"/>
              </w:rPr>
            </w:pPr>
          </w:p>
        </w:tc>
        <w:tc>
          <w:tcPr>
            <w:tcW w:w="477" w:type="dxa"/>
            <w:tcBorders>
              <w:bottom w:val="single" w:sz="4" w:space="0" w:color="auto"/>
              <w:right w:val="single" w:sz="18" w:space="0" w:color="auto"/>
            </w:tcBorders>
            <w:shd w:val="clear" w:color="auto" w:fill="auto"/>
            <w:vAlign w:val="center"/>
          </w:tcPr>
          <w:p w14:paraId="53430DDD" w14:textId="77777777" w:rsidR="00913A0A" w:rsidRPr="0058047D" w:rsidRDefault="00913A0A" w:rsidP="002253A3">
            <w:pPr>
              <w:jc w:val="center"/>
              <w:rPr>
                <w:rFonts w:cs="Tahoma"/>
                <w:sz w:val="14"/>
              </w:rPr>
            </w:pPr>
            <w:r w:rsidRPr="0058047D">
              <w:rPr>
                <w:rFonts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4E77B013" w14:textId="77777777" w:rsidR="00913A0A" w:rsidRPr="0058047D" w:rsidRDefault="00913A0A" w:rsidP="002253A3">
            <w:pPr>
              <w:jc w:val="center"/>
              <w:rPr>
                <w:rFonts w:cs="Tahoma"/>
                <w:sz w:val="14"/>
              </w:rPr>
            </w:pPr>
            <w:r w:rsidRPr="0058047D">
              <w:rPr>
                <w:rFonts w:cs="Tahoma"/>
                <w:sz w:val="13"/>
              </w:rPr>
              <w:t>P</w:t>
            </w:r>
          </w:p>
        </w:tc>
        <w:tc>
          <w:tcPr>
            <w:tcW w:w="655" w:type="dxa"/>
            <w:tcBorders>
              <w:bottom w:val="single" w:sz="4" w:space="0" w:color="auto"/>
            </w:tcBorders>
            <w:shd w:val="clear" w:color="auto" w:fill="auto"/>
            <w:vAlign w:val="center"/>
          </w:tcPr>
          <w:p w14:paraId="60AAAC1B" w14:textId="77777777" w:rsidR="00913A0A" w:rsidRPr="0058047D" w:rsidRDefault="00913A0A" w:rsidP="002253A3">
            <w:pPr>
              <w:jc w:val="center"/>
              <w:rPr>
                <w:rFonts w:cs="Tahoma"/>
                <w:sz w:val="13"/>
              </w:rPr>
            </w:pPr>
          </w:p>
        </w:tc>
        <w:tc>
          <w:tcPr>
            <w:tcW w:w="504" w:type="dxa"/>
            <w:tcBorders>
              <w:bottom w:val="single" w:sz="4" w:space="0" w:color="auto"/>
            </w:tcBorders>
            <w:shd w:val="clear" w:color="auto" w:fill="auto"/>
            <w:vAlign w:val="center"/>
          </w:tcPr>
          <w:p w14:paraId="0E997488" w14:textId="77777777" w:rsidR="00913A0A" w:rsidRPr="0058047D" w:rsidRDefault="00913A0A" w:rsidP="002253A3">
            <w:pPr>
              <w:jc w:val="center"/>
              <w:rPr>
                <w:rFonts w:cs="Tahoma"/>
                <w:sz w:val="14"/>
              </w:rPr>
            </w:pPr>
            <w:r w:rsidRPr="0058047D">
              <w:rPr>
                <w:rFonts w:cs="Tahoma"/>
                <w:sz w:val="13"/>
              </w:rPr>
              <w:t>OL/OV</w:t>
            </w:r>
          </w:p>
        </w:tc>
        <w:tc>
          <w:tcPr>
            <w:tcW w:w="405" w:type="dxa"/>
            <w:tcBorders>
              <w:bottom w:val="single" w:sz="4" w:space="0" w:color="auto"/>
            </w:tcBorders>
          </w:tcPr>
          <w:p w14:paraId="30184E63" w14:textId="77777777" w:rsidR="00913A0A" w:rsidRPr="0058047D" w:rsidRDefault="00913A0A" w:rsidP="002253A3">
            <w:pPr>
              <w:jc w:val="center"/>
              <w:rPr>
                <w:rFonts w:cs="Tahoma"/>
                <w:sz w:val="13"/>
              </w:rPr>
            </w:pPr>
            <w:r w:rsidRPr="0058047D">
              <w:rPr>
                <w:rFonts w:cs="Tahoma"/>
                <w:sz w:val="13"/>
              </w:rPr>
              <w:t>A</w:t>
            </w:r>
          </w:p>
        </w:tc>
      </w:tr>
      <w:tr w:rsidR="009323A0" w:rsidRPr="0058047D" w14:paraId="054C1B77" w14:textId="77777777" w:rsidTr="00C86F50">
        <w:trPr>
          <w:trHeight w:val="145"/>
        </w:trPr>
        <w:tc>
          <w:tcPr>
            <w:tcW w:w="2619" w:type="dxa"/>
            <w:gridSpan w:val="2"/>
            <w:tcBorders>
              <w:bottom w:val="single" w:sz="4" w:space="0" w:color="auto"/>
            </w:tcBorders>
            <w:shd w:val="clear" w:color="auto" w:fill="FABF8F"/>
          </w:tcPr>
          <w:p w14:paraId="7666C6F0" w14:textId="77777777" w:rsidR="00913A0A" w:rsidRPr="0058047D" w:rsidRDefault="00913A0A" w:rsidP="00E077BC">
            <w:pPr>
              <w:pStyle w:val="ProductNames"/>
              <w:spacing w:beforeLines="20" w:before="48" w:afterLines="20" w:after="48"/>
              <w:rPr>
                <w:rFonts w:ascii="Tahoma" w:hAnsi="Tahoma" w:cs="Tahoma"/>
                <w:sz w:val="14"/>
              </w:rPr>
            </w:pPr>
            <w:bookmarkStart w:id="139" w:name="_Toc371663325"/>
            <w:r w:rsidRPr="0058047D">
              <w:rPr>
                <w:rFonts w:ascii="Tahoma" w:hAnsi="Tahoma" w:cs="Tahoma"/>
                <w:sz w:val="14"/>
              </w:rPr>
              <w:t>Bing Maps Light Known 5K User Bundle Monthly Sub</w:t>
            </w:r>
            <w:bookmarkEnd w:id="139"/>
          </w:p>
        </w:tc>
        <w:tc>
          <w:tcPr>
            <w:tcW w:w="554" w:type="dxa"/>
            <w:tcBorders>
              <w:bottom w:val="single" w:sz="4" w:space="0" w:color="auto"/>
            </w:tcBorders>
            <w:shd w:val="clear" w:color="auto" w:fill="FABF8F"/>
            <w:vAlign w:val="center"/>
          </w:tcPr>
          <w:p w14:paraId="5FEAD235" w14:textId="77777777" w:rsidR="00913A0A" w:rsidRPr="0058047D" w:rsidRDefault="00C86F50" w:rsidP="003D4F46">
            <w:pPr>
              <w:jc w:val="center"/>
              <w:rPr>
                <w:rFonts w:ascii="Trebuchet MS" w:hAnsi="Trebuchet MS"/>
                <w:b/>
                <w:sz w:val="13"/>
                <w:szCs w:val="13"/>
              </w:rPr>
            </w:pPr>
            <w:hyperlink w:anchor="_34_Bing_Maps" w:history="1">
              <w:r w:rsidR="00BF5FC6" w:rsidRPr="0058047D">
                <w:rPr>
                  <w:rStyle w:val="Hyperlink"/>
                  <w:rFonts w:ascii="Trebuchet MS" w:hAnsi="Trebuchet MS"/>
                  <w:b/>
                  <w:sz w:val="13"/>
                  <w:szCs w:val="13"/>
                </w:rPr>
                <w:t>34</w:t>
              </w:r>
            </w:hyperlink>
          </w:p>
        </w:tc>
        <w:tc>
          <w:tcPr>
            <w:tcW w:w="516" w:type="dxa"/>
            <w:tcBorders>
              <w:bottom w:val="single" w:sz="4" w:space="0" w:color="auto"/>
            </w:tcBorders>
            <w:shd w:val="clear" w:color="auto" w:fill="FABF8F"/>
            <w:vAlign w:val="center"/>
          </w:tcPr>
          <w:p w14:paraId="4E8F202F" w14:textId="77777777" w:rsidR="00913A0A" w:rsidRPr="0058047D" w:rsidRDefault="00913A0A" w:rsidP="002253A3">
            <w:pPr>
              <w:jc w:val="center"/>
              <w:rPr>
                <w:rFonts w:cs="Tahoma"/>
                <w:sz w:val="14"/>
              </w:rPr>
            </w:pPr>
            <w:r w:rsidRPr="0058047D">
              <w:rPr>
                <w:rFonts w:cs="Tahoma"/>
                <w:sz w:val="14"/>
              </w:rPr>
              <w:t>04/13</w:t>
            </w:r>
          </w:p>
        </w:tc>
        <w:tc>
          <w:tcPr>
            <w:tcW w:w="358" w:type="dxa"/>
            <w:tcBorders>
              <w:bottom w:val="single" w:sz="4" w:space="0" w:color="auto"/>
              <w:right w:val="single" w:sz="18" w:space="0" w:color="auto"/>
            </w:tcBorders>
            <w:shd w:val="clear" w:color="auto" w:fill="FABF8F"/>
            <w:vAlign w:val="center"/>
          </w:tcPr>
          <w:p w14:paraId="63D27840" w14:textId="77777777" w:rsidR="00913A0A" w:rsidRPr="0058047D" w:rsidRDefault="00913A0A" w:rsidP="002253A3">
            <w:pPr>
              <w:jc w:val="center"/>
              <w:rPr>
                <w:rFonts w:cs="Tahoma"/>
                <w:sz w:val="13"/>
              </w:rPr>
            </w:pPr>
          </w:p>
        </w:tc>
        <w:tc>
          <w:tcPr>
            <w:tcW w:w="2712" w:type="dxa"/>
            <w:gridSpan w:val="8"/>
            <w:tcBorders>
              <w:left w:val="single" w:sz="18" w:space="0" w:color="auto"/>
              <w:bottom w:val="single" w:sz="4" w:space="0" w:color="auto"/>
              <w:right w:val="single" w:sz="18" w:space="0" w:color="auto"/>
            </w:tcBorders>
            <w:shd w:val="clear" w:color="auto" w:fill="FABF8F"/>
            <w:vAlign w:val="center"/>
          </w:tcPr>
          <w:p w14:paraId="1C5C0C8A" w14:textId="77777777" w:rsidR="00913A0A" w:rsidRPr="0058047D" w:rsidRDefault="00913A0A" w:rsidP="002253A3">
            <w:pPr>
              <w:jc w:val="center"/>
              <w:rPr>
                <w:rFonts w:cs="Tahoma"/>
                <w:sz w:val="14"/>
              </w:rPr>
            </w:pPr>
            <w:r w:rsidRPr="0058047D">
              <w:rPr>
                <w:rFonts w:cs="Tahoma"/>
                <w:sz w:val="14"/>
              </w:rPr>
              <w:t>125 crediti</w:t>
            </w:r>
          </w:p>
        </w:tc>
        <w:tc>
          <w:tcPr>
            <w:tcW w:w="477" w:type="dxa"/>
            <w:tcBorders>
              <w:left w:val="single" w:sz="18" w:space="0" w:color="auto"/>
              <w:bottom w:val="single" w:sz="4" w:space="0" w:color="auto"/>
            </w:tcBorders>
            <w:shd w:val="clear" w:color="auto" w:fill="FABF8F"/>
            <w:vAlign w:val="center"/>
          </w:tcPr>
          <w:p w14:paraId="1259C315" w14:textId="77777777" w:rsidR="00913A0A" w:rsidRPr="0058047D" w:rsidRDefault="00913A0A" w:rsidP="002253A3">
            <w:pPr>
              <w:jc w:val="center"/>
              <w:rPr>
                <w:rFonts w:cs="Tahoma"/>
                <w:sz w:val="14"/>
              </w:rPr>
            </w:pPr>
            <w:r w:rsidRPr="0058047D">
              <w:rPr>
                <w:rFonts w:cs="Tahoma"/>
                <w:sz w:val="14"/>
              </w:rPr>
              <w:t>125</w:t>
            </w:r>
          </w:p>
        </w:tc>
        <w:tc>
          <w:tcPr>
            <w:tcW w:w="450" w:type="dxa"/>
            <w:tcBorders>
              <w:bottom w:val="single" w:sz="4" w:space="0" w:color="auto"/>
            </w:tcBorders>
            <w:shd w:val="clear" w:color="auto" w:fill="FABF8F"/>
            <w:vAlign w:val="center"/>
          </w:tcPr>
          <w:p w14:paraId="189DB1E8" w14:textId="77777777" w:rsidR="00913A0A" w:rsidRPr="0058047D" w:rsidRDefault="00913A0A" w:rsidP="002253A3">
            <w:pPr>
              <w:jc w:val="center"/>
              <w:rPr>
                <w:rFonts w:cs="Tahoma"/>
                <w:sz w:val="13"/>
              </w:rPr>
            </w:pPr>
          </w:p>
        </w:tc>
        <w:tc>
          <w:tcPr>
            <w:tcW w:w="414" w:type="dxa"/>
            <w:tcBorders>
              <w:bottom w:val="single" w:sz="4" w:space="0" w:color="auto"/>
              <w:right w:val="single" w:sz="18" w:space="0" w:color="auto"/>
            </w:tcBorders>
            <w:shd w:val="clear" w:color="auto" w:fill="FABF8F"/>
            <w:vAlign w:val="center"/>
          </w:tcPr>
          <w:p w14:paraId="74BECA60" w14:textId="77777777" w:rsidR="00913A0A" w:rsidRPr="0058047D" w:rsidRDefault="00913A0A" w:rsidP="002253A3">
            <w:pPr>
              <w:jc w:val="center"/>
              <w:rPr>
                <w:rFonts w:cs="Tahoma"/>
                <w:sz w:val="13"/>
              </w:rPr>
            </w:pPr>
          </w:p>
        </w:tc>
        <w:tc>
          <w:tcPr>
            <w:tcW w:w="468" w:type="dxa"/>
            <w:tcBorders>
              <w:left w:val="single" w:sz="18" w:space="0" w:color="auto"/>
              <w:bottom w:val="single" w:sz="4" w:space="0" w:color="auto"/>
            </w:tcBorders>
            <w:shd w:val="clear" w:color="auto" w:fill="FABF8F"/>
            <w:vAlign w:val="center"/>
          </w:tcPr>
          <w:p w14:paraId="5666AE73" w14:textId="77777777" w:rsidR="00913A0A" w:rsidRPr="0058047D" w:rsidRDefault="00913A0A" w:rsidP="002253A3">
            <w:pPr>
              <w:jc w:val="center"/>
              <w:rPr>
                <w:rFonts w:cs="Tahoma"/>
                <w:sz w:val="13"/>
              </w:rPr>
            </w:pPr>
          </w:p>
        </w:tc>
        <w:tc>
          <w:tcPr>
            <w:tcW w:w="477" w:type="dxa"/>
            <w:tcBorders>
              <w:bottom w:val="single" w:sz="4" w:space="0" w:color="auto"/>
              <w:right w:val="single" w:sz="18" w:space="0" w:color="auto"/>
            </w:tcBorders>
            <w:shd w:val="clear" w:color="auto" w:fill="FABF8F"/>
            <w:vAlign w:val="center"/>
          </w:tcPr>
          <w:p w14:paraId="3C3F4912" w14:textId="77777777" w:rsidR="00913A0A" w:rsidRPr="0058047D" w:rsidRDefault="00913A0A" w:rsidP="002253A3">
            <w:pPr>
              <w:jc w:val="center"/>
              <w:rPr>
                <w:rFonts w:cs="Tahoma"/>
                <w:sz w:val="14"/>
              </w:rPr>
            </w:pPr>
            <w:r w:rsidRPr="0058047D">
              <w:rPr>
                <w:rFonts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62E30277" w14:textId="77777777" w:rsidR="00913A0A" w:rsidRPr="0058047D" w:rsidRDefault="00913A0A" w:rsidP="002253A3">
            <w:pPr>
              <w:jc w:val="center"/>
              <w:rPr>
                <w:rFonts w:cs="Tahoma"/>
                <w:sz w:val="14"/>
              </w:rPr>
            </w:pPr>
            <w:r w:rsidRPr="0058047D">
              <w:rPr>
                <w:rFonts w:cs="Tahoma"/>
                <w:sz w:val="13"/>
              </w:rPr>
              <w:t>P</w:t>
            </w:r>
          </w:p>
        </w:tc>
        <w:tc>
          <w:tcPr>
            <w:tcW w:w="655" w:type="dxa"/>
            <w:tcBorders>
              <w:bottom w:val="single" w:sz="4" w:space="0" w:color="auto"/>
            </w:tcBorders>
            <w:shd w:val="clear" w:color="auto" w:fill="FABF8F"/>
            <w:vAlign w:val="center"/>
          </w:tcPr>
          <w:p w14:paraId="39E281A6" w14:textId="77777777" w:rsidR="00913A0A" w:rsidRPr="0058047D" w:rsidRDefault="00913A0A" w:rsidP="002253A3">
            <w:pPr>
              <w:jc w:val="center"/>
              <w:rPr>
                <w:rFonts w:cs="Tahoma"/>
                <w:sz w:val="13"/>
              </w:rPr>
            </w:pPr>
          </w:p>
        </w:tc>
        <w:tc>
          <w:tcPr>
            <w:tcW w:w="504" w:type="dxa"/>
            <w:tcBorders>
              <w:bottom w:val="single" w:sz="4" w:space="0" w:color="auto"/>
            </w:tcBorders>
            <w:shd w:val="clear" w:color="auto" w:fill="FABF8F"/>
            <w:vAlign w:val="center"/>
          </w:tcPr>
          <w:p w14:paraId="41947ECB" w14:textId="77777777" w:rsidR="00913A0A" w:rsidRPr="0058047D" w:rsidRDefault="00913A0A" w:rsidP="002253A3">
            <w:pPr>
              <w:jc w:val="center"/>
              <w:rPr>
                <w:rFonts w:cs="Tahoma"/>
                <w:sz w:val="14"/>
              </w:rPr>
            </w:pPr>
            <w:r w:rsidRPr="0058047D">
              <w:rPr>
                <w:rFonts w:cs="Tahoma"/>
                <w:sz w:val="13"/>
              </w:rPr>
              <w:t>OL/OV</w:t>
            </w:r>
          </w:p>
        </w:tc>
        <w:tc>
          <w:tcPr>
            <w:tcW w:w="405" w:type="dxa"/>
            <w:tcBorders>
              <w:bottom w:val="single" w:sz="4" w:space="0" w:color="auto"/>
            </w:tcBorders>
            <w:shd w:val="clear" w:color="auto" w:fill="FABF8F"/>
          </w:tcPr>
          <w:p w14:paraId="78D10224" w14:textId="77777777" w:rsidR="00913A0A" w:rsidRPr="0058047D" w:rsidRDefault="00913A0A" w:rsidP="002253A3">
            <w:pPr>
              <w:jc w:val="center"/>
              <w:rPr>
                <w:rFonts w:cs="Tahoma"/>
                <w:sz w:val="13"/>
              </w:rPr>
            </w:pPr>
            <w:r w:rsidRPr="0058047D">
              <w:rPr>
                <w:rFonts w:cs="Tahoma"/>
                <w:sz w:val="13"/>
              </w:rPr>
              <w:t>A</w:t>
            </w:r>
          </w:p>
        </w:tc>
      </w:tr>
      <w:tr w:rsidR="009323A0" w:rsidRPr="0058047D" w14:paraId="1E55AA27" w14:textId="77777777" w:rsidTr="00C86F50">
        <w:trPr>
          <w:trHeight w:val="145"/>
        </w:trPr>
        <w:tc>
          <w:tcPr>
            <w:tcW w:w="2619" w:type="dxa"/>
            <w:gridSpan w:val="2"/>
            <w:tcBorders>
              <w:bottom w:val="single" w:sz="4" w:space="0" w:color="auto"/>
            </w:tcBorders>
            <w:shd w:val="clear" w:color="auto" w:fill="auto"/>
          </w:tcPr>
          <w:p w14:paraId="53C6456C" w14:textId="77777777" w:rsidR="00913A0A" w:rsidRPr="0058047D" w:rsidRDefault="00913A0A" w:rsidP="00E077BC">
            <w:pPr>
              <w:pStyle w:val="ProductNames"/>
              <w:spacing w:beforeLines="20" w:before="48" w:afterLines="20" w:after="48"/>
              <w:rPr>
                <w:rFonts w:ascii="Tahoma" w:hAnsi="Tahoma" w:cs="Tahoma"/>
                <w:sz w:val="14"/>
              </w:rPr>
            </w:pPr>
            <w:bookmarkStart w:id="140" w:name="_Toc371663326"/>
            <w:r w:rsidRPr="0058047D">
              <w:rPr>
                <w:rFonts w:ascii="Tahoma" w:hAnsi="Tahoma" w:cs="Tahoma"/>
                <w:sz w:val="14"/>
              </w:rPr>
              <w:t>Bing Maps Mobile Asset Management Platform Fee Monthly Sub</w:t>
            </w:r>
            <w:bookmarkEnd w:id="140"/>
          </w:p>
        </w:tc>
        <w:tc>
          <w:tcPr>
            <w:tcW w:w="554" w:type="dxa"/>
            <w:tcBorders>
              <w:bottom w:val="single" w:sz="4" w:space="0" w:color="auto"/>
            </w:tcBorders>
            <w:shd w:val="clear" w:color="auto" w:fill="auto"/>
            <w:vAlign w:val="center"/>
          </w:tcPr>
          <w:p w14:paraId="78622BFA" w14:textId="77777777" w:rsidR="00913A0A" w:rsidRPr="0058047D" w:rsidRDefault="00C86F50" w:rsidP="003D4F46">
            <w:pPr>
              <w:jc w:val="center"/>
              <w:rPr>
                <w:rFonts w:ascii="Trebuchet MS" w:hAnsi="Trebuchet MS"/>
                <w:b/>
                <w:sz w:val="13"/>
                <w:szCs w:val="13"/>
              </w:rPr>
            </w:pPr>
            <w:hyperlink w:anchor="_34_Bing_Maps" w:history="1">
              <w:r w:rsidR="00BF5FC6" w:rsidRPr="0058047D">
                <w:rPr>
                  <w:rStyle w:val="Hyperlink"/>
                  <w:rFonts w:ascii="Trebuchet MS" w:hAnsi="Trebuchet MS"/>
                  <w:b/>
                  <w:sz w:val="13"/>
                  <w:szCs w:val="13"/>
                </w:rPr>
                <w:t>34</w:t>
              </w:r>
            </w:hyperlink>
          </w:p>
        </w:tc>
        <w:tc>
          <w:tcPr>
            <w:tcW w:w="516" w:type="dxa"/>
            <w:tcBorders>
              <w:bottom w:val="single" w:sz="4" w:space="0" w:color="auto"/>
            </w:tcBorders>
            <w:shd w:val="clear" w:color="auto" w:fill="auto"/>
            <w:vAlign w:val="center"/>
          </w:tcPr>
          <w:p w14:paraId="693E1DAA" w14:textId="77777777" w:rsidR="00913A0A" w:rsidRPr="0058047D" w:rsidRDefault="00913A0A" w:rsidP="002253A3">
            <w:pPr>
              <w:jc w:val="center"/>
              <w:rPr>
                <w:rFonts w:cs="Tahoma"/>
                <w:sz w:val="14"/>
              </w:rPr>
            </w:pPr>
            <w:r w:rsidRPr="0058047D">
              <w:rPr>
                <w:rFonts w:cs="Tahoma"/>
                <w:sz w:val="14"/>
              </w:rPr>
              <w:t>04/13</w:t>
            </w:r>
          </w:p>
        </w:tc>
        <w:tc>
          <w:tcPr>
            <w:tcW w:w="358" w:type="dxa"/>
            <w:tcBorders>
              <w:bottom w:val="single" w:sz="4" w:space="0" w:color="auto"/>
              <w:right w:val="single" w:sz="18" w:space="0" w:color="auto"/>
            </w:tcBorders>
            <w:shd w:val="clear" w:color="auto" w:fill="auto"/>
            <w:vAlign w:val="center"/>
          </w:tcPr>
          <w:p w14:paraId="0F04E8BD" w14:textId="77777777" w:rsidR="00913A0A" w:rsidRPr="0058047D" w:rsidRDefault="00913A0A" w:rsidP="002253A3">
            <w:pPr>
              <w:jc w:val="center"/>
              <w:rPr>
                <w:rFonts w:cs="Tahoma"/>
                <w:sz w:val="13"/>
              </w:rPr>
            </w:pPr>
          </w:p>
        </w:tc>
        <w:tc>
          <w:tcPr>
            <w:tcW w:w="2712" w:type="dxa"/>
            <w:gridSpan w:val="8"/>
            <w:tcBorders>
              <w:left w:val="single" w:sz="18" w:space="0" w:color="auto"/>
              <w:bottom w:val="single" w:sz="4" w:space="0" w:color="auto"/>
              <w:right w:val="single" w:sz="18" w:space="0" w:color="auto"/>
            </w:tcBorders>
            <w:shd w:val="clear" w:color="auto" w:fill="auto"/>
            <w:vAlign w:val="center"/>
          </w:tcPr>
          <w:p w14:paraId="4A61564E" w14:textId="77777777" w:rsidR="00913A0A" w:rsidRPr="0058047D" w:rsidRDefault="00913A0A" w:rsidP="002253A3">
            <w:pPr>
              <w:jc w:val="center"/>
              <w:rPr>
                <w:rFonts w:cs="Tahoma"/>
                <w:sz w:val="14"/>
              </w:rPr>
            </w:pPr>
            <w:r w:rsidRPr="0058047D">
              <w:rPr>
                <w:rFonts w:cs="Tahoma"/>
                <w:sz w:val="14"/>
              </w:rPr>
              <w:t>25 crediti</w:t>
            </w:r>
          </w:p>
        </w:tc>
        <w:tc>
          <w:tcPr>
            <w:tcW w:w="477" w:type="dxa"/>
            <w:tcBorders>
              <w:left w:val="single" w:sz="18" w:space="0" w:color="auto"/>
              <w:bottom w:val="single" w:sz="4" w:space="0" w:color="auto"/>
            </w:tcBorders>
            <w:shd w:val="clear" w:color="auto" w:fill="auto"/>
            <w:vAlign w:val="center"/>
          </w:tcPr>
          <w:p w14:paraId="1338B84B" w14:textId="77777777" w:rsidR="00913A0A" w:rsidRPr="0058047D" w:rsidRDefault="00913A0A" w:rsidP="002253A3">
            <w:pPr>
              <w:jc w:val="center"/>
              <w:rPr>
                <w:rFonts w:cs="Tahoma"/>
                <w:sz w:val="14"/>
              </w:rPr>
            </w:pPr>
            <w:r w:rsidRPr="0058047D">
              <w:rPr>
                <w:rFonts w:cs="Tahoma"/>
                <w:sz w:val="14"/>
              </w:rPr>
              <w:t>25</w:t>
            </w:r>
          </w:p>
        </w:tc>
        <w:tc>
          <w:tcPr>
            <w:tcW w:w="450" w:type="dxa"/>
            <w:tcBorders>
              <w:bottom w:val="single" w:sz="4" w:space="0" w:color="auto"/>
            </w:tcBorders>
            <w:shd w:val="clear" w:color="auto" w:fill="auto"/>
            <w:vAlign w:val="center"/>
          </w:tcPr>
          <w:p w14:paraId="0202D371" w14:textId="77777777" w:rsidR="00913A0A" w:rsidRPr="0058047D" w:rsidRDefault="00913A0A" w:rsidP="002253A3">
            <w:pPr>
              <w:jc w:val="center"/>
              <w:rPr>
                <w:rFonts w:cs="Tahoma"/>
                <w:sz w:val="13"/>
              </w:rPr>
            </w:pPr>
          </w:p>
        </w:tc>
        <w:tc>
          <w:tcPr>
            <w:tcW w:w="414" w:type="dxa"/>
            <w:tcBorders>
              <w:bottom w:val="single" w:sz="4" w:space="0" w:color="auto"/>
              <w:right w:val="single" w:sz="18" w:space="0" w:color="auto"/>
            </w:tcBorders>
            <w:shd w:val="clear" w:color="auto" w:fill="auto"/>
            <w:vAlign w:val="center"/>
          </w:tcPr>
          <w:p w14:paraId="41764063" w14:textId="77777777" w:rsidR="00913A0A" w:rsidRPr="0058047D" w:rsidRDefault="00913A0A" w:rsidP="002253A3">
            <w:pPr>
              <w:jc w:val="center"/>
              <w:rPr>
                <w:rFonts w:cs="Tahoma"/>
                <w:sz w:val="13"/>
              </w:rPr>
            </w:pPr>
          </w:p>
        </w:tc>
        <w:tc>
          <w:tcPr>
            <w:tcW w:w="468" w:type="dxa"/>
            <w:tcBorders>
              <w:left w:val="single" w:sz="18" w:space="0" w:color="auto"/>
              <w:bottom w:val="single" w:sz="4" w:space="0" w:color="auto"/>
            </w:tcBorders>
            <w:shd w:val="clear" w:color="auto" w:fill="auto"/>
            <w:vAlign w:val="center"/>
          </w:tcPr>
          <w:p w14:paraId="7090E17E" w14:textId="77777777" w:rsidR="00913A0A" w:rsidRPr="0058047D" w:rsidRDefault="00913A0A" w:rsidP="002253A3">
            <w:pPr>
              <w:jc w:val="center"/>
              <w:rPr>
                <w:rFonts w:cs="Tahoma"/>
                <w:sz w:val="13"/>
              </w:rPr>
            </w:pPr>
          </w:p>
        </w:tc>
        <w:tc>
          <w:tcPr>
            <w:tcW w:w="477" w:type="dxa"/>
            <w:tcBorders>
              <w:bottom w:val="single" w:sz="4" w:space="0" w:color="auto"/>
              <w:right w:val="single" w:sz="18" w:space="0" w:color="auto"/>
            </w:tcBorders>
            <w:shd w:val="clear" w:color="auto" w:fill="auto"/>
            <w:vAlign w:val="center"/>
          </w:tcPr>
          <w:p w14:paraId="01279337" w14:textId="77777777" w:rsidR="00913A0A" w:rsidRPr="0058047D" w:rsidRDefault="00913A0A" w:rsidP="002253A3">
            <w:pPr>
              <w:jc w:val="center"/>
              <w:rPr>
                <w:rFonts w:cs="Tahoma"/>
                <w:sz w:val="14"/>
              </w:rPr>
            </w:pPr>
            <w:r w:rsidRPr="0058047D">
              <w:rPr>
                <w:rFonts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664762F2" w14:textId="77777777" w:rsidR="00913A0A" w:rsidRPr="0058047D" w:rsidRDefault="00913A0A" w:rsidP="002253A3">
            <w:pPr>
              <w:jc w:val="center"/>
              <w:rPr>
                <w:rFonts w:cs="Tahoma"/>
                <w:sz w:val="14"/>
              </w:rPr>
            </w:pPr>
            <w:r w:rsidRPr="0058047D">
              <w:rPr>
                <w:rFonts w:cs="Tahoma"/>
                <w:sz w:val="13"/>
              </w:rPr>
              <w:t>P</w:t>
            </w:r>
          </w:p>
        </w:tc>
        <w:tc>
          <w:tcPr>
            <w:tcW w:w="655" w:type="dxa"/>
            <w:tcBorders>
              <w:bottom w:val="single" w:sz="4" w:space="0" w:color="auto"/>
            </w:tcBorders>
            <w:shd w:val="clear" w:color="auto" w:fill="auto"/>
            <w:vAlign w:val="center"/>
          </w:tcPr>
          <w:p w14:paraId="5BABC012" w14:textId="77777777" w:rsidR="00913A0A" w:rsidRPr="0058047D" w:rsidRDefault="00913A0A" w:rsidP="002253A3">
            <w:pPr>
              <w:jc w:val="center"/>
              <w:rPr>
                <w:rFonts w:cs="Tahoma"/>
                <w:sz w:val="13"/>
              </w:rPr>
            </w:pPr>
          </w:p>
        </w:tc>
        <w:tc>
          <w:tcPr>
            <w:tcW w:w="504" w:type="dxa"/>
            <w:tcBorders>
              <w:bottom w:val="single" w:sz="4" w:space="0" w:color="auto"/>
            </w:tcBorders>
            <w:shd w:val="clear" w:color="auto" w:fill="auto"/>
            <w:vAlign w:val="center"/>
          </w:tcPr>
          <w:p w14:paraId="66F455E4" w14:textId="77777777" w:rsidR="00913A0A" w:rsidRPr="0058047D" w:rsidRDefault="00913A0A" w:rsidP="002253A3">
            <w:pPr>
              <w:jc w:val="center"/>
              <w:rPr>
                <w:rFonts w:cs="Tahoma"/>
                <w:sz w:val="14"/>
              </w:rPr>
            </w:pPr>
            <w:r w:rsidRPr="0058047D">
              <w:rPr>
                <w:rFonts w:cs="Tahoma"/>
                <w:sz w:val="13"/>
              </w:rPr>
              <w:t>OL/OV</w:t>
            </w:r>
          </w:p>
        </w:tc>
        <w:tc>
          <w:tcPr>
            <w:tcW w:w="405" w:type="dxa"/>
            <w:tcBorders>
              <w:bottom w:val="single" w:sz="4" w:space="0" w:color="auto"/>
            </w:tcBorders>
          </w:tcPr>
          <w:p w14:paraId="4690067C" w14:textId="77777777" w:rsidR="00913A0A" w:rsidRPr="0058047D" w:rsidRDefault="00913A0A" w:rsidP="002253A3">
            <w:pPr>
              <w:jc w:val="center"/>
              <w:rPr>
                <w:rFonts w:cs="Tahoma"/>
                <w:sz w:val="13"/>
              </w:rPr>
            </w:pPr>
            <w:r w:rsidRPr="0058047D">
              <w:rPr>
                <w:rFonts w:cs="Tahoma"/>
                <w:sz w:val="13"/>
              </w:rPr>
              <w:t>A</w:t>
            </w:r>
          </w:p>
        </w:tc>
      </w:tr>
      <w:tr w:rsidR="009323A0" w:rsidRPr="0058047D" w14:paraId="2FBF8F1A" w14:textId="77777777" w:rsidTr="00C86F50">
        <w:trPr>
          <w:trHeight w:val="145"/>
        </w:trPr>
        <w:tc>
          <w:tcPr>
            <w:tcW w:w="2619" w:type="dxa"/>
            <w:gridSpan w:val="2"/>
            <w:tcBorders>
              <w:bottom w:val="single" w:sz="4" w:space="0" w:color="auto"/>
            </w:tcBorders>
            <w:shd w:val="clear" w:color="auto" w:fill="FABF8F"/>
          </w:tcPr>
          <w:p w14:paraId="576D4B3F" w14:textId="77777777" w:rsidR="00913A0A" w:rsidRPr="0058047D" w:rsidRDefault="00913A0A" w:rsidP="00E077BC">
            <w:pPr>
              <w:pStyle w:val="ProductNames"/>
              <w:spacing w:beforeLines="20" w:before="48" w:afterLines="20" w:after="48"/>
              <w:rPr>
                <w:rFonts w:ascii="Tahoma" w:hAnsi="Tahoma" w:cs="Tahoma"/>
                <w:sz w:val="14"/>
              </w:rPr>
            </w:pPr>
            <w:bookmarkStart w:id="141" w:name="_Toc371663327"/>
            <w:r w:rsidRPr="0058047D">
              <w:rPr>
                <w:rFonts w:ascii="Tahoma" w:hAnsi="Tahoma" w:cs="Tahoma"/>
                <w:sz w:val="14"/>
              </w:rPr>
              <w:t>Bing Maps Mobile Asset Management NA w routing Per Asset Monthly Sub</w:t>
            </w:r>
            <w:bookmarkEnd w:id="141"/>
          </w:p>
        </w:tc>
        <w:tc>
          <w:tcPr>
            <w:tcW w:w="554" w:type="dxa"/>
            <w:tcBorders>
              <w:bottom w:val="single" w:sz="4" w:space="0" w:color="auto"/>
            </w:tcBorders>
            <w:shd w:val="clear" w:color="auto" w:fill="FABF8F"/>
            <w:vAlign w:val="center"/>
          </w:tcPr>
          <w:p w14:paraId="16EC88C1" w14:textId="77777777" w:rsidR="00913A0A" w:rsidRPr="0058047D" w:rsidRDefault="00C86F50" w:rsidP="003D4F46">
            <w:pPr>
              <w:jc w:val="center"/>
              <w:rPr>
                <w:rFonts w:ascii="Trebuchet MS" w:hAnsi="Trebuchet MS"/>
                <w:b/>
                <w:sz w:val="13"/>
                <w:szCs w:val="13"/>
              </w:rPr>
            </w:pPr>
            <w:hyperlink w:anchor="_34_Bing_Maps" w:history="1">
              <w:r w:rsidR="00BF5FC6" w:rsidRPr="0058047D">
                <w:rPr>
                  <w:rStyle w:val="Hyperlink"/>
                  <w:rFonts w:ascii="Trebuchet MS" w:hAnsi="Trebuchet MS"/>
                  <w:b/>
                  <w:sz w:val="13"/>
                  <w:szCs w:val="13"/>
                </w:rPr>
                <w:t>34</w:t>
              </w:r>
            </w:hyperlink>
          </w:p>
        </w:tc>
        <w:tc>
          <w:tcPr>
            <w:tcW w:w="516" w:type="dxa"/>
            <w:tcBorders>
              <w:bottom w:val="single" w:sz="4" w:space="0" w:color="auto"/>
            </w:tcBorders>
            <w:shd w:val="clear" w:color="auto" w:fill="FABF8F"/>
            <w:vAlign w:val="center"/>
          </w:tcPr>
          <w:p w14:paraId="0B4717ED" w14:textId="77777777" w:rsidR="00913A0A" w:rsidRPr="0058047D" w:rsidRDefault="00913A0A" w:rsidP="002253A3">
            <w:pPr>
              <w:jc w:val="center"/>
              <w:rPr>
                <w:rFonts w:cs="Tahoma"/>
                <w:sz w:val="14"/>
              </w:rPr>
            </w:pPr>
            <w:r w:rsidRPr="0058047D">
              <w:rPr>
                <w:rFonts w:cs="Tahoma"/>
                <w:sz w:val="14"/>
              </w:rPr>
              <w:t>04/13</w:t>
            </w:r>
          </w:p>
        </w:tc>
        <w:tc>
          <w:tcPr>
            <w:tcW w:w="358" w:type="dxa"/>
            <w:tcBorders>
              <w:bottom w:val="single" w:sz="4" w:space="0" w:color="auto"/>
              <w:right w:val="single" w:sz="18" w:space="0" w:color="auto"/>
            </w:tcBorders>
            <w:shd w:val="clear" w:color="auto" w:fill="FABF8F"/>
            <w:vAlign w:val="center"/>
          </w:tcPr>
          <w:p w14:paraId="416DA156" w14:textId="77777777" w:rsidR="00913A0A" w:rsidRPr="0058047D" w:rsidRDefault="00913A0A" w:rsidP="002253A3">
            <w:pPr>
              <w:jc w:val="center"/>
              <w:rPr>
                <w:rFonts w:cs="Tahoma"/>
                <w:sz w:val="13"/>
              </w:rPr>
            </w:pPr>
          </w:p>
        </w:tc>
        <w:tc>
          <w:tcPr>
            <w:tcW w:w="2712" w:type="dxa"/>
            <w:gridSpan w:val="8"/>
            <w:tcBorders>
              <w:left w:val="single" w:sz="18" w:space="0" w:color="auto"/>
              <w:bottom w:val="single" w:sz="4" w:space="0" w:color="auto"/>
              <w:right w:val="single" w:sz="18" w:space="0" w:color="auto"/>
            </w:tcBorders>
            <w:shd w:val="clear" w:color="auto" w:fill="FABF8F"/>
            <w:vAlign w:val="center"/>
          </w:tcPr>
          <w:p w14:paraId="25D32999" w14:textId="77777777" w:rsidR="00913A0A" w:rsidRPr="0058047D" w:rsidRDefault="00913A0A" w:rsidP="002253A3">
            <w:pPr>
              <w:jc w:val="center"/>
              <w:rPr>
                <w:rFonts w:cs="Tahoma"/>
                <w:sz w:val="14"/>
              </w:rPr>
            </w:pPr>
            <w:r w:rsidRPr="0058047D">
              <w:rPr>
                <w:rFonts w:cs="Tahoma"/>
                <w:sz w:val="14"/>
              </w:rPr>
              <w:t>1 punto</w:t>
            </w:r>
          </w:p>
        </w:tc>
        <w:tc>
          <w:tcPr>
            <w:tcW w:w="477" w:type="dxa"/>
            <w:tcBorders>
              <w:left w:val="single" w:sz="18" w:space="0" w:color="auto"/>
              <w:bottom w:val="single" w:sz="4" w:space="0" w:color="auto"/>
            </w:tcBorders>
            <w:shd w:val="clear" w:color="auto" w:fill="FABF8F"/>
            <w:vAlign w:val="center"/>
          </w:tcPr>
          <w:p w14:paraId="30EFA5C1" w14:textId="77777777" w:rsidR="00913A0A" w:rsidRPr="0058047D" w:rsidRDefault="00913A0A" w:rsidP="002253A3">
            <w:pPr>
              <w:jc w:val="center"/>
              <w:rPr>
                <w:rFonts w:cs="Tahoma"/>
                <w:sz w:val="14"/>
              </w:rPr>
            </w:pPr>
            <w:r w:rsidRPr="0058047D">
              <w:rPr>
                <w:rFonts w:cs="Tahoma"/>
                <w:sz w:val="14"/>
              </w:rPr>
              <w:t>1</w:t>
            </w:r>
          </w:p>
        </w:tc>
        <w:tc>
          <w:tcPr>
            <w:tcW w:w="450" w:type="dxa"/>
            <w:tcBorders>
              <w:bottom w:val="single" w:sz="4" w:space="0" w:color="auto"/>
            </w:tcBorders>
            <w:shd w:val="clear" w:color="auto" w:fill="FABF8F"/>
            <w:vAlign w:val="center"/>
          </w:tcPr>
          <w:p w14:paraId="74B6A86A" w14:textId="77777777" w:rsidR="00913A0A" w:rsidRPr="0058047D" w:rsidRDefault="00913A0A" w:rsidP="002253A3">
            <w:pPr>
              <w:jc w:val="center"/>
              <w:rPr>
                <w:rFonts w:cs="Tahoma"/>
                <w:sz w:val="13"/>
              </w:rPr>
            </w:pPr>
          </w:p>
        </w:tc>
        <w:tc>
          <w:tcPr>
            <w:tcW w:w="414" w:type="dxa"/>
            <w:tcBorders>
              <w:bottom w:val="single" w:sz="4" w:space="0" w:color="auto"/>
              <w:right w:val="single" w:sz="18" w:space="0" w:color="auto"/>
            </w:tcBorders>
            <w:shd w:val="clear" w:color="auto" w:fill="FABF8F"/>
            <w:vAlign w:val="center"/>
          </w:tcPr>
          <w:p w14:paraId="1E67D967" w14:textId="77777777" w:rsidR="00913A0A" w:rsidRPr="0058047D" w:rsidRDefault="00913A0A" w:rsidP="002253A3">
            <w:pPr>
              <w:jc w:val="center"/>
              <w:rPr>
                <w:rFonts w:cs="Tahoma"/>
                <w:sz w:val="13"/>
              </w:rPr>
            </w:pPr>
          </w:p>
        </w:tc>
        <w:tc>
          <w:tcPr>
            <w:tcW w:w="468" w:type="dxa"/>
            <w:tcBorders>
              <w:left w:val="single" w:sz="18" w:space="0" w:color="auto"/>
              <w:bottom w:val="single" w:sz="4" w:space="0" w:color="auto"/>
            </w:tcBorders>
            <w:shd w:val="clear" w:color="auto" w:fill="FABF8F"/>
            <w:vAlign w:val="center"/>
          </w:tcPr>
          <w:p w14:paraId="110C17AB" w14:textId="77777777" w:rsidR="00913A0A" w:rsidRPr="0058047D" w:rsidRDefault="00913A0A" w:rsidP="002253A3">
            <w:pPr>
              <w:jc w:val="center"/>
              <w:rPr>
                <w:rFonts w:cs="Tahoma"/>
                <w:sz w:val="13"/>
              </w:rPr>
            </w:pPr>
          </w:p>
        </w:tc>
        <w:tc>
          <w:tcPr>
            <w:tcW w:w="477" w:type="dxa"/>
            <w:tcBorders>
              <w:bottom w:val="single" w:sz="4" w:space="0" w:color="auto"/>
              <w:right w:val="single" w:sz="18" w:space="0" w:color="auto"/>
            </w:tcBorders>
            <w:shd w:val="clear" w:color="auto" w:fill="FABF8F"/>
            <w:vAlign w:val="center"/>
          </w:tcPr>
          <w:p w14:paraId="17F4A708" w14:textId="77777777" w:rsidR="00913A0A" w:rsidRPr="0058047D" w:rsidRDefault="00913A0A" w:rsidP="002253A3">
            <w:pPr>
              <w:jc w:val="center"/>
              <w:rPr>
                <w:rFonts w:cs="Tahoma"/>
                <w:sz w:val="14"/>
              </w:rPr>
            </w:pPr>
            <w:r w:rsidRPr="0058047D">
              <w:rPr>
                <w:rFonts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1FB8A251" w14:textId="77777777" w:rsidR="00913A0A" w:rsidRPr="0058047D" w:rsidRDefault="00913A0A" w:rsidP="002253A3">
            <w:pPr>
              <w:jc w:val="center"/>
              <w:rPr>
                <w:rFonts w:cs="Tahoma"/>
                <w:sz w:val="14"/>
              </w:rPr>
            </w:pPr>
            <w:r w:rsidRPr="0058047D">
              <w:rPr>
                <w:rFonts w:cs="Tahoma"/>
                <w:sz w:val="13"/>
              </w:rPr>
              <w:t>P</w:t>
            </w:r>
          </w:p>
        </w:tc>
        <w:tc>
          <w:tcPr>
            <w:tcW w:w="655" w:type="dxa"/>
            <w:tcBorders>
              <w:bottom w:val="single" w:sz="4" w:space="0" w:color="auto"/>
            </w:tcBorders>
            <w:shd w:val="clear" w:color="auto" w:fill="FABF8F"/>
            <w:vAlign w:val="center"/>
          </w:tcPr>
          <w:p w14:paraId="0937D10D" w14:textId="77777777" w:rsidR="00913A0A" w:rsidRPr="0058047D" w:rsidRDefault="00913A0A" w:rsidP="002253A3">
            <w:pPr>
              <w:jc w:val="center"/>
              <w:rPr>
                <w:rFonts w:cs="Tahoma"/>
                <w:sz w:val="13"/>
              </w:rPr>
            </w:pPr>
          </w:p>
        </w:tc>
        <w:tc>
          <w:tcPr>
            <w:tcW w:w="504" w:type="dxa"/>
            <w:tcBorders>
              <w:bottom w:val="single" w:sz="4" w:space="0" w:color="auto"/>
            </w:tcBorders>
            <w:shd w:val="clear" w:color="auto" w:fill="FABF8F"/>
            <w:vAlign w:val="center"/>
          </w:tcPr>
          <w:p w14:paraId="3D5B881C" w14:textId="77777777" w:rsidR="00913A0A" w:rsidRPr="0058047D" w:rsidRDefault="00913A0A" w:rsidP="002253A3">
            <w:pPr>
              <w:jc w:val="center"/>
              <w:rPr>
                <w:rFonts w:cs="Tahoma"/>
                <w:sz w:val="14"/>
              </w:rPr>
            </w:pPr>
            <w:r w:rsidRPr="0058047D">
              <w:rPr>
                <w:rFonts w:cs="Tahoma"/>
                <w:sz w:val="13"/>
              </w:rPr>
              <w:t>OL/OV</w:t>
            </w:r>
          </w:p>
        </w:tc>
        <w:tc>
          <w:tcPr>
            <w:tcW w:w="405" w:type="dxa"/>
            <w:tcBorders>
              <w:bottom w:val="single" w:sz="4" w:space="0" w:color="auto"/>
            </w:tcBorders>
            <w:shd w:val="clear" w:color="auto" w:fill="FABF8F"/>
          </w:tcPr>
          <w:p w14:paraId="7B817056" w14:textId="77777777" w:rsidR="00913A0A" w:rsidRPr="0058047D" w:rsidRDefault="00913A0A" w:rsidP="002253A3">
            <w:pPr>
              <w:jc w:val="center"/>
              <w:rPr>
                <w:rFonts w:cs="Tahoma"/>
                <w:sz w:val="13"/>
              </w:rPr>
            </w:pPr>
            <w:r w:rsidRPr="0058047D">
              <w:rPr>
                <w:rFonts w:cs="Tahoma"/>
                <w:sz w:val="13"/>
              </w:rPr>
              <w:t>A</w:t>
            </w:r>
          </w:p>
        </w:tc>
      </w:tr>
      <w:tr w:rsidR="009323A0" w:rsidRPr="0058047D" w14:paraId="1F088412" w14:textId="77777777" w:rsidTr="00C86F50">
        <w:trPr>
          <w:trHeight w:val="145"/>
        </w:trPr>
        <w:tc>
          <w:tcPr>
            <w:tcW w:w="2619" w:type="dxa"/>
            <w:gridSpan w:val="2"/>
            <w:tcBorders>
              <w:bottom w:val="single" w:sz="4" w:space="0" w:color="auto"/>
            </w:tcBorders>
            <w:shd w:val="clear" w:color="auto" w:fill="auto"/>
          </w:tcPr>
          <w:p w14:paraId="62E195A9" w14:textId="77777777" w:rsidR="00913A0A" w:rsidRPr="0058047D" w:rsidRDefault="00913A0A" w:rsidP="00E077BC">
            <w:pPr>
              <w:pStyle w:val="ProductNames"/>
              <w:spacing w:beforeLines="20" w:before="48" w:afterLines="20" w:after="48"/>
              <w:rPr>
                <w:rFonts w:ascii="Tahoma" w:hAnsi="Tahoma" w:cs="Tahoma"/>
                <w:sz w:val="14"/>
              </w:rPr>
            </w:pPr>
            <w:bookmarkStart w:id="142" w:name="_Toc371663328"/>
            <w:r w:rsidRPr="0058047D">
              <w:rPr>
                <w:rFonts w:ascii="Tahoma" w:hAnsi="Tahoma" w:cs="Tahoma"/>
                <w:sz w:val="14"/>
              </w:rPr>
              <w:t>Bing Maps Mobile Asset Management NA w/o routing Per Asset Monthly Sub</w:t>
            </w:r>
            <w:bookmarkEnd w:id="142"/>
          </w:p>
        </w:tc>
        <w:tc>
          <w:tcPr>
            <w:tcW w:w="554" w:type="dxa"/>
            <w:tcBorders>
              <w:bottom w:val="single" w:sz="4" w:space="0" w:color="auto"/>
            </w:tcBorders>
            <w:shd w:val="clear" w:color="auto" w:fill="auto"/>
            <w:vAlign w:val="center"/>
          </w:tcPr>
          <w:p w14:paraId="03375D99" w14:textId="77777777" w:rsidR="00913A0A" w:rsidRPr="0058047D" w:rsidRDefault="00C86F50" w:rsidP="003D4F46">
            <w:pPr>
              <w:jc w:val="center"/>
              <w:rPr>
                <w:rFonts w:ascii="Trebuchet MS" w:hAnsi="Trebuchet MS"/>
                <w:b/>
                <w:sz w:val="13"/>
                <w:szCs w:val="13"/>
              </w:rPr>
            </w:pPr>
            <w:hyperlink w:anchor="_34_Bing_Maps" w:history="1">
              <w:r w:rsidR="00BF5FC6" w:rsidRPr="0058047D">
                <w:rPr>
                  <w:rStyle w:val="Hyperlink"/>
                  <w:rFonts w:ascii="Trebuchet MS" w:hAnsi="Trebuchet MS"/>
                  <w:b/>
                  <w:sz w:val="13"/>
                  <w:szCs w:val="13"/>
                </w:rPr>
                <w:t>34</w:t>
              </w:r>
            </w:hyperlink>
          </w:p>
        </w:tc>
        <w:tc>
          <w:tcPr>
            <w:tcW w:w="516" w:type="dxa"/>
            <w:tcBorders>
              <w:bottom w:val="single" w:sz="4" w:space="0" w:color="auto"/>
            </w:tcBorders>
            <w:shd w:val="clear" w:color="auto" w:fill="auto"/>
            <w:vAlign w:val="center"/>
          </w:tcPr>
          <w:p w14:paraId="7E0E6AF4" w14:textId="77777777" w:rsidR="00913A0A" w:rsidRPr="0058047D" w:rsidRDefault="00913A0A" w:rsidP="002253A3">
            <w:pPr>
              <w:jc w:val="center"/>
              <w:rPr>
                <w:rFonts w:cs="Tahoma"/>
                <w:sz w:val="14"/>
              </w:rPr>
            </w:pPr>
            <w:r w:rsidRPr="0058047D">
              <w:rPr>
                <w:rFonts w:cs="Tahoma"/>
                <w:sz w:val="14"/>
              </w:rPr>
              <w:t>04/13</w:t>
            </w:r>
          </w:p>
        </w:tc>
        <w:tc>
          <w:tcPr>
            <w:tcW w:w="358" w:type="dxa"/>
            <w:tcBorders>
              <w:bottom w:val="single" w:sz="4" w:space="0" w:color="auto"/>
              <w:right w:val="single" w:sz="18" w:space="0" w:color="auto"/>
            </w:tcBorders>
            <w:shd w:val="clear" w:color="auto" w:fill="auto"/>
            <w:vAlign w:val="center"/>
          </w:tcPr>
          <w:p w14:paraId="0A2A1193" w14:textId="77777777" w:rsidR="00913A0A" w:rsidRPr="0058047D" w:rsidRDefault="00913A0A" w:rsidP="002253A3">
            <w:pPr>
              <w:jc w:val="center"/>
              <w:rPr>
                <w:rFonts w:cs="Tahoma"/>
                <w:sz w:val="13"/>
              </w:rPr>
            </w:pPr>
          </w:p>
        </w:tc>
        <w:tc>
          <w:tcPr>
            <w:tcW w:w="2712" w:type="dxa"/>
            <w:gridSpan w:val="8"/>
            <w:tcBorders>
              <w:left w:val="single" w:sz="18" w:space="0" w:color="auto"/>
              <w:bottom w:val="single" w:sz="4" w:space="0" w:color="auto"/>
              <w:right w:val="single" w:sz="18" w:space="0" w:color="auto"/>
            </w:tcBorders>
            <w:shd w:val="clear" w:color="auto" w:fill="auto"/>
            <w:vAlign w:val="center"/>
          </w:tcPr>
          <w:p w14:paraId="0AF0F36C" w14:textId="77777777" w:rsidR="00913A0A" w:rsidRPr="0058047D" w:rsidRDefault="00913A0A" w:rsidP="002253A3">
            <w:pPr>
              <w:jc w:val="center"/>
              <w:rPr>
                <w:rFonts w:cs="Tahoma"/>
                <w:sz w:val="14"/>
              </w:rPr>
            </w:pPr>
            <w:r w:rsidRPr="0058047D">
              <w:rPr>
                <w:rFonts w:cs="Tahoma"/>
                <w:sz w:val="14"/>
              </w:rPr>
              <w:t>1 punto</w:t>
            </w:r>
          </w:p>
        </w:tc>
        <w:tc>
          <w:tcPr>
            <w:tcW w:w="477" w:type="dxa"/>
            <w:tcBorders>
              <w:left w:val="single" w:sz="18" w:space="0" w:color="auto"/>
              <w:bottom w:val="single" w:sz="4" w:space="0" w:color="auto"/>
            </w:tcBorders>
            <w:shd w:val="clear" w:color="auto" w:fill="auto"/>
            <w:vAlign w:val="center"/>
          </w:tcPr>
          <w:p w14:paraId="58B7207E" w14:textId="77777777" w:rsidR="00913A0A" w:rsidRPr="0058047D" w:rsidRDefault="00913A0A" w:rsidP="002253A3">
            <w:pPr>
              <w:jc w:val="center"/>
              <w:rPr>
                <w:rFonts w:cs="Tahoma"/>
                <w:sz w:val="14"/>
              </w:rPr>
            </w:pPr>
            <w:r w:rsidRPr="0058047D">
              <w:rPr>
                <w:rFonts w:cs="Tahoma"/>
                <w:sz w:val="14"/>
              </w:rPr>
              <w:t>1</w:t>
            </w:r>
          </w:p>
        </w:tc>
        <w:tc>
          <w:tcPr>
            <w:tcW w:w="450" w:type="dxa"/>
            <w:tcBorders>
              <w:bottom w:val="single" w:sz="4" w:space="0" w:color="auto"/>
            </w:tcBorders>
            <w:shd w:val="clear" w:color="auto" w:fill="auto"/>
            <w:vAlign w:val="center"/>
          </w:tcPr>
          <w:p w14:paraId="04666CB3" w14:textId="77777777" w:rsidR="00913A0A" w:rsidRPr="0058047D" w:rsidRDefault="00913A0A" w:rsidP="002253A3">
            <w:pPr>
              <w:jc w:val="center"/>
              <w:rPr>
                <w:rFonts w:cs="Tahoma"/>
                <w:sz w:val="13"/>
              </w:rPr>
            </w:pPr>
          </w:p>
        </w:tc>
        <w:tc>
          <w:tcPr>
            <w:tcW w:w="414" w:type="dxa"/>
            <w:tcBorders>
              <w:bottom w:val="single" w:sz="4" w:space="0" w:color="auto"/>
              <w:right w:val="single" w:sz="18" w:space="0" w:color="auto"/>
            </w:tcBorders>
            <w:shd w:val="clear" w:color="auto" w:fill="auto"/>
            <w:vAlign w:val="center"/>
          </w:tcPr>
          <w:p w14:paraId="6864CA38" w14:textId="77777777" w:rsidR="00913A0A" w:rsidRPr="0058047D" w:rsidRDefault="00913A0A" w:rsidP="002253A3">
            <w:pPr>
              <w:jc w:val="center"/>
              <w:rPr>
                <w:rFonts w:cs="Tahoma"/>
                <w:sz w:val="13"/>
              </w:rPr>
            </w:pPr>
          </w:p>
        </w:tc>
        <w:tc>
          <w:tcPr>
            <w:tcW w:w="468" w:type="dxa"/>
            <w:tcBorders>
              <w:left w:val="single" w:sz="18" w:space="0" w:color="auto"/>
              <w:bottom w:val="single" w:sz="4" w:space="0" w:color="auto"/>
            </w:tcBorders>
            <w:shd w:val="clear" w:color="auto" w:fill="auto"/>
            <w:vAlign w:val="center"/>
          </w:tcPr>
          <w:p w14:paraId="7DAEB336" w14:textId="77777777" w:rsidR="00913A0A" w:rsidRPr="0058047D" w:rsidRDefault="00913A0A" w:rsidP="002253A3">
            <w:pPr>
              <w:jc w:val="center"/>
              <w:rPr>
                <w:rFonts w:cs="Tahoma"/>
                <w:sz w:val="13"/>
              </w:rPr>
            </w:pPr>
          </w:p>
        </w:tc>
        <w:tc>
          <w:tcPr>
            <w:tcW w:w="477" w:type="dxa"/>
            <w:tcBorders>
              <w:bottom w:val="single" w:sz="4" w:space="0" w:color="auto"/>
              <w:right w:val="single" w:sz="18" w:space="0" w:color="auto"/>
            </w:tcBorders>
            <w:shd w:val="clear" w:color="auto" w:fill="auto"/>
            <w:vAlign w:val="center"/>
          </w:tcPr>
          <w:p w14:paraId="321E1BE6" w14:textId="77777777" w:rsidR="00913A0A" w:rsidRPr="0058047D" w:rsidRDefault="00913A0A" w:rsidP="002253A3">
            <w:pPr>
              <w:jc w:val="center"/>
              <w:rPr>
                <w:rFonts w:cs="Tahoma"/>
                <w:sz w:val="14"/>
              </w:rPr>
            </w:pPr>
            <w:r w:rsidRPr="0058047D">
              <w:rPr>
                <w:rFonts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48211501" w14:textId="77777777" w:rsidR="00913A0A" w:rsidRPr="0058047D" w:rsidRDefault="00913A0A" w:rsidP="002253A3">
            <w:pPr>
              <w:jc w:val="center"/>
              <w:rPr>
                <w:rFonts w:cs="Tahoma"/>
                <w:sz w:val="14"/>
              </w:rPr>
            </w:pPr>
            <w:r w:rsidRPr="0058047D">
              <w:rPr>
                <w:rFonts w:cs="Tahoma"/>
                <w:sz w:val="13"/>
              </w:rPr>
              <w:t>P</w:t>
            </w:r>
          </w:p>
        </w:tc>
        <w:tc>
          <w:tcPr>
            <w:tcW w:w="655" w:type="dxa"/>
            <w:tcBorders>
              <w:bottom w:val="single" w:sz="4" w:space="0" w:color="auto"/>
            </w:tcBorders>
            <w:shd w:val="clear" w:color="auto" w:fill="auto"/>
            <w:vAlign w:val="center"/>
          </w:tcPr>
          <w:p w14:paraId="382FA806" w14:textId="77777777" w:rsidR="00913A0A" w:rsidRPr="0058047D" w:rsidRDefault="00913A0A" w:rsidP="002253A3">
            <w:pPr>
              <w:jc w:val="center"/>
              <w:rPr>
                <w:rFonts w:cs="Tahoma"/>
                <w:sz w:val="13"/>
              </w:rPr>
            </w:pPr>
          </w:p>
        </w:tc>
        <w:tc>
          <w:tcPr>
            <w:tcW w:w="504" w:type="dxa"/>
            <w:tcBorders>
              <w:bottom w:val="single" w:sz="4" w:space="0" w:color="auto"/>
            </w:tcBorders>
            <w:shd w:val="clear" w:color="auto" w:fill="auto"/>
            <w:vAlign w:val="center"/>
          </w:tcPr>
          <w:p w14:paraId="174DADCC" w14:textId="77777777" w:rsidR="00913A0A" w:rsidRPr="0058047D" w:rsidRDefault="00913A0A" w:rsidP="002253A3">
            <w:pPr>
              <w:jc w:val="center"/>
              <w:rPr>
                <w:rFonts w:cs="Tahoma"/>
                <w:sz w:val="14"/>
              </w:rPr>
            </w:pPr>
            <w:r w:rsidRPr="0058047D">
              <w:rPr>
                <w:rFonts w:cs="Tahoma"/>
                <w:sz w:val="13"/>
              </w:rPr>
              <w:t>OL/OV</w:t>
            </w:r>
          </w:p>
        </w:tc>
        <w:tc>
          <w:tcPr>
            <w:tcW w:w="405" w:type="dxa"/>
            <w:tcBorders>
              <w:bottom w:val="single" w:sz="4" w:space="0" w:color="auto"/>
            </w:tcBorders>
          </w:tcPr>
          <w:p w14:paraId="1A1126C1" w14:textId="77777777" w:rsidR="00913A0A" w:rsidRPr="0058047D" w:rsidRDefault="00913A0A" w:rsidP="002253A3">
            <w:pPr>
              <w:jc w:val="center"/>
              <w:rPr>
                <w:rFonts w:cs="Tahoma"/>
                <w:sz w:val="13"/>
              </w:rPr>
            </w:pPr>
            <w:r w:rsidRPr="0058047D">
              <w:rPr>
                <w:rFonts w:cs="Tahoma"/>
                <w:sz w:val="13"/>
              </w:rPr>
              <w:t>A</w:t>
            </w:r>
          </w:p>
        </w:tc>
      </w:tr>
      <w:tr w:rsidR="009323A0" w:rsidRPr="0058047D" w14:paraId="6A74DD2C" w14:textId="77777777" w:rsidTr="00C86F50">
        <w:trPr>
          <w:trHeight w:val="145"/>
        </w:trPr>
        <w:tc>
          <w:tcPr>
            <w:tcW w:w="2619" w:type="dxa"/>
            <w:gridSpan w:val="2"/>
            <w:tcBorders>
              <w:bottom w:val="single" w:sz="4" w:space="0" w:color="auto"/>
            </w:tcBorders>
            <w:shd w:val="clear" w:color="auto" w:fill="FABF8F"/>
          </w:tcPr>
          <w:p w14:paraId="24BF64BB" w14:textId="77777777" w:rsidR="00913A0A" w:rsidRPr="0058047D" w:rsidRDefault="00913A0A" w:rsidP="00E077BC">
            <w:pPr>
              <w:pStyle w:val="ProductNames"/>
              <w:spacing w:beforeLines="20" w:before="48" w:afterLines="20" w:after="48"/>
              <w:rPr>
                <w:rFonts w:ascii="Tahoma" w:hAnsi="Tahoma" w:cs="Tahoma"/>
                <w:sz w:val="14"/>
              </w:rPr>
            </w:pPr>
            <w:bookmarkStart w:id="143" w:name="_Toc371663329"/>
            <w:r w:rsidRPr="0058047D">
              <w:rPr>
                <w:rFonts w:ascii="Tahoma" w:hAnsi="Tahoma" w:cs="Tahoma"/>
                <w:sz w:val="14"/>
              </w:rPr>
              <w:t>Bing Maps Mobile Asset Management Europe w routing Per Asset Monthly Sub</w:t>
            </w:r>
            <w:bookmarkEnd w:id="143"/>
          </w:p>
        </w:tc>
        <w:tc>
          <w:tcPr>
            <w:tcW w:w="554" w:type="dxa"/>
            <w:tcBorders>
              <w:bottom w:val="single" w:sz="4" w:space="0" w:color="auto"/>
            </w:tcBorders>
            <w:shd w:val="clear" w:color="auto" w:fill="FABF8F"/>
            <w:vAlign w:val="center"/>
          </w:tcPr>
          <w:p w14:paraId="5D882AA1" w14:textId="77777777" w:rsidR="00913A0A" w:rsidRPr="0058047D" w:rsidRDefault="00C86F50" w:rsidP="003D4F46">
            <w:pPr>
              <w:jc w:val="center"/>
              <w:rPr>
                <w:rFonts w:ascii="Trebuchet MS" w:hAnsi="Trebuchet MS"/>
                <w:b/>
                <w:sz w:val="13"/>
                <w:szCs w:val="13"/>
              </w:rPr>
            </w:pPr>
            <w:hyperlink w:anchor="_34_Bing_Maps" w:history="1">
              <w:r w:rsidR="00BF5FC6" w:rsidRPr="0058047D">
                <w:rPr>
                  <w:rStyle w:val="Hyperlink"/>
                  <w:rFonts w:ascii="Trebuchet MS" w:hAnsi="Trebuchet MS"/>
                  <w:b/>
                  <w:sz w:val="13"/>
                  <w:szCs w:val="13"/>
                </w:rPr>
                <w:t>34</w:t>
              </w:r>
            </w:hyperlink>
          </w:p>
        </w:tc>
        <w:tc>
          <w:tcPr>
            <w:tcW w:w="516" w:type="dxa"/>
            <w:tcBorders>
              <w:bottom w:val="single" w:sz="4" w:space="0" w:color="auto"/>
            </w:tcBorders>
            <w:shd w:val="clear" w:color="auto" w:fill="FABF8F"/>
            <w:vAlign w:val="center"/>
          </w:tcPr>
          <w:p w14:paraId="4BD85461" w14:textId="77777777" w:rsidR="00913A0A" w:rsidRPr="0058047D" w:rsidRDefault="00913A0A" w:rsidP="002253A3">
            <w:pPr>
              <w:jc w:val="center"/>
              <w:rPr>
                <w:rFonts w:cs="Tahoma"/>
                <w:sz w:val="14"/>
              </w:rPr>
            </w:pPr>
            <w:r w:rsidRPr="0058047D">
              <w:rPr>
                <w:rFonts w:cs="Tahoma"/>
                <w:sz w:val="14"/>
              </w:rPr>
              <w:t>04/13</w:t>
            </w:r>
          </w:p>
        </w:tc>
        <w:tc>
          <w:tcPr>
            <w:tcW w:w="358" w:type="dxa"/>
            <w:tcBorders>
              <w:bottom w:val="single" w:sz="4" w:space="0" w:color="auto"/>
              <w:right w:val="single" w:sz="18" w:space="0" w:color="auto"/>
            </w:tcBorders>
            <w:shd w:val="clear" w:color="auto" w:fill="FABF8F"/>
            <w:vAlign w:val="center"/>
          </w:tcPr>
          <w:p w14:paraId="4529EAAD" w14:textId="77777777" w:rsidR="00913A0A" w:rsidRPr="0058047D" w:rsidRDefault="00913A0A" w:rsidP="002253A3">
            <w:pPr>
              <w:jc w:val="center"/>
              <w:rPr>
                <w:rFonts w:cs="Tahoma"/>
                <w:sz w:val="13"/>
              </w:rPr>
            </w:pPr>
          </w:p>
        </w:tc>
        <w:tc>
          <w:tcPr>
            <w:tcW w:w="2712" w:type="dxa"/>
            <w:gridSpan w:val="8"/>
            <w:tcBorders>
              <w:left w:val="single" w:sz="18" w:space="0" w:color="auto"/>
              <w:bottom w:val="single" w:sz="4" w:space="0" w:color="auto"/>
              <w:right w:val="single" w:sz="18" w:space="0" w:color="auto"/>
            </w:tcBorders>
            <w:shd w:val="clear" w:color="auto" w:fill="FABF8F"/>
            <w:vAlign w:val="center"/>
          </w:tcPr>
          <w:p w14:paraId="741CB5BA" w14:textId="77777777" w:rsidR="00913A0A" w:rsidRPr="0058047D" w:rsidRDefault="00913A0A" w:rsidP="002253A3">
            <w:pPr>
              <w:jc w:val="center"/>
              <w:rPr>
                <w:rFonts w:cs="Tahoma"/>
                <w:sz w:val="14"/>
              </w:rPr>
            </w:pPr>
            <w:r w:rsidRPr="0058047D">
              <w:rPr>
                <w:rFonts w:cs="Tahoma"/>
                <w:sz w:val="14"/>
              </w:rPr>
              <w:t>1 punto</w:t>
            </w:r>
          </w:p>
        </w:tc>
        <w:tc>
          <w:tcPr>
            <w:tcW w:w="477" w:type="dxa"/>
            <w:tcBorders>
              <w:left w:val="single" w:sz="18" w:space="0" w:color="auto"/>
              <w:bottom w:val="single" w:sz="4" w:space="0" w:color="auto"/>
            </w:tcBorders>
            <w:shd w:val="clear" w:color="auto" w:fill="FABF8F"/>
            <w:vAlign w:val="center"/>
          </w:tcPr>
          <w:p w14:paraId="0C749A55" w14:textId="77777777" w:rsidR="00913A0A" w:rsidRPr="0058047D" w:rsidRDefault="00913A0A" w:rsidP="002253A3">
            <w:pPr>
              <w:jc w:val="center"/>
              <w:rPr>
                <w:rFonts w:cs="Tahoma"/>
                <w:sz w:val="14"/>
              </w:rPr>
            </w:pPr>
            <w:r w:rsidRPr="0058047D">
              <w:rPr>
                <w:rFonts w:cs="Tahoma"/>
                <w:sz w:val="14"/>
              </w:rPr>
              <w:t>1</w:t>
            </w:r>
          </w:p>
        </w:tc>
        <w:tc>
          <w:tcPr>
            <w:tcW w:w="450" w:type="dxa"/>
            <w:tcBorders>
              <w:bottom w:val="single" w:sz="4" w:space="0" w:color="auto"/>
            </w:tcBorders>
            <w:shd w:val="clear" w:color="auto" w:fill="FABF8F"/>
            <w:vAlign w:val="center"/>
          </w:tcPr>
          <w:p w14:paraId="705168CC" w14:textId="77777777" w:rsidR="00913A0A" w:rsidRPr="0058047D" w:rsidRDefault="00913A0A" w:rsidP="002253A3">
            <w:pPr>
              <w:jc w:val="center"/>
              <w:rPr>
                <w:rFonts w:cs="Tahoma"/>
                <w:sz w:val="13"/>
              </w:rPr>
            </w:pPr>
          </w:p>
        </w:tc>
        <w:tc>
          <w:tcPr>
            <w:tcW w:w="414" w:type="dxa"/>
            <w:tcBorders>
              <w:bottom w:val="single" w:sz="4" w:space="0" w:color="auto"/>
              <w:right w:val="single" w:sz="18" w:space="0" w:color="auto"/>
            </w:tcBorders>
            <w:shd w:val="clear" w:color="auto" w:fill="FABF8F"/>
            <w:vAlign w:val="center"/>
          </w:tcPr>
          <w:p w14:paraId="7E2E439B" w14:textId="77777777" w:rsidR="00913A0A" w:rsidRPr="0058047D" w:rsidRDefault="00913A0A" w:rsidP="002253A3">
            <w:pPr>
              <w:jc w:val="center"/>
              <w:rPr>
                <w:rFonts w:cs="Tahoma"/>
                <w:sz w:val="13"/>
              </w:rPr>
            </w:pPr>
          </w:p>
        </w:tc>
        <w:tc>
          <w:tcPr>
            <w:tcW w:w="468" w:type="dxa"/>
            <w:tcBorders>
              <w:left w:val="single" w:sz="18" w:space="0" w:color="auto"/>
              <w:bottom w:val="single" w:sz="4" w:space="0" w:color="auto"/>
            </w:tcBorders>
            <w:shd w:val="clear" w:color="auto" w:fill="FABF8F"/>
            <w:vAlign w:val="center"/>
          </w:tcPr>
          <w:p w14:paraId="4FE487EB" w14:textId="77777777" w:rsidR="00913A0A" w:rsidRPr="0058047D" w:rsidRDefault="00913A0A" w:rsidP="002253A3">
            <w:pPr>
              <w:jc w:val="center"/>
              <w:rPr>
                <w:rFonts w:cs="Tahoma"/>
                <w:sz w:val="13"/>
              </w:rPr>
            </w:pPr>
          </w:p>
        </w:tc>
        <w:tc>
          <w:tcPr>
            <w:tcW w:w="477" w:type="dxa"/>
            <w:tcBorders>
              <w:bottom w:val="single" w:sz="4" w:space="0" w:color="auto"/>
              <w:right w:val="single" w:sz="18" w:space="0" w:color="auto"/>
            </w:tcBorders>
            <w:shd w:val="clear" w:color="auto" w:fill="FABF8F"/>
            <w:vAlign w:val="center"/>
          </w:tcPr>
          <w:p w14:paraId="0D3F30E5" w14:textId="77777777" w:rsidR="00913A0A" w:rsidRPr="0058047D" w:rsidRDefault="00913A0A" w:rsidP="002253A3">
            <w:pPr>
              <w:jc w:val="center"/>
              <w:rPr>
                <w:rFonts w:cs="Tahoma"/>
                <w:sz w:val="14"/>
              </w:rPr>
            </w:pPr>
            <w:r w:rsidRPr="0058047D">
              <w:rPr>
                <w:rFonts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4C437198" w14:textId="77777777" w:rsidR="00913A0A" w:rsidRPr="0058047D" w:rsidRDefault="00913A0A" w:rsidP="002253A3">
            <w:pPr>
              <w:jc w:val="center"/>
              <w:rPr>
                <w:rFonts w:cs="Tahoma"/>
                <w:sz w:val="14"/>
              </w:rPr>
            </w:pPr>
            <w:r w:rsidRPr="0058047D">
              <w:rPr>
                <w:rFonts w:cs="Tahoma"/>
                <w:sz w:val="13"/>
              </w:rPr>
              <w:t>P</w:t>
            </w:r>
          </w:p>
        </w:tc>
        <w:tc>
          <w:tcPr>
            <w:tcW w:w="655" w:type="dxa"/>
            <w:tcBorders>
              <w:bottom w:val="single" w:sz="4" w:space="0" w:color="auto"/>
            </w:tcBorders>
            <w:shd w:val="clear" w:color="auto" w:fill="FABF8F"/>
            <w:vAlign w:val="center"/>
          </w:tcPr>
          <w:p w14:paraId="5269BB18" w14:textId="77777777" w:rsidR="00913A0A" w:rsidRPr="0058047D" w:rsidRDefault="00913A0A" w:rsidP="002253A3">
            <w:pPr>
              <w:jc w:val="center"/>
              <w:rPr>
                <w:rFonts w:cs="Tahoma"/>
                <w:sz w:val="13"/>
              </w:rPr>
            </w:pPr>
          </w:p>
        </w:tc>
        <w:tc>
          <w:tcPr>
            <w:tcW w:w="504" w:type="dxa"/>
            <w:tcBorders>
              <w:bottom w:val="single" w:sz="4" w:space="0" w:color="auto"/>
            </w:tcBorders>
            <w:shd w:val="clear" w:color="auto" w:fill="FABF8F"/>
            <w:vAlign w:val="center"/>
          </w:tcPr>
          <w:p w14:paraId="3D3B709E" w14:textId="77777777" w:rsidR="00913A0A" w:rsidRPr="0058047D" w:rsidRDefault="00913A0A" w:rsidP="002253A3">
            <w:pPr>
              <w:jc w:val="center"/>
              <w:rPr>
                <w:rFonts w:cs="Tahoma"/>
                <w:sz w:val="14"/>
              </w:rPr>
            </w:pPr>
            <w:r w:rsidRPr="0058047D">
              <w:rPr>
                <w:rFonts w:cs="Tahoma"/>
                <w:sz w:val="13"/>
              </w:rPr>
              <w:t>OL/OV</w:t>
            </w:r>
          </w:p>
        </w:tc>
        <w:tc>
          <w:tcPr>
            <w:tcW w:w="405" w:type="dxa"/>
            <w:tcBorders>
              <w:bottom w:val="single" w:sz="4" w:space="0" w:color="auto"/>
            </w:tcBorders>
            <w:shd w:val="clear" w:color="auto" w:fill="FABF8F"/>
          </w:tcPr>
          <w:p w14:paraId="2C5C42A1" w14:textId="77777777" w:rsidR="00913A0A" w:rsidRPr="0058047D" w:rsidRDefault="00913A0A" w:rsidP="002253A3">
            <w:pPr>
              <w:jc w:val="center"/>
              <w:rPr>
                <w:rFonts w:cs="Tahoma"/>
                <w:sz w:val="13"/>
              </w:rPr>
            </w:pPr>
            <w:r w:rsidRPr="0058047D">
              <w:rPr>
                <w:rFonts w:cs="Tahoma"/>
                <w:sz w:val="13"/>
              </w:rPr>
              <w:t>A</w:t>
            </w:r>
          </w:p>
        </w:tc>
      </w:tr>
      <w:tr w:rsidR="009323A0" w:rsidRPr="0058047D" w14:paraId="72262351" w14:textId="77777777" w:rsidTr="00C86F50">
        <w:trPr>
          <w:trHeight w:val="145"/>
        </w:trPr>
        <w:tc>
          <w:tcPr>
            <w:tcW w:w="2619" w:type="dxa"/>
            <w:gridSpan w:val="2"/>
            <w:tcBorders>
              <w:bottom w:val="single" w:sz="4" w:space="0" w:color="auto"/>
            </w:tcBorders>
            <w:shd w:val="clear" w:color="auto" w:fill="auto"/>
          </w:tcPr>
          <w:p w14:paraId="2055D427" w14:textId="77777777" w:rsidR="00913A0A" w:rsidRPr="0058047D" w:rsidRDefault="00913A0A" w:rsidP="00E077BC">
            <w:pPr>
              <w:pStyle w:val="ProductNames"/>
              <w:spacing w:beforeLines="20" w:before="48" w:afterLines="20" w:after="48"/>
              <w:rPr>
                <w:rFonts w:ascii="Tahoma" w:hAnsi="Tahoma" w:cs="Tahoma"/>
                <w:sz w:val="14"/>
              </w:rPr>
            </w:pPr>
            <w:bookmarkStart w:id="144" w:name="_Toc371663330"/>
            <w:r w:rsidRPr="0058047D">
              <w:rPr>
                <w:rFonts w:ascii="Tahoma" w:hAnsi="Tahoma" w:cs="Tahoma"/>
                <w:sz w:val="14"/>
              </w:rPr>
              <w:t>Bing Maps Mobile Asset Management Europe w/o routing Per Asset Monthly Sub</w:t>
            </w:r>
            <w:bookmarkEnd w:id="144"/>
          </w:p>
        </w:tc>
        <w:tc>
          <w:tcPr>
            <w:tcW w:w="554" w:type="dxa"/>
            <w:tcBorders>
              <w:bottom w:val="single" w:sz="4" w:space="0" w:color="auto"/>
            </w:tcBorders>
            <w:shd w:val="clear" w:color="auto" w:fill="auto"/>
            <w:vAlign w:val="center"/>
          </w:tcPr>
          <w:p w14:paraId="17B8969D" w14:textId="77777777" w:rsidR="00913A0A" w:rsidRPr="0058047D" w:rsidRDefault="00C86F50" w:rsidP="003D4F46">
            <w:pPr>
              <w:jc w:val="center"/>
              <w:rPr>
                <w:rFonts w:ascii="Trebuchet MS" w:hAnsi="Trebuchet MS"/>
                <w:b/>
                <w:sz w:val="13"/>
                <w:szCs w:val="13"/>
              </w:rPr>
            </w:pPr>
            <w:hyperlink w:anchor="_34_Bing_Maps" w:history="1">
              <w:r w:rsidR="00BF5FC6" w:rsidRPr="0058047D">
                <w:rPr>
                  <w:rStyle w:val="Hyperlink"/>
                  <w:rFonts w:ascii="Trebuchet MS" w:hAnsi="Trebuchet MS"/>
                  <w:b/>
                  <w:sz w:val="13"/>
                  <w:szCs w:val="13"/>
                </w:rPr>
                <w:t>34</w:t>
              </w:r>
            </w:hyperlink>
          </w:p>
        </w:tc>
        <w:tc>
          <w:tcPr>
            <w:tcW w:w="516" w:type="dxa"/>
            <w:tcBorders>
              <w:bottom w:val="single" w:sz="4" w:space="0" w:color="auto"/>
            </w:tcBorders>
            <w:shd w:val="clear" w:color="auto" w:fill="auto"/>
            <w:vAlign w:val="center"/>
          </w:tcPr>
          <w:p w14:paraId="1F76D297" w14:textId="77777777" w:rsidR="00913A0A" w:rsidRPr="0058047D" w:rsidRDefault="00913A0A" w:rsidP="00D15BAA">
            <w:pPr>
              <w:jc w:val="center"/>
              <w:rPr>
                <w:rFonts w:cs="Tahoma"/>
                <w:sz w:val="14"/>
              </w:rPr>
            </w:pPr>
            <w:r w:rsidRPr="0058047D">
              <w:rPr>
                <w:rFonts w:cs="Tahoma"/>
                <w:sz w:val="14"/>
              </w:rPr>
              <w:t>04/13</w:t>
            </w:r>
          </w:p>
        </w:tc>
        <w:tc>
          <w:tcPr>
            <w:tcW w:w="358" w:type="dxa"/>
            <w:tcBorders>
              <w:bottom w:val="single" w:sz="4" w:space="0" w:color="auto"/>
              <w:right w:val="single" w:sz="18" w:space="0" w:color="auto"/>
            </w:tcBorders>
            <w:shd w:val="clear" w:color="auto" w:fill="auto"/>
            <w:vAlign w:val="center"/>
          </w:tcPr>
          <w:p w14:paraId="2C799E42" w14:textId="77777777" w:rsidR="00913A0A" w:rsidRPr="0058047D" w:rsidRDefault="00913A0A" w:rsidP="002253A3">
            <w:pPr>
              <w:jc w:val="center"/>
              <w:rPr>
                <w:rFonts w:cs="Tahoma"/>
                <w:sz w:val="13"/>
              </w:rPr>
            </w:pPr>
          </w:p>
        </w:tc>
        <w:tc>
          <w:tcPr>
            <w:tcW w:w="2712" w:type="dxa"/>
            <w:gridSpan w:val="8"/>
            <w:tcBorders>
              <w:left w:val="single" w:sz="18" w:space="0" w:color="auto"/>
              <w:bottom w:val="single" w:sz="4" w:space="0" w:color="auto"/>
              <w:right w:val="single" w:sz="18" w:space="0" w:color="auto"/>
            </w:tcBorders>
            <w:shd w:val="clear" w:color="auto" w:fill="auto"/>
            <w:vAlign w:val="center"/>
          </w:tcPr>
          <w:p w14:paraId="50B914AE" w14:textId="77777777" w:rsidR="00913A0A" w:rsidRPr="0058047D" w:rsidRDefault="00913A0A" w:rsidP="002253A3">
            <w:pPr>
              <w:jc w:val="center"/>
              <w:rPr>
                <w:rFonts w:cs="Tahoma"/>
                <w:sz w:val="14"/>
              </w:rPr>
            </w:pPr>
            <w:r w:rsidRPr="0058047D">
              <w:rPr>
                <w:rFonts w:cs="Tahoma"/>
                <w:sz w:val="14"/>
              </w:rPr>
              <w:t>1 punto</w:t>
            </w:r>
          </w:p>
        </w:tc>
        <w:tc>
          <w:tcPr>
            <w:tcW w:w="477" w:type="dxa"/>
            <w:tcBorders>
              <w:left w:val="single" w:sz="18" w:space="0" w:color="auto"/>
              <w:bottom w:val="single" w:sz="4" w:space="0" w:color="auto"/>
            </w:tcBorders>
            <w:shd w:val="clear" w:color="auto" w:fill="auto"/>
            <w:vAlign w:val="center"/>
          </w:tcPr>
          <w:p w14:paraId="675B34B8" w14:textId="77777777" w:rsidR="00913A0A" w:rsidRPr="0058047D" w:rsidRDefault="00913A0A" w:rsidP="002253A3">
            <w:pPr>
              <w:jc w:val="center"/>
              <w:rPr>
                <w:rFonts w:cs="Tahoma"/>
                <w:sz w:val="14"/>
              </w:rPr>
            </w:pPr>
            <w:r w:rsidRPr="0058047D">
              <w:rPr>
                <w:rFonts w:cs="Tahoma"/>
                <w:sz w:val="14"/>
              </w:rPr>
              <w:t>1</w:t>
            </w:r>
          </w:p>
        </w:tc>
        <w:tc>
          <w:tcPr>
            <w:tcW w:w="450" w:type="dxa"/>
            <w:tcBorders>
              <w:bottom w:val="single" w:sz="4" w:space="0" w:color="auto"/>
            </w:tcBorders>
            <w:shd w:val="clear" w:color="auto" w:fill="auto"/>
            <w:vAlign w:val="center"/>
          </w:tcPr>
          <w:p w14:paraId="31026B0F" w14:textId="77777777" w:rsidR="00913A0A" w:rsidRPr="0058047D" w:rsidRDefault="00913A0A" w:rsidP="002253A3">
            <w:pPr>
              <w:jc w:val="center"/>
              <w:rPr>
                <w:rFonts w:cs="Tahoma"/>
                <w:sz w:val="13"/>
              </w:rPr>
            </w:pPr>
          </w:p>
        </w:tc>
        <w:tc>
          <w:tcPr>
            <w:tcW w:w="414" w:type="dxa"/>
            <w:tcBorders>
              <w:bottom w:val="single" w:sz="4" w:space="0" w:color="auto"/>
              <w:right w:val="single" w:sz="18" w:space="0" w:color="auto"/>
            </w:tcBorders>
            <w:shd w:val="clear" w:color="auto" w:fill="auto"/>
            <w:vAlign w:val="center"/>
          </w:tcPr>
          <w:p w14:paraId="44D1EDB9" w14:textId="77777777" w:rsidR="00913A0A" w:rsidRPr="0058047D" w:rsidRDefault="00913A0A" w:rsidP="002253A3">
            <w:pPr>
              <w:jc w:val="center"/>
              <w:rPr>
                <w:rFonts w:cs="Tahoma"/>
                <w:sz w:val="13"/>
              </w:rPr>
            </w:pPr>
          </w:p>
        </w:tc>
        <w:tc>
          <w:tcPr>
            <w:tcW w:w="468" w:type="dxa"/>
            <w:tcBorders>
              <w:left w:val="single" w:sz="18" w:space="0" w:color="auto"/>
              <w:bottom w:val="single" w:sz="4" w:space="0" w:color="auto"/>
            </w:tcBorders>
            <w:shd w:val="clear" w:color="auto" w:fill="auto"/>
            <w:vAlign w:val="center"/>
          </w:tcPr>
          <w:p w14:paraId="4499B2CA" w14:textId="77777777" w:rsidR="00913A0A" w:rsidRPr="0058047D" w:rsidRDefault="00913A0A" w:rsidP="002253A3">
            <w:pPr>
              <w:jc w:val="center"/>
              <w:rPr>
                <w:rFonts w:cs="Tahoma"/>
                <w:sz w:val="13"/>
              </w:rPr>
            </w:pPr>
          </w:p>
        </w:tc>
        <w:tc>
          <w:tcPr>
            <w:tcW w:w="477" w:type="dxa"/>
            <w:tcBorders>
              <w:bottom w:val="single" w:sz="4" w:space="0" w:color="auto"/>
              <w:right w:val="single" w:sz="18" w:space="0" w:color="auto"/>
            </w:tcBorders>
            <w:shd w:val="clear" w:color="auto" w:fill="auto"/>
            <w:vAlign w:val="center"/>
          </w:tcPr>
          <w:p w14:paraId="576CCE64" w14:textId="77777777" w:rsidR="00913A0A" w:rsidRPr="0058047D" w:rsidRDefault="00913A0A" w:rsidP="002253A3">
            <w:pPr>
              <w:jc w:val="center"/>
              <w:rPr>
                <w:rFonts w:cs="Tahoma"/>
                <w:sz w:val="14"/>
              </w:rPr>
            </w:pPr>
            <w:r w:rsidRPr="0058047D">
              <w:rPr>
                <w:rFonts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0436B876" w14:textId="77777777" w:rsidR="00913A0A" w:rsidRPr="0058047D" w:rsidRDefault="00913A0A" w:rsidP="002253A3">
            <w:pPr>
              <w:jc w:val="center"/>
              <w:rPr>
                <w:rFonts w:cs="Tahoma"/>
                <w:sz w:val="14"/>
              </w:rPr>
            </w:pPr>
            <w:r w:rsidRPr="0058047D">
              <w:rPr>
                <w:rFonts w:cs="Tahoma"/>
                <w:sz w:val="13"/>
              </w:rPr>
              <w:t>P</w:t>
            </w:r>
          </w:p>
        </w:tc>
        <w:tc>
          <w:tcPr>
            <w:tcW w:w="655" w:type="dxa"/>
            <w:tcBorders>
              <w:bottom w:val="single" w:sz="4" w:space="0" w:color="auto"/>
            </w:tcBorders>
            <w:shd w:val="clear" w:color="auto" w:fill="auto"/>
            <w:vAlign w:val="center"/>
          </w:tcPr>
          <w:p w14:paraId="424F2A15" w14:textId="77777777" w:rsidR="00913A0A" w:rsidRPr="0058047D" w:rsidRDefault="00913A0A" w:rsidP="002253A3">
            <w:pPr>
              <w:jc w:val="center"/>
              <w:rPr>
                <w:rFonts w:cs="Tahoma"/>
                <w:sz w:val="13"/>
              </w:rPr>
            </w:pPr>
          </w:p>
        </w:tc>
        <w:tc>
          <w:tcPr>
            <w:tcW w:w="504" w:type="dxa"/>
            <w:tcBorders>
              <w:bottom w:val="single" w:sz="4" w:space="0" w:color="auto"/>
            </w:tcBorders>
            <w:shd w:val="clear" w:color="auto" w:fill="auto"/>
            <w:vAlign w:val="center"/>
          </w:tcPr>
          <w:p w14:paraId="720E4FB4" w14:textId="77777777" w:rsidR="00913A0A" w:rsidRPr="0058047D" w:rsidRDefault="00913A0A" w:rsidP="002253A3">
            <w:pPr>
              <w:jc w:val="center"/>
              <w:rPr>
                <w:rFonts w:cs="Tahoma"/>
                <w:sz w:val="14"/>
              </w:rPr>
            </w:pPr>
            <w:r w:rsidRPr="0058047D">
              <w:rPr>
                <w:rFonts w:cs="Tahoma"/>
                <w:sz w:val="13"/>
              </w:rPr>
              <w:t>OL/OV</w:t>
            </w:r>
          </w:p>
        </w:tc>
        <w:tc>
          <w:tcPr>
            <w:tcW w:w="405" w:type="dxa"/>
            <w:tcBorders>
              <w:bottom w:val="single" w:sz="4" w:space="0" w:color="auto"/>
            </w:tcBorders>
          </w:tcPr>
          <w:p w14:paraId="2A1491B2" w14:textId="77777777" w:rsidR="00913A0A" w:rsidRPr="0058047D" w:rsidRDefault="00913A0A" w:rsidP="002253A3">
            <w:pPr>
              <w:jc w:val="center"/>
              <w:rPr>
                <w:rFonts w:cs="Tahoma"/>
                <w:sz w:val="13"/>
              </w:rPr>
            </w:pPr>
            <w:r w:rsidRPr="0058047D">
              <w:rPr>
                <w:rFonts w:cs="Tahoma"/>
                <w:sz w:val="13"/>
              </w:rPr>
              <w:t>A</w:t>
            </w:r>
          </w:p>
        </w:tc>
      </w:tr>
      <w:tr w:rsidR="00F96F42" w:rsidRPr="0058047D" w14:paraId="790A25B2" w14:textId="77777777" w:rsidTr="00C86F50">
        <w:trPr>
          <w:trHeight w:val="64"/>
        </w:trPr>
        <w:tc>
          <w:tcPr>
            <w:tcW w:w="2619" w:type="dxa"/>
            <w:gridSpan w:val="2"/>
            <w:tcBorders>
              <w:bottom w:val="single" w:sz="4" w:space="0" w:color="auto"/>
            </w:tcBorders>
            <w:shd w:val="clear" w:color="auto" w:fill="FABF8F"/>
            <w:vAlign w:val="center"/>
          </w:tcPr>
          <w:p w14:paraId="3C25C978" w14:textId="77777777" w:rsidR="00913A0A" w:rsidRPr="0058047D" w:rsidRDefault="00913A0A" w:rsidP="00E077BC">
            <w:pPr>
              <w:pStyle w:val="ProductNames"/>
              <w:spacing w:beforeLines="20" w:before="48" w:afterLines="20" w:after="48"/>
              <w:rPr>
                <w:rFonts w:ascii="Tahoma" w:hAnsi="Tahoma" w:cs="Tahoma"/>
                <w:sz w:val="14"/>
              </w:rPr>
            </w:pPr>
            <w:bookmarkStart w:id="145" w:name="_Toc336337919"/>
            <w:bookmarkStart w:id="146" w:name="_Toc371663331"/>
            <w:r w:rsidRPr="0058047D">
              <w:rPr>
                <w:rFonts w:ascii="Tahoma" w:hAnsi="Tahoma" w:cs="Tahoma"/>
                <w:sz w:val="14"/>
              </w:rPr>
              <w:t>BizTalk</w:t>
            </w:r>
            <w:r w:rsidR="00E53A46" w:rsidRPr="0058047D">
              <w:rPr>
                <w:rFonts w:cs="Tahoma"/>
                <w:szCs w:val="18"/>
                <w:vertAlign w:val="superscript"/>
              </w:rPr>
              <w:t>®</w:t>
            </w:r>
            <w:r w:rsidRPr="0058047D">
              <w:rPr>
                <w:rFonts w:ascii="Tahoma" w:hAnsi="Tahoma" w:cs="Tahoma"/>
                <w:sz w:val="14"/>
              </w:rPr>
              <w:t xml:space="preserve"> Server 2013 Branch Edition</w:t>
            </w:r>
            <w:bookmarkEnd w:id="145"/>
            <w:bookmarkEnd w:id="146"/>
            <w:r w:rsidRPr="0058047D">
              <w:rPr>
                <w:rFonts w:ascii="Tahoma" w:hAnsi="Tahoma" w:cs="Tahoma"/>
                <w:sz w:val="14"/>
              </w:rPr>
              <w:t xml:space="preserve"> </w:t>
            </w:r>
          </w:p>
        </w:tc>
        <w:tc>
          <w:tcPr>
            <w:tcW w:w="554" w:type="dxa"/>
            <w:tcBorders>
              <w:bottom w:val="single" w:sz="4" w:space="0" w:color="auto"/>
            </w:tcBorders>
            <w:shd w:val="clear" w:color="auto" w:fill="FABF8F"/>
            <w:vAlign w:val="center"/>
          </w:tcPr>
          <w:p w14:paraId="10AEE1EE" w14:textId="77777777" w:rsidR="00913A0A" w:rsidRPr="0058047D" w:rsidRDefault="00C86F50" w:rsidP="003D4F46">
            <w:pPr>
              <w:pStyle w:val="TableText"/>
              <w:widowControl w:val="0"/>
              <w:rPr>
                <w:rStyle w:val="EndnoteReference"/>
                <w:rFonts w:cs="Tahoma"/>
                <w:b w:val="0"/>
                <w:color w:val="0000FF"/>
                <w:sz w:val="13"/>
                <w:szCs w:val="13"/>
                <w:u w:val="single"/>
              </w:rPr>
            </w:pPr>
            <w:hyperlink w:anchor="_29_BizTalk®_Server" w:history="1">
              <w:r w:rsidR="00BF5FC6" w:rsidRPr="0058047D">
                <w:rPr>
                  <w:rStyle w:val="Hyperlink"/>
                  <w:rFonts w:cs="Tahoma"/>
                  <w:b/>
                  <w:sz w:val="13"/>
                  <w:szCs w:val="13"/>
                </w:rPr>
                <w:t>35</w:t>
              </w:r>
            </w:hyperlink>
            <w:hyperlink w:anchor="Srv_26_BizTalkServerBranch" w:history="1"/>
          </w:p>
        </w:tc>
        <w:tc>
          <w:tcPr>
            <w:tcW w:w="516" w:type="dxa"/>
            <w:tcBorders>
              <w:bottom w:val="single" w:sz="4" w:space="0" w:color="auto"/>
            </w:tcBorders>
            <w:shd w:val="clear" w:color="auto" w:fill="FABF8F"/>
            <w:vAlign w:val="center"/>
          </w:tcPr>
          <w:p w14:paraId="201E1911"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03/13</w:t>
            </w:r>
          </w:p>
        </w:tc>
        <w:tc>
          <w:tcPr>
            <w:tcW w:w="358" w:type="dxa"/>
            <w:tcBorders>
              <w:bottom w:val="single" w:sz="4" w:space="0" w:color="auto"/>
              <w:right w:val="single" w:sz="18" w:space="0" w:color="auto"/>
            </w:tcBorders>
            <w:shd w:val="clear" w:color="auto" w:fill="FABF8F"/>
            <w:vAlign w:val="center"/>
          </w:tcPr>
          <w:p w14:paraId="3DB45E18"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FABF8F"/>
            <w:vAlign w:val="center"/>
          </w:tcPr>
          <w:p w14:paraId="4B8A8C0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25</w:t>
            </w:r>
          </w:p>
        </w:tc>
        <w:tc>
          <w:tcPr>
            <w:tcW w:w="324" w:type="dxa"/>
            <w:tcBorders>
              <w:bottom w:val="single" w:sz="4" w:space="0" w:color="auto"/>
            </w:tcBorders>
            <w:shd w:val="clear" w:color="auto" w:fill="FABF8F"/>
            <w:vAlign w:val="center"/>
          </w:tcPr>
          <w:p w14:paraId="1D2B6D3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63</w:t>
            </w:r>
          </w:p>
        </w:tc>
        <w:tc>
          <w:tcPr>
            <w:tcW w:w="456" w:type="dxa"/>
            <w:gridSpan w:val="2"/>
            <w:tcBorders>
              <w:bottom w:val="single" w:sz="4" w:space="0" w:color="auto"/>
            </w:tcBorders>
            <w:shd w:val="clear" w:color="auto" w:fill="FABF8F"/>
            <w:vAlign w:val="center"/>
          </w:tcPr>
          <w:p w14:paraId="2609D46A"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366" w:type="dxa"/>
            <w:tcBorders>
              <w:bottom w:val="single" w:sz="4" w:space="0" w:color="auto"/>
            </w:tcBorders>
            <w:shd w:val="clear" w:color="auto" w:fill="FABF8F"/>
            <w:vAlign w:val="center"/>
          </w:tcPr>
          <w:p w14:paraId="62269C88"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38</w:t>
            </w:r>
          </w:p>
        </w:tc>
        <w:tc>
          <w:tcPr>
            <w:tcW w:w="450" w:type="dxa"/>
            <w:tcBorders>
              <w:bottom w:val="single" w:sz="4" w:space="0" w:color="auto"/>
            </w:tcBorders>
            <w:shd w:val="clear" w:color="auto" w:fill="FABF8F"/>
            <w:vAlign w:val="center"/>
          </w:tcPr>
          <w:p w14:paraId="7E4FE5D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38</w:t>
            </w:r>
          </w:p>
        </w:tc>
        <w:tc>
          <w:tcPr>
            <w:tcW w:w="450" w:type="dxa"/>
            <w:tcBorders>
              <w:bottom w:val="single" w:sz="4" w:space="0" w:color="auto"/>
            </w:tcBorders>
            <w:shd w:val="clear" w:color="auto" w:fill="FABF8F"/>
            <w:vAlign w:val="center"/>
          </w:tcPr>
          <w:p w14:paraId="5A30900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25</w:t>
            </w:r>
          </w:p>
        </w:tc>
        <w:tc>
          <w:tcPr>
            <w:tcW w:w="336" w:type="dxa"/>
            <w:tcBorders>
              <w:bottom w:val="single" w:sz="4" w:space="0" w:color="auto"/>
              <w:right w:val="single" w:sz="18" w:space="0" w:color="auto"/>
            </w:tcBorders>
            <w:shd w:val="clear" w:color="auto" w:fill="FABF8F"/>
            <w:vAlign w:val="center"/>
          </w:tcPr>
          <w:p w14:paraId="1411C47E"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13</w:t>
            </w:r>
          </w:p>
        </w:tc>
        <w:tc>
          <w:tcPr>
            <w:tcW w:w="477" w:type="dxa"/>
            <w:tcBorders>
              <w:left w:val="single" w:sz="18" w:space="0" w:color="auto"/>
              <w:bottom w:val="single" w:sz="4" w:space="0" w:color="auto"/>
            </w:tcBorders>
            <w:shd w:val="clear" w:color="auto" w:fill="FABF8F"/>
            <w:vAlign w:val="center"/>
          </w:tcPr>
          <w:p w14:paraId="08ABE3DA"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25</w:t>
            </w:r>
          </w:p>
        </w:tc>
        <w:tc>
          <w:tcPr>
            <w:tcW w:w="450" w:type="dxa"/>
            <w:tcBorders>
              <w:bottom w:val="single" w:sz="4" w:space="0" w:color="auto"/>
            </w:tcBorders>
            <w:shd w:val="clear" w:color="auto" w:fill="FABF8F"/>
            <w:vAlign w:val="center"/>
          </w:tcPr>
          <w:p w14:paraId="4550E00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414" w:type="dxa"/>
            <w:tcBorders>
              <w:bottom w:val="single" w:sz="4" w:space="0" w:color="auto"/>
              <w:right w:val="single" w:sz="18" w:space="0" w:color="auto"/>
            </w:tcBorders>
            <w:shd w:val="clear" w:color="auto" w:fill="FABF8F"/>
            <w:vAlign w:val="center"/>
          </w:tcPr>
          <w:p w14:paraId="4AAEA74F"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25</w:t>
            </w:r>
          </w:p>
        </w:tc>
        <w:tc>
          <w:tcPr>
            <w:tcW w:w="468" w:type="dxa"/>
            <w:tcBorders>
              <w:left w:val="single" w:sz="18" w:space="0" w:color="auto"/>
              <w:bottom w:val="single" w:sz="4" w:space="0" w:color="auto"/>
            </w:tcBorders>
            <w:shd w:val="clear" w:color="auto" w:fill="FABF8F"/>
            <w:vAlign w:val="center"/>
          </w:tcPr>
          <w:p w14:paraId="295561D5"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25</w:t>
            </w:r>
          </w:p>
        </w:tc>
        <w:tc>
          <w:tcPr>
            <w:tcW w:w="477" w:type="dxa"/>
            <w:tcBorders>
              <w:bottom w:val="single" w:sz="4" w:space="0" w:color="auto"/>
              <w:right w:val="single" w:sz="18" w:space="0" w:color="auto"/>
            </w:tcBorders>
            <w:shd w:val="clear" w:color="auto" w:fill="FABF8F"/>
            <w:vAlign w:val="center"/>
          </w:tcPr>
          <w:p w14:paraId="4B9703F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A,S,D</w:t>
            </w:r>
          </w:p>
        </w:tc>
        <w:tc>
          <w:tcPr>
            <w:tcW w:w="324" w:type="dxa"/>
            <w:tcBorders>
              <w:left w:val="single" w:sz="18" w:space="0" w:color="auto"/>
              <w:bottom w:val="single" w:sz="4" w:space="0" w:color="auto"/>
              <w:right w:val="single" w:sz="18" w:space="0" w:color="auto"/>
            </w:tcBorders>
            <w:shd w:val="clear" w:color="auto" w:fill="FABF8F"/>
            <w:vAlign w:val="center"/>
          </w:tcPr>
          <w:p w14:paraId="7B7F0D0A"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vAlign w:val="center"/>
          </w:tcPr>
          <w:p w14:paraId="54242654"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rPr>
              <w:t>A</w:t>
            </w:r>
          </w:p>
        </w:tc>
        <w:tc>
          <w:tcPr>
            <w:tcW w:w="504" w:type="dxa"/>
            <w:tcBorders>
              <w:bottom w:val="single" w:sz="4" w:space="0" w:color="auto"/>
            </w:tcBorders>
            <w:shd w:val="clear" w:color="auto" w:fill="FABF8F"/>
            <w:vAlign w:val="center"/>
          </w:tcPr>
          <w:p w14:paraId="09DF3B5C"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OL/OV</w:t>
            </w:r>
          </w:p>
        </w:tc>
        <w:tc>
          <w:tcPr>
            <w:tcW w:w="405" w:type="dxa"/>
            <w:tcBorders>
              <w:bottom w:val="single" w:sz="4" w:space="0" w:color="auto"/>
            </w:tcBorders>
            <w:shd w:val="clear" w:color="auto" w:fill="FABF8F"/>
          </w:tcPr>
          <w:p w14:paraId="53F4FFE7" w14:textId="77777777" w:rsidR="00913A0A" w:rsidRPr="0058047D" w:rsidRDefault="00D93CA3" w:rsidP="001A63C6">
            <w:pPr>
              <w:pStyle w:val="TableText"/>
              <w:widowControl w:val="0"/>
              <w:rPr>
                <w:rFonts w:ascii="Tahoma" w:hAnsi="Tahoma" w:cs="Tahoma"/>
                <w:color w:val="000000"/>
                <w:sz w:val="13"/>
              </w:rPr>
            </w:pPr>
            <w:r w:rsidRPr="0058047D">
              <w:rPr>
                <w:rFonts w:ascii="Tahoma" w:hAnsi="Tahoma" w:cs="Tahoma"/>
                <w:color w:val="000000"/>
                <w:sz w:val="13"/>
              </w:rPr>
              <w:t>STP</w:t>
            </w:r>
          </w:p>
        </w:tc>
      </w:tr>
      <w:tr w:rsidR="00F96F42" w:rsidRPr="0058047D" w14:paraId="4D70101B" w14:textId="77777777" w:rsidTr="00C86F50">
        <w:trPr>
          <w:trHeight w:val="145"/>
        </w:trPr>
        <w:tc>
          <w:tcPr>
            <w:tcW w:w="2619" w:type="dxa"/>
            <w:gridSpan w:val="2"/>
            <w:tcBorders>
              <w:bottom w:val="single" w:sz="4" w:space="0" w:color="auto"/>
            </w:tcBorders>
            <w:shd w:val="clear" w:color="auto" w:fill="auto"/>
            <w:vAlign w:val="center"/>
          </w:tcPr>
          <w:p w14:paraId="15550345" w14:textId="77777777" w:rsidR="00913A0A" w:rsidRPr="0058047D" w:rsidRDefault="00913A0A" w:rsidP="00E077BC">
            <w:pPr>
              <w:pStyle w:val="ProductNames"/>
              <w:spacing w:beforeLines="20" w:before="48" w:afterLines="20" w:after="48"/>
              <w:rPr>
                <w:rFonts w:ascii="Tahoma" w:hAnsi="Tahoma" w:cs="Tahoma"/>
                <w:sz w:val="14"/>
              </w:rPr>
            </w:pPr>
            <w:bookmarkStart w:id="147" w:name="_Toc336337920"/>
            <w:bookmarkStart w:id="148" w:name="_Toc371663332"/>
            <w:r w:rsidRPr="0058047D">
              <w:rPr>
                <w:rFonts w:ascii="Tahoma" w:hAnsi="Tahoma" w:cs="Tahoma"/>
                <w:sz w:val="14"/>
              </w:rPr>
              <w:t>BizTalk</w:t>
            </w:r>
            <w:r w:rsidR="00E53A46" w:rsidRPr="0058047D">
              <w:rPr>
                <w:rFonts w:cs="Tahoma"/>
                <w:szCs w:val="18"/>
                <w:vertAlign w:val="superscript"/>
              </w:rPr>
              <w:t>®</w:t>
            </w:r>
            <w:r w:rsidRPr="0058047D">
              <w:rPr>
                <w:rFonts w:ascii="Tahoma" w:hAnsi="Tahoma" w:cs="Tahoma"/>
                <w:sz w:val="14"/>
              </w:rPr>
              <w:t xml:space="preserve"> Server 2013 Enterprise Edition</w:t>
            </w:r>
            <w:bookmarkEnd w:id="147"/>
            <w:bookmarkEnd w:id="148"/>
          </w:p>
        </w:tc>
        <w:tc>
          <w:tcPr>
            <w:tcW w:w="554" w:type="dxa"/>
            <w:tcBorders>
              <w:bottom w:val="single" w:sz="4" w:space="0" w:color="auto"/>
            </w:tcBorders>
            <w:shd w:val="clear" w:color="auto" w:fill="auto"/>
            <w:vAlign w:val="center"/>
          </w:tcPr>
          <w:p w14:paraId="796B2D3A" w14:textId="77777777" w:rsidR="00913A0A" w:rsidRPr="0058047D" w:rsidRDefault="00C86F50" w:rsidP="003D4F46">
            <w:pPr>
              <w:pStyle w:val="TableText"/>
              <w:widowControl w:val="0"/>
              <w:rPr>
                <w:rStyle w:val="EndnoteReference"/>
                <w:rFonts w:cs="Tahoma"/>
                <w:b w:val="0"/>
                <w:color w:val="0000FF"/>
                <w:sz w:val="13"/>
                <w:szCs w:val="13"/>
                <w:u w:val="single"/>
              </w:rPr>
            </w:pPr>
            <w:hyperlink w:anchor="_36_BizTalk_Server®" w:history="1">
              <w:r w:rsidR="00BF5FC6" w:rsidRPr="0058047D">
                <w:rPr>
                  <w:rStyle w:val="Hyperlink"/>
                  <w:rFonts w:cs="Tahoma"/>
                  <w:b/>
                  <w:sz w:val="13"/>
                  <w:szCs w:val="13"/>
                </w:rPr>
                <w:t>36</w:t>
              </w:r>
            </w:hyperlink>
          </w:p>
        </w:tc>
        <w:tc>
          <w:tcPr>
            <w:tcW w:w="516" w:type="dxa"/>
            <w:tcBorders>
              <w:bottom w:val="single" w:sz="4" w:space="0" w:color="auto"/>
            </w:tcBorders>
            <w:shd w:val="clear" w:color="auto" w:fill="auto"/>
            <w:vAlign w:val="center"/>
          </w:tcPr>
          <w:p w14:paraId="1FB30EFF"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03/13</w:t>
            </w:r>
          </w:p>
        </w:tc>
        <w:tc>
          <w:tcPr>
            <w:tcW w:w="358" w:type="dxa"/>
            <w:tcBorders>
              <w:bottom w:val="single" w:sz="4" w:space="0" w:color="auto"/>
              <w:right w:val="single" w:sz="18" w:space="0" w:color="auto"/>
            </w:tcBorders>
            <w:shd w:val="clear" w:color="auto" w:fill="auto"/>
            <w:vAlign w:val="center"/>
          </w:tcPr>
          <w:p w14:paraId="3353091B"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auto"/>
            <w:vAlign w:val="center"/>
          </w:tcPr>
          <w:p w14:paraId="13911AB1" w14:textId="77777777" w:rsidR="00913A0A" w:rsidRPr="0058047D" w:rsidRDefault="00ED3095" w:rsidP="001A63C6">
            <w:pPr>
              <w:pStyle w:val="TableText"/>
              <w:widowControl w:val="0"/>
              <w:rPr>
                <w:rFonts w:ascii="Tahoma" w:hAnsi="Tahoma" w:cs="Tahoma"/>
                <w:sz w:val="13"/>
              </w:rPr>
            </w:pPr>
            <w:r w:rsidRPr="0058047D">
              <w:rPr>
                <w:rFonts w:ascii="Tahoma" w:hAnsi="Tahoma" w:cs="Tahoma"/>
                <w:sz w:val="13"/>
              </w:rPr>
              <w:t>1</w:t>
            </w:r>
          </w:p>
        </w:tc>
        <w:tc>
          <w:tcPr>
            <w:tcW w:w="324" w:type="dxa"/>
            <w:tcBorders>
              <w:bottom w:val="single" w:sz="4" w:space="0" w:color="auto"/>
            </w:tcBorders>
            <w:shd w:val="clear" w:color="auto" w:fill="auto"/>
            <w:vAlign w:val="center"/>
          </w:tcPr>
          <w:p w14:paraId="40B9AF86"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2E8F7C80"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51A805A7"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5EDB8A0"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BD0AD9C"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0FA1318F" w14:textId="77777777" w:rsidR="00913A0A" w:rsidRPr="0058047D" w:rsidRDefault="00913A0A" w:rsidP="00ED3095">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35F70667" w14:textId="77777777" w:rsidR="00913A0A" w:rsidRPr="0058047D" w:rsidRDefault="00ED3095" w:rsidP="001A63C6">
            <w:pPr>
              <w:pStyle w:val="TableText"/>
              <w:widowControl w:val="0"/>
              <w:rPr>
                <w:rFonts w:ascii="Tahoma" w:hAnsi="Tahoma" w:cs="Tahoma"/>
                <w:sz w:val="13"/>
              </w:rPr>
            </w:pPr>
            <w:r w:rsidRPr="0058047D">
              <w:rPr>
                <w:rFonts w:ascii="Tahoma" w:hAnsi="Tahoma" w:cs="Tahoma"/>
                <w:sz w:val="13"/>
              </w:rPr>
              <w:t>1</w:t>
            </w:r>
          </w:p>
        </w:tc>
        <w:tc>
          <w:tcPr>
            <w:tcW w:w="450" w:type="dxa"/>
            <w:tcBorders>
              <w:bottom w:val="single" w:sz="4" w:space="0" w:color="auto"/>
            </w:tcBorders>
            <w:shd w:val="clear" w:color="auto" w:fill="auto"/>
            <w:vAlign w:val="center"/>
          </w:tcPr>
          <w:p w14:paraId="60BD73E2"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5F139677"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0D804C9E"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0E0806C5"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64F85DF9"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vAlign w:val="center"/>
          </w:tcPr>
          <w:p w14:paraId="273A1251" w14:textId="77777777" w:rsidR="00913A0A" w:rsidRPr="0058047D" w:rsidRDefault="00913A0A" w:rsidP="001A63C6">
            <w:pPr>
              <w:pStyle w:val="TableText"/>
              <w:widowControl w:val="0"/>
              <w:rPr>
                <w:rFonts w:ascii="Tahoma" w:hAnsi="Tahoma" w:cs="Tahoma"/>
                <w:color w:val="000000"/>
                <w:sz w:val="13"/>
              </w:rPr>
            </w:pPr>
          </w:p>
        </w:tc>
        <w:tc>
          <w:tcPr>
            <w:tcW w:w="504" w:type="dxa"/>
            <w:tcBorders>
              <w:bottom w:val="single" w:sz="4" w:space="0" w:color="auto"/>
            </w:tcBorders>
            <w:shd w:val="clear" w:color="auto" w:fill="auto"/>
            <w:vAlign w:val="center"/>
          </w:tcPr>
          <w:p w14:paraId="79DD86BD" w14:textId="77777777" w:rsidR="00913A0A" w:rsidRPr="0058047D" w:rsidRDefault="00913A0A" w:rsidP="001A63C6">
            <w:pPr>
              <w:pStyle w:val="TableText"/>
              <w:widowControl w:val="0"/>
              <w:rPr>
                <w:rFonts w:ascii="Tahoma" w:hAnsi="Tahoma" w:cs="Tahoma"/>
                <w:color w:val="000000"/>
                <w:sz w:val="13"/>
              </w:rPr>
            </w:pPr>
          </w:p>
        </w:tc>
        <w:tc>
          <w:tcPr>
            <w:tcW w:w="405" w:type="dxa"/>
            <w:tcBorders>
              <w:bottom w:val="single" w:sz="4" w:space="0" w:color="auto"/>
            </w:tcBorders>
          </w:tcPr>
          <w:p w14:paraId="4286EE48" w14:textId="77777777" w:rsidR="00913A0A" w:rsidRPr="0058047D" w:rsidRDefault="00D93CA3" w:rsidP="001A63C6">
            <w:pPr>
              <w:pStyle w:val="TableText"/>
              <w:widowControl w:val="0"/>
              <w:rPr>
                <w:rFonts w:ascii="Tahoma" w:hAnsi="Tahoma" w:cs="Tahoma"/>
                <w:color w:val="000000"/>
                <w:sz w:val="13"/>
              </w:rPr>
            </w:pPr>
            <w:r w:rsidRPr="0058047D">
              <w:rPr>
                <w:rFonts w:ascii="Tahoma" w:hAnsi="Tahoma" w:cs="Tahoma"/>
                <w:color w:val="000000"/>
                <w:sz w:val="13"/>
              </w:rPr>
              <w:t>STP</w:t>
            </w:r>
          </w:p>
        </w:tc>
      </w:tr>
      <w:tr w:rsidR="00F96F42" w:rsidRPr="0058047D" w14:paraId="5F9361DC" w14:textId="77777777" w:rsidTr="00C86F50">
        <w:trPr>
          <w:trHeight w:val="145"/>
        </w:trPr>
        <w:tc>
          <w:tcPr>
            <w:tcW w:w="2619" w:type="dxa"/>
            <w:gridSpan w:val="2"/>
            <w:tcBorders>
              <w:bottom w:val="single" w:sz="4" w:space="0" w:color="auto"/>
            </w:tcBorders>
            <w:shd w:val="clear" w:color="auto" w:fill="FABF8F"/>
            <w:vAlign w:val="center"/>
          </w:tcPr>
          <w:p w14:paraId="5F26AE61" w14:textId="77777777" w:rsidR="00913A0A" w:rsidRPr="0058047D" w:rsidRDefault="00913A0A" w:rsidP="00E077BC">
            <w:pPr>
              <w:pStyle w:val="ProductNames"/>
              <w:spacing w:beforeLines="20" w:before="48" w:afterLines="20" w:after="48"/>
              <w:rPr>
                <w:rFonts w:ascii="Tahoma" w:hAnsi="Tahoma" w:cs="Tahoma"/>
                <w:sz w:val="14"/>
              </w:rPr>
            </w:pPr>
            <w:bookmarkStart w:id="149" w:name="_Toc371663333"/>
            <w:r w:rsidRPr="0058047D">
              <w:rPr>
                <w:rFonts w:ascii="Tahoma" w:hAnsi="Tahoma" w:cs="Tahoma"/>
                <w:sz w:val="14"/>
              </w:rPr>
              <w:t>BizTalk</w:t>
            </w:r>
            <w:r w:rsidR="00E53A46" w:rsidRPr="0058047D">
              <w:rPr>
                <w:rFonts w:cs="Tahoma"/>
                <w:szCs w:val="18"/>
                <w:vertAlign w:val="superscript"/>
              </w:rPr>
              <w:t>®</w:t>
            </w:r>
            <w:r w:rsidRPr="0058047D">
              <w:rPr>
                <w:rFonts w:ascii="Tahoma" w:hAnsi="Tahoma" w:cs="Tahoma"/>
                <w:sz w:val="14"/>
              </w:rPr>
              <w:t xml:space="preserve"> Server 2013 Branch IDC</w:t>
            </w:r>
            <w:bookmarkEnd w:id="149"/>
          </w:p>
        </w:tc>
        <w:tc>
          <w:tcPr>
            <w:tcW w:w="554" w:type="dxa"/>
            <w:tcBorders>
              <w:bottom w:val="single" w:sz="4" w:space="0" w:color="auto"/>
            </w:tcBorders>
            <w:shd w:val="clear" w:color="auto" w:fill="FABF8F"/>
            <w:vAlign w:val="center"/>
          </w:tcPr>
          <w:p w14:paraId="69FC9F85" w14:textId="77777777" w:rsidR="00913A0A" w:rsidRPr="0058047D" w:rsidRDefault="00913A0A" w:rsidP="001A63C6">
            <w:pPr>
              <w:pStyle w:val="TableText"/>
              <w:widowControl w:val="0"/>
            </w:pPr>
          </w:p>
        </w:tc>
        <w:tc>
          <w:tcPr>
            <w:tcW w:w="516" w:type="dxa"/>
            <w:tcBorders>
              <w:bottom w:val="single" w:sz="4" w:space="0" w:color="auto"/>
            </w:tcBorders>
            <w:shd w:val="clear" w:color="auto" w:fill="FABF8F"/>
            <w:vAlign w:val="center"/>
          </w:tcPr>
          <w:p w14:paraId="1B809AD1" w14:textId="77777777" w:rsidR="00913A0A" w:rsidRPr="0058047D" w:rsidDel="004D199A" w:rsidRDefault="00913A0A" w:rsidP="001A63C6">
            <w:pPr>
              <w:pStyle w:val="TableText"/>
              <w:widowControl w:val="0"/>
              <w:rPr>
                <w:rFonts w:ascii="Tahoma" w:hAnsi="Tahoma" w:cs="Tahoma"/>
                <w:color w:val="000000"/>
                <w:sz w:val="13"/>
              </w:rPr>
            </w:pPr>
            <w:r w:rsidRPr="0058047D">
              <w:rPr>
                <w:rFonts w:ascii="Tahoma" w:hAnsi="Tahoma" w:cs="Tahoma"/>
                <w:color w:val="000000"/>
                <w:sz w:val="13"/>
              </w:rPr>
              <w:t>03/13</w:t>
            </w:r>
          </w:p>
        </w:tc>
        <w:tc>
          <w:tcPr>
            <w:tcW w:w="358" w:type="dxa"/>
            <w:tcBorders>
              <w:bottom w:val="single" w:sz="4" w:space="0" w:color="auto"/>
              <w:right w:val="single" w:sz="18" w:space="0" w:color="auto"/>
            </w:tcBorders>
            <w:shd w:val="clear" w:color="auto" w:fill="FABF8F"/>
            <w:vAlign w:val="center"/>
          </w:tcPr>
          <w:p w14:paraId="2FC0142D" w14:textId="77777777" w:rsidR="00913A0A" w:rsidRPr="0058047D" w:rsidRDefault="00913A0A" w:rsidP="001A63C6">
            <w:pPr>
              <w:pStyle w:val="TableText"/>
              <w:widowControl w:val="0"/>
              <w:rPr>
                <w:rFonts w:ascii="Tahoma" w:hAnsi="Tahoma" w:cs="Tahoma"/>
                <w:color w:val="000000"/>
                <w:sz w:val="13"/>
              </w:rPr>
            </w:pPr>
          </w:p>
        </w:tc>
        <w:tc>
          <w:tcPr>
            <w:tcW w:w="330" w:type="dxa"/>
            <w:tcBorders>
              <w:left w:val="single" w:sz="18" w:space="0" w:color="auto"/>
              <w:bottom w:val="single" w:sz="4" w:space="0" w:color="auto"/>
            </w:tcBorders>
            <w:shd w:val="clear" w:color="auto" w:fill="FABF8F"/>
            <w:vAlign w:val="center"/>
          </w:tcPr>
          <w:p w14:paraId="76D2CA6D"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0FACADC3"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6E92D68C"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123DA85B"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2706952"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D856CD2"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52AC7BB2"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3E12397A"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C33C0AE"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4873B85D"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1A74A9DE"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08A57A9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D</w:t>
            </w:r>
          </w:p>
        </w:tc>
        <w:tc>
          <w:tcPr>
            <w:tcW w:w="324" w:type="dxa"/>
            <w:tcBorders>
              <w:left w:val="single" w:sz="18" w:space="0" w:color="auto"/>
              <w:bottom w:val="single" w:sz="4" w:space="0" w:color="auto"/>
              <w:right w:val="single" w:sz="18" w:space="0" w:color="auto"/>
            </w:tcBorders>
            <w:shd w:val="clear" w:color="auto" w:fill="FABF8F"/>
            <w:vAlign w:val="center"/>
          </w:tcPr>
          <w:p w14:paraId="4F5C1379"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vAlign w:val="center"/>
          </w:tcPr>
          <w:p w14:paraId="1A63DA08"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03B02CEB" w14:textId="77777777" w:rsidR="00913A0A" w:rsidRPr="0058047D" w:rsidRDefault="00913A0A" w:rsidP="001A63C6">
            <w:pPr>
              <w:pStyle w:val="TableText"/>
              <w:widowControl w:val="0"/>
              <w:rPr>
                <w:rFonts w:ascii="Tahoma" w:hAnsi="Tahoma" w:cs="Tahoma"/>
                <w:color w:val="000000"/>
                <w:sz w:val="13"/>
              </w:rPr>
            </w:pPr>
          </w:p>
        </w:tc>
        <w:tc>
          <w:tcPr>
            <w:tcW w:w="405" w:type="dxa"/>
            <w:tcBorders>
              <w:bottom w:val="single" w:sz="4" w:space="0" w:color="auto"/>
            </w:tcBorders>
            <w:shd w:val="clear" w:color="auto" w:fill="FABF8F"/>
          </w:tcPr>
          <w:p w14:paraId="18B7D5D7" w14:textId="77777777" w:rsidR="00913A0A" w:rsidRPr="0058047D" w:rsidRDefault="00913A0A" w:rsidP="001A63C6">
            <w:pPr>
              <w:pStyle w:val="TableText"/>
              <w:widowControl w:val="0"/>
              <w:rPr>
                <w:rFonts w:ascii="Tahoma" w:hAnsi="Tahoma" w:cs="Tahoma"/>
                <w:color w:val="000000"/>
                <w:sz w:val="13"/>
              </w:rPr>
            </w:pPr>
          </w:p>
        </w:tc>
      </w:tr>
      <w:tr w:rsidR="00F96F42" w:rsidRPr="0058047D" w14:paraId="7017469C" w14:textId="77777777" w:rsidTr="00C86F50">
        <w:trPr>
          <w:trHeight w:val="145"/>
        </w:trPr>
        <w:tc>
          <w:tcPr>
            <w:tcW w:w="2619" w:type="dxa"/>
            <w:gridSpan w:val="2"/>
            <w:tcBorders>
              <w:bottom w:val="single" w:sz="4" w:space="0" w:color="auto"/>
            </w:tcBorders>
            <w:shd w:val="clear" w:color="auto" w:fill="auto"/>
            <w:vAlign w:val="center"/>
          </w:tcPr>
          <w:p w14:paraId="341E1D13" w14:textId="77777777" w:rsidR="00913A0A" w:rsidRPr="0058047D" w:rsidRDefault="00913A0A" w:rsidP="00E077BC">
            <w:pPr>
              <w:pStyle w:val="ProductNames"/>
              <w:spacing w:beforeLines="20" w:before="48" w:afterLines="20" w:after="48"/>
              <w:rPr>
                <w:rFonts w:ascii="Tahoma" w:hAnsi="Tahoma" w:cs="Tahoma"/>
                <w:sz w:val="14"/>
              </w:rPr>
            </w:pPr>
            <w:bookmarkStart w:id="150" w:name="_Toc336337922"/>
            <w:bookmarkStart w:id="151" w:name="_Toc371663334"/>
            <w:r w:rsidRPr="0058047D">
              <w:rPr>
                <w:rFonts w:ascii="Tahoma" w:hAnsi="Tahoma" w:cs="Tahoma"/>
                <w:sz w:val="14"/>
              </w:rPr>
              <w:t>BizTalk</w:t>
            </w:r>
            <w:r w:rsidR="00E53A46" w:rsidRPr="0058047D">
              <w:rPr>
                <w:rFonts w:cs="Tahoma"/>
                <w:szCs w:val="18"/>
                <w:vertAlign w:val="superscript"/>
              </w:rPr>
              <w:t>®</w:t>
            </w:r>
            <w:r w:rsidRPr="0058047D">
              <w:rPr>
                <w:rFonts w:ascii="Tahoma" w:hAnsi="Tahoma" w:cs="Tahoma"/>
                <w:sz w:val="14"/>
              </w:rPr>
              <w:t xml:space="preserve"> Server 2013 Standard Edition</w:t>
            </w:r>
            <w:bookmarkEnd w:id="150"/>
            <w:bookmarkEnd w:id="151"/>
            <w:r w:rsidRPr="0058047D">
              <w:rPr>
                <w:rFonts w:ascii="Tahoma" w:hAnsi="Tahoma" w:cs="Tahoma"/>
                <w:sz w:val="14"/>
              </w:rPr>
              <w:t xml:space="preserve"> </w:t>
            </w:r>
          </w:p>
        </w:tc>
        <w:tc>
          <w:tcPr>
            <w:tcW w:w="554" w:type="dxa"/>
            <w:tcBorders>
              <w:bottom w:val="single" w:sz="4" w:space="0" w:color="auto"/>
            </w:tcBorders>
            <w:shd w:val="clear" w:color="auto" w:fill="auto"/>
            <w:vAlign w:val="center"/>
          </w:tcPr>
          <w:p w14:paraId="024E27D1" w14:textId="77777777" w:rsidR="00913A0A" w:rsidRPr="0058047D" w:rsidRDefault="00C86F50" w:rsidP="003D4F46">
            <w:pPr>
              <w:pStyle w:val="TableText"/>
              <w:widowControl w:val="0"/>
              <w:rPr>
                <w:rStyle w:val="EndnoteReference"/>
                <w:rFonts w:cs="Tahoma"/>
                <w:b w:val="0"/>
                <w:color w:val="0000FF"/>
                <w:sz w:val="13"/>
                <w:szCs w:val="13"/>
                <w:u w:val="single"/>
              </w:rPr>
            </w:pPr>
            <w:hyperlink w:anchor="_37_BizTalk_Server®" w:history="1">
              <w:r w:rsidR="00BF5FC6" w:rsidRPr="0058047D">
                <w:rPr>
                  <w:rStyle w:val="Hyperlink"/>
                  <w:rFonts w:cs="Tahoma"/>
                  <w:b/>
                  <w:sz w:val="13"/>
                  <w:szCs w:val="13"/>
                </w:rPr>
                <w:t>37</w:t>
              </w:r>
            </w:hyperlink>
          </w:p>
        </w:tc>
        <w:tc>
          <w:tcPr>
            <w:tcW w:w="516" w:type="dxa"/>
            <w:tcBorders>
              <w:bottom w:val="single" w:sz="4" w:space="0" w:color="auto"/>
            </w:tcBorders>
            <w:shd w:val="clear" w:color="auto" w:fill="auto"/>
            <w:vAlign w:val="center"/>
          </w:tcPr>
          <w:p w14:paraId="0B5A1C19"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03/13</w:t>
            </w:r>
          </w:p>
        </w:tc>
        <w:tc>
          <w:tcPr>
            <w:tcW w:w="358" w:type="dxa"/>
            <w:tcBorders>
              <w:bottom w:val="single" w:sz="4" w:space="0" w:color="auto"/>
              <w:right w:val="single" w:sz="18" w:space="0" w:color="auto"/>
            </w:tcBorders>
            <w:shd w:val="clear" w:color="auto" w:fill="auto"/>
            <w:vAlign w:val="center"/>
          </w:tcPr>
          <w:p w14:paraId="1AF4B424"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auto"/>
            <w:vAlign w:val="center"/>
          </w:tcPr>
          <w:p w14:paraId="38AF975F"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324" w:type="dxa"/>
            <w:tcBorders>
              <w:bottom w:val="single" w:sz="4" w:space="0" w:color="auto"/>
            </w:tcBorders>
            <w:shd w:val="clear" w:color="auto" w:fill="auto"/>
            <w:vAlign w:val="center"/>
          </w:tcPr>
          <w:p w14:paraId="434EDAF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125</w:t>
            </w:r>
          </w:p>
        </w:tc>
        <w:tc>
          <w:tcPr>
            <w:tcW w:w="456" w:type="dxa"/>
            <w:gridSpan w:val="2"/>
            <w:tcBorders>
              <w:bottom w:val="single" w:sz="4" w:space="0" w:color="auto"/>
            </w:tcBorders>
            <w:shd w:val="clear" w:color="auto" w:fill="auto"/>
            <w:vAlign w:val="center"/>
          </w:tcPr>
          <w:p w14:paraId="4333D20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100</w:t>
            </w:r>
          </w:p>
        </w:tc>
        <w:tc>
          <w:tcPr>
            <w:tcW w:w="366" w:type="dxa"/>
            <w:tcBorders>
              <w:bottom w:val="single" w:sz="4" w:space="0" w:color="auto"/>
            </w:tcBorders>
            <w:shd w:val="clear" w:color="auto" w:fill="auto"/>
            <w:vAlign w:val="center"/>
          </w:tcPr>
          <w:p w14:paraId="360C761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75</w:t>
            </w:r>
          </w:p>
        </w:tc>
        <w:tc>
          <w:tcPr>
            <w:tcW w:w="450" w:type="dxa"/>
            <w:tcBorders>
              <w:bottom w:val="single" w:sz="4" w:space="0" w:color="auto"/>
            </w:tcBorders>
            <w:shd w:val="clear" w:color="auto" w:fill="auto"/>
            <w:vAlign w:val="center"/>
          </w:tcPr>
          <w:p w14:paraId="171BF2C8"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75</w:t>
            </w:r>
          </w:p>
        </w:tc>
        <w:tc>
          <w:tcPr>
            <w:tcW w:w="450" w:type="dxa"/>
            <w:tcBorders>
              <w:bottom w:val="single" w:sz="4" w:space="0" w:color="auto"/>
            </w:tcBorders>
            <w:shd w:val="clear" w:color="auto" w:fill="auto"/>
            <w:vAlign w:val="center"/>
          </w:tcPr>
          <w:p w14:paraId="263D97A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336" w:type="dxa"/>
            <w:tcBorders>
              <w:bottom w:val="single" w:sz="4" w:space="0" w:color="auto"/>
              <w:right w:val="single" w:sz="18" w:space="0" w:color="auto"/>
            </w:tcBorders>
            <w:shd w:val="clear" w:color="auto" w:fill="auto"/>
            <w:vAlign w:val="center"/>
          </w:tcPr>
          <w:p w14:paraId="23EEE570"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25</w:t>
            </w:r>
          </w:p>
        </w:tc>
        <w:tc>
          <w:tcPr>
            <w:tcW w:w="477" w:type="dxa"/>
            <w:tcBorders>
              <w:left w:val="single" w:sz="18" w:space="0" w:color="auto"/>
              <w:bottom w:val="single" w:sz="4" w:space="0" w:color="auto"/>
            </w:tcBorders>
            <w:shd w:val="clear" w:color="auto" w:fill="auto"/>
            <w:vAlign w:val="center"/>
          </w:tcPr>
          <w:p w14:paraId="1EE4CD6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450" w:type="dxa"/>
            <w:tcBorders>
              <w:bottom w:val="single" w:sz="4" w:space="0" w:color="auto"/>
            </w:tcBorders>
            <w:shd w:val="clear" w:color="auto" w:fill="auto"/>
            <w:vAlign w:val="center"/>
          </w:tcPr>
          <w:p w14:paraId="4AA7FE5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100</w:t>
            </w:r>
          </w:p>
        </w:tc>
        <w:tc>
          <w:tcPr>
            <w:tcW w:w="414" w:type="dxa"/>
            <w:tcBorders>
              <w:bottom w:val="single" w:sz="4" w:space="0" w:color="auto"/>
              <w:right w:val="single" w:sz="18" w:space="0" w:color="auto"/>
            </w:tcBorders>
            <w:shd w:val="clear" w:color="auto" w:fill="auto"/>
            <w:vAlign w:val="center"/>
          </w:tcPr>
          <w:p w14:paraId="29D461D6"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468" w:type="dxa"/>
            <w:tcBorders>
              <w:left w:val="single" w:sz="18" w:space="0" w:color="auto"/>
              <w:bottom w:val="single" w:sz="4" w:space="0" w:color="auto"/>
            </w:tcBorders>
            <w:shd w:val="clear" w:color="auto" w:fill="auto"/>
            <w:vAlign w:val="center"/>
          </w:tcPr>
          <w:p w14:paraId="53BA249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477" w:type="dxa"/>
            <w:tcBorders>
              <w:bottom w:val="single" w:sz="4" w:space="0" w:color="auto"/>
              <w:right w:val="single" w:sz="18" w:space="0" w:color="auto"/>
            </w:tcBorders>
            <w:shd w:val="clear" w:color="auto" w:fill="auto"/>
            <w:vAlign w:val="center"/>
          </w:tcPr>
          <w:p w14:paraId="271B54A8"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A,S</w:t>
            </w:r>
          </w:p>
        </w:tc>
        <w:tc>
          <w:tcPr>
            <w:tcW w:w="324" w:type="dxa"/>
            <w:tcBorders>
              <w:left w:val="single" w:sz="18" w:space="0" w:color="auto"/>
              <w:bottom w:val="single" w:sz="4" w:space="0" w:color="auto"/>
              <w:right w:val="single" w:sz="18" w:space="0" w:color="auto"/>
            </w:tcBorders>
            <w:shd w:val="clear" w:color="auto" w:fill="auto"/>
            <w:vAlign w:val="center"/>
          </w:tcPr>
          <w:p w14:paraId="5E8B7EA8"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auto"/>
            <w:vAlign w:val="center"/>
          </w:tcPr>
          <w:p w14:paraId="2886D3C4"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rPr>
              <w:t>A</w:t>
            </w:r>
          </w:p>
        </w:tc>
        <w:tc>
          <w:tcPr>
            <w:tcW w:w="504" w:type="dxa"/>
            <w:tcBorders>
              <w:bottom w:val="single" w:sz="4" w:space="0" w:color="auto"/>
            </w:tcBorders>
            <w:shd w:val="clear" w:color="auto" w:fill="auto"/>
            <w:vAlign w:val="center"/>
          </w:tcPr>
          <w:p w14:paraId="5776CCC9"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OL/OV</w:t>
            </w:r>
          </w:p>
        </w:tc>
        <w:tc>
          <w:tcPr>
            <w:tcW w:w="405" w:type="dxa"/>
            <w:tcBorders>
              <w:bottom w:val="single" w:sz="4" w:space="0" w:color="auto"/>
            </w:tcBorders>
          </w:tcPr>
          <w:p w14:paraId="039B18E9" w14:textId="77777777" w:rsidR="00913A0A" w:rsidRPr="0058047D" w:rsidRDefault="00D93CA3" w:rsidP="001A63C6">
            <w:pPr>
              <w:pStyle w:val="TableText"/>
              <w:widowControl w:val="0"/>
              <w:rPr>
                <w:rFonts w:ascii="Tahoma" w:hAnsi="Tahoma" w:cs="Tahoma"/>
                <w:color w:val="000000"/>
                <w:sz w:val="13"/>
              </w:rPr>
            </w:pPr>
            <w:r w:rsidRPr="0058047D">
              <w:rPr>
                <w:rFonts w:ascii="Tahoma" w:hAnsi="Tahoma" w:cs="Tahoma"/>
                <w:color w:val="000000"/>
                <w:sz w:val="13"/>
              </w:rPr>
              <w:t>STP</w:t>
            </w:r>
          </w:p>
        </w:tc>
      </w:tr>
      <w:tr w:rsidR="00F96F42" w:rsidRPr="0058047D" w:rsidDel="00E7100E" w14:paraId="653156B5" w14:textId="77777777" w:rsidTr="00C86F50">
        <w:trPr>
          <w:trHeight w:val="145"/>
        </w:trPr>
        <w:tc>
          <w:tcPr>
            <w:tcW w:w="2619" w:type="dxa"/>
            <w:gridSpan w:val="2"/>
            <w:tcBorders>
              <w:bottom w:val="single" w:sz="4" w:space="0" w:color="auto"/>
            </w:tcBorders>
            <w:shd w:val="clear" w:color="auto" w:fill="FABF8F"/>
            <w:vAlign w:val="center"/>
          </w:tcPr>
          <w:p w14:paraId="47FCAFB4" w14:textId="77777777" w:rsidR="00913A0A" w:rsidRPr="0058047D" w:rsidDel="002B327C" w:rsidRDefault="00913A0A" w:rsidP="00E077BC">
            <w:pPr>
              <w:pStyle w:val="Heading2"/>
              <w:spacing w:beforeLines="20" w:before="48" w:afterLines="20" w:after="48"/>
              <w:ind w:left="0"/>
              <w:rPr>
                <w:rFonts w:ascii="Tahoma" w:hAnsi="Tahoma" w:cs="Tahoma"/>
                <w:b w:val="0"/>
                <w:sz w:val="14"/>
              </w:rPr>
            </w:pPr>
            <w:bookmarkStart w:id="152" w:name="_Toc371663335"/>
            <w:r w:rsidRPr="0058047D">
              <w:rPr>
                <w:rFonts w:ascii="Tahoma" w:hAnsi="Tahoma" w:cs="Tahoma"/>
                <w:b w:val="0"/>
                <w:sz w:val="14"/>
              </w:rPr>
              <w:t>BizTalk</w:t>
            </w:r>
            <w:r w:rsidR="00E53A46" w:rsidRPr="0058047D">
              <w:rPr>
                <w:rFonts w:ascii="Tahoma" w:hAnsi="Tahoma" w:cs="Tahoma"/>
                <w:b w:val="0"/>
                <w:sz w:val="14"/>
                <w:vertAlign w:val="superscript"/>
              </w:rPr>
              <w:t>®</w:t>
            </w:r>
            <w:r w:rsidRPr="0058047D">
              <w:rPr>
                <w:rFonts w:ascii="Tahoma" w:hAnsi="Tahoma" w:cs="Tahoma"/>
                <w:b w:val="0"/>
                <w:sz w:val="14"/>
              </w:rPr>
              <w:t xml:space="preserve"> Server 2013 Standard Edition IDC</w:t>
            </w:r>
            <w:bookmarkEnd w:id="152"/>
          </w:p>
        </w:tc>
        <w:tc>
          <w:tcPr>
            <w:tcW w:w="554" w:type="dxa"/>
            <w:tcBorders>
              <w:bottom w:val="single" w:sz="4" w:space="0" w:color="auto"/>
            </w:tcBorders>
            <w:shd w:val="clear" w:color="auto" w:fill="FABF8F"/>
            <w:vAlign w:val="center"/>
          </w:tcPr>
          <w:p w14:paraId="43ED6EEC" w14:textId="77777777" w:rsidR="00913A0A" w:rsidRPr="0058047D" w:rsidDel="00E7100E" w:rsidRDefault="00913A0A" w:rsidP="002253A3">
            <w:pPr>
              <w:jc w:val="center"/>
              <w:rPr>
                <w:sz w:val="13"/>
                <w:szCs w:val="13"/>
              </w:rPr>
            </w:pPr>
          </w:p>
        </w:tc>
        <w:tc>
          <w:tcPr>
            <w:tcW w:w="516" w:type="dxa"/>
            <w:tcBorders>
              <w:bottom w:val="single" w:sz="4" w:space="0" w:color="auto"/>
            </w:tcBorders>
            <w:shd w:val="clear" w:color="auto" w:fill="FABF8F"/>
            <w:vAlign w:val="center"/>
          </w:tcPr>
          <w:p w14:paraId="06C5281C" w14:textId="77777777" w:rsidR="00913A0A" w:rsidRPr="0058047D" w:rsidDel="00A53269" w:rsidRDefault="00913A0A" w:rsidP="002253A3">
            <w:pPr>
              <w:jc w:val="center"/>
              <w:rPr>
                <w:rFonts w:cs="Tahoma"/>
                <w:color w:val="000000"/>
                <w:sz w:val="13"/>
                <w:szCs w:val="13"/>
              </w:rPr>
            </w:pPr>
            <w:r w:rsidRPr="0058047D">
              <w:rPr>
                <w:rFonts w:cs="Tahoma"/>
                <w:color w:val="000000"/>
                <w:sz w:val="13"/>
                <w:szCs w:val="13"/>
              </w:rPr>
              <w:t>03/13</w:t>
            </w:r>
          </w:p>
        </w:tc>
        <w:tc>
          <w:tcPr>
            <w:tcW w:w="358" w:type="dxa"/>
            <w:tcBorders>
              <w:bottom w:val="single" w:sz="4" w:space="0" w:color="auto"/>
              <w:right w:val="single" w:sz="18" w:space="0" w:color="auto"/>
            </w:tcBorders>
            <w:shd w:val="clear" w:color="auto" w:fill="FABF8F"/>
            <w:vAlign w:val="center"/>
          </w:tcPr>
          <w:p w14:paraId="54A05B84" w14:textId="77777777" w:rsidR="00913A0A" w:rsidRPr="0058047D" w:rsidDel="00E7100E" w:rsidRDefault="00913A0A" w:rsidP="002253A3">
            <w:pPr>
              <w:jc w:val="center"/>
              <w:rPr>
                <w:rFonts w:cs="Tahoma"/>
                <w:color w:val="000000"/>
                <w:sz w:val="13"/>
                <w:szCs w:val="13"/>
              </w:rPr>
            </w:pPr>
          </w:p>
        </w:tc>
        <w:tc>
          <w:tcPr>
            <w:tcW w:w="330" w:type="dxa"/>
            <w:tcBorders>
              <w:left w:val="single" w:sz="18" w:space="0" w:color="auto"/>
              <w:bottom w:val="single" w:sz="4" w:space="0" w:color="auto"/>
            </w:tcBorders>
            <w:shd w:val="clear" w:color="auto" w:fill="FABF8F"/>
            <w:vAlign w:val="center"/>
          </w:tcPr>
          <w:p w14:paraId="26E3AA46" w14:textId="77777777" w:rsidR="00913A0A" w:rsidRPr="0058047D" w:rsidDel="00E7100E" w:rsidRDefault="00913A0A" w:rsidP="002253A3">
            <w:pPr>
              <w:jc w:val="center"/>
              <w:rPr>
                <w:rFonts w:cs="Tahoma"/>
                <w:sz w:val="13"/>
                <w:szCs w:val="13"/>
              </w:rPr>
            </w:pPr>
          </w:p>
        </w:tc>
        <w:tc>
          <w:tcPr>
            <w:tcW w:w="324" w:type="dxa"/>
            <w:tcBorders>
              <w:bottom w:val="single" w:sz="4" w:space="0" w:color="auto"/>
            </w:tcBorders>
            <w:shd w:val="clear" w:color="auto" w:fill="FABF8F"/>
            <w:vAlign w:val="center"/>
          </w:tcPr>
          <w:p w14:paraId="070818AC" w14:textId="77777777" w:rsidR="00913A0A" w:rsidRPr="0058047D" w:rsidDel="00E7100E" w:rsidRDefault="00913A0A" w:rsidP="002253A3">
            <w:pPr>
              <w:jc w:val="center"/>
              <w:rPr>
                <w:rFonts w:cs="Tahoma"/>
                <w:sz w:val="13"/>
                <w:szCs w:val="13"/>
              </w:rPr>
            </w:pPr>
          </w:p>
        </w:tc>
        <w:tc>
          <w:tcPr>
            <w:tcW w:w="456" w:type="dxa"/>
            <w:gridSpan w:val="2"/>
            <w:tcBorders>
              <w:bottom w:val="single" w:sz="4" w:space="0" w:color="auto"/>
            </w:tcBorders>
            <w:shd w:val="clear" w:color="auto" w:fill="FABF8F"/>
            <w:vAlign w:val="center"/>
          </w:tcPr>
          <w:p w14:paraId="5CA73EC5" w14:textId="77777777" w:rsidR="00913A0A" w:rsidRPr="0058047D" w:rsidDel="00E7100E" w:rsidRDefault="00913A0A" w:rsidP="002253A3">
            <w:pPr>
              <w:jc w:val="center"/>
              <w:rPr>
                <w:rFonts w:cs="Tahoma"/>
                <w:sz w:val="13"/>
                <w:szCs w:val="13"/>
              </w:rPr>
            </w:pPr>
          </w:p>
        </w:tc>
        <w:tc>
          <w:tcPr>
            <w:tcW w:w="366" w:type="dxa"/>
            <w:tcBorders>
              <w:bottom w:val="single" w:sz="4" w:space="0" w:color="auto"/>
            </w:tcBorders>
            <w:shd w:val="clear" w:color="auto" w:fill="FABF8F"/>
            <w:vAlign w:val="center"/>
          </w:tcPr>
          <w:p w14:paraId="172005ED" w14:textId="77777777" w:rsidR="00913A0A" w:rsidRPr="0058047D" w:rsidDel="00E7100E" w:rsidRDefault="00913A0A" w:rsidP="002253A3">
            <w:pPr>
              <w:jc w:val="center"/>
              <w:rPr>
                <w:rFonts w:cs="Tahoma"/>
                <w:sz w:val="13"/>
                <w:szCs w:val="13"/>
              </w:rPr>
            </w:pPr>
          </w:p>
        </w:tc>
        <w:tc>
          <w:tcPr>
            <w:tcW w:w="450" w:type="dxa"/>
            <w:tcBorders>
              <w:bottom w:val="single" w:sz="4" w:space="0" w:color="auto"/>
            </w:tcBorders>
            <w:shd w:val="clear" w:color="auto" w:fill="FABF8F"/>
            <w:vAlign w:val="center"/>
          </w:tcPr>
          <w:p w14:paraId="42902053" w14:textId="77777777" w:rsidR="00913A0A" w:rsidRPr="0058047D" w:rsidDel="00E7100E" w:rsidRDefault="00913A0A" w:rsidP="002253A3">
            <w:pPr>
              <w:jc w:val="center"/>
              <w:rPr>
                <w:rFonts w:cs="Tahoma"/>
                <w:sz w:val="13"/>
                <w:szCs w:val="13"/>
              </w:rPr>
            </w:pPr>
          </w:p>
        </w:tc>
        <w:tc>
          <w:tcPr>
            <w:tcW w:w="450" w:type="dxa"/>
            <w:tcBorders>
              <w:bottom w:val="single" w:sz="4" w:space="0" w:color="auto"/>
            </w:tcBorders>
            <w:shd w:val="clear" w:color="auto" w:fill="FABF8F"/>
            <w:vAlign w:val="center"/>
          </w:tcPr>
          <w:p w14:paraId="2E34F814" w14:textId="77777777" w:rsidR="00913A0A" w:rsidRPr="0058047D" w:rsidDel="00E7100E" w:rsidRDefault="00913A0A" w:rsidP="002253A3">
            <w:pPr>
              <w:jc w:val="center"/>
              <w:rPr>
                <w:rFonts w:cs="Tahoma"/>
                <w:sz w:val="13"/>
                <w:szCs w:val="13"/>
              </w:rPr>
            </w:pPr>
          </w:p>
        </w:tc>
        <w:tc>
          <w:tcPr>
            <w:tcW w:w="336" w:type="dxa"/>
            <w:tcBorders>
              <w:bottom w:val="single" w:sz="4" w:space="0" w:color="auto"/>
              <w:right w:val="single" w:sz="18" w:space="0" w:color="auto"/>
            </w:tcBorders>
            <w:shd w:val="clear" w:color="auto" w:fill="FABF8F"/>
            <w:vAlign w:val="center"/>
          </w:tcPr>
          <w:p w14:paraId="411DEEA2" w14:textId="77777777" w:rsidR="00913A0A" w:rsidRPr="0058047D" w:rsidDel="00E7100E" w:rsidRDefault="00913A0A" w:rsidP="002253A3">
            <w:pPr>
              <w:jc w:val="center"/>
              <w:rPr>
                <w:rFonts w:cs="Tahoma"/>
                <w:sz w:val="13"/>
                <w:szCs w:val="13"/>
              </w:rPr>
            </w:pPr>
          </w:p>
        </w:tc>
        <w:tc>
          <w:tcPr>
            <w:tcW w:w="477" w:type="dxa"/>
            <w:tcBorders>
              <w:left w:val="single" w:sz="18" w:space="0" w:color="auto"/>
              <w:bottom w:val="single" w:sz="4" w:space="0" w:color="auto"/>
            </w:tcBorders>
            <w:shd w:val="clear" w:color="auto" w:fill="FABF8F"/>
            <w:vAlign w:val="center"/>
          </w:tcPr>
          <w:p w14:paraId="34588EC0" w14:textId="77777777" w:rsidR="00913A0A" w:rsidRPr="0058047D" w:rsidDel="00E7100E" w:rsidRDefault="00913A0A" w:rsidP="002253A3">
            <w:pPr>
              <w:jc w:val="center"/>
              <w:rPr>
                <w:rFonts w:cs="Tahoma"/>
                <w:sz w:val="13"/>
                <w:szCs w:val="13"/>
              </w:rPr>
            </w:pPr>
          </w:p>
        </w:tc>
        <w:tc>
          <w:tcPr>
            <w:tcW w:w="450" w:type="dxa"/>
            <w:tcBorders>
              <w:bottom w:val="single" w:sz="4" w:space="0" w:color="auto"/>
            </w:tcBorders>
            <w:shd w:val="clear" w:color="auto" w:fill="FABF8F"/>
            <w:vAlign w:val="center"/>
          </w:tcPr>
          <w:p w14:paraId="446923AE" w14:textId="77777777" w:rsidR="00913A0A" w:rsidRPr="0058047D" w:rsidDel="00E7100E" w:rsidRDefault="00913A0A" w:rsidP="002253A3">
            <w:pPr>
              <w:jc w:val="center"/>
              <w:rPr>
                <w:rFonts w:cs="Tahoma"/>
                <w:sz w:val="13"/>
                <w:szCs w:val="13"/>
              </w:rPr>
            </w:pPr>
          </w:p>
        </w:tc>
        <w:tc>
          <w:tcPr>
            <w:tcW w:w="414" w:type="dxa"/>
            <w:tcBorders>
              <w:bottom w:val="single" w:sz="4" w:space="0" w:color="auto"/>
              <w:right w:val="single" w:sz="18" w:space="0" w:color="auto"/>
            </w:tcBorders>
            <w:shd w:val="clear" w:color="auto" w:fill="FABF8F"/>
            <w:vAlign w:val="center"/>
          </w:tcPr>
          <w:p w14:paraId="108AB270" w14:textId="77777777" w:rsidR="00913A0A" w:rsidRPr="0058047D" w:rsidDel="00E7100E" w:rsidRDefault="00913A0A" w:rsidP="002253A3">
            <w:pPr>
              <w:jc w:val="center"/>
              <w:rPr>
                <w:rFonts w:cs="Tahoma"/>
                <w:sz w:val="13"/>
                <w:szCs w:val="13"/>
              </w:rPr>
            </w:pPr>
          </w:p>
        </w:tc>
        <w:tc>
          <w:tcPr>
            <w:tcW w:w="468" w:type="dxa"/>
            <w:tcBorders>
              <w:left w:val="single" w:sz="18" w:space="0" w:color="auto"/>
              <w:bottom w:val="single" w:sz="4" w:space="0" w:color="auto"/>
            </w:tcBorders>
            <w:shd w:val="clear" w:color="auto" w:fill="FABF8F"/>
            <w:vAlign w:val="center"/>
          </w:tcPr>
          <w:p w14:paraId="33EC3F91" w14:textId="77777777" w:rsidR="00913A0A" w:rsidRPr="0058047D" w:rsidDel="00E7100E" w:rsidRDefault="00913A0A" w:rsidP="002253A3">
            <w:pPr>
              <w:jc w:val="center"/>
              <w:rPr>
                <w:rFonts w:cs="Tahoma"/>
                <w:sz w:val="13"/>
                <w:szCs w:val="13"/>
              </w:rPr>
            </w:pPr>
          </w:p>
        </w:tc>
        <w:tc>
          <w:tcPr>
            <w:tcW w:w="477" w:type="dxa"/>
            <w:tcBorders>
              <w:bottom w:val="single" w:sz="4" w:space="0" w:color="auto"/>
              <w:right w:val="single" w:sz="18" w:space="0" w:color="auto"/>
            </w:tcBorders>
            <w:shd w:val="clear" w:color="auto" w:fill="FABF8F"/>
            <w:vAlign w:val="center"/>
          </w:tcPr>
          <w:p w14:paraId="094F5F18" w14:textId="77777777" w:rsidR="00913A0A" w:rsidRPr="0058047D" w:rsidDel="00A53269" w:rsidRDefault="00913A0A" w:rsidP="002253A3">
            <w:pPr>
              <w:jc w:val="center"/>
              <w:rPr>
                <w:rFonts w:cs="Tahoma"/>
                <w:sz w:val="13"/>
                <w:szCs w:val="13"/>
              </w:rPr>
            </w:pPr>
            <w:r w:rsidRPr="0058047D">
              <w:rPr>
                <w:rFonts w:cs="Tahoma"/>
                <w:sz w:val="13"/>
                <w:szCs w:val="13"/>
              </w:rPr>
              <w:t>D</w:t>
            </w:r>
          </w:p>
        </w:tc>
        <w:tc>
          <w:tcPr>
            <w:tcW w:w="324" w:type="dxa"/>
            <w:tcBorders>
              <w:left w:val="single" w:sz="18" w:space="0" w:color="auto"/>
              <w:bottom w:val="single" w:sz="4" w:space="0" w:color="auto"/>
              <w:right w:val="single" w:sz="18" w:space="0" w:color="auto"/>
            </w:tcBorders>
            <w:shd w:val="clear" w:color="auto" w:fill="FABF8F"/>
            <w:vAlign w:val="center"/>
          </w:tcPr>
          <w:p w14:paraId="44FFBEC9" w14:textId="77777777" w:rsidR="00913A0A" w:rsidRPr="0058047D" w:rsidDel="00E7100E" w:rsidRDefault="00913A0A" w:rsidP="002253A3">
            <w:pPr>
              <w:jc w:val="center"/>
              <w:rPr>
                <w:rFonts w:cs="Tahoma"/>
                <w:sz w:val="13"/>
                <w:szCs w:val="13"/>
              </w:rPr>
            </w:pPr>
          </w:p>
        </w:tc>
        <w:tc>
          <w:tcPr>
            <w:tcW w:w="655" w:type="dxa"/>
            <w:tcBorders>
              <w:bottom w:val="single" w:sz="4" w:space="0" w:color="auto"/>
            </w:tcBorders>
            <w:shd w:val="clear" w:color="auto" w:fill="FABF8F"/>
            <w:vAlign w:val="center"/>
          </w:tcPr>
          <w:p w14:paraId="2246FF29" w14:textId="77777777" w:rsidR="00913A0A" w:rsidRPr="0058047D" w:rsidDel="00E7100E" w:rsidRDefault="00913A0A" w:rsidP="002253A3">
            <w:pPr>
              <w:jc w:val="center"/>
              <w:rPr>
                <w:rFonts w:cs="Tahoma"/>
                <w:sz w:val="13"/>
                <w:szCs w:val="13"/>
              </w:rPr>
            </w:pPr>
          </w:p>
        </w:tc>
        <w:tc>
          <w:tcPr>
            <w:tcW w:w="504" w:type="dxa"/>
            <w:tcBorders>
              <w:bottom w:val="single" w:sz="4" w:space="0" w:color="auto"/>
            </w:tcBorders>
            <w:shd w:val="clear" w:color="auto" w:fill="FABF8F"/>
            <w:vAlign w:val="center"/>
          </w:tcPr>
          <w:p w14:paraId="18B78F14" w14:textId="77777777" w:rsidR="00913A0A" w:rsidRPr="0058047D" w:rsidDel="00E7100E" w:rsidRDefault="00913A0A" w:rsidP="002253A3">
            <w:pPr>
              <w:jc w:val="center"/>
              <w:rPr>
                <w:rFonts w:cs="Tahoma"/>
                <w:color w:val="000000"/>
                <w:sz w:val="13"/>
                <w:szCs w:val="13"/>
              </w:rPr>
            </w:pPr>
          </w:p>
        </w:tc>
        <w:tc>
          <w:tcPr>
            <w:tcW w:w="405" w:type="dxa"/>
            <w:tcBorders>
              <w:bottom w:val="single" w:sz="4" w:space="0" w:color="auto"/>
            </w:tcBorders>
            <w:shd w:val="clear" w:color="auto" w:fill="FABF8F"/>
          </w:tcPr>
          <w:p w14:paraId="54F8BB2B" w14:textId="77777777" w:rsidR="00913A0A" w:rsidRPr="0058047D" w:rsidDel="00E7100E" w:rsidRDefault="00913A0A" w:rsidP="002253A3">
            <w:pPr>
              <w:jc w:val="center"/>
              <w:rPr>
                <w:rFonts w:cs="Tahoma"/>
                <w:color w:val="000000"/>
                <w:sz w:val="13"/>
                <w:szCs w:val="13"/>
              </w:rPr>
            </w:pPr>
          </w:p>
        </w:tc>
      </w:tr>
      <w:tr w:rsidR="00F96F42" w:rsidRPr="0058047D" w14:paraId="7797397A" w14:textId="77777777" w:rsidTr="00C86F50">
        <w:trPr>
          <w:trHeight w:val="145"/>
        </w:trPr>
        <w:tc>
          <w:tcPr>
            <w:tcW w:w="2619" w:type="dxa"/>
            <w:gridSpan w:val="2"/>
            <w:tcBorders>
              <w:bottom w:val="single" w:sz="4" w:space="0" w:color="auto"/>
            </w:tcBorders>
            <w:shd w:val="clear" w:color="auto" w:fill="auto"/>
            <w:vAlign w:val="center"/>
          </w:tcPr>
          <w:p w14:paraId="30D841C9" w14:textId="77777777" w:rsidR="00913A0A" w:rsidRPr="0058047D" w:rsidRDefault="00913A0A" w:rsidP="00E077BC">
            <w:pPr>
              <w:pStyle w:val="Heading2"/>
              <w:spacing w:beforeLines="20" w:before="48" w:afterLines="20" w:after="48"/>
              <w:ind w:left="0"/>
              <w:rPr>
                <w:rFonts w:ascii="Tahoma" w:hAnsi="Tahoma" w:cs="Tahoma"/>
                <w:b w:val="0"/>
                <w:sz w:val="16"/>
                <w:szCs w:val="16"/>
              </w:rPr>
            </w:pPr>
            <w:bookmarkStart w:id="153" w:name="_Toc336337925"/>
            <w:bookmarkStart w:id="154" w:name="_Toc371663336"/>
            <w:r w:rsidRPr="0058047D">
              <w:rPr>
                <w:rFonts w:ascii="Tahoma" w:hAnsi="Tahoma" w:cs="Tahoma"/>
                <w:b w:val="0"/>
                <w:sz w:val="14"/>
                <w:szCs w:val="16"/>
              </w:rPr>
              <w:t>Business Intelligence Appliance 2012</w:t>
            </w:r>
            <w:bookmarkEnd w:id="153"/>
            <w:bookmarkEnd w:id="154"/>
          </w:p>
        </w:tc>
        <w:tc>
          <w:tcPr>
            <w:tcW w:w="554" w:type="dxa"/>
            <w:tcBorders>
              <w:bottom w:val="single" w:sz="4" w:space="0" w:color="auto"/>
            </w:tcBorders>
            <w:shd w:val="clear" w:color="auto" w:fill="auto"/>
            <w:vAlign w:val="center"/>
          </w:tcPr>
          <w:p w14:paraId="7360824D" w14:textId="77777777" w:rsidR="00913A0A" w:rsidRPr="0058047D" w:rsidRDefault="00C86F50" w:rsidP="003D4F46">
            <w:pPr>
              <w:pStyle w:val="TableText"/>
              <w:widowControl w:val="0"/>
              <w:rPr>
                <w:rStyle w:val="EndnoteReference"/>
                <w:b w:val="0"/>
                <w:color w:val="0000FF"/>
                <w:sz w:val="13"/>
                <w:szCs w:val="13"/>
                <w:u w:val="single"/>
              </w:rPr>
            </w:pPr>
            <w:hyperlink w:anchor="_38_Business_Intelligence" w:history="1">
              <w:r w:rsidR="00BF5FC6" w:rsidRPr="0058047D">
                <w:rPr>
                  <w:rStyle w:val="Hyperlink"/>
                  <w:b/>
                  <w:sz w:val="13"/>
                  <w:szCs w:val="13"/>
                </w:rPr>
                <w:t>38</w:t>
              </w:r>
            </w:hyperlink>
          </w:p>
        </w:tc>
        <w:tc>
          <w:tcPr>
            <w:tcW w:w="516" w:type="dxa"/>
            <w:tcBorders>
              <w:bottom w:val="single" w:sz="4" w:space="0" w:color="auto"/>
            </w:tcBorders>
            <w:shd w:val="clear" w:color="auto" w:fill="auto"/>
            <w:vAlign w:val="center"/>
          </w:tcPr>
          <w:p w14:paraId="5873AC59"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11/11</w:t>
            </w:r>
          </w:p>
        </w:tc>
        <w:tc>
          <w:tcPr>
            <w:tcW w:w="358" w:type="dxa"/>
            <w:tcBorders>
              <w:bottom w:val="single" w:sz="4" w:space="0" w:color="auto"/>
              <w:right w:val="single" w:sz="18" w:space="0" w:color="auto"/>
            </w:tcBorders>
            <w:shd w:val="clear" w:color="auto" w:fill="auto"/>
            <w:vAlign w:val="center"/>
          </w:tcPr>
          <w:p w14:paraId="68A7AD38"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auto"/>
            <w:vAlign w:val="center"/>
          </w:tcPr>
          <w:p w14:paraId="03AD23DA"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125</w:t>
            </w:r>
          </w:p>
        </w:tc>
        <w:tc>
          <w:tcPr>
            <w:tcW w:w="324" w:type="dxa"/>
            <w:tcBorders>
              <w:bottom w:val="single" w:sz="4" w:space="0" w:color="auto"/>
            </w:tcBorders>
            <w:shd w:val="clear" w:color="auto" w:fill="auto"/>
            <w:vAlign w:val="center"/>
          </w:tcPr>
          <w:p w14:paraId="244501E4"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313</w:t>
            </w:r>
          </w:p>
        </w:tc>
        <w:tc>
          <w:tcPr>
            <w:tcW w:w="456" w:type="dxa"/>
            <w:gridSpan w:val="2"/>
            <w:tcBorders>
              <w:bottom w:val="single" w:sz="4" w:space="0" w:color="auto"/>
            </w:tcBorders>
            <w:shd w:val="clear" w:color="auto" w:fill="auto"/>
            <w:vAlign w:val="center"/>
          </w:tcPr>
          <w:p w14:paraId="06665B4D"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250</w:t>
            </w:r>
          </w:p>
        </w:tc>
        <w:tc>
          <w:tcPr>
            <w:tcW w:w="366" w:type="dxa"/>
            <w:tcBorders>
              <w:bottom w:val="single" w:sz="4" w:space="0" w:color="auto"/>
            </w:tcBorders>
            <w:shd w:val="clear" w:color="auto" w:fill="auto"/>
            <w:vAlign w:val="center"/>
          </w:tcPr>
          <w:p w14:paraId="1FC959CA"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188</w:t>
            </w:r>
          </w:p>
        </w:tc>
        <w:tc>
          <w:tcPr>
            <w:tcW w:w="450" w:type="dxa"/>
            <w:tcBorders>
              <w:bottom w:val="single" w:sz="4" w:space="0" w:color="auto"/>
            </w:tcBorders>
            <w:shd w:val="clear" w:color="auto" w:fill="auto"/>
            <w:vAlign w:val="center"/>
          </w:tcPr>
          <w:p w14:paraId="0A86526F"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188</w:t>
            </w:r>
          </w:p>
        </w:tc>
        <w:tc>
          <w:tcPr>
            <w:tcW w:w="450" w:type="dxa"/>
            <w:tcBorders>
              <w:bottom w:val="single" w:sz="4" w:space="0" w:color="auto"/>
            </w:tcBorders>
            <w:shd w:val="clear" w:color="auto" w:fill="auto"/>
            <w:vAlign w:val="center"/>
          </w:tcPr>
          <w:p w14:paraId="5E151AB4"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125</w:t>
            </w:r>
          </w:p>
        </w:tc>
        <w:tc>
          <w:tcPr>
            <w:tcW w:w="336" w:type="dxa"/>
            <w:tcBorders>
              <w:bottom w:val="single" w:sz="4" w:space="0" w:color="auto"/>
              <w:right w:val="single" w:sz="18" w:space="0" w:color="auto"/>
            </w:tcBorders>
            <w:shd w:val="clear" w:color="auto" w:fill="auto"/>
            <w:vAlign w:val="center"/>
          </w:tcPr>
          <w:p w14:paraId="6AAE55F0"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63</w:t>
            </w:r>
          </w:p>
        </w:tc>
        <w:tc>
          <w:tcPr>
            <w:tcW w:w="477" w:type="dxa"/>
            <w:tcBorders>
              <w:left w:val="single" w:sz="18" w:space="0" w:color="auto"/>
              <w:bottom w:val="single" w:sz="4" w:space="0" w:color="auto"/>
            </w:tcBorders>
            <w:shd w:val="clear" w:color="auto" w:fill="auto"/>
            <w:vAlign w:val="center"/>
          </w:tcPr>
          <w:p w14:paraId="3D23BD44"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F20B4D1"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44C58AF8"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69712C26"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35B7A8C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61D21D73"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vAlign w:val="center"/>
          </w:tcPr>
          <w:p w14:paraId="54C0B219"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14:paraId="7F7D4371" w14:textId="77777777" w:rsidR="00913A0A" w:rsidRPr="0058047D" w:rsidRDefault="00913A0A" w:rsidP="001A63C6">
            <w:pPr>
              <w:pStyle w:val="TableText"/>
              <w:widowControl w:val="0"/>
              <w:rPr>
                <w:rFonts w:ascii="Tahoma" w:hAnsi="Tahoma" w:cs="Tahoma"/>
                <w:color w:val="000000"/>
                <w:sz w:val="13"/>
              </w:rPr>
            </w:pPr>
          </w:p>
        </w:tc>
        <w:tc>
          <w:tcPr>
            <w:tcW w:w="405" w:type="dxa"/>
            <w:tcBorders>
              <w:bottom w:val="single" w:sz="4" w:space="0" w:color="auto"/>
            </w:tcBorders>
          </w:tcPr>
          <w:p w14:paraId="03914881" w14:textId="77777777" w:rsidR="00913A0A" w:rsidRPr="0058047D" w:rsidRDefault="00D93CA3" w:rsidP="001A63C6">
            <w:pPr>
              <w:pStyle w:val="TableText"/>
              <w:widowControl w:val="0"/>
              <w:rPr>
                <w:rFonts w:ascii="Tahoma" w:hAnsi="Tahoma" w:cs="Tahoma"/>
                <w:color w:val="000000"/>
                <w:sz w:val="13"/>
              </w:rPr>
            </w:pPr>
            <w:r w:rsidRPr="0058047D">
              <w:rPr>
                <w:rFonts w:ascii="Tahoma" w:hAnsi="Tahoma" w:cs="Tahoma"/>
                <w:color w:val="000000"/>
                <w:sz w:val="13"/>
              </w:rPr>
              <w:t>A</w:t>
            </w:r>
          </w:p>
        </w:tc>
      </w:tr>
      <w:tr w:rsidR="00F96F42" w:rsidRPr="0058047D" w14:paraId="7074664D" w14:textId="77777777" w:rsidTr="00C86F50">
        <w:trPr>
          <w:trHeight w:val="145"/>
        </w:trPr>
        <w:tc>
          <w:tcPr>
            <w:tcW w:w="2619" w:type="dxa"/>
            <w:gridSpan w:val="2"/>
            <w:tcBorders>
              <w:bottom w:val="single" w:sz="4" w:space="0" w:color="auto"/>
            </w:tcBorders>
            <w:shd w:val="clear" w:color="auto" w:fill="FABF8F"/>
            <w:vAlign w:val="center"/>
          </w:tcPr>
          <w:p w14:paraId="7F84FB7F" w14:textId="77777777" w:rsidR="00913A0A" w:rsidRPr="003F471F" w:rsidRDefault="00913A0A" w:rsidP="00E077BC">
            <w:pPr>
              <w:pStyle w:val="ProductNames"/>
              <w:spacing w:beforeLines="20" w:before="48" w:afterLines="20" w:after="48"/>
              <w:rPr>
                <w:rFonts w:ascii="Tahoma" w:hAnsi="Tahoma" w:cs="Tahoma"/>
                <w:sz w:val="14"/>
                <w:lang w:val="it-IT"/>
              </w:rPr>
            </w:pPr>
            <w:bookmarkStart w:id="155" w:name="_Toc336337926"/>
            <w:bookmarkStart w:id="156" w:name="_Toc371663337"/>
            <w:r w:rsidRPr="003F471F">
              <w:rPr>
                <w:rFonts w:ascii="Tahoma" w:hAnsi="Tahoma" w:cs="Tahoma"/>
                <w:sz w:val="14"/>
                <w:lang w:val="it-IT"/>
              </w:rPr>
              <w:t>Core CAL Suite Bridge per Office 365 (Utente e Dispositivo)</w:t>
            </w:r>
            <w:bookmarkEnd w:id="155"/>
            <w:bookmarkEnd w:id="156"/>
          </w:p>
        </w:tc>
        <w:tc>
          <w:tcPr>
            <w:tcW w:w="554" w:type="dxa"/>
            <w:tcBorders>
              <w:bottom w:val="single" w:sz="4" w:space="0" w:color="auto"/>
            </w:tcBorders>
            <w:shd w:val="clear" w:color="auto" w:fill="FABF8F"/>
            <w:vAlign w:val="center"/>
          </w:tcPr>
          <w:p w14:paraId="2BB132D8" w14:textId="77777777" w:rsidR="00913A0A" w:rsidRPr="0058047D" w:rsidRDefault="00C86F50" w:rsidP="003D4F46">
            <w:pPr>
              <w:pStyle w:val="TableText"/>
              <w:widowControl w:val="0"/>
              <w:rPr>
                <w:b/>
                <w:color w:val="0000FF"/>
                <w:sz w:val="13"/>
                <w:szCs w:val="13"/>
                <w:u w:val="single"/>
              </w:rPr>
            </w:pPr>
            <w:hyperlink w:anchor="_39_Core_CAL" w:history="1">
              <w:r w:rsidR="00BF5FC6" w:rsidRPr="0058047D">
                <w:rPr>
                  <w:rStyle w:val="Hyperlink"/>
                  <w:b/>
                  <w:sz w:val="13"/>
                  <w:szCs w:val="13"/>
                </w:rPr>
                <w:t>39</w:t>
              </w:r>
            </w:hyperlink>
          </w:p>
        </w:tc>
        <w:tc>
          <w:tcPr>
            <w:tcW w:w="516" w:type="dxa"/>
            <w:tcBorders>
              <w:bottom w:val="single" w:sz="4" w:space="0" w:color="auto"/>
            </w:tcBorders>
            <w:shd w:val="clear" w:color="auto" w:fill="FABF8F"/>
            <w:vAlign w:val="center"/>
          </w:tcPr>
          <w:p w14:paraId="47F85E1D"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06/11</w:t>
            </w:r>
          </w:p>
        </w:tc>
        <w:tc>
          <w:tcPr>
            <w:tcW w:w="358" w:type="dxa"/>
            <w:tcBorders>
              <w:bottom w:val="single" w:sz="4" w:space="0" w:color="auto"/>
              <w:right w:val="single" w:sz="18" w:space="0" w:color="auto"/>
            </w:tcBorders>
            <w:shd w:val="clear" w:color="auto" w:fill="FABF8F"/>
            <w:vAlign w:val="center"/>
          </w:tcPr>
          <w:p w14:paraId="1E3F499E"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center"/>
          </w:tcPr>
          <w:p w14:paraId="7CF7E605" w14:textId="77777777" w:rsidR="00913A0A" w:rsidRPr="0058047D" w:rsidRDefault="00913A0A" w:rsidP="001A63C6">
            <w:pPr>
              <w:pStyle w:val="TableText"/>
              <w:widowControl w:val="0"/>
              <w:rPr>
                <w:rFonts w:ascii="Tahoma" w:hAnsi="Tahoma" w:cs="Tahoma"/>
                <w:sz w:val="13"/>
                <w:szCs w:val="13"/>
              </w:rPr>
            </w:pPr>
          </w:p>
        </w:tc>
        <w:tc>
          <w:tcPr>
            <w:tcW w:w="324" w:type="dxa"/>
            <w:tcBorders>
              <w:bottom w:val="single" w:sz="4" w:space="0" w:color="auto"/>
            </w:tcBorders>
            <w:shd w:val="clear" w:color="auto" w:fill="FABF8F"/>
            <w:vAlign w:val="center"/>
          </w:tcPr>
          <w:p w14:paraId="4D4053CA" w14:textId="77777777" w:rsidR="00913A0A" w:rsidRPr="0058047D" w:rsidRDefault="00913A0A" w:rsidP="001A63C6">
            <w:pPr>
              <w:pStyle w:val="TableText"/>
              <w:widowControl w:val="0"/>
              <w:rPr>
                <w:rFonts w:ascii="Tahoma" w:hAnsi="Tahoma" w:cs="Tahoma"/>
                <w:sz w:val="13"/>
                <w:szCs w:val="13"/>
              </w:rPr>
            </w:pPr>
          </w:p>
        </w:tc>
        <w:tc>
          <w:tcPr>
            <w:tcW w:w="456" w:type="dxa"/>
            <w:gridSpan w:val="2"/>
            <w:tcBorders>
              <w:bottom w:val="single" w:sz="4" w:space="0" w:color="auto"/>
            </w:tcBorders>
            <w:shd w:val="clear" w:color="auto" w:fill="FABF8F"/>
            <w:vAlign w:val="center"/>
          </w:tcPr>
          <w:p w14:paraId="37DB3D88" w14:textId="77777777" w:rsidR="00913A0A" w:rsidRPr="0058047D" w:rsidRDefault="00913A0A" w:rsidP="001A63C6">
            <w:pPr>
              <w:pStyle w:val="TableText"/>
              <w:widowControl w:val="0"/>
              <w:rPr>
                <w:rFonts w:ascii="Tahoma" w:hAnsi="Tahoma" w:cs="Tahoma"/>
                <w:sz w:val="13"/>
                <w:szCs w:val="13"/>
              </w:rPr>
            </w:pPr>
          </w:p>
        </w:tc>
        <w:tc>
          <w:tcPr>
            <w:tcW w:w="366" w:type="dxa"/>
            <w:tcBorders>
              <w:bottom w:val="single" w:sz="4" w:space="0" w:color="auto"/>
            </w:tcBorders>
            <w:shd w:val="clear" w:color="auto" w:fill="FABF8F"/>
            <w:vAlign w:val="center"/>
          </w:tcPr>
          <w:p w14:paraId="70D45961" w14:textId="77777777" w:rsidR="00913A0A" w:rsidRPr="0058047D"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1D75C950" w14:textId="77777777" w:rsidR="00913A0A" w:rsidRPr="0058047D"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4AB8CB44" w14:textId="77777777" w:rsidR="00913A0A" w:rsidRPr="0058047D" w:rsidRDefault="00913A0A" w:rsidP="001A63C6">
            <w:pPr>
              <w:pStyle w:val="TableText"/>
              <w:widowControl w:val="0"/>
              <w:rPr>
                <w:rFonts w:ascii="Tahoma" w:hAnsi="Tahoma" w:cs="Tahoma"/>
                <w:sz w:val="13"/>
                <w:szCs w:val="13"/>
              </w:rPr>
            </w:pPr>
          </w:p>
        </w:tc>
        <w:tc>
          <w:tcPr>
            <w:tcW w:w="336" w:type="dxa"/>
            <w:tcBorders>
              <w:bottom w:val="single" w:sz="4" w:space="0" w:color="auto"/>
              <w:right w:val="single" w:sz="18" w:space="0" w:color="auto"/>
            </w:tcBorders>
            <w:shd w:val="clear" w:color="auto" w:fill="FABF8F"/>
            <w:vAlign w:val="center"/>
          </w:tcPr>
          <w:p w14:paraId="2E5ADB4D" w14:textId="77777777" w:rsidR="00913A0A" w:rsidRPr="0058047D" w:rsidRDefault="00913A0A" w:rsidP="001A63C6">
            <w:pPr>
              <w:pStyle w:val="TableText"/>
              <w:widowControl w:val="0"/>
              <w:rPr>
                <w:rFonts w:ascii="Tahoma" w:hAnsi="Tahoma" w:cs="Tahoma"/>
                <w:sz w:val="13"/>
                <w:szCs w:val="13"/>
              </w:rPr>
            </w:pPr>
          </w:p>
        </w:tc>
        <w:tc>
          <w:tcPr>
            <w:tcW w:w="477" w:type="dxa"/>
            <w:tcBorders>
              <w:left w:val="single" w:sz="18" w:space="0" w:color="auto"/>
              <w:bottom w:val="single" w:sz="4" w:space="0" w:color="auto"/>
            </w:tcBorders>
            <w:shd w:val="clear" w:color="auto" w:fill="FABF8F"/>
            <w:vAlign w:val="center"/>
          </w:tcPr>
          <w:p w14:paraId="6E9BEC84" w14:textId="77777777" w:rsidR="00913A0A" w:rsidRPr="0058047D"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ECD7218" w14:textId="77777777" w:rsidR="00913A0A" w:rsidRPr="0058047D" w:rsidRDefault="00913A0A" w:rsidP="001A63C6">
            <w:pPr>
              <w:pStyle w:val="TableText"/>
              <w:widowControl w:val="0"/>
              <w:rPr>
                <w:rFonts w:ascii="Tahoma" w:hAnsi="Tahoma" w:cs="Tahoma"/>
                <w:sz w:val="13"/>
                <w:szCs w:val="13"/>
              </w:rPr>
            </w:pPr>
          </w:p>
        </w:tc>
        <w:tc>
          <w:tcPr>
            <w:tcW w:w="414" w:type="dxa"/>
            <w:tcBorders>
              <w:bottom w:val="single" w:sz="4" w:space="0" w:color="auto"/>
              <w:right w:val="single" w:sz="18" w:space="0" w:color="auto"/>
            </w:tcBorders>
            <w:shd w:val="clear" w:color="auto" w:fill="FABF8F"/>
            <w:vAlign w:val="center"/>
          </w:tcPr>
          <w:p w14:paraId="5A9F0385" w14:textId="77777777" w:rsidR="00913A0A" w:rsidRPr="0058047D" w:rsidRDefault="00913A0A" w:rsidP="001A63C6">
            <w:pPr>
              <w:pStyle w:val="TableText"/>
              <w:widowControl w:val="0"/>
              <w:rPr>
                <w:rFonts w:ascii="Tahoma" w:hAnsi="Tahoma" w:cs="Tahoma"/>
                <w:sz w:val="13"/>
                <w:szCs w:val="13"/>
              </w:rPr>
            </w:pPr>
          </w:p>
        </w:tc>
        <w:tc>
          <w:tcPr>
            <w:tcW w:w="468" w:type="dxa"/>
            <w:tcBorders>
              <w:left w:val="single" w:sz="18" w:space="0" w:color="auto"/>
              <w:bottom w:val="single" w:sz="4" w:space="0" w:color="auto"/>
            </w:tcBorders>
            <w:shd w:val="clear" w:color="auto" w:fill="FABF8F"/>
            <w:vAlign w:val="center"/>
          </w:tcPr>
          <w:p w14:paraId="2156E873" w14:textId="77777777" w:rsidR="00913A0A" w:rsidRPr="0058047D" w:rsidRDefault="00913A0A" w:rsidP="001A63C6">
            <w:pPr>
              <w:pStyle w:val="TableText"/>
              <w:widowControl w:val="0"/>
              <w:rPr>
                <w:rFonts w:ascii="Tahoma" w:hAnsi="Tahoma" w:cs="Tahoma"/>
                <w:sz w:val="13"/>
                <w:szCs w:val="13"/>
              </w:rPr>
            </w:pPr>
          </w:p>
        </w:tc>
        <w:tc>
          <w:tcPr>
            <w:tcW w:w="477" w:type="dxa"/>
            <w:tcBorders>
              <w:bottom w:val="single" w:sz="4" w:space="0" w:color="auto"/>
              <w:right w:val="single" w:sz="18" w:space="0" w:color="auto"/>
            </w:tcBorders>
            <w:shd w:val="clear" w:color="auto" w:fill="FABF8F"/>
            <w:vAlign w:val="center"/>
          </w:tcPr>
          <w:p w14:paraId="1E20432B"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56BD95B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E</w:t>
            </w:r>
          </w:p>
        </w:tc>
        <w:tc>
          <w:tcPr>
            <w:tcW w:w="655" w:type="dxa"/>
            <w:tcBorders>
              <w:bottom w:val="single" w:sz="4" w:space="0" w:color="auto"/>
            </w:tcBorders>
            <w:shd w:val="clear" w:color="auto" w:fill="FABF8F"/>
            <w:vAlign w:val="center"/>
          </w:tcPr>
          <w:p w14:paraId="4225B086"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3AF1E81C"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6D62556F" w14:textId="77777777" w:rsidR="00913A0A" w:rsidRPr="0058047D" w:rsidRDefault="00913A0A" w:rsidP="001A63C6">
            <w:pPr>
              <w:pStyle w:val="TableText"/>
              <w:widowControl w:val="0"/>
              <w:rPr>
                <w:rFonts w:ascii="Tahoma" w:hAnsi="Tahoma" w:cs="Tahoma"/>
                <w:sz w:val="13"/>
              </w:rPr>
            </w:pPr>
          </w:p>
        </w:tc>
      </w:tr>
      <w:tr w:rsidR="00F96F42" w:rsidRPr="0058047D" w14:paraId="60FDD32A" w14:textId="77777777" w:rsidTr="00C86F50">
        <w:trPr>
          <w:trHeight w:val="145"/>
        </w:trPr>
        <w:tc>
          <w:tcPr>
            <w:tcW w:w="2619" w:type="dxa"/>
            <w:gridSpan w:val="2"/>
            <w:tcBorders>
              <w:bottom w:val="single" w:sz="4" w:space="0" w:color="auto"/>
            </w:tcBorders>
            <w:shd w:val="clear" w:color="auto" w:fill="auto"/>
            <w:vAlign w:val="center"/>
          </w:tcPr>
          <w:p w14:paraId="3C85963A" w14:textId="77777777" w:rsidR="00913A0A" w:rsidRPr="003F471F" w:rsidRDefault="00913A0A" w:rsidP="00E077BC">
            <w:pPr>
              <w:pStyle w:val="ProductNames"/>
              <w:spacing w:beforeLines="20" w:before="48" w:afterLines="20" w:after="48"/>
              <w:rPr>
                <w:rFonts w:ascii="Tahoma" w:hAnsi="Tahoma" w:cs="Tahoma"/>
                <w:sz w:val="14"/>
                <w:lang w:val="it-IT"/>
              </w:rPr>
            </w:pPr>
            <w:bookmarkStart w:id="157" w:name="_Toc336337927"/>
            <w:bookmarkStart w:id="158" w:name="_Toc371663338"/>
            <w:r w:rsidRPr="003F471F">
              <w:rPr>
                <w:rFonts w:ascii="Tahoma" w:hAnsi="Tahoma" w:cs="Tahoma"/>
                <w:sz w:val="14"/>
                <w:lang w:val="it-IT"/>
              </w:rPr>
              <w:t>Core CAL Suite Bridge per Office 365 e Windows</w:t>
            </w:r>
            <w:r w:rsidR="00E53A46" w:rsidRPr="003F471F">
              <w:rPr>
                <w:rFonts w:ascii="Tahoma" w:hAnsi="Tahoma" w:cs="Tahoma"/>
                <w:sz w:val="14"/>
                <w:vertAlign w:val="superscript"/>
                <w:lang w:val="it-IT"/>
              </w:rPr>
              <w:t>®</w:t>
            </w:r>
            <w:r w:rsidRPr="003F471F">
              <w:rPr>
                <w:rFonts w:ascii="Tahoma" w:hAnsi="Tahoma" w:cs="Tahoma"/>
                <w:sz w:val="14"/>
                <w:lang w:val="it-IT"/>
              </w:rPr>
              <w:t xml:space="preserve"> Intune (Utente e Dispositivo)</w:t>
            </w:r>
            <w:bookmarkEnd w:id="157"/>
            <w:bookmarkEnd w:id="158"/>
          </w:p>
        </w:tc>
        <w:tc>
          <w:tcPr>
            <w:tcW w:w="554" w:type="dxa"/>
            <w:tcBorders>
              <w:bottom w:val="single" w:sz="4" w:space="0" w:color="auto"/>
            </w:tcBorders>
            <w:shd w:val="clear" w:color="auto" w:fill="auto"/>
            <w:vAlign w:val="center"/>
          </w:tcPr>
          <w:p w14:paraId="6BE10B74" w14:textId="77777777" w:rsidR="00913A0A" w:rsidRPr="0058047D" w:rsidRDefault="00C86F50" w:rsidP="003D4F46">
            <w:pPr>
              <w:pStyle w:val="TableText"/>
              <w:widowControl w:val="0"/>
              <w:rPr>
                <w:b/>
                <w:color w:val="0000FF"/>
                <w:sz w:val="13"/>
                <w:szCs w:val="13"/>
                <w:u w:val="single"/>
              </w:rPr>
            </w:pPr>
            <w:hyperlink w:anchor="_39_Core_CAL" w:history="1">
              <w:r w:rsidR="00BF5FC6" w:rsidRPr="0058047D">
                <w:rPr>
                  <w:rStyle w:val="Hyperlink"/>
                  <w:b/>
                  <w:sz w:val="13"/>
                  <w:szCs w:val="13"/>
                </w:rPr>
                <w:t>39</w:t>
              </w:r>
            </w:hyperlink>
          </w:p>
        </w:tc>
        <w:tc>
          <w:tcPr>
            <w:tcW w:w="516" w:type="dxa"/>
            <w:tcBorders>
              <w:bottom w:val="single" w:sz="4" w:space="0" w:color="auto"/>
            </w:tcBorders>
            <w:shd w:val="clear" w:color="auto" w:fill="auto"/>
            <w:vAlign w:val="center"/>
          </w:tcPr>
          <w:p w14:paraId="33815FE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06/11</w:t>
            </w:r>
          </w:p>
        </w:tc>
        <w:tc>
          <w:tcPr>
            <w:tcW w:w="358" w:type="dxa"/>
            <w:tcBorders>
              <w:bottom w:val="single" w:sz="4" w:space="0" w:color="auto"/>
              <w:right w:val="single" w:sz="18" w:space="0" w:color="auto"/>
            </w:tcBorders>
            <w:shd w:val="clear" w:color="auto" w:fill="auto"/>
            <w:vAlign w:val="center"/>
          </w:tcPr>
          <w:p w14:paraId="0549A11A"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auto"/>
            <w:vAlign w:val="center"/>
          </w:tcPr>
          <w:p w14:paraId="74B6170B" w14:textId="77777777" w:rsidR="00913A0A" w:rsidRPr="0058047D" w:rsidRDefault="00913A0A" w:rsidP="001A63C6">
            <w:pPr>
              <w:pStyle w:val="TableText"/>
              <w:widowControl w:val="0"/>
              <w:rPr>
                <w:rFonts w:ascii="Tahoma" w:hAnsi="Tahoma" w:cs="Tahoma"/>
                <w:sz w:val="13"/>
                <w:szCs w:val="13"/>
              </w:rPr>
            </w:pPr>
          </w:p>
        </w:tc>
        <w:tc>
          <w:tcPr>
            <w:tcW w:w="324" w:type="dxa"/>
            <w:tcBorders>
              <w:bottom w:val="single" w:sz="4" w:space="0" w:color="auto"/>
            </w:tcBorders>
            <w:shd w:val="clear" w:color="auto" w:fill="auto"/>
            <w:vAlign w:val="center"/>
          </w:tcPr>
          <w:p w14:paraId="089EEE78" w14:textId="77777777" w:rsidR="00913A0A" w:rsidRPr="0058047D" w:rsidRDefault="00913A0A" w:rsidP="001A63C6">
            <w:pPr>
              <w:pStyle w:val="TableText"/>
              <w:widowControl w:val="0"/>
              <w:rPr>
                <w:rFonts w:ascii="Tahoma" w:hAnsi="Tahoma" w:cs="Tahoma"/>
                <w:sz w:val="13"/>
                <w:szCs w:val="13"/>
              </w:rPr>
            </w:pPr>
          </w:p>
        </w:tc>
        <w:tc>
          <w:tcPr>
            <w:tcW w:w="456" w:type="dxa"/>
            <w:gridSpan w:val="2"/>
            <w:tcBorders>
              <w:bottom w:val="single" w:sz="4" w:space="0" w:color="auto"/>
            </w:tcBorders>
            <w:shd w:val="clear" w:color="auto" w:fill="auto"/>
            <w:vAlign w:val="center"/>
          </w:tcPr>
          <w:p w14:paraId="542F339B" w14:textId="77777777" w:rsidR="00913A0A" w:rsidRPr="0058047D" w:rsidRDefault="00913A0A" w:rsidP="001A63C6">
            <w:pPr>
              <w:pStyle w:val="TableText"/>
              <w:widowControl w:val="0"/>
              <w:rPr>
                <w:rFonts w:ascii="Tahoma" w:hAnsi="Tahoma" w:cs="Tahoma"/>
                <w:sz w:val="13"/>
                <w:szCs w:val="13"/>
              </w:rPr>
            </w:pPr>
          </w:p>
        </w:tc>
        <w:tc>
          <w:tcPr>
            <w:tcW w:w="366" w:type="dxa"/>
            <w:tcBorders>
              <w:bottom w:val="single" w:sz="4" w:space="0" w:color="auto"/>
            </w:tcBorders>
            <w:shd w:val="clear" w:color="auto" w:fill="auto"/>
            <w:vAlign w:val="center"/>
          </w:tcPr>
          <w:p w14:paraId="31DB9C1F" w14:textId="77777777" w:rsidR="00913A0A" w:rsidRPr="0058047D"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10130CB" w14:textId="77777777" w:rsidR="00913A0A" w:rsidRPr="0058047D"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35B9CC4A" w14:textId="77777777" w:rsidR="00913A0A" w:rsidRPr="0058047D" w:rsidRDefault="00913A0A" w:rsidP="001A63C6">
            <w:pPr>
              <w:pStyle w:val="TableText"/>
              <w:widowControl w:val="0"/>
              <w:rPr>
                <w:rFonts w:ascii="Tahoma" w:hAnsi="Tahoma" w:cs="Tahoma"/>
                <w:sz w:val="13"/>
                <w:szCs w:val="13"/>
              </w:rPr>
            </w:pPr>
          </w:p>
        </w:tc>
        <w:tc>
          <w:tcPr>
            <w:tcW w:w="336" w:type="dxa"/>
            <w:tcBorders>
              <w:bottom w:val="single" w:sz="4" w:space="0" w:color="auto"/>
              <w:right w:val="single" w:sz="18" w:space="0" w:color="auto"/>
            </w:tcBorders>
            <w:shd w:val="clear" w:color="auto" w:fill="auto"/>
            <w:vAlign w:val="center"/>
          </w:tcPr>
          <w:p w14:paraId="33DF05FB" w14:textId="77777777" w:rsidR="00913A0A" w:rsidRPr="0058047D" w:rsidRDefault="00913A0A" w:rsidP="001A63C6">
            <w:pPr>
              <w:pStyle w:val="TableText"/>
              <w:widowControl w:val="0"/>
              <w:rPr>
                <w:rFonts w:ascii="Tahoma" w:hAnsi="Tahoma" w:cs="Tahoma"/>
                <w:sz w:val="13"/>
                <w:szCs w:val="13"/>
              </w:rPr>
            </w:pPr>
          </w:p>
        </w:tc>
        <w:tc>
          <w:tcPr>
            <w:tcW w:w="477" w:type="dxa"/>
            <w:tcBorders>
              <w:left w:val="single" w:sz="18" w:space="0" w:color="auto"/>
              <w:bottom w:val="single" w:sz="4" w:space="0" w:color="auto"/>
            </w:tcBorders>
            <w:shd w:val="clear" w:color="auto" w:fill="auto"/>
            <w:vAlign w:val="center"/>
          </w:tcPr>
          <w:p w14:paraId="0DF53286" w14:textId="77777777" w:rsidR="00913A0A" w:rsidRPr="0058047D"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129FE4F9" w14:textId="77777777" w:rsidR="00913A0A" w:rsidRPr="0058047D" w:rsidRDefault="00913A0A" w:rsidP="001A63C6">
            <w:pPr>
              <w:pStyle w:val="TableText"/>
              <w:widowControl w:val="0"/>
              <w:rPr>
                <w:rFonts w:ascii="Tahoma" w:hAnsi="Tahoma" w:cs="Tahoma"/>
                <w:sz w:val="13"/>
                <w:szCs w:val="13"/>
              </w:rPr>
            </w:pPr>
          </w:p>
        </w:tc>
        <w:tc>
          <w:tcPr>
            <w:tcW w:w="414" w:type="dxa"/>
            <w:tcBorders>
              <w:bottom w:val="single" w:sz="4" w:space="0" w:color="auto"/>
              <w:right w:val="single" w:sz="18" w:space="0" w:color="auto"/>
            </w:tcBorders>
            <w:shd w:val="clear" w:color="auto" w:fill="auto"/>
            <w:vAlign w:val="center"/>
          </w:tcPr>
          <w:p w14:paraId="1B1FD0F8" w14:textId="77777777" w:rsidR="00913A0A" w:rsidRPr="0058047D" w:rsidRDefault="00913A0A" w:rsidP="001A63C6">
            <w:pPr>
              <w:pStyle w:val="TableText"/>
              <w:widowControl w:val="0"/>
              <w:rPr>
                <w:rFonts w:ascii="Tahoma" w:hAnsi="Tahoma" w:cs="Tahoma"/>
                <w:sz w:val="13"/>
                <w:szCs w:val="13"/>
              </w:rPr>
            </w:pPr>
          </w:p>
        </w:tc>
        <w:tc>
          <w:tcPr>
            <w:tcW w:w="468" w:type="dxa"/>
            <w:tcBorders>
              <w:left w:val="single" w:sz="18" w:space="0" w:color="auto"/>
              <w:bottom w:val="single" w:sz="4" w:space="0" w:color="auto"/>
            </w:tcBorders>
            <w:shd w:val="clear" w:color="auto" w:fill="auto"/>
            <w:vAlign w:val="center"/>
          </w:tcPr>
          <w:p w14:paraId="2EA06986" w14:textId="77777777" w:rsidR="00913A0A" w:rsidRPr="0058047D" w:rsidRDefault="00913A0A" w:rsidP="001A63C6">
            <w:pPr>
              <w:pStyle w:val="TableText"/>
              <w:widowControl w:val="0"/>
              <w:rPr>
                <w:rFonts w:ascii="Tahoma" w:hAnsi="Tahoma" w:cs="Tahoma"/>
                <w:sz w:val="13"/>
                <w:szCs w:val="13"/>
              </w:rPr>
            </w:pPr>
          </w:p>
        </w:tc>
        <w:tc>
          <w:tcPr>
            <w:tcW w:w="477" w:type="dxa"/>
            <w:tcBorders>
              <w:bottom w:val="single" w:sz="4" w:space="0" w:color="auto"/>
              <w:right w:val="single" w:sz="18" w:space="0" w:color="auto"/>
            </w:tcBorders>
            <w:shd w:val="clear" w:color="auto" w:fill="auto"/>
            <w:vAlign w:val="center"/>
          </w:tcPr>
          <w:p w14:paraId="5AFD12B1"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39C3086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E</w:t>
            </w:r>
          </w:p>
        </w:tc>
        <w:tc>
          <w:tcPr>
            <w:tcW w:w="655" w:type="dxa"/>
            <w:tcBorders>
              <w:bottom w:val="single" w:sz="4" w:space="0" w:color="auto"/>
            </w:tcBorders>
            <w:shd w:val="clear" w:color="auto" w:fill="auto"/>
            <w:vAlign w:val="center"/>
          </w:tcPr>
          <w:p w14:paraId="0A268482"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14:paraId="02B612F9"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tcPr>
          <w:p w14:paraId="1E028039" w14:textId="77777777" w:rsidR="00913A0A" w:rsidRPr="0058047D" w:rsidRDefault="00913A0A" w:rsidP="001A63C6">
            <w:pPr>
              <w:pStyle w:val="TableText"/>
              <w:widowControl w:val="0"/>
              <w:rPr>
                <w:rFonts w:ascii="Tahoma" w:hAnsi="Tahoma" w:cs="Tahoma"/>
                <w:sz w:val="13"/>
              </w:rPr>
            </w:pPr>
          </w:p>
        </w:tc>
      </w:tr>
      <w:tr w:rsidR="00F96F42" w:rsidRPr="0058047D" w14:paraId="6F8B96AF" w14:textId="77777777" w:rsidTr="00C86F50">
        <w:trPr>
          <w:trHeight w:val="145"/>
        </w:trPr>
        <w:tc>
          <w:tcPr>
            <w:tcW w:w="2619" w:type="dxa"/>
            <w:gridSpan w:val="2"/>
            <w:tcBorders>
              <w:bottom w:val="single" w:sz="4" w:space="0" w:color="auto"/>
            </w:tcBorders>
            <w:shd w:val="clear" w:color="auto" w:fill="FABF8F"/>
            <w:vAlign w:val="center"/>
          </w:tcPr>
          <w:p w14:paraId="049AD58B" w14:textId="77777777" w:rsidR="00913A0A" w:rsidRPr="003F471F" w:rsidRDefault="00913A0A" w:rsidP="00E077BC">
            <w:pPr>
              <w:pStyle w:val="ProductNames"/>
              <w:spacing w:beforeLines="20" w:before="48" w:afterLines="20" w:after="48"/>
              <w:rPr>
                <w:rFonts w:ascii="Tahoma" w:hAnsi="Tahoma" w:cs="Tahoma"/>
                <w:sz w:val="14"/>
                <w:lang w:val="it-IT"/>
              </w:rPr>
            </w:pPr>
            <w:bookmarkStart w:id="159" w:name="_Toc336337928"/>
            <w:bookmarkStart w:id="160" w:name="_Toc371663339"/>
            <w:r w:rsidRPr="003F471F">
              <w:rPr>
                <w:rFonts w:ascii="Tahoma" w:hAnsi="Tahoma" w:cs="Tahoma"/>
                <w:sz w:val="14"/>
                <w:lang w:val="it-IT"/>
              </w:rPr>
              <w:t>Core CAL Bridge per Windows</w:t>
            </w:r>
            <w:r w:rsidR="00E53A46" w:rsidRPr="003F471F">
              <w:rPr>
                <w:rFonts w:ascii="Tahoma" w:hAnsi="Tahoma" w:cs="Tahoma"/>
                <w:sz w:val="14"/>
                <w:vertAlign w:val="superscript"/>
                <w:lang w:val="it-IT"/>
              </w:rPr>
              <w:t>®</w:t>
            </w:r>
            <w:r w:rsidRPr="003F471F">
              <w:rPr>
                <w:rFonts w:ascii="Tahoma" w:hAnsi="Tahoma" w:cs="Tahoma"/>
                <w:sz w:val="14"/>
                <w:lang w:val="it-IT"/>
              </w:rPr>
              <w:t xml:space="preserve"> Intune (Utente e Dispositivo)</w:t>
            </w:r>
            <w:bookmarkEnd w:id="159"/>
            <w:bookmarkEnd w:id="160"/>
          </w:p>
        </w:tc>
        <w:tc>
          <w:tcPr>
            <w:tcW w:w="554" w:type="dxa"/>
            <w:tcBorders>
              <w:bottom w:val="single" w:sz="4" w:space="0" w:color="auto"/>
            </w:tcBorders>
            <w:shd w:val="clear" w:color="auto" w:fill="FABF8F"/>
            <w:vAlign w:val="center"/>
          </w:tcPr>
          <w:p w14:paraId="42FEDC75" w14:textId="77777777" w:rsidR="00913A0A" w:rsidRPr="0058047D" w:rsidRDefault="00C86F50" w:rsidP="003D4F46">
            <w:pPr>
              <w:pStyle w:val="TableText"/>
              <w:widowControl w:val="0"/>
              <w:rPr>
                <w:b/>
                <w:color w:val="0000FF"/>
                <w:sz w:val="13"/>
                <w:szCs w:val="13"/>
                <w:u w:val="single"/>
              </w:rPr>
            </w:pPr>
            <w:hyperlink w:anchor="_39_Core_CAL" w:history="1">
              <w:r w:rsidR="00BF5FC6" w:rsidRPr="0058047D">
                <w:rPr>
                  <w:rStyle w:val="Hyperlink"/>
                  <w:b/>
                  <w:sz w:val="13"/>
                  <w:szCs w:val="13"/>
                </w:rPr>
                <w:t>39</w:t>
              </w:r>
            </w:hyperlink>
          </w:p>
        </w:tc>
        <w:tc>
          <w:tcPr>
            <w:tcW w:w="516" w:type="dxa"/>
            <w:tcBorders>
              <w:bottom w:val="single" w:sz="4" w:space="0" w:color="auto"/>
            </w:tcBorders>
            <w:shd w:val="clear" w:color="auto" w:fill="FABF8F"/>
            <w:vAlign w:val="center"/>
          </w:tcPr>
          <w:p w14:paraId="465C5FBA"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04/11</w:t>
            </w:r>
          </w:p>
        </w:tc>
        <w:tc>
          <w:tcPr>
            <w:tcW w:w="358" w:type="dxa"/>
            <w:tcBorders>
              <w:bottom w:val="single" w:sz="4" w:space="0" w:color="auto"/>
              <w:right w:val="single" w:sz="18" w:space="0" w:color="auto"/>
            </w:tcBorders>
            <w:shd w:val="clear" w:color="auto" w:fill="FABF8F"/>
            <w:vAlign w:val="center"/>
          </w:tcPr>
          <w:p w14:paraId="60D139A3"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center"/>
          </w:tcPr>
          <w:p w14:paraId="559CFE9A" w14:textId="77777777" w:rsidR="00913A0A" w:rsidRPr="0058047D" w:rsidRDefault="00913A0A" w:rsidP="001A63C6">
            <w:pPr>
              <w:pStyle w:val="TableText"/>
              <w:widowControl w:val="0"/>
              <w:rPr>
                <w:rFonts w:ascii="Tahoma" w:hAnsi="Tahoma" w:cs="Tahoma"/>
                <w:sz w:val="13"/>
                <w:szCs w:val="13"/>
              </w:rPr>
            </w:pPr>
          </w:p>
        </w:tc>
        <w:tc>
          <w:tcPr>
            <w:tcW w:w="324" w:type="dxa"/>
            <w:tcBorders>
              <w:bottom w:val="single" w:sz="4" w:space="0" w:color="auto"/>
            </w:tcBorders>
            <w:shd w:val="clear" w:color="auto" w:fill="FABF8F"/>
            <w:vAlign w:val="center"/>
          </w:tcPr>
          <w:p w14:paraId="02E0325D" w14:textId="77777777" w:rsidR="00913A0A" w:rsidRPr="0058047D" w:rsidRDefault="00913A0A" w:rsidP="001A63C6">
            <w:pPr>
              <w:pStyle w:val="TableText"/>
              <w:widowControl w:val="0"/>
              <w:rPr>
                <w:rFonts w:ascii="Tahoma" w:hAnsi="Tahoma" w:cs="Tahoma"/>
                <w:sz w:val="13"/>
                <w:szCs w:val="13"/>
              </w:rPr>
            </w:pPr>
          </w:p>
        </w:tc>
        <w:tc>
          <w:tcPr>
            <w:tcW w:w="456" w:type="dxa"/>
            <w:gridSpan w:val="2"/>
            <w:tcBorders>
              <w:bottom w:val="single" w:sz="4" w:space="0" w:color="auto"/>
            </w:tcBorders>
            <w:shd w:val="clear" w:color="auto" w:fill="FABF8F"/>
            <w:vAlign w:val="center"/>
          </w:tcPr>
          <w:p w14:paraId="6DF8DA25" w14:textId="77777777" w:rsidR="00913A0A" w:rsidRPr="0058047D" w:rsidRDefault="00913A0A" w:rsidP="001A63C6">
            <w:pPr>
              <w:pStyle w:val="TableText"/>
              <w:widowControl w:val="0"/>
              <w:rPr>
                <w:rFonts w:ascii="Tahoma" w:hAnsi="Tahoma" w:cs="Tahoma"/>
                <w:sz w:val="13"/>
                <w:szCs w:val="13"/>
              </w:rPr>
            </w:pPr>
          </w:p>
        </w:tc>
        <w:tc>
          <w:tcPr>
            <w:tcW w:w="366" w:type="dxa"/>
            <w:tcBorders>
              <w:bottom w:val="single" w:sz="4" w:space="0" w:color="auto"/>
            </w:tcBorders>
            <w:shd w:val="clear" w:color="auto" w:fill="FABF8F"/>
            <w:vAlign w:val="center"/>
          </w:tcPr>
          <w:p w14:paraId="7ED5BEC4" w14:textId="77777777" w:rsidR="00913A0A" w:rsidRPr="0058047D"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90469C0" w14:textId="77777777" w:rsidR="00913A0A" w:rsidRPr="0058047D"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959D106" w14:textId="77777777" w:rsidR="00913A0A" w:rsidRPr="0058047D" w:rsidRDefault="00913A0A" w:rsidP="001A63C6">
            <w:pPr>
              <w:pStyle w:val="TableText"/>
              <w:widowControl w:val="0"/>
              <w:rPr>
                <w:rFonts w:ascii="Tahoma" w:hAnsi="Tahoma" w:cs="Tahoma"/>
                <w:sz w:val="13"/>
                <w:szCs w:val="13"/>
              </w:rPr>
            </w:pPr>
          </w:p>
        </w:tc>
        <w:tc>
          <w:tcPr>
            <w:tcW w:w="336" w:type="dxa"/>
            <w:tcBorders>
              <w:bottom w:val="single" w:sz="4" w:space="0" w:color="auto"/>
              <w:right w:val="single" w:sz="18" w:space="0" w:color="auto"/>
            </w:tcBorders>
            <w:shd w:val="clear" w:color="auto" w:fill="FABF8F"/>
            <w:vAlign w:val="center"/>
          </w:tcPr>
          <w:p w14:paraId="35B4D10F" w14:textId="77777777" w:rsidR="00913A0A" w:rsidRPr="0058047D" w:rsidRDefault="00913A0A" w:rsidP="001A63C6">
            <w:pPr>
              <w:pStyle w:val="TableText"/>
              <w:widowControl w:val="0"/>
              <w:rPr>
                <w:rFonts w:ascii="Tahoma" w:hAnsi="Tahoma" w:cs="Tahoma"/>
                <w:sz w:val="13"/>
                <w:szCs w:val="13"/>
              </w:rPr>
            </w:pPr>
          </w:p>
        </w:tc>
        <w:tc>
          <w:tcPr>
            <w:tcW w:w="477" w:type="dxa"/>
            <w:tcBorders>
              <w:left w:val="single" w:sz="18" w:space="0" w:color="auto"/>
              <w:bottom w:val="single" w:sz="4" w:space="0" w:color="auto"/>
            </w:tcBorders>
            <w:shd w:val="clear" w:color="auto" w:fill="FABF8F"/>
            <w:vAlign w:val="center"/>
          </w:tcPr>
          <w:p w14:paraId="74C50C48" w14:textId="77777777" w:rsidR="00913A0A" w:rsidRPr="0058047D"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46750C35" w14:textId="77777777" w:rsidR="00913A0A" w:rsidRPr="0058047D" w:rsidRDefault="00913A0A" w:rsidP="001A63C6">
            <w:pPr>
              <w:pStyle w:val="TableText"/>
              <w:widowControl w:val="0"/>
              <w:rPr>
                <w:rFonts w:ascii="Tahoma" w:hAnsi="Tahoma" w:cs="Tahoma"/>
                <w:sz w:val="13"/>
                <w:szCs w:val="13"/>
              </w:rPr>
            </w:pPr>
          </w:p>
        </w:tc>
        <w:tc>
          <w:tcPr>
            <w:tcW w:w="414" w:type="dxa"/>
            <w:tcBorders>
              <w:bottom w:val="single" w:sz="4" w:space="0" w:color="auto"/>
              <w:right w:val="single" w:sz="18" w:space="0" w:color="auto"/>
            </w:tcBorders>
            <w:shd w:val="clear" w:color="auto" w:fill="FABF8F"/>
            <w:vAlign w:val="center"/>
          </w:tcPr>
          <w:p w14:paraId="13623662" w14:textId="77777777" w:rsidR="00913A0A" w:rsidRPr="0058047D" w:rsidRDefault="00913A0A" w:rsidP="001A63C6">
            <w:pPr>
              <w:pStyle w:val="TableText"/>
              <w:widowControl w:val="0"/>
              <w:rPr>
                <w:rFonts w:ascii="Tahoma" w:hAnsi="Tahoma" w:cs="Tahoma"/>
                <w:sz w:val="13"/>
                <w:szCs w:val="13"/>
              </w:rPr>
            </w:pPr>
          </w:p>
        </w:tc>
        <w:tc>
          <w:tcPr>
            <w:tcW w:w="468" w:type="dxa"/>
            <w:tcBorders>
              <w:left w:val="single" w:sz="18" w:space="0" w:color="auto"/>
              <w:bottom w:val="single" w:sz="4" w:space="0" w:color="auto"/>
            </w:tcBorders>
            <w:shd w:val="clear" w:color="auto" w:fill="FABF8F"/>
            <w:vAlign w:val="center"/>
          </w:tcPr>
          <w:p w14:paraId="39CCFB02" w14:textId="77777777" w:rsidR="00913A0A" w:rsidRPr="0058047D" w:rsidRDefault="00913A0A" w:rsidP="001A63C6">
            <w:pPr>
              <w:pStyle w:val="TableText"/>
              <w:widowControl w:val="0"/>
              <w:rPr>
                <w:rFonts w:ascii="Tahoma" w:hAnsi="Tahoma" w:cs="Tahoma"/>
                <w:sz w:val="13"/>
                <w:szCs w:val="13"/>
              </w:rPr>
            </w:pPr>
          </w:p>
        </w:tc>
        <w:tc>
          <w:tcPr>
            <w:tcW w:w="477" w:type="dxa"/>
            <w:tcBorders>
              <w:bottom w:val="single" w:sz="4" w:space="0" w:color="auto"/>
              <w:right w:val="single" w:sz="18" w:space="0" w:color="auto"/>
            </w:tcBorders>
            <w:shd w:val="clear" w:color="auto" w:fill="FABF8F"/>
            <w:vAlign w:val="center"/>
          </w:tcPr>
          <w:p w14:paraId="07C6586B"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5F3AA86F"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vAlign w:val="center"/>
          </w:tcPr>
          <w:p w14:paraId="685C8091"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3FBD1723"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542D7919" w14:textId="77777777" w:rsidR="00913A0A" w:rsidRPr="0058047D" w:rsidRDefault="00913A0A" w:rsidP="001A63C6">
            <w:pPr>
              <w:pStyle w:val="TableText"/>
              <w:widowControl w:val="0"/>
              <w:rPr>
                <w:rFonts w:ascii="Tahoma" w:hAnsi="Tahoma" w:cs="Tahoma"/>
                <w:sz w:val="13"/>
              </w:rPr>
            </w:pPr>
          </w:p>
        </w:tc>
      </w:tr>
      <w:tr w:rsidR="00F96F42" w:rsidRPr="0058047D" w14:paraId="59794EA7" w14:textId="77777777" w:rsidTr="00C86F50">
        <w:trPr>
          <w:trHeight w:val="145"/>
        </w:trPr>
        <w:tc>
          <w:tcPr>
            <w:tcW w:w="2619" w:type="dxa"/>
            <w:gridSpan w:val="2"/>
            <w:tcBorders>
              <w:bottom w:val="single" w:sz="4" w:space="0" w:color="auto"/>
            </w:tcBorders>
            <w:shd w:val="clear" w:color="auto" w:fill="auto"/>
            <w:vAlign w:val="center"/>
          </w:tcPr>
          <w:p w14:paraId="5920B946" w14:textId="77777777" w:rsidR="00913A0A" w:rsidRPr="003F471F" w:rsidRDefault="00913A0A" w:rsidP="00E077BC">
            <w:pPr>
              <w:pStyle w:val="ProductNames"/>
              <w:spacing w:beforeLines="20" w:before="48" w:afterLines="20" w:after="48"/>
              <w:rPr>
                <w:rFonts w:ascii="Tahoma" w:hAnsi="Tahoma" w:cs="Tahoma"/>
                <w:sz w:val="14"/>
                <w:lang w:val="it-IT"/>
              </w:rPr>
            </w:pPr>
            <w:bookmarkStart w:id="161" w:name="_Toc336337929"/>
            <w:bookmarkStart w:id="162" w:name="_Toc371663340"/>
            <w:r w:rsidRPr="003F471F">
              <w:rPr>
                <w:rFonts w:ascii="Tahoma" w:hAnsi="Tahoma" w:cs="Tahoma"/>
                <w:sz w:val="14"/>
                <w:lang w:val="it-IT"/>
              </w:rPr>
              <w:t>Core CAL Suite (Utente e Dispositivo)</w:t>
            </w:r>
            <w:bookmarkEnd w:id="161"/>
            <w:bookmarkEnd w:id="162"/>
          </w:p>
        </w:tc>
        <w:tc>
          <w:tcPr>
            <w:tcW w:w="554" w:type="dxa"/>
            <w:tcBorders>
              <w:bottom w:val="single" w:sz="4" w:space="0" w:color="auto"/>
            </w:tcBorders>
            <w:shd w:val="clear" w:color="auto" w:fill="auto"/>
            <w:vAlign w:val="center"/>
          </w:tcPr>
          <w:p w14:paraId="57709C74" w14:textId="77777777" w:rsidR="00913A0A" w:rsidRPr="0058047D" w:rsidRDefault="00C86F50" w:rsidP="003D4F46">
            <w:pPr>
              <w:pStyle w:val="TableText"/>
              <w:widowControl w:val="0"/>
              <w:rPr>
                <w:rStyle w:val="EndnoteReference"/>
                <w:color w:val="0000FF"/>
                <w:sz w:val="13"/>
                <w:szCs w:val="13"/>
                <w:u w:val="single"/>
              </w:rPr>
            </w:pPr>
            <w:hyperlink w:anchor="_40_Core_CAL" w:history="1">
              <w:r w:rsidR="00BF5FC6" w:rsidRPr="0058047D">
                <w:rPr>
                  <w:rStyle w:val="Hyperlink"/>
                  <w:b/>
                  <w:sz w:val="13"/>
                  <w:szCs w:val="13"/>
                </w:rPr>
                <w:t>40</w:t>
              </w:r>
            </w:hyperlink>
          </w:p>
        </w:tc>
        <w:tc>
          <w:tcPr>
            <w:tcW w:w="516" w:type="dxa"/>
            <w:tcBorders>
              <w:bottom w:val="single" w:sz="4" w:space="0" w:color="auto"/>
            </w:tcBorders>
            <w:shd w:val="clear" w:color="auto" w:fill="auto"/>
            <w:vAlign w:val="center"/>
          </w:tcPr>
          <w:p w14:paraId="162EE8CF"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10/06</w:t>
            </w:r>
          </w:p>
        </w:tc>
        <w:tc>
          <w:tcPr>
            <w:tcW w:w="358" w:type="dxa"/>
            <w:tcBorders>
              <w:bottom w:val="single" w:sz="4" w:space="0" w:color="auto"/>
              <w:right w:val="single" w:sz="18" w:space="0" w:color="auto"/>
            </w:tcBorders>
            <w:shd w:val="clear" w:color="auto" w:fill="auto"/>
            <w:vAlign w:val="center"/>
          </w:tcPr>
          <w:p w14:paraId="20A5F86F"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auto"/>
            <w:vAlign w:val="center"/>
          </w:tcPr>
          <w:p w14:paraId="1A388CBF" w14:textId="77777777" w:rsidR="00913A0A" w:rsidRPr="0058047D" w:rsidRDefault="00913A0A" w:rsidP="001A63C6">
            <w:pPr>
              <w:pStyle w:val="TableText"/>
              <w:widowControl w:val="0"/>
              <w:rPr>
                <w:rFonts w:ascii="Tahoma" w:hAnsi="Tahoma" w:cs="Tahoma"/>
                <w:sz w:val="13"/>
                <w:szCs w:val="13"/>
              </w:rPr>
            </w:pPr>
          </w:p>
        </w:tc>
        <w:tc>
          <w:tcPr>
            <w:tcW w:w="324" w:type="dxa"/>
            <w:tcBorders>
              <w:bottom w:val="single" w:sz="4" w:space="0" w:color="auto"/>
            </w:tcBorders>
            <w:shd w:val="clear" w:color="auto" w:fill="auto"/>
            <w:vAlign w:val="center"/>
          </w:tcPr>
          <w:p w14:paraId="067C4DBD"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3</w:t>
            </w:r>
          </w:p>
        </w:tc>
        <w:tc>
          <w:tcPr>
            <w:tcW w:w="456" w:type="dxa"/>
            <w:gridSpan w:val="2"/>
            <w:tcBorders>
              <w:bottom w:val="single" w:sz="4" w:space="0" w:color="auto"/>
            </w:tcBorders>
            <w:shd w:val="clear" w:color="auto" w:fill="auto"/>
            <w:vAlign w:val="center"/>
          </w:tcPr>
          <w:p w14:paraId="69BEF0AC"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2</w:t>
            </w:r>
          </w:p>
        </w:tc>
        <w:tc>
          <w:tcPr>
            <w:tcW w:w="366" w:type="dxa"/>
            <w:tcBorders>
              <w:bottom w:val="single" w:sz="4" w:space="0" w:color="auto"/>
            </w:tcBorders>
            <w:shd w:val="clear" w:color="auto" w:fill="auto"/>
            <w:vAlign w:val="center"/>
          </w:tcPr>
          <w:p w14:paraId="5D23EC58"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2</w:t>
            </w:r>
          </w:p>
        </w:tc>
        <w:tc>
          <w:tcPr>
            <w:tcW w:w="450" w:type="dxa"/>
            <w:tcBorders>
              <w:bottom w:val="single" w:sz="4" w:space="0" w:color="auto"/>
            </w:tcBorders>
            <w:shd w:val="clear" w:color="auto" w:fill="auto"/>
            <w:vAlign w:val="center"/>
          </w:tcPr>
          <w:p w14:paraId="462EE175"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2</w:t>
            </w:r>
          </w:p>
        </w:tc>
        <w:tc>
          <w:tcPr>
            <w:tcW w:w="450" w:type="dxa"/>
            <w:tcBorders>
              <w:bottom w:val="single" w:sz="4" w:space="0" w:color="auto"/>
            </w:tcBorders>
            <w:shd w:val="clear" w:color="auto" w:fill="auto"/>
            <w:vAlign w:val="center"/>
          </w:tcPr>
          <w:p w14:paraId="0F8C1827"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1</w:t>
            </w:r>
          </w:p>
        </w:tc>
        <w:tc>
          <w:tcPr>
            <w:tcW w:w="336" w:type="dxa"/>
            <w:tcBorders>
              <w:bottom w:val="single" w:sz="4" w:space="0" w:color="auto"/>
              <w:right w:val="single" w:sz="18" w:space="0" w:color="auto"/>
            </w:tcBorders>
            <w:shd w:val="clear" w:color="auto" w:fill="auto"/>
            <w:vAlign w:val="center"/>
          </w:tcPr>
          <w:p w14:paraId="0C87510F"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1</w:t>
            </w:r>
          </w:p>
        </w:tc>
        <w:tc>
          <w:tcPr>
            <w:tcW w:w="477" w:type="dxa"/>
            <w:tcBorders>
              <w:left w:val="single" w:sz="18" w:space="0" w:color="auto"/>
              <w:bottom w:val="single" w:sz="4" w:space="0" w:color="auto"/>
            </w:tcBorders>
            <w:shd w:val="clear" w:color="auto" w:fill="auto"/>
            <w:vAlign w:val="center"/>
          </w:tcPr>
          <w:p w14:paraId="3E3D6B77" w14:textId="77777777" w:rsidR="00913A0A" w:rsidRPr="0058047D"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55084DA"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2</w:t>
            </w:r>
          </w:p>
        </w:tc>
        <w:tc>
          <w:tcPr>
            <w:tcW w:w="414" w:type="dxa"/>
            <w:tcBorders>
              <w:bottom w:val="single" w:sz="4" w:space="0" w:color="auto"/>
              <w:right w:val="single" w:sz="18" w:space="0" w:color="auto"/>
            </w:tcBorders>
            <w:shd w:val="clear" w:color="auto" w:fill="auto"/>
            <w:vAlign w:val="center"/>
          </w:tcPr>
          <w:p w14:paraId="0D058A1F"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1</w:t>
            </w:r>
          </w:p>
        </w:tc>
        <w:tc>
          <w:tcPr>
            <w:tcW w:w="468" w:type="dxa"/>
            <w:tcBorders>
              <w:left w:val="single" w:sz="18" w:space="0" w:color="auto"/>
              <w:bottom w:val="single" w:sz="4" w:space="0" w:color="auto"/>
            </w:tcBorders>
            <w:shd w:val="clear" w:color="auto" w:fill="auto"/>
            <w:vAlign w:val="center"/>
          </w:tcPr>
          <w:p w14:paraId="28908275"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1</w:t>
            </w:r>
          </w:p>
        </w:tc>
        <w:tc>
          <w:tcPr>
            <w:tcW w:w="477" w:type="dxa"/>
            <w:tcBorders>
              <w:bottom w:val="single" w:sz="4" w:space="0" w:color="auto"/>
              <w:right w:val="single" w:sz="18" w:space="0" w:color="auto"/>
            </w:tcBorders>
            <w:shd w:val="clear" w:color="auto" w:fill="auto"/>
            <w:vAlign w:val="center"/>
          </w:tcPr>
          <w:p w14:paraId="4AE9890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E</w:t>
            </w:r>
          </w:p>
        </w:tc>
        <w:tc>
          <w:tcPr>
            <w:tcW w:w="324" w:type="dxa"/>
            <w:tcBorders>
              <w:left w:val="single" w:sz="18" w:space="0" w:color="auto"/>
              <w:bottom w:val="single" w:sz="4" w:space="0" w:color="auto"/>
              <w:right w:val="single" w:sz="18" w:space="0" w:color="auto"/>
            </w:tcBorders>
            <w:shd w:val="clear" w:color="auto" w:fill="auto"/>
            <w:vAlign w:val="center"/>
          </w:tcPr>
          <w:p w14:paraId="7C3A0F0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E, P</w:t>
            </w:r>
          </w:p>
        </w:tc>
        <w:tc>
          <w:tcPr>
            <w:tcW w:w="655" w:type="dxa"/>
            <w:tcBorders>
              <w:bottom w:val="single" w:sz="4" w:space="0" w:color="auto"/>
            </w:tcBorders>
            <w:shd w:val="clear" w:color="auto" w:fill="auto"/>
            <w:vAlign w:val="center"/>
          </w:tcPr>
          <w:p w14:paraId="5A5E8E2D"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szCs w:val="13"/>
              </w:rPr>
              <w:t>E</w:t>
            </w:r>
            <w:r w:rsidRPr="0058047D">
              <w:rPr>
                <w:rFonts w:ascii="Tahoma" w:hAnsi="Tahoma" w:cs="Tahoma"/>
                <w:sz w:val="13"/>
              </w:rPr>
              <w:t>, ST</w:t>
            </w:r>
          </w:p>
        </w:tc>
        <w:tc>
          <w:tcPr>
            <w:tcW w:w="504" w:type="dxa"/>
            <w:tcBorders>
              <w:bottom w:val="single" w:sz="4" w:space="0" w:color="auto"/>
            </w:tcBorders>
            <w:shd w:val="clear" w:color="auto" w:fill="auto"/>
            <w:vAlign w:val="center"/>
          </w:tcPr>
          <w:p w14:paraId="78813514" w14:textId="77777777" w:rsidR="00913A0A" w:rsidRPr="0058047D" w:rsidRDefault="00913A0A" w:rsidP="001A63C6">
            <w:pPr>
              <w:pStyle w:val="TableText"/>
              <w:widowControl w:val="0"/>
              <w:rPr>
                <w:rFonts w:ascii="Tahoma" w:hAnsi="Tahoma" w:cs="Tahoma"/>
                <w:color w:val="000000"/>
                <w:sz w:val="13"/>
              </w:rPr>
            </w:pPr>
          </w:p>
        </w:tc>
        <w:tc>
          <w:tcPr>
            <w:tcW w:w="405" w:type="dxa"/>
            <w:tcBorders>
              <w:bottom w:val="single" w:sz="4" w:space="0" w:color="auto"/>
            </w:tcBorders>
          </w:tcPr>
          <w:p w14:paraId="0FDE2D37" w14:textId="77777777" w:rsidR="00913A0A" w:rsidRPr="0058047D" w:rsidRDefault="00913A0A" w:rsidP="001A63C6">
            <w:pPr>
              <w:pStyle w:val="TableText"/>
              <w:widowControl w:val="0"/>
              <w:rPr>
                <w:rFonts w:ascii="Tahoma" w:hAnsi="Tahoma" w:cs="Tahoma"/>
                <w:color w:val="000000"/>
                <w:sz w:val="13"/>
              </w:rPr>
            </w:pPr>
          </w:p>
        </w:tc>
      </w:tr>
      <w:tr w:rsidR="00F96F42" w:rsidRPr="0058047D" w14:paraId="271379D0" w14:textId="77777777" w:rsidTr="00C86F50">
        <w:trPr>
          <w:trHeight w:val="145"/>
        </w:trPr>
        <w:tc>
          <w:tcPr>
            <w:tcW w:w="2619" w:type="dxa"/>
            <w:gridSpan w:val="2"/>
            <w:tcBorders>
              <w:bottom w:val="single" w:sz="4" w:space="0" w:color="auto"/>
            </w:tcBorders>
            <w:shd w:val="clear" w:color="auto" w:fill="FABF8F"/>
            <w:vAlign w:val="center"/>
          </w:tcPr>
          <w:p w14:paraId="1DCB34F0" w14:textId="77777777" w:rsidR="00913A0A" w:rsidRPr="003F471F" w:rsidRDefault="00913A0A" w:rsidP="00E077BC">
            <w:pPr>
              <w:pStyle w:val="ProductNames"/>
              <w:spacing w:beforeLines="20" w:before="48" w:afterLines="20" w:after="48"/>
              <w:rPr>
                <w:rFonts w:ascii="Tahoma" w:hAnsi="Tahoma" w:cs="Tahoma"/>
                <w:sz w:val="14"/>
                <w:lang w:val="fr-FR"/>
              </w:rPr>
            </w:pPr>
            <w:bookmarkStart w:id="163" w:name="_Toc336337930"/>
            <w:bookmarkStart w:id="164" w:name="_Toc371663341"/>
            <w:r w:rsidRPr="003F471F">
              <w:rPr>
                <w:rFonts w:ascii="Tahoma" w:hAnsi="Tahoma" w:cs="Tahoma"/>
                <w:sz w:val="14"/>
                <w:lang w:val="fr-FR"/>
              </w:rPr>
              <w:t>Core Infrastructure Server Suite Standard</w:t>
            </w:r>
            <w:bookmarkEnd w:id="163"/>
            <w:bookmarkEnd w:id="164"/>
          </w:p>
        </w:tc>
        <w:tc>
          <w:tcPr>
            <w:tcW w:w="554" w:type="dxa"/>
            <w:tcBorders>
              <w:bottom w:val="single" w:sz="4" w:space="0" w:color="auto"/>
            </w:tcBorders>
            <w:shd w:val="clear" w:color="auto" w:fill="FABF8F"/>
            <w:vAlign w:val="center"/>
          </w:tcPr>
          <w:p w14:paraId="17BA8D9E" w14:textId="77777777" w:rsidR="00913A0A" w:rsidRPr="0058047D" w:rsidRDefault="00C86F50" w:rsidP="003D4F46">
            <w:pPr>
              <w:pStyle w:val="TableText"/>
              <w:widowControl w:val="0"/>
              <w:rPr>
                <w:rStyle w:val="EndnoteReference"/>
                <w:color w:val="0000FF"/>
                <w:sz w:val="13"/>
                <w:szCs w:val="13"/>
                <w:u w:val="single"/>
              </w:rPr>
            </w:pPr>
            <w:hyperlink w:anchor="_41_Core_Infrastructure" w:history="1">
              <w:r w:rsidR="00BF5FC6" w:rsidRPr="0058047D">
                <w:rPr>
                  <w:rStyle w:val="Hyperlink"/>
                  <w:b/>
                  <w:sz w:val="13"/>
                  <w:szCs w:val="13"/>
                </w:rPr>
                <w:t>41</w:t>
              </w:r>
            </w:hyperlink>
          </w:p>
        </w:tc>
        <w:tc>
          <w:tcPr>
            <w:tcW w:w="516" w:type="dxa"/>
            <w:tcBorders>
              <w:bottom w:val="single" w:sz="4" w:space="0" w:color="auto"/>
            </w:tcBorders>
            <w:shd w:val="clear" w:color="auto" w:fill="FABF8F"/>
            <w:vAlign w:val="center"/>
          </w:tcPr>
          <w:p w14:paraId="6AD7A33D"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04/12</w:t>
            </w:r>
          </w:p>
        </w:tc>
        <w:tc>
          <w:tcPr>
            <w:tcW w:w="358" w:type="dxa"/>
            <w:tcBorders>
              <w:bottom w:val="single" w:sz="4" w:space="0" w:color="auto"/>
              <w:right w:val="single" w:sz="18" w:space="0" w:color="auto"/>
            </w:tcBorders>
            <w:shd w:val="clear" w:color="auto" w:fill="FABF8F"/>
            <w:vAlign w:val="center"/>
          </w:tcPr>
          <w:p w14:paraId="6D9E47E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center"/>
          </w:tcPr>
          <w:p w14:paraId="6C387227"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25</w:t>
            </w:r>
          </w:p>
        </w:tc>
        <w:tc>
          <w:tcPr>
            <w:tcW w:w="324" w:type="dxa"/>
            <w:tcBorders>
              <w:bottom w:val="single" w:sz="4" w:space="0" w:color="auto"/>
            </w:tcBorders>
            <w:shd w:val="clear" w:color="auto" w:fill="FABF8F"/>
            <w:vAlign w:val="center"/>
          </w:tcPr>
          <w:p w14:paraId="4C804644"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63</w:t>
            </w:r>
          </w:p>
        </w:tc>
        <w:tc>
          <w:tcPr>
            <w:tcW w:w="456" w:type="dxa"/>
            <w:gridSpan w:val="2"/>
            <w:tcBorders>
              <w:bottom w:val="single" w:sz="4" w:space="0" w:color="auto"/>
            </w:tcBorders>
            <w:shd w:val="clear" w:color="auto" w:fill="FABF8F"/>
            <w:vAlign w:val="center"/>
          </w:tcPr>
          <w:p w14:paraId="70148188"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50</w:t>
            </w:r>
          </w:p>
        </w:tc>
        <w:tc>
          <w:tcPr>
            <w:tcW w:w="366" w:type="dxa"/>
            <w:tcBorders>
              <w:bottom w:val="single" w:sz="4" w:space="0" w:color="auto"/>
            </w:tcBorders>
            <w:shd w:val="clear" w:color="auto" w:fill="FABF8F"/>
            <w:vAlign w:val="center"/>
          </w:tcPr>
          <w:p w14:paraId="5DBA2EA6"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38</w:t>
            </w:r>
          </w:p>
        </w:tc>
        <w:tc>
          <w:tcPr>
            <w:tcW w:w="450" w:type="dxa"/>
            <w:tcBorders>
              <w:bottom w:val="single" w:sz="4" w:space="0" w:color="auto"/>
            </w:tcBorders>
            <w:shd w:val="clear" w:color="auto" w:fill="FABF8F"/>
            <w:vAlign w:val="center"/>
          </w:tcPr>
          <w:p w14:paraId="4A9C740A"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38</w:t>
            </w:r>
          </w:p>
        </w:tc>
        <w:tc>
          <w:tcPr>
            <w:tcW w:w="450" w:type="dxa"/>
            <w:tcBorders>
              <w:bottom w:val="single" w:sz="4" w:space="0" w:color="auto"/>
            </w:tcBorders>
            <w:shd w:val="clear" w:color="auto" w:fill="FABF8F"/>
            <w:vAlign w:val="center"/>
          </w:tcPr>
          <w:p w14:paraId="6F1C8663"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25</w:t>
            </w:r>
          </w:p>
        </w:tc>
        <w:tc>
          <w:tcPr>
            <w:tcW w:w="336" w:type="dxa"/>
            <w:tcBorders>
              <w:bottom w:val="single" w:sz="4" w:space="0" w:color="auto"/>
              <w:right w:val="single" w:sz="18" w:space="0" w:color="auto"/>
            </w:tcBorders>
            <w:shd w:val="clear" w:color="auto" w:fill="FABF8F"/>
            <w:vAlign w:val="center"/>
          </w:tcPr>
          <w:p w14:paraId="345C6D3D"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13</w:t>
            </w:r>
          </w:p>
        </w:tc>
        <w:tc>
          <w:tcPr>
            <w:tcW w:w="477" w:type="dxa"/>
            <w:tcBorders>
              <w:left w:val="single" w:sz="18" w:space="0" w:color="auto"/>
              <w:bottom w:val="single" w:sz="4" w:space="0" w:color="auto"/>
            </w:tcBorders>
            <w:shd w:val="clear" w:color="auto" w:fill="FABF8F"/>
            <w:vAlign w:val="center"/>
          </w:tcPr>
          <w:p w14:paraId="58D79EF1"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25</w:t>
            </w:r>
          </w:p>
        </w:tc>
        <w:tc>
          <w:tcPr>
            <w:tcW w:w="450" w:type="dxa"/>
            <w:tcBorders>
              <w:bottom w:val="single" w:sz="4" w:space="0" w:color="auto"/>
            </w:tcBorders>
            <w:shd w:val="clear" w:color="auto" w:fill="FABF8F"/>
            <w:vAlign w:val="center"/>
          </w:tcPr>
          <w:p w14:paraId="62F95EF6"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50</w:t>
            </w:r>
          </w:p>
        </w:tc>
        <w:tc>
          <w:tcPr>
            <w:tcW w:w="414" w:type="dxa"/>
            <w:tcBorders>
              <w:bottom w:val="single" w:sz="4" w:space="0" w:color="auto"/>
              <w:right w:val="single" w:sz="18" w:space="0" w:color="auto"/>
            </w:tcBorders>
            <w:shd w:val="clear" w:color="auto" w:fill="FABF8F"/>
            <w:vAlign w:val="center"/>
          </w:tcPr>
          <w:p w14:paraId="13BCF44A"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25</w:t>
            </w:r>
          </w:p>
        </w:tc>
        <w:tc>
          <w:tcPr>
            <w:tcW w:w="468" w:type="dxa"/>
            <w:tcBorders>
              <w:left w:val="single" w:sz="18" w:space="0" w:color="auto"/>
              <w:bottom w:val="single" w:sz="4" w:space="0" w:color="auto"/>
            </w:tcBorders>
            <w:shd w:val="clear" w:color="auto" w:fill="FABF8F"/>
            <w:vAlign w:val="center"/>
          </w:tcPr>
          <w:p w14:paraId="52F46418"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25</w:t>
            </w:r>
          </w:p>
        </w:tc>
        <w:tc>
          <w:tcPr>
            <w:tcW w:w="477" w:type="dxa"/>
            <w:tcBorders>
              <w:bottom w:val="single" w:sz="4" w:space="0" w:color="auto"/>
              <w:right w:val="single" w:sz="18" w:space="0" w:color="auto"/>
            </w:tcBorders>
            <w:shd w:val="clear" w:color="auto" w:fill="FABF8F"/>
            <w:vAlign w:val="center"/>
          </w:tcPr>
          <w:p w14:paraId="04B0C2D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C</w:t>
            </w:r>
          </w:p>
        </w:tc>
        <w:tc>
          <w:tcPr>
            <w:tcW w:w="324" w:type="dxa"/>
            <w:tcBorders>
              <w:left w:val="single" w:sz="18" w:space="0" w:color="auto"/>
              <w:bottom w:val="single" w:sz="4" w:space="0" w:color="auto"/>
              <w:right w:val="single" w:sz="18" w:space="0" w:color="auto"/>
            </w:tcBorders>
            <w:shd w:val="clear" w:color="auto" w:fill="FABF8F"/>
            <w:vAlign w:val="center"/>
          </w:tcPr>
          <w:p w14:paraId="0C2E7417"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vAlign w:val="center"/>
          </w:tcPr>
          <w:p w14:paraId="6D28579E"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3FB62A4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OL/OV</w:t>
            </w:r>
          </w:p>
        </w:tc>
        <w:tc>
          <w:tcPr>
            <w:tcW w:w="405" w:type="dxa"/>
            <w:tcBorders>
              <w:bottom w:val="single" w:sz="4" w:space="0" w:color="auto"/>
            </w:tcBorders>
            <w:shd w:val="clear" w:color="auto" w:fill="FABF8F"/>
          </w:tcPr>
          <w:p w14:paraId="4A7FE225" w14:textId="77777777" w:rsidR="00913A0A" w:rsidRPr="0058047D" w:rsidRDefault="00913A0A" w:rsidP="001A63C6">
            <w:pPr>
              <w:pStyle w:val="TableText"/>
              <w:widowControl w:val="0"/>
              <w:rPr>
                <w:rFonts w:ascii="Tahoma" w:hAnsi="Tahoma" w:cs="Tahoma"/>
                <w:sz w:val="13"/>
              </w:rPr>
            </w:pPr>
          </w:p>
        </w:tc>
      </w:tr>
      <w:tr w:rsidR="00F96F42" w:rsidRPr="0058047D" w14:paraId="35C1C553" w14:textId="77777777" w:rsidTr="00C86F50">
        <w:trPr>
          <w:trHeight w:val="145"/>
        </w:trPr>
        <w:tc>
          <w:tcPr>
            <w:tcW w:w="2619" w:type="dxa"/>
            <w:gridSpan w:val="2"/>
            <w:tcBorders>
              <w:bottom w:val="single" w:sz="4" w:space="0" w:color="auto"/>
            </w:tcBorders>
            <w:shd w:val="clear" w:color="auto" w:fill="auto"/>
            <w:vAlign w:val="center"/>
          </w:tcPr>
          <w:p w14:paraId="3134E845" w14:textId="77777777" w:rsidR="00913A0A" w:rsidRPr="003F471F" w:rsidRDefault="00913A0A" w:rsidP="00E077BC">
            <w:pPr>
              <w:pStyle w:val="ProductNames"/>
              <w:spacing w:beforeLines="20" w:before="48" w:afterLines="20" w:after="48"/>
              <w:rPr>
                <w:rFonts w:ascii="Tahoma" w:hAnsi="Tahoma" w:cs="Tahoma"/>
                <w:sz w:val="14"/>
                <w:lang w:val="fr-FR"/>
              </w:rPr>
            </w:pPr>
            <w:bookmarkStart w:id="165" w:name="_Toc336337931"/>
            <w:bookmarkStart w:id="166" w:name="_Toc371663342"/>
            <w:r w:rsidRPr="003F471F">
              <w:rPr>
                <w:rFonts w:ascii="Tahoma" w:hAnsi="Tahoma" w:cs="Tahoma"/>
                <w:sz w:val="14"/>
                <w:lang w:val="fr-FR"/>
              </w:rPr>
              <w:t>Core Infrastructure Server Suite Enterprise</w:t>
            </w:r>
            <w:bookmarkEnd w:id="165"/>
            <w:bookmarkEnd w:id="166"/>
          </w:p>
        </w:tc>
        <w:tc>
          <w:tcPr>
            <w:tcW w:w="554" w:type="dxa"/>
            <w:tcBorders>
              <w:bottom w:val="single" w:sz="4" w:space="0" w:color="auto"/>
            </w:tcBorders>
            <w:shd w:val="clear" w:color="auto" w:fill="auto"/>
            <w:vAlign w:val="center"/>
          </w:tcPr>
          <w:p w14:paraId="55BF7263" w14:textId="77777777" w:rsidR="00913A0A" w:rsidRPr="0058047D" w:rsidRDefault="00C86F50" w:rsidP="003D4F46">
            <w:pPr>
              <w:pStyle w:val="TableText"/>
              <w:widowControl w:val="0"/>
              <w:rPr>
                <w:rStyle w:val="EndnoteReference"/>
                <w:color w:val="0000FF"/>
                <w:sz w:val="13"/>
                <w:szCs w:val="13"/>
                <w:u w:val="single"/>
              </w:rPr>
            </w:pPr>
            <w:hyperlink w:anchor="_38_Core_Infrastructure" w:history="1">
              <w:r w:rsidR="00BF5FC6" w:rsidRPr="0058047D">
                <w:rPr>
                  <w:rStyle w:val="Hyperlink"/>
                  <w:b/>
                  <w:sz w:val="13"/>
                  <w:szCs w:val="13"/>
                </w:rPr>
                <w:t>42</w:t>
              </w:r>
            </w:hyperlink>
          </w:p>
        </w:tc>
        <w:tc>
          <w:tcPr>
            <w:tcW w:w="516" w:type="dxa"/>
            <w:tcBorders>
              <w:bottom w:val="single" w:sz="4" w:space="0" w:color="auto"/>
            </w:tcBorders>
            <w:shd w:val="clear" w:color="auto" w:fill="auto"/>
            <w:vAlign w:val="center"/>
          </w:tcPr>
          <w:p w14:paraId="2C941935"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04/12</w:t>
            </w:r>
          </w:p>
        </w:tc>
        <w:tc>
          <w:tcPr>
            <w:tcW w:w="358" w:type="dxa"/>
            <w:tcBorders>
              <w:bottom w:val="single" w:sz="4" w:space="0" w:color="auto"/>
              <w:right w:val="single" w:sz="18" w:space="0" w:color="auto"/>
            </w:tcBorders>
            <w:shd w:val="clear" w:color="auto" w:fill="auto"/>
            <w:vAlign w:val="center"/>
          </w:tcPr>
          <w:p w14:paraId="4897C68B"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auto"/>
            <w:vAlign w:val="center"/>
          </w:tcPr>
          <w:p w14:paraId="01A8967F" w14:textId="77777777" w:rsidR="00913A0A" w:rsidRPr="0058047D" w:rsidRDefault="00913A0A" w:rsidP="001A63C6">
            <w:pPr>
              <w:pStyle w:val="TableText"/>
              <w:widowControl w:val="0"/>
              <w:rPr>
                <w:rFonts w:ascii="Tahoma" w:hAnsi="Tahoma" w:cs="Tahoma"/>
                <w:sz w:val="13"/>
                <w:szCs w:val="13"/>
              </w:rPr>
            </w:pPr>
          </w:p>
        </w:tc>
        <w:tc>
          <w:tcPr>
            <w:tcW w:w="324" w:type="dxa"/>
            <w:tcBorders>
              <w:bottom w:val="single" w:sz="4" w:space="0" w:color="auto"/>
            </w:tcBorders>
            <w:shd w:val="clear" w:color="auto" w:fill="auto"/>
            <w:vAlign w:val="center"/>
          </w:tcPr>
          <w:p w14:paraId="3BA22B01" w14:textId="77777777" w:rsidR="00913A0A" w:rsidRPr="0058047D" w:rsidRDefault="00913A0A" w:rsidP="001A63C6">
            <w:pPr>
              <w:pStyle w:val="TableText"/>
              <w:widowControl w:val="0"/>
              <w:rPr>
                <w:rFonts w:ascii="Tahoma" w:hAnsi="Tahoma" w:cs="Tahoma"/>
                <w:sz w:val="13"/>
                <w:szCs w:val="13"/>
              </w:rPr>
            </w:pPr>
          </w:p>
        </w:tc>
        <w:tc>
          <w:tcPr>
            <w:tcW w:w="456" w:type="dxa"/>
            <w:gridSpan w:val="2"/>
            <w:tcBorders>
              <w:bottom w:val="single" w:sz="4" w:space="0" w:color="auto"/>
            </w:tcBorders>
            <w:shd w:val="clear" w:color="auto" w:fill="auto"/>
            <w:vAlign w:val="center"/>
          </w:tcPr>
          <w:p w14:paraId="575886ED" w14:textId="77777777" w:rsidR="00913A0A" w:rsidRPr="0058047D" w:rsidRDefault="00913A0A" w:rsidP="001A63C6">
            <w:pPr>
              <w:pStyle w:val="TableText"/>
              <w:widowControl w:val="0"/>
              <w:rPr>
                <w:rFonts w:ascii="Tahoma" w:hAnsi="Tahoma" w:cs="Tahoma"/>
                <w:sz w:val="13"/>
                <w:szCs w:val="13"/>
              </w:rPr>
            </w:pPr>
          </w:p>
        </w:tc>
        <w:tc>
          <w:tcPr>
            <w:tcW w:w="366" w:type="dxa"/>
            <w:tcBorders>
              <w:bottom w:val="single" w:sz="4" w:space="0" w:color="auto"/>
            </w:tcBorders>
            <w:shd w:val="clear" w:color="auto" w:fill="auto"/>
            <w:vAlign w:val="center"/>
          </w:tcPr>
          <w:p w14:paraId="7A3D14ED" w14:textId="77777777" w:rsidR="00913A0A" w:rsidRPr="0058047D"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1458B858" w14:textId="77777777" w:rsidR="00913A0A" w:rsidRPr="0058047D"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2AA4BF58" w14:textId="77777777" w:rsidR="00913A0A" w:rsidRPr="0058047D" w:rsidRDefault="00913A0A" w:rsidP="001A63C6">
            <w:pPr>
              <w:pStyle w:val="TableText"/>
              <w:widowControl w:val="0"/>
              <w:rPr>
                <w:rFonts w:ascii="Tahoma" w:hAnsi="Tahoma" w:cs="Tahoma"/>
                <w:sz w:val="13"/>
                <w:szCs w:val="13"/>
              </w:rPr>
            </w:pPr>
          </w:p>
        </w:tc>
        <w:tc>
          <w:tcPr>
            <w:tcW w:w="336" w:type="dxa"/>
            <w:tcBorders>
              <w:bottom w:val="single" w:sz="4" w:space="0" w:color="auto"/>
              <w:right w:val="single" w:sz="18" w:space="0" w:color="auto"/>
            </w:tcBorders>
            <w:shd w:val="clear" w:color="auto" w:fill="auto"/>
            <w:vAlign w:val="center"/>
          </w:tcPr>
          <w:p w14:paraId="0D4D4F5D" w14:textId="77777777" w:rsidR="00913A0A" w:rsidRPr="0058047D" w:rsidRDefault="00913A0A" w:rsidP="001A63C6">
            <w:pPr>
              <w:pStyle w:val="TableText"/>
              <w:widowControl w:val="0"/>
              <w:rPr>
                <w:rFonts w:ascii="Tahoma" w:hAnsi="Tahoma" w:cs="Tahoma"/>
                <w:sz w:val="13"/>
                <w:szCs w:val="13"/>
              </w:rPr>
            </w:pPr>
          </w:p>
        </w:tc>
        <w:tc>
          <w:tcPr>
            <w:tcW w:w="477" w:type="dxa"/>
            <w:tcBorders>
              <w:left w:val="single" w:sz="18" w:space="0" w:color="auto"/>
              <w:bottom w:val="single" w:sz="4" w:space="0" w:color="auto"/>
            </w:tcBorders>
            <w:shd w:val="clear" w:color="auto" w:fill="auto"/>
            <w:vAlign w:val="center"/>
          </w:tcPr>
          <w:p w14:paraId="69EA65B2" w14:textId="77777777" w:rsidR="00913A0A" w:rsidRPr="0058047D"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04C3F5E" w14:textId="77777777" w:rsidR="00913A0A" w:rsidRPr="0058047D" w:rsidRDefault="00913A0A" w:rsidP="001A63C6">
            <w:pPr>
              <w:pStyle w:val="TableText"/>
              <w:widowControl w:val="0"/>
              <w:rPr>
                <w:rFonts w:ascii="Tahoma" w:hAnsi="Tahoma" w:cs="Tahoma"/>
                <w:sz w:val="13"/>
                <w:szCs w:val="13"/>
              </w:rPr>
            </w:pPr>
          </w:p>
        </w:tc>
        <w:tc>
          <w:tcPr>
            <w:tcW w:w="414" w:type="dxa"/>
            <w:tcBorders>
              <w:bottom w:val="single" w:sz="4" w:space="0" w:color="auto"/>
              <w:right w:val="single" w:sz="18" w:space="0" w:color="auto"/>
            </w:tcBorders>
            <w:shd w:val="clear" w:color="auto" w:fill="auto"/>
            <w:vAlign w:val="center"/>
          </w:tcPr>
          <w:p w14:paraId="6827F3F4" w14:textId="77777777" w:rsidR="00913A0A" w:rsidRPr="0058047D" w:rsidRDefault="00913A0A" w:rsidP="001A63C6">
            <w:pPr>
              <w:pStyle w:val="TableText"/>
              <w:widowControl w:val="0"/>
              <w:rPr>
                <w:rFonts w:ascii="Tahoma" w:hAnsi="Tahoma" w:cs="Tahoma"/>
                <w:sz w:val="13"/>
                <w:szCs w:val="13"/>
              </w:rPr>
            </w:pPr>
          </w:p>
        </w:tc>
        <w:tc>
          <w:tcPr>
            <w:tcW w:w="468" w:type="dxa"/>
            <w:tcBorders>
              <w:left w:val="single" w:sz="18" w:space="0" w:color="auto"/>
              <w:bottom w:val="single" w:sz="4" w:space="0" w:color="auto"/>
            </w:tcBorders>
            <w:shd w:val="clear" w:color="auto" w:fill="auto"/>
            <w:vAlign w:val="center"/>
          </w:tcPr>
          <w:p w14:paraId="5FC6CCAD" w14:textId="77777777" w:rsidR="00913A0A" w:rsidRPr="0058047D" w:rsidRDefault="00913A0A" w:rsidP="001A63C6">
            <w:pPr>
              <w:pStyle w:val="TableText"/>
              <w:widowControl w:val="0"/>
              <w:rPr>
                <w:rFonts w:ascii="Tahoma" w:hAnsi="Tahoma" w:cs="Tahoma"/>
                <w:sz w:val="13"/>
                <w:szCs w:val="13"/>
              </w:rPr>
            </w:pPr>
          </w:p>
        </w:tc>
        <w:tc>
          <w:tcPr>
            <w:tcW w:w="477" w:type="dxa"/>
            <w:tcBorders>
              <w:bottom w:val="single" w:sz="4" w:space="0" w:color="auto"/>
              <w:right w:val="single" w:sz="18" w:space="0" w:color="auto"/>
            </w:tcBorders>
            <w:shd w:val="clear" w:color="auto" w:fill="auto"/>
            <w:vAlign w:val="center"/>
          </w:tcPr>
          <w:p w14:paraId="68A6FE68"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697ADBC2"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vAlign w:val="center"/>
          </w:tcPr>
          <w:p w14:paraId="294D849C"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14:paraId="1DE51410"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tcPr>
          <w:p w14:paraId="783F76E9" w14:textId="77777777" w:rsidR="00913A0A" w:rsidRPr="0058047D" w:rsidRDefault="00913A0A" w:rsidP="001A63C6">
            <w:pPr>
              <w:pStyle w:val="TableText"/>
              <w:widowControl w:val="0"/>
              <w:rPr>
                <w:rFonts w:ascii="Tahoma" w:hAnsi="Tahoma" w:cs="Tahoma"/>
                <w:sz w:val="13"/>
              </w:rPr>
            </w:pPr>
          </w:p>
        </w:tc>
      </w:tr>
      <w:tr w:rsidR="00F96F42" w:rsidRPr="0058047D" w14:paraId="56344F22" w14:textId="77777777" w:rsidTr="00C86F50">
        <w:trPr>
          <w:trHeight w:val="145"/>
        </w:trPr>
        <w:tc>
          <w:tcPr>
            <w:tcW w:w="2619" w:type="dxa"/>
            <w:gridSpan w:val="2"/>
            <w:tcBorders>
              <w:bottom w:val="single" w:sz="4" w:space="0" w:color="auto"/>
            </w:tcBorders>
            <w:shd w:val="clear" w:color="auto" w:fill="FABF8F"/>
            <w:vAlign w:val="center"/>
          </w:tcPr>
          <w:p w14:paraId="65BBE495" w14:textId="77777777" w:rsidR="00913A0A" w:rsidRPr="003F471F" w:rsidRDefault="00913A0A" w:rsidP="00E077BC">
            <w:pPr>
              <w:pStyle w:val="ProductNames"/>
              <w:spacing w:beforeLines="20" w:before="48" w:afterLines="20" w:after="48"/>
              <w:rPr>
                <w:rFonts w:ascii="Tahoma" w:hAnsi="Tahoma" w:cs="Tahoma"/>
                <w:sz w:val="14"/>
                <w:lang w:val="fr-FR"/>
              </w:rPr>
            </w:pPr>
            <w:bookmarkStart w:id="167" w:name="_Toc336337932"/>
            <w:bookmarkStart w:id="168" w:name="_Toc371663343"/>
            <w:r w:rsidRPr="003F471F">
              <w:rPr>
                <w:rFonts w:ascii="Tahoma" w:hAnsi="Tahoma" w:cs="Tahoma"/>
                <w:sz w:val="14"/>
                <w:lang w:val="fr-FR"/>
              </w:rPr>
              <w:t>Core Infrastructure Server Suite Datacenter</w:t>
            </w:r>
            <w:bookmarkEnd w:id="167"/>
            <w:bookmarkEnd w:id="168"/>
          </w:p>
        </w:tc>
        <w:tc>
          <w:tcPr>
            <w:tcW w:w="554" w:type="dxa"/>
            <w:tcBorders>
              <w:bottom w:val="single" w:sz="4" w:space="0" w:color="auto"/>
            </w:tcBorders>
            <w:shd w:val="clear" w:color="auto" w:fill="FABF8F"/>
            <w:vAlign w:val="center"/>
          </w:tcPr>
          <w:p w14:paraId="743D0364" w14:textId="77777777" w:rsidR="00913A0A" w:rsidRPr="0058047D" w:rsidRDefault="00C86F50" w:rsidP="003D4F46">
            <w:pPr>
              <w:pStyle w:val="TableText"/>
              <w:widowControl w:val="0"/>
              <w:rPr>
                <w:rStyle w:val="EndnoteReference"/>
                <w:color w:val="0000FF"/>
                <w:sz w:val="13"/>
                <w:szCs w:val="13"/>
                <w:u w:val="single"/>
              </w:rPr>
            </w:pPr>
            <w:hyperlink w:anchor="_39_Core_Infrastructure" w:history="1">
              <w:r w:rsidR="00BF5FC6" w:rsidRPr="0058047D">
                <w:rPr>
                  <w:rStyle w:val="Hyperlink"/>
                  <w:b/>
                  <w:sz w:val="13"/>
                  <w:szCs w:val="13"/>
                </w:rPr>
                <w:t>43</w:t>
              </w:r>
            </w:hyperlink>
            <w:hyperlink w:anchor="_39_Core_Infrastructure" w:history="1"/>
          </w:p>
        </w:tc>
        <w:tc>
          <w:tcPr>
            <w:tcW w:w="516" w:type="dxa"/>
            <w:tcBorders>
              <w:bottom w:val="single" w:sz="4" w:space="0" w:color="auto"/>
            </w:tcBorders>
            <w:shd w:val="clear" w:color="auto" w:fill="FABF8F"/>
            <w:vAlign w:val="center"/>
          </w:tcPr>
          <w:p w14:paraId="63B7F64E"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04/12</w:t>
            </w:r>
          </w:p>
        </w:tc>
        <w:tc>
          <w:tcPr>
            <w:tcW w:w="358" w:type="dxa"/>
            <w:tcBorders>
              <w:bottom w:val="single" w:sz="4" w:space="0" w:color="auto"/>
              <w:right w:val="single" w:sz="18" w:space="0" w:color="auto"/>
            </w:tcBorders>
            <w:shd w:val="clear" w:color="auto" w:fill="FABF8F"/>
            <w:vAlign w:val="center"/>
          </w:tcPr>
          <w:p w14:paraId="23710C98"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center"/>
          </w:tcPr>
          <w:p w14:paraId="42FCD92B"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75</w:t>
            </w:r>
          </w:p>
        </w:tc>
        <w:tc>
          <w:tcPr>
            <w:tcW w:w="324" w:type="dxa"/>
            <w:tcBorders>
              <w:bottom w:val="single" w:sz="4" w:space="0" w:color="auto"/>
            </w:tcBorders>
            <w:shd w:val="clear" w:color="auto" w:fill="FABF8F"/>
            <w:vAlign w:val="center"/>
          </w:tcPr>
          <w:p w14:paraId="79241811"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188</w:t>
            </w:r>
          </w:p>
        </w:tc>
        <w:tc>
          <w:tcPr>
            <w:tcW w:w="456" w:type="dxa"/>
            <w:gridSpan w:val="2"/>
            <w:tcBorders>
              <w:bottom w:val="single" w:sz="4" w:space="0" w:color="auto"/>
            </w:tcBorders>
            <w:shd w:val="clear" w:color="auto" w:fill="FABF8F"/>
            <w:vAlign w:val="center"/>
          </w:tcPr>
          <w:p w14:paraId="78BC2F05"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150</w:t>
            </w:r>
          </w:p>
        </w:tc>
        <w:tc>
          <w:tcPr>
            <w:tcW w:w="366" w:type="dxa"/>
            <w:tcBorders>
              <w:bottom w:val="single" w:sz="4" w:space="0" w:color="auto"/>
            </w:tcBorders>
            <w:shd w:val="clear" w:color="auto" w:fill="FABF8F"/>
            <w:vAlign w:val="center"/>
          </w:tcPr>
          <w:p w14:paraId="6664D3EA"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113</w:t>
            </w:r>
          </w:p>
        </w:tc>
        <w:tc>
          <w:tcPr>
            <w:tcW w:w="450" w:type="dxa"/>
            <w:tcBorders>
              <w:bottom w:val="single" w:sz="4" w:space="0" w:color="auto"/>
            </w:tcBorders>
            <w:shd w:val="clear" w:color="auto" w:fill="FABF8F"/>
            <w:vAlign w:val="center"/>
          </w:tcPr>
          <w:p w14:paraId="4522B703" w14:textId="77777777" w:rsidR="00913A0A" w:rsidRPr="0058047D" w:rsidRDefault="00913A0A" w:rsidP="001A63C6">
            <w:pPr>
              <w:pStyle w:val="TableText"/>
              <w:widowControl w:val="0"/>
              <w:rPr>
                <w:rFonts w:ascii="Tahoma" w:hAnsi="Tahoma" w:cs="Tahoma"/>
                <w:sz w:val="13"/>
                <w:szCs w:val="13"/>
                <w:lang w:eastAsia="ja-JP"/>
              </w:rPr>
            </w:pPr>
            <w:r w:rsidRPr="0058047D">
              <w:rPr>
                <w:rFonts w:ascii="Tahoma" w:hAnsi="Tahoma" w:cs="Tahoma"/>
                <w:sz w:val="13"/>
                <w:szCs w:val="13"/>
              </w:rPr>
              <w:t>113</w:t>
            </w:r>
          </w:p>
        </w:tc>
        <w:tc>
          <w:tcPr>
            <w:tcW w:w="450" w:type="dxa"/>
            <w:tcBorders>
              <w:bottom w:val="single" w:sz="4" w:space="0" w:color="auto"/>
            </w:tcBorders>
            <w:shd w:val="clear" w:color="auto" w:fill="FABF8F"/>
            <w:vAlign w:val="center"/>
          </w:tcPr>
          <w:p w14:paraId="5FD3C35B"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75</w:t>
            </w:r>
          </w:p>
        </w:tc>
        <w:tc>
          <w:tcPr>
            <w:tcW w:w="336" w:type="dxa"/>
            <w:tcBorders>
              <w:bottom w:val="single" w:sz="4" w:space="0" w:color="auto"/>
              <w:right w:val="single" w:sz="18" w:space="0" w:color="auto"/>
            </w:tcBorders>
            <w:shd w:val="clear" w:color="auto" w:fill="FABF8F"/>
            <w:vAlign w:val="center"/>
          </w:tcPr>
          <w:p w14:paraId="59FA6F05" w14:textId="77777777" w:rsidR="00913A0A" w:rsidRPr="0058047D" w:rsidRDefault="00913A0A" w:rsidP="001A63C6">
            <w:pPr>
              <w:pStyle w:val="TableText"/>
              <w:widowControl w:val="0"/>
              <w:rPr>
                <w:rFonts w:ascii="Tahoma" w:hAnsi="Tahoma" w:cs="Tahoma"/>
                <w:sz w:val="13"/>
                <w:szCs w:val="13"/>
                <w:lang w:eastAsia="ja-JP"/>
              </w:rPr>
            </w:pPr>
            <w:r w:rsidRPr="0058047D">
              <w:rPr>
                <w:rFonts w:ascii="Tahoma" w:hAnsi="Tahoma" w:cs="Tahoma"/>
                <w:sz w:val="13"/>
                <w:szCs w:val="13"/>
              </w:rPr>
              <w:t>38</w:t>
            </w:r>
          </w:p>
        </w:tc>
        <w:tc>
          <w:tcPr>
            <w:tcW w:w="477" w:type="dxa"/>
            <w:tcBorders>
              <w:left w:val="single" w:sz="18" w:space="0" w:color="auto"/>
              <w:bottom w:val="single" w:sz="4" w:space="0" w:color="auto"/>
            </w:tcBorders>
            <w:shd w:val="clear" w:color="auto" w:fill="FABF8F"/>
            <w:vAlign w:val="center"/>
          </w:tcPr>
          <w:p w14:paraId="77820168" w14:textId="77777777" w:rsidR="00913A0A" w:rsidRPr="0058047D" w:rsidRDefault="00913A0A" w:rsidP="001A63C6">
            <w:pPr>
              <w:pStyle w:val="TableText"/>
              <w:widowControl w:val="0"/>
              <w:rPr>
                <w:rFonts w:ascii="Tahoma" w:hAnsi="Tahoma" w:cs="Tahoma"/>
                <w:sz w:val="13"/>
                <w:szCs w:val="13"/>
                <w:lang w:eastAsia="ja-JP"/>
              </w:rPr>
            </w:pPr>
            <w:r w:rsidRPr="0058047D">
              <w:rPr>
                <w:rFonts w:ascii="Tahoma" w:hAnsi="Tahoma" w:cs="Tahoma"/>
                <w:sz w:val="13"/>
                <w:szCs w:val="13"/>
              </w:rPr>
              <w:t>75</w:t>
            </w:r>
          </w:p>
        </w:tc>
        <w:tc>
          <w:tcPr>
            <w:tcW w:w="450" w:type="dxa"/>
            <w:tcBorders>
              <w:bottom w:val="single" w:sz="4" w:space="0" w:color="auto"/>
            </w:tcBorders>
            <w:shd w:val="clear" w:color="auto" w:fill="FABF8F"/>
            <w:vAlign w:val="center"/>
          </w:tcPr>
          <w:p w14:paraId="517CF6E1" w14:textId="77777777" w:rsidR="00913A0A" w:rsidRPr="0058047D" w:rsidRDefault="00913A0A" w:rsidP="001A63C6">
            <w:pPr>
              <w:pStyle w:val="TableText"/>
              <w:widowControl w:val="0"/>
              <w:rPr>
                <w:rFonts w:ascii="Tahoma" w:hAnsi="Tahoma" w:cs="Tahoma"/>
                <w:sz w:val="13"/>
                <w:szCs w:val="13"/>
                <w:lang w:eastAsia="ja-JP"/>
              </w:rPr>
            </w:pPr>
            <w:r w:rsidRPr="0058047D">
              <w:rPr>
                <w:rFonts w:ascii="Tahoma" w:hAnsi="Tahoma" w:cs="Tahoma"/>
                <w:sz w:val="13"/>
                <w:szCs w:val="13"/>
              </w:rPr>
              <w:t>150</w:t>
            </w:r>
          </w:p>
        </w:tc>
        <w:tc>
          <w:tcPr>
            <w:tcW w:w="414" w:type="dxa"/>
            <w:tcBorders>
              <w:bottom w:val="single" w:sz="4" w:space="0" w:color="auto"/>
              <w:right w:val="single" w:sz="18" w:space="0" w:color="auto"/>
            </w:tcBorders>
            <w:shd w:val="clear" w:color="auto" w:fill="FABF8F"/>
            <w:vAlign w:val="center"/>
          </w:tcPr>
          <w:p w14:paraId="4217F892" w14:textId="77777777" w:rsidR="00913A0A" w:rsidRPr="0058047D" w:rsidRDefault="00913A0A" w:rsidP="001A63C6">
            <w:pPr>
              <w:pStyle w:val="TableText"/>
              <w:widowControl w:val="0"/>
              <w:rPr>
                <w:rFonts w:ascii="Tahoma" w:hAnsi="Tahoma" w:cs="Tahoma"/>
                <w:sz w:val="13"/>
                <w:szCs w:val="13"/>
                <w:lang w:eastAsia="ja-JP"/>
              </w:rPr>
            </w:pPr>
            <w:r w:rsidRPr="0058047D">
              <w:rPr>
                <w:rFonts w:ascii="Tahoma" w:hAnsi="Tahoma" w:cs="Tahoma"/>
                <w:sz w:val="13"/>
                <w:szCs w:val="13"/>
              </w:rPr>
              <w:t>75</w:t>
            </w:r>
          </w:p>
        </w:tc>
        <w:tc>
          <w:tcPr>
            <w:tcW w:w="468" w:type="dxa"/>
            <w:tcBorders>
              <w:left w:val="single" w:sz="18" w:space="0" w:color="auto"/>
              <w:bottom w:val="single" w:sz="4" w:space="0" w:color="auto"/>
            </w:tcBorders>
            <w:shd w:val="clear" w:color="auto" w:fill="FABF8F"/>
            <w:vAlign w:val="center"/>
          </w:tcPr>
          <w:p w14:paraId="2CA7C2EB" w14:textId="77777777" w:rsidR="00913A0A" w:rsidRPr="0058047D" w:rsidRDefault="00913A0A" w:rsidP="001A63C6">
            <w:pPr>
              <w:pStyle w:val="TableText"/>
              <w:widowControl w:val="0"/>
              <w:rPr>
                <w:rFonts w:ascii="Tahoma" w:hAnsi="Tahoma" w:cs="Tahoma"/>
                <w:sz w:val="13"/>
                <w:szCs w:val="13"/>
                <w:lang w:eastAsia="ja-JP"/>
              </w:rPr>
            </w:pPr>
            <w:r w:rsidRPr="0058047D">
              <w:rPr>
                <w:rFonts w:ascii="Tahoma" w:hAnsi="Tahoma" w:cs="Tahoma"/>
                <w:sz w:val="13"/>
                <w:szCs w:val="13"/>
              </w:rPr>
              <w:t>75</w:t>
            </w:r>
          </w:p>
        </w:tc>
        <w:tc>
          <w:tcPr>
            <w:tcW w:w="477" w:type="dxa"/>
            <w:tcBorders>
              <w:bottom w:val="single" w:sz="4" w:space="0" w:color="auto"/>
              <w:right w:val="single" w:sz="18" w:space="0" w:color="auto"/>
            </w:tcBorders>
            <w:shd w:val="clear" w:color="auto" w:fill="FABF8F"/>
            <w:vAlign w:val="center"/>
          </w:tcPr>
          <w:p w14:paraId="3AED8EF5"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C</w:t>
            </w:r>
          </w:p>
        </w:tc>
        <w:tc>
          <w:tcPr>
            <w:tcW w:w="324" w:type="dxa"/>
            <w:tcBorders>
              <w:left w:val="single" w:sz="18" w:space="0" w:color="auto"/>
              <w:bottom w:val="single" w:sz="4" w:space="0" w:color="auto"/>
              <w:right w:val="single" w:sz="18" w:space="0" w:color="auto"/>
            </w:tcBorders>
            <w:shd w:val="clear" w:color="auto" w:fill="FABF8F"/>
            <w:vAlign w:val="center"/>
          </w:tcPr>
          <w:p w14:paraId="469221D3"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vAlign w:val="center"/>
          </w:tcPr>
          <w:p w14:paraId="6F2866CE"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7BFCCDCA"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OL/OV</w:t>
            </w:r>
          </w:p>
        </w:tc>
        <w:tc>
          <w:tcPr>
            <w:tcW w:w="405" w:type="dxa"/>
            <w:tcBorders>
              <w:bottom w:val="single" w:sz="4" w:space="0" w:color="auto"/>
            </w:tcBorders>
            <w:shd w:val="clear" w:color="auto" w:fill="FABF8F"/>
          </w:tcPr>
          <w:p w14:paraId="2C6FC063" w14:textId="77777777" w:rsidR="00913A0A" w:rsidRPr="0058047D" w:rsidRDefault="00913A0A" w:rsidP="001A63C6">
            <w:pPr>
              <w:pStyle w:val="TableText"/>
              <w:widowControl w:val="0"/>
              <w:rPr>
                <w:rFonts w:ascii="Tahoma" w:hAnsi="Tahoma" w:cs="Tahoma"/>
                <w:sz w:val="13"/>
              </w:rPr>
            </w:pPr>
          </w:p>
        </w:tc>
      </w:tr>
      <w:tr w:rsidR="00F96F42" w:rsidRPr="0058047D" w14:paraId="55F28DFC" w14:textId="77777777" w:rsidTr="00C86F50">
        <w:trPr>
          <w:trHeight w:val="145"/>
        </w:trPr>
        <w:tc>
          <w:tcPr>
            <w:tcW w:w="2619" w:type="dxa"/>
            <w:gridSpan w:val="2"/>
            <w:tcBorders>
              <w:bottom w:val="single" w:sz="4" w:space="0" w:color="auto"/>
            </w:tcBorders>
            <w:shd w:val="clear" w:color="auto" w:fill="auto"/>
            <w:vAlign w:val="center"/>
          </w:tcPr>
          <w:p w14:paraId="2FCCBBE5" w14:textId="77777777" w:rsidR="00913A0A" w:rsidRPr="0058047D" w:rsidRDefault="00913A0A" w:rsidP="00E077BC">
            <w:pPr>
              <w:pStyle w:val="ProductNames"/>
              <w:spacing w:beforeLines="20" w:before="48" w:afterLines="20" w:after="48"/>
              <w:rPr>
                <w:rFonts w:ascii="Tahoma" w:hAnsi="Tahoma" w:cs="Tahoma"/>
                <w:color w:val="000000"/>
                <w:sz w:val="14"/>
                <w:szCs w:val="18"/>
              </w:rPr>
            </w:pPr>
            <w:bookmarkStart w:id="169" w:name="_Toc371663344"/>
            <w:r w:rsidRPr="0058047D">
              <w:rPr>
                <w:rFonts w:ascii="Tahoma" w:hAnsi="Tahoma" w:cs="Tahoma"/>
                <w:color w:val="000000"/>
                <w:sz w:val="14"/>
                <w:szCs w:val="18"/>
              </w:rPr>
              <w:t>Duet Enterprise 2.0</w:t>
            </w:r>
            <w:bookmarkEnd w:id="169"/>
          </w:p>
        </w:tc>
        <w:tc>
          <w:tcPr>
            <w:tcW w:w="554" w:type="dxa"/>
            <w:tcBorders>
              <w:bottom w:val="single" w:sz="4" w:space="0" w:color="auto"/>
            </w:tcBorders>
            <w:shd w:val="clear" w:color="auto" w:fill="auto"/>
            <w:vAlign w:val="center"/>
          </w:tcPr>
          <w:p w14:paraId="5C511349" w14:textId="77777777" w:rsidR="00913A0A" w:rsidRPr="0058047D" w:rsidDel="00132E08" w:rsidRDefault="00C86F50" w:rsidP="003D4F46">
            <w:pPr>
              <w:pStyle w:val="TableText"/>
              <w:widowControl w:val="0"/>
              <w:rPr>
                <w:b/>
                <w:sz w:val="13"/>
                <w:szCs w:val="13"/>
              </w:rPr>
            </w:pPr>
            <w:hyperlink w:anchor="_44_Duet_Enterprise" w:history="1">
              <w:r w:rsidR="00BF5FC6" w:rsidRPr="0058047D">
                <w:rPr>
                  <w:rStyle w:val="Hyperlink"/>
                  <w:b/>
                  <w:sz w:val="13"/>
                  <w:szCs w:val="13"/>
                </w:rPr>
                <w:t>44</w:t>
              </w:r>
            </w:hyperlink>
          </w:p>
        </w:tc>
        <w:tc>
          <w:tcPr>
            <w:tcW w:w="516" w:type="dxa"/>
            <w:tcBorders>
              <w:bottom w:val="single" w:sz="4" w:space="0" w:color="auto"/>
            </w:tcBorders>
            <w:shd w:val="clear" w:color="auto" w:fill="auto"/>
            <w:vAlign w:val="center"/>
          </w:tcPr>
          <w:p w14:paraId="2D5DC238" w14:textId="77777777" w:rsidR="00913A0A" w:rsidRPr="0058047D" w:rsidRDefault="00913A0A" w:rsidP="001A63C6">
            <w:pPr>
              <w:pStyle w:val="TableText"/>
              <w:widowControl w:val="0"/>
              <w:rPr>
                <w:rFonts w:ascii="Tahoma" w:hAnsi="Tahoma" w:cs="Tahoma"/>
                <w:sz w:val="13"/>
              </w:rPr>
            </w:pPr>
          </w:p>
        </w:tc>
        <w:tc>
          <w:tcPr>
            <w:tcW w:w="358" w:type="dxa"/>
            <w:tcBorders>
              <w:bottom w:val="single" w:sz="4" w:space="0" w:color="auto"/>
              <w:right w:val="single" w:sz="18" w:space="0" w:color="auto"/>
            </w:tcBorders>
            <w:shd w:val="clear" w:color="auto" w:fill="auto"/>
            <w:vAlign w:val="center"/>
          </w:tcPr>
          <w:p w14:paraId="00F0AB00"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auto"/>
            <w:vAlign w:val="center"/>
          </w:tcPr>
          <w:p w14:paraId="2BDCCB82"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50781005"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290B7456"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377AC13D"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B540B43"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240FBD4"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7209E2D5"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004FF806"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6EAAE5D"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442FD165"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7980ECF5"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620F5A2E"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02037533"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tcPr>
          <w:p w14:paraId="59B3DAE0"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14:paraId="63E0A9CD" w14:textId="77777777" w:rsidR="00913A0A" w:rsidRPr="0058047D" w:rsidRDefault="00913A0A" w:rsidP="001A63C6">
            <w:pPr>
              <w:pStyle w:val="TableText"/>
              <w:widowControl w:val="0"/>
              <w:jc w:val="left"/>
              <w:rPr>
                <w:rFonts w:ascii="Tahoma" w:hAnsi="Tahoma" w:cs="Tahoma"/>
                <w:sz w:val="13"/>
              </w:rPr>
            </w:pPr>
          </w:p>
        </w:tc>
        <w:tc>
          <w:tcPr>
            <w:tcW w:w="405" w:type="dxa"/>
            <w:tcBorders>
              <w:bottom w:val="single" w:sz="4" w:space="0" w:color="auto"/>
            </w:tcBorders>
          </w:tcPr>
          <w:p w14:paraId="3CDF19EE" w14:textId="77777777" w:rsidR="00913A0A" w:rsidRPr="0058047D" w:rsidRDefault="00913A0A" w:rsidP="001A63C6">
            <w:pPr>
              <w:pStyle w:val="TableText"/>
              <w:widowControl w:val="0"/>
              <w:jc w:val="left"/>
              <w:rPr>
                <w:rFonts w:ascii="Tahoma" w:hAnsi="Tahoma" w:cs="Tahoma"/>
                <w:sz w:val="13"/>
              </w:rPr>
            </w:pPr>
          </w:p>
        </w:tc>
      </w:tr>
      <w:tr w:rsidR="00F96F42" w:rsidRPr="0058047D" w14:paraId="2D8249BA" w14:textId="77777777" w:rsidTr="00C86F50">
        <w:trPr>
          <w:trHeight w:val="145"/>
        </w:trPr>
        <w:tc>
          <w:tcPr>
            <w:tcW w:w="2619" w:type="dxa"/>
            <w:gridSpan w:val="2"/>
            <w:tcBorders>
              <w:bottom w:val="single" w:sz="4" w:space="0" w:color="auto"/>
            </w:tcBorders>
            <w:shd w:val="clear" w:color="auto" w:fill="FABF8F"/>
            <w:vAlign w:val="center"/>
          </w:tcPr>
          <w:p w14:paraId="553DE42C" w14:textId="77777777" w:rsidR="00913A0A" w:rsidRPr="003F471F" w:rsidRDefault="00913A0A" w:rsidP="00E077BC">
            <w:pPr>
              <w:pStyle w:val="ProductNames"/>
              <w:spacing w:beforeLines="20" w:before="48" w:afterLines="20" w:after="48"/>
              <w:rPr>
                <w:rFonts w:ascii="Tahoma" w:hAnsi="Tahoma" w:cs="Tahoma"/>
                <w:sz w:val="14"/>
                <w:lang w:val="it-IT"/>
              </w:rPr>
            </w:pPr>
            <w:bookmarkStart w:id="170" w:name="_Toc336337942"/>
            <w:bookmarkStart w:id="171" w:name="_Toc371663345"/>
            <w:r w:rsidRPr="003F471F">
              <w:rPr>
                <w:rFonts w:ascii="Tahoma" w:hAnsi="Tahoma" w:cs="Tahoma"/>
                <w:sz w:val="14"/>
                <w:lang w:val="it-IT"/>
              </w:rPr>
              <w:t>Enterprise CAL Suite Bridge per Office 365 (Utente e Dispositivo)</w:t>
            </w:r>
            <w:bookmarkEnd w:id="170"/>
            <w:bookmarkEnd w:id="171"/>
          </w:p>
        </w:tc>
        <w:tc>
          <w:tcPr>
            <w:tcW w:w="554" w:type="dxa"/>
            <w:tcBorders>
              <w:bottom w:val="single" w:sz="4" w:space="0" w:color="auto"/>
            </w:tcBorders>
            <w:shd w:val="clear" w:color="auto" w:fill="FABF8F"/>
            <w:vAlign w:val="center"/>
          </w:tcPr>
          <w:p w14:paraId="42674DD7" w14:textId="77777777" w:rsidR="00913A0A" w:rsidRPr="0058047D" w:rsidRDefault="00C86F50" w:rsidP="003D4F46">
            <w:pPr>
              <w:pStyle w:val="TableText"/>
              <w:widowControl w:val="0"/>
              <w:rPr>
                <w:b/>
                <w:color w:val="0000FF"/>
                <w:sz w:val="13"/>
                <w:szCs w:val="13"/>
                <w:u w:val="single"/>
              </w:rPr>
            </w:pPr>
            <w:hyperlink w:anchor="_46_Enterprise_CAL" w:history="1">
              <w:r w:rsidR="00BF5FC6" w:rsidRPr="0058047D">
                <w:rPr>
                  <w:rStyle w:val="Hyperlink"/>
                  <w:b/>
                  <w:sz w:val="13"/>
                  <w:szCs w:val="13"/>
                </w:rPr>
                <w:t>45</w:t>
              </w:r>
            </w:hyperlink>
          </w:p>
        </w:tc>
        <w:tc>
          <w:tcPr>
            <w:tcW w:w="516" w:type="dxa"/>
            <w:tcBorders>
              <w:bottom w:val="single" w:sz="4" w:space="0" w:color="auto"/>
            </w:tcBorders>
            <w:shd w:val="clear" w:color="auto" w:fill="FABF8F"/>
            <w:vAlign w:val="center"/>
          </w:tcPr>
          <w:p w14:paraId="1022137D" w14:textId="77777777" w:rsidR="00913A0A" w:rsidRPr="0058047D" w:rsidRDefault="00913A0A" w:rsidP="001A63C6">
            <w:pPr>
              <w:pStyle w:val="TableText"/>
              <w:widowControl w:val="0"/>
              <w:spacing w:before="40"/>
              <w:rPr>
                <w:rFonts w:ascii="Tahoma" w:hAnsi="Tahoma" w:cs="Tahoma"/>
                <w:sz w:val="13"/>
              </w:rPr>
            </w:pPr>
            <w:r w:rsidRPr="0058047D">
              <w:rPr>
                <w:rFonts w:ascii="Tahoma" w:hAnsi="Tahoma" w:cs="Tahoma"/>
                <w:sz w:val="13"/>
              </w:rPr>
              <w:t>06/11</w:t>
            </w:r>
          </w:p>
        </w:tc>
        <w:tc>
          <w:tcPr>
            <w:tcW w:w="358" w:type="dxa"/>
            <w:tcBorders>
              <w:bottom w:val="single" w:sz="4" w:space="0" w:color="auto"/>
              <w:right w:val="single" w:sz="18" w:space="0" w:color="auto"/>
            </w:tcBorders>
            <w:shd w:val="clear" w:color="auto" w:fill="FABF8F"/>
            <w:vAlign w:val="center"/>
          </w:tcPr>
          <w:p w14:paraId="065268D9"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bottom"/>
          </w:tcPr>
          <w:p w14:paraId="228CF66B" w14:textId="77777777" w:rsidR="00913A0A" w:rsidRPr="0058047D" w:rsidRDefault="00913A0A" w:rsidP="001A63C6">
            <w:pPr>
              <w:pStyle w:val="TableText"/>
              <w:widowControl w:val="0"/>
              <w:rPr>
                <w:rFonts w:ascii="Tahoma" w:hAnsi="Tahoma" w:cs="Tahoma"/>
                <w:sz w:val="13"/>
                <w:szCs w:val="13"/>
              </w:rPr>
            </w:pPr>
          </w:p>
        </w:tc>
        <w:tc>
          <w:tcPr>
            <w:tcW w:w="324" w:type="dxa"/>
            <w:tcBorders>
              <w:bottom w:val="single" w:sz="4" w:space="0" w:color="auto"/>
            </w:tcBorders>
            <w:shd w:val="clear" w:color="auto" w:fill="FABF8F"/>
            <w:vAlign w:val="bottom"/>
          </w:tcPr>
          <w:p w14:paraId="14D63972" w14:textId="77777777" w:rsidR="00913A0A" w:rsidRPr="0058047D" w:rsidRDefault="00913A0A" w:rsidP="001A63C6">
            <w:pPr>
              <w:pStyle w:val="TableText"/>
              <w:widowControl w:val="0"/>
              <w:rPr>
                <w:rFonts w:ascii="Tahoma" w:hAnsi="Tahoma" w:cs="Tahoma"/>
                <w:sz w:val="13"/>
                <w:szCs w:val="13"/>
              </w:rPr>
            </w:pPr>
          </w:p>
        </w:tc>
        <w:tc>
          <w:tcPr>
            <w:tcW w:w="456" w:type="dxa"/>
            <w:gridSpan w:val="2"/>
            <w:tcBorders>
              <w:bottom w:val="single" w:sz="4" w:space="0" w:color="auto"/>
            </w:tcBorders>
            <w:shd w:val="clear" w:color="auto" w:fill="FABF8F"/>
            <w:vAlign w:val="bottom"/>
          </w:tcPr>
          <w:p w14:paraId="79668455" w14:textId="77777777" w:rsidR="00913A0A" w:rsidRPr="0058047D" w:rsidRDefault="00913A0A" w:rsidP="001A63C6">
            <w:pPr>
              <w:pStyle w:val="TableText"/>
              <w:widowControl w:val="0"/>
              <w:rPr>
                <w:rFonts w:ascii="Tahoma" w:hAnsi="Tahoma" w:cs="Tahoma"/>
                <w:sz w:val="13"/>
                <w:szCs w:val="13"/>
              </w:rPr>
            </w:pPr>
          </w:p>
        </w:tc>
        <w:tc>
          <w:tcPr>
            <w:tcW w:w="366" w:type="dxa"/>
            <w:tcBorders>
              <w:bottom w:val="single" w:sz="4" w:space="0" w:color="auto"/>
            </w:tcBorders>
            <w:shd w:val="clear" w:color="auto" w:fill="FABF8F"/>
            <w:vAlign w:val="bottom"/>
          </w:tcPr>
          <w:p w14:paraId="6CEF9A60" w14:textId="77777777" w:rsidR="00913A0A" w:rsidRPr="0058047D"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3F024B7D" w14:textId="77777777" w:rsidR="00913A0A" w:rsidRPr="0058047D"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5616C291" w14:textId="77777777" w:rsidR="00913A0A" w:rsidRPr="0058047D" w:rsidRDefault="00913A0A" w:rsidP="001A63C6">
            <w:pPr>
              <w:pStyle w:val="TableText"/>
              <w:widowControl w:val="0"/>
              <w:rPr>
                <w:rFonts w:ascii="Tahoma" w:hAnsi="Tahoma" w:cs="Tahoma"/>
                <w:sz w:val="13"/>
                <w:szCs w:val="13"/>
              </w:rPr>
            </w:pPr>
          </w:p>
        </w:tc>
        <w:tc>
          <w:tcPr>
            <w:tcW w:w="336" w:type="dxa"/>
            <w:tcBorders>
              <w:bottom w:val="single" w:sz="4" w:space="0" w:color="auto"/>
              <w:right w:val="single" w:sz="18" w:space="0" w:color="auto"/>
            </w:tcBorders>
            <w:shd w:val="clear" w:color="auto" w:fill="FABF8F"/>
            <w:vAlign w:val="bottom"/>
          </w:tcPr>
          <w:p w14:paraId="42330B71" w14:textId="77777777" w:rsidR="00913A0A" w:rsidRPr="0058047D" w:rsidRDefault="00913A0A" w:rsidP="001A63C6">
            <w:pPr>
              <w:pStyle w:val="TableText"/>
              <w:widowControl w:val="0"/>
              <w:rPr>
                <w:rFonts w:ascii="Tahoma" w:hAnsi="Tahoma" w:cs="Tahoma"/>
                <w:sz w:val="13"/>
                <w:szCs w:val="13"/>
              </w:rPr>
            </w:pPr>
          </w:p>
        </w:tc>
        <w:tc>
          <w:tcPr>
            <w:tcW w:w="477" w:type="dxa"/>
            <w:tcBorders>
              <w:left w:val="single" w:sz="18" w:space="0" w:color="auto"/>
              <w:bottom w:val="single" w:sz="4" w:space="0" w:color="auto"/>
            </w:tcBorders>
            <w:shd w:val="clear" w:color="auto" w:fill="FABF8F"/>
            <w:vAlign w:val="bottom"/>
          </w:tcPr>
          <w:p w14:paraId="3B4AD4EE" w14:textId="77777777" w:rsidR="00913A0A" w:rsidRPr="0058047D"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40D770FF" w14:textId="77777777" w:rsidR="00913A0A" w:rsidRPr="0058047D" w:rsidRDefault="00913A0A" w:rsidP="001A63C6">
            <w:pPr>
              <w:pStyle w:val="TableText"/>
              <w:widowControl w:val="0"/>
              <w:rPr>
                <w:rFonts w:ascii="Tahoma" w:hAnsi="Tahoma" w:cs="Tahoma"/>
                <w:sz w:val="13"/>
                <w:szCs w:val="13"/>
              </w:rPr>
            </w:pPr>
          </w:p>
        </w:tc>
        <w:tc>
          <w:tcPr>
            <w:tcW w:w="414" w:type="dxa"/>
            <w:tcBorders>
              <w:bottom w:val="single" w:sz="4" w:space="0" w:color="auto"/>
              <w:right w:val="single" w:sz="18" w:space="0" w:color="auto"/>
            </w:tcBorders>
            <w:shd w:val="clear" w:color="auto" w:fill="FABF8F"/>
            <w:vAlign w:val="bottom"/>
          </w:tcPr>
          <w:p w14:paraId="2416CBDE" w14:textId="77777777" w:rsidR="00913A0A" w:rsidRPr="0058047D" w:rsidRDefault="00913A0A" w:rsidP="001A63C6">
            <w:pPr>
              <w:pStyle w:val="TableText"/>
              <w:widowControl w:val="0"/>
              <w:rPr>
                <w:rFonts w:ascii="Tahoma" w:hAnsi="Tahoma" w:cs="Tahoma"/>
                <w:sz w:val="13"/>
                <w:szCs w:val="13"/>
              </w:rPr>
            </w:pPr>
          </w:p>
        </w:tc>
        <w:tc>
          <w:tcPr>
            <w:tcW w:w="468" w:type="dxa"/>
            <w:tcBorders>
              <w:left w:val="single" w:sz="18" w:space="0" w:color="auto"/>
              <w:bottom w:val="single" w:sz="4" w:space="0" w:color="auto"/>
            </w:tcBorders>
            <w:shd w:val="clear" w:color="auto" w:fill="FABF8F"/>
            <w:vAlign w:val="center"/>
          </w:tcPr>
          <w:p w14:paraId="1997C656" w14:textId="77777777" w:rsidR="00913A0A" w:rsidRPr="0058047D" w:rsidRDefault="00913A0A" w:rsidP="001A63C6">
            <w:pPr>
              <w:pStyle w:val="TableText"/>
              <w:widowControl w:val="0"/>
              <w:rPr>
                <w:rFonts w:ascii="Tahoma" w:hAnsi="Tahoma" w:cs="Tahoma"/>
                <w:sz w:val="13"/>
                <w:szCs w:val="13"/>
              </w:rPr>
            </w:pPr>
          </w:p>
        </w:tc>
        <w:tc>
          <w:tcPr>
            <w:tcW w:w="477" w:type="dxa"/>
            <w:tcBorders>
              <w:bottom w:val="single" w:sz="4" w:space="0" w:color="auto"/>
              <w:right w:val="single" w:sz="18" w:space="0" w:color="auto"/>
            </w:tcBorders>
            <w:shd w:val="clear" w:color="auto" w:fill="FABF8F"/>
            <w:vAlign w:val="center"/>
          </w:tcPr>
          <w:p w14:paraId="6EA09E0B"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22DBECCE"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E</w:t>
            </w:r>
          </w:p>
        </w:tc>
        <w:tc>
          <w:tcPr>
            <w:tcW w:w="655" w:type="dxa"/>
            <w:tcBorders>
              <w:bottom w:val="single" w:sz="4" w:space="0" w:color="auto"/>
            </w:tcBorders>
            <w:shd w:val="clear" w:color="auto" w:fill="FABF8F"/>
          </w:tcPr>
          <w:p w14:paraId="6A186862"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456977BB"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7A230BA2" w14:textId="77777777" w:rsidR="00913A0A" w:rsidRPr="0058047D" w:rsidRDefault="00913A0A" w:rsidP="001A63C6">
            <w:pPr>
              <w:pStyle w:val="TableText"/>
              <w:widowControl w:val="0"/>
              <w:rPr>
                <w:rFonts w:ascii="Tahoma" w:hAnsi="Tahoma" w:cs="Tahoma"/>
                <w:sz w:val="13"/>
              </w:rPr>
            </w:pPr>
          </w:p>
        </w:tc>
      </w:tr>
      <w:tr w:rsidR="00F96F42" w:rsidRPr="0058047D" w14:paraId="5BC35037" w14:textId="77777777" w:rsidTr="00C86F50">
        <w:trPr>
          <w:trHeight w:val="145"/>
        </w:trPr>
        <w:tc>
          <w:tcPr>
            <w:tcW w:w="2619" w:type="dxa"/>
            <w:gridSpan w:val="2"/>
            <w:tcBorders>
              <w:bottom w:val="single" w:sz="4" w:space="0" w:color="auto"/>
            </w:tcBorders>
            <w:shd w:val="clear" w:color="auto" w:fill="auto"/>
            <w:vAlign w:val="center"/>
          </w:tcPr>
          <w:p w14:paraId="7A53326B" w14:textId="77777777" w:rsidR="00913A0A" w:rsidRPr="003F471F" w:rsidRDefault="00913A0A" w:rsidP="00E077BC">
            <w:pPr>
              <w:pStyle w:val="ProductNames"/>
              <w:spacing w:beforeLines="20" w:before="48" w:afterLines="20" w:after="48"/>
              <w:rPr>
                <w:rFonts w:ascii="Tahoma" w:hAnsi="Tahoma" w:cs="Tahoma"/>
                <w:sz w:val="14"/>
                <w:lang w:val="it-IT"/>
              </w:rPr>
            </w:pPr>
            <w:bookmarkStart w:id="172" w:name="_Toc336337943"/>
            <w:bookmarkStart w:id="173" w:name="_Toc371663346"/>
            <w:r w:rsidRPr="003F471F">
              <w:rPr>
                <w:rFonts w:ascii="Tahoma" w:hAnsi="Tahoma" w:cs="Tahoma"/>
                <w:sz w:val="14"/>
                <w:lang w:val="it-IT"/>
              </w:rPr>
              <w:t>Enterprise CAL Suite Bridge per Office 365 e Windows</w:t>
            </w:r>
            <w:r w:rsidR="00E53A46" w:rsidRPr="003F471F">
              <w:rPr>
                <w:rFonts w:ascii="Tahoma" w:hAnsi="Tahoma" w:cs="Tahoma"/>
                <w:sz w:val="14"/>
                <w:vertAlign w:val="superscript"/>
                <w:lang w:val="it-IT"/>
              </w:rPr>
              <w:t>®</w:t>
            </w:r>
            <w:r w:rsidRPr="003F471F">
              <w:rPr>
                <w:rFonts w:ascii="Tahoma" w:hAnsi="Tahoma" w:cs="Tahoma"/>
                <w:sz w:val="14"/>
                <w:lang w:val="it-IT"/>
              </w:rPr>
              <w:t xml:space="preserve"> Intune (Utente e Dispositivo)</w:t>
            </w:r>
            <w:bookmarkEnd w:id="172"/>
            <w:bookmarkEnd w:id="173"/>
          </w:p>
        </w:tc>
        <w:tc>
          <w:tcPr>
            <w:tcW w:w="554" w:type="dxa"/>
            <w:tcBorders>
              <w:bottom w:val="single" w:sz="4" w:space="0" w:color="auto"/>
            </w:tcBorders>
            <w:shd w:val="clear" w:color="auto" w:fill="auto"/>
            <w:vAlign w:val="center"/>
          </w:tcPr>
          <w:p w14:paraId="64C22882" w14:textId="77777777" w:rsidR="00913A0A" w:rsidRPr="0058047D" w:rsidRDefault="00C86F50" w:rsidP="003D4F46">
            <w:pPr>
              <w:pStyle w:val="TableText"/>
              <w:widowControl w:val="0"/>
              <w:rPr>
                <w:b/>
                <w:color w:val="0000FF"/>
                <w:sz w:val="13"/>
                <w:szCs w:val="13"/>
                <w:u w:val="single"/>
              </w:rPr>
            </w:pPr>
            <w:hyperlink w:anchor="_46_Enterprise_CAL" w:history="1">
              <w:r w:rsidR="00BF5FC6" w:rsidRPr="0058047D">
                <w:rPr>
                  <w:rStyle w:val="Hyperlink"/>
                  <w:b/>
                  <w:sz w:val="13"/>
                  <w:szCs w:val="13"/>
                </w:rPr>
                <w:t>45</w:t>
              </w:r>
            </w:hyperlink>
          </w:p>
        </w:tc>
        <w:tc>
          <w:tcPr>
            <w:tcW w:w="516" w:type="dxa"/>
            <w:tcBorders>
              <w:bottom w:val="single" w:sz="4" w:space="0" w:color="auto"/>
            </w:tcBorders>
            <w:shd w:val="clear" w:color="auto" w:fill="auto"/>
            <w:vAlign w:val="center"/>
          </w:tcPr>
          <w:p w14:paraId="0798E3F6" w14:textId="77777777" w:rsidR="00913A0A" w:rsidRPr="0058047D" w:rsidRDefault="00913A0A" w:rsidP="001A63C6">
            <w:pPr>
              <w:pStyle w:val="TableText"/>
              <w:widowControl w:val="0"/>
              <w:spacing w:before="40"/>
              <w:rPr>
                <w:rFonts w:ascii="Tahoma" w:hAnsi="Tahoma" w:cs="Tahoma"/>
                <w:sz w:val="13"/>
              </w:rPr>
            </w:pPr>
            <w:r w:rsidRPr="0058047D">
              <w:rPr>
                <w:rFonts w:ascii="Tahoma" w:hAnsi="Tahoma" w:cs="Tahoma"/>
                <w:sz w:val="13"/>
              </w:rPr>
              <w:t>06/11</w:t>
            </w:r>
          </w:p>
        </w:tc>
        <w:tc>
          <w:tcPr>
            <w:tcW w:w="358" w:type="dxa"/>
            <w:tcBorders>
              <w:bottom w:val="single" w:sz="4" w:space="0" w:color="auto"/>
              <w:right w:val="single" w:sz="18" w:space="0" w:color="auto"/>
            </w:tcBorders>
            <w:shd w:val="clear" w:color="auto" w:fill="auto"/>
            <w:vAlign w:val="center"/>
          </w:tcPr>
          <w:p w14:paraId="0F6E1AF4"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auto"/>
            <w:vAlign w:val="bottom"/>
          </w:tcPr>
          <w:p w14:paraId="0E0CBA2A" w14:textId="77777777" w:rsidR="00913A0A" w:rsidRPr="0058047D" w:rsidRDefault="00913A0A" w:rsidP="001A63C6">
            <w:pPr>
              <w:pStyle w:val="TableText"/>
              <w:widowControl w:val="0"/>
              <w:rPr>
                <w:rFonts w:ascii="Tahoma" w:hAnsi="Tahoma" w:cs="Tahoma"/>
                <w:sz w:val="13"/>
                <w:szCs w:val="13"/>
              </w:rPr>
            </w:pPr>
          </w:p>
        </w:tc>
        <w:tc>
          <w:tcPr>
            <w:tcW w:w="324" w:type="dxa"/>
            <w:tcBorders>
              <w:bottom w:val="single" w:sz="4" w:space="0" w:color="auto"/>
            </w:tcBorders>
            <w:shd w:val="clear" w:color="auto" w:fill="auto"/>
            <w:vAlign w:val="bottom"/>
          </w:tcPr>
          <w:p w14:paraId="194EA797" w14:textId="77777777" w:rsidR="00913A0A" w:rsidRPr="0058047D" w:rsidRDefault="00913A0A" w:rsidP="001A63C6">
            <w:pPr>
              <w:pStyle w:val="TableText"/>
              <w:widowControl w:val="0"/>
              <w:rPr>
                <w:rFonts w:ascii="Tahoma" w:hAnsi="Tahoma" w:cs="Tahoma"/>
                <w:sz w:val="13"/>
                <w:szCs w:val="13"/>
              </w:rPr>
            </w:pPr>
          </w:p>
        </w:tc>
        <w:tc>
          <w:tcPr>
            <w:tcW w:w="456" w:type="dxa"/>
            <w:gridSpan w:val="2"/>
            <w:tcBorders>
              <w:bottom w:val="single" w:sz="4" w:space="0" w:color="auto"/>
            </w:tcBorders>
            <w:shd w:val="clear" w:color="auto" w:fill="auto"/>
            <w:vAlign w:val="bottom"/>
          </w:tcPr>
          <w:p w14:paraId="79800685" w14:textId="77777777" w:rsidR="00913A0A" w:rsidRPr="0058047D" w:rsidRDefault="00913A0A" w:rsidP="001A63C6">
            <w:pPr>
              <w:pStyle w:val="TableText"/>
              <w:widowControl w:val="0"/>
              <w:rPr>
                <w:rFonts w:ascii="Tahoma" w:hAnsi="Tahoma" w:cs="Tahoma"/>
                <w:sz w:val="13"/>
                <w:szCs w:val="13"/>
              </w:rPr>
            </w:pPr>
          </w:p>
        </w:tc>
        <w:tc>
          <w:tcPr>
            <w:tcW w:w="366" w:type="dxa"/>
            <w:tcBorders>
              <w:bottom w:val="single" w:sz="4" w:space="0" w:color="auto"/>
            </w:tcBorders>
            <w:shd w:val="clear" w:color="auto" w:fill="auto"/>
            <w:vAlign w:val="bottom"/>
          </w:tcPr>
          <w:p w14:paraId="3F872523" w14:textId="77777777" w:rsidR="00913A0A" w:rsidRPr="0058047D"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3EA87D44" w14:textId="77777777" w:rsidR="00913A0A" w:rsidRPr="0058047D"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60DA7377" w14:textId="77777777" w:rsidR="00913A0A" w:rsidRPr="0058047D" w:rsidRDefault="00913A0A" w:rsidP="001A63C6">
            <w:pPr>
              <w:pStyle w:val="TableText"/>
              <w:widowControl w:val="0"/>
              <w:rPr>
                <w:rFonts w:ascii="Tahoma" w:hAnsi="Tahoma" w:cs="Tahoma"/>
                <w:sz w:val="13"/>
                <w:szCs w:val="13"/>
              </w:rPr>
            </w:pPr>
          </w:p>
        </w:tc>
        <w:tc>
          <w:tcPr>
            <w:tcW w:w="336" w:type="dxa"/>
            <w:tcBorders>
              <w:bottom w:val="single" w:sz="4" w:space="0" w:color="auto"/>
              <w:right w:val="single" w:sz="18" w:space="0" w:color="auto"/>
            </w:tcBorders>
            <w:shd w:val="clear" w:color="auto" w:fill="auto"/>
            <w:vAlign w:val="bottom"/>
          </w:tcPr>
          <w:p w14:paraId="378C8D4C" w14:textId="77777777" w:rsidR="00913A0A" w:rsidRPr="0058047D" w:rsidRDefault="00913A0A" w:rsidP="001A63C6">
            <w:pPr>
              <w:pStyle w:val="TableText"/>
              <w:widowControl w:val="0"/>
              <w:rPr>
                <w:rFonts w:ascii="Tahoma" w:hAnsi="Tahoma" w:cs="Tahoma"/>
                <w:sz w:val="13"/>
                <w:szCs w:val="13"/>
              </w:rPr>
            </w:pPr>
          </w:p>
        </w:tc>
        <w:tc>
          <w:tcPr>
            <w:tcW w:w="477" w:type="dxa"/>
            <w:tcBorders>
              <w:left w:val="single" w:sz="18" w:space="0" w:color="auto"/>
              <w:bottom w:val="single" w:sz="4" w:space="0" w:color="auto"/>
            </w:tcBorders>
            <w:shd w:val="clear" w:color="auto" w:fill="auto"/>
            <w:vAlign w:val="bottom"/>
          </w:tcPr>
          <w:p w14:paraId="26157A1F" w14:textId="77777777" w:rsidR="00913A0A" w:rsidRPr="0058047D"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20FAC51D" w14:textId="77777777" w:rsidR="00913A0A" w:rsidRPr="0058047D" w:rsidRDefault="00913A0A" w:rsidP="001A63C6">
            <w:pPr>
              <w:pStyle w:val="TableText"/>
              <w:widowControl w:val="0"/>
              <w:rPr>
                <w:rFonts w:ascii="Tahoma" w:hAnsi="Tahoma" w:cs="Tahoma"/>
                <w:sz w:val="13"/>
                <w:szCs w:val="13"/>
              </w:rPr>
            </w:pPr>
          </w:p>
        </w:tc>
        <w:tc>
          <w:tcPr>
            <w:tcW w:w="414" w:type="dxa"/>
            <w:tcBorders>
              <w:bottom w:val="single" w:sz="4" w:space="0" w:color="auto"/>
              <w:right w:val="single" w:sz="18" w:space="0" w:color="auto"/>
            </w:tcBorders>
            <w:shd w:val="clear" w:color="auto" w:fill="auto"/>
            <w:vAlign w:val="bottom"/>
          </w:tcPr>
          <w:p w14:paraId="4F68B8CF" w14:textId="77777777" w:rsidR="00913A0A" w:rsidRPr="0058047D" w:rsidRDefault="00913A0A" w:rsidP="001A63C6">
            <w:pPr>
              <w:pStyle w:val="TableText"/>
              <w:widowControl w:val="0"/>
              <w:rPr>
                <w:rFonts w:ascii="Tahoma" w:hAnsi="Tahoma" w:cs="Tahoma"/>
                <w:sz w:val="13"/>
                <w:szCs w:val="13"/>
              </w:rPr>
            </w:pPr>
          </w:p>
        </w:tc>
        <w:tc>
          <w:tcPr>
            <w:tcW w:w="468" w:type="dxa"/>
            <w:tcBorders>
              <w:left w:val="single" w:sz="18" w:space="0" w:color="auto"/>
              <w:bottom w:val="single" w:sz="4" w:space="0" w:color="auto"/>
            </w:tcBorders>
            <w:shd w:val="clear" w:color="auto" w:fill="auto"/>
            <w:vAlign w:val="center"/>
          </w:tcPr>
          <w:p w14:paraId="7F86BDC7" w14:textId="77777777" w:rsidR="00913A0A" w:rsidRPr="0058047D" w:rsidRDefault="00913A0A" w:rsidP="001A63C6">
            <w:pPr>
              <w:pStyle w:val="TableText"/>
              <w:widowControl w:val="0"/>
              <w:rPr>
                <w:rFonts w:ascii="Tahoma" w:hAnsi="Tahoma" w:cs="Tahoma"/>
                <w:sz w:val="13"/>
                <w:szCs w:val="13"/>
              </w:rPr>
            </w:pPr>
          </w:p>
        </w:tc>
        <w:tc>
          <w:tcPr>
            <w:tcW w:w="477" w:type="dxa"/>
            <w:tcBorders>
              <w:bottom w:val="single" w:sz="4" w:space="0" w:color="auto"/>
              <w:right w:val="single" w:sz="18" w:space="0" w:color="auto"/>
            </w:tcBorders>
            <w:shd w:val="clear" w:color="auto" w:fill="auto"/>
            <w:vAlign w:val="center"/>
          </w:tcPr>
          <w:p w14:paraId="6F2B80AA"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72F3DFE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E</w:t>
            </w:r>
          </w:p>
        </w:tc>
        <w:tc>
          <w:tcPr>
            <w:tcW w:w="655" w:type="dxa"/>
            <w:tcBorders>
              <w:bottom w:val="single" w:sz="4" w:space="0" w:color="auto"/>
            </w:tcBorders>
            <w:shd w:val="clear" w:color="auto" w:fill="auto"/>
          </w:tcPr>
          <w:p w14:paraId="10E0D11F"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14:paraId="1BC35B05"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tcPr>
          <w:p w14:paraId="3087909B" w14:textId="77777777" w:rsidR="00913A0A" w:rsidRPr="0058047D" w:rsidRDefault="00913A0A" w:rsidP="001A63C6">
            <w:pPr>
              <w:pStyle w:val="TableText"/>
              <w:widowControl w:val="0"/>
              <w:rPr>
                <w:rFonts w:ascii="Tahoma" w:hAnsi="Tahoma" w:cs="Tahoma"/>
                <w:sz w:val="13"/>
              </w:rPr>
            </w:pPr>
          </w:p>
        </w:tc>
      </w:tr>
      <w:tr w:rsidR="00F96F42" w:rsidRPr="0058047D" w14:paraId="17D7087D" w14:textId="77777777" w:rsidTr="00C86F50">
        <w:trPr>
          <w:trHeight w:val="278"/>
        </w:trPr>
        <w:tc>
          <w:tcPr>
            <w:tcW w:w="2619" w:type="dxa"/>
            <w:gridSpan w:val="2"/>
            <w:tcBorders>
              <w:bottom w:val="single" w:sz="4" w:space="0" w:color="auto"/>
            </w:tcBorders>
            <w:shd w:val="clear" w:color="auto" w:fill="FABF8F"/>
            <w:vAlign w:val="center"/>
          </w:tcPr>
          <w:p w14:paraId="6EE939E0" w14:textId="77777777" w:rsidR="00913A0A" w:rsidRPr="003F471F" w:rsidRDefault="00913A0A" w:rsidP="00E077BC">
            <w:pPr>
              <w:pStyle w:val="ProductNames"/>
              <w:spacing w:beforeLines="20" w:before="48" w:afterLines="20" w:after="48"/>
              <w:rPr>
                <w:rFonts w:ascii="Tahoma" w:hAnsi="Tahoma" w:cs="Tahoma"/>
                <w:sz w:val="14"/>
                <w:lang w:val="it-IT"/>
              </w:rPr>
            </w:pPr>
            <w:bookmarkStart w:id="174" w:name="_Toc336337944"/>
            <w:bookmarkStart w:id="175" w:name="_Toc371663347"/>
            <w:r w:rsidRPr="003F471F">
              <w:rPr>
                <w:rFonts w:ascii="Tahoma" w:hAnsi="Tahoma" w:cs="Tahoma"/>
                <w:sz w:val="14"/>
                <w:lang w:val="it-IT"/>
              </w:rPr>
              <w:t>Enterprise CAL Suite Bridge per Windows</w:t>
            </w:r>
            <w:r w:rsidR="00E53A46" w:rsidRPr="003F471F">
              <w:rPr>
                <w:rFonts w:ascii="Tahoma" w:hAnsi="Tahoma" w:cs="Tahoma"/>
                <w:sz w:val="14"/>
                <w:vertAlign w:val="superscript"/>
                <w:lang w:val="it-IT"/>
              </w:rPr>
              <w:t>®</w:t>
            </w:r>
            <w:r w:rsidRPr="003F471F">
              <w:rPr>
                <w:rFonts w:ascii="Tahoma" w:hAnsi="Tahoma" w:cs="Tahoma"/>
                <w:sz w:val="14"/>
                <w:lang w:val="it-IT"/>
              </w:rPr>
              <w:t xml:space="preserve"> Intune (Utente e Dispositivo)</w:t>
            </w:r>
            <w:bookmarkEnd w:id="174"/>
            <w:bookmarkEnd w:id="175"/>
          </w:p>
        </w:tc>
        <w:tc>
          <w:tcPr>
            <w:tcW w:w="554" w:type="dxa"/>
            <w:tcBorders>
              <w:bottom w:val="single" w:sz="4" w:space="0" w:color="auto"/>
            </w:tcBorders>
            <w:shd w:val="clear" w:color="auto" w:fill="FABF8F"/>
            <w:vAlign w:val="center"/>
          </w:tcPr>
          <w:p w14:paraId="045E35CC" w14:textId="77777777" w:rsidR="00913A0A" w:rsidRPr="0058047D" w:rsidRDefault="00C86F50" w:rsidP="003D4F46">
            <w:pPr>
              <w:pStyle w:val="TableText"/>
              <w:widowControl w:val="0"/>
              <w:rPr>
                <w:b/>
                <w:color w:val="0000FF"/>
                <w:sz w:val="13"/>
                <w:szCs w:val="13"/>
                <w:u w:val="single"/>
              </w:rPr>
            </w:pPr>
            <w:hyperlink w:anchor="_46_Enterprise_CAL" w:history="1">
              <w:r w:rsidR="00BF5FC6" w:rsidRPr="0058047D">
                <w:rPr>
                  <w:rStyle w:val="Hyperlink"/>
                  <w:b/>
                  <w:sz w:val="13"/>
                  <w:szCs w:val="13"/>
                </w:rPr>
                <w:t>45</w:t>
              </w:r>
            </w:hyperlink>
            <w:hyperlink w:anchor="Srv_45EntCALBridgeWinIntune" w:history="1"/>
          </w:p>
        </w:tc>
        <w:tc>
          <w:tcPr>
            <w:tcW w:w="516" w:type="dxa"/>
            <w:tcBorders>
              <w:bottom w:val="single" w:sz="4" w:space="0" w:color="auto"/>
            </w:tcBorders>
            <w:shd w:val="clear" w:color="auto" w:fill="FABF8F"/>
            <w:vAlign w:val="center"/>
          </w:tcPr>
          <w:p w14:paraId="2D428A7C" w14:textId="77777777" w:rsidR="00913A0A" w:rsidRPr="0058047D" w:rsidRDefault="00913A0A" w:rsidP="001A63C6">
            <w:pPr>
              <w:pStyle w:val="TableText"/>
              <w:widowControl w:val="0"/>
              <w:spacing w:before="40"/>
              <w:rPr>
                <w:rFonts w:ascii="Tahoma" w:hAnsi="Tahoma" w:cs="Tahoma"/>
                <w:sz w:val="13"/>
              </w:rPr>
            </w:pPr>
            <w:r w:rsidRPr="0058047D">
              <w:rPr>
                <w:rFonts w:ascii="Tahoma" w:hAnsi="Tahoma" w:cs="Tahoma"/>
                <w:sz w:val="13"/>
              </w:rPr>
              <w:t>04/11</w:t>
            </w:r>
          </w:p>
        </w:tc>
        <w:tc>
          <w:tcPr>
            <w:tcW w:w="358" w:type="dxa"/>
            <w:tcBorders>
              <w:bottom w:val="single" w:sz="4" w:space="0" w:color="auto"/>
              <w:right w:val="single" w:sz="18" w:space="0" w:color="auto"/>
            </w:tcBorders>
            <w:shd w:val="clear" w:color="auto" w:fill="FABF8F"/>
            <w:vAlign w:val="center"/>
          </w:tcPr>
          <w:p w14:paraId="6CC77370"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center"/>
          </w:tcPr>
          <w:p w14:paraId="3AA478F6"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52C15726" w14:textId="77777777" w:rsidR="00913A0A" w:rsidRPr="0058047D" w:rsidRDefault="00913A0A" w:rsidP="001A63C6">
            <w:pPr>
              <w:pStyle w:val="TableText"/>
              <w:widowControl w:val="0"/>
              <w:rPr>
                <w:rFonts w:ascii="Tahoma" w:hAnsi="Tahoma" w:cs="Tahoma"/>
                <w:bCs/>
                <w:color w:val="000000"/>
                <w:sz w:val="13"/>
              </w:rPr>
            </w:pPr>
          </w:p>
        </w:tc>
        <w:tc>
          <w:tcPr>
            <w:tcW w:w="456" w:type="dxa"/>
            <w:gridSpan w:val="2"/>
            <w:tcBorders>
              <w:bottom w:val="single" w:sz="4" w:space="0" w:color="auto"/>
            </w:tcBorders>
            <w:shd w:val="clear" w:color="auto" w:fill="FABF8F"/>
            <w:vAlign w:val="center"/>
          </w:tcPr>
          <w:p w14:paraId="5E392837" w14:textId="77777777" w:rsidR="00913A0A" w:rsidRPr="0058047D" w:rsidRDefault="00913A0A" w:rsidP="001A63C6">
            <w:pPr>
              <w:pStyle w:val="TableText"/>
              <w:widowControl w:val="0"/>
              <w:rPr>
                <w:rFonts w:ascii="Tahoma" w:hAnsi="Tahoma" w:cs="Tahoma"/>
                <w:bCs/>
                <w:color w:val="000000"/>
                <w:sz w:val="13"/>
              </w:rPr>
            </w:pPr>
          </w:p>
        </w:tc>
        <w:tc>
          <w:tcPr>
            <w:tcW w:w="366" w:type="dxa"/>
            <w:tcBorders>
              <w:bottom w:val="single" w:sz="4" w:space="0" w:color="auto"/>
            </w:tcBorders>
            <w:shd w:val="clear" w:color="auto" w:fill="FABF8F"/>
            <w:vAlign w:val="center"/>
          </w:tcPr>
          <w:p w14:paraId="51C8B6E6" w14:textId="77777777" w:rsidR="00913A0A" w:rsidRPr="0058047D" w:rsidRDefault="00913A0A"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FABF8F"/>
            <w:vAlign w:val="center"/>
          </w:tcPr>
          <w:p w14:paraId="1C1D6522" w14:textId="77777777" w:rsidR="00913A0A" w:rsidRPr="0058047D" w:rsidRDefault="00913A0A"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FABF8F"/>
            <w:vAlign w:val="center"/>
          </w:tcPr>
          <w:p w14:paraId="2EBD7915" w14:textId="77777777" w:rsidR="00913A0A" w:rsidRPr="0058047D" w:rsidRDefault="00913A0A" w:rsidP="001A63C6">
            <w:pPr>
              <w:pStyle w:val="TableText"/>
              <w:widowControl w:val="0"/>
              <w:rPr>
                <w:rFonts w:ascii="Tahoma" w:hAnsi="Tahoma" w:cs="Tahoma"/>
                <w:bCs/>
                <w:color w:val="000000"/>
                <w:sz w:val="13"/>
              </w:rPr>
            </w:pPr>
          </w:p>
        </w:tc>
        <w:tc>
          <w:tcPr>
            <w:tcW w:w="336" w:type="dxa"/>
            <w:tcBorders>
              <w:bottom w:val="single" w:sz="4" w:space="0" w:color="auto"/>
              <w:right w:val="single" w:sz="18" w:space="0" w:color="auto"/>
            </w:tcBorders>
            <w:shd w:val="clear" w:color="auto" w:fill="FABF8F"/>
            <w:vAlign w:val="center"/>
          </w:tcPr>
          <w:p w14:paraId="35DAE928" w14:textId="77777777" w:rsidR="00913A0A" w:rsidRPr="0058047D" w:rsidRDefault="00913A0A" w:rsidP="001A63C6">
            <w:pPr>
              <w:pStyle w:val="TableText"/>
              <w:widowControl w:val="0"/>
              <w:rPr>
                <w:rFonts w:ascii="Tahoma" w:hAnsi="Tahoma" w:cs="Tahoma"/>
                <w:color w:val="000000"/>
                <w:sz w:val="13"/>
              </w:rPr>
            </w:pPr>
          </w:p>
        </w:tc>
        <w:tc>
          <w:tcPr>
            <w:tcW w:w="477" w:type="dxa"/>
            <w:tcBorders>
              <w:left w:val="single" w:sz="18" w:space="0" w:color="auto"/>
              <w:bottom w:val="single" w:sz="4" w:space="0" w:color="auto"/>
            </w:tcBorders>
            <w:shd w:val="clear" w:color="auto" w:fill="FABF8F"/>
            <w:vAlign w:val="center"/>
          </w:tcPr>
          <w:p w14:paraId="2A2F64CC"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3AA199"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1F567354"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52932406"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71D9D118"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4C377A88"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vAlign w:val="center"/>
          </w:tcPr>
          <w:p w14:paraId="07649424"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3893EFA9"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1E5E0448" w14:textId="77777777" w:rsidR="00913A0A" w:rsidRPr="0058047D" w:rsidRDefault="00913A0A" w:rsidP="001A63C6">
            <w:pPr>
              <w:pStyle w:val="TableText"/>
              <w:widowControl w:val="0"/>
              <w:rPr>
                <w:rFonts w:ascii="Tahoma" w:hAnsi="Tahoma" w:cs="Tahoma"/>
                <w:sz w:val="13"/>
              </w:rPr>
            </w:pPr>
          </w:p>
        </w:tc>
      </w:tr>
      <w:tr w:rsidR="00F96F42" w:rsidRPr="0058047D" w14:paraId="245FCC26" w14:textId="77777777" w:rsidTr="00C86F50">
        <w:trPr>
          <w:trHeight w:val="145"/>
        </w:trPr>
        <w:tc>
          <w:tcPr>
            <w:tcW w:w="2619" w:type="dxa"/>
            <w:gridSpan w:val="2"/>
            <w:tcBorders>
              <w:bottom w:val="single" w:sz="4" w:space="0" w:color="auto"/>
            </w:tcBorders>
            <w:shd w:val="clear" w:color="auto" w:fill="auto"/>
            <w:vAlign w:val="center"/>
          </w:tcPr>
          <w:p w14:paraId="2F6D5E15" w14:textId="77777777" w:rsidR="00913A0A" w:rsidRPr="0058047D" w:rsidRDefault="00913A0A" w:rsidP="00E077BC">
            <w:pPr>
              <w:pStyle w:val="ProductNames"/>
              <w:spacing w:beforeLines="20" w:before="48" w:afterLines="20" w:after="48"/>
              <w:rPr>
                <w:rFonts w:ascii="Tahoma" w:hAnsi="Tahoma" w:cs="Tahoma"/>
                <w:sz w:val="14"/>
              </w:rPr>
            </w:pPr>
            <w:bookmarkStart w:id="176" w:name="_Toc336337945"/>
            <w:bookmarkStart w:id="177" w:name="_Toc371663348"/>
            <w:r w:rsidRPr="0058047D">
              <w:rPr>
                <w:rFonts w:ascii="Tahoma" w:hAnsi="Tahoma" w:cs="Tahoma"/>
                <w:sz w:val="14"/>
              </w:rPr>
              <w:t>Enterprise CAL Suite (Utente e Dispositivo)</w:t>
            </w:r>
            <w:bookmarkEnd w:id="176"/>
            <w:bookmarkEnd w:id="177"/>
            <w:r w:rsidRPr="0058047D">
              <w:rPr>
                <w:rFonts w:ascii="Tahoma" w:hAnsi="Tahoma" w:cs="Tahoma"/>
                <w:sz w:val="14"/>
              </w:rPr>
              <w:t xml:space="preserve"> </w:t>
            </w:r>
          </w:p>
        </w:tc>
        <w:tc>
          <w:tcPr>
            <w:tcW w:w="554" w:type="dxa"/>
            <w:tcBorders>
              <w:bottom w:val="single" w:sz="4" w:space="0" w:color="auto"/>
            </w:tcBorders>
            <w:shd w:val="clear" w:color="auto" w:fill="auto"/>
            <w:vAlign w:val="center"/>
          </w:tcPr>
          <w:p w14:paraId="11BF07B9" w14:textId="77777777" w:rsidR="00913A0A" w:rsidRPr="0058047D" w:rsidRDefault="00C86F50" w:rsidP="003D4F46">
            <w:pPr>
              <w:pStyle w:val="TableText"/>
              <w:widowControl w:val="0"/>
              <w:rPr>
                <w:rStyle w:val="EndnoteReference"/>
                <w:color w:val="0000FF"/>
                <w:position w:val="-11"/>
                <w:sz w:val="13"/>
                <w:szCs w:val="13"/>
                <w:u w:val="single"/>
              </w:rPr>
            </w:pPr>
            <w:hyperlink w:anchor="_47_Enterprise_CAL" w:history="1">
              <w:r w:rsidR="00BF5FC6" w:rsidRPr="0058047D">
                <w:rPr>
                  <w:rStyle w:val="Hyperlink"/>
                  <w:b/>
                  <w:sz w:val="13"/>
                  <w:szCs w:val="13"/>
                </w:rPr>
                <w:t>46</w:t>
              </w:r>
            </w:hyperlink>
          </w:p>
        </w:tc>
        <w:tc>
          <w:tcPr>
            <w:tcW w:w="516" w:type="dxa"/>
            <w:tcBorders>
              <w:bottom w:val="single" w:sz="4" w:space="0" w:color="auto"/>
            </w:tcBorders>
            <w:shd w:val="clear" w:color="auto" w:fill="auto"/>
            <w:vAlign w:val="center"/>
          </w:tcPr>
          <w:p w14:paraId="6898119B" w14:textId="77777777" w:rsidR="00913A0A" w:rsidRPr="0058047D" w:rsidRDefault="00913A0A" w:rsidP="001A63C6">
            <w:pPr>
              <w:pStyle w:val="TableText"/>
              <w:widowControl w:val="0"/>
              <w:spacing w:before="40"/>
              <w:rPr>
                <w:rFonts w:ascii="Tahoma" w:hAnsi="Tahoma" w:cs="Tahoma"/>
                <w:sz w:val="13"/>
              </w:rPr>
            </w:pPr>
            <w:r w:rsidRPr="0058047D">
              <w:rPr>
                <w:rFonts w:ascii="Tahoma" w:hAnsi="Tahoma" w:cs="Tahoma"/>
                <w:sz w:val="13"/>
              </w:rPr>
              <w:t>10/06</w:t>
            </w:r>
          </w:p>
        </w:tc>
        <w:tc>
          <w:tcPr>
            <w:tcW w:w="358" w:type="dxa"/>
            <w:tcBorders>
              <w:bottom w:val="single" w:sz="4" w:space="0" w:color="auto"/>
              <w:right w:val="single" w:sz="18" w:space="0" w:color="auto"/>
            </w:tcBorders>
            <w:shd w:val="clear" w:color="auto" w:fill="auto"/>
            <w:vAlign w:val="center"/>
          </w:tcPr>
          <w:p w14:paraId="2CE85980"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68BE5672"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6907302C" w14:textId="77777777" w:rsidR="00913A0A" w:rsidRPr="0058047D" w:rsidRDefault="00913A0A" w:rsidP="001A63C6">
            <w:pPr>
              <w:pStyle w:val="TableText"/>
              <w:widowControl w:val="0"/>
              <w:rPr>
                <w:rFonts w:ascii="Tahoma" w:hAnsi="Tahoma" w:cs="Tahoma"/>
                <w:sz w:val="13"/>
              </w:rPr>
            </w:pPr>
            <w:r w:rsidRPr="0058047D">
              <w:rPr>
                <w:rFonts w:ascii="Tahoma" w:hAnsi="Tahoma" w:cs="Tahoma"/>
                <w:bCs/>
                <w:color w:val="000000"/>
                <w:sz w:val="13"/>
              </w:rPr>
              <w:t>13</w:t>
            </w:r>
          </w:p>
        </w:tc>
        <w:tc>
          <w:tcPr>
            <w:tcW w:w="456" w:type="dxa"/>
            <w:gridSpan w:val="2"/>
            <w:tcBorders>
              <w:bottom w:val="single" w:sz="4" w:space="0" w:color="auto"/>
            </w:tcBorders>
            <w:shd w:val="clear" w:color="auto" w:fill="auto"/>
            <w:vAlign w:val="center"/>
          </w:tcPr>
          <w:p w14:paraId="53D0033E" w14:textId="77777777" w:rsidR="00913A0A" w:rsidRPr="0058047D" w:rsidRDefault="00913A0A" w:rsidP="001A63C6">
            <w:pPr>
              <w:pStyle w:val="TableText"/>
              <w:widowControl w:val="0"/>
              <w:rPr>
                <w:rFonts w:ascii="Tahoma" w:hAnsi="Tahoma" w:cs="Tahoma"/>
                <w:sz w:val="13"/>
              </w:rPr>
            </w:pPr>
            <w:r w:rsidRPr="0058047D">
              <w:rPr>
                <w:rFonts w:ascii="Tahoma" w:hAnsi="Tahoma" w:cs="Tahoma"/>
                <w:bCs/>
                <w:color w:val="000000"/>
                <w:sz w:val="13"/>
              </w:rPr>
              <w:t>10</w:t>
            </w:r>
          </w:p>
        </w:tc>
        <w:tc>
          <w:tcPr>
            <w:tcW w:w="366" w:type="dxa"/>
            <w:tcBorders>
              <w:bottom w:val="single" w:sz="4" w:space="0" w:color="auto"/>
            </w:tcBorders>
            <w:shd w:val="clear" w:color="auto" w:fill="auto"/>
            <w:vAlign w:val="center"/>
          </w:tcPr>
          <w:p w14:paraId="6E1933A4" w14:textId="77777777" w:rsidR="00913A0A" w:rsidRPr="0058047D" w:rsidRDefault="00913A0A" w:rsidP="001A63C6">
            <w:pPr>
              <w:pStyle w:val="TableText"/>
              <w:widowControl w:val="0"/>
              <w:rPr>
                <w:rFonts w:ascii="Tahoma" w:hAnsi="Tahoma" w:cs="Tahoma"/>
                <w:sz w:val="13"/>
              </w:rPr>
            </w:pPr>
            <w:r w:rsidRPr="0058047D">
              <w:rPr>
                <w:rFonts w:ascii="Tahoma" w:hAnsi="Tahoma" w:cs="Tahoma"/>
                <w:bCs/>
                <w:color w:val="000000"/>
                <w:sz w:val="13"/>
              </w:rPr>
              <w:t>8</w:t>
            </w:r>
          </w:p>
        </w:tc>
        <w:tc>
          <w:tcPr>
            <w:tcW w:w="450" w:type="dxa"/>
            <w:tcBorders>
              <w:bottom w:val="single" w:sz="4" w:space="0" w:color="auto"/>
            </w:tcBorders>
            <w:shd w:val="clear" w:color="auto" w:fill="auto"/>
            <w:vAlign w:val="center"/>
          </w:tcPr>
          <w:p w14:paraId="57DF1DC7" w14:textId="77777777" w:rsidR="00913A0A" w:rsidRPr="0058047D" w:rsidRDefault="00913A0A" w:rsidP="001A63C6">
            <w:pPr>
              <w:pStyle w:val="TableText"/>
              <w:widowControl w:val="0"/>
              <w:rPr>
                <w:rFonts w:ascii="Tahoma" w:hAnsi="Tahoma" w:cs="Tahoma"/>
                <w:sz w:val="13"/>
              </w:rPr>
            </w:pPr>
            <w:r w:rsidRPr="0058047D">
              <w:rPr>
                <w:rFonts w:ascii="Tahoma" w:hAnsi="Tahoma" w:cs="Tahoma"/>
                <w:bCs/>
                <w:color w:val="000000"/>
                <w:sz w:val="13"/>
              </w:rPr>
              <w:t>8</w:t>
            </w:r>
          </w:p>
        </w:tc>
        <w:tc>
          <w:tcPr>
            <w:tcW w:w="450" w:type="dxa"/>
            <w:tcBorders>
              <w:bottom w:val="single" w:sz="4" w:space="0" w:color="auto"/>
            </w:tcBorders>
            <w:shd w:val="clear" w:color="auto" w:fill="auto"/>
            <w:vAlign w:val="center"/>
          </w:tcPr>
          <w:p w14:paraId="2586373B" w14:textId="77777777" w:rsidR="00913A0A" w:rsidRPr="0058047D" w:rsidRDefault="00913A0A" w:rsidP="001A63C6">
            <w:pPr>
              <w:pStyle w:val="TableText"/>
              <w:widowControl w:val="0"/>
              <w:rPr>
                <w:rFonts w:ascii="Tahoma" w:hAnsi="Tahoma" w:cs="Tahoma"/>
                <w:sz w:val="13"/>
              </w:rPr>
            </w:pPr>
            <w:r w:rsidRPr="0058047D">
              <w:rPr>
                <w:rFonts w:ascii="Tahoma" w:hAnsi="Tahoma" w:cs="Tahoma"/>
                <w:bCs/>
                <w:color w:val="000000"/>
                <w:sz w:val="13"/>
              </w:rPr>
              <w:t>5</w:t>
            </w:r>
          </w:p>
        </w:tc>
        <w:tc>
          <w:tcPr>
            <w:tcW w:w="336" w:type="dxa"/>
            <w:tcBorders>
              <w:bottom w:val="single" w:sz="4" w:space="0" w:color="auto"/>
              <w:right w:val="single" w:sz="18" w:space="0" w:color="auto"/>
            </w:tcBorders>
            <w:shd w:val="clear" w:color="auto" w:fill="auto"/>
            <w:vAlign w:val="center"/>
          </w:tcPr>
          <w:p w14:paraId="2901A767" w14:textId="77777777" w:rsidR="00913A0A" w:rsidRPr="0058047D" w:rsidRDefault="00913A0A" w:rsidP="001A63C6">
            <w:pPr>
              <w:pStyle w:val="TableText"/>
              <w:widowControl w:val="0"/>
              <w:rPr>
                <w:rFonts w:ascii="Tahoma" w:hAnsi="Tahoma" w:cs="Tahoma"/>
                <w:sz w:val="13"/>
              </w:rPr>
            </w:pPr>
            <w:r w:rsidRPr="0058047D">
              <w:rPr>
                <w:rFonts w:ascii="Tahoma" w:hAnsi="Tahoma" w:cs="Tahoma"/>
                <w:color w:val="000000"/>
                <w:sz w:val="13"/>
              </w:rPr>
              <w:t>3</w:t>
            </w:r>
          </w:p>
        </w:tc>
        <w:tc>
          <w:tcPr>
            <w:tcW w:w="477" w:type="dxa"/>
            <w:tcBorders>
              <w:left w:val="single" w:sz="18" w:space="0" w:color="auto"/>
              <w:bottom w:val="single" w:sz="4" w:space="0" w:color="auto"/>
            </w:tcBorders>
            <w:shd w:val="clear" w:color="auto" w:fill="auto"/>
            <w:vAlign w:val="center"/>
          </w:tcPr>
          <w:p w14:paraId="3F7FF382"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AAD9AF1"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611DEBC9"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53EB6ED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 E</w:t>
            </w:r>
          </w:p>
        </w:tc>
        <w:tc>
          <w:tcPr>
            <w:tcW w:w="477" w:type="dxa"/>
            <w:tcBorders>
              <w:bottom w:val="single" w:sz="4" w:space="0" w:color="auto"/>
              <w:right w:val="single" w:sz="18" w:space="0" w:color="auto"/>
            </w:tcBorders>
            <w:shd w:val="clear" w:color="auto" w:fill="auto"/>
            <w:vAlign w:val="center"/>
          </w:tcPr>
          <w:p w14:paraId="0A08DCE5"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E</w:t>
            </w:r>
          </w:p>
        </w:tc>
        <w:tc>
          <w:tcPr>
            <w:tcW w:w="324" w:type="dxa"/>
            <w:tcBorders>
              <w:left w:val="single" w:sz="18" w:space="0" w:color="auto"/>
              <w:bottom w:val="single" w:sz="4" w:space="0" w:color="auto"/>
              <w:right w:val="single" w:sz="18" w:space="0" w:color="auto"/>
            </w:tcBorders>
            <w:shd w:val="clear" w:color="auto" w:fill="auto"/>
            <w:vAlign w:val="center"/>
          </w:tcPr>
          <w:p w14:paraId="110EF10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E, P</w:t>
            </w:r>
          </w:p>
        </w:tc>
        <w:tc>
          <w:tcPr>
            <w:tcW w:w="655" w:type="dxa"/>
            <w:tcBorders>
              <w:bottom w:val="single" w:sz="4" w:space="0" w:color="auto"/>
            </w:tcBorders>
            <w:shd w:val="clear" w:color="auto" w:fill="auto"/>
            <w:vAlign w:val="center"/>
          </w:tcPr>
          <w:p w14:paraId="05420126"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E, ST</w:t>
            </w:r>
          </w:p>
        </w:tc>
        <w:tc>
          <w:tcPr>
            <w:tcW w:w="504" w:type="dxa"/>
            <w:tcBorders>
              <w:bottom w:val="single" w:sz="4" w:space="0" w:color="auto"/>
            </w:tcBorders>
            <w:shd w:val="clear" w:color="auto" w:fill="auto"/>
            <w:vAlign w:val="center"/>
          </w:tcPr>
          <w:p w14:paraId="5032D397"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tcPr>
          <w:p w14:paraId="48EC17F4" w14:textId="77777777" w:rsidR="00913A0A" w:rsidRPr="0058047D" w:rsidRDefault="00913A0A" w:rsidP="001A63C6">
            <w:pPr>
              <w:pStyle w:val="TableText"/>
              <w:widowControl w:val="0"/>
              <w:rPr>
                <w:rFonts w:ascii="Tahoma" w:hAnsi="Tahoma" w:cs="Tahoma"/>
                <w:sz w:val="13"/>
              </w:rPr>
            </w:pPr>
          </w:p>
        </w:tc>
      </w:tr>
      <w:tr w:rsidR="00F96F42" w:rsidRPr="0058047D" w14:paraId="1DDB57AB" w14:textId="77777777" w:rsidTr="00C86F50">
        <w:trPr>
          <w:trHeight w:val="145"/>
        </w:trPr>
        <w:tc>
          <w:tcPr>
            <w:tcW w:w="2619" w:type="dxa"/>
            <w:gridSpan w:val="2"/>
            <w:tcBorders>
              <w:bottom w:val="single" w:sz="4" w:space="0" w:color="auto"/>
            </w:tcBorders>
            <w:shd w:val="clear" w:color="auto" w:fill="FABF8F"/>
            <w:vAlign w:val="center"/>
          </w:tcPr>
          <w:p w14:paraId="0A27A5D9" w14:textId="77777777" w:rsidR="00913A0A" w:rsidRPr="003F471F" w:rsidRDefault="00913A0A" w:rsidP="001A63C6">
            <w:pPr>
              <w:pStyle w:val="ProductNames"/>
              <w:rPr>
                <w:rFonts w:ascii="Tahoma" w:hAnsi="Tahoma" w:cs="Tahoma"/>
                <w:sz w:val="14"/>
                <w:lang w:val="it-IT"/>
              </w:rPr>
            </w:pPr>
            <w:bookmarkStart w:id="178" w:name="_Toc371663349"/>
            <w:r w:rsidRPr="003F471F">
              <w:rPr>
                <w:rFonts w:ascii="Tahoma" w:hAnsi="Tahoma" w:cs="Tahoma"/>
                <w:sz w:val="14"/>
                <w:lang w:val="it-IT"/>
              </w:rPr>
              <w:t>Enterprise CAL per Exchange 2013 con Servizi</w:t>
            </w:r>
            <w:bookmarkEnd w:id="178"/>
          </w:p>
        </w:tc>
        <w:tc>
          <w:tcPr>
            <w:tcW w:w="554" w:type="dxa"/>
            <w:tcBorders>
              <w:bottom w:val="single" w:sz="4" w:space="0" w:color="auto"/>
            </w:tcBorders>
            <w:shd w:val="clear" w:color="auto" w:fill="FABF8F"/>
            <w:vAlign w:val="center"/>
          </w:tcPr>
          <w:p w14:paraId="2E1239B8" w14:textId="77777777" w:rsidR="00913A0A" w:rsidRPr="0058047D" w:rsidRDefault="00C86F50" w:rsidP="003D4F46">
            <w:pPr>
              <w:pStyle w:val="TableText"/>
              <w:widowControl w:val="0"/>
              <w:rPr>
                <w:b/>
                <w:sz w:val="13"/>
                <w:szCs w:val="13"/>
                <w:u w:val="single"/>
              </w:rPr>
            </w:pPr>
            <w:hyperlink w:anchor="_48_Exchange_Enterprise" w:history="1">
              <w:r w:rsidR="00BF5FC6" w:rsidRPr="0058047D">
                <w:rPr>
                  <w:rStyle w:val="Hyperlink"/>
                  <w:b/>
                  <w:sz w:val="13"/>
                  <w:szCs w:val="13"/>
                </w:rPr>
                <w:t>47</w:t>
              </w:r>
            </w:hyperlink>
          </w:p>
        </w:tc>
        <w:tc>
          <w:tcPr>
            <w:tcW w:w="516" w:type="dxa"/>
            <w:tcBorders>
              <w:bottom w:val="single" w:sz="4" w:space="0" w:color="auto"/>
            </w:tcBorders>
            <w:shd w:val="clear" w:color="auto" w:fill="FABF8F"/>
            <w:vAlign w:val="center"/>
          </w:tcPr>
          <w:p w14:paraId="0C3D110D" w14:textId="77777777" w:rsidR="00913A0A" w:rsidRPr="0058047D" w:rsidRDefault="00913A0A" w:rsidP="001A63C6">
            <w:pPr>
              <w:pStyle w:val="TableText"/>
              <w:widowControl w:val="0"/>
              <w:spacing w:before="40"/>
              <w:rPr>
                <w:rFonts w:ascii="Tahoma" w:hAnsi="Tahoma" w:cs="Tahoma"/>
                <w:sz w:val="13"/>
              </w:rPr>
            </w:pPr>
            <w:r w:rsidRPr="0058047D">
              <w:rPr>
                <w:rFonts w:ascii="Tahoma" w:hAnsi="Tahoma" w:cs="Tahoma"/>
                <w:sz w:val="13"/>
              </w:rPr>
              <w:t>10/12</w:t>
            </w:r>
          </w:p>
        </w:tc>
        <w:tc>
          <w:tcPr>
            <w:tcW w:w="358" w:type="dxa"/>
            <w:tcBorders>
              <w:bottom w:val="single" w:sz="4" w:space="0" w:color="auto"/>
              <w:right w:val="single" w:sz="18" w:space="0" w:color="auto"/>
            </w:tcBorders>
            <w:shd w:val="clear" w:color="auto" w:fill="FABF8F"/>
            <w:vAlign w:val="center"/>
          </w:tcPr>
          <w:p w14:paraId="1DC3E4F5"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center"/>
          </w:tcPr>
          <w:p w14:paraId="7F335E8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324" w:type="dxa"/>
            <w:tcBorders>
              <w:bottom w:val="single" w:sz="4" w:space="0" w:color="auto"/>
            </w:tcBorders>
            <w:shd w:val="clear" w:color="auto" w:fill="FABF8F"/>
            <w:vAlign w:val="center"/>
          </w:tcPr>
          <w:p w14:paraId="70BF0F00" w14:textId="77777777" w:rsidR="00913A0A" w:rsidRPr="0058047D" w:rsidRDefault="00913A0A" w:rsidP="001A63C6">
            <w:pPr>
              <w:pStyle w:val="TableText"/>
              <w:widowControl w:val="0"/>
              <w:rPr>
                <w:rFonts w:ascii="Tahoma" w:hAnsi="Tahoma" w:cs="Tahoma"/>
                <w:bCs/>
                <w:color w:val="000000"/>
                <w:sz w:val="13"/>
              </w:rPr>
            </w:pPr>
            <w:r w:rsidRPr="0058047D">
              <w:rPr>
                <w:rFonts w:ascii="Tahoma" w:hAnsi="Tahoma" w:cs="Tahoma"/>
                <w:bCs/>
                <w:color w:val="000000"/>
                <w:sz w:val="13"/>
              </w:rPr>
              <w:t>3</w:t>
            </w:r>
          </w:p>
        </w:tc>
        <w:tc>
          <w:tcPr>
            <w:tcW w:w="456" w:type="dxa"/>
            <w:gridSpan w:val="2"/>
            <w:tcBorders>
              <w:bottom w:val="single" w:sz="4" w:space="0" w:color="auto"/>
            </w:tcBorders>
            <w:shd w:val="clear" w:color="auto" w:fill="FABF8F"/>
            <w:vAlign w:val="center"/>
          </w:tcPr>
          <w:p w14:paraId="6CAF73CD" w14:textId="77777777" w:rsidR="00913A0A" w:rsidRPr="0058047D" w:rsidRDefault="00913A0A" w:rsidP="001A63C6">
            <w:pPr>
              <w:pStyle w:val="TableText"/>
              <w:widowControl w:val="0"/>
              <w:rPr>
                <w:rFonts w:ascii="Tahoma" w:hAnsi="Tahoma" w:cs="Tahoma"/>
                <w:bCs/>
                <w:color w:val="000000"/>
                <w:sz w:val="13"/>
              </w:rPr>
            </w:pPr>
            <w:r w:rsidRPr="0058047D">
              <w:rPr>
                <w:rFonts w:ascii="Tahoma" w:hAnsi="Tahoma" w:cs="Tahoma"/>
                <w:bCs/>
                <w:color w:val="000000"/>
                <w:sz w:val="13"/>
              </w:rPr>
              <w:t>2</w:t>
            </w:r>
          </w:p>
        </w:tc>
        <w:tc>
          <w:tcPr>
            <w:tcW w:w="366" w:type="dxa"/>
            <w:tcBorders>
              <w:bottom w:val="single" w:sz="4" w:space="0" w:color="auto"/>
            </w:tcBorders>
            <w:shd w:val="clear" w:color="auto" w:fill="FABF8F"/>
            <w:vAlign w:val="center"/>
          </w:tcPr>
          <w:p w14:paraId="21FA629B" w14:textId="77777777" w:rsidR="00913A0A" w:rsidRPr="0058047D" w:rsidRDefault="00913A0A" w:rsidP="001A63C6">
            <w:pPr>
              <w:pStyle w:val="TableText"/>
              <w:widowControl w:val="0"/>
              <w:rPr>
                <w:rFonts w:ascii="Tahoma" w:hAnsi="Tahoma" w:cs="Tahoma"/>
                <w:bCs/>
                <w:color w:val="000000"/>
                <w:sz w:val="13"/>
              </w:rPr>
            </w:pPr>
            <w:r w:rsidRPr="0058047D">
              <w:rPr>
                <w:rFonts w:ascii="Tahoma" w:hAnsi="Tahoma" w:cs="Tahoma"/>
                <w:bCs/>
                <w:color w:val="000000"/>
                <w:sz w:val="13"/>
              </w:rPr>
              <w:t>2</w:t>
            </w:r>
          </w:p>
        </w:tc>
        <w:tc>
          <w:tcPr>
            <w:tcW w:w="450" w:type="dxa"/>
            <w:tcBorders>
              <w:bottom w:val="single" w:sz="4" w:space="0" w:color="auto"/>
            </w:tcBorders>
            <w:shd w:val="clear" w:color="auto" w:fill="FABF8F"/>
            <w:vAlign w:val="center"/>
          </w:tcPr>
          <w:p w14:paraId="1DA593C6" w14:textId="77777777" w:rsidR="00913A0A" w:rsidRPr="0058047D" w:rsidRDefault="00913A0A" w:rsidP="001A63C6">
            <w:pPr>
              <w:pStyle w:val="TableText"/>
              <w:widowControl w:val="0"/>
              <w:rPr>
                <w:rFonts w:ascii="Tahoma" w:hAnsi="Tahoma" w:cs="Tahoma"/>
                <w:bCs/>
                <w:color w:val="000000"/>
                <w:sz w:val="13"/>
              </w:rPr>
            </w:pPr>
            <w:r w:rsidRPr="0058047D">
              <w:rPr>
                <w:rFonts w:ascii="Tahoma" w:hAnsi="Tahoma" w:cs="Tahoma"/>
                <w:bCs/>
                <w:color w:val="000000"/>
                <w:sz w:val="13"/>
              </w:rPr>
              <w:t>2</w:t>
            </w:r>
          </w:p>
        </w:tc>
        <w:tc>
          <w:tcPr>
            <w:tcW w:w="450" w:type="dxa"/>
            <w:tcBorders>
              <w:bottom w:val="single" w:sz="4" w:space="0" w:color="auto"/>
            </w:tcBorders>
            <w:shd w:val="clear" w:color="auto" w:fill="FABF8F"/>
            <w:vAlign w:val="center"/>
          </w:tcPr>
          <w:p w14:paraId="7422E6FF" w14:textId="77777777" w:rsidR="00913A0A" w:rsidRPr="0058047D" w:rsidRDefault="00913A0A" w:rsidP="001A63C6">
            <w:pPr>
              <w:pStyle w:val="TableText"/>
              <w:widowControl w:val="0"/>
              <w:rPr>
                <w:rFonts w:ascii="Tahoma" w:hAnsi="Tahoma" w:cs="Tahoma"/>
                <w:bCs/>
                <w:color w:val="000000"/>
                <w:sz w:val="13"/>
              </w:rPr>
            </w:pPr>
            <w:r w:rsidRPr="0058047D">
              <w:rPr>
                <w:rFonts w:ascii="Tahoma" w:hAnsi="Tahoma" w:cs="Tahoma"/>
                <w:bCs/>
                <w:color w:val="000000"/>
                <w:sz w:val="13"/>
              </w:rPr>
              <w:t>1</w:t>
            </w:r>
          </w:p>
        </w:tc>
        <w:tc>
          <w:tcPr>
            <w:tcW w:w="336" w:type="dxa"/>
            <w:tcBorders>
              <w:bottom w:val="single" w:sz="4" w:space="0" w:color="auto"/>
              <w:right w:val="single" w:sz="18" w:space="0" w:color="auto"/>
            </w:tcBorders>
            <w:shd w:val="clear" w:color="auto" w:fill="FABF8F"/>
            <w:vAlign w:val="center"/>
          </w:tcPr>
          <w:p w14:paraId="7A04BD31"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1</w:t>
            </w:r>
          </w:p>
        </w:tc>
        <w:tc>
          <w:tcPr>
            <w:tcW w:w="477" w:type="dxa"/>
            <w:tcBorders>
              <w:left w:val="single" w:sz="18" w:space="0" w:color="auto"/>
              <w:bottom w:val="single" w:sz="4" w:space="0" w:color="auto"/>
            </w:tcBorders>
            <w:shd w:val="clear" w:color="auto" w:fill="FABF8F"/>
            <w:vAlign w:val="center"/>
          </w:tcPr>
          <w:p w14:paraId="22DB0B0C"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84383C8"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612360E0"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25486DAF"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FABF8F"/>
            <w:vAlign w:val="center"/>
          </w:tcPr>
          <w:p w14:paraId="66A4932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52AE7BC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vAlign w:val="center"/>
          </w:tcPr>
          <w:p w14:paraId="0ACEC8F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FABF8F"/>
            <w:vAlign w:val="center"/>
          </w:tcPr>
          <w:p w14:paraId="39FFD557"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26A833E3" w14:textId="77777777" w:rsidR="00913A0A" w:rsidRPr="0058047D" w:rsidRDefault="00913A0A" w:rsidP="001A63C6">
            <w:pPr>
              <w:pStyle w:val="TableText"/>
              <w:widowControl w:val="0"/>
              <w:rPr>
                <w:rFonts w:ascii="Tahoma" w:hAnsi="Tahoma" w:cs="Tahoma"/>
                <w:sz w:val="13"/>
              </w:rPr>
            </w:pPr>
          </w:p>
        </w:tc>
      </w:tr>
      <w:tr w:rsidR="00F96F42" w:rsidRPr="0058047D" w14:paraId="38922DC2" w14:textId="77777777" w:rsidTr="00C86F50">
        <w:trPr>
          <w:trHeight w:val="145"/>
        </w:trPr>
        <w:tc>
          <w:tcPr>
            <w:tcW w:w="2619" w:type="dxa"/>
            <w:gridSpan w:val="2"/>
            <w:tcBorders>
              <w:bottom w:val="single" w:sz="4" w:space="0" w:color="auto"/>
            </w:tcBorders>
            <w:shd w:val="clear" w:color="auto" w:fill="auto"/>
          </w:tcPr>
          <w:p w14:paraId="02BF0A8D" w14:textId="77777777" w:rsidR="00913A0A" w:rsidRPr="003F471F" w:rsidRDefault="00913A0A" w:rsidP="001A63C6">
            <w:pPr>
              <w:pStyle w:val="Heading2"/>
              <w:ind w:left="0"/>
              <w:rPr>
                <w:rFonts w:ascii="Tahoma" w:hAnsi="Tahoma" w:cs="Tahoma"/>
                <w:b w:val="0"/>
                <w:sz w:val="14"/>
                <w:lang w:val="it-IT"/>
              </w:rPr>
            </w:pPr>
            <w:bookmarkStart w:id="179" w:name="_Toc371663350"/>
            <w:r w:rsidRPr="003F471F">
              <w:rPr>
                <w:rFonts w:ascii="Tahoma" w:hAnsi="Tahoma" w:cs="Tahoma"/>
                <w:b w:val="0"/>
                <w:sz w:val="14"/>
                <w:lang w:val="it-IT"/>
              </w:rPr>
              <w:t>Enterprise CAL per Exchange 2013 senza Servizi</w:t>
            </w:r>
            <w:bookmarkEnd w:id="179"/>
          </w:p>
        </w:tc>
        <w:tc>
          <w:tcPr>
            <w:tcW w:w="554" w:type="dxa"/>
            <w:tcBorders>
              <w:bottom w:val="single" w:sz="4" w:space="0" w:color="auto"/>
            </w:tcBorders>
            <w:shd w:val="clear" w:color="auto" w:fill="auto"/>
            <w:vAlign w:val="center"/>
          </w:tcPr>
          <w:p w14:paraId="76046503" w14:textId="77777777" w:rsidR="00913A0A" w:rsidRPr="003F471F" w:rsidRDefault="00913A0A" w:rsidP="001A63C6">
            <w:pPr>
              <w:pStyle w:val="TableText"/>
              <w:widowControl w:val="0"/>
              <w:rPr>
                <w:b/>
                <w:color w:val="0000FF"/>
                <w:sz w:val="13"/>
                <w:szCs w:val="13"/>
                <w:u w:val="single"/>
                <w:lang w:val="it-IT"/>
              </w:rPr>
            </w:pPr>
          </w:p>
        </w:tc>
        <w:tc>
          <w:tcPr>
            <w:tcW w:w="516" w:type="dxa"/>
            <w:tcBorders>
              <w:bottom w:val="single" w:sz="4" w:space="0" w:color="auto"/>
            </w:tcBorders>
            <w:shd w:val="clear" w:color="auto" w:fill="auto"/>
            <w:vAlign w:val="center"/>
          </w:tcPr>
          <w:p w14:paraId="21A4213A"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10/12</w:t>
            </w:r>
          </w:p>
        </w:tc>
        <w:tc>
          <w:tcPr>
            <w:tcW w:w="358" w:type="dxa"/>
            <w:tcBorders>
              <w:bottom w:val="single" w:sz="4" w:space="0" w:color="auto"/>
              <w:right w:val="single" w:sz="18" w:space="0" w:color="auto"/>
            </w:tcBorders>
            <w:shd w:val="clear" w:color="auto" w:fill="auto"/>
            <w:vAlign w:val="center"/>
          </w:tcPr>
          <w:p w14:paraId="309B5F4D"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auto"/>
            <w:vAlign w:val="center"/>
          </w:tcPr>
          <w:p w14:paraId="53A3CD69"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4E0C1713"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40DE1D40"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241508ED"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6043C6B"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B8ECA48"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2FF31E33"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1CDA4FB0"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50" w:type="dxa"/>
            <w:tcBorders>
              <w:bottom w:val="single" w:sz="4" w:space="0" w:color="auto"/>
            </w:tcBorders>
            <w:shd w:val="clear" w:color="auto" w:fill="auto"/>
            <w:vAlign w:val="center"/>
          </w:tcPr>
          <w:p w14:paraId="7E2FDF8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14" w:type="dxa"/>
            <w:tcBorders>
              <w:bottom w:val="single" w:sz="4" w:space="0" w:color="auto"/>
              <w:right w:val="single" w:sz="18" w:space="0" w:color="auto"/>
            </w:tcBorders>
            <w:shd w:val="clear" w:color="auto" w:fill="auto"/>
            <w:vAlign w:val="center"/>
          </w:tcPr>
          <w:p w14:paraId="0D9E96D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68" w:type="dxa"/>
            <w:tcBorders>
              <w:left w:val="single" w:sz="18" w:space="0" w:color="auto"/>
              <w:bottom w:val="single" w:sz="4" w:space="0" w:color="auto"/>
            </w:tcBorders>
            <w:shd w:val="clear" w:color="auto" w:fill="auto"/>
            <w:vAlign w:val="center"/>
          </w:tcPr>
          <w:p w14:paraId="180E298D"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auto"/>
            <w:vAlign w:val="center"/>
          </w:tcPr>
          <w:p w14:paraId="725CBF77"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6B2A2FBD"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vAlign w:val="center"/>
          </w:tcPr>
          <w:p w14:paraId="4C765B1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AO, ST</w:t>
            </w:r>
          </w:p>
        </w:tc>
        <w:tc>
          <w:tcPr>
            <w:tcW w:w="504" w:type="dxa"/>
            <w:tcBorders>
              <w:bottom w:val="single" w:sz="4" w:space="0" w:color="auto"/>
            </w:tcBorders>
            <w:shd w:val="clear" w:color="auto" w:fill="auto"/>
            <w:vAlign w:val="center"/>
          </w:tcPr>
          <w:p w14:paraId="7390B3A7"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tcPr>
          <w:p w14:paraId="11490003" w14:textId="77777777" w:rsidR="00913A0A" w:rsidRPr="0058047D" w:rsidRDefault="00913A0A" w:rsidP="001A63C6">
            <w:pPr>
              <w:pStyle w:val="TableText"/>
              <w:widowControl w:val="0"/>
              <w:rPr>
                <w:rFonts w:ascii="Tahoma" w:hAnsi="Tahoma" w:cs="Tahoma"/>
                <w:sz w:val="13"/>
              </w:rPr>
            </w:pPr>
          </w:p>
        </w:tc>
      </w:tr>
      <w:tr w:rsidR="00F96F42" w:rsidRPr="0058047D" w14:paraId="1B19D9CC" w14:textId="77777777" w:rsidTr="00C86F50">
        <w:trPr>
          <w:trHeight w:val="145"/>
        </w:trPr>
        <w:tc>
          <w:tcPr>
            <w:tcW w:w="2619" w:type="dxa"/>
            <w:gridSpan w:val="2"/>
            <w:tcBorders>
              <w:bottom w:val="single" w:sz="4" w:space="0" w:color="auto"/>
            </w:tcBorders>
            <w:shd w:val="clear" w:color="auto" w:fill="FABF8F"/>
          </w:tcPr>
          <w:p w14:paraId="5AF24DEE" w14:textId="77777777" w:rsidR="00913A0A" w:rsidRPr="003F471F" w:rsidRDefault="00913A0A" w:rsidP="001A63C6">
            <w:pPr>
              <w:pStyle w:val="Heading2"/>
              <w:ind w:left="0"/>
              <w:rPr>
                <w:rFonts w:ascii="Tahoma" w:hAnsi="Tahoma" w:cs="Tahoma"/>
                <w:b w:val="0"/>
                <w:sz w:val="14"/>
                <w:lang w:val="it-IT"/>
              </w:rPr>
            </w:pPr>
            <w:bookmarkStart w:id="180" w:name="_Toc336337946"/>
            <w:bookmarkStart w:id="181" w:name="_Toc371663351"/>
            <w:r w:rsidRPr="003F471F">
              <w:rPr>
                <w:rFonts w:ascii="Tahoma" w:hAnsi="Tahoma" w:cs="Tahoma"/>
                <w:b w:val="0"/>
                <w:sz w:val="14"/>
                <w:lang w:val="it-IT"/>
              </w:rPr>
              <w:t>Archiviazione Exchange Online</w:t>
            </w:r>
            <w:bookmarkEnd w:id="180"/>
            <w:r w:rsidRPr="003F471F">
              <w:rPr>
                <w:rFonts w:ascii="Tahoma" w:hAnsi="Tahoma" w:cs="Tahoma"/>
                <w:b w:val="0"/>
                <w:sz w:val="14"/>
                <w:lang w:val="it-IT"/>
              </w:rPr>
              <w:t xml:space="preserve"> per Exchange Server A (SL per Utente)</w:t>
            </w:r>
            <w:bookmarkEnd w:id="181"/>
          </w:p>
        </w:tc>
        <w:tc>
          <w:tcPr>
            <w:tcW w:w="554" w:type="dxa"/>
            <w:tcBorders>
              <w:bottom w:val="single" w:sz="4" w:space="0" w:color="auto"/>
            </w:tcBorders>
            <w:shd w:val="clear" w:color="auto" w:fill="FABF8F"/>
            <w:vAlign w:val="center"/>
          </w:tcPr>
          <w:p w14:paraId="1CA4973A" w14:textId="77777777" w:rsidR="00913A0A" w:rsidRPr="0058047D" w:rsidRDefault="00C86F50" w:rsidP="003D4F46">
            <w:pPr>
              <w:pStyle w:val="TableText"/>
              <w:widowControl w:val="0"/>
              <w:rPr>
                <w:b/>
                <w:color w:val="0000FF"/>
                <w:sz w:val="13"/>
                <w:szCs w:val="13"/>
                <w:u w:val="single"/>
              </w:rPr>
            </w:pPr>
            <w:hyperlink w:anchor="_43_Exchange_Enterprise" w:history="1">
              <w:r w:rsidR="00BF5FC6" w:rsidRPr="0058047D">
                <w:rPr>
                  <w:rStyle w:val="Hyperlink"/>
                  <w:b/>
                  <w:sz w:val="13"/>
                  <w:szCs w:val="13"/>
                </w:rPr>
                <w:t>48</w:t>
              </w:r>
            </w:hyperlink>
          </w:p>
        </w:tc>
        <w:tc>
          <w:tcPr>
            <w:tcW w:w="516" w:type="dxa"/>
            <w:tcBorders>
              <w:bottom w:val="single" w:sz="4" w:space="0" w:color="auto"/>
            </w:tcBorders>
            <w:shd w:val="clear" w:color="auto" w:fill="FABF8F"/>
            <w:vAlign w:val="center"/>
          </w:tcPr>
          <w:p w14:paraId="714A57E5" w14:textId="77777777" w:rsidR="00913A0A" w:rsidRPr="0058047D" w:rsidDel="00876599" w:rsidRDefault="00913A0A" w:rsidP="001A63C6">
            <w:pPr>
              <w:pStyle w:val="TableText"/>
              <w:widowControl w:val="0"/>
              <w:spacing w:before="80"/>
              <w:rPr>
                <w:rFonts w:ascii="Tahoma" w:hAnsi="Tahoma" w:cs="Tahoma"/>
                <w:sz w:val="13"/>
              </w:rPr>
            </w:pPr>
            <w:r w:rsidRPr="0058047D">
              <w:rPr>
                <w:rFonts w:ascii="Tahoma" w:hAnsi="Tahoma" w:cs="Tahoma"/>
                <w:sz w:val="13"/>
              </w:rPr>
              <w:t>06/11</w:t>
            </w:r>
          </w:p>
        </w:tc>
        <w:tc>
          <w:tcPr>
            <w:tcW w:w="358" w:type="dxa"/>
            <w:tcBorders>
              <w:bottom w:val="single" w:sz="4" w:space="0" w:color="auto"/>
              <w:right w:val="single" w:sz="18" w:space="0" w:color="auto"/>
            </w:tcBorders>
            <w:shd w:val="clear" w:color="auto" w:fill="FABF8F"/>
            <w:vAlign w:val="center"/>
          </w:tcPr>
          <w:p w14:paraId="4C1AE580"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center"/>
          </w:tcPr>
          <w:p w14:paraId="3EE33C56"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2E8E8B1B"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2D7B58CF"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700ADA68"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B69C67C"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3F062E1"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480E37DE"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6482093A"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BA8DE25"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485F16BF"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02F8670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FABF8F"/>
            <w:vAlign w:val="center"/>
          </w:tcPr>
          <w:p w14:paraId="0E95D9AE"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25CCA309"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vAlign w:val="center"/>
          </w:tcPr>
          <w:p w14:paraId="36974AF0"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 ST</w:t>
            </w:r>
          </w:p>
        </w:tc>
        <w:tc>
          <w:tcPr>
            <w:tcW w:w="504" w:type="dxa"/>
            <w:tcBorders>
              <w:bottom w:val="single" w:sz="4" w:space="0" w:color="auto"/>
            </w:tcBorders>
            <w:shd w:val="clear" w:color="auto" w:fill="FABF8F"/>
            <w:vAlign w:val="center"/>
          </w:tcPr>
          <w:p w14:paraId="6522BBA4"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00857659" w14:textId="77777777" w:rsidR="00913A0A" w:rsidRPr="0058047D" w:rsidRDefault="00913A0A" w:rsidP="001A63C6">
            <w:pPr>
              <w:pStyle w:val="TableText"/>
              <w:widowControl w:val="0"/>
              <w:rPr>
                <w:rFonts w:ascii="Tahoma" w:hAnsi="Tahoma" w:cs="Tahoma"/>
                <w:sz w:val="13"/>
              </w:rPr>
            </w:pPr>
          </w:p>
        </w:tc>
      </w:tr>
      <w:tr w:rsidR="001B5647" w:rsidRPr="0058047D" w14:paraId="5CA87540" w14:textId="77777777" w:rsidTr="00C86F50">
        <w:trPr>
          <w:trHeight w:val="145"/>
        </w:trPr>
        <w:tc>
          <w:tcPr>
            <w:tcW w:w="2619" w:type="dxa"/>
            <w:gridSpan w:val="2"/>
            <w:tcBorders>
              <w:bottom w:val="single" w:sz="4" w:space="0" w:color="auto"/>
            </w:tcBorders>
            <w:shd w:val="clear" w:color="auto" w:fill="auto"/>
            <w:vAlign w:val="center"/>
          </w:tcPr>
          <w:p w14:paraId="49C53A0E" w14:textId="77777777" w:rsidR="00913A0A" w:rsidRPr="003F471F" w:rsidRDefault="00913A0A" w:rsidP="00D66F68">
            <w:pPr>
              <w:pStyle w:val="Heading3"/>
              <w:rPr>
                <w:rFonts w:ascii="Tahoma" w:hAnsi="Tahoma" w:cs="Tahoma"/>
                <w:b w:val="0"/>
                <w:lang w:val="it-IT"/>
              </w:rPr>
            </w:pPr>
            <w:bookmarkStart w:id="182" w:name="_Toc336337947"/>
            <w:bookmarkStart w:id="183" w:name="_Toc371663352"/>
            <w:r w:rsidRPr="003F471F">
              <w:rPr>
                <w:rFonts w:ascii="Tahoma" w:hAnsi="Tahoma" w:cs="Tahoma"/>
                <w:b w:val="0"/>
                <w:sz w:val="14"/>
                <w:lang w:val="it-IT"/>
              </w:rPr>
              <w:t>Archiviazione Exchange Online per Exchange Server A (SL per Utente)</w:t>
            </w:r>
            <w:bookmarkEnd w:id="182"/>
            <w:bookmarkEnd w:id="183"/>
          </w:p>
        </w:tc>
        <w:tc>
          <w:tcPr>
            <w:tcW w:w="554" w:type="dxa"/>
            <w:tcBorders>
              <w:bottom w:val="single" w:sz="4" w:space="0" w:color="auto"/>
            </w:tcBorders>
            <w:shd w:val="clear" w:color="auto" w:fill="auto"/>
            <w:vAlign w:val="center"/>
          </w:tcPr>
          <w:p w14:paraId="2E51135A" w14:textId="77777777" w:rsidR="00913A0A" w:rsidRPr="0058047D" w:rsidRDefault="00C86F50" w:rsidP="003D4F46">
            <w:pPr>
              <w:pStyle w:val="TableText"/>
              <w:widowControl w:val="0"/>
              <w:rPr>
                <w:b/>
                <w:color w:val="000000"/>
                <w:sz w:val="13"/>
                <w:szCs w:val="13"/>
                <w:u w:val="single"/>
              </w:rPr>
            </w:pPr>
            <w:hyperlink w:anchor="_47__Exchange" w:history="1">
              <w:r w:rsidR="00BF5FC6" w:rsidRPr="0058047D">
                <w:rPr>
                  <w:rStyle w:val="Hyperlink"/>
                  <w:b/>
                  <w:sz w:val="13"/>
                  <w:szCs w:val="13"/>
                </w:rPr>
                <w:t>49</w:t>
              </w:r>
            </w:hyperlink>
            <w:hyperlink w:anchor="_47__Exchange" w:history="1"/>
          </w:p>
        </w:tc>
        <w:tc>
          <w:tcPr>
            <w:tcW w:w="516" w:type="dxa"/>
            <w:tcBorders>
              <w:bottom w:val="single" w:sz="4" w:space="0" w:color="auto"/>
            </w:tcBorders>
            <w:shd w:val="clear" w:color="auto" w:fill="auto"/>
            <w:vAlign w:val="center"/>
          </w:tcPr>
          <w:p w14:paraId="776020D5" w14:textId="77777777" w:rsidR="00913A0A" w:rsidRPr="0058047D" w:rsidRDefault="00913A0A" w:rsidP="007E466C">
            <w:pPr>
              <w:pStyle w:val="TableText"/>
              <w:widowControl w:val="0"/>
              <w:rPr>
                <w:rFonts w:ascii="Tahoma" w:hAnsi="Tahoma" w:cs="Tahoma"/>
                <w:sz w:val="13"/>
              </w:rPr>
            </w:pPr>
            <w:r w:rsidRPr="0058047D">
              <w:rPr>
                <w:rFonts w:ascii="Tahoma" w:hAnsi="Tahoma" w:cs="Tahoma"/>
                <w:sz w:val="13"/>
              </w:rPr>
              <w:t>06/12</w:t>
            </w:r>
          </w:p>
        </w:tc>
        <w:tc>
          <w:tcPr>
            <w:tcW w:w="358" w:type="dxa"/>
            <w:tcBorders>
              <w:bottom w:val="single" w:sz="4" w:space="0" w:color="auto"/>
              <w:right w:val="single" w:sz="18" w:space="0" w:color="auto"/>
            </w:tcBorders>
            <w:shd w:val="clear" w:color="auto" w:fill="auto"/>
            <w:vAlign w:val="center"/>
          </w:tcPr>
          <w:p w14:paraId="3DD893F9" w14:textId="77777777" w:rsidR="00913A0A" w:rsidRPr="0058047D" w:rsidRDefault="00913A0A" w:rsidP="00D66F68">
            <w:pPr>
              <w:pStyle w:val="TableText"/>
              <w:widowControl w:val="0"/>
              <w:rPr>
                <w:rFonts w:ascii="Tahoma" w:hAnsi="Tahoma" w:cs="Tahoma"/>
                <w:sz w:val="13"/>
              </w:rPr>
            </w:pPr>
          </w:p>
        </w:tc>
        <w:tc>
          <w:tcPr>
            <w:tcW w:w="330" w:type="dxa"/>
            <w:tcBorders>
              <w:left w:val="single" w:sz="18" w:space="0" w:color="auto"/>
              <w:bottom w:val="single" w:sz="4" w:space="0" w:color="auto"/>
              <w:right w:val="single" w:sz="4" w:space="0" w:color="auto"/>
            </w:tcBorders>
            <w:shd w:val="clear" w:color="auto" w:fill="auto"/>
            <w:vAlign w:val="center"/>
          </w:tcPr>
          <w:p w14:paraId="38B19664" w14:textId="77777777" w:rsidR="00913A0A" w:rsidRPr="0058047D" w:rsidRDefault="00913A0A" w:rsidP="00D66F68">
            <w:pPr>
              <w:pStyle w:val="TableText"/>
              <w:widowControl w:val="0"/>
              <w:rPr>
                <w:rFonts w:ascii="Tahoma" w:hAnsi="Tahoma" w:cs="Tahoma"/>
                <w:sz w:val="13"/>
              </w:rPr>
            </w:pPr>
          </w:p>
        </w:tc>
        <w:tc>
          <w:tcPr>
            <w:tcW w:w="324" w:type="dxa"/>
            <w:tcBorders>
              <w:left w:val="single" w:sz="4" w:space="0" w:color="auto"/>
              <w:bottom w:val="single" w:sz="4" w:space="0" w:color="auto"/>
              <w:right w:val="single" w:sz="4" w:space="0" w:color="auto"/>
            </w:tcBorders>
            <w:shd w:val="clear" w:color="auto" w:fill="auto"/>
            <w:vAlign w:val="center"/>
          </w:tcPr>
          <w:p w14:paraId="0FE3597E" w14:textId="77777777" w:rsidR="00913A0A" w:rsidRPr="0058047D" w:rsidRDefault="00913A0A" w:rsidP="00D66F68">
            <w:pPr>
              <w:pStyle w:val="TableText"/>
              <w:widowControl w:val="0"/>
              <w:rPr>
                <w:rFonts w:ascii="Tahoma" w:hAnsi="Tahoma" w:cs="Tahoma"/>
                <w:sz w:val="13"/>
              </w:rPr>
            </w:pPr>
          </w:p>
        </w:tc>
        <w:tc>
          <w:tcPr>
            <w:tcW w:w="456" w:type="dxa"/>
            <w:gridSpan w:val="2"/>
            <w:tcBorders>
              <w:left w:val="single" w:sz="4" w:space="0" w:color="auto"/>
              <w:bottom w:val="single" w:sz="4" w:space="0" w:color="auto"/>
              <w:right w:val="single" w:sz="4" w:space="0" w:color="auto"/>
            </w:tcBorders>
            <w:shd w:val="clear" w:color="auto" w:fill="auto"/>
            <w:vAlign w:val="center"/>
          </w:tcPr>
          <w:p w14:paraId="1FECDE1D" w14:textId="77777777" w:rsidR="00913A0A" w:rsidRPr="0058047D" w:rsidRDefault="00913A0A" w:rsidP="00D66F68">
            <w:pPr>
              <w:pStyle w:val="TableText"/>
              <w:widowControl w:val="0"/>
              <w:rPr>
                <w:rFonts w:ascii="Tahoma" w:hAnsi="Tahoma" w:cs="Tahoma"/>
                <w:sz w:val="13"/>
              </w:rPr>
            </w:pPr>
          </w:p>
        </w:tc>
        <w:tc>
          <w:tcPr>
            <w:tcW w:w="366" w:type="dxa"/>
            <w:tcBorders>
              <w:left w:val="single" w:sz="4" w:space="0" w:color="auto"/>
              <w:bottom w:val="single" w:sz="4" w:space="0" w:color="auto"/>
              <w:right w:val="single" w:sz="4" w:space="0" w:color="auto"/>
            </w:tcBorders>
            <w:shd w:val="clear" w:color="auto" w:fill="auto"/>
            <w:vAlign w:val="center"/>
          </w:tcPr>
          <w:p w14:paraId="5D11BFDF" w14:textId="77777777" w:rsidR="00913A0A" w:rsidRPr="0058047D" w:rsidRDefault="00913A0A" w:rsidP="00D66F68">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0CFAB6D7" w14:textId="77777777" w:rsidR="00913A0A" w:rsidRPr="0058047D" w:rsidRDefault="00913A0A" w:rsidP="00D66F68">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09450E01" w14:textId="77777777" w:rsidR="00913A0A" w:rsidRPr="0058047D" w:rsidRDefault="00913A0A" w:rsidP="00D66F68">
            <w:pPr>
              <w:pStyle w:val="TableText"/>
              <w:widowControl w:val="0"/>
              <w:rPr>
                <w:rFonts w:ascii="Tahoma" w:hAnsi="Tahoma" w:cs="Tahoma"/>
                <w:sz w:val="13"/>
              </w:rPr>
            </w:pPr>
          </w:p>
        </w:tc>
        <w:tc>
          <w:tcPr>
            <w:tcW w:w="336" w:type="dxa"/>
            <w:tcBorders>
              <w:left w:val="single" w:sz="4" w:space="0" w:color="auto"/>
              <w:bottom w:val="single" w:sz="4" w:space="0" w:color="auto"/>
              <w:right w:val="single" w:sz="18" w:space="0" w:color="auto"/>
            </w:tcBorders>
            <w:shd w:val="clear" w:color="auto" w:fill="auto"/>
            <w:vAlign w:val="center"/>
          </w:tcPr>
          <w:p w14:paraId="3937032C" w14:textId="77777777" w:rsidR="00913A0A" w:rsidRPr="0058047D" w:rsidRDefault="00913A0A" w:rsidP="00D66F68">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0E817B6A" w14:textId="77777777" w:rsidR="00913A0A" w:rsidRPr="0058047D" w:rsidRDefault="00913A0A" w:rsidP="00D02D7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8684F7A" w14:textId="77777777" w:rsidR="00913A0A" w:rsidRPr="0058047D" w:rsidRDefault="00913A0A" w:rsidP="00D02D7A">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74BDB71C" w14:textId="77777777" w:rsidR="00913A0A" w:rsidRPr="0058047D" w:rsidRDefault="00913A0A" w:rsidP="00242B11">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2D26AB6D" w14:textId="77777777" w:rsidR="00913A0A" w:rsidRPr="0058047D" w:rsidRDefault="00913A0A" w:rsidP="00242B11">
            <w:pPr>
              <w:pStyle w:val="TableText"/>
              <w:widowControl w:val="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auto"/>
            <w:vAlign w:val="center"/>
          </w:tcPr>
          <w:p w14:paraId="3F8B50FC" w14:textId="77777777" w:rsidR="00913A0A" w:rsidRPr="0058047D" w:rsidRDefault="00913A0A" w:rsidP="00EA31A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5EAEABF6" w14:textId="77777777" w:rsidR="00913A0A" w:rsidRPr="0058047D" w:rsidRDefault="00913A0A" w:rsidP="00EA31A6">
            <w:pPr>
              <w:pStyle w:val="TableText"/>
              <w:widowControl w:val="0"/>
              <w:rPr>
                <w:rFonts w:ascii="Tahoma" w:hAnsi="Tahoma" w:cs="Tahoma"/>
                <w:sz w:val="13"/>
              </w:rPr>
            </w:pPr>
          </w:p>
        </w:tc>
        <w:tc>
          <w:tcPr>
            <w:tcW w:w="655" w:type="dxa"/>
            <w:tcBorders>
              <w:bottom w:val="single" w:sz="4" w:space="0" w:color="auto"/>
            </w:tcBorders>
            <w:shd w:val="clear" w:color="auto" w:fill="auto"/>
          </w:tcPr>
          <w:p w14:paraId="6E07E317" w14:textId="77777777" w:rsidR="00913A0A" w:rsidRPr="0058047D" w:rsidRDefault="00913A0A" w:rsidP="007E466C">
            <w:pPr>
              <w:pStyle w:val="TableText"/>
              <w:widowControl w:val="0"/>
              <w:rPr>
                <w:rFonts w:ascii="Tahoma" w:hAnsi="Tahoma" w:cs="Tahoma"/>
                <w:sz w:val="13"/>
              </w:rPr>
            </w:pPr>
            <w:r w:rsidRPr="0058047D">
              <w:rPr>
                <w:rFonts w:ascii="Tahoma" w:hAnsi="Tahoma" w:cs="Tahoma"/>
                <w:sz w:val="13"/>
              </w:rPr>
              <w:t>A, ST (Solo EES)</w:t>
            </w:r>
          </w:p>
        </w:tc>
        <w:tc>
          <w:tcPr>
            <w:tcW w:w="504" w:type="dxa"/>
            <w:tcBorders>
              <w:bottom w:val="single" w:sz="4" w:space="0" w:color="auto"/>
            </w:tcBorders>
            <w:shd w:val="clear" w:color="auto" w:fill="auto"/>
            <w:vAlign w:val="center"/>
          </w:tcPr>
          <w:p w14:paraId="3F9FEAAF" w14:textId="77777777" w:rsidR="00913A0A" w:rsidRPr="0058047D" w:rsidRDefault="00913A0A" w:rsidP="00D66F68">
            <w:pPr>
              <w:pStyle w:val="TableText"/>
              <w:widowControl w:val="0"/>
              <w:rPr>
                <w:rFonts w:ascii="Tahoma" w:hAnsi="Tahoma" w:cs="Tahoma"/>
                <w:sz w:val="13"/>
              </w:rPr>
            </w:pPr>
          </w:p>
        </w:tc>
        <w:tc>
          <w:tcPr>
            <w:tcW w:w="405" w:type="dxa"/>
            <w:tcBorders>
              <w:bottom w:val="single" w:sz="4" w:space="0" w:color="auto"/>
            </w:tcBorders>
          </w:tcPr>
          <w:p w14:paraId="74FB02D4" w14:textId="77777777" w:rsidR="00913A0A" w:rsidRPr="0058047D" w:rsidRDefault="00913A0A" w:rsidP="00D66F68">
            <w:pPr>
              <w:pStyle w:val="TableText"/>
              <w:widowControl w:val="0"/>
              <w:rPr>
                <w:rFonts w:ascii="Tahoma" w:hAnsi="Tahoma" w:cs="Tahoma"/>
                <w:sz w:val="13"/>
              </w:rPr>
            </w:pPr>
          </w:p>
        </w:tc>
      </w:tr>
      <w:tr w:rsidR="001B5647" w:rsidRPr="0058047D" w14:paraId="6A14629F" w14:textId="77777777" w:rsidTr="00C86F50">
        <w:trPr>
          <w:trHeight w:val="145"/>
        </w:trPr>
        <w:tc>
          <w:tcPr>
            <w:tcW w:w="2619" w:type="dxa"/>
            <w:gridSpan w:val="2"/>
            <w:tcBorders>
              <w:bottom w:val="single" w:sz="4" w:space="0" w:color="auto"/>
            </w:tcBorders>
            <w:shd w:val="clear" w:color="auto" w:fill="FABF8F"/>
          </w:tcPr>
          <w:p w14:paraId="45A70A5E" w14:textId="77777777" w:rsidR="00913A0A" w:rsidRPr="0058047D" w:rsidRDefault="00913A0A" w:rsidP="001A63C6">
            <w:pPr>
              <w:pStyle w:val="ProductNames"/>
              <w:rPr>
                <w:rFonts w:ascii="Tahoma" w:hAnsi="Tahoma" w:cs="Tahoma"/>
                <w:sz w:val="14"/>
              </w:rPr>
            </w:pPr>
            <w:bookmarkStart w:id="184" w:name="_Toc336337948"/>
            <w:bookmarkStart w:id="185" w:name="_Toc371663353"/>
            <w:r w:rsidRPr="0058047D">
              <w:rPr>
                <w:rFonts w:ascii="Tahoma" w:hAnsi="Tahoma" w:cs="Tahoma"/>
                <w:sz w:val="14"/>
              </w:rPr>
              <w:t>Exchange Hosted Archive (SL per Utente)</w:t>
            </w:r>
            <w:bookmarkEnd w:id="184"/>
            <w:bookmarkEnd w:id="185"/>
          </w:p>
        </w:tc>
        <w:tc>
          <w:tcPr>
            <w:tcW w:w="554" w:type="dxa"/>
            <w:tcBorders>
              <w:bottom w:val="single" w:sz="4" w:space="0" w:color="auto"/>
            </w:tcBorders>
            <w:shd w:val="clear" w:color="auto" w:fill="FABF8F"/>
            <w:vAlign w:val="center"/>
          </w:tcPr>
          <w:p w14:paraId="34458420" w14:textId="77777777" w:rsidR="00913A0A" w:rsidRPr="0058047D" w:rsidRDefault="00C86F50" w:rsidP="003D4F46">
            <w:pPr>
              <w:pStyle w:val="TableText"/>
              <w:widowControl w:val="0"/>
              <w:rPr>
                <w:b/>
                <w:color w:val="000000"/>
                <w:sz w:val="13"/>
                <w:szCs w:val="13"/>
                <w:u w:val="single"/>
              </w:rPr>
            </w:pPr>
            <w:hyperlink w:anchor="_45_Exchange_Hosted" w:history="1">
              <w:r w:rsidR="00BF5FC6" w:rsidRPr="0058047D">
                <w:rPr>
                  <w:rStyle w:val="Hyperlink"/>
                  <w:b/>
                  <w:sz w:val="13"/>
                  <w:szCs w:val="13"/>
                </w:rPr>
                <w:t>50</w:t>
              </w:r>
            </w:hyperlink>
          </w:p>
        </w:tc>
        <w:tc>
          <w:tcPr>
            <w:tcW w:w="516" w:type="dxa"/>
            <w:tcBorders>
              <w:bottom w:val="single" w:sz="4" w:space="0" w:color="auto"/>
            </w:tcBorders>
            <w:shd w:val="clear" w:color="auto" w:fill="FABF8F"/>
            <w:vAlign w:val="center"/>
          </w:tcPr>
          <w:p w14:paraId="69EAA081" w14:textId="77777777" w:rsidR="00913A0A" w:rsidRPr="0058047D" w:rsidRDefault="00913A0A" w:rsidP="001A63C6">
            <w:pPr>
              <w:pStyle w:val="TableText"/>
              <w:widowControl w:val="0"/>
              <w:spacing w:before="80"/>
              <w:rPr>
                <w:rFonts w:ascii="Tahoma" w:hAnsi="Tahoma" w:cs="Tahoma"/>
                <w:sz w:val="13"/>
              </w:rPr>
            </w:pPr>
          </w:p>
        </w:tc>
        <w:tc>
          <w:tcPr>
            <w:tcW w:w="358" w:type="dxa"/>
            <w:tcBorders>
              <w:bottom w:val="single" w:sz="4" w:space="0" w:color="auto"/>
              <w:right w:val="single" w:sz="18" w:space="0" w:color="auto"/>
            </w:tcBorders>
            <w:shd w:val="clear" w:color="auto" w:fill="FABF8F"/>
            <w:vAlign w:val="center"/>
          </w:tcPr>
          <w:p w14:paraId="691C6FBE"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right w:val="single" w:sz="4" w:space="0" w:color="auto"/>
            </w:tcBorders>
            <w:shd w:val="clear" w:color="auto" w:fill="FABF8F"/>
            <w:vAlign w:val="center"/>
          </w:tcPr>
          <w:p w14:paraId="02F7C809" w14:textId="77777777" w:rsidR="00913A0A" w:rsidRPr="0058047D" w:rsidRDefault="00913A0A" w:rsidP="001A63C6">
            <w:pPr>
              <w:pStyle w:val="TableText"/>
              <w:widowControl w:val="0"/>
              <w:rPr>
                <w:rFonts w:ascii="Tahoma" w:hAnsi="Tahoma" w:cs="Tahoma"/>
                <w:sz w:val="13"/>
              </w:rPr>
            </w:pPr>
          </w:p>
        </w:tc>
        <w:tc>
          <w:tcPr>
            <w:tcW w:w="324" w:type="dxa"/>
            <w:tcBorders>
              <w:left w:val="single" w:sz="4" w:space="0" w:color="auto"/>
              <w:bottom w:val="single" w:sz="4" w:space="0" w:color="auto"/>
              <w:right w:val="single" w:sz="4" w:space="0" w:color="auto"/>
            </w:tcBorders>
            <w:shd w:val="clear" w:color="auto" w:fill="FABF8F"/>
            <w:vAlign w:val="center"/>
          </w:tcPr>
          <w:p w14:paraId="76C1A5FB" w14:textId="77777777" w:rsidR="00913A0A" w:rsidRPr="0058047D" w:rsidRDefault="00913A0A" w:rsidP="001A63C6">
            <w:pPr>
              <w:pStyle w:val="TableText"/>
              <w:widowControl w:val="0"/>
              <w:rPr>
                <w:rFonts w:ascii="Tahoma" w:hAnsi="Tahoma" w:cs="Tahoma"/>
                <w:sz w:val="13"/>
              </w:rPr>
            </w:pPr>
          </w:p>
        </w:tc>
        <w:tc>
          <w:tcPr>
            <w:tcW w:w="456" w:type="dxa"/>
            <w:gridSpan w:val="2"/>
            <w:tcBorders>
              <w:left w:val="single" w:sz="4" w:space="0" w:color="auto"/>
              <w:bottom w:val="single" w:sz="4" w:space="0" w:color="auto"/>
              <w:right w:val="single" w:sz="4" w:space="0" w:color="auto"/>
            </w:tcBorders>
            <w:shd w:val="clear" w:color="auto" w:fill="FABF8F"/>
            <w:vAlign w:val="center"/>
          </w:tcPr>
          <w:p w14:paraId="7E098E89" w14:textId="77777777" w:rsidR="00913A0A" w:rsidRPr="0058047D" w:rsidRDefault="00913A0A" w:rsidP="001A63C6">
            <w:pPr>
              <w:pStyle w:val="TableText"/>
              <w:widowControl w:val="0"/>
              <w:rPr>
                <w:rFonts w:ascii="Tahoma" w:hAnsi="Tahoma" w:cs="Tahoma"/>
                <w:sz w:val="13"/>
              </w:rPr>
            </w:pPr>
          </w:p>
        </w:tc>
        <w:tc>
          <w:tcPr>
            <w:tcW w:w="366" w:type="dxa"/>
            <w:tcBorders>
              <w:left w:val="single" w:sz="4" w:space="0" w:color="auto"/>
              <w:bottom w:val="single" w:sz="4" w:space="0" w:color="auto"/>
              <w:right w:val="single" w:sz="4" w:space="0" w:color="auto"/>
            </w:tcBorders>
            <w:shd w:val="clear" w:color="auto" w:fill="FABF8F"/>
            <w:vAlign w:val="center"/>
          </w:tcPr>
          <w:p w14:paraId="4FAE1461" w14:textId="77777777" w:rsidR="00913A0A" w:rsidRPr="0058047D" w:rsidRDefault="00913A0A" w:rsidP="001A63C6">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6450BBC1" w14:textId="77777777" w:rsidR="00913A0A" w:rsidRPr="0058047D" w:rsidRDefault="00913A0A" w:rsidP="001A63C6">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083FD83F" w14:textId="77777777" w:rsidR="00913A0A" w:rsidRPr="0058047D" w:rsidRDefault="00913A0A" w:rsidP="001A63C6">
            <w:pPr>
              <w:pStyle w:val="TableText"/>
              <w:widowControl w:val="0"/>
              <w:rPr>
                <w:rFonts w:ascii="Tahoma" w:hAnsi="Tahoma" w:cs="Tahoma"/>
                <w:sz w:val="13"/>
              </w:rPr>
            </w:pPr>
          </w:p>
        </w:tc>
        <w:tc>
          <w:tcPr>
            <w:tcW w:w="336" w:type="dxa"/>
            <w:tcBorders>
              <w:left w:val="single" w:sz="4" w:space="0" w:color="auto"/>
              <w:bottom w:val="single" w:sz="4" w:space="0" w:color="auto"/>
              <w:right w:val="single" w:sz="18" w:space="0" w:color="auto"/>
            </w:tcBorders>
            <w:shd w:val="clear" w:color="auto" w:fill="FABF8F"/>
            <w:vAlign w:val="center"/>
          </w:tcPr>
          <w:p w14:paraId="1457A967"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020A96F5"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B4DF3DE"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289174B4"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6F36DAE7"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2678D4FE"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048FDE88"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1E58BB1C"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4D0EE163"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4EE95FFE" w14:textId="77777777" w:rsidR="00913A0A" w:rsidRPr="0058047D" w:rsidRDefault="00913A0A" w:rsidP="001A63C6">
            <w:pPr>
              <w:pStyle w:val="TableText"/>
              <w:widowControl w:val="0"/>
              <w:rPr>
                <w:rFonts w:ascii="Tahoma" w:hAnsi="Tahoma" w:cs="Tahoma"/>
                <w:sz w:val="13"/>
              </w:rPr>
            </w:pPr>
          </w:p>
        </w:tc>
      </w:tr>
      <w:tr w:rsidR="001B5647" w:rsidRPr="0058047D" w14:paraId="250021DE" w14:textId="77777777" w:rsidTr="00C86F50">
        <w:trPr>
          <w:trHeight w:val="145"/>
        </w:trPr>
        <w:tc>
          <w:tcPr>
            <w:tcW w:w="2619" w:type="dxa"/>
            <w:gridSpan w:val="2"/>
            <w:tcBorders>
              <w:bottom w:val="single" w:sz="4" w:space="0" w:color="auto"/>
            </w:tcBorders>
            <w:shd w:val="clear" w:color="auto" w:fill="auto"/>
          </w:tcPr>
          <w:p w14:paraId="2B185550" w14:textId="77777777" w:rsidR="00913A0A" w:rsidRPr="0058047D" w:rsidRDefault="00913A0A" w:rsidP="001A63C6">
            <w:pPr>
              <w:pStyle w:val="ProductNames"/>
              <w:rPr>
                <w:rFonts w:ascii="Tahoma" w:hAnsi="Tahoma" w:cs="Tahoma"/>
                <w:sz w:val="14"/>
              </w:rPr>
            </w:pPr>
            <w:bookmarkStart w:id="186" w:name="_Toc336337949"/>
            <w:bookmarkStart w:id="187" w:name="_Toc371663354"/>
            <w:r w:rsidRPr="0058047D">
              <w:rPr>
                <w:rFonts w:ascii="Tahoma" w:hAnsi="Tahoma" w:cs="Tahoma"/>
                <w:sz w:val="14"/>
              </w:rPr>
              <w:t>Exchange Hosted Archive Extra Storage (SL per Utente)</w:t>
            </w:r>
            <w:bookmarkEnd w:id="186"/>
            <w:bookmarkEnd w:id="187"/>
          </w:p>
        </w:tc>
        <w:tc>
          <w:tcPr>
            <w:tcW w:w="554" w:type="dxa"/>
            <w:tcBorders>
              <w:bottom w:val="single" w:sz="4" w:space="0" w:color="auto"/>
            </w:tcBorders>
            <w:shd w:val="clear" w:color="auto" w:fill="auto"/>
            <w:vAlign w:val="center"/>
          </w:tcPr>
          <w:p w14:paraId="5F8DB8F3" w14:textId="77777777" w:rsidR="00913A0A" w:rsidRPr="0058047D" w:rsidRDefault="00C86F50" w:rsidP="003D4F46">
            <w:pPr>
              <w:pStyle w:val="TableText"/>
              <w:widowControl w:val="0"/>
              <w:rPr>
                <w:b/>
                <w:color w:val="000000"/>
                <w:sz w:val="13"/>
                <w:szCs w:val="13"/>
                <w:u w:val="single"/>
              </w:rPr>
            </w:pPr>
            <w:hyperlink w:anchor="_45_Exchange_Hosted" w:history="1">
              <w:r w:rsidR="00BF5FC6" w:rsidRPr="0058047D">
                <w:rPr>
                  <w:rStyle w:val="Hyperlink"/>
                  <w:b/>
                  <w:sz w:val="13"/>
                  <w:szCs w:val="13"/>
                </w:rPr>
                <w:t>50</w:t>
              </w:r>
            </w:hyperlink>
          </w:p>
        </w:tc>
        <w:tc>
          <w:tcPr>
            <w:tcW w:w="516" w:type="dxa"/>
            <w:tcBorders>
              <w:bottom w:val="single" w:sz="4" w:space="0" w:color="auto"/>
            </w:tcBorders>
            <w:shd w:val="clear" w:color="auto" w:fill="auto"/>
            <w:vAlign w:val="center"/>
          </w:tcPr>
          <w:p w14:paraId="5AFD28C7" w14:textId="77777777" w:rsidR="00913A0A" w:rsidRPr="0058047D" w:rsidRDefault="00913A0A" w:rsidP="001A63C6">
            <w:pPr>
              <w:pStyle w:val="TableText"/>
              <w:widowControl w:val="0"/>
              <w:spacing w:before="80"/>
              <w:rPr>
                <w:rFonts w:ascii="Tahoma" w:hAnsi="Tahoma" w:cs="Tahoma"/>
                <w:sz w:val="13"/>
              </w:rPr>
            </w:pPr>
          </w:p>
        </w:tc>
        <w:tc>
          <w:tcPr>
            <w:tcW w:w="358" w:type="dxa"/>
            <w:tcBorders>
              <w:bottom w:val="single" w:sz="4" w:space="0" w:color="auto"/>
              <w:right w:val="single" w:sz="18" w:space="0" w:color="auto"/>
            </w:tcBorders>
            <w:shd w:val="clear" w:color="auto" w:fill="auto"/>
            <w:vAlign w:val="center"/>
          </w:tcPr>
          <w:p w14:paraId="3D1246B7"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right w:val="single" w:sz="4" w:space="0" w:color="auto"/>
            </w:tcBorders>
            <w:shd w:val="clear" w:color="auto" w:fill="auto"/>
            <w:vAlign w:val="center"/>
          </w:tcPr>
          <w:p w14:paraId="012FADF4" w14:textId="77777777" w:rsidR="00913A0A" w:rsidRPr="0058047D" w:rsidRDefault="00913A0A" w:rsidP="001A63C6">
            <w:pPr>
              <w:pStyle w:val="TableText"/>
              <w:widowControl w:val="0"/>
              <w:rPr>
                <w:rFonts w:ascii="Tahoma" w:hAnsi="Tahoma" w:cs="Tahoma"/>
                <w:sz w:val="13"/>
              </w:rPr>
            </w:pPr>
          </w:p>
        </w:tc>
        <w:tc>
          <w:tcPr>
            <w:tcW w:w="324" w:type="dxa"/>
            <w:tcBorders>
              <w:left w:val="single" w:sz="4" w:space="0" w:color="auto"/>
              <w:bottom w:val="single" w:sz="4" w:space="0" w:color="auto"/>
              <w:right w:val="single" w:sz="4" w:space="0" w:color="auto"/>
            </w:tcBorders>
            <w:shd w:val="clear" w:color="auto" w:fill="auto"/>
            <w:vAlign w:val="center"/>
          </w:tcPr>
          <w:p w14:paraId="1D312A75" w14:textId="77777777" w:rsidR="00913A0A" w:rsidRPr="0058047D" w:rsidRDefault="00913A0A" w:rsidP="001A63C6">
            <w:pPr>
              <w:pStyle w:val="TableText"/>
              <w:widowControl w:val="0"/>
              <w:rPr>
                <w:rFonts w:ascii="Tahoma" w:hAnsi="Tahoma" w:cs="Tahoma"/>
                <w:sz w:val="13"/>
              </w:rPr>
            </w:pPr>
          </w:p>
        </w:tc>
        <w:tc>
          <w:tcPr>
            <w:tcW w:w="456" w:type="dxa"/>
            <w:gridSpan w:val="2"/>
            <w:tcBorders>
              <w:left w:val="single" w:sz="4" w:space="0" w:color="auto"/>
              <w:bottom w:val="single" w:sz="4" w:space="0" w:color="auto"/>
              <w:right w:val="single" w:sz="4" w:space="0" w:color="auto"/>
            </w:tcBorders>
            <w:shd w:val="clear" w:color="auto" w:fill="auto"/>
            <w:vAlign w:val="center"/>
          </w:tcPr>
          <w:p w14:paraId="0236828E" w14:textId="77777777" w:rsidR="00913A0A" w:rsidRPr="0058047D" w:rsidRDefault="00913A0A" w:rsidP="001A63C6">
            <w:pPr>
              <w:pStyle w:val="TableText"/>
              <w:widowControl w:val="0"/>
              <w:rPr>
                <w:rFonts w:ascii="Tahoma" w:hAnsi="Tahoma" w:cs="Tahoma"/>
                <w:sz w:val="13"/>
              </w:rPr>
            </w:pPr>
          </w:p>
        </w:tc>
        <w:tc>
          <w:tcPr>
            <w:tcW w:w="366" w:type="dxa"/>
            <w:tcBorders>
              <w:left w:val="single" w:sz="4" w:space="0" w:color="auto"/>
              <w:bottom w:val="single" w:sz="4" w:space="0" w:color="auto"/>
              <w:right w:val="single" w:sz="4" w:space="0" w:color="auto"/>
            </w:tcBorders>
            <w:shd w:val="clear" w:color="auto" w:fill="auto"/>
            <w:vAlign w:val="center"/>
          </w:tcPr>
          <w:p w14:paraId="003B3B79" w14:textId="77777777" w:rsidR="00913A0A" w:rsidRPr="0058047D" w:rsidRDefault="00913A0A" w:rsidP="001A63C6">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7B653D6D" w14:textId="77777777" w:rsidR="00913A0A" w:rsidRPr="0058047D" w:rsidRDefault="00913A0A" w:rsidP="001A63C6">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75F27B15" w14:textId="77777777" w:rsidR="00913A0A" w:rsidRPr="0058047D" w:rsidRDefault="00913A0A" w:rsidP="001A63C6">
            <w:pPr>
              <w:pStyle w:val="TableText"/>
              <w:widowControl w:val="0"/>
              <w:rPr>
                <w:rFonts w:ascii="Tahoma" w:hAnsi="Tahoma" w:cs="Tahoma"/>
                <w:sz w:val="13"/>
              </w:rPr>
            </w:pPr>
          </w:p>
        </w:tc>
        <w:tc>
          <w:tcPr>
            <w:tcW w:w="336" w:type="dxa"/>
            <w:tcBorders>
              <w:left w:val="single" w:sz="4" w:space="0" w:color="auto"/>
              <w:bottom w:val="single" w:sz="4" w:space="0" w:color="auto"/>
              <w:right w:val="single" w:sz="18" w:space="0" w:color="auto"/>
            </w:tcBorders>
            <w:shd w:val="clear" w:color="auto" w:fill="auto"/>
            <w:vAlign w:val="center"/>
          </w:tcPr>
          <w:p w14:paraId="7268D008"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3A01C967"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198500D"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7B44088B"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7C08A637"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72DD9792"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3A0CA52A"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tcPr>
          <w:p w14:paraId="1229101B"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14:paraId="4C5B9919"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tcPr>
          <w:p w14:paraId="710D443F" w14:textId="77777777" w:rsidR="00913A0A" w:rsidRPr="0058047D" w:rsidRDefault="00913A0A" w:rsidP="001A63C6">
            <w:pPr>
              <w:pStyle w:val="TableText"/>
              <w:widowControl w:val="0"/>
              <w:rPr>
                <w:rFonts w:ascii="Tahoma" w:hAnsi="Tahoma" w:cs="Tahoma"/>
                <w:sz w:val="13"/>
              </w:rPr>
            </w:pPr>
          </w:p>
        </w:tc>
      </w:tr>
      <w:tr w:rsidR="009323A0" w:rsidRPr="0058047D" w14:paraId="2182ECE2" w14:textId="77777777" w:rsidTr="00C86F50">
        <w:trPr>
          <w:trHeight w:val="145"/>
        </w:trPr>
        <w:tc>
          <w:tcPr>
            <w:tcW w:w="2619" w:type="dxa"/>
            <w:gridSpan w:val="2"/>
            <w:tcBorders>
              <w:bottom w:val="single" w:sz="4" w:space="0" w:color="auto"/>
            </w:tcBorders>
            <w:shd w:val="clear" w:color="auto" w:fill="FABF8F"/>
          </w:tcPr>
          <w:p w14:paraId="11201A97" w14:textId="77777777" w:rsidR="00913A0A" w:rsidRPr="003F471F" w:rsidRDefault="00913A0A" w:rsidP="001A63C6">
            <w:pPr>
              <w:pStyle w:val="ProductNames"/>
              <w:rPr>
                <w:rFonts w:ascii="Tahoma" w:hAnsi="Tahoma" w:cs="Tahoma"/>
                <w:sz w:val="14"/>
                <w:lang w:val="sv-SE"/>
              </w:rPr>
            </w:pPr>
            <w:bookmarkStart w:id="188" w:name="_Toc336337950"/>
            <w:bookmarkStart w:id="189" w:name="_Toc371663355"/>
            <w:r w:rsidRPr="003F471F">
              <w:rPr>
                <w:rFonts w:ascii="Tahoma" w:hAnsi="Tahoma" w:cs="Tahoma"/>
                <w:sz w:val="14"/>
                <w:lang w:val="sv-SE"/>
              </w:rPr>
              <w:t>Exchange Hosted Encryption (SL per Utente)</w:t>
            </w:r>
            <w:bookmarkEnd w:id="188"/>
            <w:bookmarkEnd w:id="189"/>
          </w:p>
        </w:tc>
        <w:tc>
          <w:tcPr>
            <w:tcW w:w="554" w:type="dxa"/>
            <w:tcBorders>
              <w:bottom w:val="single" w:sz="4" w:space="0" w:color="auto"/>
            </w:tcBorders>
            <w:shd w:val="clear" w:color="auto" w:fill="FABF8F"/>
            <w:vAlign w:val="center"/>
          </w:tcPr>
          <w:p w14:paraId="17A8DDA3" w14:textId="77777777" w:rsidR="00913A0A" w:rsidRPr="0058047D" w:rsidRDefault="00C86F50" w:rsidP="003D4F46">
            <w:pPr>
              <w:pStyle w:val="TableText"/>
              <w:widowControl w:val="0"/>
              <w:rPr>
                <w:rStyle w:val="EndnoteReference"/>
                <w:b w:val="0"/>
                <w:color w:val="000000"/>
                <w:position w:val="-11"/>
                <w:sz w:val="13"/>
                <w:szCs w:val="13"/>
                <w:u w:val="single"/>
              </w:rPr>
            </w:pPr>
            <w:hyperlink w:anchor="_46_Exchange_Hosted" w:history="1">
              <w:r w:rsidR="00BF5FC6" w:rsidRPr="0058047D">
                <w:rPr>
                  <w:rStyle w:val="Hyperlink"/>
                  <w:b/>
                  <w:sz w:val="13"/>
                  <w:szCs w:val="13"/>
                </w:rPr>
                <w:t>51</w:t>
              </w:r>
            </w:hyperlink>
          </w:p>
        </w:tc>
        <w:tc>
          <w:tcPr>
            <w:tcW w:w="516" w:type="dxa"/>
            <w:tcBorders>
              <w:bottom w:val="single" w:sz="4" w:space="0" w:color="auto"/>
            </w:tcBorders>
            <w:shd w:val="clear" w:color="auto" w:fill="FABF8F"/>
            <w:vAlign w:val="center"/>
          </w:tcPr>
          <w:p w14:paraId="444B7455"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04/06</w:t>
            </w:r>
          </w:p>
        </w:tc>
        <w:tc>
          <w:tcPr>
            <w:tcW w:w="358" w:type="dxa"/>
            <w:tcBorders>
              <w:bottom w:val="single" w:sz="4" w:space="0" w:color="auto"/>
              <w:right w:val="single" w:sz="18" w:space="0" w:color="auto"/>
            </w:tcBorders>
            <w:shd w:val="clear" w:color="auto" w:fill="FABF8F"/>
            <w:vAlign w:val="center"/>
          </w:tcPr>
          <w:p w14:paraId="1DBAAA9C" w14:textId="77777777" w:rsidR="00913A0A" w:rsidRPr="0058047D" w:rsidRDefault="00913A0A" w:rsidP="001A63C6">
            <w:pPr>
              <w:pStyle w:val="TableText"/>
              <w:widowControl w:val="0"/>
              <w:rPr>
                <w:rFonts w:ascii="Tahoma" w:hAnsi="Tahoma" w:cs="Tahoma"/>
                <w:sz w:val="13"/>
              </w:rPr>
            </w:pPr>
          </w:p>
        </w:tc>
        <w:tc>
          <w:tcPr>
            <w:tcW w:w="2712" w:type="dxa"/>
            <w:gridSpan w:val="8"/>
            <w:tcBorders>
              <w:left w:val="single" w:sz="18" w:space="0" w:color="auto"/>
              <w:bottom w:val="single" w:sz="4" w:space="0" w:color="auto"/>
              <w:right w:val="single" w:sz="18" w:space="0" w:color="auto"/>
            </w:tcBorders>
            <w:shd w:val="clear" w:color="auto" w:fill="FABF8F"/>
            <w:vAlign w:val="center"/>
          </w:tcPr>
          <w:p w14:paraId="1D2FF25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 punto</w:t>
            </w:r>
          </w:p>
        </w:tc>
        <w:tc>
          <w:tcPr>
            <w:tcW w:w="477" w:type="dxa"/>
            <w:tcBorders>
              <w:left w:val="single" w:sz="18" w:space="0" w:color="auto"/>
              <w:bottom w:val="single" w:sz="4" w:space="0" w:color="auto"/>
            </w:tcBorders>
            <w:shd w:val="clear" w:color="auto" w:fill="FABF8F"/>
            <w:vAlign w:val="center"/>
          </w:tcPr>
          <w:p w14:paraId="537010D9"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D43459A"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68D1E695"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5787C076"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FABF8F"/>
            <w:vAlign w:val="center"/>
          </w:tcPr>
          <w:p w14:paraId="0DEF630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33B60C0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tcPr>
          <w:p w14:paraId="69F8739C"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7B78064E"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4696C7FC" w14:textId="77777777" w:rsidR="00913A0A" w:rsidRPr="0058047D" w:rsidRDefault="00913A0A" w:rsidP="001A63C6">
            <w:pPr>
              <w:pStyle w:val="TableText"/>
              <w:widowControl w:val="0"/>
              <w:rPr>
                <w:rFonts w:ascii="Tahoma" w:hAnsi="Tahoma" w:cs="Tahoma"/>
                <w:sz w:val="13"/>
              </w:rPr>
            </w:pPr>
          </w:p>
        </w:tc>
      </w:tr>
      <w:tr w:rsidR="009323A0" w:rsidRPr="0058047D" w14:paraId="0A8F821D" w14:textId="77777777" w:rsidTr="00C86F50">
        <w:trPr>
          <w:trHeight w:val="145"/>
        </w:trPr>
        <w:tc>
          <w:tcPr>
            <w:tcW w:w="2619" w:type="dxa"/>
            <w:gridSpan w:val="2"/>
            <w:tcBorders>
              <w:bottom w:val="single" w:sz="4" w:space="0" w:color="auto"/>
            </w:tcBorders>
            <w:shd w:val="clear" w:color="auto" w:fill="auto"/>
            <w:vAlign w:val="center"/>
          </w:tcPr>
          <w:p w14:paraId="36C667E1" w14:textId="77777777" w:rsidR="00913A0A" w:rsidRPr="0058047D" w:rsidRDefault="00913A0A" w:rsidP="00D66F68">
            <w:pPr>
              <w:pStyle w:val="Heading2"/>
              <w:ind w:left="0"/>
              <w:rPr>
                <w:rFonts w:ascii="Tahoma" w:hAnsi="Tahoma" w:cs="Tahoma"/>
                <w:b w:val="0"/>
                <w:sz w:val="14"/>
              </w:rPr>
            </w:pPr>
            <w:bookmarkStart w:id="190" w:name="_Toc371663356"/>
            <w:r w:rsidRPr="0058047D">
              <w:rPr>
                <w:rFonts w:ascii="Tahoma" w:hAnsi="Tahoma" w:cs="Tahoma"/>
                <w:b w:val="0"/>
                <w:sz w:val="14"/>
              </w:rPr>
              <w:t>Archiviazione Exchange Online per Exchange Online A</w:t>
            </w:r>
            <w:bookmarkEnd w:id="190"/>
          </w:p>
        </w:tc>
        <w:tc>
          <w:tcPr>
            <w:tcW w:w="554" w:type="dxa"/>
            <w:tcBorders>
              <w:bottom w:val="single" w:sz="4" w:space="0" w:color="auto"/>
            </w:tcBorders>
            <w:shd w:val="clear" w:color="auto" w:fill="auto"/>
            <w:vAlign w:val="center"/>
          </w:tcPr>
          <w:p w14:paraId="748BEB0B" w14:textId="77777777" w:rsidR="00913A0A" w:rsidRPr="0058047D" w:rsidRDefault="00913A0A" w:rsidP="001A63C6">
            <w:pPr>
              <w:pStyle w:val="TableText"/>
              <w:widowControl w:val="0"/>
            </w:pPr>
          </w:p>
        </w:tc>
        <w:tc>
          <w:tcPr>
            <w:tcW w:w="516" w:type="dxa"/>
            <w:tcBorders>
              <w:bottom w:val="single" w:sz="4" w:space="0" w:color="auto"/>
            </w:tcBorders>
            <w:shd w:val="clear" w:color="auto" w:fill="auto"/>
            <w:vAlign w:val="center"/>
          </w:tcPr>
          <w:p w14:paraId="36C4E9B3"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03/13</w:t>
            </w:r>
          </w:p>
        </w:tc>
        <w:tc>
          <w:tcPr>
            <w:tcW w:w="358" w:type="dxa"/>
            <w:tcBorders>
              <w:bottom w:val="single" w:sz="4" w:space="0" w:color="auto"/>
              <w:right w:val="single" w:sz="18" w:space="0" w:color="auto"/>
            </w:tcBorders>
            <w:shd w:val="clear" w:color="auto" w:fill="auto"/>
            <w:vAlign w:val="center"/>
          </w:tcPr>
          <w:p w14:paraId="3B4656AA"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14777B0C"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46B8332E"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239051EA"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72A34E8E"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E098189"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DBB70F6"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2AE96183"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564EB7C1"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4EC46CC"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1764D83A"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12C7F3ED"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auto"/>
            <w:vAlign w:val="center"/>
          </w:tcPr>
          <w:p w14:paraId="1BE5902F"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50D920AF"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vAlign w:val="center"/>
          </w:tcPr>
          <w:p w14:paraId="34C7A99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 ST (Solo EES)</w:t>
            </w:r>
          </w:p>
        </w:tc>
        <w:tc>
          <w:tcPr>
            <w:tcW w:w="504" w:type="dxa"/>
            <w:tcBorders>
              <w:bottom w:val="single" w:sz="4" w:space="0" w:color="auto"/>
            </w:tcBorders>
            <w:shd w:val="clear" w:color="auto" w:fill="auto"/>
            <w:vAlign w:val="center"/>
          </w:tcPr>
          <w:p w14:paraId="6AC22C1E"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tcPr>
          <w:p w14:paraId="36237D6D" w14:textId="77777777" w:rsidR="00913A0A" w:rsidRPr="0058047D" w:rsidRDefault="00913A0A" w:rsidP="001A63C6">
            <w:pPr>
              <w:pStyle w:val="TableText"/>
              <w:widowControl w:val="0"/>
              <w:rPr>
                <w:rFonts w:ascii="Tahoma" w:hAnsi="Tahoma" w:cs="Tahoma"/>
                <w:sz w:val="13"/>
              </w:rPr>
            </w:pPr>
          </w:p>
        </w:tc>
      </w:tr>
      <w:tr w:rsidR="009323A0" w:rsidRPr="0058047D" w14:paraId="38DAE0BD" w14:textId="77777777" w:rsidTr="00C86F50">
        <w:trPr>
          <w:trHeight w:val="145"/>
        </w:trPr>
        <w:tc>
          <w:tcPr>
            <w:tcW w:w="2619" w:type="dxa"/>
            <w:gridSpan w:val="2"/>
            <w:tcBorders>
              <w:bottom w:val="single" w:sz="4" w:space="0" w:color="auto"/>
            </w:tcBorders>
            <w:shd w:val="clear" w:color="auto" w:fill="FABF8F"/>
          </w:tcPr>
          <w:p w14:paraId="3E7F38E6" w14:textId="77777777" w:rsidR="00913A0A" w:rsidRPr="0058047D" w:rsidRDefault="00913A0A" w:rsidP="001A63C6">
            <w:pPr>
              <w:pStyle w:val="Heading2"/>
              <w:ind w:left="0"/>
              <w:rPr>
                <w:rFonts w:ascii="Tahoma" w:hAnsi="Tahoma" w:cs="Tahoma"/>
                <w:b w:val="0"/>
                <w:sz w:val="14"/>
              </w:rPr>
            </w:pPr>
            <w:bookmarkStart w:id="191" w:name="_Toc371663357"/>
            <w:r w:rsidRPr="0058047D">
              <w:rPr>
                <w:rFonts w:ascii="Tahoma" w:hAnsi="Tahoma" w:cs="Tahoma"/>
                <w:b w:val="0"/>
                <w:sz w:val="14"/>
              </w:rPr>
              <w:t>Archiviazione Exchange Online per Exchange Online</w:t>
            </w:r>
            <w:bookmarkEnd w:id="191"/>
          </w:p>
        </w:tc>
        <w:tc>
          <w:tcPr>
            <w:tcW w:w="554" w:type="dxa"/>
            <w:tcBorders>
              <w:bottom w:val="single" w:sz="4" w:space="0" w:color="auto"/>
            </w:tcBorders>
            <w:shd w:val="clear" w:color="auto" w:fill="FABF8F"/>
            <w:vAlign w:val="center"/>
          </w:tcPr>
          <w:p w14:paraId="31B6A965" w14:textId="77777777" w:rsidR="00913A0A" w:rsidRPr="0058047D" w:rsidRDefault="00913A0A" w:rsidP="001A63C6">
            <w:pPr>
              <w:pStyle w:val="TableText"/>
              <w:widowControl w:val="0"/>
            </w:pPr>
          </w:p>
        </w:tc>
        <w:tc>
          <w:tcPr>
            <w:tcW w:w="516" w:type="dxa"/>
            <w:tcBorders>
              <w:bottom w:val="single" w:sz="4" w:space="0" w:color="auto"/>
            </w:tcBorders>
            <w:shd w:val="clear" w:color="auto" w:fill="FABF8F"/>
            <w:vAlign w:val="center"/>
          </w:tcPr>
          <w:p w14:paraId="478D595D"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03/13</w:t>
            </w:r>
          </w:p>
        </w:tc>
        <w:tc>
          <w:tcPr>
            <w:tcW w:w="358" w:type="dxa"/>
            <w:tcBorders>
              <w:bottom w:val="single" w:sz="4" w:space="0" w:color="auto"/>
              <w:right w:val="single" w:sz="18" w:space="0" w:color="auto"/>
            </w:tcBorders>
            <w:shd w:val="clear" w:color="auto" w:fill="FABF8F"/>
            <w:vAlign w:val="center"/>
          </w:tcPr>
          <w:p w14:paraId="14AA1E2D"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center"/>
          </w:tcPr>
          <w:p w14:paraId="5D547292"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0BBC3D29"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4F82F382"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6DC4A31B"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BB23DB1"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FF584F1"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38FA02FE"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6A51A469"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91D3DB0"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51D47835"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5F1458FA"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2AA652DA"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49C53B7A"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vAlign w:val="center"/>
          </w:tcPr>
          <w:p w14:paraId="2E879FB2"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24064A7B"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206409DB" w14:textId="77777777" w:rsidR="00913A0A" w:rsidRPr="0058047D" w:rsidRDefault="00913A0A" w:rsidP="001A63C6">
            <w:pPr>
              <w:pStyle w:val="TableText"/>
              <w:widowControl w:val="0"/>
              <w:rPr>
                <w:rFonts w:ascii="Tahoma" w:hAnsi="Tahoma" w:cs="Tahoma"/>
                <w:sz w:val="13"/>
              </w:rPr>
            </w:pPr>
          </w:p>
        </w:tc>
      </w:tr>
      <w:tr w:rsidR="009323A0" w:rsidRPr="0058047D" w14:paraId="13F4FCEF" w14:textId="77777777" w:rsidTr="00C86F50">
        <w:trPr>
          <w:trHeight w:val="145"/>
        </w:trPr>
        <w:tc>
          <w:tcPr>
            <w:tcW w:w="2619" w:type="dxa"/>
            <w:gridSpan w:val="2"/>
            <w:tcBorders>
              <w:bottom w:val="single" w:sz="4" w:space="0" w:color="auto"/>
            </w:tcBorders>
            <w:shd w:val="clear" w:color="auto" w:fill="auto"/>
          </w:tcPr>
          <w:p w14:paraId="3FEC85C2" w14:textId="77777777" w:rsidR="00913A0A" w:rsidRPr="003F471F" w:rsidRDefault="00913A0A" w:rsidP="001A63C6">
            <w:pPr>
              <w:pStyle w:val="Heading2"/>
              <w:ind w:left="0"/>
              <w:rPr>
                <w:rFonts w:ascii="Tahoma" w:hAnsi="Tahoma" w:cs="Tahoma"/>
                <w:b w:val="0"/>
                <w:sz w:val="14"/>
                <w:lang w:val="it-IT"/>
              </w:rPr>
            </w:pPr>
            <w:bookmarkStart w:id="192" w:name="_Toc336337951"/>
            <w:bookmarkStart w:id="193" w:name="_Toc371663358"/>
            <w:r w:rsidRPr="003F471F">
              <w:rPr>
                <w:rFonts w:ascii="Tahoma" w:hAnsi="Tahoma" w:cs="Tahoma"/>
                <w:b w:val="0"/>
                <w:sz w:val="14"/>
                <w:lang w:val="it-IT"/>
              </w:rPr>
              <w:t>Chiosco Exchange Online (SL per Utente)</w:t>
            </w:r>
            <w:bookmarkEnd w:id="192"/>
            <w:bookmarkEnd w:id="193"/>
          </w:p>
        </w:tc>
        <w:tc>
          <w:tcPr>
            <w:tcW w:w="554" w:type="dxa"/>
            <w:tcBorders>
              <w:bottom w:val="single" w:sz="4" w:space="0" w:color="auto"/>
            </w:tcBorders>
            <w:shd w:val="clear" w:color="auto" w:fill="auto"/>
            <w:vAlign w:val="center"/>
          </w:tcPr>
          <w:p w14:paraId="6FD427CF" w14:textId="77777777" w:rsidR="00913A0A" w:rsidRPr="0058047D" w:rsidRDefault="00C86F50" w:rsidP="003D4F46">
            <w:pPr>
              <w:pStyle w:val="TableText"/>
              <w:widowControl w:val="0"/>
              <w:rPr>
                <w:rStyle w:val="EndnoteReference"/>
                <w:rFonts w:cs="Tahoma"/>
                <w:b w:val="0"/>
                <w:color w:val="000000"/>
                <w:sz w:val="13"/>
                <w:szCs w:val="13"/>
                <w:u w:val="single"/>
              </w:rPr>
            </w:pPr>
            <w:hyperlink w:anchor="_53_Exchange_Online" w:history="1">
              <w:r w:rsidR="00BF5FC6" w:rsidRPr="0058047D">
                <w:rPr>
                  <w:rStyle w:val="Hyperlink"/>
                  <w:b/>
                  <w:sz w:val="13"/>
                  <w:szCs w:val="13"/>
                </w:rPr>
                <w:t>52</w:t>
              </w:r>
            </w:hyperlink>
          </w:p>
        </w:tc>
        <w:tc>
          <w:tcPr>
            <w:tcW w:w="516" w:type="dxa"/>
            <w:tcBorders>
              <w:bottom w:val="single" w:sz="4" w:space="0" w:color="auto"/>
            </w:tcBorders>
            <w:shd w:val="clear" w:color="auto" w:fill="auto"/>
            <w:vAlign w:val="center"/>
          </w:tcPr>
          <w:p w14:paraId="39082337"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06/11</w:t>
            </w:r>
          </w:p>
        </w:tc>
        <w:tc>
          <w:tcPr>
            <w:tcW w:w="358" w:type="dxa"/>
            <w:tcBorders>
              <w:bottom w:val="single" w:sz="4" w:space="0" w:color="auto"/>
              <w:right w:val="single" w:sz="18" w:space="0" w:color="auto"/>
            </w:tcBorders>
            <w:shd w:val="clear" w:color="auto" w:fill="auto"/>
            <w:vAlign w:val="center"/>
          </w:tcPr>
          <w:p w14:paraId="083BC7EE"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 xml:space="preserve"> </w:t>
            </w:r>
          </w:p>
        </w:tc>
        <w:tc>
          <w:tcPr>
            <w:tcW w:w="330" w:type="dxa"/>
            <w:tcBorders>
              <w:left w:val="single" w:sz="18" w:space="0" w:color="auto"/>
              <w:bottom w:val="single" w:sz="4" w:space="0" w:color="auto"/>
            </w:tcBorders>
            <w:shd w:val="clear" w:color="auto" w:fill="auto"/>
            <w:vAlign w:val="center"/>
          </w:tcPr>
          <w:p w14:paraId="7871ABDB"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3BDAEBD1"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5895831F"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7AD42010"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6DF03EB"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4A61CD3"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13AC84F3"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5C751DE4"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40895D6"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2868FCB3"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5EB31D37"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1874BE0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51AB7786"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vAlign w:val="center"/>
          </w:tcPr>
          <w:p w14:paraId="3A152D1E"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14:paraId="59709EC8"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tcPr>
          <w:p w14:paraId="5088320D" w14:textId="77777777" w:rsidR="00913A0A" w:rsidRPr="0058047D" w:rsidRDefault="00D93CA3"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03BF09B6" w14:textId="77777777" w:rsidTr="00C86F50">
        <w:trPr>
          <w:trHeight w:val="395"/>
        </w:trPr>
        <w:tc>
          <w:tcPr>
            <w:tcW w:w="2619" w:type="dxa"/>
            <w:gridSpan w:val="2"/>
            <w:tcBorders>
              <w:bottom w:val="single" w:sz="4" w:space="0" w:color="auto"/>
            </w:tcBorders>
            <w:shd w:val="clear" w:color="auto" w:fill="FABF8F"/>
            <w:vAlign w:val="center"/>
          </w:tcPr>
          <w:p w14:paraId="389818FE" w14:textId="77777777" w:rsidR="00913A0A" w:rsidRPr="003F471F" w:rsidRDefault="00913A0A" w:rsidP="00D66F68">
            <w:pPr>
              <w:pStyle w:val="Heading2"/>
              <w:ind w:left="0"/>
              <w:rPr>
                <w:rFonts w:ascii="Tahoma" w:hAnsi="Tahoma" w:cs="Tahoma"/>
                <w:b w:val="0"/>
                <w:sz w:val="14"/>
                <w:lang w:val="it-IT"/>
              </w:rPr>
            </w:pPr>
            <w:bookmarkStart w:id="194" w:name="_Toc371663359"/>
            <w:r w:rsidRPr="003F471F">
              <w:rPr>
                <w:rFonts w:ascii="Tahoma" w:hAnsi="Tahoma" w:cs="Tahoma"/>
                <w:b w:val="0"/>
                <w:sz w:val="14"/>
                <w:lang w:val="it-IT"/>
              </w:rPr>
              <w:t>Componente Aggiuntivo di Exchange Online Piano 1 (SL per Utente)</w:t>
            </w:r>
            <w:bookmarkEnd w:id="194"/>
          </w:p>
        </w:tc>
        <w:tc>
          <w:tcPr>
            <w:tcW w:w="554" w:type="dxa"/>
            <w:tcBorders>
              <w:bottom w:val="single" w:sz="4" w:space="0" w:color="auto"/>
            </w:tcBorders>
            <w:shd w:val="clear" w:color="auto" w:fill="FABF8F"/>
            <w:vAlign w:val="center"/>
          </w:tcPr>
          <w:p w14:paraId="3E039CA5" w14:textId="77777777" w:rsidR="00913A0A" w:rsidRPr="0058047D" w:rsidRDefault="00C86F50" w:rsidP="003D4F46">
            <w:pPr>
              <w:pStyle w:val="TableText"/>
              <w:widowControl w:val="0"/>
              <w:rPr>
                <w:b/>
                <w:sz w:val="13"/>
                <w:szCs w:val="13"/>
              </w:rPr>
            </w:pPr>
            <w:hyperlink w:anchor="_55Exchange_Online_Plan" w:history="1">
              <w:r w:rsidR="00BF5FC6" w:rsidRPr="0058047D">
                <w:rPr>
                  <w:rStyle w:val="Hyperlink"/>
                  <w:b/>
                  <w:sz w:val="13"/>
                  <w:szCs w:val="13"/>
                </w:rPr>
                <w:t>53</w:t>
              </w:r>
            </w:hyperlink>
          </w:p>
        </w:tc>
        <w:tc>
          <w:tcPr>
            <w:tcW w:w="516" w:type="dxa"/>
            <w:tcBorders>
              <w:bottom w:val="single" w:sz="4" w:space="0" w:color="auto"/>
            </w:tcBorders>
            <w:shd w:val="clear" w:color="auto" w:fill="FABF8F"/>
            <w:vAlign w:val="center"/>
          </w:tcPr>
          <w:p w14:paraId="2B9D2DA6"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08/13</w:t>
            </w:r>
          </w:p>
        </w:tc>
        <w:tc>
          <w:tcPr>
            <w:tcW w:w="358" w:type="dxa"/>
            <w:tcBorders>
              <w:bottom w:val="single" w:sz="4" w:space="0" w:color="auto"/>
              <w:right w:val="single" w:sz="18" w:space="0" w:color="auto"/>
            </w:tcBorders>
            <w:shd w:val="clear" w:color="auto" w:fill="FABF8F"/>
            <w:vAlign w:val="center"/>
          </w:tcPr>
          <w:p w14:paraId="47ED0CA0"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center"/>
          </w:tcPr>
          <w:p w14:paraId="6C0A2F5D"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5DC7E96F"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595341D5"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6A11618B"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7D7F12E"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24C49D3"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73B914DE"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1E62742C"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20F88A3"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68F9A815"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4CB229C9"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69F9DD08"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31A17404"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vAlign w:val="center"/>
          </w:tcPr>
          <w:p w14:paraId="19EC9DD0"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256EFEAB"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2E2CB240" w14:textId="77777777" w:rsidR="00913A0A" w:rsidRPr="0058047D" w:rsidRDefault="00D93CA3"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337FF873" w14:textId="77777777" w:rsidTr="00C86F50">
        <w:trPr>
          <w:trHeight w:val="395"/>
        </w:trPr>
        <w:tc>
          <w:tcPr>
            <w:tcW w:w="2619" w:type="dxa"/>
            <w:gridSpan w:val="2"/>
            <w:tcBorders>
              <w:bottom w:val="single" w:sz="4" w:space="0" w:color="auto"/>
            </w:tcBorders>
            <w:shd w:val="clear" w:color="auto" w:fill="auto"/>
            <w:vAlign w:val="center"/>
          </w:tcPr>
          <w:p w14:paraId="52E43108" w14:textId="77777777" w:rsidR="00913A0A" w:rsidRPr="003F471F" w:rsidRDefault="00913A0A" w:rsidP="00D66F68">
            <w:pPr>
              <w:pStyle w:val="Heading2"/>
              <w:ind w:left="0"/>
              <w:rPr>
                <w:rFonts w:ascii="Tahoma" w:hAnsi="Tahoma" w:cs="Tahoma"/>
                <w:b w:val="0"/>
                <w:sz w:val="14"/>
                <w:lang w:val="it-IT"/>
              </w:rPr>
            </w:pPr>
            <w:bookmarkStart w:id="195" w:name="_Toc336337952"/>
            <w:bookmarkStart w:id="196" w:name="_Toc371663360"/>
            <w:r w:rsidRPr="003F471F">
              <w:rPr>
                <w:rFonts w:ascii="Tahoma" w:hAnsi="Tahoma" w:cs="Tahoma"/>
                <w:b w:val="0"/>
                <w:sz w:val="14"/>
                <w:lang w:val="it-IT"/>
              </w:rPr>
              <w:t>Exchange Online Piano 1 (SL per Utente)</w:t>
            </w:r>
            <w:bookmarkEnd w:id="195"/>
            <w:bookmarkEnd w:id="196"/>
          </w:p>
        </w:tc>
        <w:tc>
          <w:tcPr>
            <w:tcW w:w="554" w:type="dxa"/>
            <w:tcBorders>
              <w:bottom w:val="single" w:sz="4" w:space="0" w:color="auto"/>
            </w:tcBorders>
            <w:shd w:val="clear" w:color="auto" w:fill="auto"/>
            <w:vAlign w:val="center"/>
          </w:tcPr>
          <w:p w14:paraId="1739D64D" w14:textId="77777777" w:rsidR="00913A0A" w:rsidRPr="0058047D" w:rsidRDefault="00C86F50" w:rsidP="003D4F46">
            <w:pPr>
              <w:pStyle w:val="TableText"/>
              <w:widowControl w:val="0"/>
              <w:rPr>
                <w:rStyle w:val="EndnoteReference"/>
                <w:rFonts w:cs="Tahoma"/>
                <w:b w:val="0"/>
                <w:color w:val="0000FF"/>
                <w:sz w:val="13"/>
                <w:szCs w:val="13"/>
                <w:u w:val="single"/>
              </w:rPr>
            </w:pPr>
            <w:hyperlink w:anchor="_54_Exchange_Online" w:history="1">
              <w:r w:rsidR="00BF5FC6" w:rsidRPr="0058047D">
                <w:rPr>
                  <w:rStyle w:val="Hyperlink"/>
                  <w:b/>
                  <w:sz w:val="13"/>
                  <w:szCs w:val="13"/>
                </w:rPr>
                <w:t>53</w:t>
              </w:r>
            </w:hyperlink>
          </w:p>
        </w:tc>
        <w:tc>
          <w:tcPr>
            <w:tcW w:w="516" w:type="dxa"/>
            <w:tcBorders>
              <w:bottom w:val="single" w:sz="4" w:space="0" w:color="auto"/>
            </w:tcBorders>
            <w:shd w:val="clear" w:color="auto" w:fill="auto"/>
            <w:vAlign w:val="center"/>
          </w:tcPr>
          <w:p w14:paraId="20DF0C03"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06/11</w:t>
            </w:r>
          </w:p>
        </w:tc>
        <w:tc>
          <w:tcPr>
            <w:tcW w:w="358" w:type="dxa"/>
            <w:tcBorders>
              <w:bottom w:val="single" w:sz="4" w:space="0" w:color="auto"/>
              <w:right w:val="single" w:sz="18" w:space="0" w:color="auto"/>
            </w:tcBorders>
            <w:shd w:val="clear" w:color="auto" w:fill="auto"/>
            <w:vAlign w:val="center"/>
          </w:tcPr>
          <w:p w14:paraId="27DC7FDF"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auto"/>
            <w:vAlign w:val="center"/>
          </w:tcPr>
          <w:p w14:paraId="51224B01"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2BA439A9"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5644C922"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27E4F4CB"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8FE89D"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CDB92D8"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1E9D5112"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143BE8E6"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9626C5C"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2FE3F717"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578AF5E3"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0907D8B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0D11906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auto"/>
            <w:vAlign w:val="center"/>
          </w:tcPr>
          <w:p w14:paraId="75DD10BC"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14:paraId="3CD7F648" w14:textId="77777777" w:rsidR="00913A0A" w:rsidRPr="0058047D" w:rsidRDefault="000956ED" w:rsidP="001A63C6">
            <w:pPr>
              <w:pStyle w:val="TableText"/>
              <w:widowControl w:val="0"/>
              <w:rPr>
                <w:rFonts w:ascii="Tahoma" w:hAnsi="Tahoma" w:cs="Tahoma"/>
                <w:sz w:val="13"/>
              </w:rPr>
            </w:pPr>
            <w:r w:rsidRPr="0058047D">
              <w:rPr>
                <w:rFonts w:ascii="Tahoma" w:hAnsi="Tahoma" w:cs="Tahoma"/>
                <w:sz w:val="13"/>
              </w:rPr>
              <w:t>OL/OV</w:t>
            </w:r>
          </w:p>
        </w:tc>
        <w:tc>
          <w:tcPr>
            <w:tcW w:w="405" w:type="dxa"/>
            <w:tcBorders>
              <w:bottom w:val="single" w:sz="4" w:space="0" w:color="auto"/>
            </w:tcBorders>
          </w:tcPr>
          <w:p w14:paraId="440FF6E8" w14:textId="77777777" w:rsidR="00913A0A" w:rsidRPr="0058047D" w:rsidRDefault="00D93CA3"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32983457" w14:textId="77777777" w:rsidTr="00C86F50">
        <w:trPr>
          <w:trHeight w:val="145"/>
        </w:trPr>
        <w:tc>
          <w:tcPr>
            <w:tcW w:w="2619" w:type="dxa"/>
            <w:gridSpan w:val="2"/>
            <w:tcBorders>
              <w:bottom w:val="single" w:sz="4" w:space="0" w:color="auto"/>
            </w:tcBorders>
            <w:shd w:val="clear" w:color="auto" w:fill="FABF8F"/>
          </w:tcPr>
          <w:p w14:paraId="4F6B2945" w14:textId="77777777" w:rsidR="00913A0A" w:rsidRPr="003F471F" w:rsidRDefault="00913A0A" w:rsidP="001A63C6">
            <w:pPr>
              <w:pStyle w:val="Heading2"/>
              <w:ind w:left="0"/>
              <w:rPr>
                <w:rFonts w:ascii="Tahoma" w:hAnsi="Tahoma" w:cs="Tahoma"/>
                <w:b w:val="0"/>
                <w:sz w:val="14"/>
                <w:lang w:val="it-IT"/>
              </w:rPr>
            </w:pPr>
            <w:bookmarkStart w:id="197" w:name="_Toc336337953"/>
            <w:bookmarkStart w:id="198" w:name="_Toc371663361"/>
            <w:r w:rsidRPr="003F471F">
              <w:rPr>
                <w:rFonts w:ascii="Tahoma" w:hAnsi="Tahoma" w:cs="Tahoma"/>
                <w:b w:val="0"/>
                <w:sz w:val="14"/>
                <w:lang w:val="it-IT"/>
              </w:rPr>
              <w:t>Exchange Online Piano 2 (SL per Utente)</w:t>
            </w:r>
            <w:bookmarkEnd w:id="197"/>
            <w:bookmarkEnd w:id="198"/>
          </w:p>
        </w:tc>
        <w:tc>
          <w:tcPr>
            <w:tcW w:w="554" w:type="dxa"/>
            <w:tcBorders>
              <w:bottom w:val="single" w:sz="4" w:space="0" w:color="auto"/>
            </w:tcBorders>
            <w:shd w:val="clear" w:color="auto" w:fill="FABF8F"/>
            <w:vAlign w:val="center"/>
          </w:tcPr>
          <w:p w14:paraId="5D1B1F92" w14:textId="77777777" w:rsidR="00913A0A" w:rsidRPr="0058047D" w:rsidRDefault="00C86F50" w:rsidP="003D4F46">
            <w:pPr>
              <w:pStyle w:val="TableText"/>
              <w:widowControl w:val="0"/>
              <w:rPr>
                <w:rStyle w:val="EndnoteReference"/>
                <w:b w:val="0"/>
                <w:color w:val="000000"/>
                <w:sz w:val="13"/>
                <w:szCs w:val="13"/>
                <w:u w:val="single"/>
              </w:rPr>
            </w:pPr>
            <w:hyperlink w:anchor="_55_Exchange_Online" w:history="1">
              <w:r w:rsidR="00BF5FC6" w:rsidRPr="0058047D">
                <w:rPr>
                  <w:rStyle w:val="Hyperlink"/>
                  <w:b/>
                  <w:sz w:val="13"/>
                  <w:szCs w:val="13"/>
                </w:rPr>
                <w:t>54</w:t>
              </w:r>
            </w:hyperlink>
            <w:hyperlink w:anchor="_49_Exchange_Online" w:history="1"/>
          </w:p>
        </w:tc>
        <w:tc>
          <w:tcPr>
            <w:tcW w:w="516" w:type="dxa"/>
            <w:tcBorders>
              <w:bottom w:val="single" w:sz="4" w:space="0" w:color="auto"/>
            </w:tcBorders>
            <w:shd w:val="clear" w:color="auto" w:fill="FABF8F"/>
            <w:vAlign w:val="center"/>
          </w:tcPr>
          <w:p w14:paraId="74970644" w14:textId="77777777" w:rsidR="00913A0A" w:rsidRPr="0058047D" w:rsidRDefault="00913A0A" w:rsidP="007E466C">
            <w:pPr>
              <w:pStyle w:val="TableText"/>
              <w:widowControl w:val="0"/>
              <w:spacing w:before="80"/>
              <w:rPr>
                <w:rFonts w:ascii="Tahoma" w:hAnsi="Tahoma" w:cs="Tahoma"/>
                <w:sz w:val="13"/>
              </w:rPr>
            </w:pPr>
            <w:r w:rsidRPr="0058047D">
              <w:rPr>
                <w:rFonts w:ascii="Tahoma" w:hAnsi="Tahoma" w:cs="Tahoma"/>
                <w:sz w:val="13"/>
              </w:rPr>
              <w:t>06/11</w:t>
            </w:r>
          </w:p>
        </w:tc>
        <w:tc>
          <w:tcPr>
            <w:tcW w:w="358" w:type="dxa"/>
            <w:tcBorders>
              <w:bottom w:val="single" w:sz="4" w:space="0" w:color="auto"/>
              <w:right w:val="single" w:sz="18" w:space="0" w:color="auto"/>
            </w:tcBorders>
            <w:shd w:val="clear" w:color="auto" w:fill="FABF8F"/>
            <w:vAlign w:val="center"/>
          </w:tcPr>
          <w:p w14:paraId="60D863ED"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center"/>
          </w:tcPr>
          <w:p w14:paraId="687E5370"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5153CF72"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174A2780"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12DA203C"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5136341"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3D39D10"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483D5098"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7349B2A1"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D56BB67"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3360546E"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1193DD1A"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7095D97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3FC41B05"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vAlign w:val="center"/>
          </w:tcPr>
          <w:p w14:paraId="614D6D99"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72727E2A"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2D5F0D91" w14:textId="77777777" w:rsidR="00913A0A" w:rsidRPr="0058047D" w:rsidRDefault="00D93CA3"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1A115247" w14:textId="77777777" w:rsidTr="00C86F50">
        <w:trPr>
          <w:trHeight w:val="145"/>
        </w:trPr>
        <w:tc>
          <w:tcPr>
            <w:tcW w:w="2619" w:type="dxa"/>
            <w:gridSpan w:val="2"/>
            <w:tcBorders>
              <w:bottom w:val="single" w:sz="4" w:space="0" w:color="auto"/>
            </w:tcBorders>
            <w:shd w:val="clear" w:color="auto" w:fill="FFFFFF" w:themeFill="background1"/>
          </w:tcPr>
          <w:p w14:paraId="141CBE15" w14:textId="77777777" w:rsidR="00913A0A" w:rsidRPr="003F471F" w:rsidRDefault="00913A0A" w:rsidP="001A63C6">
            <w:pPr>
              <w:pStyle w:val="Heading3"/>
              <w:rPr>
                <w:rFonts w:ascii="Tahoma" w:hAnsi="Tahoma" w:cs="Tahoma"/>
                <w:b w:val="0"/>
                <w:sz w:val="14"/>
                <w:lang w:val="it-IT"/>
              </w:rPr>
            </w:pPr>
            <w:bookmarkStart w:id="199" w:name="_Toc336337954"/>
            <w:bookmarkStart w:id="200" w:name="_Toc371663362"/>
            <w:r w:rsidRPr="003F471F">
              <w:rPr>
                <w:rFonts w:ascii="Tahoma" w:hAnsi="Tahoma" w:cs="Tahoma"/>
                <w:b w:val="0"/>
                <w:sz w:val="14"/>
                <w:lang w:val="it-IT"/>
              </w:rPr>
              <w:t>Exchange Online Piano 1A per Ex Allievi (SL per Utente)</w:t>
            </w:r>
            <w:bookmarkEnd w:id="199"/>
            <w:bookmarkEnd w:id="200"/>
          </w:p>
        </w:tc>
        <w:tc>
          <w:tcPr>
            <w:tcW w:w="554" w:type="dxa"/>
            <w:tcBorders>
              <w:bottom w:val="single" w:sz="4" w:space="0" w:color="auto"/>
            </w:tcBorders>
            <w:shd w:val="clear" w:color="auto" w:fill="FFFFFF" w:themeFill="background1"/>
            <w:vAlign w:val="center"/>
          </w:tcPr>
          <w:p w14:paraId="2DB4E241" w14:textId="77777777" w:rsidR="00913A0A" w:rsidRPr="003F471F" w:rsidRDefault="00913A0A" w:rsidP="001A63C6">
            <w:pPr>
              <w:pStyle w:val="TableText"/>
              <w:widowControl w:val="0"/>
              <w:rPr>
                <w:b/>
                <w:color w:val="000000"/>
                <w:sz w:val="13"/>
                <w:szCs w:val="13"/>
                <w:u w:val="single"/>
                <w:lang w:val="it-IT"/>
              </w:rPr>
            </w:pPr>
          </w:p>
        </w:tc>
        <w:tc>
          <w:tcPr>
            <w:tcW w:w="516" w:type="dxa"/>
            <w:tcBorders>
              <w:bottom w:val="single" w:sz="4" w:space="0" w:color="auto"/>
            </w:tcBorders>
            <w:shd w:val="clear" w:color="auto" w:fill="FFFFFF" w:themeFill="background1"/>
            <w:vAlign w:val="center"/>
          </w:tcPr>
          <w:p w14:paraId="0F589B0D"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06/12</w:t>
            </w:r>
          </w:p>
        </w:tc>
        <w:tc>
          <w:tcPr>
            <w:tcW w:w="358" w:type="dxa"/>
            <w:tcBorders>
              <w:bottom w:val="single" w:sz="4" w:space="0" w:color="auto"/>
              <w:right w:val="single" w:sz="18" w:space="0" w:color="auto"/>
            </w:tcBorders>
            <w:shd w:val="clear" w:color="auto" w:fill="FFFFFF" w:themeFill="background1"/>
            <w:vAlign w:val="center"/>
          </w:tcPr>
          <w:p w14:paraId="5541077B"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FFFFF" w:themeFill="background1"/>
            <w:vAlign w:val="center"/>
          </w:tcPr>
          <w:p w14:paraId="3AC8D7A5"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FFFFF" w:themeFill="background1"/>
            <w:vAlign w:val="center"/>
          </w:tcPr>
          <w:p w14:paraId="4605A63D"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FFFFF" w:themeFill="background1"/>
            <w:vAlign w:val="center"/>
          </w:tcPr>
          <w:p w14:paraId="61C74F12"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FFFFF" w:themeFill="background1"/>
            <w:vAlign w:val="center"/>
          </w:tcPr>
          <w:p w14:paraId="3631485F"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1BB22E65"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1DAA8FEA"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FFFFF" w:themeFill="background1"/>
            <w:vAlign w:val="center"/>
          </w:tcPr>
          <w:p w14:paraId="335FD8D4"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FFFFF" w:themeFill="background1"/>
            <w:vAlign w:val="center"/>
          </w:tcPr>
          <w:p w14:paraId="7F0E082A"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85C3A94"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FFFFF" w:themeFill="background1"/>
            <w:vAlign w:val="center"/>
          </w:tcPr>
          <w:p w14:paraId="65401B67"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FFFFF" w:themeFill="background1"/>
            <w:vAlign w:val="center"/>
          </w:tcPr>
          <w:p w14:paraId="67681DE0"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FFFFF" w:themeFill="background1"/>
            <w:vAlign w:val="center"/>
          </w:tcPr>
          <w:p w14:paraId="204F03F4"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FFFFF" w:themeFill="background1"/>
            <w:vAlign w:val="center"/>
          </w:tcPr>
          <w:p w14:paraId="1257587F"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FFFFF" w:themeFill="background1"/>
            <w:vAlign w:val="center"/>
          </w:tcPr>
          <w:p w14:paraId="3BEAC41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 (Solo EES)</w:t>
            </w:r>
          </w:p>
        </w:tc>
        <w:tc>
          <w:tcPr>
            <w:tcW w:w="504" w:type="dxa"/>
            <w:tcBorders>
              <w:bottom w:val="single" w:sz="4" w:space="0" w:color="auto"/>
            </w:tcBorders>
            <w:shd w:val="clear" w:color="auto" w:fill="FFFFFF" w:themeFill="background1"/>
            <w:vAlign w:val="center"/>
          </w:tcPr>
          <w:p w14:paraId="3871C342"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FFFFF" w:themeFill="background1"/>
          </w:tcPr>
          <w:p w14:paraId="7F5C7C16" w14:textId="77777777" w:rsidR="00913A0A" w:rsidRPr="0058047D" w:rsidRDefault="00913A0A" w:rsidP="001A63C6">
            <w:pPr>
              <w:pStyle w:val="TableText"/>
              <w:widowControl w:val="0"/>
              <w:rPr>
                <w:rFonts w:ascii="Tahoma" w:hAnsi="Tahoma" w:cs="Tahoma"/>
                <w:sz w:val="13"/>
              </w:rPr>
            </w:pPr>
          </w:p>
        </w:tc>
      </w:tr>
      <w:tr w:rsidR="009323A0" w:rsidRPr="0058047D" w14:paraId="67CDDC1A" w14:textId="77777777" w:rsidTr="00C86F50">
        <w:trPr>
          <w:trHeight w:val="145"/>
        </w:trPr>
        <w:tc>
          <w:tcPr>
            <w:tcW w:w="2619" w:type="dxa"/>
            <w:gridSpan w:val="2"/>
            <w:tcBorders>
              <w:bottom w:val="single" w:sz="4" w:space="0" w:color="auto"/>
            </w:tcBorders>
            <w:shd w:val="clear" w:color="auto" w:fill="FABF8F"/>
          </w:tcPr>
          <w:p w14:paraId="258E320E" w14:textId="77777777" w:rsidR="000E0C44" w:rsidRPr="003F471F" w:rsidRDefault="000E0C44" w:rsidP="001A63C6">
            <w:pPr>
              <w:pStyle w:val="Heading3"/>
              <w:rPr>
                <w:rFonts w:ascii="Tahoma" w:hAnsi="Tahoma" w:cs="Tahoma"/>
                <w:b w:val="0"/>
                <w:sz w:val="14"/>
                <w:lang w:val="it-IT"/>
              </w:rPr>
            </w:pPr>
            <w:bookmarkStart w:id="201" w:name="_Toc336337955"/>
            <w:bookmarkStart w:id="202" w:name="_Toc371663363"/>
            <w:r w:rsidRPr="003F471F">
              <w:rPr>
                <w:rFonts w:ascii="Tahoma" w:hAnsi="Tahoma" w:cs="Tahoma"/>
                <w:b w:val="0"/>
                <w:sz w:val="14"/>
                <w:lang w:val="it-IT"/>
              </w:rPr>
              <w:t xml:space="preserve">Exchange Online Piano 2A </w:t>
            </w:r>
            <w:r w:rsidR="009323A0" w:rsidRPr="003F471F">
              <w:rPr>
                <w:rFonts w:ascii="Tahoma" w:hAnsi="Tahoma" w:cs="Tahoma"/>
                <w:b w:val="0"/>
                <w:sz w:val="14"/>
                <w:lang w:val="it-IT"/>
              </w:rPr>
              <w:br/>
            </w:r>
            <w:r w:rsidRPr="003F471F">
              <w:rPr>
                <w:rFonts w:ascii="Tahoma" w:hAnsi="Tahoma" w:cs="Tahoma"/>
                <w:b w:val="0"/>
                <w:sz w:val="14"/>
                <w:lang w:val="it-IT"/>
              </w:rPr>
              <w:t>(SL per Utente)</w:t>
            </w:r>
            <w:bookmarkEnd w:id="201"/>
            <w:bookmarkEnd w:id="202"/>
          </w:p>
        </w:tc>
        <w:tc>
          <w:tcPr>
            <w:tcW w:w="554" w:type="dxa"/>
            <w:tcBorders>
              <w:bottom w:val="single" w:sz="4" w:space="0" w:color="auto"/>
            </w:tcBorders>
            <w:shd w:val="clear" w:color="auto" w:fill="FABF8F"/>
            <w:vAlign w:val="center"/>
          </w:tcPr>
          <w:p w14:paraId="5B2308C5" w14:textId="77777777" w:rsidR="000E0C44" w:rsidRPr="003F471F" w:rsidRDefault="000E0C44" w:rsidP="001A63C6">
            <w:pPr>
              <w:pStyle w:val="TableText"/>
              <w:widowControl w:val="0"/>
              <w:rPr>
                <w:b/>
                <w:color w:val="000000"/>
                <w:sz w:val="13"/>
                <w:szCs w:val="13"/>
                <w:u w:val="single"/>
                <w:lang w:val="it-IT"/>
              </w:rPr>
            </w:pPr>
          </w:p>
        </w:tc>
        <w:tc>
          <w:tcPr>
            <w:tcW w:w="516" w:type="dxa"/>
            <w:tcBorders>
              <w:bottom w:val="single" w:sz="4" w:space="0" w:color="auto"/>
            </w:tcBorders>
            <w:shd w:val="clear" w:color="auto" w:fill="FABF8F"/>
            <w:vAlign w:val="center"/>
          </w:tcPr>
          <w:p w14:paraId="6A14448E" w14:textId="77777777" w:rsidR="000E0C44" w:rsidRPr="0058047D" w:rsidRDefault="000E0C44" w:rsidP="001A63C6">
            <w:pPr>
              <w:pStyle w:val="TableText"/>
              <w:widowControl w:val="0"/>
              <w:spacing w:before="80"/>
              <w:rPr>
                <w:rFonts w:ascii="Tahoma" w:hAnsi="Tahoma" w:cs="Tahoma"/>
                <w:sz w:val="13"/>
              </w:rPr>
            </w:pPr>
            <w:r w:rsidRPr="0058047D">
              <w:rPr>
                <w:rFonts w:ascii="Tahoma" w:hAnsi="Tahoma" w:cs="Tahoma"/>
                <w:sz w:val="13"/>
              </w:rPr>
              <w:t>06/12</w:t>
            </w:r>
          </w:p>
        </w:tc>
        <w:tc>
          <w:tcPr>
            <w:tcW w:w="358" w:type="dxa"/>
            <w:tcBorders>
              <w:bottom w:val="single" w:sz="4" w:space="0" w:color="auto"/>
              <w:right w:val="single" w:sz="18" w:space="0" w:color="auto"/>
            </w:tcBorders>
            <w:shd w:val="clear" w:color="auto" w:fill="FABF8F"/>
            <w:vAlign w:val="center"/>
          </w:tcPr>
          <w:p w14:paraId="2696F75F" w14:textId="77777777" w:rsidR="000E0C44" w:rsidRPr="0058047D" w:rsidRDefault="000E0C44"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center"/>
          </w:tcPr>
          <w:p w14:paraId="089CADB0" w14:textId="77777777" w:rsidR="000E0C44" w:rsidRPr="0058047D" w:rsidRDefault="000E0C44"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7DBFF8EC" w14:textId="77777777" w:rsidR="000E0C44" w:rsidRPr="0058047D" w:rsidRDefault="000E0C44"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48BD7A95" w14:textId="77777777" w:rsidR="000E0C44" w:rsidRPr="0058047D" w:rsidRDefault="000E0C44"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281481EB" w14:textId="77777777" w:rsidR="000E0C44" w:rsidRPr="0058047D" w:rsidRDefault="000E0C44"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5C8DB67" w14:textId="77777777" w:rsidR="000E0C44" w:rsidRPr="0058047D" w:rsidRDefault="000E0C44"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595DFBF" w14:textId="77777777" w:rsidR="000E0C44" w:rsidRPr="0058047D" w:rsidRDefault="000E0C44"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11B5A0B8" w14:textId="77777777" w:rsidR="000E0C44" w:rsidRPr="0058047D" w:rsidRDefault="000E0C44" w:rsidP="001A63C6">
            <w:pPr>
              <w:pStyle w:val="TableText"/>
              <w:widowControl w:val="0"/>
              <w:rPr>
                <w:rFonts w:ascii="Tahoma" w:hAnsi="Tahoma" w:cs="Tahoma"/>
                <w:sz w:val="13"/>
              </w:rPr>
            </w:pPr>
          </w:p>
        </w:tc>
        <w:tc>
          <w:tcPr>
            <w:tcW w:w="1341" w:type="dxa"/>
            <w:gridSpan w:val="3"/>
            <w:tcBorders>
              <w:left w:val="single" w:sz="18" w:space="0" w:color="auto"/>
              <w:bottom w:val="single" w:sz="4" w:space="0" w:color="auto"/>
              <w:right w:val="single" w:sz="18" w:space="0" w:color="auto"/>
            </w:tcBorders>
            <w:shd w:val="clear" w:color="auto" w:fill="FABF8F"/>
            <w:vAlign w:val="center"/>
          </w:tcPr>
          <w:p w14:paraId="7FE36FE8" w14:textId="77777777" w:rsidR="000E0C44" w:rsidRPr="0058047D" w:rsidRDefault="000E0C44" w:rsidP="001A63C6">
            <w:pPr>
              <w:pStyle w:val="TableText"/>
              <w:widowControl w:val="0"/>
              <w:rPr>
                <w:rFonts w:ascii="Tahoma" w:hAnsi="Tahoma" w:cs="Tahoma"/>
                <w:sz w:val="13"/>
              </w:rPr>
            </w:pPr>
            <w:r w:rsidRPr="0058047D">
              <w:rPr>
                <w:rFonts w:ascii="Tahoma" w:hAnsi="Tahoma" w:cs="Tahoma"/>
                <w:sz w:val="13"/>
              </w:rPr>
              <w:t>1</w:t>
            </w:r>
          </w:p>
        </w:tc>
        <w:tc>
          <w:tcPr>
            <w:tcW w:w="468" w:type="dxa"/>
            <w:tcBorders>
              <w:left w:val="single" w:sz="18" w:space="0" w:color="auto"/>
              <w:bottom w:val="single" w:sz="4" w:space="0" w:color="auto"/>
            </w:tcBorders>
            <w:shd w:val="clear" w:color="auto" w:fill="FABF8F"/>
            <w:vAlign w:val="center"/>
          </w:tcPr>
          <w:p w14:paraId="534918E8" w14:textId="77777777" w:rsidR="000E0C44" w:rsidRPr="0058047D" w:rsidRDefault="000E0C44" w:rsidP="001A63C6">
            <w:pPr>
              <w:pStyle w:val="TableText"/>
              <w:widowControl w:val="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FABF8F"/>
            <w:vAlign w:val="center"/>
          </w:tcPr>
          <w:p w14:paraId="364D5F6A" w14:textId="77777777" w:rsidR="000E0C44" w:rsidRPr="0058047D" w:rsidRDefault="000E0C44"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515224E5" w14:textId="77777777" w:rsidR="000E0C44" w:rsidRPr="0058047D" w:rsidRDefault="000E0C44"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vAlign w:val="center"/>
          </w:tcPr>
          <w:p w14:paraId="575E58A8" w14:textId="77777777" w:rsidR="000E0C44" w:rsidRPr="0058047D" w:rsidRDefault="000E0C44" w:rsidP="000E0C44">
            <w:pPr>
              <w:pStyle w:val="TableText"/>
              <w:widowControl w:val="0"/>
              <w:rPr>
                <w:rFonts w:ascii="Tahoma" w:hAnsi="Tahoma" w:cs="Tahoma"/>
                <w:sz w:val="13"/>
              </w:rPr>
            </w:pPr>
            <w:r w:rsidRPr="0058047D">
              <w:rPr>
                <w:rFonts w:ascii="Tahoma" w:hAnsi="Tahoma" w:cs="Tahoma"/>
                <w:sz w:val="13"/>
              </w:rPr>
              <w:t xml:space="preserve">A, ST (EES), </w:t>
            </w:r>
            <w:r w:rsidR="007B5549">
              <w:rPr>
                <w:rFonts w:ascii="Tahoma" w:hAnsi="Tahoma" w:cs="Tahoma"/>
                <w:sz w:val="13"/>
              </w:rPr>
              <w:br/>
            </w:r>
            <w:r w:rsidRPr="0058047D">
              <w:rPr>
                <w:rFonts w:ascii="Tahoma" w:hAnsi="Tahoma" w:cs="Tahoma"/>
                <w:sz w:val="13"/>
              </w:rPr>
              <w:t xml:space="preserve">A, ST </w:t>
            </w:r>
            <w:r w:rsidR="007B5549">
              <w:rPr>
                <w:rFonts w:ascii="Tahoma" w:hAnsi="Tahoma" w:cs="Tahoma"/>
                <w:sz w:val="13"/>
              </w:rPr>
              <w:br/>
            </w:r>
            <w:r w:rsidRPr="0058047D">
              <w:rPr>
                <w:rFonts w:ascii="Tahoma" w:hAnsi="Tahoma" w:cs="Tahoma"/>
                <w:sz w:val="13"/>
              </w:rPr>
              <w:t>(OVS-ES)</w:t>
            </w:r>
          </w:p>
        </w:tc>
        <w:tc>
          <w:tcPr>
            <w:tcW w:w="504" w:type="dxa"/>
            <w:tcBorders>
              <w:bottom w:val="single" w:sz="4" w:space="0" w:color="auto"/>
            </w:tcBorders>
            <w:shd w:val="clear" w:color="auto" w:fill="FABF8F"/>
            <w:vAlign w:val="center"/>
          </w:tcPr>
          <w:p w14:paraId="597BFB59" w14:textId="77777777" w:rsidR="000E0C44" w:rsidRPr="0058047D" w:rsidRDefault="000E0C44" w:rsidP="001A63C6">
            <w:pPr>
              <w:pStyle w:val="TableText"/>
              <w:widowControl w:val="0"/>
              <w:rPr>
                <w:rFonts w:ascii="Tahoma" w:hAnsi="Tahoma" w:cs="Tahoma"/>
                <w:sz w:val="13"/>
              </w:rPr>
            </w:pPr>
            <w:r w:rsidRPr="0058047D">
              <w:rPr>
                <w:rFonts w:ascii="Tahoma" w:hAnsi="Tahoma" w:cs="Tahoma"/>
                <w:sz w:val="13"/>
              </w:rPr>
              <w:t>OL/OV</w:t>
            </w:r>
          </w:p>
        </w:tc>
        <w:tc>
          <w:tcPr>
            <w:tcW w:w="405" w:type="dxa"/>
            <w:tcBorders>
              <w:bottom w:val="single" w:sz="4" w:space="0" w:color="auto"/>
            </w:tcBorders>
            <w:shd w:val="clear" w:color="auto" w:fill="FABF8F"/>
          </w:tcPr>
          <w:p w14:paraId="046668C4" w14:textId="77777777" w:rsidR="000E0C44" w:rsidRPr="0058047D" w:rsidRDefault="000E0C44" w:rsidP="001A63C6">
            <w:pPr>
              <w:pStyle w:val="TableText"/>
              <w:widowControl w:val="0"/>
              <w:rPr>
                <w:rFonts w:ascii="Tahoma" w:hAnsi="Tahoma" w:cs="Tahoma"/>
                <w:sz w:val="13"/>
              </w:rPr>
            </w:pPr>
          </w:p>
        </w:tc>
      </w:tr>
      <w:tr w:rsidR="009323A0" w:rsidRPr="0058047D" w14:paraId="23E68611" w14:textId="77777777" w:rsidTr="00C86F50">
        <w:trPr>
          <w:trHeight w:val="145"/>
        </w:trPr>
        <w:tc>
          <w:tcPr>
            <w:tcW w:w="2619" w:type="dxa"/>
            <w:gridSpan w:val="2"/>
            <w:tcBorders>
              <w:bottom w:val="single" w:sz="4" w:space="0" w:color="auto"/>
            </w:tcBorders>
            <w:shd w:val="clear" w:color="auto" w:fill="FFFFFF" w:themeFill="background1"/>
          </w:tcPr>
          <w:p w14:paraId="5F81B46D" w14:textId="77777777" w:rsidR="00913A0A" w:rsidRPr="0058047D" w:rsidRDefault="00913A0A" w:rsidP="001A63C6">
            <w:pPr>
              <w:pStyle w:val="ProductNames"/>
              <w:rPr>
                <w:rFonts w:ascii="Tahoma" w:hAnsi="Tahoma" w:cs="Tahoma"/>
                <w:sz w:val="14"/>
              </w:rPr>
            </w:pPr>
            <w:bookmarkStart w:id="203" w:name="_Toc371663364"/>
            <w:r w:rsidRPr="0058047D">
              <w:rPr>
                <w:rFonts w:ascii="Tahoma" w:hAnsi="Tahoma" w:cs="Tahoma"/>
                <w:sz w:val="14"/>
              </w:rPr>
              <w:t xml:space="preserve">Exchange Online Protection </w:t>
            </w:r>
            <w:r w:rsidR="009323A0">
              <w:rPr>
                <w:rFonts w:ascii="Tahoma" w:hAnsi="Tahoma" w:cs="Tahoma"/>
                <w:sz w:val="14"/>
              </w:rPr>
              <w:br/>
            </w:r>
            <w:r w:rsidRPr="0058047D">
              <w:rPr>
                <w:rFonts w:ascii="Tahoma" w:hAnsi="Tahoma" w:cs="Tahoma"/>
                <w:sz w:val="14"/>
              </w:rPr>
              <w:t>(SL per Utente)</w:t>
            </w:r>
            <w:bookmarkEnd w:id="203"/>
          </w:p>
        </w:tc>
        <w:tc>
          <w:tcPr>
            <w:tcW w:w="554" w:type="dxa"/>
            <w:tcBorders>
              <w:bottom w:val="single" w:sz="4" w:space="0" w:color="auto"/>
            </w:tcBorders>
            <w:shd w:val="clear" w:color="auto" w:fill="FFFFFF" w:themeFill="background1"/>
            <w:vAlign w:val="center"/>
          </w:tcPr>
          <w:p w14:paraId="0DF3916B" w14:textId="77777777" w:rsidR="00913A0A" w:rsidRPr="0058047D" w:rsidRDefault="00C86F50" w:rsidP="003D4F46">
            <w:pPr>
              <w:pStyle w:val="TableText"/>
              <w:widowControl w:val="0"/>
            </w:pPr>
            <w:hyperlink w:anchor="_56_Exchange_Online" w:history="1">
              <w:r w:rsidR="00BF5FC6" w:rsidRPr="0058047D">
                <w:rPr>
                  <w:rStyle w:val="Hyperlink"/>
                  <w:b/>
                  <w:sz w:val="13"/>
                  <w:szCs w:val="13"/>
                </w:rPr>
                <w:t>55</w:t>
              </w:r>
            </w:hyperlink>
            <w:hyperlink w:anchor="_49_Exchange_Server" w:history="1"/>
          </w:p>
        </w:tc>
        <w:tc>
          <w:tcPr>
            <w:tcW w:w="516" w:type="dxa"/>
            <w:tcBorders>
              <w:bottom w:val="single" w:sz="4" w:space="0" w:color="auto"/>
            </w:tcBorders>
            <w:shd w:val="clear" w:color="auto" w:fill="FFFFFF" w:themeFill="background1"/>
            <w:vAlign w:val="center"/>
          </w:tcPr>
          <w:p w14:paraId="541E64DA" w14:textId="77777777" w:rsidR="00913A0A" w:rsidRPr="0058047D" w:rsidRDefault="00913A0A" w:rsidP="001A63C6">
            <w:pPr>
              <w:pStyle w:val="TableText"/>
              <w:widowControl w:val="0"/>
              <w:spacing w:before="80"/>
              <w:rPr>
                <w:rFonts w:ascii="Tahoma" w:hAnsi="Tahoma" w:cs="Tahoma"/>
                <w:sz w:val="13"/>
              </w:rPr>
            </w:pPr>
          </w:p>
        </w:tc>
        <w:tc>
          <w:tcPr>
            <w:tcW w:w="358" w:type="dxa"/>
            <w:tcBorders>
              <w:bottom w:val="single" w:sz="4" w:space="0" w:color="auto"/>
              <w:right w:val="single" w:sz="18" w:space="0" w:color="auto"/>
            </w:tcBorders>
            <w:shd w:val="clear" w:color="auto" w:fill="FFFFFF" w:themeFill="background1"/>
            <w:vAlign w:val="center"/>
          </w:tcPr>
          <w:p w14:paraId="2D0FD4C4"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FFFFF" w:themeFill="background1"/>
            <w:vAlign w:val="center"/>
          </w:tcPr>
          <w:p w14:paraId="53622750"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FFFFF" w:themeFill="background1"/>
            <w:vAlign w:val="center"/>
          </w:tcPr>
          <w:p w14:paraId="778B062B"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FFFFF" w:themeFill="background1"/>
            <w:vAlign w:val="center"/>
          </w:tcPr>
          <w:p w14:paraId="2B78A538"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FFFFF" w:themeFill="background1"/>
            <w:vAlign w:val="center"/>
          </w:tcPr>
          <w:p w14:paraId="4E672A16"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6C6788A"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70B2B36"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FFFFF" w:themeFill="background1"/>
            <w:vAlign w:val="center"/>
          </w:tcPr>
          <w:p w14:paraId="328591BB"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FFFFF" w:themeFill="background1"/>
            <w:vAlign w:val="center"/>
          </w:tcPr>
          <w:p w14:paraId="493487FA"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F5161E0"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FFFFF" w:themeFill="background1"/>
            <w:vAlign w:val="center"/>
          </w:tcPr>
          <w:p w14:paraId="7024C954"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FFFFF" w:themeFill="background1"/>
            <w:vAlign w:val="center"/>
          </w:tcPr>
          <w:p w14:paraId="4E4C9E91"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FFFFF" w:themeFill="background1"/>
            <w:vAlign w:val="center"/>
          </w:tcPr>
          <w:p w14:paraId="6C6BEEA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FFFFF" w:themeFill="background1"/>
            <w:vAlign w:val="center"/>
          </w:tcPr>
          <w:p w14:paraId="03B04010"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FFFFF" w:themeFill="background1"/>
          </w:tcPr>
          <w:p w14:paraId="1B9657CB"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FFFFF" w:themeFill="background1"/>
            <w:vAlign w:val="center"/>
          </w:tcPr>
          <w:p w14:paraId="71B2C023" w14:textId="77777777" w:rsidR="00913A0A" w:rsidRPr="0058047D" w:rsidRDefault="000956ED" w:rsidP="001A63C6">
            <w:pPr>
              <w:pStyle w:val="TableText"/>
              <w:widowControl w:val="0"/>
              <w:rPr>
                <w:rFonts w:ascii="Tahoma" w:hAnsi="Tahoma" w:cs="Tahoma"/>
                <w:sz w:val="13"/>
              </w:rPr>
            </w:pPr>
            <w:r w:rsidRPr="0058047D">
              <w:rPr>
                <w:rFonts w:ascii="Tahoma" w:hAnsi="Tahoma" w:cs="Tahoma"/>
                <w:sz w:val="13"/>
              </w:rPr>
              <w:t>OL/OV</w:t>
            </w:r>
          </w:p>
        </w:tc>
        <w:tc>
          <w:tcPr>
            <w:tcW w:w="405" w:type="dxa"/>
            <w:tcBorders>
              <w:bottom w:val="single" w:sz="4" w:space="0" w:color="auto"/>
            </w:tcBorders>
            <w:shd w:val="clear" w:color="auto" w:fill="FFFFFF" w:themeFill="background1"/>
          </w:tcPr>
          <w:p w14:paraId="71820429"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0D47F56A" w14:textId="77777777" w:rsidTr="00C86F50">
        <w:trPr>
          <w:trHeight w:val="145"/>
        </w:trPr>
        <w:tc>
          <w:tcPr>
            <w:tcW w:w="2619" w:type="dxa"/>
            <w:gridSpan w:val="2"/>
            <w:tcBorders>
              <w:bottom w:val="single" w:sz="4" w:space="0" w:color="auto"/>
            </w:tcBorders>
            <w:shd w:val="clear" w:color="auto" w:fill="FABF8F"/>
          </w:tcPr>
          <w:p w14:paraId="5DB206AD" w14:textId="77777777" w:rsidR="00913A0A" w:rsidRPr="0058047D" w:rsidRDefault="00913A0A" w:rsidP="001A63C6">
            <w:pPr>
              <w:pStyle w:val="ProductNames"/>
              <w:rPr>
                <w:rFonts w:ascii="Tahoma" w:hAnsi="Tahoma" w:cs="Tahoma"/>
                <w:sz w:val="14"/>
              </w:rPr>
            </w:pPr>
            <w:bookmarkStart w:id="204" w:name="_Toc336337958"/>
            <w:bookmarkStart w:id="205" w:name="_Toc371663365"/>
            <w:r w:rsidRPr="0058047D">
              <w:rPr>
                <w:rFonts w:ascii="Tahoma" w:hAnsi="Tahoma" w:cs="Tahoma"/>
                <w:sz w:val="14"/>
              </w:rPr>
              <w:t>Exchange Server Enterprise</w:t>
            </w:r>
            <w:bookmarkEnd w:id="204"/>
            <w:r w:rsidRPr="0058047D">
              <w:rPr>
                <w:rFonts w:ascii="Tahoma" w:hAnsi="Tahoma" w:cs="Tahoma"/>
                <w:sz w:val="14"/>
              </w:rPr>
              <w:t xml:space="preserve"> 2013</w:t>
            </w:r>
            <w:bookmarkEnd w:id="205"/>
          </w:p>
        </w:tc>
        <w:tc>
          <w:tcPr>
            <w:tcW w:w="554" w:type="dxa"/>
            <w:tcBorders>
              <w:bottom w:val="single" w:sz="4" w:space="0" w:color="auto"/>
            </w:tcBorders>
            <w:shd w:val="clear" w:color="auto" w:fill="FABF8F"/>
            <w:vAlign w:val="center"/>
          </w:tcPr>
          <w:p w14:paraId="11B70626" w14:textId="77777777" w:rsidR="00913A0A" w:rsidRPr="0058047D" w:rsidRDefault="00C86F50" w:rsidP="003D4F46">
            <w:pPr>
              <w:pStyle w:val="TableText"/>
              <w:widowControl w:val="0"/>
              <w:rPr>
                <w:b/>
                <w:color w:val="0000FF"/>
                <w:sz w:val="13"/>
                <w:szCs w:val="13"/>
                <w:u w:val="single"/>
              </w:rPr>
            </w:pPr>
            <w:hyperlink w:anchor="_57_Exchange_Server" w:history="1">
              <w:r w:rsidR="00BF5FC6" w:rsidRPr="0058047D">
                <w:rPr>
                  <w:rStyle w:val="Hyperlink"/>
                  <w:b/>
                  <w:sz w:val="13"/>
                  <w:szCs w:val="13"/>
                </w:rPr>
                <w:t>56</w:t>
              </w:r>
            </w:hyperlink>
            <w:hyperlink w:anchor="_49_Exchange_Server" w:history="1"/>
          </w:p>
        </w:tc>
        <w:tc>
          <w:tcPr>
            <w:tcW w:w="516" w:type="dxa"/>
            <w:tcBorders>
              <w:bottom w:val="single" w:sz="4" w:space="0" w:color="auto"/>
            </w:tcBorders>
            <w:shd w:val="clear" w:color="auto" w:fill="FABF8F"/>
            <w:vAlign w:val="center"/>
          </w:tcPr>
          <w:p w14:paraId="3573977A"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10/12</w:t>
            </w:r>
          </w:p>
        </w:tc>
        <w:tc>
          <w:tcPr>
            <w:tcW w:w="358" w:type="dxa"/>
            <w:tcBorders>
              <w:bottom w:val="single" w:sz="4" w:space="0" w:color="auto"/>
              <w:right w:val="single" w:sz="18" w:space="0" w:color="auto"/>
            </w:tcBorders>
            <w:shd w:val="clear" w:color="auto" w:fill="FABF8F"/>
            <w:vAlign w:val="center"/>
          </w:tcPr>
          <w:p w14:paraId="2E86FB96"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center"/>
          </w:tcPr>
          <w:p w14:paraId="0B6E824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324" w:type="dxa"/>
            <w:tcBorders>
              <w:bottom w:val="single" w:sz="4" w:space="0" w:color="auto"/>
            </w:tcBorders>
            <w:shd w:val="clear" w:color="auto" w:fill="FABF8F"/>
            <w:vAlign w:val="center"/>
          </w:tcPr>
          <w:p w14:paraId="2988E75D"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125</w:t>
            </w:r>
          </w:p>
        </w:tc>
        <w:tc>
          <w:tcPr>
            <w:tcW w:w="366" w:type="dxa"/>
            <w:tcBorders>
              <w:bottom w:val="single" w:sz="4" w:space="0" w:color="auto"/>
            </w:tcBorders>
            <w:shd w:val="clear" w:color="auto" w:fill="FABF8F"/>
            <w:vAlign w:val="center"/>
          </w:tcPr>
          <w:p w14:paraId="0420A126"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100</w:t>
            </w:r>
          </w:p>
        </w:tc>
        <w:tc>
          <w:tcPr>
            <w:tcW w:w="456" w:type="dxa"/>
            <w:gridSpan w:val="2"/>
            <w:tcBorders>
              <w:bottom w:val="single" w:sz="4" w:space="0" w:color="auto"/>
            </w:tcBorders>
            <w:shd w:val="clear" w:color="auto" w:fill="FABF8F"/>
            <w:vAlign w:val="center"/>
          </w:tcPr>
          <w:p w14:paraId="72D2D16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75</w:t>
            </w:r>
          </w:p>
        </w:tc>
        <w:tc>
          <w:tcPr>
            <w:tcW w:w="450" w:type="dxa"/>
            <w:tcBorders>
              <w:bottom w:val="single" w:sz="4" w:space="0" w:color="auto"/>
            </w:tcBorders>
            <w:shd w:val="clear" w:color="auto" w:fill="FABF8F"/>
            <w:vAlign w:val="center"/>
          </w:tcPr>
          <w:p w14:paraId="1CB8F2EE"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75</w:t>
            </w:r>
          </w:p>
        </w:tc>
        <w:tc>
          <w:tcPr>
            <w:tcW w:w="450" w:type="dxa"/>
            <w:tcBorders>
              <w:bottom w:val="single" w:sz="4" w:space="0" w:color="auto"/>
            </w:tcBorders>
            <w:shd w:val="clear" w:color="auto" w:fill="FABF8F"/>
            <w:vAlign w:val="center"/>
          </w:tcPr>
          <w:p w14:paraId="7E4C4E1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336" w:type="dxa"/>
            <w:tcBorders>
              <w:bottom w:val="single" w:sz="4" w:space="0" w:color="auto"/>
              <w:right w:val="single" w:sz="18" w:space="0" w:color="auto"/>
            </w:tcBorders>
            <w:shd w:val="clear" w:color="auto" w:fill="FABF8F"/>
            <w:vAlign w:val="center"/>
          </w:tcPr>
          <w:p w14:paraId="505C494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25</w:t>
            </w:r>
          </w:p>
        </w:tc>
        <w:tc>
          <w:tcPr>
            <w:tcW w:w="477" w:type="dxa"/>
            <w:tcBorders>
              <w:left w:val="single" w:sz="18" w:space="0" w:color="auto"/>
              <w:bottom w:val="single" w:sz="4" w:space="0" w:color="auto"/>
            </w:tcBorders>
            <w:shd w:val="clear" w:color="auto" w:fill="FABF8F"/>
            <w:vAlign w:val="center"/>
          </w:tcPr>
          <w:p w14:paraId="7F732358"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450" w:type="dxa"/>
            <w:tcBorders>
              <w:bottom w:val="single" w:sz="4" w:space="0" w:color="auto"/>
            </w:tcBorders>
            <w:shd w:val="clear" w:color="auto" w:fill="FABF8F"/>
            <w:vAlign w:val="center"/>
          </w:tcPr>
          <w:p w14:paraId="7F1FD3E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100</w:t>
            </w:r>
          </w:p>
        </w:tc>
        <w:tc>
          <w:tcPr>
            <w:tcW w:w="414" w:type="dxa"/>
            <w:tcBorders>
              <w:bottom w:val="single" w:sz="4" w:space="0" w:color="auto"/>
              <w:right w:val="single" w:sz="18" w:space="0" w:color="auto"/>
            </w:tcBorders>
            <w:shd w:val="clear" w:color="auto" w:fill="FABF8F"/>
            <w:vAlign w:val="center"/>
          </w:tcPr>
          <w:p w14:paraId="0311960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468" w:type="dxa"/>
            <w:tcBorders>
              <w:left w:val="single" w:sz="18" w:space="0" w:color="auto"/>
              <w:bottom w:val="single" w:sz="4" w:space="0" w:color="auto"/>
            </w:tcBorders>
            <w:shd w:val="clear" w:color="auto" w:fill="FABF8F"/>
            <w:vAlign w:val="center"/>
          </w:tcPr>
          <w:p w14:paraId="54B5FC56"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477" w:type="dxa"/>
            <w:tcBorders>
              <w:bottom w:val="single" w:sz="4" w:space="0" w:color="auto"/>
              <w:right w:val="single" w:sz="18" w:space="0" w:color="auto"/>
            </w:tcBorders>
            <w:shd w:val="clear" w:color="auto" w:fill="FABF8F"/>
            <w:vAlign w:val="center"/>
          </w:tcPr>
          <w:p w14:paraId="649E4F00"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2849A91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tcPr>
          <w:p w14:paraId="2CE89506"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FABF8F"/>
            <w:vAlign w:val="center"/>
          </w:tcPr>
          <w:p w14:paraId="71A9CD76"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1A3C103F"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5D01CAE1" w14:textId="77777777" w:rsidTr="00C86F50">
        <w:trPr>
          <w:trHeight w:val="145"/>
        </w:trPr>
        <w:tc>
          <w:tcPr>
            <w:tcW w:w="2619" w:type="dxa"/>
            <w:gridSpan w:val="2"/>
            <w:tcBorders>
              <w:bottom w:val="single" w:sz="4" w:space="0" w:color="auto"/>
            </w:tcBorders>
            <w:shd w:val="clear" w:color="auto" w:fill="FFFFFF" w:themeFill="background1"/>
          </w:tcPr>
          <w:p w14:paraId="1C9EA3A6" w14:textId="77777777" w:rsidR="00913A0A" w:rsidRPr="0058047D" w:rsidRDefault="00913A0A" w:rsidP="001A63C6">
            <w:pPr>
              <w:pStyle w:val="ProductNames"/>
              <w:rPr>
                <w:rFonts w:ascii="Tahoma" w:hAnsi="Tahoma" w:cs="Tahoma"/>
                <w:sz w:val="14"/>
              </w:rPr>
            </w:pPr>
            <w:bookmarkStart w:id="206" w:name="_Toc336337959"/>
            <w:bookmarkStart w:id="207" w:name="_Toc371663366"/>
            <w:r w:rsidRPr="0058047D">
              <w:rPr>
                <w:rFonts w:ascii="Tahoma" w:hAnsi="Tahoma" w:cs="Tahoma"/>
                <w:sz w:val="14"/>
              </w:rPr>
              <w:t>Exchange Server Standard</w:t>
            </w:r>
            <w:bookmarkEnd w:id="206"/>
            <w:r w:rsidRPr="0058047D">
              <w:rPr>
                <w:rFonts w:ascii="Tahoma" w:hAnsi="Tahoma" w:cs="Tahoma"/>
                <w:sz w:val="14"/>
              </w:rPr>
              <w:t xml:space="preserve"> 2013</w:t>
            </w:r>
            <w:bookmarkEnd w:id="207"/>
          </w:p>
        </w:tc>
        <w:tc>
          <w:tcPr>
            <w:tcW w:w="554" w:type="dxa"/>
            <w:tcBorders>
              <w:bottom w:val="single" w:sz="4" w:space="0" w:color="auto"/>
            </w:tcBorders>
            <w:shd w:val="clear" w:color="auto" w:fill="FFFFFF" w:themeFill="background1"/>
            <w:vAlign w:val="center"/>
          </w:tcPr>
          <w:p w14:paraId="0CF8DD5E" w14:textId="77777777" w:rsidR="00913A0A" w:rsidRPr="0058047D" w:rsidRDefault="00C86F50" w:rsidP="003D4F46">
            <w:pPr>
              <w:pStyle w:val="TableText"/>
              <w:widowControl w:val="0"/>
              <w:rPr>
                <w:b/>
                <w:color w:val="0000FF"/>
                <w:sz w:val="13"/>
                <w:szCs w:val="13"/>
                <w:u w:val="single"/>
              </w:rPr>
            </w:pPr>
            <w:hyperlink w:anchor="_57_Exchange_Server" w:history="1">
              <w:r w:rsidR="00BF5FC6" w:rsidRPr="0058047D">
                <w:rPr>
                  <w:rStyle w:val="Hyperlink"/>
                  <w:b/>
                  <w:sz w:val="13"/>
                  <w:szCs w:val="13"/>
                </w:rPr>
                <w:t>56</w:t>
              </w:r>
            </w:hyperlink>
            <w:hyperlink w:anchor="_49_Exchange_Server" w:history="1"/>
          </w:p>
        </w:tc>
        <w:tc>
          <w:tcPr>
            <w:tcW w:w="516" w:type="dxa"/>
            <w:tcBorders>
              <w:bottom w:val="single" w:sz="4" w:space="0" w:color="auto"/>
            </w:tcBorders>
            <w:shd w:val="clear" w:color="auto" w:fill="FFFFFF" w:themeFill="background1"/>
            <w:vAlign w:val="center"/>
          </w:tcPr>
          <w:p w14:paraId="42510C41"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10/12</w:t>
            </w:r>
          </w:p>
        </w:tc>
        <w:tc>
          <w:tcPr>
            <w:tcW w:w="358" w:type="dxa"/>
            <w:tcBorders>
              <w:bottom w:val="single" w:sz="4" w:space="0" w:color="auto"/>
              <w:right w:val="single" w:sz="18" w:space="0" w:color="auto"/>
            </w:tcBorders>
            <w:shd w:val="clear" w:color="auto" w:fill="FFFFFF" w:themeFill="background1"/>
            <w:vAlign w:val="center"/>
          </w:tcPr>
          <w:p w14:paraId="3A5000CA"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FFFFF" w:themeFill="background1"/>
            <w:vAlign w:val="center"/>
          </w:tcPr>
          <w:p w14:paraId="2A3B23C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10</w:t>
            </w:r>
          </w:p>
        </w:tc>
        <w:tc>
          <w:tcPr>
            <w:tcW w:w="324" w:type="dxa"/>
            <w:tcBorders>
              <w:bottom w:val="single" w:sz="4" w:space="0" w:color="auto"/>
            </w:tcBorders>
            <w:shd w:val="clear" w:color="auto" w:fill="FFFFFF" w:themeFill="background1"/>
            <w:vAlign w:val="center"/>
          </w:tcPr>
          <w:p w14:paraId="39D8F77E"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25</w:t>
            </w:r>
          </w:p>
        </w:tc>
        <w:tc>
          <w:tcPr>
            <w:tcW w:w="366" w:type="dxa"/>
            <w:tcBorders>
              <w:bottom w:val="single" w:sz="4" w:space="0" w:color="auto"/>
            </w:tcBorders>
            <w:shd w:val="clear" w:color="auto" w:fill="FFFFFF" w:themeFill="background1"/>
            <w:vAlign w:val="center"/>
          </w:tcPr>
          <w:p w14:paraId="539B60F5"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20</w:t>
            </w:r>
          </w:p>
        </w:tc>
        <w:tc>
          <w:tcPr>
            <w:tcW w:w="456" w:type="dxa"/>
            <w:gridSpan w:val="2"/>
            <w:tcBorders>
              <w:bottom w:val="single" w:sz="4" w:space="0" w:color="auto"/>
            </w:tcBorders>
            <w:shd w:val="clear" w:color="auto" w:fill="FFFFFF" w:themeFill="background1"/>
            <w:vAlign w:val="center"/>
          </w:tcPr>
          <w:p w14:paraId="0AE37C16"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15</w:t>
            </w:r>
          </w:p>
        </w:tc>
        <w:tc>
          <w:tcPr>
            <w:tcW w:w="450" w:type="dxa"/>
            <w:tcBorders>
              <w:bottom w:val="single" w:sz="4" w:space="0" w:color="auto"/>
            </w:tcBorders>
            <w:shd w:val="clear" w:color="auto" w:fill="FFFFFF" w:themeFill="background1"/>
            <w:vAlign w:val="center"/>
          </w:tcPr>
          <w:p w14:paraId="541C0CBE"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15</w:t>
            </w:r>
          </w:p>
        </w:tc>
        <w:tc>
          <w:tcPr>
            <w:tcW w:w="450" w:type="dxa"/>
            <w:tcBorders>
              <w:bottom w:val="single" w:sz="4" w:space="0" w:color="auto"/>
            </w:tcBorders>
            <w:shd w:val="clear" w:color="auto" w:fill="FFFFFF" w:themeFill="background1"/>
            <w:vAlign w:val="center"/>
          </w:tcPr>
          <w:p w14:paraId="5321AA1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10</w:t>
            </w:r>
          </w:p>
        </w:tc>
        <w:tc>
          <w:tcPr>
            <w:tcW w:w="336" w:type="dxa"/>
            <w:tcBorders>
              <w:bottom w:val="single" w:sz="4" w:space="0" w:color="auto"/>
              <w:right w:val="single" w:sz="18" w:space="0" w:color="auto"/>
            </w:tcBorders>
            <w:shd w:val="clear" w:color="auto" w:fill="FFFFFF" w:themeFill="background1"/>
            <w:vAlign w:val="center"/>
          </w:tcPr>
          <w:p w14:paraId="4D862E3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w:t>
            </w:r>
          </w:p>
        </w:tc>
        <w:tc>
          <w:tcPr>
            <w:tcW w:w="477" w:type="dxa"/>
            <w:tcBorders>
              <w:left w:val="single" w:sz="18" w:space="0" w:color="auto"/>
              <w:bottom w:val="single" w:sz="4" w:space="0" w:color="auto"/>
            </w:tcBorders>
            <w:shd w:val="clear" w:color="auto" w:fill="FFFFFF" w:themeFill="background1"/>
            <w:vAlign w:val="center"/>
          </w:tcPr>
          <w:p w14:paraId="2FA8886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10</w:t>
            </w:r>
          </w:p>
        </w:tc>
        <w:tc>
          <w:tcPr>
            <w:tcW w:w="450" w:type="dxa"/>
            <w:tcBorders>
              <w:bottom w:val="single" w:sz="4" w:space="0" w:color="auto"/>
            </w:tcBorders>
            <w:shd w:val="clear" w:color="auto" w:fill="FFFFFF" w:themeFill="background1"/>
            <w:vAlign w:val="center"/>
          </w:tcPr>
          <w:p w14:paraId="6F8540F0"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20</w:t>
            </w:r>
          </w:p>
        </w:tc>
        <w:tc>
          <w:tcPr>
            <w:tcW w:w="414" w:type="dxa"/>
            <w:tcBorders>
              <w:bottom w:val="single" w:sz="4" w:space="0" w:color="auto"/>
              <w:right w:val="single" w:sz="18" w:space="0" w:color="auto"/>
            </w:tcBorders>
            <w:shd w:val="clear" w:color="auto" w:fill="FFFFFF" w:themeFill="background1"/>
            <w:vAlign w:val="center"/>
          </w:tcPr>
          <w:p w14:paraId="6619248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10</w:t>
            </w:r>
          </w:p>
        </w:tc>
        <w:tc>
          <w:tcPr>
            <w:tcW w:w="468" w:type="dxa"/>
            <w:tcBorders>
              <w:left w:val="single" w:sz="18" w:space="0" w:color="auto"/>
              <w:bottom w:val="single" w:sz="4" w:space="0" w:color="auto"/>
            </w:tcBorders>
            <w:shd w:val="clear" w:color="auto" w:fill="FFFFFF" w:themeFill="background1"/>
            <w:vAlign w:val="center"/>
          </w:tcPr>
          <w:p w14:paraId="6D9A69AA"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10</w:t>
            </w:r>
          </w:p>
        </w:tc>
        <w:tc>
          <w:tcPr>
            <w:tcW w:w="477" w:type="dxa"/>
            <w:tcBorders>
              <w:bottom w:val="single" w:sz="4" w:space="0" w:color="auto"/>
              <w:right w:val="single" w:sz="18" w:space="0" w:color="auto"/>
            </w:tcBorders>
            <w:shd w:val="clear" w:color="auto" w:fill="FFFFFF" w:themeFill="background1"/>
            <w:vAlign w:val="center"/>
          </w:tcPr>
          <w:p w14:paraId="57D481D0"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FFFFF" w:themeFill="background1"/>
            <w:vAlign w:val="center"/>
          </w:tcPr>
          <w:p w14:paraId="0E84E780"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FFFFF" w:themeFill="background1"/>
          </w:tcPr>
          <w:p w14:paraId="1BB1D24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FFFFFF" w:themeFill="background1"/>
            <w:vAlign w:val="center"/>
          </w:tcPr>
          <w:p w14:paraId="0FDD7B50"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FFFFF" w:themeFill="background1"/>
          </w:tcPr>
          <w:p w14:paraId="3ED06D66"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407AEC7D" w14:textId="77777777" w:rsidTr="00C86F50">
        <w:trPr>
          <w:trHeight w:val="145"/>
        </w:trPr>
        <w:tc>
          <w:tcPr>
            <w:tcW w:w="2619" w:type="dxa"/>
            <w:gridSpan w:val="2"/>
            <w:tcBorders>
              <w:bottom w:val="single" w:sz="4" w:space="0" w:color="auto"/>
            </w:tcBorders>
            <w:shd w:val="clear" w:color="auto" w:fill="FABF8F"/>
          </w:tcPr>
          <w:p w14:paraId="28D0F800" w14:textId="77777777" w:rsidR="00913A0A" w:rsidRPr="0058047D" w:rsidRDefault="00913A0A" w:rsidP="001A63C6">
            <w:pPr>
              <w:pStyle w:val="ProductNames"/>
              <w:rPr>
                <w:rFonts w:ascii="Tahoma" w:hAnsi="Tahoma" w:cs="Tahoma"/>
                <w:sz w:val="14"/>
              </w:rPr>
            </w:pPr>
            <w:bookmarkStart w:id="208" w:name="_Toc336337960"/>
            <w:bookmarkStart w:id="209" w:name="_Toc371663367"/>
            <w:r w:rsidRPr="0058047D">
              <w:rPr>
                <w:rFonts w:ascii="Tahoma" w:hAnsi="Tahoma" w:cs="Tahoma"/>
                <w:sz w:val="14"/>
              </w:rPr>
              <w:t>Exchange Server 2007 Standard for Small Business</w:t>
            </w:r>
            <w:bookmarkEnd w:id="208"/>
            <w:bookmarkEnd w:id="209"/>
          </w:p>
        </w:tc>
        <w:tc>
          <w:tcPr>
            <w:tcW w:w="554" w:type="dxa"/>
            <w:tcBorders>
              <w:bottom w:val="single" w:sz="4" w:space="0" w:color="auto"/>
            </w:tcBorders>
            <w:shd w:val="clear" w:color="auto" w:fill="FABF8F"/>
            <w:vAlign w:val="center"/>
          </w:tcPr>
          <w:p w14:paraId="73C6DECE" w14:textId="77777777" w:rsidR="00913A0A" w:rsidRPr="0058047D" w:rsidRDefault="00913A0A" w:rsidP="001A63C6">
            <w:pPr>
              <w:pStyle w:val="TableText"/>
              <w:widowControl w:val="0"/>
              <w:rPr>
                <w:rStyle w:val="EndnoteReference"/>
                <w:color w:val="000000"/>
                <w:sz w:val="13"/>
                <w:szCs w:val="13"/>
                <w:u w:val="single"/>
              </w:rPr>
            </w:pPr>
          </w:p>
        </w:tc>
        <w:tc>
          <w:tcPr>
            <w:tcW w:w="516" w:type="dxa"/>
            <w:tcBorders>
              <w:bottom w:val="single" w:sz="4" w:space="0" w:color="auto"/>
            </w:tcBorders>
            <w:shd w:val="clear" w:color="auto" w:fill="FABF8F"/>
            <w:vAlign w:val="center"/>
          </w:tcPr>
          <w:p w14:paraId="2F5E77A1" w14:textId="77777777" w:rsidR="00913A0A" w:rsidRPr="0058047D" w:rsidRDefault="00913A0A" w:rsidP="001A63C6">
            <w:pPr>
              <w:pStyle w:val="TableText"/>
              <w:widowControl w:val="0"/>
              <w:spacing w:before="120"/>
              <w:rPr>
                <w:rFonts w:ascii="Tahoma" w:hAnsi="Tahoma" w:cs="Tahoma"/>
                <w:sz w:val="13"/>
              </w:rPr>
            </w:pPr>
            <w:r w:rsidRPr="0058047D">
              <w:rPr>
                <w:rFonts w:ascii="Tahoma" w:hAnsi="Tahoma" w:cs="Tahoma"/>
                <w:sz w:val="13"/>
              </w:rPr>
              <w:t>10/09</w:t>
            </w:r>
          </w:p>
        </w:tc>
        <w:tc>
          <w:tcPr>
            <w:tcW w:w="358" w:type="dxa"/>
            <w:tcBorders>
              <w:bottom w:val="single" w:sz="4" w:space="0" w:color="auto"/>
              <w:right w:val="single" w:sz="18" w:space="0" w:color="auto"/>
            </w:tcBorders>
            <w:shd w:val="clear" w:color="auto" w:fill="FABF8F"/>
            <w:vAlign w:val="center"/>
          </w:tcPr>
          <w:p w14:paraId="5620197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center"/>
          </w:tcPr>
          <w:p w14:paraId="287D594C"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6BD7907F"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47CF5AD0"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78DBAF02"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ED5CA94"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AC94425"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6647F1A4"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710E153D"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10</w:t>
            </w:r>
          </w:p>
        </w:tc>
        <w:tc>
          <w:tcPr>
            <w:tcW w:w="450" w:type="dxa"/>
            <w:tcBorders>
              <w:bottom w:val="single" w:sz="4" w:space="0" w:color="auto"/>
            </w:tcBorders>
            <w:shd w:val="clear" w:color="auto" w:fill="FABF8F"/>
            <w:vAlign w:val="center"/>
          </w:tcPr>
          <w:p w14:paraId="4451BE3F"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20</w:t>
            </w:r>
          </w:p>
        </w:tc>
        <w:tc>
          <w:tcPr>
            <w:tcW w:w="414" w:type="dxa"/>
            <w:tcBorders>
              <w:bottom w:val="single" w:sz="4" w:space="0" w:color="auto"/>
              <w:right w:val="single" w:sz="18" w:space="0" w:color="auto"/>
            </w:tcBorders>
            <w:shd w:val="clear" w:color="auto" w:fill="FABF8F"/>
            <w:vAlign w:val="center"/>
          </w:tcPr>
          <w:p w14:paraId="0EFC3EBF"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10</w:t>
            </w:r>
          </w:p>
        </w:tc>
        <w:tc>
          <w:tcPr>
            <w:tcW w:w="468" w:type="dxa"/>
            <w:tcBorders>
              <w:left w:val="single" w:sz="18" w:space="0" w:color="auto"/>
              <w:bottom w:val="single" w:sz="4" w:space="0" w:color="auto"/>
            </w:tcBorders>
            <w:shd w:val="clear" w:color="auto" w:fill="FABF8F"/>
            <w:vAlign w:val="center"/>
          </w:tcPr>
          <w:p w14:paraId="7DFFE047"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5C4BFB27"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69EEEEA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tcPr>
          <w:p w14:paraId="0E4603DD"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2F0EF98C"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6C88358A" w14:textId="77777777" w:rsidR="00913A0A" w:rsidRPr="0058047D" w:rsidRDefault="00913A0A" w:rsidP="001A63C6">
            <w:pPr>
              <w:pStyle w:val="TableText"/>
              <w:widowControl w:val="0"/>
              <w:rPr>
                <w:rFonts w:ascii="Tahoma" w:hAnsi="Tahoma" w:cs="Tahoma"/>
                <w:sz w:val="13"/>
              </w:rPr>
            </w:pPr>
          </w:p>
        </w:tc>
      </w:tr>
      <w:tr w:rsidR="009323A0" w:rsidRPr="0058047D" w14:paraId="338E368D" w14:textId="77777777" w:rsidTr="00C86F50">
        <w:trPr>
          <w:trHeight w:val="145"/>
        </w:trPr>
        <w:tc>
          <w:tcPr>
            <w:tcW w:w="2619" w:type="dxa"/>
            <w:gridSpan w:val="2"/>
            <w:tcBorders>
              <w:bottom w:val="single" w:sz="4" w:space="0" w:color="auto"/>
            </w:tcBorders>
            <w:shd w:val="clear" w:color="auto" w:fill="FFFFFF" w:themeFill="background1"/>
          </w:tcPr>
          <w:p w14:paraId="46CF4CE7" w14:textId="77777777" w:rsidR="00913A0A" w:rsidRPr="0058047D" w:rsidRDefault="00913A0A" w:rsidP="001A63C6">
            <w:pPr>
              <w:pStyle w:val="ProductNames"/>
              <w:rPr>
                <w:rFonts w:ascii="Tahoma" w:hAnsi="Tahoma" w:cs="Tahoma"/>
                <w:sz w:val="14"/>
              </w:rPr>
            </w:pPr>
            <w:bookmarkStart w:id="210" w:name="_Toc336337961"/>
            <w:bookmarkStart w:id="211" w:name="_Toc371663368"/>
            <w:r w:rsidRPr="0058047D">
              <w:rPr>
                <w:rFonts w:ascii="Tahoma" w:hAnsi="Tahoma" w:cs="Tahoma"/>
                <w:sz w:val="14"/>
              </w:rPr>
              <w:t>CAL per Exchange Server 2007 Standard for Small Business</w:t>
            </w:r>
            <w:bookmarkEnd w:id="210"/>
            <w:bookmarkEnd w:id="211"/>
          </w:p>
        </w:tc>
        <w:tc>
          <w:tcPr>
            <w:tcW w:w="554" w:type="dxa"/>
            <w:tcBorders>
              <w:bottom w:val="single" w:sz="4" w:space="0" w:color="auto"/>
            </w:tcBorders>
            <w:shd w:val="clear" w:color="auto" w:fill="FFFFFF" w:themeFill="background1"/>
            <w:vAlign w:val="center"/>
          </w:tcPr>
          <w:p w14:paraId="19C61D6D" w14:textId="77777777" w:rsidR="00913A0A" w:rsidRPr="0058047D" w:rsidRDefault="00913A0A" w:rsidP="001A63C6">
            <w:pPr>
              <w:pStyle w:val="TableText"/>
              <w:widowControl w:val="0"/>
              <w:rPr>
                <w:rStyle w:val="EndnoteReference"/>
                <w:color w:val="000000"/>
                <w:sz w:val="13"/>
                <w:szCs w:val="13"/>
                <w:u w:val="single"/>
              </w:rPr>
            </w:pPr>
          </w:p>
        </w:tc>
        <w:tc>
          <w:tcPr>
            <w:tcW w:w="516" w:type="dxa"/>
            <w:tcBorders>
              <w:bottom w:val="single" w:sz="4" w:space="0" w:color="auto"/>
            </w:tcBorders>
            <w:shd w:val="clear" w:color="auto" w:fill="FFFFFF" w:themeFill="background1"/>
            <w:vAlign w:val="center"/>
          </w:tcPr>
          <w:p w14:paraId="60639A77" w14:textId="77777777" w:rsidR="00913A0A" w:rsidRPr="0058047D" w:rsidRDefault="00913A0A" w:rsidP="001A63C6">
            <w:pPr>
              <w:pStyle w:val="TableText"/>
              <w:widowControl w:val="0"/>
              <w:spacing w:before="120"/>
              <w:rPr>
                <w:rFonts w:ascii="Tahoma" w:hAnsi="Tahoma" w:cs="Tahoma"/>
                <w:sz w:val="13"/>
              </w:rPr>
            </w:pPr>
            <w:r w:rsidRPr="0058047D">
              <w:rPr>
                <w:rFonts w:ascii="Tahoma" w:hAnsi="Tahoma" w:cs="Tahoma"/>
                <w:sz w:val="13"/>
              </w:rPr>
              <w:t>11/09</w:t>
            </w:r>
          </w:p>
        </w:tc>
        <w:tc>
          <w:tcPr>
            <w:tcW w:w="358" w:type="dxa"/>
            <w:tcBorders>
              <w:bottom w:val="single" w:sz="4" w:space="0" w:color="auto"/>
              <w:right w:val="single" w:sz="18" w:space="0" w:color="auto"/>
            </w:tcBorders>
            <w:shd w:val="clear" w:color="auto" w:fill="FFFFFF" w:themeFill="background1"/>
            <w:vAlign w:val="center"/>
          </w:tcPr>
          <w:p w14:paraId="6829A616"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FFFFF" w:themeFill="background1"/>
            <w:vAlign w:val="center"/>
          </w:tcPr>
          <w:p w14:paraId="20D5988C"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FFFFF" w:themeFill="background1"/>
            <w:vAlign w:val="center"/>
          </w:tcPr>
          <w:p w14:paraId="3D4A04AE"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FFFFF" w:themeFill="background1"/>
            <w:vAlign w:val="center"/>
          </w:tcPr>
          <w:p w14:paraId="5BA26E89"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FFFFF" w:themeFill="background1"/>
            <w:vAlign w:val="center"/>
          </w:tcPr>
          <w:p w14:paraId="01776A1F"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D2ECD66"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78AAD5A"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FFFFF" w:themeFill="background1"/>
            <w:vAlign w:val="center"/>
          </w:tcPr>
          <w:p w14:paraId="4E293F32"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FFFFF" w:themeFill="background1"/>
            <w:vAlign w:val="center"/>
          </w:tcPr>
          <w:p w14:paraId="1F6A316A"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50" w:type="dxa"/>
            <w:tcBorders>
              <w:bottom w:val="single" w:sz="4" w:space="0" w:color="auto"/>
            </w:tcBorders>
            <w:shd w:val="clear" w:color="auto" w:fill="FFFFFF" w:themeFill="background1"/>
            <w:vAlign w:val="center"/>
          </w:tcPr>
          <w:p w14:paraId="47F6779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14" w:type="dxa"/>
            <w:tcBorders>
              <w:bottom w:val="single" w:sz="4" w:space="0" w:color="auto"/>
              <w:right w:val="single" w:sz="18" w:space="0" w:color="auto"/>
            </w:tcBorders>
            <w:shd w:val="clear" w:color="auto" w:fill="FFFFFF" w:themeFill="background1"/>
            <w:vAlign w:val="center"/>
          </w:tcPr>
          <w:p w14:paraId="5556ABA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68" w:type="dxa"/>
            <w:tcBorders>
              <w:left w:val="single" w:sz="18" w:space="0" w:color="auto"/>
              <w:bottom w:val="single" w:sz="4" w:space="0" w:color="auto"/>
            </w:tcBorders>
            <w:shd w:val="clear" w:color="auto" w:fill="FFFFFF" w:themeFill="background1"/>
            <w:vAlign w:val="center"/>
          </w:tcPr>
          <w:p w14:paraId="790410AA"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FFFFF" w:themeFill="background1"/>
            <w:vAlign w:val="center"/>
          </w:tcPr>
          <w:p w14:paraId="2C003249"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FFFFF" w:themeFill="background1"/>
            <w:vAlign w:val="center"/>
          </w:tcPr>
          <w:p w14:paraId="1E95DCF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FFFFF" w:themeFill="background1"/>
          </w:tcPr>
          <w:p w14:paraId="764B6771"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FFFFF" w:themeFill="background1"/>
            <w:vAlign w:val="center"/>
          </w:tcPr>
          <w:p w14:paraId="45CC4739"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FFFFF" w:themeFill="background1"/>
          </w:tcPr>
          <w:p w14:paraId="48D52235" w14:textId="77777777" w:rsidR="00913A0A" w:rsidRPr="0058047D" w:rsidRDefault="00913A0A" w:rsidP="001A63C6">
            <w:pPr>
              <w:pStyle w:val="TableText"/>
              <w:widowControl w:val="0"/>
              <w:rPr>
                <w:rFonts w:ascii="Tahoma" w:hAnsi="Tahoma" w:cs="Tahoma"/>
                <w:sz w:val="13"/>
              </w:rPr>
            </w:pPr>
          </w:p>
        </w:tc>
      </w:tr>
      <w:tr w:rsidR="009323A0" w:rsidRPr="0058047D" w14:paraId="436B1F89" w14:textId="77777777" w:rsidTr="00C86F50">
        <w:trPr>
          <w:trHeight w:val="145"/>
        </w:trPr>
        <w:tc>
          <w:tcPr>
            <w:tcW w:w="2619" w:type="dxa"/>
            <w:gridSpan w:val="2"/>
            <w:tcBorders>
              <w:bottom w:val="single" w:sz="4" w:space="0" w:color="auto"/>
            </w:tcBorders>
            <w:shd w:val="clear" w:color="auto" w:fill="FABF8F"/>
          </w:tcPr>
          <w:p w14:paraId="71CF9D41" w14:textId="77777777" w:rsidR="00913A0A" w:rsidRPr="0058047D" w:rsidRDefault="00913A0A" w:rsidP="001A63C6">
            <w:pPr>
              <w:pStyle w:val="ProductNames"/>
              <w:rPr>
                <w:rFonts w:ascii="Tahoma" w:hAnsi="Tahoma" w:cs="Tahoma"/>
                <w:sz w:val="14"/>
              </w:rPr>
            </w:pPr>
            <w:bookmarkStart w:id="212" w:name="_Toc336337963"/>
            <w:bookmarkStart w:id="213" w:name="_Toc371663369"/>
            <w:r w:rsidRPr="0058047D">
              <w:rPr>
                <w:rFonts w:ascii="Tahoma" w:hAnsi="Tahoma" w:cs="Tahoma"/>
                <w:sz w:val="14"/>
              </w:rPr>
              <w:t>Exchange Server 2010 Standard CAL (Dispositivo e Utente)</w:t>
            </w:r>
            <w:bookmarkEnd w:id="212"/>
            <w:bookmarkEnd w:id="213"/>
          </w:p>
        </w:tc>
        <w:tc>
          <w:tcPr>
            <w:tcW w:w="554" w:type="dxa"/>
            <w:tcBorders>
              <w:bottom w:val="single" w:sz="4" w:space="0" w:color="auto"/>
            </w:tcBorders>
            <w:shd w:val="clear" w:color="auto" w:fill="FABF8F"/>
            <w:vAlign w:val="center"/>
          </w:tcPr>
          <w:p w14:paraId="44D0C53E" w14:textId="77777777" w:rsidR="00913A0A" w:rsidRPr="0058047D" w:rsidRDefault="00C86F50" w:rsidP="003D4F46">
            <w:pPr>
              <w:pStyle w:val="TableText"/>
              <w:widowControl w:val="0"/>
              <w:rPr>
                <w:rStyle w:val="EndnoteReference"/>
                <w:color w:val="0000FF"/>
                <w:position w:val="-11"/>
                <w:sz w:val="13"/>
                <w:szCs w:val="13"/>
                <w:u w:val="single"/>
              </w:rPr>
            </w:pPr>
            <w:hyperlink w:anchor="_58_Exchange_Server" w:history="1">
              <w:r w:rsidR="00BF5FC6" w:rsidRPr="0058047D">
                <w:rPr>
                  <w:rStyle w:val="Hyperlink"/>
                  <w:b/>
                  <w:sz w:val="13"/>
                  <w:szCs w:val="13"/>
                </w:rPr>
                <w:t>57</w:t>
              </w:r>
            </w:hyperlink>
            <w:hyperlink w:anchor="_50_Exchange_Server" w:history="1"/>
          </w:p>
        </w:tc>
        <w:tc>
          <w:tcPr>
            <w:tcW w:w="516" w:type="dxa"/>
            <w:tcBorders>
              <w:bottom w:val="single" w:sz="4" w:space="0" w:color="auto"/>
            </w:tcBorders>
            <w:shd w:val="clear" w:color="auto" w:fill="FABF8F"/>
            <w:vAlign w:val="center"/>
          </w:tcPr>
          <w:p w14:paraId="182BB477"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11/09</w:t>
            </w:r>
          </w:p>
        </w:tc>
        <w:tc>
          <w:tcPr>
            <w:tcW w:w="358" w:type="dxa"/>
            <w:tcBorders>
              <w:bottom w:val="single" w:sz="4" w:space="0" w:color="auto"/>
              <w:right w:val="single" w:sz="18" w:space="0" w:color="auto"/>
            </w:tcBorders>
            <w:shd w:val="clear" w:color="auto" w:fill="FABF8F"/>
            <w:vAlign w:val="center"/>
          </w:tcPr>
          <w:p w14:paraId="5FB7040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center"/>
          </w:tcPr>
          <w:p w14:paraId="0B21A535"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324" w:type="dxa"/>
            <w:tcBorders>
              <w:bottom w:val="single" w:sz="4" w:space="0" w:color="auto"/>
            </w:tcBorders>
            <w:shd w:val="clear" w:color="auto" w:fill="FABF8F"/>
            <w:vAlign w:val="center"/>
          </w:tcPr>
          <w:p w14:paraId="24CBABF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3</w:t>
            </w:r>
          </w:p>
        </w:tc>
        <w:tc>
          <w:tcPr>
            <w:tcW w:w="366" w:type="dxa"/>
            <w:tcBorders>
              <w:bottom w:val="single" w:sz="4" w:space="0" w:color="auto"/>
            </w:tcBorders>
            <w:shd w:val="clear" w:color="auto" w:fill="FABF8F"/>
            <w:vAlign w:val="center"/>
          </w:tcPr>
          <w:p w14:paraId="3491B23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56" w:type="dxa"/>
            <w:gridSpan w:val="2"/>
            <w:tcBorders>
              <w:bottom w:val="single" w:sz="4" w:space="0" w:color="auto"/>
            </w:tcBorders>
            <w:shd w:val="clear" w:color="auto" w:fill="FABF8F"/>
            <w:vAlign w:val="center"/>
          </w:tcPr>
          <w:p w14:paraId="546E053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FABF8F"/>
            <w:vAlign w:val="center"/>
          </w:tcPr>
          <w:p w14:paraId="1BCB4C7A"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FABF8F"/>
            <w:vAlign w:val="center"/>
          </w:tcPr>
          <w:p w14:paraId="6141A5F5"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336" w:type="dxa"/>
            <w:tcBorders>
              <w:bottom w:val="single" w:sz="4" w:space="0" w:color="auto"/>
              <w:right w:val="single" w:sz="18" w:space="0" w:color="auto"/>
            </w:tcBorders>
            <w:shd w:val="clear" w:color="auto" w:fill="FABF8F"/>
            <w:vAlign w:val="center"/>
          </w:tcPr>
          <w:p w14:paraId="2E88865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left w:val="single" w:sz="18" w:space="0" w:color="auto"/>
              <w:bottom w:val="single" w:sz="4" w:space="0" w:color="auto"/>
            </w:tcBorders>
            <w:shd w:val="clear" w:color="auto" w:fill="FABF8F"/>
            <w:vAlign w:val="center"/>
          </w:tcPr>
          <w:p w14:paraId="4696856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50" w:type="dxa"/>
            <w:tcBorders>
              <w:bottom w:val="single" w:sz="4" w:space="0" w:color="auto"/>
            </w:tcBorders>
            <w:shd w:val="clear" w:color="auto" w:fill="FABF8F"/>
            <w:vAlign w:val="center"/>
          </w:tcPr>
          <w:p w14:paraId="1787C8E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14" w:type="dxa"/>
            <w:tcBorders>
              <w:bottom w:val="single" w:sz="4" w:space="0" w:color="auto"/>
              <w:right w:val="single" w:sz="18" w:space="0" w:color="auto"/>
            </w:tcBorders>
            <w:shd w:val="clear" w:color="auto" w:fill="FABF8F"/>
            <w:vAlign w:val="center"/>
          </w:tcPr>
          <w:p w14:paraId="4F3350F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68" w:type="dxa"/>
            <w:tcBorders>
              <w:left w:val="single" w:sz="18" w:space="0" w:color="auto"/>
              <w:bottom w:val="single" w:sz="4" w:space="0" w:color="auto"/>
            </w:tcBorders>
            <w:shd w:val="clear" w:color="auto" w:fill="FABF8F"/>
            <w:vAlign w:val="center"/>
          </w:tcPr>
          <w:p w14:paraId="7EB6B22E"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FABF8F"/>
            <w:vAlign w:val="center"/>
          </w:tcPr>
          <w:p w14:paraId="41DE785C"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0EBC3FC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tcPr>
          <w:p w14:paraId="66E6C340"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AO, ST</w:t>
            </w:r>
          </w:p>
        </w:tc>
        <w:tc>
          <w:tcPr>
            <w:tcW w:w="504" w:type="dxa"/>
            <w:tcBorders>
              <w:bottom w:val="single" w:sz="4" w:space="0" w:color="auto"/>
            </w:tcBorders>
            <w:shd w:val="clear" w:color="auto" w:fill="FABF8F"/>
            <w:vAlign w:val="center"/>
          </w:tcPr>
          <w:p w14:paraId="3DDD5CEB"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70428812" w14:textId="77777777" w:rsidR="00913A0A" w:rsidRPr="0058047D" w:rsidRDefault="00913A0A" w:rsidP="001A63C6">
            <w:pPr>
              <w:pStyle w:val="TableText"/>
              <w:widowControl w:val="0"/>
              <w:rPr>
                <w:rFonts w:ascii="Tahoma" w:hAnsi="Tahoma" w:cs="Tahoma"/>
                <w:sz w:val="13"/>
              </w:rPr>
            </w:pPr>
          </w:p>
        </w:tc>
      </w:tr>
      <w:tr w:rsidR="009323A0" w:rsidRPr="0058047D" w:rsidDel="00515A83" w14:paraId="32FF1E3D" w14:textId="77777777" w:rsidTr="00C86F50">
        <w:trPr>
          <w:trHeight w:val="145"/>
        </w:trPr>
        <w:tc>
          <w:tcPr>
            <w:tcW w:w="2619" w:type="dxa"/>
            <w:gridSpan w:val="2"/>
            <w:tcBorders>
              <w:bottom w:val="single" w:sz="4" w:space="0" w:color="auto"/>
            </w:tcBorders>
            <w:shd w:val="clear" w:color="auto" w:fill="FFFFFF" w:themeFill="background1"/>
          </w:tcPr>
          <w:p w14:paraId="7FA5B47D" w14:textId="77777777" w:rsidR="00913A0A" w:rsidRPr="0058047D" w:rsidDel="00515A83" w:rsidRDefault="00913A0A" w:rsidP="001A63C6">
            <w:pPr>
              <w:pStyle w:val="ProductNames"/>
              <w:rPr>
                <w:rFonts w:ascii="Tahoma" w:hAnsi="Tahoma" w:cs="Tahoma"/>
                <w:sz w:val="14"/>
              </w:rPr>
            </w:pPr>
            <w:bookmarkStart w:id="214" w:name="_Toc336337965"/>
            <w:bookmarkStart w:id="215" w:name="_Toc371663370"/>
            <w:r w:rsidRPr="0058047D">
              <w:rPr>
                <w:rFonts w:ascii="Tahoma" w:hAnsi="Tahoma" w:cs="Tahoma"/>
                <w:sz w:val="14"/>
              </w:rPr>
              <w:t>Forefront Endpoint Protection</w:t>
            </w:r>
            <w:bookmarkEnd w:id="214"/>
            <w:bookmarkEnd w:id="215"/>
          </w:p>
        </w:tc>
        <w:tc>
          <w:tcPr>
            <w:tcW w:w="554" w:type="dxa"/>
            <w:tcBorders>
              <w:bottom w:val="single" w:sz="4" w:space="0" w:color="auto"/>
            </w:tcBorders>
            <w:shd w:val="clear" w:color="auto" w:fill="FFFFFF" w:themeFill="background1"/>
            <w:vAlign w:val="center"/>
          </w:tcPr>
          <w:p w14:paraId="130A2AEE" w14:textId="77777777" w:rsidR="00913A0A" w:rsidRPr="0058047D" w:rsidDel="00515A83" w:rsidRDefault="00C86F50" w:rsidP="003D4F46">
            <w:pPr>
              <w:pStyle w:val="TableText"/>
              <w:widowControl w:val="0"/>
              <w:rPr>
                <w:rStyle w:val="EndnoteReference"/>
                <w:color w:val="000000"/>
                <w:position w:val="-11"/>
                <w:sz w:val="13"/>
                <w:szCs w:val="13"/>
                <w:u w:val="single"/>
              </w:rPr>
            </w:pPr>
            <w:hyperlink w:anchor="_59_Forefront_Endpoint" w:history="1">
              <w:r w:rsidR="00BF5FC6" w:rsidRPr="0058047D">
                <w:rPr>
                  <w:rStyle w:val="Hyperlink"/>
                  <w:b/>
                  <w:sz w:val="13"/>
                  <w:szCs w:val="13"/>
                </w:rPr>
                <w:t>58</w:t>
              </w:r>
            </w:hyperlink>
          </w:p>
        </w:tc>
        <w:tc>
          <w:tcPr>
            <w:tcW w:w="516" w:type="dxa"/>
            <w:tcBorders>
              <w:bottom w:val="single" w:sz="4" w:space="0" w:color="auto"/>
            </w:tcBorders>
            <w:shd w:val="clear" w:color="auto" w:fill="FFFFFF" w:themeFill="background1"/>
            <w:vAlign w:val="center"/>
          </w:tcPr>
          <w:p w14:paraId="081DA855" w14:textId="77777777" w:rsidR="00913A0A" w:rsidRPr="0058047D" w:rsidDel="00515A83" w:rsidRDefault="00913A0A" w:rsidP="001A63C6">
            <w:pPr>
              <w:pStyle w:val="TableText"/>
              <w:widowControl w:val="0"/>
              <w:spacing w:before="80"/>
              <w:rPr>
                <w:rFonts w:ascii="Tahoma" w:hAnsi="Tahoma" w:cs="Tahoma"/>
                <w:sz w:val="13"/>
              </w:rPr>
            </w:pPr>
          </w:p>
        </w:tc>
        <w:tc>
          <w:tcPr>
            <w:tcW w:w="358" w:type="dxa"/>
            <w:tcBorders>
              <w:bottom w:val="single" w:sz="4" w:space="0" w:color="auto"/>
              <w:right w:val="single" w:sz="18" w:space="0" w:color="auto"/>
            </w:tcBorders>
            <w:shd w:val="clear" w:color="auto" w:fill="FFFFFF" w:themeFill="background1"/>
            <w:vAlign w:val="center"/>
          </w:tcPr>
          <w:p w14:paraId="74CF7D5F" w14:textId="77777777" w:rsidR="00913A0A" w:rsidRPr="0058047D" w:rsidDel="00515A83" w:rsidRDefault="00913A0A" w:rsidP="001A63C6">
            <w:pPr>
              <w:pStyle w:val="TableText"/>
              <w:widowControl w:val="0"/>
              <w:rPr>
                <w:rFonts w:ascii="Tahoma" w:hAnsi="Tahoma" w:cs="Tahoma"/>
                <w:sz w:val="13"/>
              </w:rPr>
            </w:pPr>
          </w:p>
        </w:tc>
        <w:tc>
          <w:tcPr>
            <w:tcW w:w="2712" w:type="dxa"/>
            <w:gridSpan w:val="8"/>
            <w:tcBorders>
              <w:left w:val="single" w:sz="18" w:space="0" w:color="auto"/>
              <w:bottom w:val="single" w:sz="4" w:space="0" w:color="auto"/>
              <w:right w:val="single" w:sz="18" w:space="0" w:color="auto"/>
            </w:tcBorders>
            <w:shd w:val="clear" w:color="auto" w:fill="FFFFFF" w:themeFill="background1"/>
            <w:vAlign w:val="center"/>
          </w:tcPr>
          <w:p w14:paraId="5709A411" w14:textId="77777777" w:rsidR="00913A0A" w:rsidRPr="0058047D" w:rsidDel="00515A83"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FFFFF" w:themeFill="background1"/>
            <w:vAlign w:val="center"/>
          </w:tcPr>
          <w:p w14:paraId="27E7F213" w14:textId="77777777" w:rsidR="00913A0A" w:rsidRPr="0058047D" w:rsidDel="00515A83"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83E8AD6" w14:textId="77777777" w:rsidR="00913A0A" w:rsidRPr="0058047D" w:rsidDel="00515A83"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FFFFF" w:themeFill="background1"/>
            <w:vAlign w:val="center"/>
          </w:tcPr>
          <w:p w14:paraId="6260F59A" w14:textId="77777777" w:rsidR="00913A0A" w:rsidRPr="0058047D" w:rsidDel="00515A83"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FFFFF" w:themeFill="background1"/>
            <w:vAlign w:val="center"/>
          </w:tcPr>
          <w:p w14:paraId="3CBB0830" w14:textId="77777777" w:rsidR="00913A0A" w:rsidRPr="0058047D" w:rsidDel="00515A83"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FFFFF" w:themeFill="background1"/>
            <w:vAlign w:val="center"/>
          </w:tcPr>
          <w:p w14:paraId="6E35DAD9" w14:textId="77777777" w:rsidR="00913A0A" w:rsidRPr="0058047D" w:rsidDel="00515A83"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FFFFF" w:themeFill="background1"/>
            <w:vAlign w:val="center"/>
          </w:tcPr>
          <w:p w14:paraId="2319A6A1" w14:textId="77777777" w:rsidR="00913A0A" w:rsidRPr="0058047D" w:rsidDel="00515A83"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FFFFF" w:themeFill="background1"/>
          </w:tcPr>
          <w:p w14:paraId="2A1A2244" w14:textId="77777777" w:rsidR="00913A0A" w:rsidRPr="0058047D" w:rsidDel="00515A83"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FFFFF" w:themeFill="background1"/>
            <w:vAlign w:val="center"/>
          </w:tcPr>
          <w:p w14:paraId="47A151E3" w14:textId="77777777" w:rsidR="00913A0A" w:rsidRPr="0058047D" w:rsidDel="00515A83"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FFFFF" w:themeFill="background1"/>
          </w:tcPr>
          <w:p w14:paraId="12CF3A60" w14:textId="77777777" w:rsidR="00913A0A" w:rsidRPr="0058047D" w:rsidDel="00515A83" w:rsidRDefault="00913A0A" w:rsidP="001A63C6">
            <w:pPr>
              <w:pStyle w:val="TableText"/>
              <w:widowControl w:val="0"/>
              <w:rPr>
                <w:rFonts w:ascii="Tahoma" w:hAnsi="Tahoma" w:cs="Tahoma"/>
                <w:sz w:val="13"/>
              </w:rPr>
            </w:pPr>
          </w:p>
        </w:tc>
      </w:tr>
      <w:tr w:rsidR="009323A0" w:rsidRPr="0058047D" w14:paraId="5901AC19" w14:textId="77777777" w:rsidTr="00C86F50">
        <w:trPr>
          <w:trHeight w:val="145"/>
        </w:trPr>
        <w:tc>
          <w:tcPr>
            <w:tcW w:w="2619" w:type="dxa"/>
            <w:gridSpan w:val="2"/>
            <w:tcBorders>
              <w:bottom w:val="single" w:sz="4" w:space="0" w:color="auto"/>
            </w:tcBorders>
            <w:shd w:val="clear" w:color="auto" w:fill="FABF8F"/>
          </w:tcPr>
          <w:p w14:paraId="0037C7D5" w14:textId="77777777" w:rsidR="00913A0A" w:rsidRPr="003F471F" w:rsidRDefault="00913A0A" w:rsidP="001A63C6">
            <w:pPr>
              <w:pStyle w:val="ProductNames"/>
              <w:rPr>
                <w:rFonts w:ascii="Tahoma" w:hAnsi="Tahoma" w:cs="Tahoma"/>
                <w:sz w:val="14"/>
                <w:lang w:val="it-IT"/>
              </w:rPr>
            </w:pPr>
            <w:bookmarkStart w:id="216" w:name="_Toc336337966"/>
            <w:bookmarkStart w:id="217" w:name="_Toc371663371"/>
            <w:r w:rsidRPr="003F471F">
              <w:rPr>
                <w:rFonts w:ascii="Tahoma" w:hAnsi="Tahoma" w:cs="Tahoma"/>
                <w:sz w:val="14"/>
                <w:lang w:val="it-IT"/>
              </w:rPr>
              <w:t>CAL per Forefront Identity Manager 2010 R2 (solo Utente)</w:t>
            </w:r>
            <w:bookmarkEnd w:id="216"/>
            <w:bookmarkEnd w:id="217"/>
          </w:p>
        </w:tc>
        <w:tc>
          <w:tcPr>
            <w:tcW w:w="554" w:type="dxa"/>
            <w:tcBorders>
              <w:bottom w:val="single" w:sz="4" w:space="0" w:color="auto"/>
            </w:tcBorders>
            <w:shd w:val="clear" w:color="auto" w:fill="FABF8F"/>
            <w:vAlign w:val="center"/>
          </w:tcPr>
          <w:p w14:paraId="76F9D64C" w14:textId="77777777" w:rsidR="00913A0A" w:rsidRPr="0058047D" w:rsidRDefault="00C86F50" w:rsidP="003D4F46">
            <w:pPr>
              <w:pStyle w:val="TableText"/>
              <w:widowControl w:val="0"/>
              <w:rPr>
                <w:rStyle w:val="EndnoteReference"/>
                <w:b w:val="0"/>
                <w:color w:val="0000FF"/>
                <w:position w:val="-11"/>
                <w:sz w:val="13"/>
                <w:szCs w:val="13"/>
                <w:u w:val="single"/>
              </w:rPr>
            </w:pPr>
            <w:hyperlink w:anchor="_54_Forefront_Identity" w:history="1">
              <w:r w:rsidR="00BF5FC6" w:rsidRPr="0058047D">
                <w:rPr>
                  <w:rStyle w:val="Hyperlink"/>
                  <w:b/>
                  <w:sz w:val="13"/>
                  <w:szCs w:val="13"/>
                </w:rPr>
                <w:t>59</w:t>
              </w:r>
            </w:hyperlink>
          </w:p>
        </w:tc>
        <w:tc>
          <w:tcPr>
            <w:tcW w:w="516" w:type="dxa"/>
            <w:tcBorders>
              <w:bottom w:val="single" w:sz="4" w:space="0" w:color="auto"/>
            </w:tcBorders>
            <w:shd w:val="clear" w:color="auto" w:fill="FABF8F"/>
            <w:vAlign w:val="center"/>
          </w:tcPr>
          <w:p w14:paraId="699F09FC"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07/10</w:t>
            </w:r>
          </w:p>
        </w:tc>
        <w:tc>
          <w:tcPr>
            <w:tcW w:w="358" w:type="dxa"/>
            <w:tcBorders>
              <w:bottom w:val="single" w:sz="4" w:space="0" w:color="auto"/>
              <w:right w:val="single" w:sz="18" w:space="0" w:color="auto"/>
            </w:tcBorders>
            <w:shd w:val="clear" w:color="auto" w:fill="FABF8F"/>
            <w:vAlign w:val="center"/>
          </w:tcPr>
          <w:p w14:paraId="154EF1D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bottom"/>
          </w:tcPr>
          <w:p w14:paraId="109FE700"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szCs w:val="13"/>
              </w:rPr>
              <w:t>1</w:t>
            </w:r>
          </w:p>
        </w:tc>
        <w:tc>
          <w:tcPr>
            <w:tcW w:w="324" w:type="dxa"/>
            <w:tcBorders>
              <w:bottom w:val="single" w:sz="4" w:space="0" w:color="auto"/>
            </w:tcBorders>
            <w:shd w:val="clear" w:color="auto" w:fill="FABF8F"/>
            <w:vAlign w:val="bottom"/>
          </w:tcPr>
          <w:p w14:paraId="616D9914"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szCs w:val="13"/>
              </w:rPr>
              <w:t>3</w:t>
            </w:r>
          </w:p>
        </w:tc>
        <w:tc>
          <w:tcPr>
            <w:tcW w:w="366" w:type="dxa"/>
            <w:tcBorders>
              <w:bottom w:val="single" w:sz="4" w:space="0" w:color="auto"/>
            </w:tcBorders>
            <w:shd w:val="clear" w:color="auto" w:fill="FABF8F"/>
            <w:vAlign w:val="bottom"/>
          </w:tcPr>
          <w:p w14:paraId="4496894E"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szCs w:val="13"/>
              </w:rPr>
              <w:t>2</w:t>
            </w:r>
          </w:p>
        </w:tc>
        <w:tc>
          <w:tcPr>
            <w:tcW w:w="456" w:type="dxa"/>
            <w:gridSpan w:val="2"/>
            <w:tcBorders>
              <w:bottom w:val="single" w:sz="4" w:space="0" w:color="auto"/>
            </w:tcBorders>
            <w:shd w:val="clear" w:color="auto" w:fill="FABF8F"/>
            <w:vAlign w:val="bottom"/>
          </w:tcPr>
          <w:p w14:paraId="5E1E4489"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szCs w:val="13"/>
              </w:rPr>
              <w:t>2</w:t>
            </w:r>
          </w:p>
        </w:tc>
        <w:tc>
          <w:tcPr>
            <w:tcW w:w="450" w:type="dxa"/>
            <w:tcBorders>
              <w:bottom w:val="single" w:sz="4" w:space="0" w:color="auto"/>
            </w:tcBorders>
            <w:shd w:val="clear" w:color="auto" w:fill="FABF8F"/>
            <w:vAlign w:val="bottom"/>
          </w:tcPr>
          <w:p w14:paraId="4A381562"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szCs w:val="13"/>
              </w:rPr>
              <w:t>2</w:t>
            </w:r>
          </w:p>
        </w:tc>
        <w:tc>
          <w:tcPr>
            <w:tcW w:w="450" w:type="dxa"/>
            <w:tcBorders>
              <w:bottom w:val="single" w:sz="4" w:space="0" w:color="auto"/>
            </w:tcBorders>
            <w:shd w:val="clear" w:color="auto" w:fill="FABF8F"/>
            <w:vAlign w:val="bottom"/>
          </w:tcPr>
          <w:p w14:paraId="649933BB"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szCs w:val="13"/>
              </w:rPr>
              <w:t>1</w:t>
            </w:r>
          </w:p>
        </w:tc>
        <w:tc>
          <w:tcPr>
            <w:tcW w:w="336" w:type="dxa"/>
            <w:tcBorders>
              <w:bottom w:val="single" w:sz="4" w:space="0" w:color="auto"/>
              <w:right w:val="single" w:sz="18" w:space="0" w:color="auto"/>
            </w:tcBorders>
            <w:shd w:val="clear" w:color="auto" w:fill="FABF8F"/>
            <w:vAlign w:val="bottom"/>
          </w:tcPr>
          <w:p w14:paraId="646272AF"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szCs w:val="13"/>
              </w:rPr>
              <w:t>1</w:t>
            </w:r>
          </w:p>
        </w:tc>
        <w:tc>
          <w:tcPr>
            <w:tcW w:w="477" w:type="dxa"/>
            <w:tcBorders>
              <w:left w:val="single" w:sz="18" w:space="0" w:color="auto"/>
              <w:bottom w:val="single" w:sz="4" w:space="0" w:color="auto"/>
            </w:tcBorders>
            <w:shd w:val="clear" w:color="auto" w:fill="FABF8F"/>
            <w:vAlign w:val="bottom"/>
          </w:tcPr>
          <w:p w14:paraId="2FD6970A"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szCs w:val="13"/>
              </w:rPr>
              <w:t>1</w:t>
            </w:r>
          </w:p>
        </w:tc>
        <w:tc>
          <w:tcPr>
            <w:tcW w:w="450" w:type="dxa"/>
            <w:tcBorders>
              <w:bottom w:val="single" w:sz="4" w:space="0" w:color="auto"/>
            </w:tcBorders>
            <w:shd w:val="clear" w:color="auto" w:fill="FABF8F"/>
            <w:vAlign w:val="bottom"/>
          </w:tcPr>
          <w:p w14:paraId="566D30F3"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szCs w:val="13"/>
              </w:rPr>
              <w:t>2</w:t>
            </w:r>
          </w:p>
        </w:tc>
        <w:tc>
          <w:tcPr>
            <w:tcW w:w="414" w:type="dxa"/>
            <w:tcBorders>
              <w:bottom w:val="single" w:sz="4" w:space="0" w:color="auto"/>
              <w:right w:val="single" w:sz="18" w:space="0" w:color="auto"/>
            </w:tcBorders>
            <w:shd w:val="clear" w:color="auto" w:fill="FABF8F"/>
            <w:vAlign w:val="bottom"/>
          </w:tcPr>
          <w:p w14:paraId="35FBBDB5"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szCs w:val="13"/>
              </w:rPr>
              <w:t>1</w:t>
            </w:r>
          </w:p>
        </w:tc>
        <w:tc>
          <w:tcPr>
            <w:tcW w:w="468" w:type="dxa"/>
            <w:tcBorders>
              <w:left w:val="single" w:sz="18" w:space="0" w:color="auto"/>
              <w:bottom w:val="single" w:sz="4" w:space="0" w:color="auto"/>
            </w:tcBorders>
            <w:shd w:val="clear" w:color="auto" w:fill="FABF8F"/>
            <w:vAlign w:val="bottom"/>
          </w:tcPr>
          <w:p w14:paraId="15A9A405"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szCs w:val="13"/>
              </w:rPr>
              <w:t>1</w:t>
            </w:r>
          </w:p>
        </w:tc>
        <w:tc>
          <w:tcPr>
            <w:tcW w:w="477" w:type="dxa"/>
            <w:tcBorders>
              <w:bottom w:val="single" w:sz="4" w:space="0" w:color="auto"/>
              <w:right w:val="single" w:sz="18" w:space="0" w:color="auto"/>
            </w:tcBorders>
            <w:shd w:val="clear" w:color="auto" w:fill="FABF8F"/>
            <w:vAlign w:val="center"/>
          </w:tcPr>
          <w:p w14:paraId="2806106F"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0BB14A25"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2B761C6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 ST</w:t>
            </w:r>
          </w:p>
        </w:tc>
        <w:tc>
          <w:tcPr>
            <w:tcW w:w="504" w:type="dxa"/>
            <w:tcBorders>
              <w:bottom w:val="single" w:sz="4" w:space="0" w:color="auto"/>
            </w:tcBorders>
            <w:shd w:val="clear" w:color="auto" w:fill="FABF8F"/>
            <w:vAlign w:val="center"/>
          </w:tcPr>
          <w:p w14:paraId="6D2D30CD"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79B612F1"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63645225" w14:textId="77777777" w:rsidTr="00C86F50">
        <w:trPr>
          <w:trHeight w:val="145"/>
        </w:trPr>
        <w:tc>
          <w:tcPr>
            <w:tcW w:w="2619" w:type="dxa"/>
            <w:gridSpan w:val="2"/>
            <w:tcBorders>
              <w:bottom w:val="single" w:sz="4" w:space="0" w:color="auto"/>
            </w:tcBorders>
            <w:shd w:val="clear" w:color="auto" w:fill="FFFFFF" w:themeFill="background1"/>
          </w:tcPr>
          <w:p w14:paraId="3034215C" w14:textId="77777777" w:rsidR="00913A0A" w:rsidRPr="0058047D" w:rsidRDefault="00913A0A" w:rsidP="001A63C6">
            <w:pPr>
              <w:pStyle w:val="ProductNames"/>
              <w:rPr>
                <w:rFonts w:ascii="Tahoma" w:hAnsi="Tahoma" w:cs="Tahoma"/>
                <w:sz w:val="14"/>
              </w:rPr>
            </w:pPr>
            <w:bookmarkStart w:id="218" w:name="_Toc336337967"/>
            <w:bookmarkStart w:id="219" w:name="_Toc371663372"/>
            <w:r w:rsidRPr="0058047D">
              <w:rPr>
                <w:rFonts w:ascii="Tahoma" w:hAnsi="Tahoma" w:cs="Tahoma"/>
                <w:sz w:val="14"/>
              </w:rPr>
              <w:t>External Connector per Forefront Identity Manager 2010 R2</w:t>
            </w:r>
            <w:bookmarkEnd w:id="218"/>
            <w:bookmarkEnd w:id="219"/>
          </w:p>
        </w:tc>
        <w:tc>
          <w:tcPr>
            <w:tcW w:w="554" w:type="dxa"/>
            <w:tcBorders>
              <w:bottom w:val="single" w:sz="4" w:space="0" w:color="auto"/>
            </w:tcBorders>
            <w:shd w:val="clear" w:color="auto" w:fill="FFFFFF" w:themeFill="background1"/>
            <w:vAlign w:val="center"/>
          </w:tcPr>
          <w:p w14:paraId="5AF09DF0" w14:textId="77777777" w:rsidR="00913A0A" w:rsidRPr="0058047D" w:rsidRDefault="00C86F50" w:rsidP="003D4F46">
            <w:pPr>
              <w:pStyle w:val="TableText"/>
              <w:widowControl w:val="0"/>
              <w:rPr>
                <w:rStyle w:val="EndnoteReference"/>
                <w:color w:val="000000"/>
                <w:position w:val="-11"/>
                <w:sz w:val="13"/>
                <w:szCs w:val="13"/>
                <w:u w:val="single"/>
              </w:rPr>
            </w:pPr>
            <w:hyperlink w:anchor="_54_Forefront_Identity" w:history="1">
              <w:r w:rsidR="00BF5FC6" w:rsidRPr="0058047D">
                <w:rPr>
                  <w:rStyle w:val="Hyperlink"/>
                  <w:b/>
                  <w:sz w:val="13"/>
                  <w:szCs w:val="13"/>
                </w:rPr>
                <w:t>59</w:t>
              </w:r>
            </w:hyperlink>
          </w:p>
        </w:tc>
        <w:tc>
          <w:tcPr>
            <w:tcW w:w="516" w:type="dxa"/>
            <w:tcBorders>
              <w:bottom w:val="single" w:sz="4" w:space="0" w:color="auto"/>
            </w:tcBorders>
            <w:shd w:val="clear" w:color="auto" w:fill="FFFFFF" w:themeFill="background1"/>
            <w:vAlign w:val="center"/>
          </w:tcPr>
          <w:p w14:paraId="5BE7E005"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07/10</w:t>
            </w:r>
          </w:p>
        </w:tc>
        <w:tc>
          <w:tcPr>
            <w:tcW w:w="358" w:type="dxa"/>
            <w:tcBorders>
              <w:bottom w:val="single" w:sz="4" w:space="0" w:color="auto"/>
              <w:right w:val="single" w:sz="18" w:space="0" w:color="auto"/>
            </w:tcBorders>
            <w:shd w:val="clear" w:color="auto" w:fill="FFFFFF" w:themeFill="background1"/>
            <w:vAlign w:val="center"/>
          </w:tcPr>
          <w:p w14:paraId="698A05DE"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FFFFF" w:themeFill="background1"/>
            <w:vAlign w:val="bottom"/>
          </w:tcPr>
          <w:p w14:paraId="6F0FFE9F"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szCs w:val="13"/>
              </w:rPr>
              <w:t>125</w:t>
            </w:r>
          </w:p>
        </w:tc>
        <w:tc>
          <w:tcPr>
            <w:tcW w:w="324" w:type="dxa"/>
            <w:tcBorders>
              <w:bottom w:val="single" w:sz="4" w:space="0" w:color="auto"/>
            </w:tcBorders>
            <w:shd w:val="clear" w:color="auto" w:fill="FFFFFF" w:themeFill="background1"/>
            <w:vAlign w:val="bottom"/>
          </w:tcPr>
          <w:p w14:paraId="53A805F5"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szCs w:val="13"/>
              </w:rPr>
              <w:t>313</w:t>
            </w:r>
          </w:p>
        </w:tc>
        <w:tc>
          <w:tcPr>
            <w:tcW w:w="366" w:type="dxa"/>
            <w:tcBorders>
              <w:bottom w:val="single" w:sz="4" w:space="0" w:color="auto"/>
            </w:tcBorders>
            <w:shd w:val="clear" w:color="auto" w:fill="FFFFFF" w:themeFill="background1"/>
            <w:vAlign w:val="bottom"/>
          </w:tcPr>
          <w:p w14:paraId="6FF96CEE"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szCs w:val="13"/>
              </w:rPr>
              <w:t>250</w:t>
            </w:r>
          </w:p>
        </w:tc>
        <w:tc>
          <w:tcPr>
            <w:tcW w:w="456" w:type="dxa"/>
            <w:gridSpan w:val="2"/>
            <w:tcBorders>
              <w:bottom w:val="single" w:sz="4" w:space="0" w:color="auto"/>
            </w:tcBorders>
            <w:shd w:val="clear" w:color="auto" w:fill="FFFFFF" w:themeFill="background1"/>
            <w:vAlign w:val="bottom"/>
          </w:tcPr>
          <w:p w14:paraId="4ED4DA00"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szCs w:val="13"/>
              </w:rPr>
              <w:t>188</w:t>
            </w:r>
          </w:p>
        </w:tc>
        <w:tc>
          <w:tcPr>
            <w:tcW w:w="450" w:type="dxa"/>
            <w:tcBorders>
              <w:bottom w:val="single" w:sz="4" w:space="0" w:color="auto"/>
            </w:tcBorders>
            <w:shd w:val="clear" w:color="auto" w:fill="FFFFFF" w:themeFill="background1"/>
            <w:vAlign w:val="bottom"/>
          </w:tcPr>
          <w:p w14:paraId="56BC0F6F"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szCs w:val="13"/>
              </w:rPr>
              <w:t>188</w:t>
            </w:r>
          </w:p>
        </w:tc>
        <w:tc>
          <w:tcPr>
            <w:tcW w:w="450" w:type="dxa"/>
            <w:tcBorders>
              <w:bottom w:val="single" w:sz="4" w:space="0" w:color="auto"/>
            </w:tcBorders>
            <w:shd w:val="clear" w:color="auto" w:fill="FFFFFF" w:themeFill="background1"/>
            <w:vAlign w:val="bottom"/>
          </w:tcPr>
          <w:p w14:paraId="07A90293"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szCs w:val="13"/>
              </w:rPr>
              <w:t>125</w:t>
            </w:r>
          </w:p>
        </w:tc>
        <w:tc>
          <w:tcPr>
            <w:tcW w:w="336" w:type="dxa"/>
            <w:tcBorders>
              <w:bottom w:val="single" w:sz="4" w:space="0" w:color="auto"/>
              <w:right w:val="single" w:sz="18" w:space="0" w:color="auto"/>
            </w:tcBorders>
            <w:shd w:val="clear" w:color="auto" w:fill="FFFFFF" w:themeFill="background1"/>
            <w:vAlign w:val="bottom"/>
          </w:tcPr>
          <w:p w14:paraId="79D46E6E"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szCs w:val="13"/>
              </w:rPr>
              <w:t>63</w:t>
            </w:r>
          </w:p>
        </w:tc>
        <w:tc>
          <w:tcPr>
            <w:tcW w:w="477" w:type="dxa"/>
            <w:tcBorders>
              <w:left w:val="single" w:sz="18" w:space="0" w:color="auto"/>
              <w:bottom w:val="single" w:sz="4" w:space="0" w:color="auto"/>
            </w:tcBorders>
            <w:shd w:val="clear" w:color="auto" w:fill="FFFFFF" w:themeFill="background1"/>
            <w:vAlign w:val="bottom"/>
          </w:tcPr>
          <w:p w14:paraId="659D7888"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14:paraId="6525DBEF"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szCs w:val="13"/>
              </w:rPr>
              <w:t>250</w:t>
            </w:r>
          </w:p>
        </w:tc>
        <w:tc>
          <w:tcPr>
            <w:tcW w:w="414" w:type="dxa"/>
            <w:tcBorders>
              <w:bottom w:val="single" w:sz="4" w:space="0" w:color="auto"/>
              <w:right w:val="single" w:sz="18" w:space="0" w:color="auto"/>
            </w:tcBorders>
            <w:shd w:val="clear" w:color="auto" w:fill="FFFFFF" w:themeFill="background1"/>
            <w:vAlign w:val="bottom"/>
          </w:tcPr>
          <w:p w14:paraId="78735A8E"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szCs w:val="13"/>
              </w:rPr>
              <w:t>125</w:t>
            </w:r>
          </w:p>
        </w:tc>
        <w:tc>
          <w:tcPr>
            <w:tcW w:w="468" w:type="dxa"/>
            <w:tcBorders>
              <w:left w:val="single" w:sz="18" w:space="0" w:color="auto"/>
              <w:bottom w:val="single" w:sz="4" w:space="0" w:color="auto"/>
            </w:tcBorders>
            <w:shd w:val="clear" w:color="auto" w:fill="FFFFFF" w:themeFill="background1"/>
            <w:vAlign w:val="bottom"/>
          </w:tcPr>
          <w:p w14:paraId="7C65E7A7"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szCs w:val="13"/>
              </w:rPr>
              <w:t>125</w:t>
            </w:r>
          </w:p>
        </w:tc>
        <w:tc>
          <w:tcPr>
            <w:tcW w:w="477" w:type="dxa"/>
            <w:tcBorders>
              <w:bottom w:val="single" w:sz="4" w:space="0" w:color="auto"/>
              <w:right w:val="single" w:sz="18" w:space="0" w:color="auto"/>
            </w:tcBorders>
            <w:shd w:val="clear" w:color="auto" w:fill="FFFFFF" w:themeFill="background1"/>
            <w:vAlign w:val="center"/>
          </w:tcPr>
          <w:p w14:paraId="6C74EB6D"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A</w:t>
            </w:r>
          </w:p>
        </w:tc>
        <w:tc>
          <w:tcPr>
            <w:tcW w:w="324" w:type="dxa"/>
            <w:tcBorders>
              <w:left w:val="single" w:sz="18" w:space="0" w:color="auto"/>
              <w:bottom w:val="single" w:sz="4" w:space="0" w:color="auto"/>
              <w:right w:val="single" w:sz="18" w:space="0" w:color="auto"/>
            </w:tcBorders>
            <w:shd w:val="clear" w:color="auto" w:fill="FFFFFF" w:themeFill="background1"/>
            <w:vAlign w:val="center"/>
          </w:tcPr>
          <w:p w14:paraId="5C7894E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FFFFF" w:themeFill="background1"/>
          </w:tcPr>
          <w:p w14:paraId="18F4655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FFFFFF" w:themeFill="background1"/>
            <w:vAlign w:val="center"/>
          </w:tcPr>
          <w:p w14:paraId="72DF8547"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FFFFF" w:themeFill="background1"/>
          </w:tcPr>
          <w:p w14:paraId="0408DF1F"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3ECA3D29" w14:textId="77777777" w:rsidTr="00C86F50">
        <w:trPr>
          <w:trHeight w:val="145"/>
        </w:trPr>
        <w:tc>
          <w:tcPr>
            <w:tcW w:w="2619" w:type="dxa"/>
            <w:gridSpan w:val="2"/>
            <w:tcBorders>
              <w:bottom w:val="single" w:sz="4" w:space="0" w:color="auto"/>
            </w:tcBorders>
            <w:shd w:val="clear" w:color="auto" w:fill="FABF8F"/>
          </w:tcPr>
          <w:p w14:paraId="1AB043E3" w14:textId="77777777" w:rsidR="00913A0A" w:rsidRPr="0058047D" w:rsidRDefault="00913A0A" w:rsidP="001A63C6">
            <w:pPr>
              <w:pStyle w:val="ProductNames"/>
              <w:rPr>
                <w:rFonts w:ascii="Tahoma" w:hAnsi="Tahoma" w:cs="Tahoma"/>
                <w:sz w:val="14"/>
              </w:rPr>
            </w:pPr>
            <w:bookmarkStart w:id="220" w:name="_Toc336337968"/>
            <w:bookmarkStart w:id="221" w:name="_Toc371663373"/>
            <w:r w:rsidRPr="0058047D">
              <w:rPr>
                <w:rFonts w:ascii="Tahoma" w:hAnsi="Tahoma" w:cs="Tahoma"/>
                <w:sz w:val="14"/>
              </w:rPr>
              <w:t>Forefront Identity Manager 2010 R2 Server</w:t>
            </w:r>
            <w:bookmarkEnd w:id="220"/>
            <w:bookmarkEnd w:id="221"/>
            <w:r w:rsidRPr="0058047D">
              <w:rPr>
                <w:rFonts w:ascii="Tahoma" w:hAnsi="Tahoma" w:cs="Tahoma"/>
                <w:sz w:val="14"/>
              </w:rPr>
              <w:t xml:space="preserve"> </w:t>
            </w:r>
          </w:p>
        </w:tc>
        <w:tc>
          <w:tcPr>
            <w:tcW w:w="554" w:type="dxa"/>
            <w:tcBorders>
              <w:bottom w:val="single" w:sz="4" w:space="0" w:color="auto"/>
            </w:tcBorders>
            <w:shd w:val="clear" w:color="auto" w:fill="FABF8F"/>
            <w:vAlign w:val="center"/>
          </w:tcPr>
          <w:p w14:paraId="77292B43" w14:textId="77777777" w:rsidR="00913A0A" w:rsidRPr="0058047D" w:rsidRDefault="00C86F50" w:rsidP="0045693C">
            <w:pPr>
              <w:pStyle w:val="TableText"/>
              <w:widowControl w:val="0"/>
              <w:rPr>
                <w:rStyle w:val="EndnoteReference"/>
                <w:color w:val="000000"/>
                <w:position w:val="-11"/>
                <w:sz w:val="13"/>
                <w:szCs w:val="13"/>
                <w:u w:val="single"/>
              </w:rPr>
            </w:pPr>
            <w:hyperlink w:anchor="_54_Forefront_Identity" w:history="1">
              <w:r w:rsidR="00BF5FC6" w:rsidRPr="0058047D">
                <w:rPr>
                  <w:rStyle w:val="Hyperlink"/>
                  <w:b/>
                  <w:sz w:val="13"/>
                  <w:szCs w:val="13"/>
                </w:rPr>
                <w:t>59</w:t>
              </w:r>
            </w:hyperlink>
          </w:p>
        </w:tc>
        <w:tc>
          <w:tcPr>
            <w:tcW w:w="516" w:type="dxa"/>
            <w:tcBorders>
              <w:bottom w:val="single" w:sz="4" w:space="0" w:color="auto"/>
            </w:tcBorders>
            <w:shd w:val="clear" w:color="auto" w:fill="FABF8F"/>
            <w:vAlign w:val="center"/>
          </w:tcPr>
          <w:p w14:paraId="016D9457"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07/10</w:t>
            </w:r>
          </w:p>
        </w:tc>
        <w:tc>
          <w:tcPr>
            <w:tcW w:w="358" w:type="dxa"/>
            <w:tcBorders>
              <w:bottom w:val="single" w:sz="4" w:space="0" w:color="auto"/>
              <w:right w:val="single" w:sz="18" w:space="0" w:color="auto"/>
            </w:tcBorders>
            <w:shd w:val="clear" w:color="auto" w:fill="FABF8F"/>
            <w:vAlign w:val="center"/>
          </w:tcPr>
          <w:p w14:paraId="63E08FC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bottom"/>
          </w:tcPr>
          <w:p w14:paraId="38F83AF4"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szCs w:val="13"/>
              </w:rPr>
              <w:t>125</w:t>
            </w:r>
          </w:p>
        </w:tc>
        <w:tc>
          <w:tcPr>
            <w:tcW w:w="324" w:type="dxa"/>
            <w:tcBorders>
              <w:bottom w:val="single" w:sz="4" w:space="0" w:color="auto"/>
            </w:tcBorders>
            <w:shd w:val="clear" w:color="auto" w:fill="FABF8F"/>
            <w:vAlign w:val="bottom"/>
          </w:tcPr>
          <w:p w14:paraId="25FA8566"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szCs w:val="13"/>
              </w:rPr>
              <w:t>313</w:t>
            </w:r>
          </w:p>
        </w:tc>
        <w:tc>
          <w:tcPr>
            <w:tcW w:w="366" w:type="dxa"/>
            <w:tcBorders>
              <w:bottom w:val="single" w:sz="4" w:space="0" w:color="auto"/>
            </w:tcBorders>
            <w:shd w:val="clear" w:color="auto" w:fill="FABF8F"/>
            <w:vAlign w:val="bottom"/>
          </w:tcPr>
          <w:p w14:paraId="16DC5CF8"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szCs w:val="13"/>
              </w:rPr>
              <w:t>250</w:t>
            </w:r>
          </w:p>
        </w:tc>
        <w:tc>
          <w:tcPr>
            <w:tcW w:w="456" w:type="dxa"/>
            <w:gridSpan w:val="2"/>
            <w:tcBorders>
              <w:bottom w:val="single" w:sz="4" w:space="0" w:color="auto"/>
            </w:tcBorders>
            <w:shd w:val="clear" w:color="auto" w:fill="FABF8F"/>
            <w:vAlign w:val="bottom"/>
          </w:tcPr>
          <w:p w14:paraId="1EE75170"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szCs w:val="13"/>
              </w:rPr>
              <w:t>188</w:t>
            </w:r>
          </w:p>
        </w:tc>
        <w:tc>
          <w:tcPr>
            <w:tcW w:w="450" w:type="dxa"/>
            <w:tcBorders>
              <w:bottom w:val="single" w:sz="4" w:space="0" w:color="auto"/>
            </w:tcBorders>
            <w:shd w:val="clear" w:color="auto" w:fill="FABF8F"/>
            <w:vAlign w:val="bottom"/>
          </w:tcPr>
          <w:p w14:paraId="2B2C0A22"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szCs w:val="13"/>
              </w:rPr>
              <w:t>188</w:t>
            </w:r>
          </w:p>
        </w:tc>
        <w:tc>
          <w:tcPr>
            <w:tcW w:w="450" w:type="dxa"/>
            <w:tcBorders>
              <w:bottom w:val="single" w:sz="4" w:space="0" w:color="auto"/>
            </w:tcBorders>
            <w:shd w:val="clear" w:color="auto" w:fill="FABF8F"/>
            <w:vAlign w:val="bottom"/>
          </w:tcPr>
          <w:p w14:paraId="538D8907"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szCs w:val="13"/>
              </w:rPr>
              <w:t>125</w:t>
            </w:r>
          </w:p>
        </w:tc>
        <w:tc>
          <w:tcPr>
            <w:tcW w:w="336" w:type="dxa"/>
            <w:tcBorders>
              <w:bottom w:val="single" w:sz="4" w:space="0" w:color="auto"/>
              <w:right w:val="single" w:sz="18" w:space="0" w:color="auto"/>
            </w:tcBorders>
            <w:shd w:val="clear" w:color="auto" w:fill="FABF8F"/>
            <w:vAlign w:val="bottom"/>
          </w:tcPr>
          <w:p w14:paraId="77CEA0BD"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szCs w:val="13"/>
              </w:rPr>
              <w:t>63</w:t>
            </w:r>
          </w:p>
        </w:tc>
        <w:tc>
          <w:tcPr>
            <w:tcW w:w="477" w:type="dxa"/>
            <w:tcBorders>
              <w:left w:val="single" w:sz="18" w:space="0" w:color="auto"/>
              <w:bottom w:val="single" w:sz="4" w:space="0" w:color="auto"/>
            </w:tcBorders>
            <w:shd w:val="clear" w:color="auto" w:fill="FABF8F"/>
            <w:vAlign w:val="bottom"/>
          </w:tcPr>
          <w:p w14:paraId="4CF972A3"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szCs w:val="13"/>
              </w:rPr>
              <w:t>125</w:t>
            </w:r>
          </w:p>
        </w:tc>
        <w:tc>
          <w:tcPr>
            <w:tcW w:w="450" w:type="dxa"/>
            <w:tcBorders>
              <w:bottom w:val="single" w:sz="4" w:space="0" w:color="auto"/>
            </w:tcBorders>
            <w:shd w:val="clear" w:color="auto" w:fill="FABF8F"/>
            <w:vAlign w:val="bottom"/>
          </w:tcPr>
          <w:p w14:paraId="18AFBA59"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szCs w:val="13"/>
              </w:rPr>
              <w:t>250</w:t>
            </w:r>
          </w:p>
        </w:tc>
        <w:tc>
          <w:tcPr>
            <w:tcW w:w="414" w:type="dxa"/>
            <w:tcBorders>
              <w:bottom w:val="single" w:sz="4" w:space="0" w:color="auto"/>
              <w:right w:val="single" w:sz="18" w:space="0" w:color="auto"/>
            </w:tcBorders>
            <w:shd w:val="clear" w:color="auto" w:fill="FABF8F"/>
            <w:vAlign w:val="bottom"/>
          </w:tcPr>
          <w:p w14:paraId="288CA7B9"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szCs w:val="13"/>
              </w:rPr>
              <w:t>125</w:t>
            </w:r>
          </w:p>
        </w:tc>
        <w:tc>
          <w:tcPr>
            <w:tcW w:w="468" w:type="dxa"/>
            <w:tcBorders>
              <w:left w:val="single" w:sz="18" w:space="0" w:color="auto"/>
              <w:bottom w:val="single" w:sz="4" w:space="0" w:color="auto"/>
            </w:tcBorders>
            <w:shd w:val="clear" w:color="auto" w:fill="FABF8F"/>
            <w:vAlign w:val="bottom"/>
          </w:tcPr>
          <w:p w14:paraId="370B314F"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szCs w:val="13"/>
              </w:rPr>
              <w:t>125</w:t>
            </w:r>
          </w:p>
        </w:tc>
        <w:tc>
          <w:tcPr>
            <w:tcW w:w="477" w:type="dxa"/>
            <w:tcBorders>
              <w:bottom w:val="single" w:sz="4" w:space="0" w:color="auto"/>
              <w:right w:val="single" w:sz="18" w:space="0" w:color="auto"/>
            </w:tcBorders>
            <w:shd w:val="clear" w:color="auto" w:fill="FABF8F"/>
            <w:vAlign w:val="center"/>
          </w:tcPr>
          <w:p w14:paraId="436F7A04"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26A8CEE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tcPr>
          <w:p w14:paraId="35158F5D" w14:textId="77777777" w:rsidR="00913A0A" w:rsidRPr="0058047D" w:rsidRDefault="00913A0A" w:rsidP="001A63C6">
            <w:pPr>
              <w:pStyle w:val="TableText"/>
              <w:widowControl w:val="0"/>
              <w:spacing w:before="12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FABF8F"/>
            <w:vAlign w:val="center"/>
          </w:tcPr>
          <w:p w14:paraId="1729C5C5"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3894C805"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0D763976" w14:textId="77777777" w:rsidTr="00C86F50">
        <w:trPr>
          <w:trHeight w:val="145"/>
        </w:trPr>
        <w:tc>
          <w:tcPr>
            <w:tcW w:w="2619" w:type="dxa"/>
            <w:gridSpan w:val="2"/>
            <w:tcBorders>
              <w:bottom w:val="single" w:sz="4" w:space="0" w:color="auto"/>
            </w:tcBorders>
            <w:shd w:val="clear" w:color="auto" w:fill="FFFFFF" w:themeFill="background1"/>
          </w:tcPr>
          <w:p w14:paraId="6F992376" w14:textId="77777777" w:rsidR="00913A0A" w:rsidRPr="0058047D" w:rsidRDefault="00913A0A" w:rsidP="001A63C6">
            <w:pPr>
              <w:pStyle w:val="Heading2"/>
              <w:ind w:left="0"/>
              <w:rPr>
                <w:rFonts w:ascii="Tahoma" w:hAnsi="Tahoma" w:cs="Tahoma"/>
                <w:b w:val="0"/>
              </w:rPr>
            </w:pPr>
            <w:bookmarkStart w:id="222" w:name="_Toc336337969"/>
            <w:bookmarkStart w:id="223" w:name="_Toc371663374"/>
            <w:r w:rsidRPr="0058047D">
              <w:rPr>
                <w:rFonts w:ascii="Tahoma" w:hAnsi="Tahoma" w:cs="Tahoma"/>
                <w:b w:val="0"/>
                <w:sz w:val="14"/>
              </w:rPr>
              <w:t>Forefront Identity Manager 2010 R2 - Windows Live Edition</w:t>
            </w:r>
            <w:bookmarkEnd w:id="222"/>
            <w:bookmarkEnd w:id="223"/>
          </w:p>
        </w:tc>
        <w:tc>
          <w:tcPr>
            <w:tcW w:w="554" w:type="dxa"/>
            <w:tcBorders>
              <w:bottom w:val="single" w:sz="4" w:space="0" w:color="auto"/>
            </w:tcBorders>
            <w:shd w:val="clear" w:color="auto" w:fill="FFFFFF" w:themeFill="background1"/>
            <w:vAlign w:val="center"/>
          </w:tcPr>
          <w:p w14:paraId="60F25057" w14:textId="77777777" w:rsidR="00913A0A" w:rsidRPr="0058047D" w:rsidRDefault="00C86F50" w:rsidP="003D4F46">
            <w:pPr>
              <w:pStyle w:val="TableText"/>
              <w:widowControl w:val="0"/>
              <w:rPr>
                <w:b/>
                <w:color w:val="0000FF"/>
                <w:sz w:val="13"/>
                <w:szCs w:val="13"/>
                <w:u w:val="single"/>
              </w:rPr>
            </w:pPr>
            <w:hyperlink w:anchor="_55_Forefront_Identity" w:history="1">
              <w:r w:rsidR="00BF5FC6" w:rsidRPr="0058047D">
                <w:rPr>
                  <w:rStyle w:val="Hyperlink"/>
                  <w:b/>
                  <w:sz w:val="13"/>
                  <w:szCs w:val="13"/>
                </w:rPr>
                <w:t>60</w:t>
              </w:r>
            </w:hyperlink>
          </w:p>
        </w:tc>
        <w:tc>
          <w:tcPr>
            <w:tcW w:w="516" w:type="dxa"/>
            <w:tcBorders>
              <w:bottom w:val="single" w:sz="4" w:space="0" w:color="auto"/>
            </w:tcBorders>
            <w:shd w:val="clear" w:color="auto" w:fill="FFFFFF" w:themeFill="background1"/>
            <w:vAlign w:val="center"/>
          </w:tcPr>
          <w:p w14:paraId="4B00F7CA" w14:textId="77777777" w:rsidR="00913A0A" w:rsidRPr="0058047D" w:rsidRDefault="00913A0A" w:rsidP="001A63C6">
            <w:pPr>
              <w:pStyle w:val="TableText"/>
              <w:widowControl w:val="0"/>
              <w:spacing w:before="120"/>
              <w:rPr>
                <w:rFonts w:ascii="Tahoma" w:hAnsi="Tahoma" w:cs="Tahoma"/>
                <w:sz w:val="13"/>
              </w:rPr>
            </w:pPr>
            <w:r w:rsidRPr="0058047D">
              <w:rPr>
                <w:rFonts w:ascii="Tahoma" w:hAnsi="Tahoma" w:cs="Tahoma"/>
                <w:sz w:val="13"/>
              </w:rPr>
              <w:t>07/11</w:t>
            </w:r>
          </w:p>
        </w:tc>
        <w:tc>
          <w:tcPr>
            <w:tcW w:w="358" w:type="dxa"/>
            <w:tcBorders>
              <w:bottom w:val="single" w:sz="4" w:space="0" w:color="auto"/>
              <w:right w:val="single" w:sz="18" w:space="0" w:color="auto"/>
            </w:tcBorders>
            <w:shd w:val="clear" w:color="auto" w:fill="FFFFFF" w:themeFill="background1"/>
            <w:vAlign w:val="center"/>
          </w:tcPr>
          <w:p w14:paraId="7F2EE695"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FFFFF" w:themeFill="background1"/>
            <w:vAlign w:val="bottom"/>
          </w:tcPr>
          <w:p w14:paraId="4550D90A" w14:textId="77777777" w:rsidR="00913A0A" w:rsidRPr="0058047D" w:rsidRDefault="00913A0A" w:rsidP="001A63C6">
            <w:pPr>
              <w:pStyle w:val="TableText"/>
              <w:widowControl w:val="0"/>
              <w:spacing w:before="100" w:beforeAutospacing="1" w:after="120"/>
              <w:rPr>
                <w:rFonts w:ascii="Tahoma" w:hAnsi="Tahoma" w:cs="Tahoma"/>
                <w:color w:val="000000"/>
                <w:sz w:val="13"/>
                <w:szCs w:val="13"/>
              </w:rPr>
            </w:pPr>
            <w:r w:rsidRPr="0058047D">
              <w:rPr>
                <w:rFonts w:ascii="Tahoma" w:hAnsi="Tahoma" w:cs="Tahoma"/>
                <w:sz w:val="13"/>
                <w:szCs w:val="13"/>
              </w:rPr>
              <w:t>25</w:t>
            </w:r>
          </w:p>
        </w:tc>
        <w:tc>
          <w:tcPr>
            <w:tcW w:w="324" w:type="dxa"/>
            <w:tcBorders>
              <w:bottom w:val="single" w:sz="4" w:space="0" w:color="auto"/>
            </w:tcBorders>
            <w:shd w:val="clear" w:color="auto" w:fill="FFFFFF" w:themeFill="background1"/>
            <w:vAlign w:val="bottom"/>
          </w:tcPr>
          <w:p w14:paraId="49A338A9" w14:textId="77777777" w:rsidR="00913A0A" w:rsidRPr="0058047D" w:rsidRDefault="00913A0A" w:rsidP="001A63C6">
            <w:pPr>
              <w:pStyle w:val="TableText"/>
              <w:widowControl w:val="0"/>
              <w:spacing w:before="100" w:beforeAutospacing="1" w:after="120"/>
              <w:rPr>
                <w:rFonts w:ascii="Tahoma" w:hAnsi="Tahoma" w:cs="Tahoma"/>
                <w:color w:val="000000"/>
                <w:sz w:val="13"/>
                <w:szCs w:val="13"/>
              </w:rPr>
            </w:pPr>
            <w:r w:rsidRPr="0058047D">
              <w:rPr>
                <w:rFonts w:ascii="Tahoma" w:hAnsi="Tahoma" w:cs="Tahoma"/>
                <w:sz w:val="13"/>
                <w:szCs w:val="13"/>
              </w:rPr>
              <w:t>63</w:t>
            </w:r>
          </w:p>
        </w:tc>
        <w:tc>
          <w:tcPr>
            <w:tcW w:w="366" w:type="dxa"/>
            <w:tcBorders>
              <w:bottom w:val="single" w:sz="4" w:space="0" w:color="auto"/>
            </w:tcBorders>
            <w:shd w:val="clear" w:color="auto" w:fill="FFFFFF" w:themeFill="background1"/>
            <w:vAlign w:val="bottom"/>
          </w:tcPr>
          <w:p w14:paraId="15C1980B" w14:textId="77777777" w:rsidR="00913A0A" w:rsidRPr="0058047D" w:rsidRDefault="00913A0A" w:rsidP="001A63C6">
            <w:pPr>
              <w:pStyle w:val="TableText"/>
              <w:widowControl w:val="0"/>
              <w:spacing w:before="100" w:beforeAutospacing="1" w:after="120"/>
              <w:rPr>
                <w:rFonts w:ascii="Tahoma" w:hAnsi="Tahoma" w:cs="Tahoma"/>
                <w:color w:val="000000"/>
                <w:sz w:val="13"/>
                <w:szCs w:val="13"/>
              </w:rPr>
            </w:pPr>
            <w:r w:rsidRPr="0058047D">
              <w:rPr>
                <w:rFonts w:ascii="Tahoma" w:hAnsi="Tahoma" w:cs="Tahoma"/>
                <w:sz w:val="13"/>
                <w:szCs w:val="13"/>
              </w:rPr>
              <w:t>50</w:t>
            </w:r>
          </w:p>
        </w:tc>
        <w:tc>
          <w:tcPr>
            <w:tcW w:w="456" w:type="dxa"/>
            <w:gridSpan w:val="2"/>
            <w:tcBorders>
              <w:bottom w:val="single" w:sz="4" w:space="0" w:color="auto"/>
            </w:tcBorders>
            <w:shd w:val="clear" w:color="auto" w:fill="FFFFFF" w:themeFill="background1"/>
            <w:vAlign w:val="bottom"/>
          </w:tcPr>
          <w:p w14:paraId="3EF2A002" w14:textId="77777777" w:rsidR="00913A0A" w:rsidRPr="0058047D" w:rsidRDefault="00913A0A" w:rsidP="001A63C6">
            <w:pPr>
              <w:pStyle w:val="TableText"/>
              <w:widowControl w:val="0"/>
              <w:spacing w:before="100" w:beforeAutospacing="1" w:after="120"/>
              <w:rPr>
                <w:rFonts w:ascii="Tahoma" w:hAnsi="Tahoma" w:cs="Tahoma"/>
                <w:color w:val="000000"/>
                <w:sz w:val="13"/>
                <w:szCs w:val="13"/>
              </w:rPr>
            </w:pPr>
            <w:r w:rsidRPr="0058047D">
              <w:rPr>
                <w:rFonts w:ascii="Tahoma" w:hAnsi="Tahoma" w:cs="Tahoma"/>
                <w:sz w:val="13"/>
                <w:szCs w:val="13"/>
              </w:rPr>
              <w:t>38</w:t>
            </w:r>
          </w:p>
        </w:tc>
        <w:tc>
          <w:tcPr>
            <w:tcW w:w="450" w:type="dxa"/>
            <w:tcBorders>
              <w:bottom w:val="single" w:sz="4" w:space="0" w:color="auto"/>
            </w:tcBorders>
            <w:shd w:val="clear" w:color="auto" w:fill="FFFFFF" w:themeFill="background1"/>
            <w:vAlign w:val="bottom"/>
          </w:tcPr>
          <w:p w14:paraId="7CF14789" w14:textId="77777777" w:rsidR="00913A0A" w:rsidRPr="0058047D" w:rsidRDefault="00913A0A" w:rsidP="001A63C6">
            <w:pPr>
              <w:pStyle w:val="TableText"/>
              <w:widowControl w:val="0"/>
              <w:spacing w:before="100" w:beforeAutospacing="1" w:after="120"/>
              <w:rPr>
                <w:rFonts w:ascii="Tahoma" w:hAnsi="Tahoma" w:cs="Tahoma"/>
                <w:color w:val="000000"/>
                <w:sz w:val="13"/>
                <w:szCs w:val="13"/>
              </w:rPr>
            </w:pPr>
            <w:r w:rsidRPr="0058047D">
              <w:rPr>
                <w:rFonts w:ascii="Tahoma" w:hAnsi="Tahoma" w:cs="Tahoma"/>
                <w:sz w:val="13"/>
                <w:szCs w:val="13"/>
              </w:rPr>
              <w:t>38</w:t>
            </w:r>
          </w:p>
        </w:tc>
        <w:tc>
          <w:tcPr>
            <w:tcW w:w="450" w:type="dxa"/>
            <w:tcBorders>
              <w:bottom w:val="single" w:sz="4" w:space="0" w:color="auto"/>
            </w:tcBorders>
            <w:shd w:val="clear" w:color="auto" w:fill="FFFFFF" w:themeFill="background1"/>
            <w:vAlign w:val="bottom"/>
          </w:tcPr>
          <w:p w14:paraId="4F5258AA" w14:textId="77777777" w:rsidR="00913A0A" w:rsidRPr="0058047D" w:rsidRDefault="00913A0A" w:rsidP="001A63C6">
            <w:pPr>
              <w:pStyle w:val="TableText"/>
              <w:widowControl w:val="0"/>
              <w:spacing w:before="100" w:beforeAutospacing="1" w:after="120"/>
              <w:rPr>
                <w:rFonts w:ascii="Tahoma" w:hAnsi="Tahoma" w:cs="Tahoma"/>
                <w:color w:val="000000"/>
                <w:sz w:val="13"/>
                <w:szCs w:val="13"/>
              </w:rPr>
            </w:pPr>
            <w:r w:rsidRPr="0058047D">
              <w:rPr>
                <w:rFonts w:ascii="Tahoma" w:hAnsi="Tahoma" w:cs="Tahoma"/>
                <w:sz w:val="13"/>
                <w:szCs w:val="13"/>
              </w:rPr>
              <w:t>25</w:t>
            </w:r>
          </w:p>
        </w:tc>
        <w:tc>
          <w:tcPr>
            <w:tcW w:w="336" w:type="dxa"/>
            <w:tcBorders>
              <w:bottom w:val="single" w:sz="4" w:space="0" w:color="auto"/>
              <w:right w:val="single" w:sz="18" w:space="0" w:color="auto"/>
            </w:tcBorders>
            <w:shd w:val="clear" w:color="auto" w:fill="FFFFFF" w:themeFill="background1"/>
            <w:vAlign w:val="bottom"/>
          </w:tcPr>
          <w:p w14:paraId="25206261" w14:textId="77777777" w:rsidR="00913A0A" w:rsidRPr="0058047D" w:rsidRDefault="00913A0A" w:rsidP="001A63C6">
            <w:pPr>
              <w:pStyle w:val="TableText"/>
              <w:widowControl w:val="0"/>
              <w:spacing w:before="100" w:beforeAutospacing="1" w:after="120"/>
              <w:rPr>
                <w:rFonts w:ascii="Tahoma" w:hAnsi="Tahoma" w:cs="Tahoma"/>
                <w:color w:val="000000"/>
                <w:sz w:val="13"/>
                <w:szCs w:val="13"/>
              </w:rPr>
            </w:pPr>
            <w:r w:rsidRPr="0058047D">
              <w:rPr>
                <w:rFonts w:ascii="Tahoma" w:hAnsi="Tahoma" w:cs="Tahoma"/>
                <w:sz w:val="13"/>
                <w:szCs w:val="13"/>
              </w:rPr>
              <w:t>13</w:t>
            </w:r>
          </w:p>
        </w:tc>
        <w:tc>
          <w:tcPr>
            <w:tcW w:w="477" w:type="dxa"/>
            <w:tcBorders>
              <w:left w:val="single" w:sz="18" w:space="0" w:color="auto"/>
              <w:bottom w:val="single" w:sz="4" w:space="0" w:color="auto"/>
            </w:tcBorders>
            <w:shd w:val="clear" w:color="auto" w:fill="FFFFFF" w:themeFill="background1"/>
            <w:vAlign w:val="bottom"/>
          </w:tcPr>
          <w:p w14:paraId="666AD6F0" w14:textId="77777777" w:rsidR="00913A0A" w:rsidRPr="0058047D" w:rsidRDefault="00913A0A" w:rsidP="001A63C6">
            <w:pPr>
              <w:pStyle w:val="TableText"/>
              <w:widowControl w:val="0"/>
              <w:spacing w:before="100" w:beforeAutospacing="1" w:after="120"/>
              <w:rPr>
                <w:rFonts w:ascii="Tahoma" w:hAnsi="Tahoma" w:cs="Tahoma"/>
                <w:color w:val="000000"/>
                <w:sz w:val="13"/>
                <w:szCs w:val="13"/>
              </w:rPr>
            </w:pPr>
            <w:r w:rsidRPr="0058047D">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14:paraId="2BC49BC4" w14:textId="77777777" w:rsidR="00913A0A" w:rsidRPr="0058047D" w:rsidRDefault="00913A0A" w:rsidP="001A63C6">
            <w:pPr>
              <w:pStyle w:val="TableText"/>
              <w:widowControl w:val="0"/>
              <w:spacing w:before="100" w:beforeAutospacing="1" w:after="120"/>
              <w:rPr>
                <w:rFonts w:ascii="Tahoma" w:hAnsi="Tahoma" w:cs="Tahoma"/>
                <w:color w:val="000000"/>
                <w:sz w:val="13"/>
                <w:szCs w:val="13"/>
              </w:rPr>
            </w:pPr>
            <w:r w:rsidRPr="0058047D">
              <w:rPr>
                <w:rFonts w:ascii="Tahoma" w:hAnsi="Tahoma" w:cs="Tahoma"/>
                <w:sz w:val="13"/>
                <w:szCs w:val="13"/>
              </w:rPr>
              <w:t>50</w:t>
            </w:r>
          </w:p>
        </w:tc>
        <w:tc>
          <w:tcPr>
            <w:tcW w:w="414" w:type="dxa"/>
            <w:tcBorders>
              <w:bottom w:val="single" w:sz="4" w:space="0" w:color="auto"/>
              <w:right w:val="single" w:sz="18" w:space="0" w:color="auto"/>
            </w:tcBorders>
            <w:shd w:val="clear" w:color="auto" w:fill="FFFFFF" w:themeFill="background1"/>
            <w:vAlign w:val="bottom"/>
          </w:tcPr>
          <w:p w14:paraId="30987B3B" w14:textId="77777777" w:rsidR="00913A0A" w:rsidRPr="0058047D" w:rsidRDefault="00913A0A" w:rsidP="001A63C6">
            <w:pPr>
              <w:pStyle w:val="TableText"/>
              <w:widowControl w:val="0"/>
              <w:spacing w:before="100" w:beforeAutospacing="1" w:after="120"/>
              <w:rPr>
                <w:rFonts w:ascii="Tahoma" w:hAnsi="Tahoma" w:cs="Tahoma"/>
                <w:color w:val="000000"/>
                <w:sz w:val="13"/>
                <w:szCs w:val="13"/>
              </w:rPr>
            </w:pPr>
            <w:r w:rsidRPr="0058047D">
              <w:rPr>
                <w:rFonts w:ascii="Tahoma" w:hAnsi="Tahoma" w:cs="Tahoma"/>
                <w:sz w:val="13"/>
                <w:szCs w:val="13"/>
              </w:rPr>
              <w:t>25</w:t>
            </w:r>
          </w:p>
        </w:tc>
        <w:tc>
          <w:tcPr>
            <w:tcW w:w="468" w:type="dxa"/>
            <w:tcBorders>
              <w:left w:val="single" w:sz="18" w:space="0" w:color="auto"/>
              <w:bottom w:val="single" w:sz="4" w:space="0" w:color="auto"/>
            </w:tcBorders>
            <w:shd w:val="clear" w:color="auto" w:fill="FFFFFF" w:themeFill="background1"/>
            <w:vAlign w:val="bottom"/>
          </w:tcPr>
          <w:p w14:paraId="64BC55C8" w14:textId="77777777" w:rsidR="00913A0A" w:rsidRPr="0058047D" w:rsidRDefault="00913A0A" w:rsidP="001A63C6">
            <w:pPr>
              <w:pStyle w:val="TableText"/>
              <w:widowControl w:val="0"/>
              <w:spacing w:before="100" w:beforeAutospacing="1" w:after="120"/>
              <w:rPr>
                <w:rFonts w:ascii="Tahoma" w:hAnsi="Tahoma" w:cs="Tahoma"/>
                <w:color w:val="000000"/>
                <w:sz w:val="13"/>
                <w:szCs w:val="13"/>
              </w:rPr>
            </w:pPr>
            <w:r w:rsidRPr="0058047D">
              <w:rPr>
                <w:rFonts w:ascii="Tahoma" w:hAnsi="Tahoma" w:cs="Tahoma"/>
                <w:sz w:val="13"/>
                <w:szCs w:val="13"/>
              </w:rPr>
              <w:t>25</w:t>
            </w:r>
          </w:p>
        </w:tc>
        <w:tc>
          <w:tcPr>
            <w:tcW w:w="477" w:type="dxa"/>
            <w:tcBorders>
              <w:bottom w:val="single" w:sz="4" w:space="0" w:color="auto"/>
              <w:right w:val="single" w:sz="18" w:space="0" w:color="auto"/>
            </w:tcBorders>
            <w:shd w:val="clear" w:color="auto" w:fill="FFFFFF" w:themeFill="background1"/>
            <w:vAlign w:val="center"/>
          </w:tcPr>
          <w:p w14:paraId="2833C135" w14:textId="77777777" w:rsidR="00913A0A" w:rsidRPr="0058047D" w:rsidRDefault="00913A0A" w:rsidP="001A63C6">
            <w:pPr>
              <w:pStyle w:val="TableText"/>
              <w:widowControl w:val="0"/>
              <w:rPr>
                <w:rFonts w:ascii="Tahoma" w:hAnsi="Tahoma" w:cs="Tahoma"/>
                <w:color w:val="000000"/>
                <w:sz w:val="13"/>
              </w:rPr>
            </w:pPr>
          </w:p>
        </w:tc>
        <w:tc>
          <w:tcPr>
            <w:tcW w:w="324" w:type="dxa"/>
            <w:tcBorders>
              <w:left w:val="single" w:sz="18" w:space="0" w:color="auto"/>
              <w:bottom w:val="single" w:sz="4" w:space="0" w:color="auto"/>
              <w:right w:val="single" w:sz="18" w:space="0" w:color="auto"/>
            </w:tcBorders>
            <w:shd w:val="clear" w:color="auto" w:fill="FFFFFF" w:themeFill="background1"/>
            <w:vAlign w:val="center"/>
          </w:tcPr>
          <w:p w14:paraId="6487E92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FFFFF" w:themeFill="background1"/>
          </w:tcPr>
          <w:p w14:paraId="4D07F094" w14:textId="77777777" w:rsidR="00913A0A" w:rsidRPr="0058047D"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FFFFFF" w:themeFill="background1"/>
            <w:vAlign w:val="center"/>
          </w:tcPr>
          <w:p w14:paraId="44A54A30"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FFFFF" w:themeFill="background1"/>
          </w:tcPr>
          <w:p w14:paraId="141BE6E9" w14:textId="77777777" w:rsidR="00913A0A" w:rsidRPr="0058047D" w:rsidRDefault="00913A0A" w:rsidP="001A63C6">
            <w:pPr>
              <w:pStyle w:val="TableText"/>
              <w:widowControl w:val="0"/>
              <w:rPr>
                <w:rFonts w:ascii="Tahoma" w:hAnsi="Tahoma" w:cs="Tahoma"/>
                <w:sz w:val="13"/>
              </w:rPr>
            </w:pPr>
          </w:p>
        </w:tc>
      </w:tr>
      <w:tr w:rsidR="009323A0" w:rsidRPr="0058047D" w14:paraId="4EE9369D" w14:textId="77777777" w:rsidTr="00C86F50">
        <w:trPr>
          <w:trHeight w:val="145"/>
        </w:trPr>
        <w:tc>
          <w:tcPr>
            <w:tcW w:w="2619" w:type="dxa"/>
            <w:gridSpan w:val="2"/>
            <w:tcBorders>
              <w:bottom w:val="single" w:sz="4" w:space="0" w:color="auto"/>
            </w:tcBorders>
            <w:shd w:val="clear" w:color="auto" w:fill="FABF8F"/>
          </w:tcPr>
          <w:p w14:paraId="0B871BEB" w14:textId="77777777" w:rsidR="00913A0A" w:rsidRPr="0058047D" w:rsidRDefault="00913A0A" w:rsidP="001A63C6">
            <w:pPr>
              <w:pStyle w:val="Heading2"/>
              <w:ind w:left="0"/>
              <w:rPr>
                <w:rFonts w:ascii="Tahoma" w:hAnsi="Tahoma" w:cs="Tahoma"/>
                <w:b w:val="0"/>
                <w:sz w:val="14"/>
              </w:rPr>
            </w:pPr>
            <w:bookmarkStart w:id="224" w:name="_Toc371663375"/>
            <w:r w:rsidRPr="0058047D">
              <w:rPr>
                <w:rFonts w:ascii="Tahoma" w:hAnsi="Tahoma" w:cs="Tahoma"/>
                <w:b w:val="0"/>
                <w:sz w:val="14"/>
              </w:rPr>
              <w:t>Forefront Online Protection for Exchange (SL per Dispositivo e Utente)</w:t>
            </w:r>
            <w:bookmarkEnd w:id="224"/>
          </w:p>
        </w:tc>
        <w:tc>
          <w:tcPr>
            <w:tcW w:w="554" w:type="dxa"/>
            <w:tcBorders>
              <w:bottom w:val="single" w:sz="4" w:space="0" w:color="auto"/>
            </w:tcBorders>
            <w:shd w:val="clear" w:color="auto" w:fill="FABF8F"/>
            <w:vAlign w:val="center"/>
          </w:tcPr>
          <w:p w14:paraId="5946B4C0" w14:textId="77777777" w:rsidR="00913A0A" w:rsidRPr="0058047D" w:rsidRDefault="00C86F50" w:rsidP="003D4F46">
            <w:pPr>
              <w:pStyle w:val="TableText"/>
              <w:widowControl w:val="0"/>
              <w:rPr>
                <w:b/>
                <w:sz w:val="13"/>
                <w:szCs w:val="13"/>
              </w:rPr>
            </w:pPr>
            <w:hyperlink w:anchor="_59_Forefront_Online" w:history="1">
              <w:r w:rsidR="00BF5FC6" w:rsidRPr="0058047D">
                <w:rPr>
                  <w:rStyle w:val="Hyperlink"/>
                  <w:b/>
                  <w:sz w:val="13"/>
                  <w:szCs w:val="13"/>
                </w:rPr>
                <w:t>61</w:t>
              </w:r>
            </w:hyperlink>
          </w:p>
        </w:tc>
        <w:tc>
          <w:tcPr>
            <w:tcW w:w="516" w:type="dxa"/>
            <w:tcBorders>
              <w:bottom w:val="single" w:sz="4" w:space="0" w:color="auto"/>
            </w:tcBorders>
            <w:shd w:val="clear" w:color="auto" w:fill="FABF8F"/>
            <w:vAlign w:val="center"/>
          </w:tcPr>
          <w:p w14:paraId="0891144D" w14:textId="77777777" w:rsidR="00913A0A" w:rsidRPr="0058047D" w:rsidRDefault="00913A0A" w:rsidP="001A63C6">
            <w:pPr>
              <w:pStyle w:val="TableText"/>
              <w:widowControl w:val="0"/>
              <w:spacing w:before="120"/>
              <w:rPr>
                <w:rFonts w:ascii="Tahoma" w:hAnsi="Tahoma" w:cs="Tahoma"/>
                <w:sz w:val="13"/>
              </w:rPr>
            </w:pPr>
            <w:r w:rsidRPr="0058047D">
              <w:rPr>
                <w:rFonts w:ascii="Tahoma" w:hAnsi="Tahoma" w:cs="Tahoma"/>
                <w:sz w:val="13"/>
              </w:rPr>
              <w:t>07/13</w:t>
            </w:r>
          </w:p>
        </w:tc>
        <w:tc>
          <w:tcPr>
            <w:tcW w:w="358" w:type="dxa"/>
            <w:tcBorders>
              <w:bottom w:val="single" w:sz="4" w:space="0" w:color="auto"/>
              <w:right w:val="single" w:sz="18" w:space="0" w:color="auto"/>
            </w:tcBorders>
            <w:shd w:val="clear" w:color="auto" w:fill="FABF8F"/>
            <w:vAlign w:val="center"/>
          </w:tcPr>
          <w:p w14:paraId="40C48CB0"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bottom"/>
          </w:tcPr>
          <w:p w14:paraId="4F56170D" w14:textId="77777777" w:rsidR="00913A0A" w:rsidRPr="0058047D" w:rsidRDefault="00913A0A" w:rsidP="001A63C6">
            <w:pPr>
              <w:pStyle w:val="TableText"/>
              <w:widowControl w:val="0"/>
              <w:spacing w:before="100" w:beforeAutospacing="1" w:after="120"/>
              <w:rPr>
                <w:rFonts w:ascii="Tahoma" w:hAnsi="Tahoma" w:cs="Tahoma"/>
                <w:sz w:val="13"/>
                <w:szCs w:val="13"/>
              </w:rPr>
            </w:pPr>
          </w:p>
        </w:tc>
        <w:tc>
          <w:tcPr>
            <w:tcW w:w="324" w:type="dxa"/>
            <w:tcBorders>
              <w:bottom w:val="single" w:sz="4" w:space="0" w:color="auto"/>
            </w:tcBorders>
            <w:shd w:val="clear" w:color="auto" w:fill="FABF8F"/>
            <w:vAlign w:val="bottom"/>
          </w:tcPr>
          <w:p w14:paraId="34BF22C4" w14:textId="77777777" w:rsidR="00913A0A" w:rsidRPr="0058047D" w:rsidRDefault="00913A0A" w:rsidP="001A63C6">
            <w:pPr>
              <w:pStyle w:val="TableText"/>
              <w:widowControl w:val="0"/>
              <w:spacing w:before="100" w:beforeAutospacing="1" w:after="120"/>
              <w:rPr>
                <w:rFonts w:ascii="Tahoma" w:hAnsi="Tahoma" w:cs="Tahoma"/>
                <w:sz w:val="13"/>
                <w:szCs w:val="13"/>
              </w:rPr>
            </w:pPr>
          </w:p>
        </w:tc>
        <w:tc>
          <w:tcPr>
            <w:tcW w:w="366" w:type="dxa"/>
            <w:tcBorders>
              <w:bottom w:val="single" w:sz="4" w:space="0" w:color="auto"/>
            </w:tcBorders>
            <w:shd w:val="clear" w:color="auto" w:fill="FABF8F"/>
            <w:vAlign w:val="bottom"/>
          </w:tcPr>
          <w:p w14:paraId="23A59943" w14:textId="77777777" w:rsidR="00913A0A" w:rsidRPr="0058047D" w:rsidRDefault="00913A0A" w:rsidP="001A63C6">
            <w:pPr>
              <w:pStyle w:val="TableText"/>
              <w:widowControl w:val="0"/>
              <w:spacing w:before="100" w:beforeAutospacing="1" w:after="120"/>
              <w:rPr>
                <w:rFonts w:ascii="Tahoma" w:hAnsi="Tahoma" w:cs="Tahoma"/>
                <w:sz w:val="13"/>
                <w:szCs w:val="13"/>
              </w:rPr>
            </w:pPr>
          </w:p>
        </w:tc>
        <w:tc>
          <w:tcPr>
            <w:tcW w:w="456" w:type="dxa"/>
            <w:gridSpan w:val="2"/>
            <w:tcBorders>
              <w:bottom w:val="single" w:sz="4" w:space="0" w:color="auto"/>
            </w:tcBorders>
            <w:shd w:val="clear" w:color="auto" w:fill="FABF8F"/>
            <w:vAlign w:val="bottom"/>
          </w:tcPr>
          <w:p w14:paraId="22F573F0" w14:textId="77777777" w:rsidR="00913A0A" w:rsidRPr="0058047D"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3D6D7470" w14:textId="77777777" w:rsidR="00913A0A" w:rsidRPr="0058047D"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2B18B3A5" w14:textId="77777777" w:rsidR="00913A0A" w:rsidRPr="0058047D" w:rsidRDefault="00913A0A" w:rsidP="001A63C6">
            <w:pPr>
              <w:pStyle w:val="TableText"/>
              <w:widowControl w:val="0"/>
              <w:spacing w:before="100" w:beforeAutospacing="1" w:after="120"/>
              <w:rPr>
                <w:rFonts w:ascii="Tahoma" w:hAnsi="Tahoma" w:cs="Tahoma"/>
                <w:sz w:val="13"/>
                <w:szCs w:val="13"/>
              </w:rPr>
            </w:pPr>
          </w:p>
        </w:tc>
        <w:tc>
          <w:tcPr>
            <w:tcW w:w="336" w:type="dxa"/>
            <w:tcBorders>
              <w:bottom w:val="single" w:sz="4" w:space="0" w:color="auto"/>
              <w:right w:val="single" w:sz="18" w:space="0" w:color="auto"/>
            </w:tcBorders>
            <w:shd w:val="clear" w:color="auto" w:fill="FABF8F"/>
            <w:vAlign w:val="bottom"/>
          </w:tcPr>
          <w:p w14:paraId="6DB09B4D" w14:textId="77777777" w:rsidR="00913A0A" w:rsidRPr="0058047D" w:rsidRDefault="00913A0A" w:rsidP="001A63C6">
            <w:pPr>
              <w:pStyle w:val="TableText"/>
              <w:widowControl w:val="0"/>
              <w:spacing w:before="100" w:beforeAutospacing="1" w:after="120"/>
              <w:rPr>
                <w:rFonts w:ascii="Tahoma" w:hAnsi="Tahoma" w:cs="Tahoma"/>
                <w:sz w:val="13"/>
                <w:szCs w:val="13"/>
              </w:rPr>
            </w:pPr>
          </w:p>
        </w:tc>
        <w:tc>
          <w:tcPr>
            <w:tcW w:w="477" w:type="dxa"/>
            <w:tcBorders>
              <w:left w:val="single" w:sz="18" w:space="0" w:color="auto"/>
              <w:bottom w:val="single" w:sz="4" w:space="0" w:color="auto"/>
            </w:tcBorders>
            <w:shd w:val="clear" w:color="auto" w:fill="FABF8F"/>
            <w:vAlign w:val="bottom"/>
          </w:tcPr>
          <w:p w14:paraId="2B42DB6D" w14:textId="77777777" w:rsidR="00913A0A" w:rsidRPr="0058047D"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3EE8A137" w14:textId="77777777" w:rsidR="00913A0A" w:rsidRPr="0058047D" w:rsidRDefault="00913A0A" w:rsidP="001A63C6">
            <w:pPr>
              <w:pStyle w:val="TableText"/>
              <w:widowControl w:val="0"/>
              <w:spacing w:before="100" w:beforeAutospacing="1" w:after="120"/>
              <w:rPr>
                <w:rFonts w:ascii="Tahoma" w:hAnsi="Tahoma" w:cs="Tahoma"/>
                <w:sz w:val="13"/>
                <w:szCs w:val="13"/>
              </w:rPr>
            </w:pPr>
          </w:p>
        </w:tc>
        <w:tc>
          <w:tcPr>
            <w:tcW w:w="414" w:type="dxa"/>
            <w:tcBorders>
              <w:bottom w:val="single" w:sz="4" w:space="0" w:color="auto"/>
              <w:right w:val="single" w:sz="18" w:space="0" w:color="auto"/>
            </w:tcBorders>
            <w:shd w:val="clear" w:color="auto" w:fill="FABF8F"/>
            <w:vAlign w:val="bottom"/>
          </w:tcPr>
          <w:p w14:paraId="7D7D92CB" w14:textId="77777777" w:rsidR="00913A0A" w:rsidRPr="0058047D" w:rsidRDefault="00913A0A" w:rsidP="001A63C6">
            <w:pPr>
              <w:pStyle w:val="TableText"/>
              <w:widowControl w:val="0"/>
              <w:spacing w:before="100" w:beforeAutospacing="1" w:after="120"/>
              <w:rPr>
                <w:rFonts w:ascii="Tahoma" w:hAnsi="Tahoma" w:cs="Tahoma"/>
                <w:sz w:val="13"/>
                <w:szCs w:val="13"/>
              </w:rPr>
            </w:pPr>
          </w:p>
        </w:tc>
        <w:tc>
          <w:tcPr>
            <w:tcW w:w="468" w:type="dxa"/>
            <w:tcBorders>
              <w:left w:val="single" w:sz="18" w:space="0" w:color="auto"/>
              <w:bottom w:val="single" w:sz="4" w:space="0" w:color="auto"/>
            </w:tcBorders>
            <w:shd w:val="clear" w:color="auto" w:fill="FABF8F"/>
            <w:vAlign w:val="bottom"/>
          </w:tcPr>
          <w:p w14:paraId="55757174" w14:textId="77777777" w:rsidR="00913A0A" w:rsidRPr="0058047D" w:rsidRDefault="00913A0A" w:rsidP="001A63C6">
            <w:pPr>
              <w:pStyle w:val="TableText"/>
              <w:widowControl w:val="0"/>
              <w:spacing w:before="100" w:beforeAutospacing="1" w:after="120"/>
              <w:rPr>
                <w:rFonts w:ascii="Tahoma" w:hAnsi="Tahoma" w:cs="Tahoma"/>
                <w:sz w:val="13"/>
                <w:szCs w:val="13"/>
              </w:rPr>
            </w:pPr>
          </w:p>
        </w:tc>
        <w:tc>
          <w:tcPr>
            <w:tcW w:w="477" w:type="dxa"/>
            <w:tcBorders>
              <w:bottom w:val="single" w:sz="4" w:space="0" w:color="auto"/>
              <w:right w:val="single" w:sz="18" w:space="0" w:color="auto"/>
            </w:tcBorders>
            <w:shd w:val="clear" w:color="auto" w:fill="FABF8F"/>
            <w:vAlign w:val="center"/>
          </w:tcPr>
          <w:p w14:paraId="158E44C9" w14:textId="77777777" w:rsidR="00913A0A" w:rsidRPr="0058047D" w:rsidRDefault="00913A0A" w:rsidP="001A63C6">
            <w:pPr>
              <w:pStyle w:val="TableText"/>
              <w:widowControl w:val="0"/>
              <w:rPr>
                <w:rFonts w:ascii="Tahoma" w:hAnsi="Tahoma" w:cs="Tahoma"/>
                <w:color w:val="000000"/>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0DF19E1A"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094AFF13" w14:textId="77777777" w:rsidR="00913A0A" w:rsidRPr="0058047D"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FABF8F"/>
            <w:vAlign w:val="center"/>
          </w:tcPr>
          <w:p w14:paraId="1D283526"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2A8BC3F4" w14:textId="77777777" w:rsidR="00913A0A" w:rsidRPr="0058047D" w:rsidRDefault="00913A0A" w:rsidP="001A63C6">
            <w:pPr>
              <w:pStyle w:val="TableText"/>
              <w:widowControl w:val="0"/>
              <w:rPr>
                <w:rFonts w:ascii="Tahoma" w:hAnsi="Tahoma" w:cs="Tahoma"/>
                <w:sz w:val="13"/>
              </w:rPr>
            </w:pPr>
          </w:p>
        </w:tc>
      </w:tr>
      <w:tr w:rsidR="001B5647" w:rsidRPr="0058047D" w14:paraId="3483C4E4" w14:textId="77777777" w:rsidTr="00C86F50">
        <w:trPr>
          <w:trHeight w:val="145"/>
        </w:trPr>
        <w:tc>
          <w:tcPr>
            <w:tcW w:w="2619" w:type="dxa"/>
            <w:gridSpan w:val="2"/>
            <w:tcBorders>
              <w:bottom w:val="single" w:sz="4" w:space="0" w:color="auto"/>
            </w:tcBorders>
            <w:shd w:val="clear" w:color="auto" w:fill="auto"/>
          </w:tcPr>
          <w:p w14:paraId="63E1101B" w14:textId="77777777" w:rsidR="00913A0A" w:rsidRPr="0058047D" w:rsidRDefault="00913A0A" w:rsidP="001A63C6">
            <w:pPr>
              <w:pStyle w:val="ProductNames"/>
              <w:rPr>
                <w:rFonts w:ascii="Tahoma" w:hAnsi="Tahoma" w:cs="Tahoma"/>
                <w:sz w:val="14"/>
              </w:rPr>
            </w:pPr>
            <w:bookmarkStart w:id="225" w:name="_Toc336337971"/>
            <w:bookmarkStart w:id="226" w:name="_Toc371663376"/>
            <w:r w:rsidRPr="0058047D">
              <w:rPr>
                <w:rFonts w:ascii="Tahoma" w:hAnsi="Tahoma" w:cs="Tahoma"/>
                <w:sz w:val="14"/>
              </w:rPr>
              <w:t>Forefront Protection 2010 for Exchange Server (SL per Dispositivo e Utente)</w:t>
            </w:r>
            <w:bookmarkEnd w:id="225"/>
            <w:bookmarkEnd w:id="226"/>
          </w:p>
        </w:tc>
        <w:tc>
          <w:tcPr>
            <w:tcW w:w="554" w:type="dxa"/>
            <w:tcBorders>
              <w:bottom w:val="single" w:sz="4" w:space="0" w:color="auto"/>
            </w:tcBorders>
            <w:shd w:val="clear" w:color="auto" w:fill="auto"/>
            <w:vAlign w:val="center"/>
          </w:tcPr>
          <w:p w14:paraId="4C33CB4D" w14:textId="77777777" w:rsidR="00913A0A" w:rsidRPr="0058047D" w:rsidRDefault="00C86F50" w:rsidP="003D4F46">
            <w:pPr>
              <w:pStyle w:val="TableText"/>
              <w:widowControl w:val="0"/>
              <w:rPr>
                <w:b/>
                <w:color w:val="000000"/>
                <w:sz w:val="13"/>
                <w:szCs w:val="13"/>
                <w:u w:val="single"/>
              </w:rPr>
            </w:pPr>
            <w:hyperlink w:anchor="_54_Forefront_Protection" w:history="1">
              <w:r w:rsidR="00BF5FC6" w:rsidRPr="0058047D">
                <w:rPr>
                  <w:rStyle w:val="Hyperlink"/>
                  <w:b/>
                  <w:sz w:val="13"/>
                  <w:szCs w:val="13"/>
                </w:rPr>
                <w:t>62</w:t>
              </w:r>
            </w:hyperlink>
          </w:p>
        </w:tc>
        <w:tc>
          <w:tcPr>
            <w:tcW w:w="516" w:type="dxa"/>
            <w:tcBorders>
              <w:bottom w:val="single" w:sz="4" w:space="0" w:color="auto"/>
            </w:tcBorders>
            <w:shd w:val="clear" w:color="auto" w:fill="auto"/>
            <w:vAlign w:val="center"/>
          </w:tcPr>
          <w:p w14:paraId="7A0B2D99" w14:textId="77777777" w:rsidR="00913A0A" w:rsidRPr="0058047D" w:rsidRDefault="00913A0A" w:rsidP="001A63C6">
            <w:pPr>
              <w:pStyle w:val="TableText"/>
              <w:widowControl w:val="0"/>
              <w:spacing w:before="80"/>
              <w:rPr>
                <w:rFonts w:ascii="Tahoma" w:hAnsi="Tahoma" w:cs="Tahoma"/>
                <w:sz w:val="13"/>
              </w:rPr>
            </w:pPr>
          </w:p>
        </w:tc>
        <w:tc>
          <w:tcPr>
            <w:tcW w:w="358" w:type="dxa"/>
            <w:tcBorders>
              <w:bottom w:val="single" w:sz="4" w:space="0" w:color="auto"/>
              <w:right w:val="single" w:sz="18" w:space="0" w:color="auto"/>
            </w:tcBorders>
            <w:shd w:val="clear" w:color="auto" w:fill="auto"/>
            <w:vAlign w:val="center"/>
          </w:tcPr>
          <w:p w14:paraId="19E1449D"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right w:val="single" w:sz="4" w:space="0" w:color="auto"/>
            </w:tcBorders>
            <w:shd w:val="clear" w:color="auto" w:fill="auto"/>
            <w:vAlign w:val="center"/>
          </w:tcPr>
          <w:p w14:paraId="72120297" w14:textId="77777777" w:rsidR="00913A0A" w:rsidRPr="0058047D" w:rsidRDefault="00913A0A" w:rsidP="001A63C6">
            <w:pPr>
              <w:pStyle w:val="TableText"/>
              <w:widowControl w:val="0"/>
              <w:rPr>
                <w:rFonts w:ascii="Tahoma" w:hAnsi="Tahoma" w:cs="Tahoma"/>
                <w:sz w:val="13"/>
              </w:rPr>
            </w:pPr>
          </w:p>
        </w:tc>
        <w:tc>
          <w:tcPr>
            <w:tcW w:w="324" w:type="dxa"/>
            <w:tcBorders>
              <w:left w:val="single" w:sz="4" w:space="0" w:color="auto"/>
              <w:bottom w:val="single" w:sz="4" w:space="0" w:color="auto"/>
              <w:right w:val="single" w:sz="4" w:space="0" w:color="auto"/>
            </w:tcBorders>
            <w:shd w:val="clear" w:color="auto" w:fill="auto"/>
            <w:vAlign w:val="center"/>
          </w:tcPr>
          <w:p w14:paraId="37FA469A" w14:textId="77777777" w:rsidR="00913A0A" w:rsidRPr="0058047D" w:rsidRDefault="00913A0A" w:rsidP="001A63C6">
            <w:pPr>
              <w:pStyle w:val="TableText"/>
              <w:widowControl w:val="0"/>
              <w:rPr>
                <w:rFonts w:ascii="Tahoma" w:hAnsi="Tahoma" w:cs="Tahoma"/>
                <w:sz w:val="13"/>
              </w:rPr>
            </w:pPr>
          </w:p>
        </w:tc>
        <w:tc>
          <w:tcPr>
            <w:tcW w:w="366" w:type="dxa"/>
            <w:tcBorders>
              <w:left w:val="single" w:sz="4" w:space="0" w:color="auto"/>
              <w:bottom w:val="single" w:sz="4" w:space="0" w:color="auto"/>
              <w:right w:val="single" w:sz="4" w:space="0" w:color="auto"/>
            </w:tcBorders>
            <w:shd w:val="clear" w:color="auto" w:fill="auto"/>
            <w:vAlign w:val="center"/>
          </w:tcPr>
          <w:p w14:paraId="17736394" w14:textId="77777777" w:rsidR="00913A0A" w:rsidRPr="0058047D" w:rsidRDefault="00913A0A" w:rsidP="001A63C6">
            <w:pPr>
              <w:pStyle w:val="TableText"/>
              <w:widowControl w:val="0"/>
              <w:rPr>
                <w:rFonts w:ascii="Tahoma" w:hAnsi="Tahoma" w:cs="Tahoma"/>
                <w:sz w:val="13"/>
              </w:rPr>
            </w:pPr>
          </w:p>
        </w:tc>
        <w:tc>
          <w:tcPr>
            <w:tcW w:w="456" w:type="dxa"/>
            <w:gridSpan w:val="2"/>
            <w:tcBorders>
              <w:left w:val="single" w:sz="4" w:space="0" w:color="auto"/>
              <w:bottom w:val="single" w:sz="4" w:space="0" w:color="auto"/>
              <w:right w:val="single" w:sz="4" w:space="0" w:color="auto"/>
            </w:tcBorders>
            <w:shd w:val="clear" w:color="auto" w:fill="auto"/>
            <w:vAlign w:val="center"/>
          </w:tcPr>
          <w:p w14:paraId="40BFF23E" w14:textId="77777777" w:rsidR="00913A0A" w:rsidRPr="0058047D" w:rsidRDefault="00913A0A" w:rsidP="001A63C6">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1EBD0752" w14:textId="77777777" w:rsidR="00913A0A" w:rsidRPr="0058047D" w:rsidRDefault="00913A0A" w:rsidP="001A63C6">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54CEA39D" w14:textId="77777777" w:rsidR="00913A0A" w:rsidRPr="0058047D" w:rsidRDefault="00913A0A" w:rsidP="001A63C6">
            <w:pPr>
              <w:pStyle w:val="TableText"/>
              <w:widowControl w:val="0"/>
              <w:rPr>
                <w:rFonts w:ascii="Tahoma" w:hAnsi="Tahoma" w:cs="Tahoma"/>
                <w:sz w:val="13"/>
              </w:rPr>
            </w:pPr>
          </w:p>
        </w:tc>
        <w:tc>
          <w:tcPr>
            <w:tcW w:w="336" w:type="dxa"/>
            <w:tcBorders>
              <w:left w:val="single" w:sz="4" w:space="0" w:color="auto"/>
              <w:bottom w:val="single" w:sz="4" w:space="0" w:color="auto"/>
              <w:right w:val="single" w:sz="18" w:space="0" w:color="auto"/>
            </w:tcBorders>
            <w:shd w:val="clear" w:color="auto" w:fill="auto"/>
            <w:vAlign w:val="center"/>
          </w:tcPr>
          <w:p w14:paraId="16679B2D"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1FB8B85C"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C855EF1"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7397FBE5"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28A770CF"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3A9F8F57"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164AC3CA"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vAlign w:val="center"/>
          </w:tcPr>
          <w:p w14:paraId="4D45E54A" w14:textId="77777777" w:rsidR="00913A0A" w:rsidRPr="0058047D"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auto"/>
            <w:vAlign w:val="center"/>
          </w:tcPr>
          <w:p w14:paraId="0D7A179C"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tcPr>
          <w:p w14:paraId="1FE87957" w14:textId="77777777" w:rsidR="00913A0A" w:rsidRPr="0058047D" w:rsidRDefault="00913A0A" w:rsidP="001A63C6">
            <w:pPr>
              <w:pStyle w:val="TableText"/>
              <w:widowControl w:val="0"/>
              <w:rPr>
                <w:rFonts w:ascii="Tahoma" w:hAnsi="Tahoma" w:cs="Tahoma"/>
                <w:sz w:val="13"/>
              </w:rPr>
            </w:pPr>
          </w:p>
        </w:tc>
      </w:tr>
      <w:tr w:rsidR="001B5647" w:rsidRPr="0058047D" w14:paraId="059DF312" w14:textId="77777777" w:rsidTr="00C86F50">
        <w:trPr>
          <w:trHeight w:val="145"/>
        </w:trPr>
        <w:tc>
          <w:tcPr>
            <w:tcW w:w="2619" w:type="dxa"/>
            <w:gridSpan w:val="2"/>
            <w:tcBorders>
              <w:bottom w:val="single" w:sz="4" w:space="0" w:color="auto"/>
            </w:tcBorders>
            <w:shd w:val="clear" w:color="auto" w:fill="FABF8F"/>
          </w:tcPr>
          <w:p w14:paraId="3E2520D7" w14:textId="77777777" w:rsidR="00913A0A" w:rsidRPr="0058047D" w:rsidRDefault="00913A0A" w:rsidP="001A63C6">
            <w:pPr>
              <w:pStyle w:val="ProductNames"/>
              <w:rPr>
                <w:rFonts w:ascii="Tahoma" w:hAnsi="Tahoma" w:cs="Tahoma"/>
                <w:sz w:val="14"/>
              </w:rPr>
            </w:pPr>
            <w:bookmarkStart w:id="227" w:name="_Toc336337976"/>
            <w:bookmarkStart w:id="228" w:name="_Toc371663377"/>
            <w:r w:rsidRPr="0058047D">
              <w:rPr>
                <w:rFonts w:ascii="Tahoma" w:hAnsi="Tahoma" w:cs="Tahoma"/>
                <w:sz w:val="14"/>
              </w:rPr>
              <w:t>Forefront Protection 2010 for SharePoint (SL per Dispositivo e Utente)</w:t>
            </w:r>
            <w:bookmarkEnd w:id="227"/>
            <w:bookmarkEnd w:id="228"/>
          </w:p>
        </w:tc>
        <w:tc>
          <w:tcPr>
            <w:tcW w:w="554" w:type="dxa"/>
            <w:tcBorders>
              <w:bottom w:val="single" w:sz="4" w:space="0" w:color="auto"/>
            </w:tcBorders>
            <w:shd w:val="clear" w:color="auto" w:fill="FABF8F"/>
            <w:vAlign w:val="center"/>
          </w:tcPr>
          <w:p w14:paraId="3169B2EB" w14:textId="77777777" w:rsidR="00913A0A" w:rsidRPr="0058047D" w:rsidRDefault="00C86F50" w:rsidP="003D4F46">
            <w:pPr>
              <w:pStyle w:val="TableText"/>
              <w:widowControl w:val="0"/>
              <w:rPr>
                <w:rStyle w:val="EndnoteReference"/>
                <w:b w:val="0"/>
                <w:color w:val="000000"/>
                <w:position w:val="-11"/>
                <w:sz w:val="13"/>
                <w:szCs w:val="13"/>
                <w:u w:val="single"/>
              </w:rPr>
            </w:pPr>
            <w:hyperlink w:anchor="_54_Forefront_Protection" w:history="1">
              <w:r w:rsidR="00BF5FC6" w:rsidRPr="0058047D">
                <w:rPr>
                  <w:rStyle w:val="Hyperlink"/>
                  <w:b/>
                  <w:sz w:val="13"/>
                  <w:szCs w:val="13"/>
                </w:rPr>
                <w:t>62</w:t>
              </w:r>
            </w:hyperlink>
          </w:p>
        </w:tc>
        <w:tc>
          <w:tcPr>
            <w:tcW w:w="516" w:type="dxa"/>
            <w:tcBorders>
              <w:bottom w:val="single" w:sz="4" w:space="0" w:color="auto"/>
            </w:tcBorders>
            <w:shd w:val="clear" w:color="auto" w:fill="FABF8F"/>
          </w:tcPr>
          <w:p w14:paraId="3F01C0E8" w14:textId="77777777" w:rsidR="00913A0A" w:rsidRPr="0058047D" w:rsidRDefault="00913A0A" w:rsidP="001A63C6">
            <w:pPr>
              <w:pStyle w:val="TableText"/>
              <w:widowControl w:val="0"/>
              <w:spacing w:before="80"/>
              <w:rPr>
                <w:rFonts w:ascii="Tahoma" w:hAnsi="Tahoma" w:cs="Tahoma"/>
                <w:sz w:val="13"/>
              </w:rPr>
            </w:pPr>
          </w:p>
        </w:tc>
        <w:tc>
          <w:tcPr>
            <w:tcW w:w="358" w:type="dxa"/>
            <w:tcBorders>
              <w:bottom w:val="single" w:sz="4" w:space="0" w:color="auto"/>
              <w:right w:val="single" w:sz="18" w:space="0" w:color="auto"/>
            </w:tcBorders>
            <w:shd w:val="clear" w:color="auto" w:fill="FABF8F"/>
            <w:vAlign w:val="center"/>
          </w:tcPr>
          <w:p w14:paraId="41524E76"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right w:val="single" w:sz="4" w:space="0" w:color="auto"/>
            </w:tcBorders>
            <w:shd w:val="clear" w:color="auto" w:fill="FABF8F"/>
            <w:vAlign w:val="center"/>
          </w:tcPr>
          <w:p w14:paraId="0D98D7F7" w14:textId="77777777" w:rsidR="00913A0A" w:rsidRPr="0058047D" w:rsidRDefault="00913A0A" w:rsidP="001A63C6">
            <w:pPr>
              <w:pStyle w:val="TableText"/>
              <w:widowControl w:val="0"/>
              <w:rPr>
                <w:rFonts w:ascii="Tahoma" w:hAnsi="Tahoma" w:cs="Tahoma"/>
                <w:sz w:val="13"/>
              </w:rPr>
            </w:pPr>
          </w:p>
        </w:tc>
        <w:tc>
          <w:tcPr>
            <w:tcW w:w="324" w:type="dxa"/>
            <w:tcBorders>
              <w:left w:val="single" w:sz="4" w:space="0" w:color="auto"/>
              <w:bottom w:val="single" w:sz="4" w:space="0" w:color="auto"/>
              <w:right w:val="single" w:sz="4" w:space="0" w:color="auto"/>
            </w:tcBorders>
            <w:shd w:val="clear" w:color="auto" w:fill="FABF8F"/>
            <w:vAlign w:val="center"/>
          </w:tcPr>
          <w:p w14:paraId="3BA1E311" w14:textId="77777777" w:rsidR="00913A0A" w:rsidRPr="0058047D" w:rsidRDefault="00913A0A" w:rsidP="001A63C6">
            <w:pPr>
              <w:pStyle w:val="TableText"/>
              <w:widowControl w:val="0"/>
              <w:rPr>
                <w:rFonts w:ascii="Tahoma" w:hAnsi="Tahoma" w:cs="Tahoma"/>
                <w:sz w:val="13"/>
              </w:rPr>
            </w:pPr>
          </w:p>
        </w:tc>
        <w:tc>
          <w:tcPr>
            <w:tcW w:w="366" w:type="dxa"/>
            <w:tcBorders>
              <w:left w:val="single" w:sz="4" w:space="0" w:color="auto"/>
              <w:bottom w:val="single" w:sz="4" w:space="0" w:color="auto"/>
              <w:right w:val="single" w:sz="4" w:space="0" w:color="auto"/>
            </w:tcBorders>
            <w:shd w:val="clear" w:color="auto" w:fill="FABF8F"/>
            <w:vAlign w:val="center"/>
          </w:tcPr>
          <w:p w14:paraId="4C90CFD4" w14:textId="77777777" w:rsidR="00913A0A" w:rsidRPr="0058047D" w:rsidRDefault="00913A0A" w:rsidP="001A63C6">
            <w:pPr>
              <w:pStyle w:val="TableText"/>
              <w:widowControl w:val="0"/>
              <w:rPr>
                <w:rFonts w:ascii="Tahoma" w:hAnsi="Tahoma" w:cs="Tahoma"/>
                <w:sz w:val="13"/>
              </w:rPr>
            </w:pPr>
          </w:p>
        </w:tc>
        <w:tc>
          <w:tcPr>
            <w:tcW w:w="456" w:type="dxa"/>
            <w:gridSpan w:val="2"/>
            <w:tcBorders>
              <w:left w:val="single" w:sz="4" w:space="0" w:color="auto"/>
              <w:bottom w:val="single" w:sz="4" w:space="0" w:color="auto"/>
              <w:right w:val="single" w:sz="4" w:space="0" w:color="auto"/>
            </w:tcBorders>
            <w:shd w:val="clear" w:color="auto" w:fill="FABF8F"/>
            <w:vAlign w:val="center"/>
          </w:tcPr>
          <w:p w14:paraId="6A81CAE2" w14:textId="77777777" w:rsidR="00913A0A" w:rsidRPr="0058047D" w:rsidRDefault="00913A0A" w:rsidP="001A63C6">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10513C43" w14:textId="77777777" w:rsidR="00913A0A" w:rsidRPr="0058047D" w:rsidRDefault="00913A0A" w:rsidP="001A63C6">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178188FF" w14:textId="77777777" w:rsidR="00913A0A" w:rsidRPr="0058047D" w:rsidRDefault="00913A0A" w:rsidP="001A63C6">
            <w:pPr>
              <w:pStyle w:val="TableText"/>
              <w:widowControl w:val="0"/>
              <w:rPr>
                <w:rFonts w:ascii="Tahoma" w:hAnsi="Tahoma" w:cs="Tahoma"/>
                <w:sz w:val="13"/>
              </w:rPr>
            </w:pPr>
          </w:p>
        </w:tc>
        <w:tc>
          <w:tcPr>
            <w:tcW w:w="336" w:type="dxa"/>
            <w:tcBorders>
              <w:left w:val="single" w:sz="4" w:space="0" w:color="auto"/>
              <w:bottom w:val="single" w:sz="4" w:space="0" w:color="auto"/>
              <w:right w:val="single" w:sz="18" w:space="0" w:color="auto"/>
            </w:tcBorders>
            <w:shd w:val="clear" w:color="auto" w:fill="FABF8F"/>
            <w:vAlign w:val="center"/>
          </w:tcPr>
          <w:p w14:paraId="5F714A05"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1831822D"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E5BC274"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613FA844"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62272785"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13240BF6"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68EB8C65"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2F75E917" w14:textId="77777777" w:rsidR="00913A0A" w:rsidRPr="0058047D"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FABF8F"/>
            <w:vAlign w:val="center"/>
          </w:tcPr>
          <w:p w14:paraId="597BEE7F"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0279617F" w14:textId="77777777" w:rsidR="00913A0A" w:rsidRPr="0058047D" w:rsidRDefault="00913A0A" w:rsidP="001A63C6">
            <w:pPr>
              <w:pStyle w:val="TableText"/>
              <w:widowControl w:val="0"/>
              <w:rPr>
                <w:rFonts w:ascii="Tahoma" w:hAnsi="Tahoma" w:cs="Tahoma"/>
                <w:sz w:val="13"/>
              </w:rPr>
            </w:pPr>
          </w:p>
        </w:tc>
      </w:tr>
      <w:tr w:rsidR="009323A0" w:rsidRPr="0058047D" w14:paraId="1F81438B" w14:textId="77777777" w:rsidTr="00C86F50">
        <w:trPr>
          <w:trHeight w:val="145"/>
        </w:trPr>
        <w:tc>
          <w:tcPr>
            <w:tcW w:w="2619" w:type="dxa"/>
            <w:gridSpan w:val="2"/>
            <w:tcBorders>
              <w:bottom w:val="single" w:sz="4" w:space="0" w:color="auto"/>
            </w:tcBorders>
            <w:shd w:val="clear" w:color="auto" w:fill="auto"/>
          </w:tcPr>
          <w:p w14:paraId="1782BA48" w14:textId="77777777" w:rsidR="00913A0A" w:rsidRPr="0058047D" w:rsidRDefault="00913A0A" w:rsidP="001A63C6">
            <w:pPr>
              <w:pStyle w:val="ProductNames"/>
              <w:rPr>
                <w:rFonts w:ascii="Tahoma" w:hAnsi="Tahoma" w:cs="Tahoma"/>
                <w:sz w:val="14"/>
              </w:rPr>
            </w:pPr>
            <w:bookmarkStart w:id="229" w:name="_Toc336337977"/>
            <w:bookmarkStart w:id="230" w:name="_Toc371663378"/>
            <w:r w:rsidRPr="0058047D">
              <w:rPr>
                <w:rFonts w:ascii="Tahoma" w:hAnsi="Tahoma" w:cs="Tahoma"/>
                <w:sz w:val="14"/>
              </w:rPr>
              <w:t>Forefront Protection 2010 for SharePoint per Siti Internet (SL Add-on)</w:t>
            </w:r>
            <w:bookmarkEnd w:id="229"/>
            <w:bookmarkEnd w:id="230"/>
          </w:p>
        </w:tc>
        <w:tc>
          <w:tcPr>
            <w:tcW w:w="554" w:type="dxa"/>
            <w:tcBorders>
              <w:bottom w:val="single" w:sz="4" w:space="0" w:color="auto"/>
            </w:tcBorders>
            <w:shd w:val="clear" w:color="auto" w:fill="auto"/>
            <w:vAlign w:val="center"/>
          </w:tcPr>
          <w:p w14:paraId="0D31243B" w14:textId="77777777" w:rsidR="00913A0A" w:rsidRPr="0058047D" w:rsidRDefault="00C86F50" w:rsidP="003D4F46">
            <w:pPr>
              <w:pStyle w:val="TableText"/>
              <w:widowControl w:val="0"/>
              <w:rPr>
                <w:rStyle w:val="EndnoteReference"/>
                <w:b w:val="0"/>
                <w:color w:val="000000"/>
                <w:position w:val="-11"/>
                <w:sz w:val="13"/>
                <w:szCs w:val="13"/>
                <w:u w:val="single"/>
              </w:rPr>
            </w:pPr>
            <w:hyperlink w:anchor="_54_Forefront_Protection" w:history="1">
              <w:r w:rsidR="00BF5FC6" w:rsidRPr="0058047D">
                <w:rPr>
                  <w:rStyle w:val="Hyperlink"/>
                  <w:b/>
                  <w:sz w:val="13"/>
                  <w:szCs w:val="13"/>
                </w:rPr>
                <w:t>62</w:t>
              </w:r>
            </w:hyperlink>
          </w:p>
        </w:tc>
        <w:tc>
          <w:tcPr>
            <w:tcW w:w="516" w:type="dxa"/>
            <w:tcBorders>
              <w:bottom w:val="single" w:sz="4" w:space="0" w:color="auto"/>
            </w:tcBorders>
            <w:shd w:val="clear" w:color="auto" w:fill="auto"/>
          </w:tcPr>
          <w:p w14:paraId="3147ABFC"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04/10</w:t>
            </w:r>
          </w:p>
        </w:tc>
        <w:tc>
          <w:tcPr>
            <w:tcW w:w="358" w:type="dxa"/>
            <w:tcBorders>
              <w:bottom w:val="single" w:sz="4" w:space="0" w:color="auto"/>
              <w:right w:val="single" w:sz="18" w:space="0" w:color="auto"/>
            </w:tcBorders>
            <w:shd w:val="clear" w:color="auto" w:fill="auto"/>
            <w:vAlign w:val="center"/>
          </w:tcPr>
          <w:p w14:paraId="259DBBC0"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2712" w:type="dxa"/>
            <w:gridSpan w:val="8"/>
            <w:tcBorders>
              <w:left w:val="single" w:sz="18" w:space="0" w:color="auto"/>
              <w:bottom w:val="single" w:sz="4" w:space="0" w:color="auto"/>
              <w:right w:val="single" w:sz="18" w:space="0" w:color="auto"/>
            </w:tcBorders>
            <w:shd w:val="clear" w:color="auto" w:fill="auto"/>
            <w:vAlign w:val="center"/>
          </w:tcPr>
          <w:p w14:paraId="2F3884BD"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25 crediti</w:t>
            </w:r>
          </w:p>
        </w:tc>
        <w:tc>
          <w:tcPr>
            <w:tcW w:w="477" w:type="dxa"/>
            <w:tcBorders>
              <w:left w:val="single" w:sz="18" w:space="0" w:color="auto"/>
              <w:bottom w:val="single" w:sz="4" w:space="0" w:color="auto"/>
            </w:tcBorders>
            <w:shd w:val="clear" w:color="auto" w:fill="auto"/>
            <w:vAlign w:val="center"/>
          </w:tcPr>
          <w:p w14:paraId="26490989"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AFF97CF"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1A6FC9E3"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4DA0D7FD"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25</w:t>
            </w:r>
          </w:p>
        </w:tc>
        <w:tc>
          <w:tcPr>
            <w:tcW w:w="477" w:type="dxa"/>
            <w:tcBorders>
              <w:bottom w:val="single" w:sz="4" w:space="0" w:color="auto"/>
              <w:right w:val="single" w:sz="18" w:space="0" w:color="auto"/>
            </w:tcBorders>
            <w:shd w:val="clear" w:color="auto" w:fill="auto"/>
            <w:vAlign w:val="center"/>
          </w:tcPr>
          <w:p w14:paraId="2E8AEC8A"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22A125A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auto"/>
          </w:tcPr>
          <w:p w14:paraId="1B2D4D82" w14:textId="77777777" w:rsidR="00913A0A" w:rsidRPr="0058047D" w:rsidRDefault="00913A0A" w:rsidP="001A63C6">
            <w:pPr>
              <w:pStyle w:val="TableText"/>
              <w:widowControl w:val="0"/>
              <w:spacing w:before="12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auto"/>
            <w:vAlign w:val="center"/>
          </w:tcPr>
          <w:p w14:paraId="34033AA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OV</w:t>
            </w:r>
          </w:p>
        </w:tc>
        <w:tc>
          <w:tcPr>
            <w:tcW w:w="405" w:type="dxa"/>
            <w:tcBorders>
              <w:bottom w:val="single" w:sz="4" w:space="0" w:color="auto"/>
            </w:tcBorders>
          </w:tcPr>
          <w:p w14:paraId="7AEE3557"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0B4D7360" w14:textId="77777777" w:rsidTr="00C86F50">
        <w:trPr>
          <w:trHeight w:val="145"/>
        </w:trPr>
        <w:tc>
          <w:tcPr>
            <w:tcW w:w="2619" w:type="dxa"/>
            <w:gridSpan w:val="2"/>
            <w:tcBorders>
              <w:bottom w:val="single" w:sz="4" w:space="0" w:color="auto"/>
            </w:tcBorders>
            <w:shd w:val="clear" w:color="auto" w:fill="FABF8F"/>
          </w:tcPr>
          <w:p w14:paraId="3D08E591" w14:textId="77777777" w:rsidR="003D4F46" w:rsidRPr="0058047D" w:rsidRDefault="003D4F46" w:rsidP="001A63C6">
            <w:pPr>
              <w:pStyle w:val="ProductNames"/>
              <w:rPr>
                <w:rFonts w:ascii="Tahoma" w:hAnsi="Tahoma" w:cs="Tahoma"/>
                <w:sz w:val="14"/>
              </w:rPr>
            </w:pPr>
            <w:bookmarkStart w:id="231" w:name="_Toc371663379"/>
            <w:r w:rsidRPr="0058047D">
              <w:rPr>
                <w:rFonts w:ascii="Tahoma" w:hAnsi="Tahoma" w:cs="Tahoma"/>
                <w:sz w:val="14"/>
              </w:rPr>
              <w:t>Forefront Protection Suite (SL per Dispositivo e Utente)</w:t>
            </w:r>
            <w:bookmarkEnd w:id="231"/>
          </w:p>
        </w:tc>
        <w:tc>
          <w:tcPr>
            <w:tcW w:w="554" w:type="dxa"/>
            <w:tcBorders>
              <w:bottom w:val="single" w:sz="4" w:space="0" w:color="auto"/>
            </w:tcBorders>
            <w:shd w:val="clear" w:color="auto" w:fill="FABF8F"/>
            <w:vAlign w:val="center"/>
          </w:tcPr>
          <w:p w14:paraId="195BBCC0" w14:textId="77777777" w:rsidR="003D4F46" w:rsidRPr="0058047D" w:rsidRDefault="00C86F50">
            <w:pPr>
              <w:pStyle w:val="TableText"/>
              <w:widowControl w:val="0"/>
            </w:pPr>
            <w:hyperlink w:anchor="_61_Forefront_Protection" w:history="1">
              <w:hyperlink w:anchor="_61_Forefront_Protection" w:history="1">
                <w:r w:rsidR="00BF5FC6" w:rsidRPr="002B4E2B">
                  <w:rPr>
                    <w:rStyle w:val="Hyperlink"/>
                    <w:b/>
                    <w:sz w:val="13"/>
                    <w:szCs w:val="13"/>
                  </w:rPr>
                  <w:t>6</w:t>
                </w:r>
              </w:hyperlink>
              <w:r w:rsidR="00BF5FC6" w:rsidRPr="002B4E2B">
                <w:rPr>
                  <w:rStyle w:val="Hyperlink"/>
                  <w:b/>
                  <w:sz w:val="13"/>
                  <w:szCs w:val="13"/>
                </w:rPr>
                <w:t>3</w:t>
              </w:r>
            </w:hyperlink>
          </w:p>
        </w:tc>
        <w:tc>
          <w:tcPr>
            <w:tcW w:w="516" w:type="dxa"/>
            <w:tcBorders>
              <w:bottom w:val="single" w:sz="4" w:space="0" w:color="auto"/>
            </w:tcBorders>
            <w:shd w:val="clear" w:color="auto" w:fill="FABF8F"/>
          </w:tcPr>
          <w:p w14:paraId="6F64D9C1" w14:textId="77777777" w:rsidR="003D4F46" w:rsidRPr="0058047D" w:rsidRDefault="003D4F46" w:rsidP="001A63C6">
            <w:pPr>
              <w:pStyle w:val="TableText"/>
              <w:widowControl w:val="0"/>
              <w:spacing w:before="120"/>
              <w:rPr>
                <w:rFonts w:ascii="Tahoma" w:hAnsi="Tahoma" w:cs="Tahoma"/>
                <w:sz w:val="13"/>
              </w:rPr>
            </w:pPr>
          </w:p>
        </w:tc>
        <w:tc>
          <w:tcPr>
            <w:tcW w:w="358" w:type="dxa"/>
            <w:tcBorders>
              <w:bottom w:val="single" w:sz="4" w:space="0" w:color="auto"/>
              <w:right w:val="single" w:sz="18" w:space="0" w:color="auto"/>
            </w:tcBorders>
            <w:shd w:val="clear" w:color="auto" w:fill="FABF8F"/>
            <w:vAlign w:val="center"/>
          </w:tcPr>
          <w:p w14:paraId="0B02B04F" w14:textId="77777777" w:rsidR="003D4F46" w:rsidRPr="0058047D" w:rsidRDefault="003D4F46"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center"/>
          </w:tcPr>
          <w:p w14:paraId="01328F75" w14:textId="77777777" w:rsidR="003D4F46" w:rsidRPr="0058047D" w:rsidRDefault="003D4F46"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0BB63D4B" w14:textId="77777777" w:rsidR="003D4F46" w:rsidRPr="0058047D" w:rsidRDefault="003D4F46"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695A2C27" w14:textId="77777777" w:rsidR="003D4F46" w:rsidRPr="0058047D" w:rsidRDefault="003D4F46"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435CCB91" w14:textId="77777777" w:rsidR="003D4F46" w:rsidRPr="0058047D"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9FA5157" w14:textId="77777777" w:rsidR="003D4F46" w:rsidRPr="0058047D"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30F645F" w14:textId="77777777" w:rsidR="003D4F46" w:rsidRPr="0058047D" w:rsidRDefault="003D4F46"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308A94B0" w14:textId="77777777" w:rsidR="003D4F46" w:rsidRPr="0058047D" w:rsidRDefault="003D4F46"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4F76E74C" w14:textId="77777777" w:rsidR="003D4F46" w:rsidRPr="0058047D"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F9433C4" w14:textId="77777777" w:rsidR="003D4F46" w:rsidRPr="0058047D" w:rsidRDefault="003D4F46"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1392A1ED" w14:textId="77777777" w:rsidR="003D4F46" w:rsidRPr="0058047D" w:rsidRDefault="003D4F46"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7B5AABA7" w14:textId="77777777" w:rsidR="003D4F46" w:rsidRPr="0058047D" w:rsidRDefault="003D4F46"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60782C76" w14:textId="77777777" w:rsidR="003D4F46" w:rsidRPr="0058047D" w:rsidRDefault="003D4F46"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7D4EA260" w14:textId="77777777" w:rsidR="003D4F46" w:rsidRPr="0058047D" w:rsidRDefault="003D4F46"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4CB83236" w14:textId="77777777" w:rsidR="003D4F46" w:rsidRPr="0058047D" w:rsidRDefault="003D4F46"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FABF8F"/>
            <w:vAlign w:val="center"/>
          </w:tcPr>
          <w:p w14:paraId="516B2CD7" w14:textId="77777777" w:rsidR="003D4F46" w:rsidRPr="0058047D" w:rsidRDefault="003D4F46"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17A40B2D" w14:textId="77777777" w:rsidR="003D4F46" w:rsidRPr="0058047D" w:rsidRDefault="003D4F46" w:rsidP="001A63C6">
            <w:pPr>
              <w:pStyle w:val="TableText"/>
              <w:widowControl w:val="0"/>
              <w:rPr>
                <w:rFonts w:ascii="Tahoma" w:hAnsi="Tahoma" w:cs="Tahoma"/>
                <w:sz w:val="13"/>
              </w:rPr>
            </w:pPr>
          </w:p>
        </w:tc>
      </w:tr>
      <w:tr w:rsidR="009323A0" w:rsidRPr="0058047D" w14:paraId="17332DA3" w14:textId="77777777" w:rsidTr="00C86F50">
        <w:trPr>
          <w:trHeight w:val="145"/>
        </w:trPr>
        <w:tc>
          <w:tcPr>
            <w:tcW w:w="2619" w:type="dxa"/>
            <w:gridSpan w:val="2"/>
            <w:tcBorders>
              <w:bottom w:val="single" w:sz="4" w:space="0" w:color="auto"/>
            </w:tcBorders>
            <w:shd w:val="clear" w:color="auto" w:fill="auto"/>
          </w:tcPr>
          <w:p w14:paraId="354FDBEE" w14:textId="77777777" w:rsidR="003D4F46" w:rsidRPr="0058047D" w:rsidRDefault="003D4F46" w:rsidP="001A63C6">
            <w:pPr>
              <w:pStyle w:val="ProductNames"/>
              <w:rPr>
                <w:rFonts w:ascii="Tahoma" w:hAnsi="Tahoma" w:cs="Tahoma"/>
                <w:sz w:val="14"/>
              </w:rPr>
            </w:pPr>
            <w:bookmarkStart w:id="232" w:name="_Toc371663380"/>
            <w:r w:rsidRPr="0058047D">
              <w:rPr>
                <w:rFonts w:ascii="Tahoma" w:hAnsi="Tahoma" w:cs="Tahoma"/>
                <w:sz w:val="14"/>
              </w:rPr>
              <w:t>Forefront Security for Office Communications Server (SL per Dispositivo e Utente)</w:t>
            </w:r>
            <w:bookmarkEnd w:id="232"/>
          </w:p>
        </w:tc>
        <w:tc>
          <w:tcPr>
            <w:tcW w:w="554" w:type="dxa"/>
            <w:tcBorders>
              <w:bottom w:val="single" w:sz="4" w:space="0" w:color="auto"/>
            </w:tcBorders>
            <w:shd w:val="clear" w:color="auto" w:fill="auto"/>
            <w:vAlign w:val="center"/>
          </w:tcPr>
          <w:p w14:paraId="53B4F9D3" w14:textId="77777777" w:rsidR="003D4F46" w:rsidRPr="0058047D" w:rsidRDefault="00C86F50" w:rsidP="003D4F46">
            <w:pPr>
              <w:pStyle w:val="TableText"/>
              <w:widowControl w:val="0"/>
            </w:pPr>
            <w:hyperlink w:anchor="_64_Forefront_Security" w:history="1">
              <w:hyperlink w:anchor="_61_Forefront_Protection" w:history="1">
                <w:r w:rsidR="00BF5FC6" w:rsidRPr="002B4E2B">
                  <w:rPr>
                    <w:rStyle w:val="Hyperlink"/>
                    <w:b/>
                    <w:sz w:val="13"/>
                    <w:szCs w:val="13"/>
                  </w:rPr>
                  <w:t>6</w:t>
                </w:r>
              </w:hyperlink>
              <w:r w:rsidR="00BF5FC6" w:rsidRPr="002B4E2B">
                <w:rPr>
                  <w:rStyle w:val="Hyperlink"/>
                  <w:b/>
                  <w:sz w:val="13"/>
                  <w:szCs w:val="13"/>
                </w:rPr>
                <w:t>4</w:t>
              </w:r>
            </w:hyperlink>
          </w:p>
        </w:tc>
        <w:tc>
          <w:tcPr>
            <w:tcW w:w="516" w:type="dxa"/>
            <w:tcBorders>
              <w:bottom w:val="single" w:sz="4" w:space="0" w:color="auto"/>
            </w:tcBorders>
            <w:shd w:val="clear" w:color="auto" w:fill="auto"/>
          </w:tcPr>
          <w:p w14:paraId="60E0EE9D" w14:textId="77777777" w:rsidR="003D4F46" w:rsidRPr="0058047D" w:rsidRDefault="003D4F46" w:rsidP="001A63C6">
            <w:pPr>
              <w:pStyle w:val="TableText"/>
              <w:widowControl w:val="0"/>
              <w:spacing w:before="120"/>
              <w:rPr>
                <w:rFonts w:ascii="Tahoma" w:hAnsi="Tahoma" w:cs="Tahoma"/>
                <w:sz w:val="13"/>
              </w:rPr>
            </w:pPr>
          </w:p>
        </w:tc>
        <w:tc>
          <w:tcPr>
            <w:tcW w:w="358" w:type="dxa"/>
            <w:tcBorders>
              <w:bottom w:val="single" w:sz="4" w:space="0" w:color="auto"/>
              <w:right w:val="single" w:sz="18" w:space="0" w:color="auto"/>
            </w:tcBorders>
            <w:shd w:val="clear" w:color="auto" w:fill="auto"/>
            <w:vAlign w:val="center"/>
          </w:tcPr>
          <w:p w14:paraId="302EEA82" w14:textId="77777777" w:rsidR="003D4F46" w:rsidRPr="0058047D" w:rsidRDefault="003D4F46"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auto"/>
            <w:vAlign w:val="center"/>
          </w:tcPr>
          <w:p w14:paraId="12E73F2B" w14:textId="77777777" w:rsidR="003D4F46" w:rsidRPr="0058047D" w:rsidRDefault="003D4F46"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4C6F021A" w14:textId="77777777" w:rsidR="003D4F46" w:rsidRPr="0058047D" w:rsidRDefault="003D4F46"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59B08319" w14:textId="77777777" w:rsidR="003D4F46" w:rsidRPr="0058047D" w:rsidRDefault="003D4F46"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63A2463F" w14:textId="77777777" w:rsidR="003D4F46" w:rsidRPr="0058047D"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36DDBDE" w14:textId="77777777" w:rsidR="003D4F46" w:rsidRPr="0058047D"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898AC98" w14:textId="77777777" w:rsidR="003D4F46" w:rsidRPr="0058047D" w:rsidRDefault="003D4F46"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6421E7A2" w14:textId="77777777" w:rsidR="003D4F46" w:rsidRPr="0058047D" w:rsidRDefault="003D4F46"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03C01656" w14:textId="77777777" w:rsidR="003D4F46" w:rsidRPr="0058047D"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B25849B" w14:textId="77777777" w:rsidR="003D4F46" w:rsidRPr="0058047D" w:rsidRDefault="003D4F46"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695D2452" w14:textId="77777777" w:rsidR="003D4F46" w:rsidRPr="0058047D" w:rsidRDefault="003D4F46"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35473AED" w14:textId="77777777" w:rsidR="003D4F46" w:rsidRPr="0058047D" w:rsidRDefault="003D4F46"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08AC6779" w14:textId="77777777" w:rsidR="003D4F46" w:rsidRPr="0058047D" w:rsidRDefault="003D4F46"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590A4A79" w14:textId="77777777" w:rsidR="003D4F46" w:rsidRPr="0058047D" w:rsidRDefault="003D4F46" w:rsidP="001A63C6">
            <w:pPr>
              <w:pStyle w:val="TableText"/>
              <w:widowControl w:val="0"/>
              <w:rPr>
                <w:rFonts w:ascii="Tahoma" w:hAnsi="Tahoma" w:cs="Tahoma"/>
                <w:sz w:val="13"/>
              </w:rPr>
            </w:pPr>
          </w:p>
        </w:tc>
        <w:tc>
          <w:tcPr>
            <w:tcW w:w="655" w:type="dxa"/>
            <w:tcBorders>
              <w:bottom w:val="single" w:sz="4" w:space="0" w:color="auto"/>
            </w:tcBorders>
            <w:shd w:val="clear" w:color="auto" w:fill="auto"/>
          </w:tcPr>
          <w:p w14:paraId="7AD7E2AA" w14:textId="77777777" w:rsidR="003D4F46" w:rsidRPr="0058047D" w:rsidRDefault="003D4F46"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auto"/>
            <w:vAlign w:val="center"/>
          </w:tcPr>
          <w:p w14:paraId="471F8460" w14:textId="77777777" w:rsidR="003D4F46" w:rsidRPr="0058047D" w:rsidRDefault="003D4F46" w:rsidP="001A63C6">
            <w:pPr>
              <w:pStyle w:val="TableText"/>
              <w:widowControl w:val="0"/>
              <w:rPr>
                <w:rFonts w:ascii="Tahoma" w:hAnsi="Tahoma" w:cs="Tahoma"/>
                <w:sz w:val="13"/>
              </w:rPr>
            </w:pPr>
          </w:p>
        </w:tc>
        <w:tc>
          <w:tcPr>
            <w:tcW w:w="405" w:type="dxa"/>
            <w:tcBorders>
              <w:bottom w:val="single" w:sz="4" w:space="0" w:color="auto"/>
            </w:tcBorders>
            <w:shd w:val="clear" w:color="auto" w:fill="auto"/>
          </w:tcPr>
          <w:p w14:paraId="1F263104" w14:textId="77777777" w:rsidR="003D4F46" w:rsidRPr="0058047D" w:rsidRDefault="003D4F46" w:rsidP="001A63C6">
            <w:pPr>
              <w:pStyle w:val="TableText"/>
              <w:widowControl w:val="0"/>
              <w:rPr>
                <w:rFonts w:ascii="Tahoma" w:hAnsi="Tahoma" w:cs="Tahoma"/>
                <w:sz w:val="13"/>
              </w:rPr>
            </w:pPr>
          </w:p>
        </w:tc>
      </w:tr>
      <w:tr w:rsidR="009323A0" w:rsidRPr="0058047D" w14:paraId="5551D203" w14:textId="77777777" w:rsidTr="00C86F50">
        <w:trPr>
          <w:trHeight w:val="145"/>
        </w:trPr>
        <w:tc>
          <w:tcPr>
            <w:tcW w:w="2619" w:type="dxa"/>
            <w:gridSpan w:val="2"/>
            <w:tcBorders>
              <w:bottom w:val="single" w:sz="4" w:space="0" w:color="auto"/>
            </w:tcBorders>
            <w:shd w:val="clear" w:color="auto" w:fill="FABF8F"/>
          </w:tcPr>
          <w:p w14:paraId="216A8F1F" w14:textId="77777777" w:rsidR="00913A0A" w:rsidRPr="0058047D" w:rsidRDefault="00913A0A" w:rsidP="001A63C6">
            <w:pPr>
              <w:pStyle w:val="ProductNames"/>
              <w:rPr>
                <w:rFonts w:ascii="Tahoma" w:hAnsi="Tahoma" w:cs="Tahoma"/>
                <w:sz w:val="14"/>
              </w:rPr>
            </w:pPr>
            <w:bookmarkStart w:id="233" w:name="_Toc336337981"/>
            <w:bookmarkStart w:id="234" w:name="_Toc371663381"/>
            <w:r w:rsidRPr="0058047D">
              <w:rPr>
                <w:rFonts w:ascii="Tahoma" w:hAnsi="Tahoma" w:cs="Tahoma"/>
                <w:sz w:val="14"/>
              </w:rPr>
              <w:t>Forefront Threat Management Gateway Web Protection Services</w:t>
            </w:r>
            <w:bookmarkEnd w:id="233"/>
            <w:bookmarkEnd w:id="234"/>
            <w:r w:rsidRPr="0058047D">
              <w:rPr>
                <w:rFonts w:ascii="Tahoma" w:hAnsi="Tahoma" w:cs="Tahoma"/>
                <w:sz w:val="14"/>
              </w:rPr>
              <w:t xml:space="preserve"> </w:t>
            </w:r>
          </w:p>
        </w:tc>
        <w:tc>
          <w:tcPr>
            <w:tcW w:w="554" w:type="dxa"/>
            <w:tcBorders>
              <w:bottom w:val="single" w:sz="4" w:space="0" w:color="auto"/>
            </w:tcBorders>
            <w:shd w:val="clear" w:color="auto" w:fill="FABF8F"/>
            <w:vAlign w:val="center"/>
          </w:tcPr>
          <w:p w14:paraId="100167FD" w14:textId="77777777" w:rsidR="00913A0A" w:rsidRPr="0058047D" w:rsidRDefault="00C86F50" w:rsidP="003D4F46">
            <w:pPr>
              <w:pStyle w:val="TableText"/>
              <w:widowControl w:val="0"/>
              <w:rPr>
                <w:rStyle w:val="EndnoteReference"/>
                <w:b w:val="0"/>
                <w:color w:val="0000FF"/>
                <w:position w:val="-11"/>
                <w:sz w:val="13"/>
                <w:szCs w:val="13"/>
                <w:u w:val="single"/>
              </w:rPr>
            </w:pPr>
            <w:hyperlink w:anchor="_66_Forefront_Threat" w:history="1">
              <w:r w:rsidR="00BF5FC6" w:rsidRPr="0058047D">
                <w:rPr>
                  <w:rStyle w:val="Hyperlink"/>
                  <w:b/>
                  <w:sz w:val="13"/>
                  <w:szCs w:val="13"/>
                </w:rPr>
                <w:t>65</w:t>
              </w:r>
            </w:hyperlink>
            <w:hyperlink w:anchor="_57_Forefront_Threat" w:history="1"/>
          </w:p>
        </w:tc>
        <w:tc>
          <w:tcPr>
            <w:tcW w:w="516" w:type="dxa"/>
            <w:tcBorders>
              <w:bottom w:val="single" w:sz="4" w:space="0" w:color="auto"/>
            </w:tcBorders>
            <w:shd w:val="clear" w:color="auto" w:fill="FABF8F"/>
          </w:tcPr>
          <w:p w14:paraId="20FF1294" w14:textId="77777777" w:rsidR="00913A0A" w:rsidRPr="0058047D" w:rsidRDefault="00913A0A" w:rsidP="001A63C6">
            <w:pPr>
              <w:pStyle w:val="TableText"/>
              <w:widowControl w:val="0"/>
              <w:spacing w:before="120"/>
              <w:rPr>
                <w:rFonts w:ascii="Tahoma" w:hAnsi="Tahoma" w:cs="Tahoma"/>
                <w:sz w:val="13"/>
              </w:rPr>
            </w:pPr>
          </w:p>
        </w:tc>
        <w:tc>
          <w:tcPr>
            <w:tcW w:w="358" w:type="dxa"/>
            <w:tcBorders>
              <w:bottom w:val="single" w:sz="4" w:space="0" w:color="auto"/>
              <w:right w:val="single" w:sz="18" w:space="0" w:color="auto"/>
            </w:tcBorders>
            <w:shd w:val="clear" w:color="auto" w:fill="FABF8F"/>
            <w:vAlign w:val="center"/>
          </w:tcPr>
          <w:p w14:paraId="74787E0C"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center"/>
          </w:tcPr>
          <w:p w14:paraId="4D887ABC"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07D95930"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383F4694"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6E8361D2"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14CAF1F"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5E71F97"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7EB3A9D6"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4D87699B"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EEB4AAE"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039CDA38"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336C4420"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5B7E58CA"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19211D12"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2664ED4B" w14:textId="77777777" w:rsidR="00913A0A" w:rsidRPr="0058047D"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FABF8F"/>
            <w:vAlign w:val="center"/>
          </w:tcPr>
          <w:p w14:paraId="08F0211A"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7F32A787" w14:textId="77777777" w:rsidR="00913A0A" w:rsidRPr="0058047D" w:rsidRDefault="00913A0A" w:rsidP="001A63C6">
            <w:pPr>
              <w:pStyle w:val="TableText"/>
              <w:widowControl w:val="0"/>
              <w:rPr>
                <w:rFonts w:ascii="Tahoma" w:hAnsi="Tahoma" w:cs="Tahoma"/>
                <w:sz w:val="13"/>
              </w:rPr>
            </w:pPr>
          </w:p>
        </w:tc>
      </w:tr>
      <w:tr w:rsidR="009323A0" w:rsidRPr="0058047D" w14:paraId="79A8CC15" w14:textId="77777777" w:rsidTr="00C86F50">
        <w:trPr>
          <w:trHeight w:val="145"/>
        </w:trPr>
        <w:tc>
          <w:tcPr>
            <w:tcW w:w="2619" w:type="dxa"/>
            <w:gridSpan w:val="2"/>
            <w:tcBorders>
              <w:bottom w:val="single" w:sz="4" w:space="0" w:color="auto"/>
            </w:tcBorders>
            <w:shd w:val="clear" w:color="auto" w:fill="auto"/>
          </w:tcPr>
          <w:p w14:paraId="3EF2B38D" w14:textId="77777777" w:rsidR="00913A0A" w:rsidRPr="0058047D" w:rsidRDefault="00913A0A" w:rsidP="002B4E2B">
            <w:pPr>
              <w:pStyle w:val="ProductNames"/>
              <w:rPr>
                <w:rFonts w:ascii="Tahoma" w:hAnsi="Tahoma" w:cs="Tahoma"/>
                <w:sz w:val="14"/>
              </w:rPr>
            </w:pPr>
            <w:bookmarkStart w:id="235" w:name="_Toc336337982"/>
            <w:bookmarkStart w:id="236" w:name="_Toc371663382"/>
            <w:r w:rsidRPr="0058047D">
              <w:rPr>
                <w:rFonts w:ascii="Tahoma" w:hAnsi="Tahoma" w:cs="Tahoma"/>
                <w:sz w:val="14"/>
              </w:rPr>
              <w:t>Forefront Unified Access Gateway Server</w:t>
            </w:r>
            <w:r w:rsidR="002B4E2B">
              <w:rPr>
                <w:rFonts w:ascii="Tahoma" w:hAnsi="Tahoma" w:cs="Tahoma"/>
                <w:sz w:val="14"/>
              </w:rPr>
              <w:t> </w:t>
            </w:r>
            <w:r w:rsidRPr="0058047D">
              <w:rPr>
                <w:rFonts w:ascii="Tahoma" w:hAnsi="Tahoma" w:cs="Tahoma"/>
                <w:sz w:val="14"/>
              </w:rPr>
              <w:t>2010</w:t>
            </w:r>
            <w:bookmarkEnd w:id="235"/>
            <w:bookmarkEnd w:id="236"/>
          </w:p>
        </w:tc>
        <w:tc>
          <w:tcPr>
            <w:tcW w:w="554" w:type="dxa"/>
            <w:tcBorders>
              <w:bottom w:val="single" w:sz="4" w:space="0" w:color="auto"/>
            </w:tcBorders>
            <w:shd w:val="clear" w:color="auto" w:fill="auto"/>
            <w:vAlign w:val="center"/>
          </w:tcPr>
          <w:p w14:paraId="7FDF08BA" w14:textId="77777777" w:rsidR="00913A0A" w:rsidRPr="0058047D" w:rsidRDefault="00C86F50" w:rsidP="003D4F46">
            <w:pPr>
              <w:pStyle w:val="TableText"/>
              <w:widowControl w:val="0"/>
              <w:rPr>
                <w:b/>
                <w:color w:val="000000"/>
                <w:sz w:val="13"/>
                <w:szCs w:val="13"/>
                <w:u w:val="single"/>
              </w:rPr>
            </w:pPr>
            <w:hyperlink w:anchor="_67_Forefront_Unified" w:history="1">
              <w:r w:rsidR="00BF5FC6" w:rsidRPr="0058047D">
                <w:rPr>
                  <w:rStyle w:val="Hyperlink"/>
                  <w:b/>
                  <w:sz w:val="13"/>
                  <w:szCs w:val="13"/>
                </w:rPr>
                <w:t>66</w:t>
              </w:r>
            </w:hyperlink>
            <w:hyperlink w:anchor="Srv_52ForefrontUnifiedAccessGtwy2010" w:history="1"/>
          </w:p>
        </w:tc>
        <w:tc>
          <w:tcPr>
            <w:tcW w:w="516" w:type="dxa"/>
            <w:tcBorders>
              <w:bottom w:val="single" w:sz="4" w:space="0" w:color="auto"/>
            </w:tcBorders>
            <w:shd w:val="clear" w:color="auto" w:fill="auto"/>
          </w:tcPr>
          <w:p w14:paraId="2A5EC5FA"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01/10</w:t>
            </w:r>
          </w:p>
        </w:tc>
        <w:tc>
          <w:tcPr>
            <w:tcW w:w="358" w:type="dxa"/>
            <w:tcBorders>
              <w:bottom w:val="single" w:sz="4" w:space="0" w:color="auto"/>
              <w:right w:val="single" w:sz="18" w:space="0" w:color="auto"/>
            </w:tcBorders>
            <w:shd w:val="clear" w:color="auto" w:fill="auto"/>
            <w:vAlign w:val="center"/>
          </w:tcPr>
          <w:p w14:paraId="10DDCBC9"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auto"/>
            <w:vAlign w:val="center"/>
          </w:tcPr>
          <w:p w14:paraId="27DF87D5"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1</w:t>
            </w:r>
          </w:p>
        </w:tc>
        <w:tc>
          <w:tcPr>
            <w:tcW w:w="324" w:type="dxa"/>
            <w:tcBorders>
              <w:bottom w:val="single" w:sz="4" w:space="0" w:color="auto"/>
            </w:tcBorders>
            <w:shd w:val="clear" w:color="auto" w:fill="auto"/>
            <w:vAlign w:val="center"/>
          </w:tcPr>
          <w:p w14:paraId="456AB77E"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3</w:t>
            </w:r>
          </w:p>
        </w:tc>
        <w:tc>
          <w:tcPr>
            <w:tcW w:w="366" w:type="dxa"/>
            <w:tcBorders>
              <w:bottom w:val="single" w:sz="4" w:space="0" w:color="auto"/>
            </w:tcBorders>
            <w:shd w:val="clear" w:color="auto" w:fill="auto"/>
            <w:vAlign w:val="center"/>
          </w:tcPr>
          <w:p w14:paraId="2A0E30B2"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2</w:t>
            </w:r>
          </w:p>
        </w:tc>
        <w:tc>
          <w:tcPr>
            <w:tcW w:w="456" w:type="dxa"/>
            <w:gridSpan w:val="2"/>
            <w:tcBorders>
              <w:bottom w:val="single" w:sz="4" w:space="0" w:color="auto"/>
            </w:tcBorders>
            <w:shd w:val="clear" w:color="auto" w:fill="auto"/>
            <w:vAlign w:val="center"/>
          </w:tcPr>
          <w:p w14:paraId="7D6EE0EC"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2</w:t>
            </w:r>
          </w:p>
        </w:tc>
        <w:tc>
          <w:tcPr>
            <w:tcW w:w="450" w:type="dxa"/>
            <w:tcBorders>
              <w:bottom w:val="single" w:sz="4" w:space="0" w:color="auto"/>
            </w:tcBorders>
            <w:shd w:val="clear" w:color="auto" w:fill="auto"/>
            <w:vAlign w:val="center"/>
          </w:tcPr>
          <w:p w14:paraId="21B7A9C8"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2</w:t>
            </w:r>
          </w:p>
        </w:tc>
        <w:tc>
          <w:tcPr>
            <w:tcW w:w="450" w:type="dxa"/>
            <w:tcBorders>
              <w:bottom w:val="single" w:sz="4" w:space="0" w:color="auto"/>
            </w:tcBorders>
            <w:shd w:val="clear" w:color="auto" w:fill="auto"/>
            <w:vAlign w:val="center"/>
          </w:tcPr>
          <w:p w14:paraId="1DF934CD"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1</w:t>
            </w:r>
          </w:p>
        </w:tc>
        <w:tc>
          <w:tcPr>
            <w:tcW w:w="336" w:type="dxa"/>
            <w:tcBorders>
              <w:bottom w:val="single" w:sz="4" w:space="0" w:color="auto"/>
              <w:right w:val="single" w:sz="18" w:space="0" w:color="auto"/>
            </w:tcBorders>
            <w:shd w:val="clear" w:color="auto" w:fill="auto"/>
            <w:vAlign w:val="center"/>
          </w:tcPr>
          <w:p w14:paraId="7C6B5976"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1</w:t>
            </w:r>
          </w:p>
        </w:tc>
        <w:tc>
          <w:tcPr>
            <w:tcW w:w="477" w:type="dxa"/>
            <w:tcBorders>
              <w:left w:val="single" w:sz="18" w:space="0" w:color="auto"/>
              <w:bottom w:val="single" w:sz="4" w:space="0" w:color="auto"/>
            </w:tcBorders>
            <w:shd w:val="clear" w:color="auto" w:fill="auto"/>
            <w:vAlign w:val="center"/>
          </w:tcPr>
          <w:p w14:paraId="3D53FE86"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1</w:t>
            </w:r>
          </w:p>
        </w:tc>
        <w:tc>
          <w:tcPr>
            <w:tcW w:w="450" w:type="dxa"/>
            <w:tcBorders>
              <w:bottom w:val="single" w:sz="4" w:space="0" w:color="auto"/>
            </w:tcBorders>
            <w:shd w:val="clear" w:color="auto" w:fill="auto"/>
            <w:vAlign w:val="center"/>
          </w:tcPr>
          <w:p w14:paraId="5A5841DB"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2</w:t>
            </w:r>
          </w:p>
        </w:tc>
        <w:tc>
          <w:tcPr>
            <w:tcW w:w="414" w:type="dxa"/>
            <w:tcBorders>
              <w:bottom w:val="single" w:sz="4" w:space="0" w:color="auto"/>
              <w:right w:val="single" w:sz="18" w:space="0" w:color="auto"/>
            </w:tcBorders>
            <w:shd w:val="clear" w:color="auto" w:fill="auto"/>
            <w:vAlign w:val="center"/>
          </w:tcPr>
          <w:p w14:paraId="06E34CF9"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1</w:t>
            </w:r>
          </w:p>
        </w:tc>
        <w:tc>
          <w:tcPr>
            <w:tcW w:w="468" w:type="dxa"/>
            <w:tcBorders>
              <w:left w:val="single" w:sz="18" w:space="0" w:color="auto"/>
              <w:bottom w:val="single" w:sz="4" w:space="0" w:color="auto"/>
            </w:tcBorders>
            <w:shd w:val="clear" w:color="auto" w:fill="auto"/>
            <w:vAlign w:val="center"/>
          </w:tcPr>
          <w:p w14:paraId="590C9AD6"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1</w:t>
            </w:r>
          </w:p>
        </w:tc>
        <w:tc>
          <w:tcPr>
            <w:tcW w:w="477" w:type="dxa"/>
            <w:tcBorders>
              <w:bottom w:val="single" w:sz="4" w:space="0" w:color="auto"/>
              <w:right w:val="single" w:sz="18" w:space="0" w:color="auto"/>
            </w:tcBorders>
            <w:shd w:val="clear" w:color="auto" w:fill="auto"/>
            <w:vAlign w:val="center"/>
          </w:tcPr>
          <w:p w14:paraId="539CEE4A"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466E71F6"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auto"/>
          </w:tcPr>
          <w:p w14:paraId="1616C57C" w14:textId="77777777" w:rsidR="00913A0A" w:rsidRPr="0058047D" w:rsidRDefault="00913A0A" w:rsidP="001A63C6">
            <w:pPr>
              <w:pStyle w:val="TableText"/>
              <w:widowControl w:val="0"/>
              <w:spacing w:before="12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auto"/>
            <w:vAlign w:val="center"/>
          </w:tcPr>
          <w:p w14:paraId="02A2D4BB"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tcPr>
          <w:p w14:paraId="3BC7C3A1"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528591CF" w14:textId="77777777" w:rsidTr="00C86F50">
        <w:trPr>
          <w:trHeight w:val="145"/>
        </w:trPr>
        <w:tc>
          <w:tcPr>
            <w:tcW w:w="2619" w:type="dxa"/>
            <w:gridSpan w:val="2"/>
            <w:tcBorders>
              <w:bottom w:val="single" w:sz="4" w:space="0" w:color="auto"/>
            </w:tcBorders>
            <w:shd w:val="clear" w:color="auto" w:fill="FABF8F"/>
          </w:tcPr>
          <w:p w14:paraId="5BAA353E" w14:textId="77777777" w:rsidR="00913A0A" w:rsidRPr="0058047D" w:rsidRDefault="00913A0A" w:rsidP="001A63C6">
            <w:pPr>
              <w:pStyle w:val="ProductNames"/>
              <w:rPr>
                <w:rFonts w:ascii="Tahoma" w:hAnsi="Tahoma" w:cs="Tahoma"/>
                <w:sz w:val="14"/>
              </w:rPr>
            </w:pPr>
            <w:bookmarkStart w:id="237" w:name="_Toc336337983"/>
            <w:bookmarkStart w:id="238" w:name="_Toc371663383"/>
            <w:r w:rsidRPr="0058047D">
              <w:rPr>
                <w:rFonts w:ascii="Tahoma" w:hAnsi="Tahoma" w:cs="Tahoma"/>
                <w:sz w:val="14"/>
              </w:rPr>
              <w:t>External Connector per Forefront Unified Access Gateway 2010</w:t>
            </w:r>
            <w:bookmarkEnd w:id="237"/>
            <w:bookmarkEnd w:id="238"/>
          </w:p>
        </w:tc>
        <w:tc>
          <w:tcPr>
            <w:tcW w:w="554" w:type="dxa"/>
            <w:tcBorders>
              <w:bottom w:val="single" w:sz="4" w:space="0" w:color="auto"/>
            </w:tcBorders>
            <w:shd w:val="clear" w:color="auto" w:fill="FABF8F"/>
            <w:vAlign w:val="center"/>
          </w:tcPr>
          <w:p w14:paraId="2BC96FDB" w14:textId="77777777" w:rsidR="00913A0A" w:rsidRPr="0058047D" w:rsidRDefault="00C86F50" w:rsidP="003D4F46">
            <w:pPr>
              <w:pStyle w:val="TableText"/>
              <w:widowControl w:val="0"/>
              <w:rPr>
                <w:b/>
                <w:color w:val="000000"/>
                <w:sz w:val="13"/>
                <w:szCs w:val="13"/>
                <w:u w:val="single"/>
              </w:rPr>
            </w:pPr>
            <w:hyperlink w:anchor="_67_Forefront_Unified" w:history="1">
              <w:r w:rsidR="00BF5FC6" w:rsidRPr="0058047D">
                <w:rPr>
                  <w:rStyle w:val="Hyperlink"/>
                  <w:b/>
                  <w:sz w:val="13"/>
                  <w:szCs w:val="13"/>
                </w:rPr>
                <w:t>66</w:t>
              </w:r>
            </w:hyperlink>
            <w:hyperlink w:anchor="Srv_56ForefrontUnifiedAccessGtwy2010" w:history="1"/>
          </w:p>
        </w:tc>
        <w:tc>
          <w:tcPr>
            <w:tcW w:w="516" w:type="dxa"/>
            <w:tcBorders>
              <w:bottom w:val="single" w:sz="4" w:space="0" w:color="auto"/>
            </w:tcBorders>
            <w:shd w:val="clear" w:color="auto" w:fill="FABF8F"/>
          </w:tcPr>
          <w:p w14:paraId="69D4E059"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01/10</w:t>
            </w:r>
          </w:p>
        </w:tc>
        <w:tc>
          <w:tcPr>
            <w:tcW w:w="358" w:type="dxa"/>
            <w:tcBorders>
              <w:bottom w:val="single" w:sz="4" w:space="0" w:color="auto"/>
              <w:right w:val="single" w:sz="18" w:space="0" w:color="auto"/>
            </w:tcBorders>
            <w:shd w:val="clear" w:color="auto" w:fill="FABF8F"/>
            <w:vAlign w:val="center"/>
          </w:tcPr>
          <w:p w14:paraId="26AFB497"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center"/>
          </w:tcPr>
          <w:p w14:paraId="3DAFBACE"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200</w:t>
            </w:r>
          </w:p>
        </w:tc>
        <w:tc>
          <w:tcPr>
            <w:tcW w:w="324" w:type="dxa"/>
            <w:tcBorders>
              <w:bottom w:val="single" w:sz="4" w:space="0" w:color="auto"/>
            </w:tcBorders>
            <w:shd w:val="clear" w:color="auto" w:fill="FABF8F"/>
            <w:vAlign w:val="center"/>
          </w:tcPr>
          <w:p w14:paraId="199E4249"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500</w:t>
            </w:r>
          </w:p>
        </w:tc>
        <w:tc>
          <w:tcPr>
            <w:tcW w:w="366" w:type="dxa"/>
            <w:tcBorders>
              <w:bottom w:val="single" w:sz="4" w:space="0" w:color="auto"/>
            </w:tcBorders>
            <w:shd w:val="clear" w:color="auto" w:fill="FABF8F"/>
            <w:vAlign w:val="center"/>
          </w:tcPr>
          <w:p w14:paraId="6761AF00"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400</w:t>
            </w:r>
          </w:p>
        </w:tc>
        <w:tc>
          <w:tcPr>
            <w:tcW w:w="456" w:type="dxa"/>
            <w:gridSpan w:val="2"/>
            <w:tcBorders>
              <w:bottom w:val="single" w:sz="4" w:space="0" w:color="auto"/>
            </w:tcBorders>
            <w:shd w:val="clear" w:color="auto" w:fill="FABF8F"/>
            <w:vAlign w:val="center"/>
          </w:tcPr>
          <w:p w14:paraId="298393F4"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300</w:t>
            </w:r>
          </w:p>
        </w:tc>
        <w:tc>
          <w:tcPr>
            <w:tcW w:w="450" w:type="dxa"/>
            <w:tcBorders>
              <w:bottom w:val="single" w:sz="4" w:space="0" w:color="auto"/>
            </w:tcBorders>
            <w:shd w:val="clear" w:color="auto" w:fill="FABF8F"/>
            <w:vAlign w:val="center"/>
          </w:tcPr>
          <w:p w14:paraId="37CFC245"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300</w:t>
            </w:r>
          </w:p>
        </w:tc>
        <w:tc>
          <w:tcPr>
            <w:tcW w:w="450" w:type="dxa"/>
            <w:tcBorders>
              <w:bottom w:val="single" w:sz="4" w:space="0" w:color="auto"/>
            </w:tcBorders>
            <w:shd w:val="clear" w:color="auto" w:fill="FABF8F"/>
            <w:vAlign w:val="center"/>
          </w:tcPr>
          <w:p w14:paraId="385CA79C"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200</w:t>
            </w:r>
          </w:p>
        </w:tc>
        <w:tc>
          <w:tcPr>
            <w:tcW w:w="336" w:type="dxa"/>
            <w:tcBorders>
              <w:bottom w:val="single" w:sz="4" w:space="0" w:color="auto"/>
              <w:right w:val="single" w:sz="18" w:space="0" w:color="auto"/>
            </w:tcBorders>
            <w:shd w:val="clear" w:color="auto" w:fill="FABF8F"/>
            <w:vAlign w:val="center"/>
          </w:tcPr>
          <w:p w14:paraId="5596DDA4"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100</w:t>
            </w:r>
          </w:p>
        </w:tc>
        <w:tc>
          <w:tcPr>
            <w:tcW w:w="477" w:type="dxa"/>
            <w:tcBorders>
              <w:left w:val="single" w:sz="18" w:space="0" w:color="auto"/>
              <w:bottom w:val="single" w:sz="4" w:space="0" w:color="auto"/>
            </w:tcBorders>
            <w:shd w:val="clear" w:color="auto" w:fill="FABF8F"/>
            <w:vAlign w:val="center"/>
          </w:tcPr>
          <w:p w14:paraId="17C1D1D8"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200</w:t>
            </w:r>
          </w:p>
        </w:tc>
        <w:tc>
          <w:tcPr>
            <w:tcW w:w="450" w:type="dxa"/>
            <w:tcBorders>
              <w:bottom w:val="single" w:sz="4" w:space="0" w:color="auto"/>
            </w:tcBorders>
            <w:shd w:val="clear" w:color="auto" w:fill="FABF8F"/>
            <w:vAlign w:val="center"/>
          </w:tcPr>
          <w:p w14:paraId="019C0937"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400</w:t>
            </w:r>
          </w:p>
        </w:tc>
        <w:tc>
          <w:tcPr>
            <w:tcW w:w="414" w:type="dxa"/>
            <w:tcBorders>
              <w:bottom w:val="single" w:sz="4" w:space="0" w:color="auto"/>
              <w:right w:val="single" w:sz="18" w:space="0" w:color="auto"/>
            </w:tcBorders>
            <w:shd w:val="clear" w:color="auto" w:fill="FABF8F"/>
            <w:vAlign w:val="center"/>
          </w:tcPr>
          <w:p w14:paraId="5A1A29DE"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200</w:t>
            </w:r>
          </w:p>
        </w:tc>
        <w:tc>
          <w:tcPr>
            <w:tcW w:w="468" w:type="dxa"/>
            <w:tcBorders>
              <w:left w:val="single" w:sz="18" w:space="0" w:color="auto"/>
              <w:bottom w:val="single" w:sz="4" w:space="0" w:color="auto"/>
            </w:tcBorders>
            <w:shd w:val="clear" w:color="auto" w:fill="FABF8F"/>
            <w:vAlign w:val="center"/>
          </w:tcPr>
          <w:p w14:paraId="38C50DE8"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200</w:t>
            </w:r>
          </w:p>
        </w:tc>
        <w:tc>
          <w:tcPr>
            <w:tcW w:w="477" w:type="dxa"/>
            <w:tcBorders>
              <w:bottom w:val="single" w:sz="4" w:space="0" w:color="auto"/>
              <w:right w:val="single" w:sz="18" w:space="0" w:color="auto"/>
            </w:tcBorders>
            <w:shd w:val="clear" w:color="auto" w:fill="FABF8F"/>
            <w:vAlign w:val="center"/>
          </w:tcPr>
          <w:p w14:paraId="7AB33D91"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494DDE0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tcPr>
          <w:p w14:paraId="4B4BCA92" w14:textId="77777777" w:rsidR="00913A0A" w:rsidRPr="0058047D" w:rsidRDefault="00913A0A" w:rsidP="001A63C6">
            <w:pPr>
              <w:pStyle w:val="TableText"/>
              <w:widowControl w:val="0"/>
              <w:spacing w:before="12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FABF8F"/>
            <w:vAlign w:val="center"/>
          </w:tcPr>
          <w:p w14:paraId="35A731EF"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OL/OV</w:t>
            </w:r>
          </w:p>
        </w:tc>
        <w:tc>
          <w:tcPr>
            <w:tcW w:w="405" w:type="dxa"/>
            <w:tcBorders>
              <w:bottom w:val="single" w:sz="4" w:space="0" w:color="auto"/>
            </w:tcBorders>
            <w:shd w:val="clear" w:color="auto" w:fill="FABF8F"/>
          </w:tcPr>
          <w:p w14:paraId="6A337111"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108C1332" w14:textId="77777777" w:rsidTr="00C86F50">
        <w:trPr>
          <w:trHeight w:val="145"/>
        </w:trPr>
        <w:tc>
          <w:tcPr>
            <w:tcW w:w="2619" w:type="dxa"/>
            <w:gridSpan w:val="2"/>
            <w:tcBorders>
              <w:bottom w:val="single" w:sz="4" w:space="0" w:color="auto"/>
            </w:tcBorders>
            <w:shd w:val="clear" w:color="auto" w:fill="auto"/>
          </w:tcPr>
          <w:p w14:paraId="69379CF8" w14:textId="77777777" w:rsidR="00913A0A" w:rsidRPr="0058047D" w:rsidRDefault="00913A0A" w:rsidP="001A63C6">
            <w:pPr>
              <w:pStyle w:val="ProductNames"/>
              <w:rPr>
                <w:rFonts w:ascii="Tahoma" w:hAnsi="Tahoma" w:cs="Tahoma"/>
                <w:sz w:val="14"/>
              </w:rPr>
            </w:pPr>
            <w:bookmarkStart w:id="239" w:name="_Toc336337984"/>
            <w:bookmarkStart w:id="240" w:name="_Toc371663384"/>
            <w:r w:rsidRPr="0058047D">
              <w:rPr>
                <w:rFonts w:ascii="Tahoma" w:hAnsi="Tahoma" w:cs="Tahoma"/>
                <w:sz w:val="14"/>
              </w:rPr>
              <w:t>CAL per Forefront Unified Access Gateway 2010</w:t>
            </w:r>
            <w:bookmarkEnd w:id="239"/>
            <w:bookmarkEnd w:id="240"/>
            <w:r w:rsidRPr="0058047D">
              <w:rPr>
                <w:rFonts w:ascii="Tahoma" w:hAnsi="Tahoma" w:cs="Tahoma"/>
                <w:sz w:val="14"/>
              </w:rPr>
              <w:t xml:space="preserve"> </w:t>
            </w:r>
          </w:p>
        </w:tc>
        <w:tc>
          <w:tcPr>
            <w:tcW w:w="554" w:type="dxa"/>
            <w:tcBorders>
              <w:bottom w:val="single" w:sz="4" w:space="0" w:color="auto"/>
            </w:tcBorders>
            <w:shd w:val="clear" w:color="auto" w:fill="auto"/>
            <w:vAlign w:val="center"/>
          </w:tcPr>
          <w:p w14:paraId="158DD014" w14:textId="77777777" w:rsidR="00913A0A" w:rsidRPr="0058047D" w:rsidRDefault="00C86F50" w:rsidP="00793532">
            <w:pPr>
              <w:pStyle w:val="TableText"/>
              <w:widowControl w:val="0"/>
              <w:rPr>
                <w:b/>
                <w:color w:val="000000"/>
                <w:sz w:val="13"/>
                <w:szCs w:val="13"/>
                <w:u w:val="single"/>
              </w:rPr>
            </w:pPr>
            <w:hyperlink w:anchor="_67_Forefront_Unified" w:history="1">
              <w:r w:rsidR="00BF5FC6" w:rsidRPr="0058047D">
                <w:rPr>
                  <w:rStyle w:val="Hyperlink"/>
                  <w:b/>
                  <w:sz w:val="13"/>
                  <w:szCs w:val="13"/>
                </w:rPr>
                <w:t>66</w:t>
              </w:r>
            </w:hyperlink>
            <w:hyperlink w:anchor="Srv_52ForefrontUnifiedAccessGtwy2010" w:history="1"/>
          </w:p>
        </w:tc>
        <w:tc>
          <w:tcPr>
            <w:tcW w:w="516" w:type="dxa"/>
            <w:tcBorders>
              <w:bottom w:val="single" w:sz="4" w:space="0" w:color="auto"/>
            </w:tcBorders>
            <w:shd w:val="clear" w:color="auto" w:fill="auto"/>
          </w:tcPr>
          <w:p w14:paraId="7C745E03"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01/10</w:t>
            </w:r>
          </w:p>
        </w:tc>
        <w:tc>
          <w:tcPr>
            <w:tcW w:w="358" w:type="dxa"/>
            <w:tcBorders>
              <w:bottom w:val="single" w:sz="4" w:space="0" w:color="auto"/>
              <w:right w:val="single" w:sz="18" w:space="0" w:color="auto"/>
            </w:tcBorders>
            <w:shd w:val="clear" w:color="auto" w:fill="auto"/>
            <w:vAlign w:val="center"/>
          </w:tcPr>
          <w:p w14:paraId="174795A0"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auto"/>
            <w:vAlign w:val="center"/>
          </w:tcPr>
          <w:p w14:paraId="3043CA68"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1</w:t>
            </w:r>
          </w:p>
        </w:tc>
        <w:tc>
          <w:tcPr>
            <w:tcW w:w="324" w:type="dxa"/>
            <w:tcBorders>
              <w:bottom w:val="single" w:sz="4" w:space="0" w:color="auto"/>
            </w:tcBorders>
            <w:shd w:val="clear" w:color="auto" w:fill="auto"/>
            <w:vAlign w:val="center"/>
          </w:tcPr>
          <w:p w14:paraId="33B8C2DC"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3</w:t>
            </w:r>
          </w:p>
        </w:tc>
        <w:tc>
          <w:tcPr>
            <w:tcW w:w="366" w:type="dxa"/>
            <w:tcBorders>
              <w:bottom w:val="single" w:sz="4" w:space="0" w:color="auto"/>
            </w:tcBorders>
            <w:shd w:val="clear" w:color="auto" w:fill="auto"/>
            <w:vAlign w:val="center"/>
          </w:tcPr>
          <w:p w14:paraId="52184BE9"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2</w:t>
            </w:r>
          </w:p>
        </w:tc>
        <w:tc>
          <w:tcPr>
            <w:tcW w:w="456" w:type="dxa"/>
            <w:gridSpan w:val="2"/>
            <w:tcBorders>
              <w:bottom w:val="single" w:sz="4" w:space="0" w:color="auto"/>
            </w:tcBorders>
            <w:shd w:val="clear" w:color="auto" w:fill="auto"/>
            <w:vAlign w:val="center"/>
          </w:tcPr>
          <w:p w14:paraId="09250942"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2</w:t>
            </w:r>
          </w:p>
        </w:tc>
        <w:tc>
          <w:tcPr>
            <w:tcW w:w="450" w:type="dxa"/>
            <w:tcBorders>
              <w:bottom w:val="single" w:sz="4" w:space="0" w:color="auto"/>
            </w:tcBorders>
            <w:shd w:val="clear" w:color="auto" w:fill="auto"/>
            <w:vAlign w:val="center"/>
          </w:tcPr>
          <w:p w14:paraId="6CE0D3C2"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2</w:t>
            </w:r>
          </w:p>
        </w:tc>
        <w:tc>
          <w:tcPr>
            <w:tcW w:w="450" w:type="dxa"/>
            <w:tcBorders>
              <w:bottom w:val="single" w:sz="4" w:space="0" w:color="auto"/>
            </w:tcBorders>
            <w:shd w:val="clear" w:color="auto" w:fill="auto"/>
            <w:vAlign w:val="center"/>
          </w:tcPr>
          <w:p w14:paraId="0828AED1"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1</w:t>
            </w:r>
          </w:p>
        </w:tc>
        <w:tc>
          <w:tcPr>
            <w:tcW w:w="336" w:type="dxa"/>
            <w:tcBorders>
              <w:bottom w:val="single" w:sz="4" w:space="0" w:color="auto"/>
              <w:right w:val="single" w:sz="18" w:space="0" w:color="auto"/>
            </w:tcBorders>
            <w:shd w:val="clear" w:color="auto" w:fill="auto"/>
            <w:vAlign w:val="center"/>
          </w:tcPr>
          <w:p w14:paraId="1BC74CCA"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1</w:t>
            </w:r>
          </w:p>
        </w:tc>
        <w:tc>
          <w:tcPr>
            <w:tcW w:w="477" w:type="dxa"/>
            <w:tcBorders>
              <w:left w:val="single" w:sz="18" w:space="0" w:color="auto"/>
              <w:bottom w:val="single" w:sz="4" w:space="0" w:color="auto"/>
            </w:tcBorders>
            <w:shd w:val="clear" w:color="auto" w:fill="auto"/>
            <w:vAlign w:val="center"/>
          </w:tcPr>
          <w:p w14:paraId="47D99216"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1</w:t>
            </w:r>
          </w:p>
        </w:tc>
        <w:tc>
          <w:tcPr>
            <w:tcW w:w="450" w:type="dxa"/>
            <w:tcBorders>
              <w:bottom w:val="single" w:sz="4" w:space="0" w:color="auto"/>
            </w:tcBorders>
            <w:shd w:val="clear" w:color="auto" w:fill="auto"/>
            <w:vAlign w:val="center"/>
          </w:tcPr>
          <w:p w14:paraId="00C63262"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2</w:t>
            </w:r>
          </w:p>
        </w:tc>
        <w:tc>
          <w:tcPr>
            <w:tcW w:w="414" w:type="dxa"/>
            <w:tcBorders>
              <w:bottom w:val="single" w:sz="4" w:space="0" w:color="auto"/>
              <w:right w:val="single" w:sz="18" w:space="0" w:color="auto"/>
            </w:tcBorders>
            <w:shd w:val="clear" w:color="auto" w:fill="auto"/>
            <w:vAlign w:val="center"/>
          </w:tcPr>
          <w:p w14:paraId="4E878BA7"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1</w:t>
            </w:r>
          </w:p>
        </w:tc>
        <w:tc>
          <w:tcPr>
            <w:tcW w:w="468" w:type="dxa"/>
            <w:tcBorders>
              <w:left w:val="single" w:sz="18" w:space="0" w:color="auto"/>
              <w:bottom w:val="single" w:sz="4" w:space="0" w:color="auto"/>
            </w:tcBorders>
            <w:shd w:val="clear" w:color="auto" w:fill="auto"/>
            <w:vAlign w:val="center"/>
          </w:tcPr>
          <w:p w14:paraId="41056C65"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1</w:t>
            </w:r>
          </w:p>
        </w:tc>
        <w:tc>
          <w:tcPr>
            <w:tcW w:w="477" w:type="dxa"/>
            <w:tcBorders>
              <w:bottom w:val="single" w:sz="4" w:space="0" w:color="auto"/>
              <w:right w:val="single" w:sz="18" w:space="0" w:color="auto"/>
            </w:tcBorders>
            <w:shd w:val="clear" w:color="auto" w:fill="auto"/>
            <w:vAlign w:val="center"/>
          </w:tcPr>
          <w:p w14:paraId="081C451F"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3F94755A"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auto"/>
          </w:tcPr>
          <w:p w14:paraId="3D66D549" w14:textId="77777777" w:rsidR="00913A0A" w:rsidRPr="0058047D" w:rsidRDefault="00913A0A" w:rsidP="001A63C6">
            <w:pPr>
              <w:pStyle w:val="TableText"/>
              <w:widowControl w:val="0"/>
              <w:spacing w:before="120"/>
              <w:rPr>
                <w:rFonts w:ascii="Tahoma" w:hAnsi="Tahoma" w:cs="Tahoma"/>
                <w:sz w:val="13"/>
              </w:rPr>
            </w:pPr>
            <w:r w:rsidRPr="0058047D">
              <w:rPr>
                <w:rFonts w:ascii="Tahoma" w:hAnsi="Tahoma" w:cs="Tahoma"/>
                <w:sz w:val="13"/>
              </w:rPr>
              <w:t>AO, ST</w:t>
            </w:r>
          </w:p>
        </w:tc>
        <w:tc>
          <w:tcPr>
            <w:tcW w:w="504" w:type="dxa"/>
            <w:tcBorders>
              <w:bottom w:val="single" w:sz="4" w:space="0" w:color="auto"/>
            </w:tcBorders>
            <w:shd w:val="clear" w:color="auto" w:fill="auto"/>
            <w:vAlign w:val="center"/>
          </w:tcPr>
          <w:p w14:paraId="2D113853"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tcPr>
          <w:p w14:paraId="08AA83B9"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654ED230" w14:textId="77777777" w:rsidTr="00C86F50">
        <w:trPr>
          <w:trHeight w:val="145"/>
        </w:trPr>
        <w:tc>
          <w:tcPr>
            <w:tcW w:w="2619" w:type="dxa"/>
            <w:gridSpan w:val="2"/>
            <w:tcBorders>
              <w:bottom w:val="single" w:sz="4" w:space="0" w:color="auto"/>
            </w:tcBorders>
            <w:shd w:val="clear" w:color="auto" w:fill="FABF8F"/>
          </w:tcPr>
          <w:p w14:paraId="68C92779" w14:textId="77777777" w:rsidR="00913A0A" w:rsidRPr="003F471F" w:rsidRDefault="00913A0A" w:rsidP="001A63C6">
            <w:pPr>
              <w:pStyle w:val="ProductNames"/>
              <w:rPr>
                <w:rFonts w:ascii="Tahoma" w:hAnsi="Tahoma" w:cs="Tahoma"/>
                <w:sz w:val="14"/>
                <w:lang w:val="it-IT"/>
              </w:rPr>
            </w:pPr>
            <w:bookmarkStart w:id="241" w:name="_Toc336337985"/>
            <w:bookmarkStart w:id="242" w:name="_Toc371663385"/>
            <w:r w:rsidRPr="003F471F">
              <w:rPr>
                <w:rFonts w:ascii="Tahoma" w:hAnsi="Tahoma" w:cs="Tahoma"/>
                <w:sz w:val="14"/>
                <w:lang w:val="it-IT"/>
              </w:rPr>
              <w:t>Pacchetto di 10.000 CAL per Forefront Unified Access Gateway 2010</w:t>
            </w:r>
            <w:bookmarkEnd w:id="241"/>
            <w:bookmarkEnd w:id="242"/>
          </w:p>
        </w:tc>
        <w:tc>
          <w:tcPr>
            <w:tcW w:w="554" w:type="dxa"/>
            <w:tcBorders>
              <w:bottom w:val="single" w:sz="4" w:space="0" w:color="auto"/>
            </w:tcBorders>
            <w:shd w:val="clear" w:color="auto" w:fill="FABF8F"/>
            <w:vAlign w:val="center"/>
          </w:tcPr>
          <w:p w14:paraId="07FC43A6" w14:textId="77777777" w:rsidR="00913A0A" w:rsidRPr="0058047D" w:rsidRDefault="00C86F50" w:rsidP="00793532">
            <w:pPr>
              <w:pStyle w:val="TableText"/>
              <w:widowControl w:val="0"/>
              <w:rPr>
                <w:b/>
                <w:color w:val="000000"/>
                <w:sz w:val="13"/>
                <w:szCs w:val="13"/>
                <w:u w:val="single"/>
              </w:rPr>
            </w:pPr>
            <w:hyperlink w:anchor="_67_Forefront_Unified" w:history="1">
              <w:r w:rsidR="00BF5FC6" w:rsidRPr="0058047D">
                <w:rPr>
                  <w:rStyle w:val="Hyperlink"/>
                  <w:b/>
                  <w:sz w:val="13"/>
                  <w:szCs w:val="13"/>
                </w:rPr>
                <w:t>66</w:t>
              </w:r>
            </w:hyperlink>
            <w:hyperlink w:anchor="Srv_52ForefrontUnifiedAccessGtwy2010" w:history="1"/>
          </w:p>
        </w:tc>
        <w:tc>
          <w:tcPr>
            <w:tcW w:w="516" w:type="dxa"/>
            <w:tcBorders>
              <w:bottom w:val="single" w:sz="4" w:space="0" w:color="auto"/>
            </w:tcBorders>
            <w:shd w:val="clear" w:color="auto" w:fill="FABF8F"/>
          </w:tcPr>
          <w:p w14:paraId="73BBDFFD"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01/10</w:t>
            </w:r>
          </w:p>
        </w:tc>
        <w:tc>
          <w:tcPr>
            <w:tcW w:w="358" w:type="dxa"/>
            <w:tcBorders>
              <w:bottom w:val="single" w:sz="4" w:space="0" w:color="auto"/>
              <w:right w:val="single" w:sz="18" w:space="0" w:color="auto"/>
            </w:tcBorders>
            <w:shd w:val="clear" w:color="auto" w:fill="FABF8F"/>
            <w:vAlign w:val="center"/>
          </w:tcPr>
          <w:p w14:paraId="098CDEF4"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center"/>
          </w:tcPr>
          <w:p w14:paraId="7C51FBCC"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200</w:t>
            </w:r>
          </w:p>
        </w:tc>
        <w:tc>
          <w:tcPr>
            <w:tcW w:w="324" w:type="dxa"/>
            <w:tcBorders>
              <w:bottom w:val="single" w:sz="4" w:space="0" w:color="auto"/>
            </w:tcBorders>
            <w:shd w:val="clear" w:color="auto" w:fill="FABF8F"/>
            <w:vAlign w:val="center"/>
          </w:tcPr>
          <w:p w14:paraId="7035B40C"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500</w:t>
            </w:r>
          </w:p>
        </w:tc>
        <w:tc>
          <w:tcPr>
            <w:tcW w:w="366" w:type="dxa"/>
            <w:tcBorders>
              <w:bottom w:val="single" w:sz="4" w:space="0" w:color="auto"/>
            </w:tcBorders>
            <w:shd w:val="clear" w:color="auto" w:fill="FABF8F"/>
            <w:vAlign w:val="center"/>
          </w:tcPr>
          <w:p w14:paraId="574922C6"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400</w:t>
            </w:r>
          </w:p>
        </w:tc>
        <w:tc>
          <w:tcPr>
            <w:tcW w:w="456" w:type="dxa"/>
            <w:gridSpan w:val="2"/>
            <w:tcBorders>
              <w:bottom w:val="single" w:sz="4" w:space="0" w:color="auto"/>
            </w:tcBorders>
            <w:shd w:val="clear" w:color="auto" w:fill="FABF8F"/>
            <w:vAlign w:val="center"/>
          </w:tcPr>
          <w:p w14:paraId="2BC7EDDB"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300</w:t>
            </w:r>
          </w:p>
        </w:tc>
        <w:tc>
          <w:tcPr>
            <w:tcW w:w="450" w:type="dxa"/>
            <w:tcBorders>
              <w:bottom w:val="single" w:sz="4" w:space="0" w:color="auto"/>
            </w:tcBorders>
            <w:shd w:val="clear" w:color="auto" w:fill="FABF8F"/>
            <w:vAlign w:val="center"/>
          </w:tcPr>
          <w:p w14:paraId="2FFCC1ED"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300</w:t>
            </w:r>
          </w:p>
        </w:tc>
        <w:tc>
          <w:tcPr>
            <w:tcW w:w="450" w:type="dxa"/>
            <w:tcBorders>
              <w:bottom w:val="single" w:sz="4" w:space="0" w:color="auto"/>
            </w:tcBorders>
            <w:shd w:val="clear" w:color="auto" w:fill="FABF8F"/>
            <w:vAlign w:val="center"/>
          </w:tcPr>
          <w:p w14:paraId="0EA872FF"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200</w:t>
            </w:r>
          </w:p>
        </w:tc>
        <w:tc>
          <w:tcPr>
            <w:tcW w:w="336" w:type="dxa"/>
            <w:tcBorders>
              <w:bottom w:val="single" w:sz="4" w:space="0" w:color="auto"/>
              <w:right w:val="single" w:sz="18" w:space="0" w:color="auto"/>
            </w:tcBorders>
            <w:shd w:val="clear" w:color="auto" w:fill="FABF8F"/>
            <w:vAlign w:val="center"/>
          </w:tcPr>
          <w:p w14:paraId="6F506891"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100</w:t>
            </w:r>
          </w:p>
        </w:tc>
        <w:tc>
          <w:tcPr>
            <w:tcW w:w="477" w:type="dxa"/>
            <w:tcBorders>
              <w:left w:val="single" w:sz="18" w:space="0" w:color="auto"/>
              <w:bottom w:val="single" w:sz="4" w:space="0" w:color="auto"/>
            </w:tcBorders>
            <w:shd w:val="clear" w:color="auto" w:fill="FABF8F"/>
            <w:vAlign w:val="center"/>
          </w:tcPr>
          <w:p w14:paraId="7AC86AE6"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5B9ECDE" w14:textId="77777777" w:rsidR="00913A0A" w:rsidRPr="0058047D" w:rsidRDefault="00913A0A" w:rsidP="001A63C6">
            <w:pPr>
              <w:pStyle w:val="TableText"/>
              <w:widowControl w:val="0"/>
              <w:rPr>
                <w:rFonts w:ascii="Tahoma" w:hAnsi="Tahoma" w:cs="Tahoma"/>
                <w:color w:val="000000"/>
                <w:sz w:val="13"/>
              </w:rPr>
            </w:pPr>
          </w:p>
        </w:tc>
        <w:tc>
          <w:tcPr>
            <w:tcW w:w="414" w:type="dxa"/>
            <w:tcBorders>
              <w:bottom w:val="single" w:sz="4" w:space="0" w:color="auto"/>
              <w:right w:val="single" w:sz="18" w:space="0" w:color="auto"/>
            </w:tcBorders>
            <w:shd w:val="clear" w:color="auto" w:fill="FABF8F"/>
            <w:vAlign w:val="center"/>
          </w:tcPr>
          <w:p w14:paraId="78C0EF77" w14:textId="77777777" w:rsidR="00913A0A" w:rsidRPr="0058047D" w:rsidRDefault="00913A0A" w:rsidP="001A63C6">
            <w:pPr>
              <w:pStyle w:val="TableText"/>
              <w:widowControl w:val="0"/>
              <w:rPr>
                <w:rFonts w:ascii="Tahoma" w:hAnsi="Tahoma" w:cs="Tahoma"/>
                <w:color w:val="000000"/>
                <w:sz w:val="13"/>
              </w:rPr>
            </w:pPr>
          </w:p>
        </w:tc>
        <w:tc>
          <w:tcPr>
            <w:tcW w:w="468" w:type="dxa"/>
            <w:tcBorders>
              <w:left w:val="single" w:sz="18" w:space="0" w:color="auto"/>
              <w:bottom w:val="single" w:sz="4" w:space="0" w:color="auto"/>
            </w:tcBorders>
            <w:shd w:val="clear" w:color="auto" w:fill="FABF8F"/>
            <w:vAlign w:val="center"/>
          </w:tcPr>
          <w:p w14:paraId="1CAF9AF3" w14:textId="77777777" w:rsidR="00913A0A" w:rsidRPr="0058047D" w:rsidRDefault="00913A0A" w:rsidP="001A63C6">
            <w:pPr>
              <w:pStyle w:val="TableText"/>
              <w:widowControl w:val="0"/>
              <w:rPr>
                <w:rFonts w:ascii="Tahoma" w:hAnsi="Tahoma" w:cs="Tahoma"/>
                <w:color w:val="000000"/>
                <w:sz w:val="13"/>
              </w:rPr>
            </w:pPr>
          </w:p>
        </w:tc>
        <w:tc>
          <w:tcPr>
            <w:tcW w:w="477" w:type="dxa"/>
            <w:tcBorders>
              <w:bottom w:val="single" w:sz="4" w:space="0" w:color="auto"/>
              <w:right w:val="single" w:sz="18" w:space="0" w:color="auto"/>
            </w:tcBorders>
            <w:shd w:val="clear" w:color="auto" w:fill="FABF8F"/>
            <w:vAlign w:val="center"/>
          </w:tcPr>
          <w:p w14:paraId="17D8135A"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576B2A94"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454D4329" w14:textId="77777777" w:rsidR="00913A0A" w:rsidRPr="0058047D"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FABF8F"/>
            <w:vAlign w:val="center"/>
          </w:tcPr>
          <w:p w14:paraId="40165C1A"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34D833FA"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633FEDD8" w14:textId="77777777" w:rsidTr="00C86F50">
        <w:trPr>
          <w:trHeight w:val="145"/>
        </w:trPr>
        <w:tc>
          <w:tcPr>
            <w:tcW w:w="2619" w:type="dxa"/>
            <w:gridSpan w:val="2"/>
            <w:tcBorders>
              <w:bottom w:val="single" w:sz="4" w:space="0" w:color="auto"/>
            </w:tcBorders>
            <w:shd w:val="clear" w:color="auto" w:fill="auto"/>
          </w:tcPr>
          <w:p w14:paraId="1BE26982" w14:textId="77777777" w:rsidR="00913A0A" w:rsidRPr="0058047D" w:rsidRDefault="00913A0A" w:rsidP="001A63C6">
            <w:pPr>
              <w:pStyle w:val="ProductNames"/>
              <w:rPr>
                <w:rFonts w:ascii="Tahoma" w:hAnsi="Tahoma" w:cs="Tahoma"/>
                <w:sz w:val="14"/>
              </w:rPr>
            </w:pPr>
            <w:bookmarkStart w:id="243" w:name="_Toc336337990"/>
            <w:bookmarkStart w:id="244" w:name="_Toc371663386"/>
            <w:r w:rsidRPr="0058047D">
              <w:rPr>
                <w:rFonts w:ascii="Tahoma" w:hAnsi="Tahoma" w:cs="Tahoma"/>
                <w:sz w:val="14"/>
              </w:rPr>
              <w:t>HPC Pack 2008 R2 Enterprise</w:t>
            </w:r>
            <w:bookmarkEnd w:id="243"/>
            <w:bookmarkEnd w:id="244"/>
          </w:p>
        </w:tc>
        <w:tc>
          <w:tcPr>
            <w:tcW w:w="554" w:type="dxa"/>
            <w:tcBorders>
              <w:bottom w:val="single" w:sz="4" w:space="0" w:color="auto"/>
            </w:tcBorders>
            <w:shd w:val="clear" w:color="auto" w:fill="auto"/>
            <w:vAlign w:val="center"/>
          </w:tcPr>
          <w:p w14:paraId="57F6738C" w14:textId="77777777" w:rsidR="00913A0A" w:rsidRPr="0058047D" w:rsidRDefault="00C86F50" w:rsidP="00793532">
            <w:pPr>
              <w:pStyle w:val="TableText"/>
              <w:widowControl w:val="0"/>
              <w:rPr>
                <w:rStyle w:val="EndnoteReference"/>
                <w:rFonts w:cs="Tahoma"/>
                <w:color w:val="000000"/>
                <w:position w:val="-11"/>
                <w:sz w:val="13"/>
                <w:szCs w:val="13"/>
                <w:u w:val="single"/>
              </w:rPr>
            </w:pPr>
            <w:hyperlink w:anchor="_67_HPC_Pack" w:history="1">
              <w:hyperlink w:anchor="_51_High_Performance" w:history="1">
                <w:r w:rsidR="00BF5FC6" w:rsidRPr="002B4E2B">
                  <w:rPr>
                    <w:rStyle w:val="Hyperlink"/>
                    <w:b/>
                    <w:sz w:val="13"/>
                    <w:szCs w:val="13"/>
                  </w:rPr>
                  <w:t>6</w:t>
                </w:r>
              </w:hyperlink>
              <w:r w:rsidR="00BF5FC6" w:rsidRPr="002B4E2B">
                <w:rPr>
                  <w:rStyle w:val="Hyperlink"/>
                  <w:b/>
                  <w:sz w:val="13"/>
                  <w:szCs w:val="13"/>
                </w:rPr>
                <w:t>7</w:t>
              </w:r>
            </w:hyperlink>
            <w:hyperlink w:anchor="Srv_54HighPerfComputingPack" w:history="1"/>
          </w:p>
        </w:tc>
        <w:tc>
          <w:tcPr>
            <w:tcW w:w="516" w:type="dxa"/>
            <w:tcBorders>
              <w:bottom w:val="single" w:sz="4" w:space="0" w:color="auto"/>
            </w:tcBorders>
            <w:shd w:val="clear" w:color="auto" w:fill="auto"/>
          </w:tcPr>
          <w:p w14:paraId="24BB9B1A"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09/10</w:t>
            </w:r>
          </w:p>
        </w:tc>
        <w:tc>
          <w:tcPr>
            <w:tcW w:w="358" w:type="dxa"/>
            <w:tcBorders>
              <w:bottom w:val="single" w:sz="4" w:space="0" w:color="auto"/>
              <w:right w:val="single" w:sz="18" w:space="0" w:color="auto"/>
            </w:tcBorders>
            <w:shd w:val="clear" w:color="auto" w:fill="auto"/>
            <w:vAlign w:val="center"/>
          </w:tcPr>
          <w:p w14:paraId="4C39F4B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666EA44A" w14:textId="77777777" w:rsidR="00913A0A" w:rsidRPr="0058047D" w:rsidRDefault="00913A0A" w:rsidP="001A63C6">
            <w:pPr>
              <w:pStyle w:val="TableText"/>
              <w:widowControl w:val="0"/>
              <w:rPr>
                <w:rFonts w:ascii="Tahoma" w:hAnsi="Tahoma" w:cs="Tahoma"/>
                <w:color w:val="000000"/>
                <w:sz w:val="13"/>
              </w:rPr>
            </w:pPr>
          </w:p>
        </w:tc>
        <w:tc>
          <w:tcPr>
            <w:tcW w:w="324" w:type="dxa"/>
            <w:tcBorders>
              <w:bottom w:val="single" w:sz="4" w:space="0" w:color="auto"/>
            </w:tcBorders>
            <w:shd w:val="clear" w:color="auto" w:fill="auto"/>
            <w:vAlign w:val="center"/>
          </w:tcPr>
          <w:p w14:paraId="3DA19C79" w14:textId="77777777" w:rsidR="00913A0A" w:rsidRPr="0058047D" w:rsidRDefault="00913A0A" w:rsidP="001A63C6">
            <w:pPr>
              <w:pStyle w:val="TableText"/>
              <w:widowControl w:val="0"/>
              <w:rPr>
                <w:rFonts w:ascii="Tahoma" w:hAnsi="Tahoma" w:cs="Tahoma"/>
                <w:color w:val="000000"/>
                <w:sz w:val="13"/>
              </w:rPr>
            </w:pPr>
          </w:p>
        </w:tc>
        <w:tc>
          <w:tcPr>
            <w:tcW w:w="366" w:type="dxa"/>
            <w:tcBorders>
              <w:bottom w:val="single" w:sz="4" w:space="0" w:color="auto"/>
            </w:tcBorders>
            <w:shd w:val="clear" w:color="auto" w:fill="auto"/>
            <w:vAlign w:val="center"/>
          </w:tcPr>
          <w:p w14:paraId="7BFCB5E1" w14:textId="77777777" w:rsidR="00913A0A" w:rsidRPr="0058047D" w:rsidRDefault="00913A0A" w:rsidP="001A63C6">
            <w:pPr>
              <w:pStyle w:val="TableText"/>
              <w:widowControl w:val="0"/>
              <w:rPr>
                <w:rFonts w:ascii="Tahoma" w:hAnsi="Tahoma" w:cs="Tahoma"/>
                <w:color w:val="000000"/>
                <w:sz w:val="13"/>
              </w:rPr>
            </w:pPr>
          </w:p>
        </w:tc>
        <w:tc>
          <w:tcPr>
            <w:tcW w:w="456" w:type="dxa"/>
            <w:gridSpan w:val="2"/>
            <w:tcBorders>
              <w:bottom w:val="single" w:sz="4" w:space="0" w:color="auto"/>
            </w:tcBorders>
            <w:shd w:val="clear" w:color="auto" w:fill="auto"/>
            <w:vAlign w:val="center"/>
          </w:tcPr>
          <w:p w14:paraId="28DA7678"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FFFABA3"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E688872" w14:textId="77777777" w:rsidR="00913A0A" w:rsidRPr="0058047D" w:rsidRDefault="00913A0A" w:rsidP="001A63C6">
            <w:pPr>
              <w:pStyle w:val="TableText"/>
              <w:widowControl w:val="0"/>
              <w:rPr>
                <w:rFonts w:ascii="Tahoma" w:hAnsi="Tahoma" w:cs="Tahoma"/>
                <w:color w:val="000000"/>
                <w:sz w:val="13"/>
              </w:rPr>
            </w:pPr>
          </w:p>
        </w:tc>
        <w:tc>
          <w:tcPr>
            <w:tcW w:w="336" w:type="dxa"/>
            <w:tcBorders>
              <w:bottom w:val="single" w:sz="4" w:space="0" w:color="auto"/>
              <w:right w:val="single" w:sz="18" w:space="0" w:color="auto"/>
            </w:tcBorders>
            <w:shd w:val="clear" w:color="auto" w:fill="auto"/>
            <w:vAlign w:val="center"/>
          </w:tcPr>
          <w:p w14:paraId="3B475D66" w14:textId="77777777" w:rsidR="00913A0A" w:rsidRPr="0058047D" w:rsidRDefault="00913A0A" w:rsidP="001A63C6">
            <w:pPr>
              <w:pStyle w:val="TableText"/>
              <w:widowControl w:val="0"/>
              <w:rPr>
                <w:rFonts w:ascii="Tahoma" w:hAnsi="Tahoma" w:cs="Tahoma"/>
                <w:color w:val="000000"/>
                <w:sz w:val="13"/>
              </w:rPr>
            </w:pPr>
          </w:p>
        </w:tc>
        <w:tc>
          <w:tcPr>
            <w:tcW w:w="477" w:type="dxa"/>
            <w:tcBorders>
              <w:left w:val="single" w:sz="18" w:space="0" w:color="auto"/>
              <w:bottom w:val="single" w:sz="4" w:space="0" w:color="auto"/>
            </w:tcBorders>
            <w:shd w:val="clear" w:color="auto" w:fill="auto"/>
            <w:vAlign w:val="center"/>
          </w:tcPr>
          <w:p w14:paraId="3BD6DFC2"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3D52D6D1" w14:textId="77777777" w:rsidR="00913A0A" w:rsidRPr="0058047D" w:rsidRDefault="00913A0A" w:rsidP="001A63C6">
            <w:pPr>
              <w:pStyle w:val="TableText"/>
              <w:widowControl w:val="0"/>
              <w:rPr>
                <w:rFonts w:ascii="Tahoma" w:hAnsi="Tahoma" w:cs="Tahoma"/>
                <w:color w:val="000000"/>
                <w:sz w:val="13"/>
              </w:rPr>
            </w:pPr>
          </w:p>
        </w:tc>
        <w:tc>
          <w:tcPr>
            <w:tcW w:w="414" w:type="dxa"/>
            <w:tcBorders>
              <w:bottom w:val="single" w:sz="4" w:space="0" w:color="auto"/>
              <w:right w:val="single" w:sz="18" w:space="0" w:color="auto"/>
            </w:tcBorders>
            <w:shd w:val="clear" w:color="auto" w:fill="auto"/>
            <w:vAlign w:val="center"/>
          </w:tcPr>
          <w:p w14:paraId="2E07D263" w14:textId="77777777" w:rsidR="00913A0A" w:rsidRPr="0058047D" w:rsidRDefault="00913A0A" w:rsidP="001A63C6">
            <w:pPr>
              <w:pStyle w:val="TableText"/>
              <w:widowControl w:val="0"/>
              <w:rPr>
                <w:rFonts w:ascii="Tahoma" w:hAnsi="Tahoma" w:cs="Tahoma"/>
                <w:color w:val="000000"/>
                <w:sz w:val="13"/>
              </w:rPr>
            </w:pPr>
          </w:p>
        </w:tc>
        <w:tc>
          <w:tcPr>
            <w:tcW w:w="468" w:type="dxa"/>
            <w:tcBorders>
              <w:left w:val="single" w:sz="18" w:space="0" w:color="auto"/>
              <w:bottom w:val="single" w:sz="4" w:space="0" w:color="auto"/>
            </w:tcBorders>
            <w:shd w:val="clear" w:color="auto" w:fill="auto"/>
            <w:vAlign w:val="center"/>
          </w:tcPr>
          <w:p w14:paraId="7D1EFE39" w14:textId="77777777" w:rsidR="00913A0A" w:rsidRPr="0058047D" w:rsidRDefault="00913A0A" w:rsidP="001A63C6">
            <w:pPr>
              <w:pStyle w:val="TableText"/>
              <w:widowControl w:val="0"/>
              <w:rPr>
                <w:rFonts w:ascii="Tahoma" w:hAnsi="Tahoma" w:cs="Tahoma"/>
                <w:color w:val="000000"/>
                <w:sz w:val="13"/>
              </w:rPr>
            </w:pPr>
          </w:p>
        </w:tc>
        <w:tc>
          <w:tcPr>
            <w:tcW w:w="477" w:type="dxa"/>
            <w:tcBorders>
              <w:bottom w:val="single" w:sz="4" w:space="0" w:color="auto"/>
              <w:right w:val="single" w:sz="18" w:space="0" w:color="auto"/>
            </w:tcBorders>
            <w:shd w:val="clear" w:color="auto" w:fill="auto"/>
            <w:vAlign w:val="center"/>
          </w:tcPr>
          <w:p w14:paraId="290BBDE1" w14:textId="77777777" w:rsidR="00913A0A" w:rsidRPr="0058047D" w:rsidRDefault="00913A0A" w:rsidP="001A63C6">
            <w:pPr>
              <w:pStyle w:val="TableText"/>
              <w:widowControl w:val="0"/>
              <w:rPr>
                <w:rFonts w:ascii="Tahoma" w:hAnsi="Tahoma" w:cs="Tahoma"/>
                <w:color w:val="000000"/>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42802D3E"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tcPr>
          <w:p w14:paraId="4A546875" w14:textId="77777777" w:rsidR="00913A0A" w:rsidRPr="0058047D"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auto"/>
            <w:vAlign w:val="center"/>
          </w:tcPr>
          <w:p w14:paraId="23382E8A"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tcPr>
          <w:p w14:paraId="3D5E3C66" w14:textId="77777777" w:rsidR="00913A0A" w:rsidRPr="0058047D" w:rsidRDefault="00913A0A" w:rsidP="001A63C6">
            <w:pPr>
              <w:pStyle w:val="TableText"/>
              <w:widowControl w:val="0"/>
              <w:rPr>
                <w:rFonts w:ascii="Tahoma" w:hAnsi="Tahoma" w:cs="Tahoma"/>
                <w:sz w:val="13"/>
              </w:rPr>
            </w:pPr>
          </w:p>
        </w:tc>
      </w:tr>
      <w:tr w:rsidR="009323A0" w:rsidRPr="0058047D" w14:paraId="74DC2E4A" w14:textId="77777777" w:rsidTr="00C86F50">
        <w:trPr>
          <w:trHeight w:val="145"/>
        </w:trPr>
        <w:tc>
          <w:tcPr>
            <w:tcW w:w="2619" w:type="dxa"/>
            <w:gridSpan w:val="2"/>
            <w:tcBorders>
              <w:bottom w:val="single" w:sz="4" w:space="0" w:color="auto"/>
            </w:tcBorders>
            <w:shd w:val="clear" w:color="auto" w:fill="FABF8F"/>
          </w:tcPr>
          <w:p w14:paraId="26945AAD" w14:textId="77777777" w:rsidR="00913A0A" w:rsidRPr="0058047D" w:rsidRDefault="00913A0A" w:rsidP="001A63C6">
            <w:pPr>
              <w:pStyle w:val="ProductNames"/>
              <w:rPr>
                <w:rFonts w:ascii="Tahoma" w:hAnsi="Tahoma" w:cs="Tahoma"/>
                <w:sz w:val="14"/>
              </w:rPr>
            </w:pPr>
            <w:bookmarkStart w:id="245" w:name="_Toc336337991"/>
            <w:bookmarkStart w:id="246" w:name="_Toc371663387"/>
            <w:r w:rsidRPr="0058047D">
              <w:rPr>
                <w:rFonts w:ascii="Tahoma" w:hAnsi="Tahoma" w:cs="Tahoma"/>
                <w:sz w:val="14"/>
              </w:rPr>
              <w:t>HPC Pack 2008 R2 per Workstation</w:t>
            </w:r>
            <w:bookmarkEnd w:id="245"/>
            <w:bookmarkEnd w:id="246"/>
          </w:p>
        </w:tc>
        <w:tc>
          <w:tcPr>
            <w:tcW w:w="554" w:type="dxa"/>
            <w:tcBorders>
              <w:bottom w:val="single" w:sz="4" w:space="0" w:color="auto"/>
            </w:tcBorders>
            <w:shd w:val="clear" w:color="auto" w:fill="FABF8F"/>
            <w:vAlign w:val="center"/>
          </w:tcPr>
          <w:p w14:paraId="24676535" w14:textId="77777777" w:rsidR="00913A0A" w:rsidRPr="0058047D" w:rsidRDefault="00C86F50" w:rsidP="00793532">
            <w:pPr>
              <w:pStyle w:val="TableText"/>
              <w:widowControl w:val="0"/>
              <w:rPr>
                <w:rStyle w:val="EndnoteReference"/>
                <w:rFonts w:cs="Tahoma"/>
                <w:b w:val="0"/>
                <w:color w:val="000000"/>
                <w:sz w:val="13"/>
                <w:szCs w:val="13"/>
                <w:u w:val="single"/>
              </w:rPr>
            </w:pPr>
            <w:hyperlink w:anchor="_67_HPC_Pack" w:history="1">
              <w:hyperlink w:anchor="_51_High_Performance" w:history="1">
                <w:r w:rsidR="002B4E2B" w:rsidRPr="002B4E2B">
                  <w:rPr>
                    <w:rStyle w:val="Hyperlink"/>
                    <w:b/>
                    <w:sz w:val="13"/>
                    <w:szCs w:val="13"/>
                  </w:rPr>
                  <w:t>6</w:t>
                </w:r>
              </w:hyperlink>
              <w:r w:rsidR="002B4E2B" w:rsidRPr="002B4E2B">
                <w:rPr>
                  <w:rStyle w:val="Hyperlink"/>
                  <w:b/>
                  <w:sz w:val="13"/>
                  <w:szCs w:val="13"/>
                </w:rPr>
                <w:t>7</w:t>
              </w:r>
            </w:hyperlink>
          </w:p>
        </w:tc>
        <w:tc>
          <w:tcPr>
            <w:tcW w:w="516" w:type="dxa"/>
            <w:tcBorders>
              <w:bottom w:val="single" w:sz="4" w:space="0" w:color="auto"/>
            </w:tcBorders>
            <w:shd w:val="clear" w:color="auto" w:fill="FABF8F"/>
          </w:tcPr>
          <w:p w14:paraId="2DA26B3C"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09/10</w:t>
            </w:r>
          </w:p>
        </w:tc>
        <w:tc>
          <w:tcPr>
            <w:tcW w:w="358" w:type="dxa"/>
            <w:tcBorders>
              <w:bottom w:val="single" w:sz="4" w:space="0" w:color="auto"/>
              <w:right w:val="single" w:sz="18" w:space="0" w:color="auto"/>
            </w:tcBorders>
            <w:shd w:val="clear" w:color="auto" w:fill="FABF8F"/>
            <w:vAlign w:val="center"/>
          </w:tcPr>
          <w:p w14:paraId="4AF8B37D"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center"/>
          </w:tcPr>
          <w:p w14:paraId="420AA252" w14:textId="77777777" w:rsidR="00913A0A" w:rsidRPr="0058047D" w:rsidRDefault="00913A0A" w:rsidP="001A63C6">
            <w:pPr>
              <w:pStyle w:val="TableText"/>
              <w:widowControl w:val="0"/>
              <w:rPr>
                <w:rFonts w:ascii="Tahoma" w:hAnsi="Tahoma" w:cs="Tahoma"/>
                <w:color w:val="000000"/>
                <w:sz w:val="13"/>
              </w:rPr>
            </w:pPr>
          </w:p>
        </w:tc>
        <w:tc>
          <w:tcPr>
            <w:tcW w:w="324" w:type="dxa"/>
            <w:tcBorders>
              <w:bottom w:val="single" w:sz="4" w:space="0" w:color="auto"/>
            </w:tcBorders>
            <w:shd w:val="clear" w:color="auto" w:fill="FABF8F"/>
            <w:vAlign w:val="center"/>
          </w:tcPr>
          <w:p w14:paraId="2D01EA73" w14:textId="77777777" w:rsidR="00913A0A" w:rsidRPr="0058047D" w:rsidRDefault="00913A0A" w:rsidP="001A63C6">
            <w:pPr>
              <w:pStyle w:val="TableText"/>
              <w:widowControl w:val="0"/>
              <w:rPr>
                <w:rFonts w:ascii="Tahoma" w:hAnsi="Tahoma" w:cs="Tahoma"/>
                <w:color w:val="000000"/>
                <w:sz w:val="13"/>
              </w:rPr>
            </w:pPr>
          </w:p>
        </w:tc>
        <w:tc>
          <w:tcPr>
            <w:tcW w:w="366" w:type="dxa"/>
            <w:tcBorders>
              <w:bottom w:val="single" w:sz="4" w:space="0" w:color="auto"/>
            </w:tcBorders>
            <w:shd w:val="clear" w:color="auto" w:fill="FABF8F"/>
            <w:vAlign w:val="center"/>
          </w:tcPr>
          <w:p w14:paraId="3D8BFC45" w14:textId="77777777" w:rsidR="00913A0A" w:rsidRPr="0058047D" w:rsidRDefault="00913A0A" w:rsidP="001A63C6">
            <w:pPr>
              <w:pStyle w:val="TableText"/>
              <w:widowControl w:val="0"/>
              <w:rPr>
                <w:rFonts w:ascii="Tahoma" w:hAnsi="Tahoma" w:cs="Tahoma"/>
                <w:color w:val="000000"/>
                <w:sz w:val="13"/>
              </w:rPr>
            </w:pPr>
          </w:p>
        </w:tc>
        <w:tc>
          <w:tcPr>
            <w:tcW w:w="456" w:type="dxa"/>
            <w:gridSpan w:val="2"/>
            <w:tcBorders>
              <w:bottom w:val="single" w:sz="4" w:space="0" w:color="auto"/>
            </w:tcBorders>
            <w:shd w:val="clear" w:color="auto" w:fill="FABF8F"/>
            <w:vAlign w:val="center"/>
          </w:tcPr>
          <w:p w14:paraId="3E59A946"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0BFC3D7"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27C8C7AE" w14:textId="77777777" w:rsidR="00913A0A" w:rsidRPr="0058047D" w:rsidRDefault="00913A0A" w:rsidP="001A63C6">
            <w:pPr>
              <w:pStyle w:val="TableText"/>
              <w:widowControl w:val="0"/>
              <w:rPr>
                <w:rFonts w:ascii="Tahoma" w:hAnsi="Tahoma" w:cs="Tahoma"/>
                <w:color w:val="000000"/>
                <w:sz w:val="13"/>
              </w:rPr>
            </w:pPr>
          </w:p>
        </w:tc>
        <w:tc>
          <w:tcPr>
            <w:tcW w:w="336" w:type="dxa"/>
            <w:tcBorders>
              <w:bottom w:val="single" w:sz="4" w:space="0" w:color="auto"/>
              <w:right w:val="single" w:sz="18" w:space="0" w:color="auto"/>
            </w:tcBorders>
            <w:shd w:val="clear" w:color="auto" w:fill="FABF8F"/>
            <w:vAlign w:val="center"/>
          </w:tcPr>
          <w:p w14:paraId="5CA11701" w14:textId="77777777" w:rsidR="00913A0A" w:rsidRPr="0058047D" w:rsidRDefault="00913A0A" w:rsidP="001A63C6">
            <w:pPr>
              <w:pStyle w:val="TableText"/>
              <w:widowControl w:val="0"/>
              <w:rPr>
                <w:rFonts w:ascii="Tahoma" w:hAnsi="Tahoma" w:cs="Tahoma"/>
                <w:color w:val="000000"/>
                <w:sz w:val="13"/>
              </w:rPr>
            </w:pPr>
          </w:p>
        </w:tc>
        <w:tc>
          <w:tcPr>
            <w:tcW w:w="477" w:type="dxa"/>
            <w:tcBorders>
              <w:left w:val="single" w:sz="18" w:space="0" w:color="auto"/>
              <w:bottom w:val="single" w:sz="4" w:space="0" w:color="auto"/>
            </w:tcBorders>
            <w:shd w:val="clear" w:color="auto" w:fill="FABF8F"/>
            <w:vAlign w:val="center"/>
          </w:tcPr>
          <w:p w14:paraId="2AFC756E"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3231BE4D" w14:textId="77777777" w:rsidR="00913A0A" w:rsidRPr="0058047D" w:rsidRDefault="00913A0A" w:rsidP="001A63C6">
            <w:pPr>
              <w:pStyle w:val="TableText"/>
              <w:widowControl w:val="0"/>
              <w:rPr>
                <w:rFonts w:ascii="Tahoma" w:hAnsi="Tahoma" w:cs="Tahoma"/>
                <w:color w:val="000000"/>
                <w:sz w:val="13"/>
              </w:rPr>
            </w:pPr>
          </w:p>
        </w:tc>
        <w:tc>
          <w:tcPr>
            <w:tcW w:w="414" w:type="dxa"/>
            <w:tcBorders>
              <w:bottom w:val="single" w:sz="4" w:space="0" w:color="auto"/>
              <w:right w:val="single" w:sz="18" w:space="0" w:color="auto"/>
            </w:tcBorders>
            <w:shd w:val="clear" w:color="auto" w:fill="FABF8F"/>
            <w:vAlign w:val="center"/>
          </w:tcPr>
          <w:p w14:paraId="395E526F" w14:textId="77777777" w:rsidR="00913A0A" w:rsidRPr="0058047D" w:rsidRDefault="00913A0A" w:rsidP="001A63C6">
            <w:pPr>
              <w:pStyle w:val="TableText"/>
              <w:widowControl w:val="0"/>
              <w:rPr>
                <w:rFonts w:ascii="Tahoma" w:hAnsi="Tahoma" w:cs="Tahoma"/>
                <w:color w:val="000000"/>
                <w:sz w:val="13"/>
              </w:rPr>
            </w:pPr>
          </w:p>
        </w:tc>
        <w:tc>
          <w:tcPr>
            <w:tcW w:w="468" w:type="dxa"/>
            <w:tcBorders>
              <w:left w:val="single" w:sz="18" w:space="0" w:color="auto"/>
              <w:bottom w:val="single" w:sz="4" w:space="0" w:color="auto"/>
            </w:tcBorders>
            <w:shd w:val="clear" w:color="auto" w:fill="FABF8F"/>
            <w:vAlign w:val="center"/>
          </w:tcPr>
          <w:p w14:paraId="728D4A95" w14:textId="77777777" w:rsidR="00913A0A" w:rsidRPr="0058047D" w:rsidRDefault="00913A0A" w:rsidP="001A63C6">
            <w:pPr>
              <w:pStyle w:val="TableText"/>
              <w:widowControl w:val="0"/>
              <w:rPr>
                <w:rFonts w:ascii="Tahoma" w:hAnsi="Tahoma" w:cs="Tahoma"/>
                <w:color w:val="000000"/>
                <w:sz w:val="13"/>
              </w:rPr>
            </w:pPr>
          </w:p>
        </w:tc>
        <w:tc>
          <w:tcPr>
            <w:tcW w:w="477" w:type="dxa"/>
            <w:tcBorders>
              <w:bottom w:val="single" w:sz="4" w:space="0" w:color="auto"/>
              <w:right w:val="single" w:sz="18" w:space="0" w:color="auto"/>
            </w:tcBorders>
            <w:shd w:val="clear" w:color="auto" w:fill="FABF8F"/>
            <w:vAlign w:val="center"/>
          </w:tcPr>
          <w:p w14:paraId="3173234D" w14:textId="77777777" w:rsidR="00913A0A" w:rsidRPr="0058047D" w:rsidRDefault="00913A0A" w:rsidP="001A63C6">
            <w:pPr>
              <w:pStyle w:val="TableText"/>
              <w:widowControl w:val="0"/>
              <w:rPr>
                <w:rFonts w:ascii="Tahoma" w:hAnsi="Tahoma" w:cs="Tahoma"/>
                <w:color w:val="000000"/>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291E0D7A"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00F7C642" w14:textId="77777777" w:rsidR="00913A0A" w:rsidRPr="0058047D"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FABF8F"/>
            <w:vAlign w:val="center"/>
          </w:tcPr>
          <w:p w14:paraId="3C7D89A6"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37167D92" w14:textId="77777777" w:rsidR="00913A0A" w:rsidRPr="0058047D" w:rsidRDefault="00913A0A" w:rsidP="001A63C6">
            <w:pPr>
              <w:pStyle w:val="TableText"/>
              <w:widowControl w:val="0"/>
              <w:rPr>
                <w:rFonts w:ascii="Tahoma" w:hAnsi="Tahoma" w:cs="Tahoma"/>
                <w:sz w:val="13"/>
              </w:rPr>
            </w:pPr>
          </w:p>
        </w:tc>
      </w:tr>
      <w:tr w:rsidR="009323A0" w:rsidRPr="0058047D" w14:paraId="4FB02672" w14:textId="77777777" w:rsidTr="00C86F50">
        <w:trPr>
          <w:trHeight w:val="145"/>
        </w:trPr>
        <w:tc>
          <w:tcPr>
            <w:tcW w:w="2619" w:type="dxa"/>
            <w:gridSpan w:val="2"/>
            <w:tcBorders>
              <w:bottom w:val="single" w:sz="4" w:space="0" w:color="auto"/>
            </w:tcBorders>
            <w:shd w:val="clear" w:color="auto" w:fill="auto"/>
            <w:vAlign w:val="center"/>
          </w:tcPr>
          <w:p w14:paraId="3DE8CE6F" w14:textId="77777777" w:rsidR="00913A0A" w:rsidRPr="003F471F" w:rsidRDefault="00913A0A" w:rsidP="001A63C6">
            <w:pPr>
              <w:pStyle w:val="Heading2"/>
              <w:ind w:left="0"/>
              <w:rPr>
                <w:rFonts w:ascii="Tahoma" w:hAnsi="Tahoma" w:cs="Tahoma"/>
                <w:b w:val="0"/>
                <w:sz w:val="14"/>
                <w:szCs w:val="16"/>
                <w:lang w:val="it-IT"/>
              </w:rPr>
            </w:pPr>
            <w:bookmarkStart w:id="247" w:name="_Toc371663388"/>
            <w:r w:rsidRPr="003F471F">
              <w:rPr>
                <w:rFonts w:ascii="Tahoma" w:hAnsi="Tahoma" w:cs="Tahoma"/>
                <w:b w:val="0"/>
                <w:sz w:val="14"/>
                <w:szCs w:val="16"/>
                <w:lang w:val="it-IT"/>
              </w:rPr>
              <w:t>Componente Aggiuntivo di Lync Online Piano 1 (SL per Utente)</w:t>
            </w:r>
            <w:bookmarkEnd w:id="247"/>
          </w:p>
        </w:tc>
        <w:tc>
          <w:tcPr>
            <w:tcW w:w="554" w:type="dxa"/>
            <w:tcBorders>
              <w:bottom w:val="single" w:sz="4" w:space="0" w:color="auto"/>
            </w:tcBorders>
            <w:shd w:val="clear" w:color="auto" w:fill="auto"/>
            <w:vAlign w:val="center"/>
          </w:tcPr>
          <w:p w14:paraId="2744546A" w14:textId="77777777" w:rsidR="00913A0A" w:rsidRPr="0058047D" w:rsidRDefault="00C86F50" w:rsidP="00793532">
            <w:pPr>
              <w:pStyle w:val="TableText"/>
              <w:widowControl w:val="0"/>
              <w:rPr>
                <w:b/>
                <w:sz w:val="13"/>
                <w:szCs w:val="13"/>
              </w:rPr>
            </w:pPr>
            <w:hyperlink w:anchor="_65_63_Lync" w:history="1">
              <w:r w:rsidR="00BF5FC6" w:rsidRPr="0058047D">
                <w:rPr>
                  <w:rStyle w:val="Hyperlink"/>
                  <w:b/>
                  <w:sz w:val="13"/>
                  <w:szCs w:val="13"/>
                </w:rPr>
                <w:t>68</w:t>
              </w:r>
            </w:hyperlink>
          </w:p>
        </w:tc>
        <w:tc>
          <w:tcPr>
            <w:tcW w:w="516" w:type="dxa"/>
            <w:tcBorders>
              <w:bottom w:val="single" w:sz="4" w:space="0" w:color="auto"/>
            </w:tcBorders>
            <w:shd w:val="clear" w:color="auto" w:fill="auto"/>
          </w:tcPr>
          <w:p w14:paraId="0367230E" w14:textId="77777777" w:rsidR="00913A0A" w:rsidRPr="0058047D" w:rsidRDefault="00913A0A" w:rsidP="001A63C6">
            <w:pPr>
              <w:pStyle w:val="TableText"/>
              <w:widowControl w:val="0"/>
              <w:spacing w:before="120"/>
              <w:rPr>
                <w:rFonts w:ascii="Tahoma" w:hAnsi="Tahoma" w:cs="Tahoma"/>
                <w:color w:val="000000"/>
                <w:sz w:val="13"/>
              </w:rPr>
            </w:pPr>
            <w:r w:rsidRPr="0058047D">
              <w:rPr>
                <w:rFonts w:ascii="Tahoma" w:hAnsi="Tahoma" w:cs="Tahoma"/>
                <w:color w:val="000000"/>
                <w:sz w:val="13"/>
              </w:rPr>
              <w:t>08/13</w:t>
            </w:r>
          </w:p>
        </w:tc>
        <w:tc>
          <w:tcPr>
            <w:tcW w:w="358" w:type="dxa"/>
            <w:tcBorders>
              <w:bottom w:val="single" w:sz="4" w:space="0" w:color="auto"/>
              <w:right w:val="single" w:sz="18" w:space="0" w:color="auto"/>
            </w:tcBorders>
            <w:shd w:val="clear" w:color="auto" w:fill="auto"/>
            <w:vAlign w:val="center"/>
          </w:tcPr>
          <w:p w14:paraId="26B87A92"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auto"/>
            <w:vAlign w:val="center"/>
          </w:tcPr>
          <w:p w14:paraId="0E430C82"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3D43860F"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627AB514"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1881B2FC"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2BC248B"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6D2CEC6"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20535973"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389B4A40"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87C38F1"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10A1382A"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13F46918"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22707C4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505CC9B2"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tcPr>
          <w:p w14:paraId="12B28EF4" w14:textId="77777777" w:rsidR="00913A0A" w:rsidRPr="0058047D"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auto"/>
            <w:vAlign w:val="center"/>
          </w:tcPr>
          <w:p w14:paraId="6722DF96"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tcPr>
          <w:p w14:paraId="3FE85921"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6CE9B091" w14:textId="77777777" w:rsidTr="00C86F50">
        <w:trPr>
          <w:trHeight w:val="145"/>
        </w:trPr>
        <w:tc>
          <w:tcPr>
            <w:tcW w:w="2619" w:type="dxa"/>
            <w:gridSpan w:val="2"/>
            <w:tcBorders>
              <w:bottom w:val="single" w:sz="4" w:space="0" w:color="auto"/>
            </w:tcBorders>
            <w:shd w:val="clear" w:color="auto" w:fill="FABF8F"/>
            <w:vAlign w:val="center"/>
          </w:tcPr>
          <w:p w14:paraId="33BFCCFD" w14:textId="77777777" w:rsidR="000E0C44" w:rsidRPr="003F471F" w:rsidRDefault="000E0C44" w:rsidP="001A63C6">
            <w:pPr>
              <w:pStyle w:val="Heading2"/>
              <w:ind w:left="0"/>
              <w:rPr>
                <w:rFonts w:ascii="Tahoma" w:hAnsi="Tahoma" w:cs="Tahoma"/>
                <w:b w:val="0"/>
                <w:sz w:val="14"/>
                <w:szCs w:val="16"/>
                <w:lang w:val="it-IT"/>
              </w:rPr>
            </w:pPr>
            <w:bookmarkStart w:id="248" w:name="_Toc336337995"/>
            <w:bookmarkStart w:id="249" w:name="_Toc371663389"/>
            <w:r w:rsidRPr="003F471F">
              <w:rPr>
                <w:rFonts w:ascii="Tahoma" w:hAnsi="Tahoma" w:cs="Tahoma"/>
                <w:b w:val="0"/>
                <w:sz w:val="14"/>
                <w:szCs w:val="16"/>
                <w:lang w:val="it-IT"/>
              </w:rPr>
              <w:t>Lync Online Piano 1 (SL per Utente)</w:t>
            </w:r>
            <w:bookmarkEnd w:id="248"/>
            <w:bookmarkEnd w:id="249"/>
          </w:p>
        </w:tc>
        <w:tc>
          <w:tcPr>
            <w:tcW w:w="554" w:type="dxa"/>
            <w:tcBorders>
              <w:bottom w:val="single" w:sz="4" w:space="0" w:color="auto"/>
            </w:tcBorders>
            <w:shd w:val="clear" w:color="auto" w:fill="FABF8F"/>
            <w:vAlign w:val="center"/>
          </w:tcPr>
          <w:p w14:paraId="6027DD20" w14:textId="77777777" w:rsidR="000E0C44" w:rsidRPr="0058047D" w:rsidRDefault="00C86F50" w:rsidP="00793532">
            <w:pPr>
              <w:pStyle w:val="TableText"/>
              <w:widowControl w:val="0"/>
              <w:rPr>
                <w:b/>
                <w:color w:val="0000FF"/>
                <w:sz w:val="13"/>
                <w:szCs w:val="13"/>
                <w:u w:val="single"/>
              </w:rPr>
            </w:pPr>
            <w:hyperlink w:anchor="_65_63_Lync" w:history="1">
              <w:r w:rsidR="00BF5FC6" w:rsidRPr="0058047D">
                <w:rPr>
                  <w:rStyle w:val="Hyperlink"/>
                  <w:b/>
                  <w:sz w:val="13"/>
                  <w:szCs w:val="13"/>
                </w:rPr>
                <w:t>68</w:t>
              </w:r>
            </w:hyperlink>
          </w:p>
        </w:tc>
        <w:tc>
          <w:tcPr>
            <w:tcW w:w="516" w:type="dxa"/>
            <w:tcBorders>
              <w:bottom w:val="single" w:sz="4" w:space="0" w:color="auto"/>
            </w:tcBorders>
            <w:shd w:val="clear" w:color="auto" w:fill="FABF8F"/>
          </w:tcPr>
          <w:p w14:paraId="745AFEF2" w14:textId="77777777" w:rsidR="000E0C44" w:rsidRPr="0058047D" w:rsidRDefault="000E0C44" w:rsidP="001A63C6">
            <w:pPr>
              <w:pStyle w:val="TableText"/>
              <w:widowControl w:val="0"/>
              <w:spacing w:before="120"/>
              <w:rPr>
                <w:rFonts w:ascii="Tahoma" w:hAnsi="Tahoma" w:cs="Tahoma"/>
                <w:color w:val="000000"/>
                <w:sz w:val="13"/>
              </w:rPr>
            </w:pPr>
            <w:r w:rsidRPr="0058047D">
              <w:rPr>
                <w:rFonts w:ascii="Tahoma" w:hAnsi="Tahoma" w:cs="Tahoma"/>
                <w:color w:val="000000"/>
                <w:sz w:val="13"/>
              </w:rPr>
              <w:t>06/11</w:t>
            </w:r>
          </w:p>
        </w:tc>
        <w:tc>
          <w:tcPr>
            <w:tcW w:w="358" w:type="dxa"/>
            <w:tcBorders>
              <w:bottom w:val="single" w:sz="4" w:space="0" w:color="auto"/>
              <w:right w:val="single" w:sz="18" w:space="0" w:color="auto"/>
            </w:tcBorders>
            <w:shd w:val="clear" w:color="auto" w:fill="FABF8F"/>
            <w:vAlign w:val="center"/>
          </w:tcPr>
          <w:p w14:paraId="61F38073" w14:textId="77777777" w:rsidR="000E0C44" w:rsidRPr="0058047D" w:rsidRDefault="000E0C44"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center"/>
          </w:tcPr>
          <w:p w14:paraId="5593A367" w14:textId="77777777" w:rsidR="000E0C44" w:rsidRPr="0058047D" w:rsidRDefault="000E0C44"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1BF08847" w14:textId="77777777" w:rsidR="000E0C44" w:rsidRPr="0058047D" w:rsidRDefault="000E0C44"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75A8C7CF" w14:textId="77777777" w:rsidR="000E0C44" w:rsidRPr="0058047D" w:rsidRDefault="000E0C44"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67063CFE" w14:textId="77777777" w:rsidR="000E0C44" w:rsidRPr="0058047D" w:rsidRDefault="000E0C44"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55ED295" w14:textId="77777777" w:rsidR="000E0C44" w:rsidRPr="0058047D" w:rsidRDefault="000E0C44"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1C19710" w14:textId="77777777" w:rsidR="000E0C44" w:rsidRPr="0058047D" w:rsidRDefault="000E0C44"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0ACD2140" w14:textId="77777777" w:rsidR="000E0C44" w:rsidRPr="0058047D" w:rsidRDefault="000E0C44" w:rsidP="001A63C6">
            <w:pPr>
              <w:pStyle w:val="TableText"/>
              <w:widowControl w:val="0"/>
              <w:rPr>
                <w:rFonts w:ascii="Tahoma" w:hAnsi="Tahoma" w:cs="Tahoma"/>
                <w:sz w:val="13"/>
              </w:rPr>
            </w:pPr>
          </w:p>
        </w:tc>
        <w:tc>
          <w:tcPr>
            <w:tcW w:w="1341" w:type="dxa"/>
            <w:gridSpan w:val="3"/>
            <w:tcBorders>
              <w:left w:val="single" w:sz="18" w:space="0" w:color="auto"/>
              <w:bottom w:val="single" w:sz="4" w:space="0" w:color="auto"/>
              <w:right w:val="single" w:sz="18" w:space="0" w:color="auto"/>
            </w:tcBorders>
            <w:shd w:val="clear" w:color="auto" w:fill="FABF8F"/>
            <w:vAlign w:val="center"/>
          </w:tcPr>
          <w:p w14:paraId="7A813EF5" w14:textId="77777777" w:rsidR="000E0C44" w:rsidRPr="0058047D" w:rsidRDefault="000E0C44" w:rsidP="001A63C6">
            <w:pPr>
              <w:pStyle w:val="TableText"/>
              <w:widowControl w:val="0"/>
              <w:rPr>
                <w:rFonts w:ascii="Tahoma" w:hAnsi="Tahoma" w:cs="Tahoma"/>
                <w:sz w:val="13"/>
              </w:rPr>
            </w:pPr>
            <w:r w:rsidRPr="0058047D">
              <w:rPr>
                <w:rFonts w:ascii="Tahoma" w:hAnsi="Tahoma" w:cs="Tahoma"/>
                <w:sz w:val="13"/>
              </w:rPr>
              <w:t>1</w:t>
            </w:r>
          </w:p>
        </w:tc>
        <w:tc>
          <w:tcPr>
            <w:tcW w:w="468" w:type="dxa"/>
            <w:tcBorders>
              <w:left w:val="single" w:sz="18" w:space="0" w:color="auto"/>
              <w:bottom w:val="single" w:sz="4" w:space="0" w:color="auto"/>
            </w:tcBorders>
            <w:shd w:val="clear" w:color="auto" w:fill="FABF8F"/>
            <w:vAlign w:val="center"/>
          </w:tcPr>
          <w:p w14:paraId="4B592B5F" w14:textId="77777777" w:rsidR="000E0C44" w:rsidRPr="0058047D" w:rsidRDefault="000E0C44"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36E1CAC8" w14:textId="77777777" w:rsidR="000E0C44" w:rsidRPr="0058047D" w:rsidRDefault="000E0C44"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0F2D2A62" w14:textId="77777777" w:rsidR="000E0C44" w:rsidRPr="0058047D" w:rsidRDefault="000E0C44"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tcPr>
          <w:p w14:paraId="52BFAF44" w14:textId="77777777" w:rsidR="000E0C44" w:rsidRPr="0058047D" w:rsidRDefault="000E0C44"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FABF8F"/>
            <w:vAlign w:val="center"/>
          </w:tcPr>
          <w:p w14:paraId="1EB3B05A" w14:textId="77777777" w:rsidR="000E0C44" w:rsidRPr="0058047D" w:rsidRDefault="000E0C44" w:rsidP="001A63C6">
            <w:pPr>
              <w:pStyle w:val="TableText"/>
              <w:widowControl w:val="0"/>
              <w:rPr>
                <w:rFonts w:ascii="Tahoma" w:hAnsi="Tahoma" w:cs="Tahoma"/>
                <w:sz w:val="13"/>
              </w:rPr>
            </w:pPr>
            <w:r w:rsidRPr="0058047D">
              <w:rPr>
                <w:rFonts w:ascii="Tahoma" w:hAnsi="Tahoma" w:cs="Tahoma"/>
                <w:sz w:val="13"/>
              </w:rPr>
              <w:t>OL/OV</w:t>
            </w:r>
          </w:p>
        </w:tc>
        <w:tc>
          <w:tcPr>
            <w:tcW w:w="405" w:type="dxa"/>
            <w:tcBorders>
              <w:bottom w:val="single" w:sz="4" w:space="0" w:color="auto"/>
            </w:tcBorders>
            <w:shd w:val="clear" w:color="auto" w:fill="FABF8F"/>
          </w:tcPr>
          <w:p w14:paraId="6E812EB4" w14:textId="77777777" w:rsidR="000E0C44" w:rsidRPr="0058047D" w:rsidRDefault="000E0C44"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670C0FDC" w14:textId="77777777" w:rsidTr="00C86F50">
        <w:trPr>
          <w:trHeight w:val="145"/>
        </w:trPr>
        <w:tc>
          <w:tcPr>
            <w:tcW w:w="2619" w:type="dxa"/>
            <w:gridSpan w:val="2"/>
            <w:tcBorders>
              <w:bottom w:val="single" w:sz="4" w:space="0" w:color="auto"/>
            </w:tcBorders>
            <w:shd w:val="clear" w:color="auto" w:fill="auto"/>
            <w:vAlign w:val="center"/>
          </w:tcPr>
          <w:p w14:paraId="5C278A35" w14:textId="77777777" w:rsidR="000E0C44" w:rsidRPr="003F471F" w:rsidRDefault="000E0C44" w:rsidP="001A63C6">
            <w:pPr>
              <w:pStyle w:val="Heading2"/>
              <w:ind w:left="0"/>
              <w:rPr>
                <w:rFonts w:ascii="Tahoma" w:hAnsi="Tahoma" w:cs="Tahoma"/>
                <w:b w:val="0"/>
                <w:sz w:val="14"/>
                <w:szCs w:val="16"/>
                <w:lang w:val="it-IT"/>
              </w:rPr>
            </w:pPr>
            <w:bookmarkStart w:id="250" w:name="_Toc336337996"/>
            <w:bookmarkStart w:id="251" w:name="_Toc371663390"/>
            <w:r w:rsidRPr="003F471F">
              <w:rPr>
                <w:rFonts w:ascii="Tahoma" w:hAnsi="Tahoma" w:cs="Tahoma"/>
                <w:b w:val="0"/>
                <w:sz w:val="14"/>
                <w:szCs w:val="16"/>
                <w:lang w:val="it-IT"/>
              </w:rPr>
              <w:t>Lync Online Piano 2 (SL per Utente)</w:t>
            </w:r>
            <w:bookmarkEnd w:id="250"/>
            <w:bookmarkEnd w:id="251"/>
          </w:p>
        </w:tc>
        <w:tc>
          <w:tcPr>
            <w:tcW w:w="554" w:type="dxa"/>
            <w:tcBorders>
              <w:bottom w:val="single" w:sz="4" w:space="0" w:color="auto"/>
            </w:tcBorders>
            <w:shd w:val="clear" w:color="auto" w:fill="auto"/>
            <w:vAlign w:val="center"/>
          </w:tcPr>
          <w:p w14:paraId="73EE03DE" w14:textId="77777777" w:rsidR="000E0C44" w:rsidRPr="0058047D" w:rsidRDefault="00C86F50" w:rsidP="00793532">
            <w:pPr>
              <w:pStyle w:val="TableText"/>
              <w:widowControl w:val="0"/>
              <w:rPr>
                <w:b/>
                <w:color w:val="0000FF"/>
                <w:sz w:val="13"/>
                <w:szCs w:val="13"/>
                <w:u w:val="single"/>
              </w:rPr>
            </w:pPr>
            <w:hyperlink w:anchor="_70_Lync_Online" w:history="1">
              <w:r w:rsidR="00BF5FC6" w:rsidRPr="0058047D">
                <w:rPr>
                  <w:rStyle w:val="Hyperlink"/>
                  <w:b/>
                  <w:sz w:val="13"/>
                  <w:szCs w:val="13"/>
                </w:rPr>
                <w:t>68</w:t>
              </w:r>
            </w:hyperlink>
          </w:p>
        </w:tc>
        <w:tc>
          <w:tcPr>
            <w:tcW w:w="516" w:type="dxa"/>
            <w:tcBorders>
              <w:bottom w:val="single" w:sz="4" w:space="0" w:color="auto"/>
            </w:tcBorders>
            <w:shd w:val="clear" w:color="auto" w:fill="auto"/>
          </w:tcPr>
          <w:p w14:paraId="0D175C14" w14:textId="77777777" w:rsidR="000E0C44" w:rsidRPr="0058047D" w:rsidRDefault="000E0C44" w:rsidP="001A63C6">
            <w:pPr>
              <w:pStyle w:val="TableText"/>
              <w:widowControl w:val="0"/>
              <w:spacing w:before="120"/>
              <w:rPr>
                <w:rFonts w:ascii="Tahoma" w:hAnsi="Tahoma" w:cs="Tahoma"/>
                <w:color w:val="000000"/>
                <w:sz w:val="13"/>
              </w:rPr>
            </w:pPr>
            <w:r w:rsidRPr="0058047D">
              <w:rPr>
                <w:rFonts w:ascii="Tahoma" w:hAnsi="Tahoma" w:cs="Tahoma"/>
                <w:color w:val="000000"/>
                <w:sz w:val="13"/>
              </w:rPr>
              <w:t>06/11</w:t>
            </w:r>
          </w:p>
        </w:tc>
        <w:tc>
          <w:tcPr>
            <w:tcW w:w="358" w:type="dxa"/>
            <w:tcBorders>
              <w:bottom w:val="single" w:sz="4" w:space="0" w:color="auto"/>
              <w:right w:val="single" w:sz="18" w:space="0" w:color="auto"/>
            </w:tcBorders>
            <w:shd w:val="clear" w:color="auto" w:fill="auto"/>
            <w:vAlign w:val="center"/>
          </w:tcPr>
          <w:p w14:paraId="54342BA1" w14:textId="77777777" w:rsidR="000E0C44" w:rsidRPr="0058047D" w:rsidRDefault="000E0C44"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auto"/>
            <w:vAlign w:val="center"/>
          </w:tcPr>
          <w:p w14:paraId="707A9A73" w14:textId="77777777" w:rsidR="000E0C44" w:rsidRPr="0058047D" w:rsidRDefault="000E0C44"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2A841B40" w14:textId="77777777" w:rsidR="000E0C44" w:rsidRPr="0058047D" w:rsidRDefault="000E0C44"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29162843" w14:textId="77777777" w:rsidR="000E0C44" w:rsidRPr="0058047D" w:rsidRDefault="000E0C44"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52136D27" w14:textId="77777777" w:rsidR="000E0C44" w:rsidRPr="0058047D" w:rsidRDefault="000E0C44"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E4F50B3" w14:textId="77777777" w:rsidR="000E0C44" w:rsidRPr="0058047D" w:rsidRDefault="000E0C44"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3D7D392" w14:textId="77777777" w:rsidR="000E0C44" w:rsidRPr="0058047D" w:rsidRDefault="000E0C44"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19DC5B23" w14:textId="77777777" w:rsidR="000E0C44" w:rsidRPr="0058047D" w:rsidRDefault="000E0C44" w:rsidP="001A63C6">
            <w:pPr>
              <w:pStyle w:val="TableText"/>
              <w:widowControl w:val="0"/>
              <w:rPr>
                <w:rFonts w:ascii="Tahoma" w:hAnsi="Tahoma" w:cs="Tahoma"/>
                <w:sz w:val="13"/>
              </w:rPr>
            </w:pPr>
          </w:p>
        </w:tc>
        <w:tc>
          <w:tcPr>
            <w:tcW w:w="1341" w:type="dxa"/>
            <w:gridSpan w:val="3"/>
            <w:tcBorders>
              <w:left w:val="single" w:sz="18" w:space="0" w:color="auto"/>
              <w:bottom w:val="single" w:sz="4" w:space="0" w:color="auto"/>
              <w:right w:val="single" w:sz="18" w:space="0" w:color="auto"/>
            </w:tcBorders>
            <w:shd w:val="clear" w:color="auto" w:fill="auto"/>
            <w:vAlign w:val="center"/>
          </w:tcPr>
          <w:p w14:paraId="35A1120D" w14:textId="77777777" w:rsidR="000E0C44" w:rsidRPr="0058047D" w:rsidRDefault="000E0C44" w:rsidP="001A63C6">
            <w:pPr>
              <w:pStyle w:val="TableText"/>
              <w:widowControl w:val="0"/>
              <w:rPr>
                <w:rFonts w:ascii="Tahoma" w:hAnsi="Tahoma" w:cs="Tahoma"/>
                <w:sz w:val="13"/>
              </w:rPr>
            </w:pPr>
            <w:r w:rsidRPr="0058047D">
              <w:rPr>
                <w:rFonts w:ascii="Tahoma" w:hAnsi="Tahoma" w:cs="Tahoma"/>
                <w:sz w:val="13"/>
              </w:rPr>
              <w:t>1</w:t>
            </w:r>
          </w:p>
        </w:tc>
        <w:tc>
          <w:tcPr>
            <w:tcW w:w="468" w:type="dxa"/>
            <w:tcBorders>
              <w:left w:val="single" w:sz="18" w:space="0" w:color="auto"/>
              <w:bottom w:val="single" w:sz="4" w:space="0" w:color="auto"/>
            </w:tcBorders>
            <w:shd w:val="clear" w:color="auto" w:fill="auto"/>
            <w:vAlign w:val="center"/>
          </w:tcPr>
          <w:p w14:paraId="7F3E495F" w14:textId="77777777" w:rsidR="000E0C44" w:rsidRPr="0058047D" w:rsidRDefault="000E0C44"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1391BAC0" w14:textId="77777777" w:rsidR="000E0C44" w:rsidRPr="0058047D" w:rsidRDefault="000E0C44"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58B60754" w14:textId="77777777" w:rsidR="000E0C44" w:rsidRPr="0058047D" w:rsidRDefault="000E0C44"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auto"/>
          </w:tcPr>
          <w:p w14:paraId="5A440877" w14:textId="77777777" w:rsidR="000E0C44" w:rsidRPr="0058047D" w:rsidRDefault="000E0C44"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auto"/>
            <w:vAlign w:val="center"/>
          </w:tcPr>
          <w:p w14:paraId="7F05AD18" w14:textId="77777777" w:rsidR="000E0C44" w:rsidRPr="0058047D" w:rsidRDefault="000E0C44" w:rsidP="001A63C6">
            <w:pPr>
              <w:pStyle w:val="TableText"/>
              <w:widowControl w:val="0"/>
              <w:rPr>
                <w:rFonts w:ascii="Tahoma" w:hAnsi="Tahoma" w:cs="Tahoma"/>
                <w:sz w:val="13"/>
              </w:rPr>
            </w:pPr>
            <w:r w:rsidRPr="0058047D">
              <w:rPr>
                <w:rFonts w:ascii="Tahoma" w:hAnsi="Tahoma" w:cs="Tahoma"/>
                <w:sz w:val="13"/>
              </w:rPr>
              <w:t>OL/OV</w:t>
            </w:r>
          </w:p>
        </w:tc>
        <w:tc>
          <w:tcPr>
            <w:tcW w:w="405" w:type="dxa"/>
            <w:tcBorders>
              <w:bottom w:val="single" w:sz="4" w:space="0" w:color="auto"/>
            </w:tcBorders>
          </w:tcPr>
          <w:p w14:paraId="17CE7931" w14:textId="77777777" w:rsidR="000E0C44" w:rsidRPr="0058047D" w:rsidRDefault="000E0C44"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59EEA29C" w14:textId="77777777" w:rsidTr="00C86F50">
        <w:trPr>
          <w:trHeight w:val="145"/>
        </w:trPr>
        <w:tc>
          <w:tcPr>
            <w:tcW w:w="2619" w:type="dxa"/>
            <w:gridSpan w:val="2"/>
            <w:tcBorders>
              <w:bottom w:val="single" w:sz="4" w:space="0" w:color="auto"/>
            </w:tcBorders>
            <w:shd w:val="clear" w:color="auto" w:fill="FABF8F"/>
            <w:vAlign w:val="center"/>
          </w:tcPr>
          <w:p w14:paraId="54C95A90" w14:textId="77777777" w:rsidR="00913A0A" w:rsidRPr="003F471F" w:rsidRDefault="00913A0A" w:rsidP="001A63C6">
            <w:pPr>
              <w:pStyle w:val="Heading2"/>
              <w:ind w:left="0"/>
              <w:rPr>
                <w:rFonts w:ascii="Tahoma" w:hAnsi="Tahoma" w:cs="Tahoma"/>
                <w:b w:val="0"/>
                <w:sz w:val="14"/>
                <w:szCs w:val="16"/>
                <w:lang w:val="it-IT"/>
              </w:rPr>
            </w:pPr>
            <w:bookmarkStart w:id="252" w:name="_Toc336337997"/>
            <w:bookmarkStart w:id="253" w:name="_Toc371663391"/>
            <w:r w:rsidRPr="003F471F">
              <w:rPr>
                <w:rFonts w:ascii="Tahoma" w:hAnsi="Tahoma" w:cs="Tahoma"/>
                <w:b w:val="0"/>
                <w:sz w:val="14"/>
                <w:szCs w:val="16"/>
                <w:lang w:val="it-IT"/>
              </w:rPr>
              <w:t>Lync Online Piano 3 (SL per Utente)</w:t>
            </w:r>
            <w:bookmarkEnd w:id="252"/>
            <w:bookmarkEnd w:id="253"/>
          </w:p>
        </w:tc>
        <w:tc>
          <w:tcPr>
            <w:tcW w:w="554" w:type="dxa"/>
            <w:tcBorders>
              <w:bottom w:val="single" w:sz="4" w:space="0" w:color="auto"/>
            </w:tcBorders>
            <w:shd w:val="clear" w:color="auto" w:fill="FABF8F"/>
            <w:vAlign w:val="center"/>
          </w:tcPr>
          <w:p w14:paraId="4BA438E1" w14:textId="77777777" w:rsidR="00913A0A" w:rsidRPr="0058047D" w:rsidRDefault="00C86F50" w:rsidP="00793532">
            <w:pPr>
              <w:pStyle w:val="TableText"/>
              <w:widowControl w:val="0"/>
              <w:rPr>
                <w:b/>
                <w:color w:val="0000FF"/>
                <w:sz w:val="13"/>
                <w:szCs w:val="13"/>
                <w:u w:val="single"/>
              </w:rPr>
            </w:pPr>
            <w:hyperlink w:anchor="_70_Lync_Online" w:history="1">
              <w:r w:rsidR="00BF5FC6" w:rsidRPr="0058047D">
                <w:rPr>
                  <w:rStyle w:val="Hyperlink"/>
                  <w:b/>
                  <w:sz w:val="13"/>
                  <w:szCs w:val="13"/>
                </w:rPr>
                <w:t>68</w:t>
              </w:r>
            </w:hyperlink>
          </w:p>
        </w:tc>
        <w:tc>
          <w:tcPr>
            <w:tcW w:w="516" w:type="dxa"/>
            <w:tcBorders>
              <w:bottom w:val="single" w:sz="4" w:space="0" w:color="auto"/>
            </w:tcBorders>
            <w:shd w:val="clear" w:color="auto" w:fill="FABF8F"/>
          </w:tcPr>
          <w:p w14:paraId="7626DF29" w14:textId="77777777" w:rsidR="00913A0A" w:rsidRPr="0058047D" w:rsidRDefault="00913A0A" w:rsidP="001A63C6">
            <w:pPr>
              <w:pStyle w:val="TableText"/>
              <w:widowControl w:val="0"/>
              <w:spacing w:before="120"/>
              <w:rPr>
                <w:rFonts w:ascii="Tahoma" w:hAnsi="Tahoma" w:cs="Tahoma"/>
                <w:color w:val="000000"/>
                <w:sz w:val="13"/>
              </w:rPr>
            </w:pPr>
            <w:r w:rsidRPr="0058047D">
              <w:rPr>
                <w:rFonts w:ascii="Tahoma" w:hAnsi="Tahoma" w:cs="Tahoma"/>
                <w:color w:val="000000"/>
                <w:sz w:val="13"/>
              </w:rPr>
              <w:t>07/12</w:t>
            </w:r>
          </w:p>
        </w:tc>
        <w:tc>
          <w:tcPr>
            <w:tcW w:w="358" w:type="dxa"/>
            <w:tcBorders>
              <w:bottom w:val="single" w:sz="4" w:space="0" w:color="auto"/>
              <w:right w:val="single" w:sz="18" w:space="0" w:color="auto"/>
            </w:tcBorders>
            <w:shd w:val="clear" w:color="auto" w:fill="FABF8F"/>
            <w:vAlign w:val="center"/>
          </w:tcPr>
          <w:p w14:paraId="4C4C166A"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center"/>
          </w:tcPr>
          <w:p w14:paraId="1E04B75A"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35FABF2E"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6F850620"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5D48DF3A"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FA89999"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2196125"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72B084C2"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78E1E8C8"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DAC267D"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204D3732"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4D4B2BF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FABF8F"/>
            <w:vAlign w:val="center"/>
          </w:tcPr>
          <w:p w14:paraId="57E2826A"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27B1F4A0"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710268FA" w14:textId="77777777" w:rsidR="00913A0A" w:rsidRPr="0058047D"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FABF8F"/>
            <w:vAlign w:val="center"/>
          </w:tcPr>
          <w:p w14:paraId="04822A45"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109C5ED4"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1B9572AD" w14:textId="77777777" w:rsidTr="00C86F50">
        <w:trPr>
          <w:cantSplit/>
          <w:trHeight w:val="145"/>
        </w:trPr>
        <w:tc>
          <w:tcPr>
            <w:tcW w:w="2619" w:type="dxa"/>
            <w:gridSpan w:val="2"/>
            <w:tcBorders>
              <w:bottom w:val="single" w:sz="4" w:space="0" w:color="auto"/>
            </w:tcBorders>
            <w:shd w:val="clear" w:color="auto" w:fill="auto"/>
            <w:vAlign w:val="center"/>
          </w:tcPr>
          <w:p w14:paraId="32E13255" w14:textId="77777777" w:rsidR="00913A0A" w:rsidRPr="003F471F" w:rsidRDefault="00913A0A" w:rsidP="001A63C6">
            <w:pPr>
              <w:pStyle w:val="Heading2"/>
              <w:ind w:left="0"/>
              <w:rPr>
                <w:rFonts w:ascii="Tahoma" w:hAnsi="Tahoma" w:cs="Tahoma"/>
                <w:b w:val="0"/>
                <w:sz w:val="14"/>
                <w:szCs w:val="16"/>
                <w:lang w:val="it-IT"/>
              </w:rPr>
            </w:pPr>
            <w:bookmarkStart w:id="254" w:name="_Toc336337998"/>
            <w:bookmarkStart w:id="255" w:name="_Toc371663392"/>
            <w:r w:rsidRPr="003F471F">
              <w:rPr>
                <w:rFonts w:ascii="Tahoma" w:hAnsi="Tahoma" w:cs="Tahoma"/>
                <w:b w:val="0"/>
                <w:sz w:val="14"/>
                <w:szCs w:val="16"/>
                <w:lang w:val="it-IT"/>
              </w:rPr>
              <w:t>Lync Online Piano 3A (SL per Utente)</w:t>
            </w:r>
            <w:bookmarkEnd w:id="254"/>
            <w:bookmarkEnd w:id="255"/>
          </w:p>
        </w:tc>
        <w:tc>
          <w:tcPr>
            <w:tcW w:w="554" w:type="dxa"/>
            <w:tcBorders>
              <w:bottom w:val="single" w:sz="4" w:space="0" w:color="auto"/>
            </w:tcBorders>
            <w:shd w:val="clear" w:color="auto" w:fill="auto"/>
            <w:vAlign w:val="center"/>
          </w:tcPr>
          <w:p w14:paraId="0454C3CB" w14:textId="77777777" w:rsidR="00913A0A" w:rsidRPr="0058047D" w:rsidRDefault="00C86F50" w:rsidP="00793532">
            <w:pPr>
              <w:pStyle w:val="TableText"/>
              <w:widowControl w:val="0"/>
              <w:rPr>
                <w:b/>
                <w:color w:val="0000FF"/>
                <w:sz w:val="13"/>
                <w:szCs w:val="13"/>
                <w:u w:val="single"/>
              </w:rPr>
            </w:pPr>
            <w:hyperlink w:anchor="_70_Lync_Online" w:history="1">
              <w:r w:rsidR="00BF5FC6" w:rsidRPr="0058047D">
                <w:rPr>
                  <w:rStyle w:val="Hyperlink"/>
                  <w:b/>
                  <w:sz w:val="13"/>
                  <w:szCs w:val="13"/>
                </w:rPr>
                <w:t>68</w:t>
              </w:r>
            </w:hyperlink>
          </w:p>
        </w:tc>
        <w:tc>
          <w:tcPr>
            <w:tcW w:w="516" w:type="dxa"/>
            <w:tcBorders>
              <w:bottom w:val="single" w:sz="4" w:space="0" w:color="auto"/>
            </w:tcBorders>
            <w:shd w:val="clear" w:color="auto" w:fill="auto"/>
            <w:vAlign w:val="center"/>
          </w:tcPr>
          <w:p w14:paraId="42E7FF37"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07/12</w:t>
            </w:r>
          </w:p>
        </w:tc>
        <w:tc>
          <w:tcPr>
            <w:tcW w:w="358" w:type="dxa"/>
            <w:tcBorders>
              <w:bottom w:val="single" w:sz="4" w:space="0" w:color="auto"/>
              <w:right w:val="single" w:sz="18" w:space="0" w:color="auto"/>
            </w:tcBorders>
            <w:shd w:val="clear" w:color="auto" w:fill="auto"/>
            <w:vAlign w:val="center"/>
          </w:tcPr>
          <w:p w14:paraId="5936AADC"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auto"/>
            <w:vAlign w:val="center"/>
          </w:tcPr>
          <w:p w14:paraId="21459782"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05D22B0D"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6ACA3683"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6A9A208B"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5DF767F"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8D1C598"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029641CC"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5966DFF6"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AAACAB1"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652ECF7A"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4FDA59B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auto"/>
            <w:vAlign w:val="center"/>
          </w:tcPr>
          <w:p w14:paraId="06B12FAE"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567EEA65"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vAlign w:val="center"/>
          </w:tcPr>
          <w:p w14:paraId="5DF309C5"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 ST (Solo EES)</w:t>
            </w:r>
          </w:p>
        </w:tc>
        <w:tc>
          <w:tcPr>
            <w:tcW w:w="504" w:type="dxa"/>
            <w:tcBorders>
              <w:bottom w:val="single" w:sz="4" w:space="0" w:color="auto"/>
            </w:tcBorders>
            <w:shd w:val="clear" w:color="auto" w:fill="auto"/>
            <w:vAlign w:val="center"/>
          </w:tcPr>
          <w:p w14:paraId="4FCAA5AE"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tcPr>
          <w:p w14:paraId="2C42D942"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6256F758" w14:textId="77777777" w:rsidTr="00C86F50">
        <w:trPr>
          <w:trHeight w:val="145"/>
        </w:trPr>
        <w:tc>
          <w:tcPr>
            <w:tcW w:w="2619" w:type="dxa"/>
            <w:gridSpan w:val="2"/>
            <w:tcBorders>
              <w:bottom w:val="single" w:sz="4" w:space="0" w:color="auto"/>
            </w:tcBorders>
            <w:shd w:val="clear" w:color="auto" w:fill="FABF8F"/>
            <w:vAlign w:val="center"/>
          </w:tcPr>
          <w:p w14:paraId="4F5D0514" w14:textId="77777777" w:rsidR="00913A0A" w:rsidRPr="0058047D" w:rsidRDefault="00913A0A" w:rsidP="001A63C6">
            <w:pPr>
              <w:pStyle w:val="Heading2"/>
              <w:ind w:left="0"/>
              <w:rPr>
                <w:rFonts w:ascii="Tahoma" w:hAnsi="Tahoma" w:cs="Tahoma"/>
                <w:b w:val="0"/>
                <w:sz w:val="14"/>
                <w:szCs w:val="16"/>
              </w:rPr>
            </w:pPr>
            <w:bookmarkStart w:id="256" w:name="_Toc336337999"/>
            <w:bookmarkStart w:id="257" w:name="_Toc371663393"/>
            <w:r w:rsidRPr="0058047D">
              <w:rPr>
                <w:rFonts w:ascii="Tahoma" w:hAnsi="Tahoma" w:cs="Tahoma"/>
                <w:b w:val="0"/>
                <w:sz w:val="14"/>
                <w:szCs w:val="16"/>
              </w:rPr>
              <w:t xml:space="preserve">Lync Server </w:t>
            </w:r>
            <w:bookmarkEnd w:id="256"/>
            <w:r w:rsidRPr="0058047D">
              <w:rPr>
                <w:rFonts w:ascii="Tahoma" w:hAnsi="Tahoma" w:cs="Tahoma"/>
                <w:b w:val="0"/>
                <w:sz w:val="14"/>
                <w:szCs w:val="16"/>
              </w:rPr>
              <w:t>2013</w:t>
            </w:r>
            <w:bookmarkEnd w:id="257"/>
          </w:p>
        </w:tc>
        <w:tc>
          <w:tcPr>
            <w:tcW w:w="554" w:type="dxa"/>
            <w:tcBorders>
              <w:bottom w:val="single" w:sz="4" w:space="0" w:color="auto"/>
            </w:tcBorders>
            <w:shd w:val="clear" w:color="auto" w:fill="FABF8F"/>
            <w:vAlign w:val="center"/>
          </w:tcPr>
          <w:p w14:paraId="3E98ACE1" w14:textId="77777777" w:rsidR="00913A0A" w:rsidRPr="0058047D" w:rsidRDefault="00C86F50" w:rsidP="00793532">
            <w:pPr>
              <w:pStyle w:val="TableText"/>
              <w:widowControl w:val="0"/>
              <w:rPr>
                <w:b/>
                <w:color w:val="0000FF"/>
                <w:sz w:val="13"/>
                <w:szCs w:val="13"/>
                <w:u w:val="single"/>
              </w:rPr>
            </w:pPr>
            <w:hyperlink w:anchor="_62_Lync_Server" w:history="1">
              <w:r w:rsidR="00BF5FC6" w:rsidRPr="0058047D">
                <w:rPr>
                  <w:rStyle w:val="Hyperlink"/>
                  <w:b/>
                  <w:sz w:val="13"/>
                  <w:szCs w:val="13"/>
                </w:rPr>
                <w:t>69</w:t>
              </w:r>
            </w:hyperlink>
          </w:p>
        </w:tc>
        <w:tc>
          <w:tcPr>
            <w:tcW w:w="516" w:type="dxa"/>
            <w:tcBorders>
              <w:bottom w:val="single" w:sz="4" w:space="0" w:color="auto"/>
            </w:tcBorders>
            <w:shd w:val="clear" w:color="auto" w:fill="FABF8F"/>
          </w:tcPr>
          <w:p w14:paraId="022CFAB3" w14:textId="77777777" w:rsidR="00913A0A" w:rsidRPr="0058047D" w:rsidRDefault="00913A0A" w:rsidP="001A63C6">
            <w:pPr>
              <w:pStyle w:val="TableText"/>
              <w:widowControl w:val="0"/>
              <w:spacing w:before="120"/>
              <w:rPr>
                <w:rFonts w:ascii="Tahoma" w:hAnsi="Tahoma" w:cs="Tahoma"/>
                <w:color w:val="000000"/>
                <w:sz w:val="13"/>
              </w:rPr>
            </w:pPr>
            <w:r w:rsidRPr="0058047D">
              <w:rPr>
                <w:rFonts w:ascii="Tahoma" w:hAnsi="Tahoma" w:cs="Tahoma"/>
                <w:color w:val="000000"/>
                <w:sz w:val="13"/>
              </w:rPr>
              <w:t>10/12</w:t>
            </w:r>
          </w:p>
        </w:tc>
        <w:tc>
          <w:tcPr>
            <w:tcW w:w="358" w:type="dxa"/>
            <w:tcBorders>
              <w:bottom w:val="single" w:sz="4" w:space="0" w:color="auto"/>
              <w:right w:val="single" w:sz="18" w:space="0" w:color="auto"/>
            </w:tcBorders>
            <w:shd w:val="clear" w:color="auto" w:fill="FABF8F"/>
            <w:vAlign w:val="center"/>
          </w:tcPr>
          <w:p w14:paraId="129A5908"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center"/>
          </w:tcPr>
          <w:p w14:paraId="46563DA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324" w:type="dxa"/>
            <w:tcBorders>
              <w:bottom w:val="single" w:sz="4" w:space="0" w:color="auto"/>
            </w:tcBorders>
            <w:shd w:val="clear" w:color="auto" w:fill="FABF8F"/>
            <w:vAlign w:val="center"/>
          </w:tcPr>
          <w:p w14:paraId="75874365"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125</w:t>
            </w:r>
          </w:p>
        </w:tc>
        <w:tc>
          <w:tcPr>
            <w:tcW w:w="366" w:type="dxa"/>
            <w:tcBorders>
              <w:bottom w:val="single" w:sz="4" w:space="0" w:color="auto"/>
            </w:tcBorders>
            <w:shd w:val="clear" w:color="auto" w:fill="FABF8F"/>
            <w:vAlign w:val="center"/>
          </w:tcPr>
          <w:p w14:paraId="613167D6"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100</w:t>
            </w:r>
          </w:p>
        </w:tc>
        <w:tc>
          <w:tcPr>
            <w:tcW w:w="456" w:type="dxa"/>
            <w:gridSpan w:val="2"/>
            <w:tcBorders>
              <w:bottom w:val="single" w:sz="4" w:space="0" w:color="auto"/>
            </w:tcBorders>
            <w:shd w:val="clear" w:color="auto" w:fill="FABF8F"/>
            <w:vAlign w:val="center"/>
          </w:tcPr>
          <w:p w14:paraId="3F69572E"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75</w:t>
            </w:r>
          </w:p>
        </w:tc>
        <w:tc>
          <w:tcPr>
            <w:tcW w:w="450" w:type="dxa"/>
            <w:tcBorders>
              <w:bottom w:val="single" w:sz="4" w:space="0" w:color="auto"/>
            </w:tcBorders>
            <w:shd w:val="clear" w:color="auto" w:fill="FABF8F"/>
            <w:vAlign w:val="center"/>
          </w:tcPr>
          <w:p w14:paraId="474262C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75</w:t>
            </w:r>
          </w:p>
        </w:tc>
        <w:tc>
          <w:tcPr>
            <w:tcW w:w="450" w:type="dxa"/>
            <w:tcBorders>
              <w:bottom w:val="single" w:sz="4" w:space="0" w:color="auto"/>
            </w:tcBorders>
            <w:shd w:val="clear" w:color="auto" w:fill="FABF8F"/>
            <w:vAlign w:val="center"/>
          </w:tcPr>
          <w:p w14:paraId="58D3D7F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336" w:type="dxa"/>
            <w:tcBorders>
              <w:bottom w:val="single" w:sz="4" w:space="0" w:color="auto"/>
              <w:right w:val="single" w:sz="18" w:space="0" w:color="auto"/>
            </w:tcBorders>
            <w:shd w:val="clear" w:color="auto" w:fill="FABF8F"/>
            <w:vAlign w:val="center"/>
          </w:tcPr>
          <w:p w14:paraId="5211D62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25</w:t>
            </w:r>
          </w:p>
        </w:tc>
        <w:tc>
          <w:tcPr>
            <w:tcW w:w="477" w:type="dxa"/>
            <w:tcBorders>
              <w:left w:val="single" w:sz="18" w:space="0" w:color="auto"/>
              <w:bottom w:val="single" w:sz="4" w:space="0" w:color="auto"/>
            </w:tcBorders>
            <w:shd w:val="clear" w:color="auto" w:fill="FABF8F"/>
            <w:vAlign w:val="center"/>
          </w:tcPr>
          <w:p w14:paraId="1150AC4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450" w:type="dxa"/>
            <w:tcBorders>
              <w:bottom w:val="single" w:sz="4" w:space="0" w:color="auto"/>
            </w:tcBorders>
            <w:shd w:val="clear" w:color="auto" w:fill="FABF8F"/>
            <w:vAlign w:val="center"/>
          </w:tcPr>
          <w:p w14:paraId="5EEEA03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100</w:t>
            </w:r>
          </w:p>
        </w:tc>
        <w:tc>
          <w:tcPr>
            <w:tcW w:w="414" w:type="dxa"/>
            <w:tcBorders>
              <w:bottom w:val="single" w:sz="4" w:space="0" w:color="auto"/>
              <w:right w:val="single" w:sz="18" w:space="0" w:color="auto"/>
            </w:tcBorders>
            <w:shd w:val="clear" w:color="auto" w:fill="FABF8F"/>
            <w:vAlign w:val="center"/>
          </w:tcPr>
          <w:p w14:paraId="03848E0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468" w:type="dxa"/>
            <w:tcBorders>
              <w:left w:val="single" w:sz="18" w:space="0" w:color="auto"/>
              <w:bottom w:val="single" w:sz="4" w:space="0" w:color="auto"/>
            </w:tcBorders>
            <w:shd w:val="clear" w:color="auto" w:fill="FABF8F"/>
            <w:vAlign w:val="center"/>
          </w:tcPr>
          <w:p w14:paraId="0F49AA0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477" w:type="dxa"/>
            <w:tcBorders>
              <w:bottom w:val="single" w:sz="4" w:space="0" w:color="auto"/>
              <w:right w:val="single" w:sz="18" w:space="0" w:color="auto"/>
            </w:tcBorders>
            <w:shd w:val="clear" w:color="auto" w:fill="FABF8F"/>
            <w:vAlign w:val="center"/>
          </w:tcPr>
          <w:p w14:paraId="180C1E8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23FB773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tcPr>
          <w:p w14:paraId="011A0501" w14:textId="77777777" w:rsidR="00913A0A" w:rsidRPr="0058047D" w:rsidRDefault="00913A0A" w:rsidP="001A63C6">
            <w:pPr>
              <w:pStyle w:val="TableText"/>
              <w:widowControl w:val="0"/>
              <w:spacing w:before="12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FABF8F"/>
            <w:vAlign w:val="center"/>
          </w:tcPr>
          <w:p w14:paraId="5E3EA06C"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239D3DC2"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1B1F4A76" w14:textId="77777777" w:rsidTr="00C86F50">
        <w:trPr>
          <w:trHeight w:val="145"/>
        </w:trPr>
        <w:tc>
          <w:tcPr>
            <w:tcW w:w="2619" w:type="dxa"/>
            <w:gridSpan w:val="2"/>
            <w:tcBorders>
              <w:bottom w:val="single" w:sz="4" w:space="0" w:color="auto"/>
            </w:tcBorders>
            <w:shd w:val="clear" w:color="auto" w:fill="auto"/>
            <w:vAlign w:val="center"/>
          </w:tcPr>
          <w:p w14:paraId="3D5BC9D4" w14:textId="77777777" w:rsidR="00913A0A" w:rsidRPr="0058047D" w:rsidDel="006A2F66" w:rsidRDefault="00913A0A" w:rsidP="001A63C6">
            <w:pPr>
              <w:pStyle w:val="Heading2"/>
              <w:ind w:left="0"/>
              <w:rPr>
                <w:rFonts w:ascii="Tahoma" w:hAnsi="Tahoma" w:cs="Tahoma"/>
                <w:b w:val="0"/>
                <w:sz w:val="14"/>
                <w:szCs w:val="16"/>
              </w:rPr>
            </w:pPr>
            <w:bookmarkStart w:id="258" w:name="_Toc336338000"/>
            <w:bookmarkStart w:id="259" w:name="_Toc371663394"/>
            <w:r w:rsidRPr="0058047D">
              <w:rPr>
                <w:rFonts w:ascii="Tahoma" w:hAnsi="Tahoma" w:cs="Tahoma"/>
                <w:b w:val="0"/>
                <w:sz w:val="14"/>
                <w:szCs w:val="16"/>
              </w:rPr>
              <w:t>Enterprise CAL per Lync Server</w:t>
            </w:r>
            <w:bookmarkEnd w:id="258"/>
            <w:r w:rsidRPr="0058047D">
              <w:rPr>
                <w:rFonts w:ascii="Tahoma" w:hAnsi="Tahoma" w:cs="Tahoma"/>
                <w:b w:val="0"/>
                <w:sz w:val="14"/>
                <w:szCs w:val="16"/>
              </w:rPr>
              <w:t xml:space="preserve"> 2013</w:t>
            </w:r>
            <w:bookmarkEnd w:id="259"/>
          </w:p>
        </w:tc>
        <w:tc>
          <w:tcPr>
            <w:tcW w:w="554" w:type="dxa"/>
            <w:tcBorders>
              <w:bottom w:val="single" w:sz="4" w:space="0" w:color="auto"/>
            </w:tcBorders>
            <w:shd w:val="clear" w:color="auto" w:fill="auto"/>
            <w:vAlign w:val="center"/>
          </w:tcPr>
          <w:p w14:paraId="055AA236" w14:textId="77777777" w:rsidR="00913A0A" w:rsidRPr="0058047D" w:rsidDel="006A2F66" w:rsidRDefault="00913A0A" w:rsidP="001A63C6">
            <w:pPr>
              <w:pStyle w:val="TableText"/>
              <w:widowControl w:val="0"/>
              <w:rPr>
                <w:b/>
                <w:color w:val="0000FF"/>
                <w:sz w:val="13"/>
                <w:szCs w:val="13"/>
                <w:u w:val="single"/>
              </w:rPr>
            </w:pPr>
          </w:p>
        </w:tc>
        <w:tc>
          <w:tcPr>
            <w:tcW w:w="516" w:type="dxa"/>
            <w:tcBorders>
              <w:bottom w:val="single" w:sz="4" w:space="0" w:color="auto"/>
            </w:tcBorders>
            <w:shd w:val="clear" w:color="auto" w:fill="auto"/>
          </w:tcPr>
          <w:p w14:paraId="010D9D14" w14:textId="77777777" w:rsidR="00913A0A" w:rsidRPr="0058047D" w:rsidDel="006A2F66" w:rsidRDefault="00913A0A" w:rsidP="001A63C6">
            <w:pPr>
              <w:pStyle w:val="TableText"/>
              <w:widowControl w:val="0"/>
              <w:spacing w:before="120"/>
              <w:rPr>
                <w:rFonts w:ascii="Tahoma" w:hAnsi="Tahoma" w:cs="Tahoma"/>
                <w:color w:val="000000"/>
                <w:sz w:val="13"/>
              </w:rPr>
            </w:pPr>
            <w:r w:rsidRPr="0058047D">
              <w:rPr>
                <w:rFonts w:ascii="Tahoma" w:hAnsi="Tahoma" w:cs="Tahoma"/>
                <w:color w:val="000000"/>
                <w:sz w:val="13"/>
              </w:rPr>
              <w:t>10/12</w:t>
            </w:r>
          </w:p>
        </w:tc>
        <w:tc>
          <w:tcPr>
            <w:tcW w:w="358" w:type="dxa"/>
            <w:tcBorders>
              <w:bottom w:val="single" w:sz="4" w:space="0" w:color="auto"/>
              <w:right w:val="single" w:sz="18" w:space="0" w:color="auto"/>
            </w:tcBorders>
            <w:shd w:val="clear" w:color="auto" w:fill="auto"/>
            <w:vAlign w:val="center"/>
          </w:tcPr>
          <w:p w14:paraId="024FC93C"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49E7A26B"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1</w:t>
            </w:r>
          </w:p>
        </w:tc>
        <w:tc>
          <w:tcPr>
            <w:tcW w:w="324" w:type="dxa"/>
            <w:tcBorders>
              <w:bottom w:val="single" w:sz="4" w:space="0" w:color="auto"/>
            </w:tcBorders>
            <w:shd w:val="clear" w:color="auto" w:fill="auto"/>
            <w:vAlign w:val="center"/>
          </w:tcPr>
          <w:p w14:paraId="564EBADF"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3</w:t>
            </w:r>
          </w:p>
        </w:tc>
        <w:tc>
          <w:tcPr>
            <w:tcW w:w="366" w:type="dxa"/>
            <w:tcBorders>
              <w:bottom w:val="single" w:sz="4" w:space="0" w:color="auto"/>
            </w:tcBorders>
            <w:shd w:val="clear" w:color="auto" w:fill="auto"/>
            <w:vAlign w:val="center"/>
          </w:tcPr>
          <w:p w14:paraId="2563DFFE"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2</w:t>
            </w:r>
          </w:p>
        </w:tc>
        <w:tc>
          <w:tcPr>
            <w:tcW w:w="456" w:type="dxa"/>
            <w:gridSpan w:val="2"/>
            <w:tcBorders>
              <w:bottom w:val="single" w:sz="4" w:space="0" w:color="auto"/>
            </w:tcBorders>
            <w:shd w:val="clear" w:color="auto" w:fill="auto"/>
            <w:vAlign w:val="center"/>
          </w:tcPr>
          <w:p w14:paraId="0394EB18"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auto"/>
            <w:vAlign w:val="center"/>
          </w:tcPr>
          <w:p w14:paraId="030BA6B4"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auto"/>
            <w:vAlign w:val="center"/>
          </w:tcPr>
          <w:p w14:paraId="7106F698"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1</w:t>
            </w:r>
          </w:p>
        </w:tc>
        <w:tc>
          <w:tcPr>
            <w:tcW w:w="336" w:type="dxa"/>
            <w:tcBorders>
              <w:bottom w:val="single" w:sz="4" w:space="0" w:color="auto"/>
              <w:right w:val="single" w:sz="18" w:space="0" w:color="auto"/>
            </w:tcBorders>
            <w:shd w:val="clear" w:color="auto" w:fill="auto"/>
            <w:vAlign w:val="center"/>
          </w:tcPr>
          <w:p w14:paraId="332F0FB2"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left w:val="single" w:sz="18" w:space="0" w:color="auto"/>
              <w:bottom w:val="single" w:sz="4" w:space="0" w:color="auto"/>
            </w:tcBorders>
            <w:shd w:val="clear" w:color="auto" w:fill="auto"/>
            <w:vAlign w:val="center"/>
          </w:tcPr>
          <w:p w14:paraId="2F79EE6A"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1</w:t>
            </w:r>
          </w:p>
        </w:tc>
        <w:tc>
          <w:tcPr>
            <w:tcW w:w="450" w:type="dxa"/>
            <w:tcBorders>
              <w:bottom w:val="single" w:sz="4" w:space="0" w:color="auto"/>
            </w:tcBorders>
            <w:shd w:val="clear" w:color="auto" w:fill="auto"/>
            <w:vAlign w:val="center"/>
          </w:tcPr>
          <w:p w14:paraId="73BC2EAC"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2</w:t>
            </w:r>
          </w:p>
        </w:tc>
        <w:tc>
          <w:tcPr>
            <w:tcW w:w="414" w:type="dxa"/>
            <w:tcBorders>
              <w:bottom w:val="single" w:sz="4" w:space="0" w:color="auto"/>
              <w:right w:val="single" w:sz="18" w:space="0" w:color="auto"/>
            </w:tcBorders>
            <w:shd w:val="clear" w:color="auto" w:fill="auto"/>
            <w:vAlign w:val="center"/>
          </w:tcPr>
          <w:p w14:paraId="15577858"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1</w:t>
            </w:r>
          </w:p>
        </w:tc>
        <w:tc>
          <w:tcPr>
            <w:tcW w:w="468" w:type="dxa"/>
            <w:tcBorders>
              <w:left w:val="single" w:sz="18" w:space="0" w:color="auto"/>
              <w:bottom w:val="single" w:sz="4" w:space="0" w:color="auto"/>
            </w:tcBorders>
            <w:shd w:val="clear" w:color="auto" w:fill="auto"/>
            <w:vAlign w:val="center"/>
          </w:tcPr>
          <w:p w14:paraId="57B0852F"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auto"/>
            <w:vAlign w:val="center"/>
          </w:tcPr>
          <w:p w14:paraId="29F24546"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4E58692B"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auto"/>
          </w:tcPr>
          <w:p w14:paraId="30C76F30" w14:textId="77777777" w:rsidR="00913A0A" w:rsidRPr="0058047D" w:rsidDel="006A2F66" w:rsidRDefault="00913A0A" w:rsidP="001A63C6">
            <w:pPr>
              <w:pStyle w:val="TableText"/>
              <w:widowControl w:val="0"/>
              <w:spacing w:before="120"/>
              <w:rPr>
                <w:rFonts w:ascii="Tahoma" w:hAnsi="Tahoma" w:cs="Tahoma"/>
                <w:sz w:val="13"/>
              </w:rPr>
            </w:pPr>
            <w:r w:rsidRPr="0058047D">
              <w:rPr>
                <w:rFonts w:ascii="Tahoma" w:hAnsi="Tahoma" w:cs="Tahoma"/>
                <w:sz w:val="13"/>
              </w:rPr>
              <w:t>AO, ST</w:t>
            </w:r>
          </w:p>
        </w:tc>
        <w:tc>
          <w:tcPr>
            <w:tcW w:w="504" w:type="dxa"/>
            <w:tcBorders>
              <w:bottom w:val="single" w:sz="4" w:space="0" w:color="auto"/>
            </w:tcBorders>
            <w:shd w:val="clear" w:color="auto" w:fill="auto"/>
            <w:vAlign w:val="center"/>
          </w:tcPr>
          <w:p w14:paraId="6E0152BC"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tcPr>
          <w:p w14:paraId="43CFEF62"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4A624A18" w14:textId="77777777" w:rsidTr="00C86F50">
        <w:trPr>
          <w:trHeight w:val="145"/>
        </w:trPr>
        <w:tc>
          <w:tcPr>
            <w:tcW w:w="2619" w:type="dxa"/>
            <w:gridSpan w:val="2"/>
            <w:tcBorders>
              <w:bottom w:val="single" w:sz="4" w:space="0" w:color="auto"/>
            </w:tcBorders>
            <w:shd w:val="clear" w:color="auto" w:fill="FABF8F"/>
            <w:vAlign w:val="center"/>
          </w:tcPr>
          <w:p w14:paraId="1A784BC3" w14:textId="77777777" w:rsidR="00913A0A" w:rsidRPr="003F471F" w:rsidDel="006A2F66" w:rsidRDefault="00913A0A" w:rsidP="001A63C6">
            <w:pPr>
              <w:pStyle w:val="Heading2"/>
              <w:ind w:left="0"/>
              <w:rPr>
                <w:rFonts w:ascii="Tahoma" w:hAnsi="Tahoma" w:cs="Tahoma"/>
                <w:b w:val="0"/>
                <w:sz w:val="14"/>
                <w:szCs w:val="16"/>
                <w:lang w:val="fr-FR"/>
              </w:rPr>
            </w:pPr>
            <w:bookmarkStart w:id="260" w:name="_Toc336338002"/>
            <w:bookmarkStart w:id="261" w:name="_Toc371663395"/>
            <w:r w:rsidRPr="003F471F">
              <w:rPr>
                <w:rFonts w:ascii="Tahoma" w:hAnsi="Tahoma" w:cs="Tahoma"/>
                <w:b w:val="0"/>
                <w:sz w:val="14"/>
                <w:szCs w:val="16"/>
                <w:lang w:val="fr-FR"/>
              </w:rPr>
              <w:t>Plus CAL per Lync Server</w:t>
            </w:r>
            <w:bookmarkEnd w:id="260"/>
            <w:r w:rsidRPr="003F471F">
              <w:rPr>
                <w:rFonts w:ascii="Tahoma" w:hAnsi="Tahoma" w:cs="Tahoma"/>
                <w:b w:val="0"/>
                <w:sz w:val="14"/>
                <w:szCs w:val="16"/>
                <w:lang w:val="fr-FR"/>
              </w:rPr>
              <w:t xml:space="preserve"> 2013</w:t>
            </w:r>
            <w:bookmarkEnd w:id="261"/>
          </w:p>
        </w:tc>
        <w:tc>
          <w:tcPr>
            <w:tcW w:w="554" w:type="dxa"/>
            <w:tcBorders>
              <w:bottom w:val="single" w:sz="4" w:space="0" w:color="auto"/>
            </w:tcBorders>
            <w:shd w:val="clear" w:color="auto" w:fill="FABF8F"/>
            <w:vAlign w:val="center"/>
          </w:tcPr>
          <w:p w14:paraId="13FF48D7" w14:textId="77777777" w:rsidR="00913A0A" w:rsidRPr="003F471F" w:rsidDel="006A2F66" w:rsidRDefault="00913A0A" w:rsidP="001A63C6">
            <w:pPr>
              <w:pStyle w:val="TableText"/>
              <w:widowControl w:val="0"/>
              <w:rPr>
                <w:b/>
                <w:color w:val="0000FF"/>
                <w:sz w:val="13"/>
                <w:szCs w:val="13"/>
                <w:u w:val="single"/>
                <w:lang w:val="fr-FR"/>
              </w:rPr>
            </w:pPr>
            <w:bookmarkStart w:id="262" w:name="_Hlt335908886"/>
          </w:p>
        </w:tc>
        <w:bookmarkEnd w:id="262"/>
        <w:tc>
          <w:tcPr>
            <w:tcW w:w="516" w:type="dxa"/>
            <w:tcBorders>
              <w:bottom w:val="single" w:sz="4" w:space="0" w:color="auto"/>
            </w:tcBorders>
            <w:shd w:val="clear" w:color="auto" w:fill="FABF8F"/>
          </w:tcPr>
          <w:p w14:paraId="439A2125" w14:textId="77777777" w:rsidR="00913A0A" w:rsidRPr="0058047D" w:rsidDel="006A2F66" w:rsidRDefault="00913A0A" w:rsidP="001A63C6">
            <w:pPr>
              <w:pStyle w:val="TableText"/>
              <w:widowControl w:val="0"/>
              <w:spacing w:before="120"/>
              <w:rPr>
                <w:rFonts w:ascii="Tahoma" w:hAnsi="Tahoma" w:cs="Tahoma"/>
                <w:color w:val="000000"/>
                <w:sz w:val="13"/>
              </w:rPr>
            </w:pPr>
            <w:r w:rsidRPr="0058047D">
              <w:rPr>
                <w:rFonts w:ascii="Tahoma" w:hAnsi="Tahoma" w:cs="Tahoma"/>
                <w:color w:val="000000"/>
                <w:sz w:val="13"/>
              </w:rPr>
              <w:t>10/12</w:t>
            </w:r>
          </w:p>
        </w:tc>
        <w:tc>
          <w:tcPr>
            <w:tcW w:w="358" w:type="dxa"/>
            <w:tcBorders>
              <w:bottom w:val="single" w:sz="4" w:space="0" w:color="auto"/>
              <w:right w:val="single" w:sz="18" w:space="0" w:color="auto"/>
            </w:tcBorders>
            <w:shd w:val="clear" w:color="auto" w:fill="FABF8F"/>
            <w:vAlign w:val="center"/>
          </w:tcPr>
          <w:p w14:paraId="0AF65565"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center"/>
          </w:tcPr>
          <w:p w14:paraId="2736CC13"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1</w:t>
            </w:r>
          </w:p>
        </w:tc>
        <w:tc>
          <w:tcPr>
            <w:tcW w:w="324" w:type="dxa"/>
            <w:tcBorders>
              <w:bottom w:val="single" w:sz="4" w:space="0" w:color="auto"/>
            </w:tcBorders>
            <w:shd w:val="clear" w:color="auto" w:fill="FABF8F"/>
            <w:vAlign w:val="center"/>
          </w:tcPr>
          <w:p w14:paraId="7C3FBA35"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3</w:t>
            </w:r>
          </w:p>
        </w:tc>
        <w:tc>
          <w:tcPr>
            <w:tcW w:w="366" w:type="dxa"/>
            <w:tcBorders>
              <w:bottom w:val="single" w:sz="4" w:space="0" w:color="auto"/>
            </w:tcBorders>
            <w:shd w:val="clear" w:color="auto" w:fill="FABF8F"/>
            <w:vAlign w:val="center"/>
          </w:tcPr>
          <w:p w14:paraId="33D78422"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2</w:t>
            </w:r>
          </w:p>
        </w:tc>
        <w:tc>
          <w:tcPr>
            <w:tcW w:w="456" w:type="dxa"/>
            <w:gridSpan w:val="2"/>
            <w:tcBorders>
              <w:bottom w:val="single" w:sz="4" w:space="0" w:color="auto"/>
            </w:tcBorders>
            <w:shd w:val="clear" w:color="auto" w:fill="FABF8F"/>
            <w:vAlign w:val="center"/>
          </w:tcPr>
          <w:p w14:paraId="6DF4D002"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FABF8F"/>
            <w:vAlign w:val="center"/>
          </w:tcPr>
          <w:p w14:paraId="63DCDDC0"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FABF8F"/>
            <w:vAlign w:val="center"/>
          </w:tcPr>
          <w:p w14:paraId="2B3406DD"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1</w:t>
            </w:r>
          </w:p>
        </w:tc>
        <w:tc>
          <w:tcPr>
            <w:tcW w:w="336" w:type="dxa"/>
            <w:tcBorders>
              <w:bottom w:val="single" w:sz="4" w:space="0" w:color="auto"/>
              <w:right w:val="single" w:sz="18" w:space="0" w:color="auto"/>
            </w:tcBorders>
            <w:shd w:val="clear" w:color="auto" w:fill="FABF8F"/>
            <w:vAlign w:val="center"/>
          </w:tcPr>
          <w:p w14:paraId="05F80649"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left w:val="single" w:sz="18" w:space="0" w:color="auto"/>
              <w:bottom w:val="single" w:sz="4" w:space="0" w:color="auto"/>
            </w:tcBorders>
            <w:shd w:val="clear" w:color="auto" w:fill="FABF8F"/>
            <w:vAlign w:val="center"/>
          </w:tcPr>
          <w:p w14:paraId="1715C243"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1</w:t>
            </w:r>
          </w:p>
        </w:tc>
        <w:tc>
          <w:tcPr>
            <w:tcW w:w="450" w:type="dxa"/>
            <w:tcBorders>
              <w:bottom w:val="single" w:sz="4" w:space="0" w:color="auto"/>
            </w:tcBorders>
            <w:shd w:val="clear" w:color="auto" w:fill="FABF8F"/>
            <w:vAlign w:val="center"/>
          </w:tcPr>
          <w:p w14:paraId="38CA5078"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2</w:t>
            </w:r>
          </w:p>
        </w:tc>
        <w:tc>
          <w:tcPr>
            <w:tcW w:w="414" w:type="dxa"/>
            <w:tcBorders>
              <w:bottom w:val="single" w:sz="4" w:space="0" w:color="auto"/>
              <w:right w:val="single" w:sz="18" w:space="0" w:color="auto"/>
            </w:tcBorders>
            <w:shd w:val="clear" w:color="auto" w:fill="FABF8F"/>
            <w:vAlign w:val="center"/>
          </w:tcPr>
          <w:p w14:paraId="447DD40D"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1</w:t>
            </w:r>
          </w:p>
        </w:tc>
        <w:tc>
          <w:tcPr>
            <w:tcW w:w="468" w:type="dxa"/>
            <w:tcBorders>
              <w:left w:val="single" w:sz="18" w:space="0" w:color="auto"/>
              <w:bottom w:val="single" w:sz="4" w:space="0" w:color="auto"/>
            </w:tcBorders>
            <w:shd w:val="clear" w:color="auto" w:fill="FABF8F"/>
            <w:vAlign w:val="center"/>
          </w:tcPr>
          <w:p w14:paraId="2A3CC300"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FABF8F"/>
            <w:vAlign w:val="center"/>
          </w:tcPr>
          <w:p w14:paraId="7811AD64"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5935BFBA"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tcPr>
          <w:p w14:paraId="7E0919B5" w14:textId="77777777" w:rsidR="00913A0A" w:rsidRPr="0058047D" w:rsidDel="006A2F66" w:rsidRDefault="00913A0A" w:rsidP="001A63C6">
            <w:pPr>
              <w:pStyle w:val="TableText"/>
              <w:widowControl w:val="0"/>
              <w:spacing w:before="120"/>
              <w:rPr>
                <w:rFonts w:ascii="Tahoma" w:hAnsi="Tahoma" w:cs="Tahoma"/>
                <w:sz w:val="13"/>
              </w:rPr>
            </w:pPr>
            <w:r w:rsidRPr="0058047D">
              <w:rPr>
                <w:rFonts w:ascii="Tahoma" w:hAnsi="Tahoma" w:cs="Tahoma"/>
                <w:sz w:val="13"/>
              </w:rPr>
              <w:t>A, ST</w:t>
            </w:r>
          </w:p>
        </w:tc>
        <w:tc>
          <w:tcPr>
            <w:tcW w:w="504" w:type="dxa"/>
            <w:tcBorders>
              <w:bottom w:val="single" w:sz="4" w:space="0" w:color="auto"/>
            </w:tcBorders>
            <w:shd w:val="clear" w:color="auto" w:fill="FABF8F"/>
            <w:vAlign w:val="center"/>
          </w:tcPr>
          <w:p w14:paraId="3E2C3E79"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42657C67"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0C9AC65B" w14:textId="77777777" w:rsidTr="00C86F50">
        <w:trPr>
          <w:trHeight w:val="145"/>
        </w:trPr>
        <w:tc>
          <w:tcPr>
            <w:tcW w:w="2619" w:type="dxa"/>
            <w:gridSpan w:val="2"/>
            <w:tcBorders>
              <w:bottom w:val="single" w:sz="4" w:space="0" w:color="auto"/>
            </w:tcBorders>
            <w:shd w:val="clear" w:color="auto" w:fill="auto"/>
            <w:vAlign w:val="center"/>
          </w:tcPr>
          <w:p w14:paraId="37C149EB" w14:textId="77777777" w:rsidR="00913A0A" w:rsidRPr="0058047D" w:rsidDel="006A2F66" w:rsidRDefault="00913A0A" w:rsidP="001A63C6">
            <w:pPr>
              <w:pStyle w:val="Heading2"/>
              <w:ind w:left="0"/>
              <w:rPr>
                <w:rFonts w:ascii="Tahoma" w:hAnsi="Tahoma" w:cs="Tahoma"/>
                <w:b w:val="0"/>
                <w:sz w:val="14"/>
                <w:szCs w:val="16"/>
              </w:rPr>
            </w:pPr>
            <w:bookmarkStart w:id="263" w:name="_Toc336338005"/>
            <w:bookmarkStart w:id="264" w:name="_Toc371663396"/>
            <w:r w:rsidRPr="0058047D">
              <w:rPr>
                <w:rFonts w:ascii="Tahoma" w:hAnsi="Tahoma" w:cs="Tahoma"/>
                <w:b w:val="0"/>
                <w:sz w:val="14"/>
                <w:szCs w:val="16"/>
              </w:rPr>
              <w:t>Standard CAL per Lync Server</w:t>
            </w:r>
            <w:bookmarkEnd w:id="263"/>
            <w:r w:rsidRPr="0058047D">
              <w:rPr>
                <w:rFonts w:ascii="Tahoma" w:hAnsi="Tahoma" w:cs="Tahoma"/>
                <w:b w:val="0"/>
                <w:sz w:val="14"/>
                <w:szCs w:val="16"/>
              </w:rPr>
              <w:t xml:space="preserve"> 2013</w:t>
            </w:r>
            <w:bookmarkEnd w:id="264"/>
          </w:p>
        </w:tc>
        <w:tc>
          <w:tcPr>
            <w:tcW w:w="554" w:type="dxa"/>
            <w:tcBorders>
              <w:bottom w:val="single" w:sz="4" w:space="0" w:color="auto"/>
            </w:tcBorders>
            <w:shd w:val="clear" w:color="auto" w:fill="auto"/>
            <w:vAlign w:val="center"/>
          </w:tcPr>
          <w:p w14:paraId="0D3D95FD" w14:textId="77777777" w:rsidR="00913A0A" w:rsidRPr="0058047D" w:rsidDel="006A2F66" w:rsidRDefault="00913A0A" w:rsidP="001A63C6">
            <w:pPr>
              <w:pStyle w:val="TableText"/>
              <w:widowControl w:val="0"/>
              <w:rPr>
                <w:b/>
                <w:color w:val="0000FF"/>
                <w:sz w:val="13"/>
                <w:szCs w:val="13"/>
                <w:u w:val="single"/>
              </w:rPr>
            </w:pPr>
          </w:p>
        </w:tc>
        <w:tc>
          <w:tcPr>
            <w:tcW w:w="516" w:type="dxa"/>
            <w:tcBorders>
              <w:bottom w:val="single" w:sz="4" w:space="0" w:color="auto"/>
            </w:tcBorders>
            <w:shd w:val="clear" w:color="auto" w:fill="auto"/>
          </w:tcPr>
          <w:p w14:paraId="0EAFC7AE" w14:textId="77777777" w:rsidR="00913A0A" w:rsidRPr="0058047D" w:rsidDel="006A2F66" w:rsidRDefault="00913A0A" w:rsidP="001A63C6">
            <w:pPr>
              <w:pStyle w:val="TableText"/>
              <w:widowControl w:val="0"/>
              <w:spacing w:before="120"/>
              <w:rPr>
                <w:rFonts w:ascii="Tahoma" w:hAnsi="Tahoma" w:cs="Tahoma"/>
                <w:color w:val="000000"/>
                <w:sz w:val="13"/>
              </w:rPr>
            </w:pPr>
            <w:r w:rsidRPr="0058047D">
              <w:rPr>
                <w:rFonts w:ascii="Tahoma" w:hAnsi="Tahoma" w:cs="Tahoma"/>
                <w:color w:val="000000"/>
                <w:sz w:val="13"/>
              </w:rPr>
              <w:t>10/12</w:t>
            </w:r>
          </w:p>
        </w:tc>
        <w:tc>
          <w:tcPr>
            <w:tcW w:w="358" w:type="dxa"/>
            <w:tcBorders>
              <w:bottom w:val="single" w:sz="4" w:space="0" w:color="auto"/>
              <w:right w:val="single" w:sz="18" w:space="0" w:color="auto"/>
            </w:tcBorders>
            <w:shd w:val="clear" w:color="auto" w:fill="auto"/>
            <w:vAlign w:val="center"/>
          </w:tcPr>
          <w:p w14:paraId="088C1D9B"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02586A0D"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1</w:t>
            </w:r>
          </w:p>
        </w:tc>
        <w:tc>
          <w:tcPr>
            <w:tcW w:w="324" w:type="dxa"/>
            <w:tcBorders>
              <w:bottom w:val="single" w:sz="4" w:space="0" w:color="auto"/>
            </w:tcBorders>
            <w:shd w:val="clear" w:color="auto" w:fill="auto"/>
            <w:vAlign w:val="center"/>
          </w:tcPr>
          <w:p w14:paraId="14E924AE"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3</w:t>
            </w:r>
          </w:p>
        </w:tc>
        <w:tc>
          <w:tcPr>
            <w:tcW w:w="366" w:type="dxa"/>
            <w:tcBorders>
              <w:bottom w:val="single" w:sz="4" w:space="0" w:color="auto"/>
            </w:tcBorders>
            <w:shd w:val="clear" w:color="auto" w:fill="auto"/>
            <w:vAlign w:val="center"/>
          </w:tcPr>
          <w:p w14:paraId="4F30E447"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2</w:t>
            </w:r>
          </w:p>
        </w:tc>
        <w:tc>
          <w:tcPr>
            <w:tcW w:w="456" w:type="dxa"/>
            <w:gridSpan w:val="2"/>
            <w:tcBorders>
              <w:bottom w:val="single" w:sz="4" w:space="0" w:color="auto"/>
            </w:tcBorders>
            <w:shd w:val="clear" w:color="auto" w:fill="auto"/>
            <w:vAlign w:val="center"/>
          </w:tcPr>
          <w:p w14:paraId="21B26A10"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auto"/>
            <w:vAlign w:val="center"/>
          </w:tcPr>
          <w:p w14:paraId="549B9B5D"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auto"/>
            <w:vAlign w:val="center"/>
          </w:tcPr>
          <w:p w14:paraId="70A4176C"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1</w:t>
            </w:r>
          </w:p>
        </w:tc>
        <w:tc>
          <w:tcPr>
            <w:tcW w:w="336" w:type="dxa"/>
            <w:tcBorders>
              <w:bottom w:val="single" w:sz="4" w:space="0" w:color="auto"/>
              <w:right w:val="single" w:sz="18" w:space="0" w:color="auto"/>
            </w:tcBorders>
            <w:shd w:val="clear" w:color="auto" w:fill="auto"/>
            <w:vAlign w:val="center"/>
          </w:tcPr>
          <w:p w14:paraId="622385DD"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left w:val="single" w:sz="18" w:space="0" w:color="auto"/>
              <w:bottom w:val="single" w:sz="4" w:space="0" w:color="auto"/>
            </w:tcBorders>
            <w:shd w:val="clear" w:color="auto" w:fill="auto"/>
            <w:vAlign w:val="center"/>
          </w:tcPr>
          <w:p w14:paraId="07D36467"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1</w:t>
            </w:r>
          </w:p>
        </w:tc>
        <w:tc>
          <w:tcPr>
            <w:tcW w:w="450" w:type="dxa"/>
            <w:tcBorders>
              <w:bottom w:val="single" w:sz="4" w:space="0" w:color="auto"/>
            </w:tcBorders>
            <w:shd w:val="clear" w:color="auto" w:fill="auto"/>
            <w:vAlign w:val="center"/>
          </w:tcPr>
          <w:p w14:paraId="53BF7339"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2</w:t>
            </w:r>
          </w:p>
        </w:tc>
        <w:tc>
          <w:tcPr>
            <w:tcW w:w="414" w:type="dxa"/>
            <w:tcBorders>
              <w:bottom w:val="single" w:sz="4" w:space="0" w:color="auto"/>
              <w:right w:val="single" w:sz="18" w:space="0" w:color="auto"/>
            </w:tcBorders>
            <w:shd w:val="clear" w:color="auto" w:fill="auto"/>
            <w:vAlign w:val="center"/>
          </w:tcPr>
          <w:p w14:paraId="72B42733"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1</w:t>
            </w:r>
          </w:p>
        </w:tc>
        <w:tc>
          <w:tcPr>
            <w:tcW w:w="468" w:type="dxa"/>
            <w:tcBorders>
              <w:left w:val="single" w:sz="18" w:space="0" w:color="auto"/>
              <w:bottom w:val="single" w:sz="4" w:space="0" w:color="auto"/>
            </w:tcBorders>
            <w:shd w:val="clear" w:color="auto" w:fill="auto"/>
            <w:vAlign w:val="center"/>
          </w:tcPr>
          <w:p w14:paraId="0450B309"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auto"/>
            <w:vAlign w:val="center"/>
          </w:tcPr>
          <w:p w14:paraId="26F11C24" w14:textId="77777777" w:rsidR="00913A0A" w:rsidRPr="0058047D" w:rsidDel="006A2F66"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0AD14994" w14:textId="77777777" w:rsidR="00913A0A" w:rsidRPr="0058047D" w:rsidDel="006A2F66"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auto"/>
          </w:tcPr>
          <w:p w14:paraId="1A006498" w14:textId="77777777" w:rsidR="00913A0A" w:rsidRPr="0058047D" w:rsidDel="006A2F66" w:rsidRDefault="00913A0A" w:rsidP="001A63C6">
            <w:pPr>
              <w:pStyle w:val="TableText"/>
              <w:widowControl w:val="0"/>
              <w:spacing w:before="120"/>
              <w:rPr>
                <w:rFonts w:ascii="Tahoma" w:hAnsi="Tahoma" w:cs="Tahoma"/>
                <w:sz w:val="13"/>
              </w:rPr>
            </w:pPr>
            <w:r w:rsidRPr="0058047D">
              <w:rPr>
                <w:rFonts w:ascii="Tahoma" w:hAnsi="Tahoma" w:cs="Tahoma"/>
                <w:sz w:val="13"/>
              </w:rPr>
              <w:t>A, ST</w:t>
            </w:r>
          </w:p>
        </w:tc>
        <w:tc>
          <w:tcPr>
            <w:tcW w:w="504" w:type="dxa"/>
            <w:tcBorders>
              <w:bottom w:val="single" w:sz="4" w:space="0" w:color="auto"/>
            </w:tcBorders>
            <w:shd w:val="clear" w:color="auto" w:fill="auto"/>
            <w:vAlign w:val="center"/>
          </w:tcPr>
          <w:p w14:paraId="1C1FED0B"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tcPr>
          <w:p w14:paraId="0FD57FF6"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3A79F728" w14:textId="77777777" w:rsidTr="00C86F50">
        <w:trPr>
          <w:trHeight w:val="70"/>
        </w:trPr>
        <w:tc>
          <w:tcPr>
            <w:tcW w:w="2619" w:type="dxa"/>
            <w:gridSpan w:val="2"/>
            <w:tcBorders>
              <w:bottom w:val="single" w:sz="4" w:space="0" w:color="auto"/>
            </w:tcBorders>
            <w:shd w:val="clear" w:color="auto" w:fill="FABF8F"/>
            <w:vAlign w:val="center"/>
          </w:tcPr>
          <w:p w14:paraId="28B83733" w14:textId="77777777" w:rsidR="00913A0A" w:rsidRPr="003F471F" w:rsidRDefault="00913A0A">
            <w:pPr>
              <w:pStyle w:val="Heading2"/>
              <w:ind w:left="0"/>
              <w:rPr>
                <w:rFonts w:ascii="Tahoma" w:hAnsi="Tahoma" w:cs="Tahoma"/>
                <w:b w:val="0"/>
                <w:sz w:val="14"/>
                <w:szCs w:val="14"/>
                <w:lang w:val="it-IT"/>
              </w:rPr>
            </w:pPr>
            <w:bookmarkStart w:id="265" w:name="_Toc336338007"/>
            <w:bookmarkStart w:id="266" w:name="_Toc371663397"/>
            <w:r w:rsidRPr="003F471F">
              <w:rPr>
                <w:rFonts w:ascii="Tahoma" w:hAnsi="Tahoma" w:cs="Tahoma"/>
                <w:b w:val="0"/>
                <w:sz w:val="14"/>
                <w:szCs w:val="14"/>
                <w:lang w:val="it-IT"/>
              </w:rPr>
              <w:t>Enterprise Additive CAL per Microsoft Dynamics AX 2012 R2 (Utente e Dispositivo)</w:t>
            </w:r>
            <w:bookmarkEnd w:id="265"/>
            <w:bookmarkEnd w:id="266"/>
          </w:p>
        </w:tc>
        <w:tc>
          <w:tcPr>
            <w:tcW w:w="554" w:type="dxa"/>
            <w:tcBorders>
              <w:bottom w:val="single" w:sz="4" w:space="0" w:color="auto"/>
            </w:tcBorders>
            <w:shd w:val="clear" w:color="auto" w:fill="FABF8F"/>
            <w:vAlign w:val="center"/>
          </w:tcPr>
          <w:p w14:paraId="3E2A6476" w14:textId="77777777" w:rsidR="00913A0A" w:rsidRPr="0058047D" w:rsidRDefault="00C86F50" w:rsidP="00793532">
            <w:pPr>
              <w:pStyle w:val="TableText"/>
              <w:widowControl w:val="0"/>
              <w:rPr>
                <w:rFonts w:cs="Tahoma"/>
                <w:b/>
                <w:color w:val="0000FF"/>
                <w:sz w:val="13"/>
                <w:szCs w:val="13"/>
                <w:u w:val="single"/>
              </w:rPr>
            </w:pPr>
            <w:hyperlink w:anchor="_72_Microsoft_Dynamics" w:history="1">
              <w:r w:rsidR="00BF5FC6" w:rsidRPr="0058047D">
                <w:rPr>
                  <w:rStyle w:val="Hyperlink"/>
                  <w:rFonts w:cs="Tahoma"/>
                  <w:b/>
                  <w:sz w:val="13"/>
                  <w:szCs w:val="13"/>
                </w:rPr>
                <w:t>70</w:t>
              </w:r>
            </w:hyperlink>
          </w:p>
        </w:tc>
        <w:tc>
          <w:tcPr>
            <w:tcW w:w="516" w:type="dxa"/>
            <w:tcBorders>
              <w:bottom w:val="single" w:sz="4" w:space="0" w:color="auto"/>
            </w:tcBorders>
            <w:shd w:val="clear" w:color="auto" w:fill="FABF8F"/>
          </w:tcPr>
          <w:p w14:paraId="7B5CE0E6"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12/12</w:t>
            </w:r>
          </w:p>
        </w:tc>
        <w:tc>
          <w:tcPr>
            <w:tcW w:w="358" w:type="dxa"/>
            <w:tcBorders>
              <w:bottom w:val="single" w:sz="4" w:space="0" w:color="auto"/>
              <w:right w:val="single" w:sz="18" w:space="0" w:color="auto"/>
            </w:tcBorders>
            <w:shd w:val="clear" w:color="auto" w:fill="FABF8F"/>
            <w:vAlign w:val="center"/>
          </w:tcPr>
          <w:p w14:paraId="352CD62F"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center"/>
          </w:tcPr>
          <w:p w14:paraId="1421A204"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69513E3B"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6CCD41E9"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196677BD"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B0C5D50"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4647CC2"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4E130F3E"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4C3CA599"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DA9C3E2"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04CCA520"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39E75EF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25</w:t>
            </w:r>
          </w:p>
        </w:tc>
        <w:tc>
          <w:tcPr>
            <w:tcW w:w="477" w:type="dxa"/>
            <w:tcBorders>
              <w:bottom w:val="single" w:sz="4" w:space="0" w:color="auto"/>
              <w:right w:val="single" w:sz="18" w:space="0" w:color="auto"/>
            </w:tcBorders>
            <w:shd w:val="clear" w:color="auto" w:fill="FABF8F"/>
            <w:vAlign w:val="center"/>
          </w:tcPr>
          <w:p w14:paraId="7C3224BB"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2AB80A54"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7170FDAC"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16C0A26D" w14:textId="77777777" w:rsidR="00913A0A" w:rsidRPr="0058047D" w:rsidRDefault="00913A0A" w:rsidP="001A63C6">
            <w:pPr>
              <w:pStyle w:val="TableText"/>
              <w:widowControl w:val="0"/>
              <w:jc w:val="left"/>
              <w:rPr>
                <w:rFonts w:ascii="Tahoma" w:hAnsi="Tahoma" w:cs="Tahoma"/>
                <w:sz w:val="13"/>
              </w:rPr>
            </w:pPr>
          </w:p>
        </w:tc>
        <w:tc>
          <w:tcPr>
            <w:tcW w:w="405" w:type="dxa"/>
            <w:tcBorders>
              <w:bottom w:val="single" w:sz="4" w:space="0" w:color="auto"/>
            </w:tcBorders>
            <w:shd w:val="clear" w:color="auto" w:fill="FABF8F"/>
          </w:tcPr>
          <w:p w14:paraId="7723FBA6" w14:textId="77777777" w:rsidR="00913A0A" w:rsidRPr="0058047D" w:rsidRDefault="00913A0A" w:rsidP="001A63C6">
            <w:pPr>
              <w:pStyle w:val="TableText"/>
              <w:widowControl w:val="0"/>
              <w:jc w:val="left"/>
              <w:rPr>
                <w:rFonts w:ascii="Tahoma" w:hAnsi="Tahoma" w:cs="Tahoma"/>
                <w:sz w:val="13"/>
              </w:rPr>
            </w:pPr>
          </w:p>
        </w:tc>
      </w:tr>
      <w:tr w:rsidR="009323A0" w:rsidRPr="0058047D" w14:paraId="19358A0E" w14:textId="77777777" w:rsidTr="00C86F50">
        <w:trPr>
          <w:trHeight w:val="145"/>
        </w:trPr>
        <w:tc>
          <w:tcPr>
            <w:tcW w:w="2619" w:type="dxa"/>
            <w:gridSpan w:val="2"/>
            <w:tcBorders>
              <w:bottom w:val="single" w:sz="4" w:space="0" w:color="auto"/>
            </w:tcBorders>
            <w:shd w:val="clear" w:color="auto" w:fill="auto"/>
            <w:vAlign w:val="center"/>
          </w:tcPr>
          <w:p w14:paraId="740B8A14" w14:textId="77777777" w:rsidR="00913A0A" w:rsidRPr="0058047D" w:rsidRDefault="00913A0A" w:rsidP="001A63C6">
            <w:pPr>
              <w:pStyle w:val="Heading2"/>
              <w:ind w:left="0"/>
              <w:rPr>
                <w:rFonts w:ascii="Tahoma" w:hAnsi="Tahoma" w:cs="Tahoma"/>
                <w:b w:val="0"/>
                <w:sz w:val="14"/>
                <w:szCs w:val="14"/>
              </w:rPr>
            </w:pPr>
            <w:bookmarkStart w:id="267" w:name="_Toc336338008"/>
            <w:bookmarkStart w:id="268" w:name="_Toc371663398"/>
            <w:r w:rsidRPr="0058047D">
              <w:rPr>
                <w:rFonts w:ascii="Tahoma" w:hAnsi="Tahoma" w:cs="Tahoma"/>
                <w:b w:val="0"/>
                <w:sz w:val="14"/>
                <w:szCs w:val="14"/>
              </w:rPr>
              <w:t>Enterprise CAL per Microsoft Dynamics AX 2012 R2 (Utente e Dispositivo)</w:t>
            </w:r>
            <w:bookmarkEnd w:id="267"/>
            <w:bookmarkEnd w:id="268"/>
          </w:p>
        </w:tc>
        <w:tc>
          <w:tcPr>
            <w:tcW w:w="554" w:type="dxa"/>
            <w:tcBorders>
              <w:bottom w:val="single" w:sz="4" w:space="0" w:color="auto"/>
            </w:tcBorders>
            <w:shd w:val="clear" w:color="auto" w:fill="auto"/>
            <w:vAlign w:val="center"/>
          </w:tcPr>
          <w:p w14:paraId="79BD0537" w14:textId="77777777" w:rsidR="00913A0A" w:rsidRPr="0058047D" w:rsidRDefault="00C86F50" w:rsidP="00793532">
            <w:pPr>
              <w:pStyle w:val="TableText"/>
              <w:widowControl w:val="0"/>
              <w:rPr>
                <w:rFonts w:cs="Tahoma"/>
                <w:b/>
                <w:color w:val="0000FF"/>
                <w:sz w:val="13"/>
                <w:szCs w:val="13"/>
                <w:u w:val="single"/>
              </w:rPr>
            </w:pPr>
            <w:hyperlink w:anchor="_72_Microsoft_Dynamics" w:history="1">
              <w:r w:rsidR="002B4E2B" w:rsidRPr="0058047D">
                <w:rPr>
                  <w:rStyle w:val="Hyperlink"/>
                  <w:rFonts w:cs="Tahoma"/>
                  <w:b/>
                  <w:sz w:val="13"/>
                  <w:szCs w:val="13"/>
                </w:rPr>
                <w:t>70</w:t>
              </w:r>
            </w:hyperlink>
          </w:p>
        </w:tc>
        <w:tc>
          <w:tcPr>
            <w:tcW w:w="516" w:type="dxa"/>
            <w:tcBorders>
              <w:bottom w:val="single" w:sz="4" w:space="0" w:color="auto"/>
            </w:tcBorders>
            <w:shd w:val="clear" w:color="auto" w:fill="auto"/>
          </w:tcPr>
          <w:p w14:paraId="637E1B2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12/12</w:t>
            </w:r>
          </w:p>
        </w:tc>
        <w:tc>
          <w:tcPr>
            <w:tcW w:w="358" w:type="dxa"/>
            <w:tcBorders>
              <w:bottom w:val="single" w:sz="4" w:space="0" w:color="auto"/>
              <w:right w:val="single" w:sz="18" w:space="0" w:color="auto"/>
            </w:tcBorders>
            <w:shd w:val="clear" w:color="auto" w:fill="auto"/>
            <w:vAlign w:val="center"/>
          </w:tcPr>
          <w:p w14:paraId="77E53B20"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301A3A27"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7935CA00"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1F93480E"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704003D8"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2E06F9A"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72643C8"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72032B84"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7EA95B50"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2210FB6"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09649881"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733B491A"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477" w:type="dxa"/>
            <w:tcBorders>
              <w:bottom w:val="single" w:sz="4" w:space="0" w:color="auto"/>
              <w:right w:val="single" w:sz="18" w:space="0" w:color="auto"/>
            </w:tcBorders>
            <w:shd w:val="clear" w:color="auto" w:fill="auto"/>
            <w:vAlign w:val="center"/>
          </w:tcPr>
          <w:p w14:paraId="44706C25"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27F1B177"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tcPr>
          <w:p w14:paraId="7E31FCE4"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14:paraId="5EBFAEC9" w14:textId="77777777" w:rsidR="00913A0A" w:rsidRPr="0058047D" w:rsidRDefault="00913A0A" w:rsidP="001A63C6">
            <w:pPr>
              <w:pStyle w:val="TableText"/>
              <w:widowControl w:val="0"/>
              <w:jc w:val="left"/>
              <w:rPr>
                <w:rFonts w:ascii="Tahoma" w:hAnsi="Tahoma" w:cs="Tahoma"/>
                <w:sz w:val="13"/>
              </w:rPr>
            </w:pPr>
          </w:p>
        </w:tc>
        <w:tc>
          <w:tcPr>
            <w:tcW w:w="405" w:type="dxa"/>
            <w:tcBorders>
              <w:bottom w:val="single" w:sz="4" w:space="0" w:color="auto"/>
            </w:tcBorders>
          </w:tcPr>
          <w:p w14:paraId="7AA14DE0" w14:textId="77777777" w:rsidR="00913A0A" w:rsidRPr="0058047D" w:rsidRDefault="00913A0A" w:rsidP="001A63C6">
            <w:pPr>
              <w:pStyle w:val="TableText"/>
              <w:widowControl w:val="0"/>
              <w:jc w:val="left"/>
              <w:rPr>
                <w:rFonts w:ascii="Tahoma" w:hAnsi="Tahoma" w:cs="Tahoma"/>
                <w:sz w:val="13"/>
              </w:rPr>
            </w:pPr>
          </w:p>
        </w:tc>
      </w:tr>
      <w:tr w:rsidR="009323A0" w:rsidRPr="0058047D" w14:paraId="5829DED9" w14:textId="77777777" w:rsidTr="00C86F50">
        <w:trPr>
          <w:trHeight w:val="145"/>
        </w:trPr>
        <w:tc>
          <w:tcPr>
            <w:tcW w:w="2619" w:type="dxa"/>
            <w:gridSpan w:val="2"/>
            <w:tcBorders>
              <w:bottom w:val="single" w:sz="4" w:space="0" w:color="auto"/>
            </w:tcBorders>
            <w:shd w:val="clear" w:color="auto" w:fill="FABF8F"/>
            <w:vAlign w:val="center"/>
          </w:tcPr>
          <w:p w14:paraId="35FE0258" w14:textId="77777777" w:rsidR="00913A0A" w:rsidRPr="0058047D" w:rsidRDefault="00913A0A" w:rsidP="001A63C6">
            <w:pPr>
              <w:pStyle w:val="Heading2"/>
              <w:ind w:left="0"/>
              <w:rPr>
                <w:rFonts w:ascii="Tahoma" w:hAnsi="Tahoma" w:cs="Tahoma"/>
                <w:b w:val="0"/>
                <w:sz w:val="14"/>
                <w:szCs w:val="14"/>
              </w:rPr>
            </w:pPr>
            <w:bookmarkStart w:id="269" w:name="_Toc336338009"/>
            <w:bookmarkStart w:id="270" w:name="_Toc371663399"/>
            <w:r w:rsidRPr="0058047D">
              <w:rPr>
                <w:rFonts w:ascii="Tahoma" w:hAnsi="Tahoma" w:cs="Tahoma"/>
                <w:b w:val="0"/>
                <w:sz w:val="14"/>
                <w:szCs w:val="14"/>
              </w:rPr>
              <w:t>Functional Additive CAL per Microsoft Dynamics AX 2012 R2 (Utente e Dispositivo)</w:t>
            </w:r>
            <w:bookmarkEnd w:id="269"/>
            <w:bookmarkEnd w:id="270"/>
          </w:p>
        </w:tc>
        <w:tc>
          <w:tcPr>
            <w:tcW w:w="554" w:type="dxa"/>
            <w:tcBorders>
              <w:bottom w:val="single" w:sz="4" w:space="0" w:color="auto"/>
            </w:tcBorders>
            <w:shd w:val="clear" w:color="auto" w:fill="FABF8F"/>
            <w:vAlign w:val="center"/>
          </w:tcPr>
          <w:p w14:paraId="6CACB9D7" w14:textId="77777777" w:rsidR="00913A0A" w:rsidRPr="0058047D" w:rsidRDefault="00C86F50" w:rsidP="00793532">
            <w:pPr>
              <w:pStyle w:val="TableText"/>
              <w:widowControl w:val="0"/>
              <w:rPr>
                <w:rFonts w:cs="Tahoma"/>
                <w:b/>
                <w:color w:val="0000FF"/>
                <w:sz w:val="13"/>
                <w:szCs w:val="13"/>
                <w:u w:val="single"/>
              </w:rPr>
            </w:pPr>
            <w:hyperlink w:anchor="_72_Microsoft_Dynamics" w:history="1">
              <w:r w:rsidR="002B4E2B" w:rsidRPr="0058047D">
                <w:rPr>
                  <w:rStyle w:val="Hyperlink"/>
                  <w:rFonts w:cs="Tahoma"/>
                  <w:b/>
                  <w:sz w:val="13"/>
                  <w:szCs w:val="13"/>
                </w:rPr>
                <w:t>70</w:t>
              </w:r>
            </w:hyperlink>
          </w:p>
        </w:tc>
        <w:tc>
          <w:tcPr>
            <w:tcW w:w="516" w:type="dxa"/>
            <w:tcBorders>
              <w:bottom w:val="single" w:sz="4" w:space="0" w:color="auto"/>
            </w:tcBorders>
            <w:shd w:val="clear" w:color="auto" w:fill="FABF8F"/>
          </w:tcPr>
          <w:p w14:paraId="39625F1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12/12</w:t>
            </w:r>
          </w:p>
        </w:tc>
        <w:tc>
          <w:tcPr>
            <w:tcW w:w="358" w:type="dxa"/>
            <w:tcBorders>
              <w:bottom w:val="single" w:sz="4" w:space="0" w:color="auto"/>
              <w:right w:val="single" w:sz="18" w:space="0" w:color="auto"/>
            </w:tcBorders>
            <w:shd w:val="clear" w:color="auto" w:fill="FABF8F"/>
            <w:vAlign w:val="center"/>
          </w:tcPr>
          <w:p w14:paraId="0DE61A05"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center"/>
          </w:tcPr>
          <w:p w14:paraId="4F80FB8C"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223EF983"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64F6CD49"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6B2E5A49"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C4A8A85"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2B0EEA8"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58C04A84"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63F79F97"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DB25B71"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2E6AD3FF"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53539E3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10</w:t>
            </w:r>
          </w:p>
        </w:tc>
        <w:tc>
          <w:tcPr>
            <w:tcW w:w="477" w:type="dxa"/>
            <w:tcBorders>
              <w:bottom w:val="single" w:sz="4" w:space="0" w:color="auto"/>
              <w:right w:val="single" w:sz="18" w:space="0" w:color="auto"/>
            </w:tcBorders>
            <w:shd w:val="clear" w:color="auto" w:fill="FABF8F"/>
            <w:vAlign w:val="center"/>
          </w:tcPr>
          <w:p w14:paraId="49E9E093"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2C594883"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783F8CA6"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3903ABF3" w14:textId="77777777" w:rsidR="00913A0A" w:rsidRPr="0058047D" w:rsidRDefault="00913A0A" w:rsidP="001A63C6">
            <w:pPr>
              <w:pStyle w:val="TableText"/>
              <w:widowControl w:val="0"/>
              <w:jc w:val="left"/>
              <w:rPr>
                <w:rFonts w:ascii="Tahoma" w:hAnsi="Tahoma" w:cs="Tahoma"/>
                <w:sz w:val="13"/>
              </w:rPr>
            </w:pPr>
          </w:p>
        </w:tc>
        <w:tc>
          <w:tcPr>
            <w:tcW w:w="405" w:type="dxa"/>
            <w:tcBorders>
              <w:bottom w:val="single" w:sz="4" w:space="0" w:color="auto"/>
            </w:tcBorders>
            <w:shd w:val="clear" w:color="auto" w:fill="FABF8F"/>
          </w:tcPr>
          <w:p w14:paraId="5CE855A1" w14:textId="77777777" w:rsidR="00913A0A" w:rsidRPr="0058047D" w:rsidRDefault="00913A0A" w:rsidP="001A63C6">
            <w:pPr>
              <w:pStyle w:val="TableText"/>
              <w:widowControl w:val="0"/>
              <w:jc w:val="left"/>
              <w:rPr>
                <w:rFonts w:ascii="Tahoma" w:hAnsi="Tahoma" w:cs="Tahoma"/>
                <w:sz w:val="13"/>
              </w:rPr>
            </w:pPr>
          </w:p>
        </w:tc>
      </w:tr>
      <w:tr w:rsidR="009323A0" w:rsidRPr="0058047D" w14:paraId="3C59C59F" w14:textId="77777777" w:rsidTr="00C86F50">
        <w:trPr>
          <w:trHeight w:val="145"/>
        </w:trPr>
        <w:tc>
          <w:tcPr>
            <w:tcW w:w="2619" w:type="dxa"/>
            <w:gridSpan w:val="2"/>
            <w:tcBorders>
              <w:bottom w:val="single" w:sz="4" w:space="0" w:color="auto"/>
            </w:tcBorders>
            <w:shd w:val="clear" w:color="auto" w:fill="auto"/>
            <w:vAlign w:val="center"/>
          </w:tcPr>
          <w:p w14:paraId="5957111C" w14:textId="77777777" w:rsidR="00913A0A" w:rsidRPr="0058047D" w:rsidRDefault="00913A0A" w:rsidP="001A63C6">
            <w:pPr>
              <w:pStyle w:val="Heading2"/>
              <w:ind w:left="0"/>
              <w:rPr>
                <w:rFonts w:ascii="Tahoma" w:hAnsi="Tahoma" w:cs="Tahoma"/>
                <w:b w:val="0"/>
                <w:sz w:val="14"/>
                <w:szCs w:val="14"/>
              </w:rPr>
            </w:pPr>
            <w:bookmarkStart w:id="271" w:name="_Toc336338010"/>
            <w:bookmarkStart w:id="272" w:name="_Toc371663400"/>
            <w:r w:rsidRPr="0058047D">
              <w:rPr>
                <w:rFonts w:ascii="Tahoma" w:hAnsi="Tahoma" w:cs="Tahoma"/>
                <w:b w:val="0"/>
                <w:sz w:val="14"/>
                <w:szCs w:val="14"/>
              </w:rPr>
              <w:t>Functional CAL per Microsoft Dynamics AX 2012 R2 (Utente e Dispositivo)</w:t>
            </w:r>
            <w:bookmarkEnd w:id="271"/>
            <w:bookmarkEnd w:id="272"/>
          </w:p>
        </w:tc>
        <w:tc>
          <w:tcPr>
            <w:tcW w:w="554" w:type="dxa"/>
            <w:tcBorders>
              <w:bottom w:val="single" w:sz="4" w:space="0" w:color="auto"/>
            </w:tcBorders>
            <w:shd w:val="clear" w:color="auto" w:fill="auto"/>
            <w:vAlign w:val="center"/>
          </w:tcPr>
          <w:p w14:paraId="7C3836AF" w14:textId="77777777" w:rsidR="00913A0A" w:rsidRPr="0058047D" w:rsidRDefault="00C86F50" w:rsidP="00793532">
            <w:pPr>
              <w:pStyle w:val="TableText"/>
              <w:widowControl w:val="0"/>
              <w:rPr>
                <w:rFonts w:cs="Tahoma"/>
                <w:b/>
                <w:color w:val="0000FF"/>
                <w:sz w:val="13"/>
                <w:szCs w:val="13"/>
                <w:u w:val="single"/>
              </w:rPr>
            </w:pPr>
            <w:hyperlink w:anchor="_72_Microsoft_Dynamics" w:history="1">
              <w:r w:rsidR="002B4E2B" w:rsidRPr="0058047D">
                <w:rPr>
                  <w:rStyle w:val="Hyperlink"/>
                  <w:rFonts w:cs="Tahoma"/>
                  <w:b/>
                  <w:sz w:val="13"/>
                  <w:szCs w:val="13"/>
                </w:rPr>
                <w:t>70</w:t>
              </w:r>
            </w:hyperlink>
          </w:p>
        </w:tc>
        <w:tc>
          <w:tcPr>
            <w:tcW w:w="516" w:type="dxa"/>
            <w:tcBorders>
              <w:bottom w:val="single" w:sz="4" w:space="0" w:color="auto"/>
            </w:tcBorders>
            <w:shd w:val="clear" w:color="auto" w:fill="auto"/>
          </w:tcPr>
          <w:p w14:paraId="1396DDC6"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12/12</w:t>
            </w:r>
          </w:p>
        </w:tc>
        <w:tc>
          <w:tcPr>
            <w:tcW w:w="358" w:type="dxa"/>
            <w:tcBorders>
              <w:bottom w:val="single" w:sz="4" w:space="0" w:color="auto"/>
              <w:right w:val="single" w:sz="18" w:space="0" w:color="auto"/>
            </w:tcBorders>
            <w:shd w:val="clear" w:color="auto" w:fill="auto"/>
            <w:vAlign w:val="center"/>
          </w:tcPr>
          <w:p w14:paraId="1DC6B4B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6B0EDA3E"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33D7649A"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693B26F5"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1D527BFE"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06B83D6"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7AD63F0"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11DFB4B3"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4E23F30B"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42FD9CB"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4AC310B2"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38644F3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15</w:t>
            </w:r>
          </w:p>
        </w:tc>
        <w:tc>
          <w:tcPr>
            <w:tcW w:w="477" w:type="dxa"/>
            <w:tcBorders>
              <w:bottom w:val="single" w:sz="4" w:space="0" w:color="auto"/>
              <w:right w:val="single" w:sz="18" w:space="0" w:color="auto"/>
            </w:tcBorders>
            <w:shd w:val="clear" w:color="auto" w:fill="auto"/>
            <w:vAlign w:val="center"/>
          </w:tcPr>
          <w:p w14:paraId="7B409114"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770A95C3"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tcPr>
          <w:p w14:paraId="6C205073"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14:paraId="2EBB3A4C" w14:textId="77777777" w:rsidR="00913A0A" w:rsidRPr="0058047D" w:rsidRDefault="00913A0A" w:rsidP="001A63C6">
            <w:pPr>
              <w:pStyle w:val="TableText"/>
              <w:widowControl w:val="0"/>
              <w:jc w:val="left"/>
              <w:rPr>
                <w:rFonts w:ascii="Tahoma" w:hAnsi="Tahoma" w:cs="Tahoma"/>
                <w:sz w:val="13"/>
              </w:rPr>
            </w:pPr>
          </w:p>
        </w:tc>
        <w:tc>
          <w:tcPr>
            <w:tcW w:w="405" w:type="dxa"/>
            <w:tcBorders>
              <w:bottom w:val="single" w:sz="4" w:space="0" w:color="auto"/>
            </w:tcBorders>
          </w:tcPr>
          <w:p w14:paraId="5FB84C73" w14:textId="77777777" w:rsidR="00913A0A" w:rsidRPr="0058047D" w:rsidRDefault="00913A0A" w:rsidP="001A63C6">
            <w:pPr>
              <w:pStyle w:val="TableText"/>
              <w:widowControl w:val="0"/>
              <w:jc w:val="left"/>
              <w:rPr>
                <w:rFonts w:ascii="Tahoma" w:hAnsi="Tahoma" w:cs="Tahoma"/>
                <w:sz w:val="13"/>
              </w:rPr>
            </w:pPr>
          </w:p>
        </w:tc>
      </w:tr>
      <w:tr w:rsidR="009323A0" w:rsidRPr="0058047D" w14:paraId="1009B53E" w14:textId="77777777" w:rsidTr="00C86F50">
        <w:trPr>
          <w:trHeight w:val="233"/>
        </w:trPr>
        <w:tc>
          <w:tcPr>
            <w:tcW w:w="2619" w:type="dxa"/>
            <w:gridSpan w:val="2"/>
            <w:tcBorders>
              <w:bottom w:val="single" w:sz="4" w:space="0" w:color="auto"/>
            </w:tcBorders>
            <w:shd w:val="clear" w:color="auto" w:fill="FABF8F"/>
            <w:vAlign w:val="center"/>
          </w:tcPr>
          <w:p w14:paraId="5AFF498A" w14:textId="77777777" w:rsidR="00913A0A" w:rsidRPr="0058047D" w:rsidRDefault="00913A0A" w:rsidP="001A63C6">
            <w:pPr>
              <w:pStyle w:val="Heading2"/>
              <w:ind w:left="0"/>
              <w:rPr>
                <w:rFonts w:ascii="Tahoma" w:hAnsi="Tahoma" w:cs="Tahoma"/>
                <w:b w:val="0"/>
                <w:sz w:val="14"/>
                <w:szCs w:val="14"/>
              </w:rPr>
            </w:pPr>
            <w:bookmarkStart w:id="273" w:name="_Toc336338011"/>
            <w:bookmarkStart w:id="274" w:name="_Toc371663401"/>
            <w:r w:rsidRPr="0058047D">
              <w:rPr>
                <w:rFonts w:ascii="Tahoma" w:hAnsi="Tahoma" w:cs="Tahoma"/>
                <w:b w:val="0"/>
                <w:sz w:val="14"/>
                <w:szCs w:val="14"/>
              </w:rPr>
              <w:t>Self Serve CAL per Microsoft Dynamics AX 2012 R2 (Utente e Dispositivo)</w:t>
            </w:r>
            <w:bookmarkEnd w:id="273"/>
            <w:bookmarkEnd w:id="274"/>
          </w:p>
        </w:tc>
        <w:tc>
          <w:tcPr>
            <w:tcW w:w="554" w:type="dxa"/>
            <w:tcBorders>
              <w:bottom w:val="single" w:sz="4" w:space="0" w:color="auto"/>
            </w:tcBorders>
            <w:shd w:val="clear" w:color="auto" w:fill="FABF8F"/>
            <w:vAlign w:val="center"/>
          </w:tcPr>
          <w:p w14:paraId="0EB518BD" w14:textId="77777777" w:rsidR="00913A0A" w:rsidRPr="0058047D" w:rsidRDefault="00C86F50" w:rsidP="00793532">
            <w:pPr>
              <w:pStyle w:val="TableText"/>
              <w:widowControl w:val="0"/>
              <w:rPr>
                <w:rFonts w:cs="Tahoma"/>
                <w:b/>
                <w:color w:val="0000FF"/>
                <w:sz w:val="13"/>
                <w:szCs w:val="13"/>
                <w:u w:val="single"/>
              </w:rPr>
            </w:pPr>
            <w:hyperlink w:anchor="_72_Microsoft_Dynamics" w:history="1">
              <w:r w:rsidR="002B4E2B" w:rsidRPr="0058047D">
                <w:rPr>
                  <w:rStyle w:val="Hyperlink"/>
                  <w:rFonts w:cs="Tahoma"/>
                  <w:b/>
                  <w:sz w:val="13"/>
                  <w:szCs w:val="13"/>
                </w:rPr>
                <w:t>70</w:t>
              </w:r>
            </w:hyperlink>
          </w:p>
        </w:tc>
        <w:tc>
          <w:tcPr>
            <w:tcW w:w="516" w:type="dxa"/>
            <w:tcBorders>
              <w:bottom w:val="single" w:sz="4" w:space="0" w:color="auto"/>
            </w:tcBorders>
            <w:shd w:val="clear" w:color="auto" w:fill="FABF8F"/>
          </w:tcPr>
          <w:p w14:paraId="5482C9D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12/12</w:t>
            </w:r>
          </w:p>
        </w:tc>
        <w:tc>
          <w:tcPr>
            <w:tcW w:w="358" w:type="dxa"/>
            <w:tcBorders>
              <w:bottom w:val="single" w:sz="4" w:space="0" w:color="auto"/>
              <w:right w:val="single" w:sz="18" w:space="0" w:color="auto"/>
            </w:tcBorders>
            <w:shd w:val="clear" w:color="auto" w:fill="FABF8F"/>
            <w:vAlign w:val="center"/>
          </w:tcPr>
          <w:p w14:paraId="38858236"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center"/>
          </w:tcPr>
          <w:p w14:paraId="74E1344B"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7EA029E9"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6174DBD5"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5B2274E3"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3EB01A1"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9AA5D2B"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17C5391A"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042C654D"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637000F"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770A050E"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5670E07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FABF8F"/>
            <w:vAlign w:val="center"/>
          </w:tcPr>
          <w:p w14:paraId="43605B7F"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62A2F34C"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205C947C"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1AB925C7" w14:textId="77777777" w:rsidR="00913A0A" w:rsidRPr="0058047D" w:rsidRDefault="00913A0A" w:rsidP="001A63C6">
            <w:pPr>
              <w:pStyle w:val="TableText"/>
              <w:widowControl w:val="0"/>
              <w:jc w:val="left"/>
              <w:rPr>
                <w:rFonts w:ascii="Tahoma" w:hAnsi="Tahoma" w:cs="Tahoma"/>
                <w:sz w:val="13"/>
              </w:rPr>
            </w:pPr>
          </w:p>
        </w:tc>
        <w:tc>
          <w:tcPr>
            <w:tcW w:w="405" w:type="dxa"/>
            <w:tcBorders>
              <w:bottom w:val="single" w:sz="4" w:space="0" w:color="auto"/>
            </w:tcBorders>
            <w:shd w:val="clear" w:color="auto" w:fill="FABF8F"/>
          </w:tcPr>
          <w:p w14:paraId="4BEAF6C5" w14:textId="77777777" w:rsidR="00913A0A" w:rsidRPr="0058047D" w:rsidRDefault="00913A0A" w:rsidP="001A63C6">
            <w:pPr>
              <w:pStyle w:val="TableText"/>
              <w:widowControl w:val="0"/>
              <w:jc w:val="left"/>
              <w:rPr>
                <w:rFonts w:ascii="Tahoma" w:hAnsi="Tahoma" w:cs="Tahoma"/>
                <w:sz w:val="13"/>
              </w:rPr>
            </w:pPr>
          </w:p>
        </w:tc>
      </w:tr>
      <w:tr w:rsidR="009323A0" w:rsidRPr="0058047D" w14:paraId="2BB91D68" w14:textId="77777777" w:rsidTr="00C86F50">
        <w:trPr>
          <w:trHeight w:val="242"/>
        </w:trPr>
        <w:tc>
          <w:tcPr>
            <w:tcW w:w="2619" w:type="dxa"/>
            <w:gridSpan w:val="2"/>
            <w:tcBorders>
              <w:bottom w:val="single" w:sz="4" w:space="0" w:color="auto"/>
            </w:tcBorders>
            <w:shd w:val="clear" w:color="auto" w:fill="auto"/>
            <w:vAlign w:val="center"/>
          </w:tcPr>
          <w:p w14:paraId="5F7ABE8C" w14:textId="77777777" w:rsidR="00913A0A" w:rsidRPr="003F471F" w:rsidRDefault="00913A0A" w:rsidP="001A63C6">
            <w:pPr>
              <w:pStyle w:val="Heading2"/>
              <w:ind w:left="0"/>
              <w:rPr>
                <w:rFonts w:ascii="Tahoma" w:hAnsi="Tahoma" w:cs="Tahoma"/>
                <w:b w:val="0"/>
                <w:sz w:val="14"/>
                <w:szCs w:val="14"/>
                <w:lang w:val="pt-BR"/>
              </w:rPr>
            </w:pPr>
            <w:bookmarkStart w:id="275" w:name="_Toc336338012"/>
            <w:bookmarkStart w:id="276" w:name="_Toc371663402"/>
            <w:r w:rsidRPr="003F471F">
              <w:rPr>
                <w:rFonts w:ascii="Tahoma" w:hAnsi="Tahoma" w:cs="Tahoma"/>
                <w:b w:val="0"/>
                <w:sz w:val="14"/>
                <w:szCs w:val="14"/>
                <w:lang w:val="pt-BR"/>
              </w:rPr>
              <w:t>Microsoft Dynamics AX 2012 R2 Server</w:t>
            </w:r>
            <w:bookmarkEnd w:id="275"/>
            <w:bookmarkEnd w:id="276"/>
          </w:p>
        </w:tc>
        <w:tc>
          <w:tcPr>
            <w:tcW w:w="554" w:type="dxa"/>
            <w:tcBorders>
              <w:bottom w:val="single" w:sz="4" w:space="0" w:color="auto"/>
            </w:tcBorders>
            <w:shd w:val="clear" w:color="auto" w:fill="auto"/>
            <w:vAlign w:val="center"/>
          </w:tcPr>
          <w:p w14:paraId="02ECF574" w14:textId="77777777" w:rsidR="00913A0A" w:rsidRPr="0058047D" w:rsidRDefault="00C86F50" w:rsidP="00793532">
            <w:pPr>
              <w:pStyle w:val="TableText"/>
              <w:widowControl w:val="0"/>
              <w:rPr>
                <w:rFonts w:cs="Tahoma"/>
                <w:b/>
                <w:color w:val="0000FF"/>
                <w:sz w:val="13"/>
                <w:szCs w:val="13"/>
                <w:u w:val="single"/>
              </w:rPr>
            </w:pPr>
            <w:hyperlink w:anchor="_72_Microsoft_Dynamics" w:history="1">
              <w:r w:rsidR="002B4E2B" w:rsidRPr="0058047D">
                <w:rPr>
                  <w:rStyle w:val="Hyperlink"/>
                  <w:rFonts w:cs="Tahoma"/>
                  <w:b/>
                  <w:sz w:val="13"/>
                  <w:szCs w:val="13"/>
                </w:rPr>
                <w:t>70</w:t>
              </w:r>
            </w:hyperlink>
          </w:p>
        </w:tc>
        <w:tc>
          <w:tcPr>
            <w:tcW w:w="516" w:type="dxa"/>
            <w:tcBorders>
              <w:bottom w:val="single" w:sz="4" w:space="0" w:color="auto"/>
            </w:tcBorders>
            <w:shd w:val="clear" w:color="auto" w:fill="auto"/>
          </w:tcPr>
          <w:p w14:paraId="5791088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12/12</w:t>
            </w:r>
          </w:p>
        </w:tc>
        <w:tc>
          <w:tcPr>
            <w:tcW w:w="358" w:type="dxa"/>
            <w:tcBorders>
              <w:bottom w:val="single" w:sz="4" w:space="0" w:color="auto"/>
              <w:right w:val="single" w:sz="18" w:space="0" w:color="auto"/>
            </w:tcBorders>
            <w:shd w:val="clear" w:color="auto" w:fill="auto"/>
            <w:vAlign w:val="center"/>
          </w:tcPr>
          <w:p w14:paraId="7201156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2E9E487D"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094FAEDE"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50F42AC0"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4218F91E"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319C6EB"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EF1091A"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1FF6FB38"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611065D7"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D1FC26B"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5672707D"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7F5261A5"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477" w:type="dxa"/>
            <w:tcBorders>
              <w:bottom w:val="single" w:sz="4" w:space="0" w:color="auto"/>
              <w:right w:val="single" w:sz="18" w:space="0" w:color="auto"/>
            </w:tcBorders>
            <w:shd w:val="clear" w:color="auto" w:fill="auto"/>
            <w:vAlign w:val="center"/>
          </w:tcPr>
          <w:p w14:paraId="1678E8E9"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378BF0C3"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tcPr>
          <w:p w14:paraId="0EA03293"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14:paraId="32C0DAB0" w14:textId="77777777" w:rsidR="00913A0A" w:rsidRPr="0058047D" w:rsidRDefault="00913A0A" w:rsidP="001A63C6">
            <w:pPr>
              <w:pStyle w:val="TableText"/>
              <w:widowControl w:val="0"/>
              <w:jc w:val="left"/>
              <w:rPr>
                <w:rFonts w:ascii="Tahoma" w:hAnsi="Tahoma" w:cs="Tahoma"/>
                <w:sz w:val="13"/>
              </w:rPr>
            </w:pPr>
          </w:p>
        </w:tc>
        <w:tc>
          <w:tcPr>
            <w:tcW w:w="405" w:type="dxa"/>
            <w:tcBorders>
              <w:bottom w:val="single" w:sz="4" w:space="0" w:color="auto"/>
            </w:tcBorders>
          </w:tcPr>
          <w:p w14:paraId="2B926F00" w14:textId="77777777" w:rsidR="00913A0A" w:rsidRPr="0058047D" w:rsidRDefault="00913A0A" w:rsidP="001A63C6">
            <w:pPr>
              <w:pStyle w:val="TableText"/>
              <w:widowControl w:val="0"/>
              <w:jc w:val="left"/>
              <w:rPr>
                <w:rFonts w:ascii="Tahoma" w:hAnsi="Tahoma" w:cs="Tahoma"/>
                <w:sz w:val="13"/>
              </w:rPr>
            </w:pPr>
          </w:p>
        </w:tc>
      </w:tr>
      <w:tr w:rsidR="009323A0" w:rsidRPr="0058047D" w14:paraId="757ED175" w14:textId="77777777" w:rsidTr="00C86F50">
        <w:trPr>
          <w:trHeight w:val="278"/>
        </w:trPr>
        <w:tc>
          <w:tcPr>
            <w:tcW w:w="2619" w:type="dxa"/>
            <w:gridSpan w:val="2"/>
            <w:tcBorders>
              <w:bottom w:val="single" w:sz="4" w:space="0" w:color="auto"/>
            </w:tcBorders>
            <w:shd w:val="clear" w:color="auto" w:fill="FABF8F"/>
            <w:vAlign w:val="center"/>
          </w:tcPr>
          <w:p w14:paraId="77A9E06A" w14:textId="77777777" w:rsidR="00913A0A" w:rsidRPr="003F471F" w:rsidRDefault="00913A0A" w:rsidP="001A63C6">
            <w:pPr>
              <w:pStyle w:val="Heading2"/>
              <w:ind w:left="0"/>
              <w:rPr>
                <w:rFonts w:ascii="Tahoma" w:hAnsi="Tahoma" w:cs="Tahoma"/>
                <w:b w:val="0"/>
                <w:sz w:val="14"/>
                <w:szCs w:val="14"/>
                <w:lang w:val="it-IT"/>
              </w:rPr>
            </w:pPr>
            <w:bookmarkStart w:id="277" w:name="_Toc336338013"/>
            <w:bookmarkStart w:id="278" w:name="_Toc371663403"/>
            <w:r w:rsidRPr="003F471F">
              <w:rPr>
                <w:rFonts w:ascii="Tahoma" w:hAnsi="Tahoma" w:cs="Tahoma"/>
                <w:b w:val="0"/>
                <w:sz w:val="14"/>
                <w:szCs w:val="14"/>
                <w:lang w:val="it-IT"/>
              </w:rPr>
              <w:t>Task Additive CAL per Microsoft Dynamics AX 2012 R2 (Utente e Dispositivo)</w:t>
            </w:r>
            <w:bookmarkEnd w:id="277"/>
            <w:bookmarkEnd w:id="278"/>
          </w:p>
        </w:tc>
        <w:tc>
          <w:tcPr>
            <w:tcW w:w="554" w:type="dxa"/>
            <w:tcBorders>
              <w:bottom w:val="single" w:sz="4" w:space="0" w:color="auto"/>
            </w:tcBorders>
            <w:shd w:val="clear" w:color="auto" w:fill="FABF8F"/>
            <w:vAlign w:val="center"/>
          </w:tcPr>
          <w:p w14:paraId="4B134735" w14:textId="77777777" w:rsidR="00913A0A" w:rsidRPr="0058047D" w:rsidRDefault="00C86F50" w:rsidP="00793532">
            <w:pPr>
              <w:pStyle w:val="TableText"/>
              <w:widowControl w:val="0"/>
              <w:rPr>
                <w:rFonts w:cs="Tahoma"/>
                <w:b/>
                <w:color w:val="0000FF"/>
                <w:sz w:val="13"/>
                <w:szCs w:val="13"/>
                <w:u w:val="single"/>
              </w:rPr>
            </w:pPr>
            <w:hyperlink w:anchor="_72_Microsoft_Dynamics" w:history="1">
              <w:r w:rsidR="002B4E2B" w:rsidRPr="0058047D">
                <w:rPr>
                  <w:rStyle w:val="Hyperlink"/>
                  <w:rFonts w:cs="Tahoma"/>
                  <w:b/>
                  <w:sz w:val="13"/>
                  <w:szCs w:val="13"/>
                </w:rPr>
                <w:t>70</w:t>
              </w:r>
            </w:hyperlink>
          </w:p>
        </w:tc>
        <w:tc>
          <w:tcPr>
            <w:tcW w:w="516" w:type="dxa"/>
            <w:tcBorders>
              <w:bottom w:val="single" w:sz="4" w:space="0" w:color="auto"/>
            </w:tcBorders>
            <w:shd w:val="clear" w:color="auto" w:fill="FABF8F"/>
          </w:tcPr>
          <w:p w14:paraId="3D9F8A1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12/12</w:t>
            </w:r>
          </w:p>
        </w:tc>
        <w:tc>
          <w:tcPr>
            <w:tcW w:w="358" w:type="dxa"/>
            <w:tcBorders>
              <w:bottom w:val="single" w:sz="4" w:space="0" w:color="auto"/>
              <w:right w:val="single" w:sz="18" w:space="0" w:color="auto"/>
            </w:tcBorders>
            <w:shd w:val="clear" w:color="auto" w:fill="FABF8F"/>
            <w:vAlign w:val="center"/>
          </w:tcPr>
          <w:p w14:paraId="2C81FD16"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center"/>
          </w:tcPr>
          <w:p w14:paraId="11D6EF37"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7DA3C99F"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0F7AE541"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78B9B844"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7DEF7C0"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FD33BB9"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35A6D9CF"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5CFEBD7A"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3B7E503"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30D968F3"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1F9C095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FABF8F"/>
            <w:vAlign w:val="center"/>
          </w:tcPr>
          <w:p w14:paraId="401F515B"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0C80E87A"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486350AF"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251B248A" w14:textId="77777777" w:rsidR="00913A0A" w:rsidRPr="0058047D" w:rsidRDefault="00913A0A" w:rsidP="001A63C6">
            <w:pPr>
              <w:pStyle w:val="TableText"/>
              <w:widowControl w:val="0"/>
              <w:jc w:val="left"/>
              <w:rPr>
                <w:rFonts w:ascii="Tahoma" w:hAnsi="Tahoma" w:cs="Tahoma"/>
                <w:sz w:val="13"/>
              </w:rPr>
            </w:pPr>
          </w:p>
        </w:tc>
        <w:tc>
          <w:tcPr>
            <w:tcW w:w="405" w:type="dxa"/>
            <w:tcBorders>
              <w:bottom w:val="single" w:sz="4" w:space="0" w:color="auto"/>
            </w:tcBorders>
            <w:shd w:val="clear" w:color="auto" w:fill="FABF8F"/>
          </w:tcPr>
          <w:p w14:paraId="1D55893E" w14:textId="77777777" w:rsidR="00913A0A" w:rsidRPr="0058047D" w:rsidRDefault="00913A0A" w:rsidP="001A63C6">
            <w:pPr>
              <w:pStyle w:val="TableText"/>
              <w:widowControl w:val="0"/>
              <w:jc w:val="left"/>
              <w:rPr>
                <w:rFonts w:ascii="Tahoma" w:hAnsi="Tahoma" w:cs="Tahoma"/>
                <w:sz w:val="13"/>
              </w:rPr>
            </w:pPr>
          </w:p>
        </w:tc>
      </w:tr>
      <w:tr w:rsidR="009323A0" w:rsidRPr="0058047D" w14:paraId="501F277D" w14:textId="77777777" w:rsidTr="00C86F50">
        <w:trPr>
          <w:trHeight w:val="145"/>
        </w:trPr>
        <w:tc>
          <w:tcPr>
            <w:tcW w:w="2619" w:type="dxa"/>
            <w:gridSpan w:val="2"/>
            <w:tcBorders>
              <w:bottom w:val="single" w:sz="4" w:space="0" w:color="auto"/>
            </w:tcBorders>
            <w:shd w:val="clear" w:color="auto" w:fill="auto"/>
            <w:vAlign w:val="center"/>
          </w:tcPr>
          <w:p w14:paraId="1D366FB7" w14:textId="77777777" w:rsidR="00913A0A" w:rsidRPr="0058047D" w:rsidRDefault="00913A0A" w:rsidP="001A63C6">
            <w:pPr>
              <w:pStyle w:val="Heading2"/>
              <w:ind w:left="0"/>
              <w:rPr>
                <w:rFonts w:ascii="Tahoma" w:hAnsi="Tahoma" w:cs="Tahoma"/>
                <w:b w:val="0"/>
                <w:sz w:val="14"/>
                <w:szCs w:val="14"/>
              </w:rPr>
            </w:pPr>
            <w:bookmarkStart w:id="279" w:name="_Toc336338014"/>
            <w:bookmarkStart w:id="280" w:name="_Toc371663404"/>
            <w:r w:rsidRPr="0058047D">
              <w:rPr>
                <w:rFonts w:ascii="Tahoma" w:hAnsi="Tahoma" w:cs="Tahoma"/>
                <w:b w:val="0"/>
                <w:sz w:val="14"/>
                <w:szCs w:val="14"/>
              </w:rPr>
              <w:t>Task CAL per Microsoft Dynamics AX 2012 R2 (Utente e Dispositivo)</w:t>
            </w:r>
            <w:bookmarkEnd w:id="279"/>
            <w:bookmarkEnd w:id="280"/>
          </w:p>
        </w:tc>
        <w:tc>
          <w:tcPr>
            <w:tcW w:w="554" w:type="dxa"/>
            <w:tcBorders>
              <w:bottom w:val="single" w:sz="4" w:space="0" w:color="auto"/>
            </w:tcBorders>
            <w:shd w:val="clear" w:color="auto" w:fill="auto"/>
            <w:vAlign w:val="center"/>
          </w:tcPr>
          <w:p w14:paraId="4C687CD9" w14:textId="77777777" w:rsidR="00913A0A" w:rsidRPr="0058047D" w:rsidRDefault="00C86F50" w:rsidP="00793532">
            <w:pPr>
              <w:pStyle w:val="TableText"/>
              <w:widowControl w:val="0"/>
              <w:rPr>
                <w:rFonts w:cs="Tahoma"/>
                <w:b/>
                <w:color w:val="0000FF"/>
                <w:sz w:val="13"/>
                <w:szCs w:val="13"/>
                <w:u w:val="single"/>
              </w:rPr>
            </w:pPr>
            <w:hyperlink w:anchor="_72_Microsoft_Dynamics" w:history="1">
              <w:r w:rsidR="002B4E2B" w:rsidRPr="0058047D">
                <w:rPr>
                  <w:rStyle w:val="Hyperlink"/>
                  <w:rFonts w:cs="Tahoma"/>
                  <w:b/>
                  <w:sz w:val="13"/>
                  <w:szCs w:val="13"/>
                </w:rPr>
                <w:t>70</w:t>
              </w:r>
            </w:hyperlink>
          </w:p>
        </w:tc>
        <w:tc>
          <w:tcPr>
            <w:tcW w:w="516" w:type="dxa"/>
            <w:tcBorders>
              <w:bottom w:val="single" w:sz="4" w:space="0" w:color="auto"/>
            </w:tcBorders>
            <w:shd w:val="clear" w:color="auto" w:fill="auto"/>
          </w:tcPr>
          <w:p w14:paraId="5F8A619A"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12/12</w:t>
            </w:r>
          </w:p>
        </w:tc>
        <w:tc>
          <w:tcPr>
            <w:tcW w:w="358" w:type="dxa"/>
            <w:tcBorders>
              <w:bottom w:val="single" w:sz="4" w:space="0" w:color="auto"/>
              <w:right w:val="single" w:sz="18" w:space="0" w:color="auto"/>
            </w:tcBorders>
            <w:shd w:val="clear" w:color="auto" w:fill="auto"/>
            <w:vAlign w:val="center"/>
          </w:tcPr>
          <w:p w14:paraId="5ACF49CE"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5D4F3D26"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43E9C86D"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7ABACD78"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6B69668F"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590606E"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ED025C4"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2245A6D3"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651D9F3A"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C726536"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0BA1AD19"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547A61D0"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auto"/>
            <w:vAlign w:val="center"/>
          </w:tcPr>
          <w:p w14:paraId="76073835"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0E044CAE"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tcPr>
          <w:p w14:paraId="55FE79C3"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14:paraId="1E9223C8" w14:textId="77777777" w:rsidR="00913A0A" w:rsidRPr="0058047D" w:rsidRDefault="00913A0A" w:rsidP="001A63C6">
            <w:pPr>
              <w:pStyle w:val="TableText"/>
              <w:widowControl w:val="0"/>
              <w:jc w:val="left"/>
              <w:rPr>
                <w:rFonts w:ascii="Tahoma" w:hAnsi="Tahoma" w:cs="Tahoma"/>
                <w:sz w:val="13"/>
              </w:rPr>
            </w:pPr>
          </w:p>
        </w:tc>
        <w:tc>
          <w:tcPr>
            <w:tcW w:w="405" w:type="dxa"/>
            <w:tcBorders>
              <w:bottom w:val="single" w:sz="4" w:space="0" w:color="auto"/>
            </w:tcBorders>
          </w:tcPr>
          <w:p w14:paraId="67735F62" w14:textId="77777777" w:rsidR="00913A0A" w:rsidRPr="0058047D" w:rsidRDefault="00913A0A" w:rsidP="001A63C6">
            <w:pPr>
              <w:pStyle w:val="TableText"/>
              <w:widowControl w:val="0"/>
              <w:jc w:val="left"/>
              <w:rPr>
                <w:rFonts w:ascii="Tahoma" w:hAnsi="Tahoma" w:cs="Tahoma"/>
                <w:sz w:val="13"/>
              </w:rPr>
            </w:pPr>
          </w:p>
        </w:tc>
      </w:tr>
      <w:tr w:rsidR="009323A0" w:rsidRPr="0058047D" w14:paraId="1C5B1562" w14:textId="77777777" w:rsidTr="00C86F50">
        <w:trPr>
          <w:trHeight w:val="145"/>
        </w:trPr>
        <w:tc>
          <w:tcPr>
            <w:tcW w:w="2619" w:type="dxa"/>
            <w:gridSpan w:val="2"/>
            <w:tcBorders>
              <w:bottom w:val="single" w:sz="4" w:space="0" w:color="auto"/>
            </w:tcBorders>
            <w:shd w:val="clear" w:color="auto" w:fill="FABF8F"/>
            <w:vAlign w:val="center"/>
          </w:tcPr>
          <w:p w14:paraId="563ACE09" w14:textId="77777777" w:rsidR="007E430D" w:rsidRPr="003F471F" w:rsidRDefault="007E430D" w:rsidP="007E430D">
            <w:pPr>
              <w:pStyle w:val="Heading2"/>
              <w:ind w:left="0"/>
              <w:rPr>
                <w:rFonts w:ascii="Tahoma" w:hAnsi="Tahoma" w:cs="Tahoma"/>
                <w:b w:val="0"/>
                <w:sz w:val="14"/>
                <w:szCs w:val="14"/>
                <w:lang w:val="it-IT"/>
              </w:rPr>
            </w:pPr>
            <w:bookmarkStart w:id="281" w:name="_Toc336338015"/>
            <w:bookmarkStart w:id="282" w:name="_Toc371663405"/>
            <w:r w:rsidRPr="003F471F">
              <w:rPr>
                <w:rFonts w:ascii="Tahoma" w:hAnsi="Tahoma" w:cs="Tahoma"/>
                <w:b w:val="0"/>
                <w:sz w:val="14"/>
                <w:szCs w:val="14"/>
                <w:lang w:val="it-IT"/>
              </w:rPr>
              <w:t>CAL per Microsoft Dynamics CRM 2013 Basic (Utente e Dispositivo)</w:t>
            </w:r>
            <w:bookmarkEnd w:id="281"/>
            <w:bookmarkEnd w:id="282"/>
          </w:p>
        </w:tc>
        <w:tc>
          <w:tcPr>
            <w:tcW w:w="554" w:type="dxa"/>
            <w:tcBorders>
              <w:bottom w:val="single" w:sz="4" w:space="0" w:color="auto"/>
            </w:tcBorders>
            <w:shd w:val="clear" w:color="auto" w:fill="FABF8F"/>
            <w:vAlign w:val="center"/>
          </w:tcPr>
          <w:p w14:paraId="28FF1121" w14:textId="77777777" w:rsidR="007E430D" w:rsidRPr="0058047D" w:rsidRDefault="00C86F50" w:rsidP="00793532">
            <w:pPr>
              <w:pStyle w:val="TableText"/>
              <w:widowControl w:val="0"/>
              <w:rPr>
                <w:b/>
                <w:color w:val="0000FF"/>
                <w:sz w:val="13"/>
                <w:szCs w:val="13"/>
                <w:u w:val="single"/>
              </w:rPr>
            </w:pPr>
            <w:hyperlink w:anchor="_71_Microsoft_Dynamics_1" w:history="1">
              <w:hyperlink w:anchor="_70_Microsoft_Dynamics" w:history="1">
                <w:r w:rsidR="00BF5FC6" w:rsidRPr="002B4E2B">
                  <w:rPr>
                    <w:rStyle w:val="Hyperlink"/>
                    <w:b/>
                    <w:sz w:val="13"/>
                    <w:szCs w:val="13"/>
                  </w:rPr>
                  <w:t>7</w:t>
                </w:r>
              </w:hyperlink>
              <w:r w:rsidR="00BF5FC6" w:rsidRPr="002B4E2B">
                <w:rPr>
                  <w:rStyle w:val="Hyperlink"/>
                  <w:b/>
                  <w:sz w:val="13"/>
                  <w:szCs w:val="13"/>
                </w:rPr>
                <w:t>1</w:t>
              </w:r>
            </w:hyperlink>
          </w:p>
        </w:tc>
        <w:tc>
          <w:tcPr>
            <w:tcW w:w="516" w:type="dxa"/>
            <w:tcBorders>
              <w:bottom w:val="single" w:sz="4" w:space="0" w:color="auto"/>
            </w:tcBorders>
            <w:shd w:val="clear" w:color="auto" w:fill="FABF8F"/>
          </w:tcPr>
          <w:p w14:paraId="5C40DB01" w14:textId="77777777" w:rsidR="007E430D" w:rsidRPr="0058047D" w:rsidRDefault="002425DA" w:rsidP="002425DA">
            <w:pPr>
              <w:pStyle w:val="TableText"/>
              <w:widowControl w:val="0"/>
              <w:spacing w:before="120"/>
              <w:rPr>
                <w:rFonts w:ascii="Tahoma" w:hAnsi="Tahoma" w:cs="Tahoma"/>
                <w:color w:val="000000"/>
                <w:sz w:val="13"/>
              </w:rPr>
            </w:pPr>
            <w:r w:rsidRPr="0058047D">
              <w:rPr>
                <w:rFonts w:ascii="Tahoma" w:hAnsi="Tahoma" w:cs="Tahoma"/>
                <w:color w:val="000000"/>
                <w:sz w:val="13"/>
              </w:rPr>
              <w:t>10/13</w:t>
            </w:r>
          </w:p>
        </w:tc>
        <w:tc>
          <w:tcPr>
            <w:tcW w:w="358" w:type="dxa"/>
            <w:tcBorders>
              <w:bottom w:val="single" w:sz="4" w:space="0" w:color="auto"/>
              <w:right w:val="single" w:sz="18" w:space="0" w:color="auto"/>
            </w:tcBorders>
            <w:shd w:val="clear" w:color="auto" w:fill="FABF8F"/>
            <w:vAlign w:val="center"/>
          </w:tcPr>
          <w:p w14:paraId="3F1EA229"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center"/>
          </w:tcPr>
          <w:p w14:paraId="153FCED9"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10</w:t>
            </w:r>
          </w:p>
        </w:tc>
        <w:tc>
          <w:tcPr>
            <w:tcW w:w="324" w:type="dxa"/>
            <w:tcBorders>
              <w:bottom w:val="single" w:sz="4" w:space="0" w:color="auto"/>
            </w:tcBorders>
            <w:shd w:val="clear" w:color="auto" w:fill="FABF8F"/>
            <w:vAlign w:val="center"/>
          </w:tcPr>
          <w:p w14:paraId="4BEF070A"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25</w:t>
            </w:r>
          </w:p>
        </w:tc>
        <w:tc>
          <w:tcPr>
            <w:tcW w:w="366" w:type="dxa"/>
            <w:tcBorders>
              <w:bottom w:val="single" w:sz="4" w:space="0" w:color="auto"/>
            </w:tcBorders>
            <w:shd w:val="clear" w:color="auto" w:fill="FABF8F"/>
            <w:vAlign w:val="center"/>
          </w:tcPr>
          <w:p w14:paraId="2BEDEAEB"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20</w:t>
            </w:r>
          </w:p>
        </w:tc>
        <w:tc>
          <w:tcPr>
            <w:tcW w:w="456" w:type="dxa"/>
            <w:gridSpan w:val="2"/>
            <w:tcBorders>
              <w:bottom w:val="single" w:sz="4" w:space="0" w:color="auto"/>
            </w:tcBorders>
            <w:shd w:val="clear" w:color="auto" w:fill="FABF8F"/>
            <w:vAlign w:val="center"/>
          </w:tcPr>
          <w:p w14:paraId="6159FC81"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15</w:t>
            </w:r>
          </w:p>
        </w:tc>
        <w:tc>
          <w:tcPr>
            <w:tcW w:w="450" w:type="dxa"/>
            <w:tcBorders>
              <w:bottom w:val="single" w:sz="4" w:space="0" w:color="auto"/>
            </w:tcBorders>
            <w:shd w:val="clear" w:color="auto" w:fill="FABF8F"/>
            <w:vAlign w:val="center"/>
          </w:tcPr>
          <w:p w14:paraId="5438D779"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15</w:t>
            </w:r>
          </w:p>
        </w:tc>
        <w:tc>
          <w:tcPr>
            <w:tcW w:w="450" w:type="dxa"/>
            <w:tcBorders>
              <w:bottom w:val="single" w:sz="4" w:space="0" w:color="auto"/>
            </w:tcBorders>
            <w:shd w:val="clear" w:color="auto" w:fill="FABF8F"/>
            <w:vAlign w:val="center"/>
          </w:tcPr>
          <w:p w14:paraId="23AF2B67"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10</w:t>
            </w:r>
          </w:p>
        </w:tc>
        <w:tc>
          <w:tcPr>
            <w:tcW w:w="336" w:type="dxa"/>
            <w:tcBorders>
              <w:bottom w:val="single" w:sz="4" w:space="0" w:color="auto"/>
              <w:right w:val="single" w:sz="18" w:space="0" w:color="auto"/>
            </w:tcBorders>
            <w:shd w:val="clear" w:color="auto" w:fill="FABF8F"/>
            <w:vAlign w:val="center"/>
          </w:tcPr>
          <w:p w14:paraId="1220DE38"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5</w:t>
            </w:r>
          </w:p>
        </w:tc>
        <w:tc>
          <w:tcPr>
            <w:tcW w:w="477" w:type="dxa"/>
            <w:tcBorders>
              <w:left w:val="single" w:sz="18" w:space="0" w:color="auto"/>
              <w:bottom w:val="single" w:sz="4" w:space="0" w:color="auto"/>
            </w:tcBorders>
            <w:shd w:val="clear" w:color="auto" w:fill="FABF8F"/>
            <w:vAlign w:val="center"/>
          </w:tcPr>
          <w:p w14:paraId="11F9CEFB" w14:textId="77777777" w:rsidR="007E430D" w:rsidRPr="0058047D"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7863559"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20</w:t>
            </w:r>
          </w:p>
        </w:tc>
        <w:tc>
          <w:tcPr>
            <w:tcW w:w="414" w:type="dxa"/>
            <w:tcBorders>
              <w:bottom w:val="single" w:sz="4" w:space="0" w:color="auto"/>
              <w:right w:val="single" w:sz="18" w:space="0" w:color="auto"/>
            </w:tcBorders>
            <w:shd w:val="clear" w:color="auto" w:fill="FABF8F"/>
            <w:vAlign w:val="center"/>
          </w:tcPr>
          <w:p w14:paraId="32B959B8"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10</w:t>
            </w:r>
          </w:p>
        </w:tc>
        <w:tc>
          <w:tcPr>
            <w:tcW w:w="468" w:type="dxa"/>
            <w:tcBorders>
              <w:left w:val="single" w:sz="18" w:space="0" w:color="auto"/>
              <w:bottom w:val="single" w:sz="4" w:space="0" w:color="auto"/>
            </w:tcBorders>
            <w:shd w:val="clear" w:color="auto" w:fill="FABF8F"/>
            <w:vAlign w:val="center"/>
          </w:tcPr>
          <w:p w14:paraId="0BB3BF24"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10</w:t>
            </w:r>
          </w:p>
        </w:tc>
        <w:tc>
          <w:tcPr>
            <w:tcW w:w="477" w:type="dxa"/>
            <w:tcBorders>
              <w:bottom w:val="single" w:sz="4" w:space="0" w:color="auto"/>
              <w:right w:val="single" w:sz="18" w:space="0" w:color="auto"/>
            </w:tcBorders>
            <w:shd w:val="clear" w:color="auto" w:fill="FABF8F"/>
            <w:vAlign w:val="center"/>
          </w:tcPr>
          <w:p w14:paraId="09B86CA6"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032CC1FF"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vAlign w:val="center"/>
          </w:tcPr>
          <w:p w14:paraId="671B151F"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A, ST</w:t>
            </w:r>
          </w:p>
        </w:tc>
        <w:tc>
          <w:tcPr>
            <w:tcW w:w="504" w:type="dxa"/>
            <w:tcBorders>
              <w:bottom w:val="single" w:sz="4" w:space="0" w:color="auto"/>
            </w:tcBorders>
            <w:shd w:val="clear" w:color="auto" w:fill="FABF8F"/>
            <w:vAlign w:val="center"/>
          </w:tcPr>
          <w:p w14:paraId="15063D07"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OL/OV</w:t>
            </w:r>
          </w:p>
        </w:tc>
        <w:tc>
          <w:tcPr>
            <w:tcW w:w="405" w:type="dxa"/>
            <w:tcBorders>
              <w:bottom w:val="single" w:sz="4" w:space="0" w:color="auto"/>
            </w:tcBorders>
            <w:shd w:val="clear" w:color="auto" w:fill="FABF8F"/>
            <w:vAlign w:val="center"/>
          </w:tcPr>
          <w:p w14:paraId="2B5FFC34"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10</w:t>
            </w:r>
          </w:p>
        </w:tc>
      </w:tr>
      <w:tr w:rsidR="009323A0" w:rsidRPr="0058047D" w14:paraId="1A5A3FD4" w14:textId="77777777" w:rsidTr="00C86F50">
        <w:trPr>
          <w:trHeight w:val="145"/>
        </w:trPr>
        <w:tc>
          <w:tcPr>
            <w:tcW w:w="2619" w:type="dxa"/>
            <w:gridSpan w:val="2"/>
            <w:tcBorders>
              <w:bottom w:val="single" w:sz="4" w:space="0" w:color="auto"/>
            </w:tcBorders>
            <w:shd w:val="clear" w:color="auto" w:fill="auto"/>
            <w:vAlign w:val="center"/>
          </w:tcPr>
          <w:p w14:paraId="6D5016CF" w14:textId="77777777" w:rsidR="007E430D" w:rsidRPr="003F471F" w:rsidRDefault="007E430D" w:rsidP="007E430D">
            <w:pPr>
              <w:pStyle w:val="Heading2"/>
              <w:ind w:left="0"/>
              <w:rPr>
                <w:rFonts w:ascii="Tahoma" w:hAnsi="Tahoma" w:cs="Tahoma"/>
                <w:b w:val="0"/>
                <w:sz w:val="14"/>
                <w:szCs w:val="14"/>
                <w:lang w:val="it-IT"/>
              </w:rPr>
            </w:pPr>
            <w:bookmarkStart w:id="283" w:name="_Toc336338016"/>
            <w:bookmarkStart w:id="284" w:name="_Toc371663406"/>
            <w:r w:rsidRPr="003F471F">
              <w:rPr>
                <w:rFonts w:ascii="Tahoma" w:hAnsi="Tahoma" w:cs="Tahoma"/>
                <w:b w:val="0"/>
                <w:sz w:val="14"/>
                <w:szCs w:val="14"/>
                <w:lang w:val="it-IT"/>
              </w:rPr>
              <w:t>CAL Aggiuntiva per l</w:t>
            </w:r>
            <w:r w:rsidR="001C4212" w:rsidRPr="003F471F">
              <w:rPr>
                <w:rFonts w:ascii="Tahoma" w:hAnsi="Tahoma" w:cs="Tahoma"/>
                <w:b w:val="0"/>
                <w:sz w:val="14"/>
                <w:szCs w:val="14"/>
                <w:lang w:val="it-IT"/>
              </w:rPr>
              <w:t>’</w:t>
            </w:r>
            <w:r w:rsidRPr="003F471F">
              <w:rPr>
                <w:rFonts w:ascii="Tahoma" w:hAnsi="Tahoma" w:cs="Tahoma"/>
                <w:b w:val="0"/>
                <w:sz w:val="14"/>
                <w:szCs w:val="14"/>
                <w:lang w:val="it-IT"/>
              </w:rPr>
              <w:t>Utilizzo di Microsoft Dynamics 2013 CRM Basic (Utente e Dispositivo)</w:t>
            </w:r>
            <w:bookmarkEnd w:id="283"/>
            <w:bookmarkEnd w:id="284"/>
          </w:p>
        </w:tc>
        <w:tc>
          <w:tcPr>
            <w:tcW w:w="554" w:type="dxa"/>
            <w:tcBorders>
              <w:bottom w:val="single" w:sz="4" w:space="0" w:color="auto"/>
            </w:tcBorders>
            <w:shd w:val="clear" w:color="auto" w:fill="auto"/>
            <w:vAlign w:val="center"/>
          </w:tcPr>
          <w:p w14:paraId="3487E49B" w14:textId="77777777" w:rsidR="007E430D" w:rsidRPr="0058047D" w:rsidRDefault="00C86F50" w:rsidP="00793532">
            <w:pPr>
              <w:pStyle w:val="TableText"/>
              <w:widowControl w:val="0"/>
              <w:rPr>
                <w:b/>
                <w:color w:val="0000FF"/>
                <w:sz w:val="13"/>
                <w:szCs w:val="13"/>
                <w:u w:val="single"/>
              </w:rPr>
            </w:pPr>
            <w:hyperlink w:anchor="_71_Microsoft_Dynamics_1" w:history="1">
              <w:hyperlink w:anchor="_70_Microsoft_Dynamics" w:history="1">
                <w:r w:rsidR="002B4E2B" w:rsidRPr="002B4E2B">
                  <w:rPr>
                    <w:rStyle w:val="Hyperlink"/>
                    <w:b/>
                    <w:sz w:val="13"/>
                    <w:szCs w:val="13"/>
                  </w:rPr>
                  <w:t>7</w:t>
                </w:r>
              </w:hyperlink>
              <w:r w:rsidR="002B4E2B" w:rsidRPr="002B4E2B">
                <w:rPr>
                  <w:rStyle w:val="Hyperlink"/>
                  <w:b/>
                  <w:sz w:val="13"/>
                  <w:szCs w:val="13"/>
                </w:rPr>
                <w:t>1</w:t>
              </w:r>
            </w:hyperlink>
          </w:p>
        </w:tc>
        <w:tc>
          <w:tcPr>
            <w:tcW w:w="516" w:type="dxa"/>
            <w:tcBorders>
              <w:bottom w:val="single" w:sz="4" w:space="0" w:color="auto"/>
            </w:tcBorders>
            <w:shd w:val="clear" w:color="auto" w:fill="auto"/>
          </w:tcPr>
          <w:p w14:paraId="5C59ED3E" w14:textId="77777777" w:rsidR="007E430D" w:rsidRPr="0058047D" w:rsidRDefault="002425DA" w:rsidP="007E430D">
            <w:pPr>
              <w:pStyle w:val="TableText"/>
              <w:widowControl w:val="0"/>
              <w:spacing w:before="120"/>
              <w:rPr>
                <w:rFonts w:ascii="Tahoma" w:hAnsi="Tahoma" w:cs="Tahoma"/>
                <w:color w:val="000000"/>
                <w:sz w:val="13"/>
              </w:rPr>
            </w:pPr>
            <w:r w:rsidRPr="0058047D">
              <w:rPr>
                <w:rFonts w:ascii="Tahoma" w:hAnsi="Tahoma" w:cs="Tahoma"/>
                <w:color w:val="000000"/>
                <w:sz w:val="13"/>
              </w:rPr>
              <w:t>10/13</w:t>
            </w:r>
          </w:p>
        </w:tc>
        <w:tc>
          <w:tcPr>
            <w:tcW w:w="358" w:type="dxa"/>
            <w:tcBorders>
              <w:bottom w:val="single" w:sz="4" w:space="0" w:color="auto"/>
              <w:right w:val="single" w:sz="18" w:space="0" w:color="auto"/>
            </w:tcBorders>
            <w:shd w:val="clear" w:color="auto" w:fill="auto"/>
            <w:vAlign w:val="center"/>
          </w:tcPr>
          <w:p w14:paraId="00EF42B0"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75DE0146"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1</w:t>
            </w:r>
          </w:p>
        </w:tc>
        <w:tc>
          <w:tcPr>
            <w:tcW w:w="324" w:type="dxa"/>
            <w:tcBorders>
              <w:bottom w:val="single" w:sz="4" w:space="0" w:color="auto"/>
            </w:tcBorders>
            <w:shd w:val="clear" w:color="auto" w:fill="auto"/>
            <w:vAlign w:val="center"/>
          </w:tcPr>
          <w:p w14:paraId="60E3C221"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3</w:t>
            </w:r>
          </w:p>
        </w:tc>
        <w:tc>
          <w:tcPr>
            <w:tcW w:w="366" w:type="dxa"/>
            <w:tcBorders>
              <w:bottom w:val="single" w:sz="4" w:space="0" w:color="auto"/>
            </w:tcBorders>
            <w:shd w:val="clear" w:color="auto" w:fill="auto"/>
            <w:vAlign w:val="center"/>
          </w:tcPr>
          <w:p w14:paraId="1C9B605B"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2</w:t>
            </w:r>
          </w:p>
        </w:tc>
        <w:tc>
          <w:tcPr>
            <w:tcW w:w="456" w:type="dxa"/>
            <w:gridSpan w:val="2"/>
            <w:tcBorders>
              <w:bottom w:val="single" w:sz="4" w:space="0" w:color="auto"/>
            </w:tcBorders>
            <w:shd w:val="clear" w:color="auto" w:fill="auto"/>
            <w:vAlign w:val="center"/>
          </w:tcPr>
          <w:p w14:paraId="0FCC39E9"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auto"/>
            <w:vAlign w:val="center"/>
          </w:tcPr>
          <w:p w14:paraId="28D651A0"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auto"/>
            <w:vAlign w:val="center"/>
          </w:tcPr>
          <w:p w14:paraId="41062085"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1</w:t>
            </w:r>
          </w:p>
        </w:tc>
        <w:tc>
          <w:tcPr>
            <w:tcW w:w="336" w:type="dxa"/>
            <w:tcBorders>
              <w:bottom w:val="single" w:sz="4" w:space="0" w:color="auto"/>
              <w:right w:val="single" w:sz="18" w:space="0" w:color="auto"/>
            </w:tcBorders>
            <w:shd w:val="clear" w:color="auto" w:fill="auto"/>
            <w:vAlign w:val="center"/>
          </w:tcPr>
          <w:p w14:paraId="231A6D67"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1</w:t>
            </w:r>
          </w:p>
        </w:tc>
        <w:tc>
          <w:tcPr>
            <w:tcW w:w="477" w:type="dxa"/>
            <w:tcBorders>
              <w:left w:val="single" w:sz="18" w:space="0" w:color="auto"/>
              <w:bottom w:val="single" w:sz="4" w:space="0" w:color="auto"/>
            </w:tcBorders>
            <w:shd w:val="clear" w:color="auto" w:fill="auto"/>
            <w:vAlign w:val="center"/>
          </w:tcPr>
          <w:p w14:paraId="47E3CF26" w14:textId="77777777" w:rsidR="007E430D" w:rsidRPr="0058047D"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98ED0A1"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2</w:t>
            </w:r>
          </w:p>
        </w:tc>
        <w:tc>
          <w:tcPr>
            <w:tcW w:w="414" w:type="dxa"/>
            <w:tcBorders>
              <w:bottom w:val="single" w:sz="4" w:space="0" w:color="auto"/>
              <w:right w:val="single" w:sz="18" w:space="0" w:color="auto"/>
            </w:tcBorders>
            <w:shd w:val="clear" w:color="auto" w:fill="auto"/>
            <w:vAlign w:val="center"/>
          </w:tcPr>
          <w:p w14:paraId="46E67293"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1</w:t>
            </w:r>
          </w:p>
        </w:tc>
        <w:tc>
          <w:tcPr>
            <w:tcW w:w="468" w:type="dxa"/>
            <w:tcBorders>
              <w:left w:val="single" w:sz="18" w:space="0" w:color="auto"/>
              <w:bottom w:val="single" w:sz="4" w:space="0" w:color="auto"/>
            </w:tcBorders>
            <w:shd w:val="clear" w:color="auto" w:fill="auto"/>
            <w:vAlign w:val="center"/>
          </w:tcPr>
          <w:p w14:paraId="11C65330"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auto"/>
            <w:vAlign w:val="center"/>
          </w:tcPr>
          <w:p w14:paraId="00720D7E"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327C3EF7"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auto"/>
            <w:vAlign w:val="center"/>
          </w:tcPr>
          <w:p w14:paraId="6388594E" w14:textId="77777777" w:rsidR="007E430D" w:rsidRPr="0058047D" w:rsidRDefault="007E430D" w:rsidP="007E430D">
            <w:pPr>
              <w:pStyle w:val="TableText"/>
              <w:widowControl w:val="0"/>
              <w:spacing w:before="120"/>
              <w:rPr>
                <w:rFonts w:ascii="Tahoma" w:hAnsi="Tahoma" w:cs="Tahoma"/>
                <w:sz w:val="13"/>
              </w:rPr>
            </w:pPr>
            <w:r w:rsidRPr="0058047D">
              <w:rPr>
                <w:rFonts w:ascii="Tahoma" w:hAnsi="Tahoma" w:cs="Tahoma"/>
                <w:sz w:val="13"/>
              </w:rPr>
              <w:t>A, ST</w:t>
            </w:r>
          </w:p>
        </w:tc>
        <w:tc>
          <w:tcPr>
            <w:tcW w:w="504" w:type="dxa"/>
            <w:tcBorders>
              <w:bottom w:val="single" w:sz="4" w:space="0" w:color="auto"/>
            </w:tcBorders>
            <w:shd w:val="clear" w:color="auto" w:fill="auto"/>
            <w:vAlign w:val="center"/>
          </w:tcPr>
          <w:p w14:paraId="00D6E6EF"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OL/OV</w:t>
            </w:r>
          </w:p>
        </w:tc>
        <w:tc>
          <w:tcPr>
            <w:tcW w:w="405" w:type="dxa"/>
            <w:tcBorders>
              <w:bottom w:val="single" w:sz="4" w:space="0" w:color="auto"/>
            </w:tcBorders>
            <w:vAlign w:val="center"/>
          </w:tcPr>
          <w:p w14:paraId="4F6615AC"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1</w:t>
            </w:r>
          </w:p>
        </w:tc>
      </w:tr>
      <w:tr w:rsidR="009323A0" w:rsidRPr="0058047D" w14:paraId="7F185C0F" w14:textId="77777777" w:rsidTr="00C86F50">
        <w:trPr>
          <w:trHeight w:val="145"/>
        </w:trPr>
        <w:tc>
          <w:tcPr>
            <w:tcW w:w="2619" w:type="dxa"/>
            <w:gridSpan w:val="2"/>
            <w:tcBorders>
              <w:bottom w:val="single" w:sz="4" w:space="0" w:color="auto"/>
            </w:tcBorders>
            <w:shd w:val="clear" w:color="auto" w:fill="FABF8F"/>
            <w:vAlign w:val="center"/>
          </w:tcPr>
          <w:p w14:paraId="134F6CE1" w14:textId="77777777" w:rsidR="007E430D" w:rsidRPr="0058047D" w:rsidRDefault="007E430D" w:rsidP="007E430D">
            <w:pPr>
              <w:pStyle w:val="Heading2"/>
              <w:ind w:left="0"/>
              <w:rPr>
                <w:rFonts w:ascii="Tahoma" w:hAnsi="Tahoma" w:cs="Tahoma"/>
                <w:b w:val="0"/>
                <w:sz w:val="14"/>
                <w:szCs w:val="14"/>
              </w:rPr>
            </w:pPr>
            <w:bookmarkStart w:id="285" w:name="_Toc336338017"/>
            <w:bookmarkStart w:id="286" w:name="_Toc371663407"/>
            <w:r w:rsidRPr="0058047D">
              <w:rPr>
                <w:rFonts w:ascii="Tahoma" w:hAnsi="Tahoma" w:cs="Tahoma"/>
                <w:b w:val="0"/>
                <w:sz w:val="14"/>
                <w:szCs w:val="14"/>
              </w:rPr>
              <w:t>CAL per Microsoft Dynamics 2013 CRM Essential</w:t>
            </w:r>
            <w:bookmarkEnd w:id="285"/>
            <w:bookmarkEnd w:id="286"/>
          </w:p>
        </w:tc>
        <w:tc>
          <w:tcPr>
            <w:tcW w:w="554" w:type="dxa"/>
            <w:tcBorders>
              <w:bottom w:val="single" w:sz="4" w:space="0" w:color="auto"/>
            </w:tcBorders>
            <w:shd w:val="clear" w:color="auto" w:fill="FABF8F"/>
            <w:vAlign w:val="center"/>
          </w:tcPr>
          <w:p w14:paraId="6910A471" w14:textId="77777777" w:rsidR="007E430D" w:rsidRPr="0058047D" w:rsidRDefault="00C86F50" w:rsidP="00793532">
            <w:pPr>
              <w:pStyle w:val="TableText"/>
              <w:widowControl w:val="0"/>
              <w:rPr>
                <w:b/>
                <w:color w:val="0000FF"/>
                <w:sz w:val="13"/>
                <w:szCs w:val="13"/>
                <w:u w:val="single"/>
              </w:rPr>
            </w:pPr>
            <w:hyperlink w:anchor="_71_Microsoft_Dynamics_1" w:history="1">
              <w:hyperlink w:anchor="_70_Microsoft_Dynamics" w:history="1">
                <w:r w:rsidR="002B4E2B" w:rsidRPr="002B4E2B">
                  <w:rPr>
                    <w:rStyle w:val="Hyperlink"/>
                    <w:b/>
                    <w:sz w:val="13"/>
                    <w:szCs w:val="13"/>
                  </w:rPr>
                  <w:t>7</w:t>
                </w:r>
              </w:hyperlink>
              <w:r w:rsidR="002B4E2B" w:rsidRPr="002B4E2B">
                <w:rPr>
                  <w:rStyle w:val="Hyperlink"/>
                  <w:b/>
                  <w:sz w:val="13"/>
                  <w:szCs w:val="13"/>
                </w:rPr>
                <w:t>1</w:t>
              </w:r>
            </w:hyperlink>
          </w:p>
        </w:tc>
        <w:tc>
          <w:tcPr>
            <w:tcW w:w="516" w:type="dxa"/>
            <w:tcBorders>
              <w:bottom w:val="single" w:sz="4" w:space="0" w:color="auto"/>
            </w:tcBorders>
            <w:shd w:val="clear" w:color="auto" w:fill="FABF8F"/>
          </w:tcPr>
          <w:p w14:paraId="3E815F70" w14:textId="77777777" w:rsidR="007E430D" w:rsidRPr="0058047D" w:rsidRDefault="002425DA" w:rsidP="002425DA">
            <w:pPr>
              <w:pStyle w:val="TableText"/>
              <w:widowControl w:val="0"/>
              <w:spacing w:before="120"/>
              <w:rPr>
                <w:rFonts w:ascii="Tahoma" w:hAnsi="Tahoma" w:cs="Tahoma"/>
                <w:color w:val="000000"/>
                <w:sz w:val="13"/>
              </w:rPr>
            </w:pPr>
            <w:r w:rsidRPr="0058047D">
              <w:rPr>
                <w:rFonts w:ascii="Tahoma" w:hAnsi="Tahoma" w:cs="Tahoma"/>
                <w:color w:val="000000"/>
                <w:sz w:val="13"/>
              </w:rPr>
              <w:t>10/13</w:t>
            </w:r>
          </w:p>
        </w:tc>
        <w:tc>
          <w:tcPr>
            <w:tcW w:w="358" w:type="dxa"/>
            <w:tcBorders>
              <w:bottom w:val="single" w:sz="4" w:space="0" w:color="auto"/>
              <w:right w:val="single" w:sz="18" w:space="0" w:color="auto"/>
            </w:tcBorders>
            <w:shd w:val="clear" w:color="auto" w:fill="FABF8F"/>
            <w:vAlign w:val="center"/>
          </w:tcPr>
          <w:p w14:paraId="0437241B"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center"/>
          </w:tcPr>
          <w:p w14:paraId="5270E02C"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1</w:t>
            </w:r>
          </w:p>
        </w:tc>
        <w:tc>
          <w:tcPr>
            <w:tcW w:w="324" w:type="dxa"/>
            <w:tcBorders>
              <w:bottom w:val="single" w:sz="4" w:space="0" w:color="auto"/>
            </w:tcBorders>
            <w:shd w:val="clear" w:color="auto" w:fill="FABF8F"/>
            <w:vAlign w:val="center"/>
          </w:tcPr>
          <w:p w14:paraId="4F54D2F2"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3</w:t>
            </w:r>
          </w:p>
        </w:tc>
        <w:tc>
          <w:tcPr>
            <w:tcW w:w="366" w:type="dxa"/>
            <w:tcBorders>
              <w:bottom w:val="single" w:sz="4" w:space="0" w:color="auto"/>
            </w:tcBorders>
            <w:shd w:val="clear" w:color="auto" w:fill="FABF8F"/>
            <w:vAlign w:val="center"/>
          </w:tcPr>
          <w:p w14:paraId="042D7B63"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2</w:t>
            </w:r>
          </w:p>
        </w:tc>
        <w:tc>
          <w:tcPr>
            <w:tcW w:w="456" w:type="dxa"/>
            <w:gridSpan w:val="2"/>
            <w:tcBorders>
              <w:bottom w:val="single" w:sz="4" w:space="0" w:color="auto"/>
            </w:tcBorders>
            <w:shd w:val="clear" w:color="auto" w:fill="FABF8F"/>
            <w:vAlign w:val="center"/>
          </w:tcPr>
          <w:p w14:paraId="5FE346E6"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FABF8F"/>
            <w:vAlign w:val="center"/>
          </w:tcPr>
          <w:p w14:paraId="2D23DFC4"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FABF8F"/>
            <w:vAlign w:val="center"/>
          </w:tcPr>
          <w:p w14:paraId="544C1F7E"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1</w:t>
            </w:r>
          </w:p>
        </w:tc>
        <w:tc>
          <w:tcPr>
            <w:tcW w:w="336" w:type="dxa"/>
            <w:tcBorders>
              <w:bottom w:val="single" w:sz="4" w:space="0" w:color="auto"/>
              <w:right w:val="single" w:sz="18" w:space="0" w:color="auto"/>
            </w:tcBorders>
            <w:shd w:val="clear" w:color="auto" w:fill="FABF8F"/>
            <w:vAlign w:val="center"/>
          </w:tcPr>
          <w:p w14:paraId="076114F2"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1</w:t>
            </w:r>
          </w:p>
        </w:tc>
        <w:tc>
          <w:tcPr>
            <w:tcW w:w="477" w:type="dxa"/>
            <w:tcBorders>
              <w:left w:val="single" w:sz="18" w:space="0" w:color="auto"/>
              <w:bottom w:val="single" w:sz="4" w:space="0" w:color="auto"/>
            </w:tcBorders>
            <w:shd w:val="clear" w:color="auto" w:fill="FABF8F"/>
            <w:vAlign w:val="center"/>
          </w:tcPr>
          <w:p w14:paraId="326D382B" w14:textId="77777777" w:rsidR="007E430D" w:rsidRPr="0058047D"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310A290"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2</w:t>
            </w:r>
          </w:p>
        </w:tc>
        <w:tc>
          <w:tcPr>
            <w:tcW w:w="414" w:type="dxa"/>
            <w:tcBorders>
              <w:bottom w:val="single" w:sz="4" w:space="0" w:color="auto"/>
              <w:right w:val="single" w:sz="18" w:space="0" w:color="auto"/>
            </w:tcBorders>
            <w:shd w:val="clear" w:color="auto" w:fill="FABF8F"/>
            <w:vAlign w:val="center"/>
          </w:tcPr>
          <w:p w14:paraId="50393917"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1</w:t>
            </w:r>
          </w:p>
        </w:tc>
        <w:tc>
          <w:tcPr>
            <w:tcW w:w="468" w:type="dxa"/>
            <w:tcBorders>
              <w:left w:val="single" w:sz="18" w:space="0" w:color="auto"/>
              <w:bottom w:val="single" w:sz="4" w:space="0" w:color="auto"/>
            </w:tcBorders>
            <w:shd w:val="clear" w:color="auto" w:fill="FABF8F"/>
            <w:vAlign w:val="center"/>
          </w:tcPr>
          <w:p w14:paraId="3E500BD6"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FABF8F"/>
            <w:vAlign w:val="center"/>
          </w:tcPr>
          <w:p w14:paraId="1FE2DA79"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5CE4239B"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vAlign w:val="center"/>
          </w:tcPr>
          <w:p w14:paraId="3736CE5F" w14:textId="77777777" w:rsidR="007E430D" w:rsidRPr="0058047D" w:rsidRDefault="007E430D" w:rsidP="007E430D">
            <w:pPr>
              <w:pStyle w:val="TableText"/>
              <w:widowControl w:val="0"/>
              <w:spacing w:before="12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FABF8F"/>
            <w:vAlign w:val="center"/>
          </w:tcPr>
          <w:p w14:paraId="4C97DCEA"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OL/OV</w:t>
            </w:r>
          </w:p>
        </w:tc>
        <w:tc>
          <w:tcPr>
            <w:tcW w:w="405" w:type="dxa"/>
            <w:tcBorders>
              <w:bottom w:val="single" w:sz="4" w:space="0" w:color="auto"/>
            </w:tcBorders>
            <w:shd w:val="clear" w:color="auto" w:fill="FABF8F"/>
            <w:vAlign w:val="center"/>
          </w:tcPr>
          <w:p w14:paraId="7902E501"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1</w:t>
            </w:r>
          </w:p>
        </w:tc>
      </w:tr>
      <w:tr w:rsidR="009323A0" w:rsidRPr="0058047D" w14:paraId="6EE8F9CB" w14:textId="77777777" w:rsidTr="00C86F50">
        <w:trPr>
          <w:trHeight w:val="145"/>
        </w:trPr>
        <w:tc>
          <w:tcPr>
            <w:tcW w:w="2619" w:type="dxa"/>
            <w:gridSpan w:val="2"/>
            <w:tcBorders>
              <w:bottom w:val="single" w:sz="4" w:space="0" w:color="auto"/>
            </w:tcBorders>
            <w:shd w:val="clear" w:color="auto" w:fill="auto"/>
            <w:vAlign w:val="center"/>
          </w:tcPr>
          <w:p w14:paraId="64909FA9" w14:textId="77777777" w:rsidR="007E430D" w:rsidRPr="003F471F" w:rsidRDefault="007E430D" w:rsidP="007E430D">
            <w:pPr>
              <w:pStyle w:val="Heading2"/>
              <w:ind w:left="0"/>
              <w:rPr>
                <w:rFonts w:ascii="Tahoma" w:hAnsi="Tahoma" w:cs="Tahoma"/>
                <w:b w:val="0"/>
                <w:sz w:val="14"/>
                <w:szCs w:val="14"/>
                <w:lang w:val="it-IT"/>
              </w:rPr>
            </w:pPr>
            <w:bookmarkStart w:id="287" w:name="_Toc336338018"/>
            <w:bookmarkStart w:id="288" w:name="_Toc371663408"/>
            <w:r w:rsidRPr="003F471F">
              <w:rPr>
                <w:rFonts w:ascii="Tahoma" w:hAnsi="Tahoma" w:cs="Tahoma"/>
                <w:b w:val="0"/>
                <w:sz w:val="14"/>
                <w:szCs w:val="14"/>
                <w:lang w:val="it-IT"/>
              </w:rPr>
              <w:t>CAL per Microsoft Dynamics 2013 CRM Professional (Utente e Dispositivo)</w:t>
            </w:r>
            <w:bookmarkEnd w:id="287"/>
            <w:bookmarkEnd w:id="288"/>
          </w:p>
        </w:tc>
        <w:tc>
          <w:tcPr>
            <w:tcW w:w="554" w:type="dxa"/>
            <w:tcBorders>
              <w:bottom w:val="single" w:sz="4" w:space="0" w:color="auto"/>
            </w:tcBorders>
            <w:shd w:val="clear" w:color="auto" w:fill="auto"/>
            <w:vAlign w:val="center"/>
          </w:tcPr>
          <w:p w14:paraId="1B4A0C1C" w14:textId="77777777" w:rsidR="007E430D" w:rsidRPr="0058047D" w:rsidRDefault="00C86F50" w:rsidP="00793532">
            <w:pPr>
              <w:pStyle w:val="TableText"/>
              <w:widowControl w:val="0"/>
              <w:rPr>
                <w:b/>
                <w:color w:val="0000FF"/>
                <w:sz w:val="13"/>
                <w:szCs w:val="13"/>
                <w:u w:val="single"/>
              </w:rPr>
            </w:pPr>
            <w:hyperlink w:anchor="_71_Microsoft_Dynamics_1" w:history="1">
              <w:hyperlink w:anchor="_70_Microsoft_Dynamics" w:history="1">
                <w:r w:rsidR="002B4E2B" w:rsidRPr="002B4E2B">
                  <w:rPr>
                    <w:rStyle w:val="Hyperlink"/>
                    <w:b/>
                    <w:sz w:val="13"/>
                    <w:szCs w:val="13"/>
                  </w:rPr>
                  <w:t>7</w:t>
                </w:r>
              </w:hyperlink>
              <w:r w:rsidR="002B4E2B" w:rsidRPr="002B4E2B">
                <w:rPr>
                  <w:rStyle w:val="Hyperlink"/>
                  <w:b/>
                  <w:sz w:val="13"/>
                  <w:szCs w:val="13"/>
                </w:rPr>
                <w:t>1</w:t>
              </w:r>
            </w:hyperlink>
          </w:p>
        </w:tc>
        <w:tc>
          <w:tcPr>
            <w:tcW w:w="516" w:type="dxa"/>
            <w:tcBorders>
              <w:bottom w:val="single" w:sz="4" w:space="0" w:color="auto"/>
            </w:tcBorders>
            <w:shd w:val="clear" w:color="auto" w:fill="auto"/>
          </w:tcPr>
          <w:p w14:paraId="02BF4F5D" w14:textId="77777777" w:rsidR="007E430D" w:rsidRPr="0058047D" w:rsidRDefault="002425DA" w:rsidP="002425DA">
            <w:pPr>
              <w:pStyle w:val="TableText"/>
              <w:widowControl w:val="0"/>
              <w:spacing w:before="120"/>
              <w:rPr>
                <w:rFonts w:ascii="Tahoma" w:hAnsi="Tahoma" w:cs="Tahoma"/>
                <w:color w:val="000000"/>
                <w:sz w:val="13"/>
              </w:rPr>
            </w:pPr>
            <w:r w:rsidRPr="0058047D">
              <w:rPr>
                <w:rFonts w:ascii="Tahoma" w:hAnsi="Tahoma" w:cs="Tahoma"/>
                <w:color w:val="000000"/>
                <w:sz w:val="13"/>
              </w:rPr>
              <w:t>10/13</w:t>
            </w:r>
          </w:p>
        </w:tc>
        <w:tc>
          <w:tcPr>
            <w:tcW w:w="358" w:type="dxa"/>
            <w:tcBorders>
              <w:bottom w:val="single" w:sz="4" w:space="0" w:color="auto"/>
              <w:right w:val="single" w:sz="18" w:space="0" w:color="auto"/>
            </w:tcBorders>
            <w:shd w:val="clear" w:color="auto" w:fill="auto"/>
            <w:vAlign w:val="center"/>
          </w:tcPr>
          <w:p w14:paraId="00545750"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3EA65834"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10</w:t>
            </w:r>
          </w:p>
        </w:tc>
        <w:tc>
          <w:tcPr>
            <w:tcW w:w="324" w:type="dxa"/>
            <w:tcBorders>
              <w:bottom w:val="single" w:sz="4" w:space="0" w:color="auto"/>
            </w:tcBorders>
            <w:shd w:val="clear" w:color="auto" w:fill="auto"/>
            <w:vAlign w:val="center"/>
          </w:tcPr>
          <w:p w14:paraId="0E929FF3"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25</w:t>
            </w:r>
          </w:p>
        </w:tc>
        <w:tc>
          <w:tcPr>
            <w:tcW w:w="366" w:type="dxa"/>
            <w:tcBorders>
              <w:bottom w:val="single" w:sz="4" w:space="0" w:color="auto"/>
            </w:tcBorders>
            <w:shd w:val="clear" w:color="auto" w:fill="auto"/>
            <w:vAlign w:val="center"/>
          </w:tcPr>
          <w:p w14:paraId="2A0EE76C"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20</w:t>
            </w:r>
          </w:p>
        </w:tc>
        <w:tc>
          <w:tcPr>
            <w:tcW w:w="456" w:type="dxa"/>
            <w:gridSpan w:val="2"/>
            <w:tcBorders>
              <w:bottom w:val="single" w:sz="4" w:space="0" w:color="auto"/>
            </w:tcBorders>
            <w:shd w:val="clear" w:color="auto" w:fill="auto"/>
            <w:vAlign w:val="center"/>
          </w:tcPr>
          <w:p w14:paraId="18D0F247"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15</w:t>
            </w:r>
          </w:p>
        </w:tc>
        <w:tc>
          <w:tcPr>
            <w:tcW w:w="450" w:type="dxa"/>
            <w:tcBorders>
              <w:bottom w:val="single" w:sz="4" w:space="0" w:color="auto"/>
            </w:tcBorders>
            <w:shd w:val="clear" w:color="auto" w:fill="auto"/>
            <w:vAlign w:val="center"/>
          </w:tcPr>
          <w:p w14:paraId="22EB51AE"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15</w:t>
            </w:r>
          </w:p>
        </w:tc>
        <w:tc>
          <w:tcPr>
            <w:tcW w:w="450" w:type="dxa"/>
            <w:tcBorders>
              <w:bottom w:val="single" w:sz="4" w:space="0" w:color="auto"/>
            </w:tcBorders>
            <w:shd w:val="clear" w:color="auto" w:fill="auto"/>
            <w:vAlign w:val="center"/>
          </w:tcPr>
          <w:p w14:paraId="38A9496B"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10</w:t>
            </w:r>
          </w:p>
        </w:tc>
        <w:tc>
          <w:tcPr>
            <w:tcW w:w="336" w:type="dxa"/>
            <w:tcBorders>
              <w:bottom w:val="single" w:sz="4" w:space="0" w:color="auto"/>
              <w:right w:val="single" w:sz="18" w:space="0" w:color="auto"/>
            </w:tcBorders>
            <w:shd w:val="clear" w:color="auto" w:fill="auto"/>
            <w:vAlign w:val="center"/>
          </w:tcPr>
          <w:p w14:paraId="5172531B"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5</w:t>
            </w:r>
          </w:p>
        </w:tc>
        <w:tc>
          <w:tcPr>
            <w:tcW w:w="477" w:type="dxa"/>
            <w:tcBorders>
              <w:left w:val="single" w:sz="18" w:space="0" w:color="auto"/>
              <w:bottom w:val="single" w:sz="4" w:space="0" w:color="auto"/>
            </w:tcBorders>
            <w:shd w:val="clear" w:color="auto" w:fill="auto"/>
            <w:vAlign w:val="center"/>
          </w:tcPr>
          <w:p w14:paraId="29EB065B" w14:textId="77777777" w:rsidR="007E430D" w:rsidRPr="0058047D"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85F98D7"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20</w:t>
            </w:r>
          </w:p>
        </w:tc>
        <w:tc>
          <w:tcPr>
            <w:tcW w:w="414" w:type="dxa"/>
            <w:tcBorders>
              <w:bottom w:val="single" w:sz="4" w:space="0" w:color="auto"/>
              <w:right w:val="single" w:sz="18" w:space="0" w:color="auto"/>
            </w:tcBorders>
            <w:shd w:val="clear" w:color="auto" w:fill="auto"/>
            <w:vAlign w:val="center"/>
          </w:tcPr>
          <w:p w14:paraId="46774A65"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10</w:t>
            </w:r>
          </w:p>
        </w:tc>
        <w:tc>
          <w:tcPr>
            <w:tcW w:w="468" w:type="dxa"/>
            <w:tcBorders>
              <w:left w:val="single" w:sz="18" w:space="0" w:color="auto"/>
              <w:bottom w:val="single" w:sz="4" w:space="0" w:color="auto"/>
            </w:tcBorders>
            <w:shd w:val="clear" w:color="auto" w:fill="auto"/>
            <w:vAlign w:val="center"/>
          </w:tcPr>
          <w:p w14:paraId="696DD9CF"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20</w:t>
            </w:r>
          </w:p>
        </w:tc>
        <w:tc>
          <w:tcPr>
            <w:tcW w:w="477" w:type="dxa"/>
            <w:tcBorders>
              <w:bottom w:val="single" w:sz="4" w:space="0" w:color="auto"/>
              <w:right w:val="single" w:sz="18" w:space="0" w:color="auto"/>
            </w:tcBorders>
            <w:shd w:val="clear" w:color="auto" w:fill="auto"/>
            <w:vAlign w:val="center"/>
          </w:tcPr>
          <w:p w14:paraId="3649C13A"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46869E8B"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auto"/>
            <w:vAlign w:val="center"/>
          </w:tcPr>
          <w:p w14:paraId="357D177C" w14:textId="77777777" w:rsidR="007E430D" w:rsidRPr="0058047D" w:rsidRDefault="007E430D" w:rsidP="007E430D">
            <w:pPr>
              <w:pStyle w:val="TableText"/>
              <w:widowControl w:val="0"/>
              <w:spacing w:before="120"/>
              <w:rPr>
                <w:rFonts w:ascii="Tahoma" w:hAnsi="Tahoma" w:cs="Tahoma"/>
                <w:sz w:val="13"/>
              </w:rPr>
            </w:pPr>
            <w:r w:rsidRPr="0058047D">
              <w:rPr>
                <w:rFonts w:ascii="Tahoma" w:hAnsi="Tahoma" w:cs="Tahoma"/>
                <w:sz w:val="13"/>
              </w:rPr>
              <w:t>A, ST</w:t>
            </w:r>
          </w:p>
        </w:tc>
        <w:tc>
          <w:tcPr>
            <w:tcW w:w="504" w:type="dxa"/>
            <w:tcBorders>
              <w:bottom w:val="single" w:sz="4" w:space="0" w:color="auto"/>
            </w:tcBorders>
            <w:shd w:val="clear" w:color="auto" w:fill="auto"/>
            <w:vAlign w:val="center"/>
          </w:tcPr>
          <w:p w14:paraId="1AFAB37C"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OL/OV</w:t>
            </w:r>
          </w:p>
        </w:tc>
        <w:tc>
          <w:tcPr>
            <w:tcW w:w="405" w:type="dxa"/>
            <w:tcBorders>
              <w:bottom w:val="single" w:sz="4" w:space="0" w:color="auto"/>
            </w:tcBorders>
            <w:vAlign w:val="center"/>
          </w:tcPr>
          <w:p w14:paraId="1EC461CF"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10</w:t>
            </w:r>
          </w:p>
        </w:tc>
      </w:tr>
      <w:tr w:rsidR="009323A0" w:rsidRPr="0058047D" w14:paraId="0B2528DC" w14:textId="77777777" w:rsidTr="00C86F50">
        <w:trPr>
          <w:trHeight w:val="145"/>
        </w:trPr>
        <w:tc>
          <w:tcPr>
            <w:tcW w:w="2619" w:type="dxa"/>
            <w:gridSpan w:val="2"/>
            <w:tcBorders>
              <w:bottom w:val="single" w:sz="4" w:space="0" w:color="auto"/>
            </w:tcBorders>
            <w:shd w:val="clear" w:color="auto" w:fill="FABF8F"/>
            <w:vAlign w:val="center"/>
          </w:tcPr>
          <w:p w14:paraId="7AC3D867" w14:textId="77777777" w:rsidR="007E430D" w:rsidRPr="003F471F" w:rsidRDefault="007E430D" w:rsidP="007E430D">
            <w:pPr>
              <w:pStyle w:val="Heading2"/>
              <w:ind w:left="0"/>
              <w:rPr>
                <w:rFonts w:ascii="Tahoma" w:hAnsi="Tahoma" w:cs="Tahoma"/>
                <w:b w:val="0"/>
                <w:sz w:val="14"/>
                <w:szCs w:val="14"/>
                <w:lang w:val="it-IT"/>
              </w:rPr>
            </w:pPr>
            <w:bookmarkStart w:id="289" w:name="_Toc336338019"/>
            <w:bookmarkStart w:id="290" w:name="_Toc371663409"/>
            <w:r w:rsidRPr="003F471F">
              <w:rPr>
                <w:rFonts w:ascii="Tahoma" w:hAnsi="Tahoma" w:cs="Tahoma"/>
                <w:b w:val="0"/>
                <w:sz w:val="14"/>
                <w:szCs w:val="14"/>
                <w:lang w:val="it-IT"/>
              </w:rPr>
              <w:t>CAL Aggiuntiva per l</w:t>
            </w:r>
            <w:r w:rsidR="001C4212" w:rsidRPr="003F471F">
              <w:rPr>
                <w:rFonts w:ascii="Tahoma" w:hAnsi="Tahoma" w:cs="Tahoma"/>
                <w:b w:val="0"/>
                <w:sz w:val="14"/>
                <w:szCs w:val="14"/>
                <w:lang w:val="it-IT"/>
              </w:rPr>
              <w:t>’</w:t>
            </w:r>
            <w:r w:rsidRPr="003F471F">
              <w:rPr>
                <w:rFonts w:ascii="Tahoma" w:hAnsi="Tahoma" w:cs="Tahoma"/>
                <w:b w:val="0"/>
                <w:sz w:val="14"/>
                <w:szCs w:val="14"/>
                <w:lang w:val="it-IT"/>
              </w:rPr>
              <w:t>Utilizzo di Microsoft Dynamics 2013 CRM Professional (Utente e Dispositivo)</w:t>
            </w:r>
            <w:bookmarkEnd w:id="289"/>
            <w:bookmarkEnd w:id="290"/>
          </w:p>
        </w:tc>
        <w:tc>
          <w:tcPr>
            <w:tcW w:w="554" w:type="dxa"/>
            <w:tcBorders>
              <w:bottom w:val="single" w:sz="4" w:space="0" w:color="auto"/>
            </w:tcBorders>
            <w:shd w:val="clear" w:color="auto" w:fill="FABF8F"/>
            <w:vAlign w:val="center"/>
          </w:tcPr>
          <w:p w14:paraId="4651EAC4" w14:textId="77777777" w:rsidR="007E430D" w:rsidRPr="0058047D" w:rsidRDefault="00C86F50" w:rsidP="00793532">
            <w:pPr>
              <w:pStyle w:val="TableText"/>
              <w:widowControl w:val="0"/>
              <w:rPr>
                <w:b/>
                <w:color w:val="0000FF"/>
                <w:sz w:val="13"/>
                <w:szCs w:val="13"/>
                <w:u w:val="single"/>
              </w:rPr>
            </w:pPr>
            <w:hyperlink w:anchor="_71_Microsoft_Dynamics_1" w:history="1">
              <w:hyperlink w:anchor="_70_Microsoft_Dynamics" w:history="1">
                <w:r w:rsidR="002B4E2B" w:rsidRPr="002B4E2B">
                  <w:rPr>
                    <w:rStyle w:val="Hyperlink"/>
                    <w:b/>
                    <w:sz w:val="13"/>
                    <w:szCs w:val="13"/>
                  </w:rPr>
                  <w:t>7</w:t>
                </w:r>
              </w:hyperlink>
              <w:r w:rsidR="002B4E2B" w:rsidRPr="002B4E2B">
                <w:rPr>
                  <w:rStyle w:val="Hyperlink"/>
                  <w:b/>
                  <w:sz w:val="13"/>
                  <w:szCs w:val="13"/>
                </w:rPr>
                <w:t>1</w:t>
              </w:r>
            </w:hyperlink>
          </w:p>
        </w:tc>
        <w:tc>
          <w:tcPr>
            <w:tcW w:w="516" w:type="dxa"/>
            <w:tcBorders>
              <w:bottom w:val="single" w:sz="4" w:space="0" w:color="auto"/>
            </w:tcBorders>
            <w:shd w:val="clear" w:color="auto" w:fill="FABF8F"/>
          </w:tcPr>
          <w:p w14:paraId="4FA84B13" w14:textId="77777777" w:rsidR="007E430D" w:rsidRPr="0058047D" w:rsidRDefault="002425DA" w:rsidP="002425DA">
            <w:pPr>
              <w:pStyle w:val="TableText"/>
              <w:widowControl w:val="0"/>
              <w:spacing w:before="120"/>
              <w:rPr>
                <w:rFonts w:ascii="Tahoma" w:hAnsi="Tahoma" w:cs="Tahoma"/>
                <w:color w:val="000000"/>
                <w:sz w:val="13"/>
              </w:rPr>
            </w:pPr>
            <w:r w:rsidRPr="0058047D">
              <w:rPr>
                <w:rFonts w:ascii="Tahoma" w:hAnsi="Tahoma" w:cs="Tahoma"/>
                <w:color w:val="000000"/>
                <w:sz w:val="13"/>
              </w:rPr>
              <w:t>10/13</w:t>
            </w:r>
          </w:p>
        </w:tc>
        <w:tc>
          <w:tcPr>
            <w:tcW w:w="358" w:type="dxa"/>
            <w:tcBorders>
              <w:bottom w:val="single" w:sz="4" w:space="0" w:color="auto"/>
              <w:right w:val="single" w:sz="18" w:space="0" w:color="auto"/>
            </w:tcBorders>
            <w:shd w:val="clear" w:color="auto" w:fill="FABF8F"/>
            <w:vAlign w:val="center"/>
          </w:tcPr>
          <w:p w14:paraId="06550AFF"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center"/>
          </w:tcPr>
          <w:p w14:paraId="07938C1E"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5</w:t>
            </w:r>
          </w:p>
        </w:tc>
        <w:tc>
          <w:tcPr>
            <w:tcW w:w="324" w:type="dxa"/>
            <w:tcBorders>
              <w:bottom w:val="single" w:sz="4" w:space="0" w:color="auto"/>
            </w:tcBorders>
            <w:shd w:val="clear" w:color="auto" w:fill="FABF8F"/>
            <w:vAlign w:val="center"/>
          </w:tcPr>
          <w:p w14:paraId="42730635"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13</w:t>
            </w:r>
          </w:p>
        </w:tc>
        <w:tc>
          <w:tcPr>
            <w:tcW w:w="366" w:type="dxa"/>
            <w:tcBorders>
              <w:bottom w:val="single" w:sz="4" w:space="0" w:color="auto"/>
            </w:tcBorders>
            <w:shd w:val="clear" w:color="auto" w:fill="FABF8F"/>
            <w:vAlign w:val="center"/>
          </w:tcPr>
          <w:p w14:paraId="51C1F8A5"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10</w:t>
            </w:r>
          </w:p>
        </w:tc>
        <w:tc>
          <w:tcPr>
            <w:tcW w:w="456" w:type="dxa"/>
            <w:gridSpan w:val="2"/>
            <w:tcBorders>
              <w:bottom w:val="single" w:sz="4" w:space="0" w:color="auto"/>
            </w:tcBorders>
            <w:shd w:val="clear" w:color="auto" w:fill="FABF8F"/>
            <w:vAlign w:val="center"/>
          </w:tcPr>
          <w:p w14:paraId="196CA02B"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8</w:t>
            </w:r>
          </w:p>
        </w:tc>
        <w:tc>
          <w:tcPr>
            <w:tcW w:w="450" w:type="dxa"/>
            <w:tcBorders>
              <w:bottom w:val="single" w:sz="4" w:space="0" w:color="auto"/>
            </w:tcBorders>
            <w:shd w:val="clear" w:color="auto" w:fill="FABF8F"/>
            <w:vAlign w:val="center"/>
          </w:tcPr>
          <w:p w14:paraId="77495D5F"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8</w:t>
            </w:r>
          </w:p>
        </w:tc>
        <w:tc>
          <w:tcPr>
            <w:tcW w:w="450" w:type="dxa"/>
            <w:tcBorders>
              <w:bottom w:val="single" w:sz="4" w:space="0" w:color="auto"/>
            </w:tcBorders>
            <w:shd w:val="clear" w:color="auto" w:fill="FABF8F"/>
            <w:vAlign w:val="center"/>
          </w:tcPr>
          <w:p w14:paraId="548FF7DA"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5</w:t>
            </w:r>
          </w:p>
        </w:tc>
        <w:tc>
          <w:tcPr>
            <w:tcW w:w="336" w:type="dxa"/>
            <w:tcBorders>
              <w:bottom w:val="single" w:sz="4" w:space="0" w:color="auto"/>
              <w:right w:val="single" w:sz="18" w:space="0" w:color="auto"/>
            </w:tcBorders>
            <w:shd w:val="clear" w:color="auto" w:fill="FABF8F"/>
            <w:vAlign w:val="center"/>
          </w:tcPr>
          <w:p w14:paraId="3224473B"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3</w:t>
            </w:r>
          </w:p>
        </w:tc>
        <w:tc>
          <w:tcPr>
            <w:tcW w:w="477" w:type="dxa"/>
            <w:tcBorders>
              <w:left w:val="single" w:sz="18" w:space="0" w:color="auto"/>
              <w:bottom w:val="single" w:sz="4" w:space="0" w:color="auto"/>
            </w:tcBorders>
            <w:shd w:val="clear" w:color="auto" w:fill="FABF8F"/>
            <w:vAlign w:val="center"/>
          </w:tcPr>
          <w:p w14:paraId="34CD5E87" w14:textId="77777777" w:rsidR="007E430D" w:rsidRPr="0058047D"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5B02E72"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10</w:t>
            </w:r>
          </w:p>
        </w:tc>
        <w:tc>
          <w:tcPr>
            <w:tcW w:w="414" w:type="dxa"/>
            <w:tcBorders>
              <w:bottom w:val="single" w:sz="4" w:space="0" w:color="auto"/>
              <w:right w:val="single" w:sz="18" w:space="0" w:color="auto"/>
            </w:tcBorders>
            <w:shd w:val="clear" w:color="auto" w:fill="FABF8F"/>
            <w:vAlign w:val="center"/>
          </w:tcPr>
          <w:p w14:paraId="12F2973F"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5</w:t>
            </w:r>
          </w:p>
        </w:tc>
        <w:tc>
          <w:tcPr>
            <w:tcW w:w="468" w:type="dxa"/>
            <w:tcBorders>
              <w:left w:val="single" w:sz="18" w:space="0" w:color="auto"/>
              <w:bottom w:val="single" w:sz="4" w:space="0" w:color="auto"/>
            </w:tcBorders>
            <w:shd w:val="clear" w:color="auto" w:fill="FABF8F"/>
            <w:vAlign w:val="center"/>
          </w:tcPr>
          <w:p w14:paraId="7FA0F877"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5</w:t>
            </w:r>
          </w:p>
        </w:tc>
        <w:tc>
          <w:tcPr>
            <w:tcW w:w="477" w:type="dxa"/>
            <w:tcBorders>
              <w:bottom w:val="single" w:sz="4" w:space="0" w:color="auto"/>
              <w:right w:val="single" w:sz="18" w:space="0" w:color="auto"/>
            </w:tcBorders>
            <w:shd w:val="clear" w:color="auto" w:fill="FABF8F"/>
            <w:vAlign w:val="center"/>
          </w:tcPr>
          <w:p w14:paraId="5D68F05B"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1DD9A81B"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vAlign w:val="center"/>
          </w:tcPr>
          <w:p w14:paraId="4212CD81" w14:textId="77777777" w:rsidR="007E430D" w:rsidRPr="0058047D" w:rsidRDefault="007E430D" w:rsidP="007E430D">
            <w:pPr>
              <w:pStyle w:val="TableText"/>
              <w:widowControl w:val="0"/>
              <w:spacing w:before="120"/>
              <w:rPr>
                <w:rFonts w:ascii="Tahoma" w:hAnsi="Tahoma" w:cs="Tahoma"/>
                <w:sz w:val="13"/>
              </w:rPr>
            </w:pPr>
            <w:r w:rsidRPr="0058047D">
              <w:rPr>
                <w:rFonts w:ascii="Tahoma" w:hAnsi="Tahoma" w:cs="Tahoma"/>
                <w:sz w:val="13"/>
              </w:rPr>
              <w:t>A, ST</w:t>
            </w:r>
          </w:p>
        </w:tc>
        <w:tc>
          <w:tcPr>
            <w:tcW w:w="504" w:type="dxa"/>
            <w:tcBorders>
              <w:bottom w:val="single" w:sz="4" w:space="0" w:color="auto"/>
            </w:tcBorders>
            <w:shd w:val="clear" w:color="auto" w:fill="FABF8F"/>
            <w:vAlign w:val="center"/>
          </w:tcPr>
          <w:p w14:paraId="6662A275"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OL/OV</w:t>
            </w:r>
          </w:p>
        </w:tc>
        <w:tc>
          <w:tcPr>
            <w:tcW w:w="405" w:type="dxa"/>
            <w:tcBorders>
              <w:bottom w:val="single" w:sz="4" w:space="0" w:color="auto"/>
            </w:tcBorders>
            <w:shd w:val="clear" w:color="auto" w:fill="FABF8F"/>
            <w:vAlign w:val="center"/>
          </w:tcPr>
          <w:p w14:paraId="70FF3F1D"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5</w:t>
            </w:r>
          </w:p>
        </w:tc>
      </w:tr>
      <w:tr w:rsidR="009323A0" w:rsidRPr="0058047D" w14:paraId="7E99BB63" w14:textId="77777777" w:rsidTr="00C86F50">
        <w:trPr>
          <w:trHeight w:val="145"/>
        </w:trPr>
        <w:tc>
          <w:tcPr>
            <w:tcW w:w="2619" w:type="dxa"/>
            <w:gridSpan w:val="2"/>
            <w:tcBorders>
              <w:bottom w:val="single" w:sz="4" w:space="0" w:color="auto"/>
            </w:tcBorders>
            <w:shd w:val="clear" w:color="auto" w:fill="auto"/>
            <w:vAlign w:val="center"/>
          </w:tcPr>
          <w:p w14:paraId="2B9D3400" w14:textId="77777777" w:rsidR="007E430D" w:rsidRPr="0058047D" w:rsidRDefault="007E430D" w:rsidP="007E430D">
            <w:pPr>
              <w:pStyle w:val="Heading2"/>
              <w:ind w:left="0"/>
              <w:rPr>
                <w:rFonts w:ascii="Tahoma" w:hAnsi="Tahoma" w:cs="Tahoma"/>
                <w:b w:val="0"/>
                <w:sz w:val="14"/>
                <w:szCs w:val="14"/>
              </w:rPr>
            </w:pPr>
            <w:bookmarkStart w:id="291" w:name="_Toc336338021"/>
            <w:bookmarkStart w:id="292" w:name="_Toc371663410"/>
            <w:r w:rsidRPr="0058047D">
              <w:rPr>
                <w:rFonts w:ascii="Tahoma" w:hAnsi="Tahoma" w:cs="Tahoma"/>
                <w:b w:val="0"/>
                <w:sz w:val="14"/>
                <w:szCs w:val="14"/>
              </w:rPr>
              <w:t>Microsoft Dynamics CRM 2013 Server</w:t>
            </w:r>
            <w:bookmarkEnd w:id="291"/>
            <w:bookmarkEnd w:id="292"/>
            <w:r w:rsidRPr="0058047D">
              <w:rPr>
                <w:rFonts w:ascii="Tahoma" w:hAnsi="Tahoma" w:cs="Tahoma"/>
                <w:b w:val="0"/>
                <w:sz w:val="14"/>
                <w:szCs w:val="14"/>
              </w:rPr>
              <w:t xml:space="preserve"> </w:t>
            </w:r>
          </w:p>
        </w:tc>
        <w:tc>
          <w:tcPr>
            <w:tcW w:w="554" w:type="dxa"/>
            <w:tcBorders>
              <w:bottom w:val="single" w:sz="4" w:space="0" w:color="auto"/>
            </w:tcBorders>
            <w:shd w:val="clear" w:color="auto" w:fill="auto"/>
            <w:vAlign w:val="center"/>
          </w:tcPr>
          <w:p w14:paraId="48E0A0B1" w14:textId="77777777" w:rsidR="007E430D" w:rsidRPr="0058047D" w:rsidRDefault="00C86F50" w:rsidP="004F2AF3">
            <w:pPr>
              <w:pStyle w:val="TableText"/>
              <w:widowControl w:val="0"/>
              <w:rPr>
                <w:b/>
                <w:color w:val="0000FF"/>
                <w:sz w:val="13"/>
                <w:szCs w:val="13"/>
                <w:u w:val="single"/>
              </w:rPr>
            </w:pPr>
            <w:hyperlink w:anchor="_71_Microsoft_Dynamics_1" w:history="1">
              <w:hyperlink w:anchor="_70_Microsoft_Dynamics" w:history="1">
                <w:r w:rsidR="002B4E2B" w:rsidRPr="002B4E2B">
                  <w:rPr>
                    <w:rStyle w:val="Hyperlink"/>
                    <w:b/>
                    <w:sz w:val="13"/>
                    <w:szCs w:val="13"/>
                  </w:rPr>
                  <w:t>7</w:t>
                </w:r>
              </w:hyperlink>
              <w:r w:rsidR="002B4E2B" w:rsidRPr="002B4E2B">
                <w:rPr>
                  <w:rStyle w:val="Hyperlink"/>
                  <w:b/>
                  <w:sz w:val="13"/>
                  <w:szCs w:val="13"/>
                </w:rPr>
                <w:t>1</w:t>
              </w:r>
            </w:hyperlink>
          </w:p>
        </w:tc>
        <w:tc>
          <w:tcPr>
            <w:tcW w:w="516" w:type="dxa"/>
            <w:tcBorders>
              <w:bottom w:val="single" w:sz="4" w:space="0" w:color="auto"/>
            </w:tcBorders>
            <w:shd w:val="clear" w:color="auto" w:fill="auto"/>
          </w:tcPr>
          <w:p w14:paraId="6C818515" w14:textId="77777777" w:rsidR="007E430D" w:rsidRPr="0058047D" w:rsidRDefault="002425DA" w:rsidP="002425DA">
            <w:pPr>
              <w:pStyle w:val="TableText"/>
              <w:widowControl w:val="0"/>
              <w:spacing w:before="120"/>
              <w:rPr>
                <w:rFonts w:ascii="Tahoma" w:hAnsi="Tahoma" w:cs="Tahoma"/>
                <w:color w:val="000000"/>
                <w:sz w:val="13"/>
              </w:rPr>
            </w:pPr>
            <w:r w:rsidRPr="0058047D">
              <w:rPr>
                <w:rFonts w:ascii="Tahoma" w:hAnsi="Tahoma" w:cs="Tahoma"/>
                <w:color w:val="000000"/>
                <w:sz w:val="13"/>
              </w:rPr>
              <w:t>10/13</w:t>
            </w:r>
          </w:p>
        </w:tc>
        <w:tc>
          <w:tcPr>
            <w:tcW w:w="358" w:type="dxa"/>
            <w:tcBorders>
              <w:bottom w:val="single" w:sz="4" w:space="0" w:color="auto"/>
              <w:right w:val="single" w:sz="18" w:space="0" w:color="auto"/>
            </w:tcBorders>
            <w:shd w:val="clear" w:color="auto" w:fill="auto"/>
            <w:vAlign w:val="center"/>
          </w:tcPr>
          <w:p w14:paraId="3FDB6E37"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602009EC"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50</w:t>
            </w:r>
          </w:p>
        </w:tc>
        <w:tc>
          <w:tcPr>
            <w:tcW w:w="324" w:type="dxa"/>
            <w:tcBorders>
              <w:bottom w:val="single" w:sz="4" w:space="0" w:color="auto"/>
            </w:tcBorders>
            <w:shd w:val="clear" w:color="auto" w:fill="auto"/>
            <w:vAlign w:val="center"/>
          </w:tcPr>
          <w:p w14:paraId="482989B0"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125</w:t>
            </w:r>
          </w:p>
        </w:tc>
        <w:tc>
          <w:tcPr>
            <w:tcW w:w="366" w:type="dxa"/>
            <w:tcBorders>
              <w:bottom w:val="single" w:sz="4" w:space="0" w:color="auto"/>
            </w:tcBorders>
            <w:shd w:val="clear" w:color="auto" w:fill="auto"/>
            <w:vAlign w:val="center"/>
          </w:tcPr>
          <w:p w14:paraId="7C93EE70"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100</w:t>
            </w:r>
          </w:p>
        </w:tc>
        <w:tc>
          <w:tcPr>
            <w:tcW w:w="456" w:type="dxa"/>
            <w:gridSpan w:val="2"/>
            <w:tcBorders>
              <w:bottom w:val="single" w:sz="4" w:space="0" w:color="auto"/>
            </w:tcBorders>
            <w:shd w:val="clear" w:color="auto" w:fill="auto"/>
            <w:vAlign w:val="center"/>
          </w:tcPr>
          <w:p w14:paraId="522F4628"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75</w:t>
            </w:r>
          </w:p>
        </w:tc>
        <w:tc>
          <w:tcPr>
            <w:tcW w:w="450" w:type="dxa"/>
            <w:tcBorders>
              <w:bottom w:val="single" w:sz="4" w:space="0" w:color="auto"/>
            </w:tcBorders>
            <w:shd w:val="clear" w:color="auto" w:fill="auto"/>
            <w:vAlign w:val="center"/>
          </w:tcPr>
          <w:p w14:paraId="7AA355F4"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75</w:t>
            </w:r>
          </w:p>
        </w:tc>
        <w:tc>
          <w:tcPr>
            <w:tcW w:w="450" w:type="dxa"/>
            <w:tcBorders>
              <w:bottom w:val="single" w:sz="4" w:space="0" w:color="auto"/>
            </w:tcBorders>
            <w:shd w:val="clear" w:color="auto" w:fill="auto"/>
            <w:vAlign w:val="center"/>
          </w:tcPr>
          <w:p w14:paraId="67256148"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50</w:t>
            </w:r>
          </w:p>
        </w:tc>
        <w:tc>
          <w:tcPr>
            <w:tcW w:w="336" w:type="dxa"/>
            <w:tcBorders>
              <w:bottom w:val="single" w:sz="4" w:space="0" w:color="auto"/>
              <w:right w:val="single" w:sz="18" w:space="0" w:color="auto"/>
            </w:tcBorders>
            <w:shd w:val="clear" w:color="auto" w:fill="auto"/>
            <w:vAlign w:val="center"/>
          </w:tcPr>
          <w:p w14:paraId="2011F9E0"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25</w:t>
            </w:r>
          </w:p>
        </w:tc>
        <w:tc>
          <w:tcPr>
            <w:tcW w:w="477" w:type="dxa"/>
            <w:tcBorders>
              <w:left w:val="single" w:sz="18" w:space="0" w:color="auto"/>
              <w:bottom w:val="single" w:sz="4" w:space="0" w:color="auto"/>
            </w:tcBorders>
            <w:shd w:val="clear" w:color="auto" w:fill="auto"/>
            <w:vAlign w:val="center"/>
          </w:tcPr>
          <w:p w14:paraId="6CABBD5F" w14:textId="77777777" w:rsidR="007E430D" w:rsidRPr="0058047D"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38CCBCB"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100</w:t>
            </w:r>
          </w:p>
        </w:tc>
        <w:tc>
          <w:tcPr>
            <w:tcW w:w="414" w:type="dxa"/>
            <w:tcBorders>
              <w:bottom w:val="single" w:sz="4" w:space="0" w:color="auto"/>
              <w:right w:val="single" w:sz="18" w:space="0" w:color="auto"/>
            </w:tcBorders>
            <w:shd w:val="clear" w:color="auto" w:fill="auto"/>
            <w:vAlign w:val="center"/>
          </w:tcPr>
          <w:p w14:paraId="1B72DBFA"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50</w:t>
            </w:r>
          </w:p>
        </w:tc>
        <w:tc>
          <w:tcPr>
            <w:tcW w:w="468" w:type="dxa"/>
            <w:tcBorders>
              <w:left w:val="single" w:sz="18" w:space="0" w:color="auto"/>
              <w:bottom w:val="single" w:sz="4" w:space="0" w:color="auto"/>
            </w:tcBorders>
            <w:shd w:val="clear" w:color="auto" w:fill="auto"/>
            <w:vAlign w:val="center"/>
          </w:tcPr>
          <w:p w14:paraId="206DC643"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50</w:t>
            </w:r>
          </w:p>
        </w:tc>
        <w:tc>
          <w:tcPr>
            <w:tcW w:w="477" w:type="dxa"/>
            <w:tcBorders>
              <w:bottom w:val="single" w:sz="4" w:space="0" w:color="auto"/>
              <w:right w:val="single" w:sz="18" w:space="0" w:color="auto"/>
            </w:tcBorders>
            <w:shd w:val="clear" w:color="auto" w:fill="auto"/>
            <w:vAlign w:val="center"/>
          </w:tcPr>
          <w:p w14:paraId="2E5BB3E9"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0F11B4A2"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auto"/>
            <w:vAlign w:val="center"/>
          </w:tcPr>
          <w:p w14:paraId="354B6D2A" w14:textId="77777777" w:rsidR="007E430D" w:rsidRPr="0058047D" w:rsidRDefault="007E430D" w:rsidP="007E430D">
            <w:pPr>
              <w:pStyle w:val="TableText"/>
              <w:widowControl w:val="0"/>
              <w:spacing w:before="12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auto"/>
            <w:vAlign w:val="center"/>
          </w:tcPr>
          <w:p w14:paraId="29A7B495"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OL/OV</w:t>
            </w:r>
          </w:p>
        </w:tc>
        <w:tc>
          <w:tcPr>
            <w:tcW w:w="405" w:type="dxa"/>
            <w:tcBorders>
              <w:bottom w:val="single" w:sz="4" w:space="0" w:color="auto"/>
            </w:tcBorders>
            <w:shd w:val="clear" w:color="auto" w:fill="auto"/>
            <w:vAlign w:val="center"/>
          </w:tcPr>
          <w:p w14:paraId="21C7872E"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50</w:t>
            </w:r>
          </w:p>
        </w:tc>
      </w:tr>
      <w:tr w:rsidR="009323A0" w:rsidRPr="0058047D" w14:paraId="6501BEF3" w14:textId="77777777" w:rsidTr="00C86F50">
        <w:trPr>
          <w:trHeight w:val="145"/>
        </w:trPr>
        <w:tc>
          <w:tcPr>
            <w:tcW w:w="2619" w:type="dxa"/>
            <w:gridSpan w:val="2"/>
            <w:tcBorders>
              <w:bottom w:val="single" w:sz="4" w:space="0" w:color="auto"/>
            </w:tcBorders>
            <w:shd w:val="clear" w:color="auto" w:fill="FABF8F"/>
            <w:vAlign w:val="center"/>
          </w:tcPr>
          <w:p w14:paraId="6AB6B056" w14:textId="77777777" w:rsidR="007E430D" w:rsidRPr="0058047D" w:rsidRDefault="007E430D" w:rsidP="007E430D">
            <w:pPr>
              <w:pStyle w:val="Heading2"/>
              <w:ind w:left="0"/>
              <w:rPr>
                <w:rFonts w:ascii="Tahoma" w:hAnsi="Tahoma" w:cs="Tahoma"/>
                <w:b w:val="0"/>
                <w:sz w:val="14"/>
                <w:szCs w:val="14"/>
              </w:rPr>
            </w:pPr>
            <w:bookmarkStart w:id="293" w:name="_Toc336338022"/>
            <w:bookmarkStart w:id="294" w:name="_Toc371663411"/>
            <w:r w:rsidRPr="0058047D">
              <w:rPr>
                <w:rFonts w:ascii="Tahoma" w:hAnsi="Tahoma" w:cs="Tahoma"/>
                <w:b w:val="0"/>
                <w:sz w:val="14"/>
                <w:szCs w:val="14"/>
              </w:rPr>
              <w:t>Microsoft Dynamics CRM Workgroup Server 2013</w:t>
            </w:r>
            <w:bookmarkEnd w:id="293"/>
            <w:bookmarkEnd w:id="294"/>
            <w:r w:rsidRPr="0058047D">
              <w:rPr>
                <w:rFonts w:ascii="Tahoma" w:hAnsi="Tahoma" w:cs="Tahoma"/>
                <w:b w:val="0"/>
                <w:sz w:val="14"/>
                <w:szCs w:val="14"/>
              </w:rPr>
              <w:t xml:space="preserve"> </w:t>
            </w:r>
          </w:p>
        </w:tc>
        <w:tc>
          <w:tcPr>
            <w:tcW w:w="554" w:type="dxa"/>
            <w:tcBorders>
              <w:bottom w:val="single" w:sz="4" w:space="0" w:color="auto"/>
            </w:tcBorders>
            <w:shd w:val="clear" w:color="auto" w:fill="FABF8F"/>
            <w:vAlign w:val="center"/>
          </w:tcPr>
          <w:p w14:paraId="7D97B851" w14:textId="77777777" w:rsidR="007E430D" w:rsidRPr="0058047D" w:rsidRDefault="00C86F50" w:rsidP="004F2AF3">
            <w:pPr>
              <w:pStyle w:val="TableText"/>
              <w:widowControl w:val="0"/>
              <w:rPr>
                <w:b/>
                <w:color w:val="0000FF"/>
                <w:sz w:val="13"/>
                <w:szCs w:val="13"/>
                <w:u w:val="single"/>
              </w:rPr>
            </w:pPr>
            <w:hyperlink w:anchor="_71_Microsoft_Dynamics_1" w:history="1">
              <w:hyperlink w:anchor="_70_Microsoft_Dynamics" w:history="1">
                <w:r w:rsidR="002B4E2B" w:rsidRPr="002B4E2B">
                  <w:rPr>
                    <w:rStyle w:val="Hyperlink"/>
                    <w:b/>
                    <w:sz w:val="13"/>
                    <w:szCs w:val="13"/>
                  </w:rPr>
                  <w:t>7</w:t>
                </w:r>
              </w:hyperlink>
              <w:r w:rsidR="002B4E2B" w:rsidRPr="002B4E2B">
                <w:rPr>
                  <w:rStyle w:val="Hyperlink"/>
                  <w:b/>
                  <w:sz w:val="13"/>
                  <w:szCs w:val="13"/>
                </w:rPr>
                <w:t>1</w:t>
              </w:r>
            </w:hyperlink>
          </w:p>
        </w:tc>
        <w:tc>
          <w:tcPr>
            <w:tcW w:w="516" w:type="dxa"/>
            <w:tcBorders>
              <w:bottom w:val="single" w:sz="4" w:space="0" w:color="auto"/>
            </w:tcBorders>
            <w:shd w:val="clear" w:color="auto" w:fill="FABF8F"/>
          </w:tcPr>
          <w:p w14:paraId="4086FCE7" w14:textId="77777777" w:rsidR="007E430D" w:rsidRPr="0058047D" w:rsidRDefault="002425DA" w:rsidP="002425DA">
            <w:pPr>
              <w:pStyle w:val="TableText"/>
              <w:widowControl w:val="0"/>
              <w:spacing w:before="120"/>
              <w:rPr>
                <w:rFonts w:ascii="Tahoma" w:hAnsi="Tahoma" w:cs="Tahoma"/>
                <w:color w:val="000000"/>
                <w:sz w:val="13"/>
              </w:rPr>
            </w:pPr>
            <w:r w:rsidRPr="0058047D">
              <w:rPr>
                <w:rFonts w:ascii="Tahoma" w:hAnsi="Tahoma" w:cs="Tahoma"/>
                <w:color w:val="000000"/>
                <w:sz w:val="13"/>
              </w:rPr>
              <w:t>10/13</w:t>
            </w:r>
          </w:p>
        </w:tc>
        <w:tc>
          <w:tcPr>
            <w:tcW w:w="358" w:type="dxa"/>
            <w:tcBorders>
              <w:bottom w:val="single" w:sz="4" w:space="0" w:color="auto"/>
              <w:right w:val="single" w:sz="18" w:space="0" w:color="auto"/>
            </w:tcBorders>
            <w:shd w:val="clear" w:color="auto" w:fill="FABF8F"/>
            <w:vAlign w:val="center"/>
          </w:tcPr>
          <w:p w14:paraId="15A0FEF7"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center"/>
          </w:tcPr>
          <w:p w14:paraId="5C62036D"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25</w:t>
            </w:r>
          </w:p>
        </w:tc>
        <w:tc>
          <w:tcPr>
            <w:tcW w:w="324" w:type="dxa"/>
            <w:tcBorders>
              <w:bottom w:val="single" w:sz="4" w:space="0" w:color="auto"/>
            </w:tcBorders>
            <w:shd w:val="clear" w:color="auto" w:fill="FABF8F"/>
            <w:vAlign w:val="center"/>
          </w:tcPr>
          <w:p w14:paraId="372A4131"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60</w:t>
            </w:r>
          </w:p>
        </w:tc>
        <w:tc>
          <w:tcPr>
            <w:tcW w:w="366" w:type="dxa"/>
            <w:tcBorders>
              <w:bottom w:val="single" w:sz="4" w:space="0" w:color="auto"/>
            </w:tcBorders>
            <w:shd w:val="clear" w:color="auto" w:fill="FABF8F"/>
            <w:vAlign w:val="center"/>
          </w:tcPr>
          <w:p w14:paraId="6B13D169"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50</w:t>
            </w:r>
          </w:p>
        </w:tc>
        <w:tc>
          <w:tcPr>
            <w:tcW w:w="456" w:type="dxa"/>
            <w:gridSpan w:val="2"/>
            <w:tcBorders>
              <w:bottom w:val="single" w:sz="4" w:space="0" w:color="auto"/>
            </w:tcBorders>
            <w:shd w:val="clear" w:color="auto" w:fill="FABF8F"/>
            <w:vAlign w:val="center"/>
          </w:tcPr>
          <w:p w14:paraId="72559676"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38</w:t>
            </w:r>
          </w:p>
        </w:tc>
        <w:tc>
          <w:tcPr>
            <w:tcW w:w="450" w:type="dxa"/>
            <w:tcBorders>
              <w:bottom w:val="single" w:sz="4" w:space="0" w:color="auto"/>
            </w:tcBorders>
            <w:shd w:val="clear" w:color="auto" w:fill="FABF8F"/>
            <w:vAlign w:val="center"/>
          </w:tcPr>
          <w:p w14:paraId="587A2DAB"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38</w:t>
            </w:r>
          </w:p>
        </w:tc>
        <w:tc>
          <w:tcPr>
            <w:tcW w:w="450" w:type="dxa"/>
            <w:tcBorders>
              <w:bottom w:val="single" w:sz="4" w:space="0" w:color="auto"/>
            </w:tcBorders>
            <w:shd w:val="clear" w:color="auto" w:fill="FABF8F"/>
            <w:vAlign w:val="center"/>
          </w:tcPr>
          <w:p w14:paraId="6236DC40"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25</w:t>
            </w:r>
          </w:p>
        </w:tc>
        <w:tc>
          <w:tcPr>
            <w:tcW w:w="336" w:type="dxa"/>
            <w:tcBorders>
              <w:bottom w:val="single" w:sz="4" w:space="0" w:color="auto"/>
              <w:right w:val="single" w:sz="18" w:space="0" w:color="auto"/>
            </w:tcBorders>
            <w:shd w:val="clear" w:color="auto" w:fill="FABF8F"/>
            <w:vAlign w:val="center"/>
          </w:tcPr>
          <w:p w14:paraId="6DAC6900"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13</w:t>
            </w:r>
          </w:p>
        </w:tc>
        <w:tc>
          <w:tcPr>
            <w:tcW w:w="477" w:type="dxa"/>
            <w:tcBorders>
              <w:left w:val="single" w:sz="18" w:space="0" w:color="auto"/>
              <w:bottom w:val="single" w:sz="4" w:space="0" w:color="auto"/>
            </w:tcBorders>
            <w:shd w:val="clear" w:color="auto" w:fill="FABF8F"/>
            <w:vAlign w:val="center"/>
          </w:tcPr>
          <w:p w14:paraId="0A451878" w14:textId="77777777" w:rsidR="007E430D" w:rsidRPr="0058047D"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7C863A0"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50</w:t>
            </w:r>
          </w:p>
        </w:tc>
        <w:tc>
          <w:tcPr>
            <w:tcW w:w="414" w:type="dxa"/>
            <w:tcBorders>
              <w:bottom w:val="single" w:sz="4" w:space="0" w:color="auto"/>
              <w:right w:val="single" w:sz="18" w:space="0" w:color="auto"/>
            </w:tcBorders>
            <w:shd w:val="clear" w:color="auto" w:fill="FABF8F"/>
            <w:vAlign w:val="center"/>
          </w:tcPr>
          <w:p w14:paraId="7DA2B528"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25</w:t>
            </w:r>
          </w:p>
        </w:tc>
        <w:tc>
          <w:tcPr>
            <w:tcW w:w="468" w:type="dxa"/>
            <w:tcBorders>
              <w:left w:val="single" w:sz="18" w:space="0" w:color="auto"/>
              <w:bottom w:val="single" w:sz="4" w:space="0" w:color="auto"/>
            </w:tcBorders>
            <w:shd w:val="clear" w:color="auto" w:fill="FABF8F"/>
            <w:vAlign w:val="center"/>
          </w:tcPr>
          <w:p w14:paraId="660CBD09"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25</w:t>
            </w:r>
          </w:p>
        </w:tc>
        <w:tc>
          <w:tcPr>
            <w:tcW w:w="477" w:type="dxa"/>
            <w:tcBorders>
              <w:bottom w:val="single" w:sz="4" w:space="0" w:color="auto"/>
              <w:right w:val="single" w:sz="18" w:space="0" w:color="auto"/>
            </w:tcBorders>
            <w:shd w:val="clear" w:color="auto" w:fill="FABF8F"/>
            <w:vAlign w:val="center"/>
          </w:tcPr>
          <w:p w14:paraId="11BCE5B4"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16C4DF4B"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vAlign w:val="center"/>
          </w:tcPr>
          <w:p w14:paraId="19B6FCDE" w14:textId="77777777" w:rsidR="007E430D" w:rsidRPr="0058047D" w:rsidRDefault="007E430D" w:rsidP="007E430D">
            <w:pPr>
              <w:pStyle w:val="TableText"/>
              <w:widowControl w:val="0"/>
              <w:spacing w:before="120"/>
              <w:rPr>
                <w:rFonts w:ascii="Tahoma" w:hAnsi="Tahoma" w:cs="Tahoma"/>
                <w:sz w:val="13"/>
              </w:rPr>
            </w:pPr>
          </w:p>
        </w:tc>
        <w:tc>
          <w:tcPr>
            <w:tcW w:w="504" w:type="dxa"/>
            <w:tcBorders>
              <w:bottom w:val="single" w:sz="4" w:space="0" w:color="auto"/>
            </w:tcBorders>
            <w:shd w:val="clear" w:color="auto" w:fill="FABF8F"/>
            <w:vAlign w:val="center"/>
          </w:tcPr>
          <w:p w14:paraId="1C0F821B"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OL/OV</w:t>
            </w:r>
          </w:p>
        </w:tc>
        <w:tc>
          <w:tcPr>
            <w:tcW w:w="405" w:type="dxa"/>
            <w:tcBorders>
              <w:bottom w:val="single" w:sz="4" w:space="0" w:color="auto"/>
            </w:tcBorders>
            <w:shd w:val="clear" w:color="auto" w:fill="FABF8F"/>
            <w:vAlign w:val="center"/>
          </w:tcPr>
          <w:p w14:paraId="19FEF4CB" w14:textId="77777777" w:rsidR="007E430D" w:rsidRPr="0058047D" w:rsidRDefault="007E430D" w:rsidP="007E430D">
            <w:pPr>
              <w:pStyle w:val="TableText"/>
              <w:widowControl w:val="0"/>
              <w:rPr>
                <w:rFonts w:ascii="Tahoma" w:hAnsi="Tahoma" w:cs="Tahoma"/>
                <w:sz w:val="13"/>
              </w:rPr>
            </w:pPr>
            <w:r w:rsidRPr="0058047D">
              <w:rPr>
                <w:rFonts w:ascii="Tahoma" w:hAnsi="Tahoma" w:cs="Tahoma"/>
                <w:sz w:val="13"/>
              </w:rPr>
              <w:t>25</w:t>
            </w:r>
          </w:p>
        </w:tc>
      </w:tr>
      <w:tr w:rsidR="009323A0" w:rsidRPr="0058047D" w14:paraId="3D1CEEA8" w14:textId="77777777" w:rsidTr="00C86F50">
        <w:trPr>
          <w:trHeight w:val="145"/>
        </w:trPr>
        <w:tc>
          <w:tcPr>
            <w:tcW w:w="2619" w:type="dxa"/>
            <w:gridSpan w:val="2"/>
            <w:tcBorders>
              <w:bottom w:val="single" w:sz="4" w:space="0" w:color="auto"/>
            </w:tcBorders>
            <w:shd w:val="clear" w:color="auto" w:fill="auto"/>
            <w:vAlign w:val="center"/>
          </w:tcPr>
          <w:p w14:paraId="0F075AC1" w14:textId="77777777" w:rsidR="002F4C73" w:rsidRPr="0058047D" w:rsidRDefault="002F4C73" w:rsidP="002F4C73">
            <w:pPr>
              <w:pStyle w:val="Heading2"/>
              <w:ind w:left="0"/>
              <w:rPr>
                <w:rFonts w:ascii="Tahoma" w:hAnsi="Tahoma" w:cs="Tahoma"/>
                <w:b w:val="0"/>
                <w:sz w:val="14"/>
                <w:szCs w:val="14"/>
              </w:rPr>
            </w:pPr>
            <w:bookmarkStart w:id="295" w:name="_Toc371663412"/>
            <w:r w:rsidRPr="0058047D">
              <w:rPr>
                <w:rFonts w:ascii="Tahoma" w:hAnsi="Tahoma" w:cs="Tahoma"/>
                <w:b w:val="0"/>
                <w:sz w:val="14"/>
                <w:szCs w:val="14"/>
              </w:rPr>
              <w:t>Microsoft Dynamics CRM 2011 External Connector</w:t>
            </w:r>
            <w:bookmarkEnd w:id="295"/>
          </w:p>
        </w:tc>
        <w:tc>
          <w:tcPr>
            <w:tcW w:w="554" w:type="dxa"/>
            <w:tcBorders>
              <w:bottom w:val="single" w:sz="4" w:space="0" w:color="auto"/>
            </w:tcBorders>
            <w:shd w:val="clear" w:color="auto" w:fill="auto"/>
            <w:vAlign w:val="center"/>
          </w:tcPr>
          <w:p w14:paraId="283155DD" w14:textId="77777777" w:rsidR="002F4C73" w:rsidRPr="0058047D" w:rsidRDefault="00C86F50" w:rsidP="002F4C73">
            <w:pPr>
              <w:pStyle w:val="TableText"/>
              <w:widowControl w:val="0"/>
            </w:pPr>
            <w:hyperlink w:anchor="_72_Microsoft_Dynamics_1" w:history="1">
              <w:hyperlink w:anchor="_70_Microsoft_Dynamics" w:history="1">
                <w:r w:rsidR="00BF5FC6" w:rsidRPr="002B4E2B">
                  <w:rPr>
                    <w:rStyle w:val="Hyperlink"/>
                    <w:b/>
                    <w:sz w:val="13"/>
                    <w:szCs w:val="13"/>
                  </w:rPr>
                  <w:t>7</w:t>
                </w:r>
              </w:hyperlink>
              <w:r w:rsidR="00BF5FC6" w:rsidRPr="002B4E2B">
                <w:rPr>
                  <w:rStyle w:val="Hyperlink"/>
                  <w:b/>
                  <w:sz w:val="13"/>
                  <w:szCs w:val="13"/>
                </w:rPr>
                <w:t>2</w:t>
              </w:r>
            </w:hyperlink>
          </w:p>
        </w:tc>
        <w:tc>
          <w:tcPr>
            <w:tcW w:w="516" w:type="dxa"/>
            <w:tcBorders>
              <w:bottom w:val="single" w:sz="4" w:space="0" w:color="auto"/>
            </w:tcBorders>
            <w:shd w:val="clear" w:color="auto" w:fill="auto"/>
          </w:tcPr>
          <w:p w14:paraId="07B7B829" w14:textId="77777777" w:rsidR="002F4C73" w:rsidRPr="0058047D" w:rsidRDefault="002425DA" w:rsidP="002F4C73">
            <w:pPr>
              <w:pStyle w:val="TableText"/>
              <w:widowControl w:val="0"/>
              <w:spacing w:before="120"/>
              <w:rPr>
                <w:rFonts w:ascii="Tahoma" w:hAnsi="Tahoma" w:cs="Tahoma"/>
                <w:color w:val="000000"/>
                <w:sz w:val="13"/>
              </w:rPr>
            </w:pPr>
            <w:r w:rsidRPr="0058047D">
              <w:rPr>
                <w:rFonts w:ascii="Tahoma" w:hAnsi="Tahoma" w:cs="Tahoma"/>
                <w:color w:val="000000"/>
                <w:sz w:val="13"/>
              </w:rPr>
              <w:t>10/13</w:t>
            </w:r>
          </w:p>
        </w:tc>
        <w:tc>
          <w:tcPr>
            <w:tcW w:w="358" w:type="dxa"/>
            <w:tcBorders>
              <w:bottom w:val="single" w:sz="4" w:space="0" w:color="auto"/>
              <w:right w:val="single" w:sz="18" w:space="0" w:color="auto"/>
            </w:tcBorders>
            <w:shd w:val="clear" w:color="auto" w:fill="auto"/>
            <w:vAlign w:val="center"/>
          </w:tcPr>
          <w:p w14:paraId="2E20AB34" w14:textId="77777777" w:rsidR="002F4C73" w:rsidRPr="0058047D" w:rsidRDefault="002F4C73" w:rsidP="002F4C73">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3654A71C" w14:textId="77777777" w:rsidR="002F4C73" w:rsidRPr="0058047D" w:rsidRDefault="002F4C73" w:rsidP="002425DA">
            <w:pPr>
              <w:pStyle w:val="TableText"/>
              <w:widowControl w:val="0"/>
              <w:rPr>
                <w:rFonts w:ascii="Tahoma" w:hAnsi="Tahoma" w:cs="Tahoma"/>
                <w:sz w:val="13"/>
              </w:rPr>
            </w:pPr>
            <w:r w:rsidRPr="0058047D">
              <w:rPr>
                <w:rFonts w:ascii="Tahoma" w:hAnsi="Tahoma" w:cs="Tahoma"/>
                <w:sz w:val="13"/>
              </w:rPr>
              <w:t>50</w:t>
            </w:r>
          </w:p>
        </w:tc>
        <w:tc>
          <w:tcPr>
            <w:tcW w:w="324" w:type="dxa"/>
            <w:tcBorders>
              <w:bottom w:val="single" w:sz="4" w:space="0" w:color="auto"/>
            </w:tcBorders>
            <w:shd w:val="clear" w:color="auto" w:fill="auto"/>
            <w:vAlign w:val="center"/>
          </w:tcPr>
          <w:p w14:paraId="689BA001" w14:textId="77777777" w:rsidR="002F4C73" w:rsidRPr="0058047D" w:rsidRDefault="002F4C73" w:rsidP="002F4C73">
            <w:pPr>
              <w:pStyle w:val="TableText"/>
              <w:widowControl w:val="0"/>
              <w:rPr>
                <w:rFonts w:ascii="Tahoma" w:hAnsi="Tahoma" w:cs="Tahoma"/>
                <w:sz w:val="13"/>
              </w:rPr>
            </w:pPr>
            <w:r w:rsidRPr="0058047D">
              <w:rPr>
                <w:rFonts w:ascii="Tahoma" w:hAnsi="Tahoma" w:cs="Tahoma"/>
                <w:sz w:val="13"/>
              </w:rPr>
              <w:t>3</w:t>
            </w:r>
          </w:p>
        </w:tc>
        <w:tc>
          <w:tcPr>
            <w:tcW w:w="366" w:type="dxa"/>
            <w:tcBorders>
              <w:bottom w:val="single" w:sz="4" w:space="0" w:color="auto"/>
            </w:tcBorders>
            <w:shd w:val="clear" w:color="auto" w:fill="auto"/>
            <w:vAlign w:val="center"/>
          </w:tcPr>
          <w:p w14:paraId="35564777" w14:textId="77777777" w:rsidR="002F4C73" w:rsidRPr="0058047D" w:rsidRDefault="002F4C73" w:rsidP="002F4C73">
            <w:pPr>
              <w:pStyle w:val="TableText"/>
              <w:widowControl w:val="0"/>
              <w:rPr>
                <w:rFonts w:ascii="Tahoma" w:hAnsi="Tahoma" w:cs="Tahoma"/>
                <w:sz w:val="13"/>
              </w:rPr>
            </w:pPr>
            <w:r w:rsidRPr="0058047D">
              <w:rPr>
                <w:rFonts w:ascii="Tahoma" w:hAnsi="Tahoma" w:cs="Tahoma"/>
                <w:sz w:val="13"/>
              </w:rPr>
              <w:t>2</w:t>
            </w:r>
          </w:p>
        </w:tc>
        <w:tc>
          <w:tcPr>
            <w:tcW w:w="456" w:type="dxa"/>
            <w:gridSpan w:val="2"/>
            <w:tcBorders>
              <w:bottom w:val="single" w:sz="4" w:space="0" w:color="auto"/>
            </w:tcBorders>
            <w:shd w:val="clear" w:color="auto" w:fill="auto"/>
            <w:vAlign w:val="center"/>
          </w:tcPr>
          <w:p w14:paraId="4A0078CC" w14:textId="77777777" w:rsidR="002F4C73" w:rsidRPr="0058047D" w:rsidRDefault="002F4C73" w:rsidP="002F4C73">
            <w:pPr>
              <w:pStyle w:val="TableText"/>
              <w:widowControl w:val="0"/>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auto"/>
            <w:vAlign w:val="center"/>
          </w:tcPr>
          <w:p w14:paraId="0F26F86A" w14:textId="77777777" w:rsidR="002F4C73" w:rsidRPr="0058047D" w:rsidRDefault="002F4C73" w:rsidP="002F4C73">
            <w:pPr>
              <w:pStyle w:val="TableText"/>
              <w:widowControl w:val="0"/>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auto"/>
            <w:vAlign w:val="center"/>
          </w:tcPr>
          <w:p w14:paraId="6514A6DD" w14:textId="77777777" w:rsidR="002F4C73" w:rsidRPr="0058047D" w:rsidRDefault="002F4C73" w:rsidP="002F4C73">
            <w:pPr>
              <w:pStyle w:val="TableText"/>
              <w:widowControl w:val="0"/>
              <w:rPr>
                <w:rFonts w:ascii="Tahoma" w:hAnsi="Tahoma" w:cs="Tahoma"/>
                <w:sz w:val="13"/>
              </w:rPr>
            </w:pPr>
            <w:r w:rsidRPr="0058047D">
              <w:rPr>
                <w:rFonts w:ascii="Tahoma" w:hAnsi="Tahoma" w:cs="Tahoma"/>
                <w:sz w:val="13"/>
              </w:rPr>
              <w:t>1</w:t>
            </w:r>
          </w:p>
        </w:tc>
        <w:tc>
          <w:tcPr>
            <w:tcW w:w="336" w:type="dxa"/>
            <w:tcBorders>
              <w:bottom w:val="single" w:sz="4" w:space="0" w:color="auto"/>
              <w:right w:val="single" w:sz="18" w:space="0" w:color="auto"/>
            </w:tcBorders>
            <w:shd w:val="clear" w:color="auto" w:fill="auto"/>
            <w:vAlign w:val="center"/>
          </w:tcPr>
          <w:p w14:paraId="64525A81" w14:textId="77777777" w:rsidR="002F4C73" w:rsidRPr="0058047D" w:rsidRDefault="002F4C73" w:rsidP="002F4C73">
            <w:pPr>
              <w:pStyle w:val="TableText"/>
              <w:widowControl w:val="0"/>
              <w:rPr>
                <w:rFonts w:ascii="Tahoma" w:hAnsi="Tahoma" w:cs="Tahoma"/>
                <w:sz w:val="13"/>
              </w:rPr>
            </w:pPr>
            <w:r w:rsidRPr="0058047D">
              <w:rPr>
                <w:rFonts w:ascii="Tahoma" w:hAnsi="Tahoma" w:cs="Tahoma"/>
                <w:sz w:val="13"/>
              </w:rPr>
              <w:t>1</w:t>
            </w:r>
          </w:p>
        </w:tc>
        <w:tc>
          <w:tcPr>
            <w:tcW w:w="477" w:type="dxa"/>
            <w:tcBorders>
              <w:left w:val="single" w:sz="18" w:space="0" w:color="auto"/>
              <w:bottom w:val="single" w:sz="4" w:space="0" w:color="auto"/>
            </w:tcBorders>
            <w:shd w:val="clear" w:color="auto" w:fill="auto"/>
            <w:vAlign w:val="center"/>
          </w:tcPr>
          <w:p w14:paraId="4666E81F" w14:textId="77777777" w:rsidR="002F4C73" w:rsidRPr="0058047D" w:rsidRDefault="002F4C73" w:rsidP="002F4C7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4E3BE42" w14:textId="77777777" w:rsidR="002F4C73" w:rsidRPr="0058047D" w:rsidRDefault="002F4C73" w:rsidP="002F4C73">
            <w:pPr>
              <w:pStyle w:val="TableText"/>
              <w:widowControl w:val="0"/>
              <w:rPr>
                <w:rFonts w:ascii="Tahoma" w:hAnsi="Tahoma" w:cs="Tahoma"/>
                <w:sz w:val="13"/>
              </w:rPr>
            </w:pPr>
            <w:r w:rsidRPr="0058047D">
              <w:rPr>
                <w:rFonts w:ascii="Tahoma" w:hAnsi="Tahoma" w:cs="Tahoma"/>
                <w:sz w:val="13"/>
              </w:rPr>
              <w:t>2</w:t>
            </w:r>
          </w:p>
        </w:tc>
        <w:tc>
          <w:tcPr>
            <w:tcW w:w="414" w:type="dxa"/>
            <w:tcBorders>
              <w:bottom w:val="single" w:sz="4" w:space="0" w:color="auto"/>
              <w:right w:val="single" w:sz="18" w:space="0" w:color="auto"/>
            </w:tcBorders>
            <w:shd w:val="clear" w:color="auto" w:fill="auto"/>
            <w:vAlign w:val="center"/>
          </w:tcPr>
          <w:p w14:paraId="6006D160" w14:textId="77777777" w:rsidR="002F4C73" w:rsidRPr="0058047D" w:rsidRDefault="002F4C73" w:rsidP="002F4C73">
            <w:pPr>
              <w:pStyle w:val="TableText"/>
              <w:widowControl w:val="0"/>
              <w:rPr>
                <w:rFonts w:ascii="Tahoma" w:hAnsi="Tahoma" w:cs="Tahoma"/>
                <w:sz w:val="13"/>
              </w:rPr>
            </w:pPr>
            <w:r w:rsidRPr="0058047D">
              <w:rPr>
                <w:rFonts w:ascii="Tahoma" w:hAnsi="Tahoma" w:cs="Tahoma"/>
                <w:sz w:val="13"/>
              </w:rPr>
              <w:t>1</w:t>
            </w:r>
          </w:p>
        </w:tc>
        <w:tc>
          <w:tcPr>
            <w:tcW w:w="468" w:type="dxa"/>
            <w:tcBorders>
              <w:left w:val="single" w:sz="18" w:space="0" w:color="auto"/>
              <w:bottom w:val="single" w:sz="4" w:space="0" w:color="auto"/>
            </w:tcBorders>
            <w:shd w:val="clear" w:color="auto" w:fill="auto"/>
            <w:vAlign w:val="center"/>
          </w:tcPr>
          <w:p w14:paraId="009B4332" w14:textId="77777777" w:rsidR="002F4C73" w:rsidRPr="0058047D" w:rsidRDefault="002F4C73" w:rsidP="002F4C73">
            <w:pPr>
              <w:pStyle w:val="TableText"/>
              <w:widowControl w:val="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auto"/>
            <w:vAlign w:val="center"/>
          </w:tcPr>
          <w:p w14:paraId="5F6D772E" w14:textId="77777777" w:rsidR="002F4C73" w:rsidRPr="0058047D" w:rsidRDefault="002F4C73" w:rsidP="002F4C73">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05820B63" w14:textId="77777777" w:rsidR="002F4C73" w:rsidRPr="0058047D" w:rsidRDefault="002F4C73" w:rsidP="002F4C73">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auto"/>
            <w:vAlign w:val="center"/>
          </w:tcPr>
          <w:p w14:paraId="68FB9494" w14:textId="77777777" w:rsidR="002F4C73" w:rsidRPr="0058047D" w:rsidRDefault="002F4C73" w:rsidP="002F4C73">
            <w:pPr>
              <w:pStyle w:val="TableText"/>
              <w:widowControl w:val="0"/>
              <w:spacing w:before="120"/>
              <w:rPr>
                <w:rFonts w:ascii="Tahoma" w:hAnsi="Tahoma" w:cs="Tahoma"/>
                <w:sz w:val="13"/>
              </w:rPr>
            </w:pPr>
            <w:r w:rsidRPr="0058047D">
              <w:rPr>
                <w:rFonts w:ascii="Tahoma" w:hAnsi="Tahoma" w:cs="Tahoma"/>
                <w:sz w:val="13"/>
              </w:rPr>
              <w:t>A, ST</w:t>
            </w:r>
          </w:p>
        </w:tc>
        <w:tc>
          <w:tcPr>
            <w:tcW w:w="504" w:type="dxa"/>
            <w:tcBorders>
              <w:bottom w:val="single" w:sz="4" w:space="0" w:color="auto"/>
            </w:tcBorders>
            <w:shd w:val="clear" w:color="auto" w:fill="auto"/>
            <w:vAlign w:val="center"/>
          </w:tcPr>
          <w:p w14:paraId="167FD3C6" w14:textId="77777777" w:rsidR="002F4C73" w:rsidRPr="0058047D" w:rsidRDefault="002F4C73" w:rsidP="002F4C73">
            <w:pPr>
              <w:pStyle w:val="TableText"/>
              <w:widowControl w:val="0"/>
              <w:rPr>
                <w:rFonts w:ascii="Tahoma" w:hAnsi="Tahoma" w:cs="Tahoma"/>
                <w:sz w:val="13"/>
              </w:rPr>
            </w:pPr>
            <w:r w:rsidRPr="0058047D">
              <w:rPr>
                <w:rFonts w:ascii="Tahoma" w:hAnsi="Tahoma" w:cs="Tahoma"/>
                <w:sz w:val="13"/>
              </w:rPr>
              <w:t>OL/OV</w:t>
            </w:r>
          </w:p>
        </w:tc>
        <w:tc>
          <w:tcPr>
            <w:tcW w:w="405" w:type="dxa"/>
            <w:tcBorders>
              <w:bottom w:val="single" w:sz="4" w:space="0" w:color="auto"/>
            </w:tcBorders>
            <w:vAlign w:val="center"/>
          </w:tcPr>
          <w:p w14:paraId="40EC1CE2" w14:textId="77777777" w:rsidR="002F4C73" w:rsidRPr="0058047D" w:rsidRDefault="002F4C73" w:rsidP="002F4C73">
            <w:pPr>
              <w:pStyle w:val="TableText"/>
              <w:widowControl w:val="0"/>
              <w:rPr>
                <w:rFonts w:ascii="Tahoma" w:hAnsi="Tahoma" w:cs="Tahoma"/>
                <w:sz w:val="13"/>
              </w:rPr>
            </w:pPr>
            <w:r w:rsidRPr="0058047D">
              <w:rPr>
                <w:rFonts w:ascii="Tahoma" w:hAnsi="Tahoma" w:cs="Tahoma"/>
                <w:sz w:val="13"/>
              </w:rPr>
              <w:t>50</w:t>
            </w:r>
          </w:p>
        </w:tc>
      </w:tr>
      <w:tr w:rsidR="009323A0" w:rsidRPr="0058047D" w14:paraId="055CA7B2" w14:textId="77777777" w:rsidTr="00C86F50">
        <w:trPr>
          <w:trHeight w:val="145"/>
        </w:trPr>
        <w:tc>
          <w:tcPr>
            <w:tcW w:w="2619" w:type="dxa"/>
            <w:gridSpan w:val="2"/>
            <w:tcBorders>
              <w:bottom w:val="single" w:sz="4" w:space="0" w:color="auto"/>
            </w:tcBorders>
            <w:shd w:val="clear" w:color="auto" w:fill="FABF8F"/>
            <w:vAlign w:val="center"/>
          </w:tcPr>
          <w:p w14:paraId="19FC73BB" w14:textId="77777777" w:rsidR="002F4C73" w:rsidRPr="0058047D" w:rsidRDefault="002F4C73" w:rsidP="002F4C73">
            <w:pPr>
              <w:pStyle w:val="Heading2"/>
              <w:ind w:left="0"/>
              <w:rPr>
                <w:rFonts w:ascii="Tahoma" w:hAnsi="Tahoma" w:cs="Tahoma"/>
                <w:b w:val="0"/>
                <w:sz w:val="14"/>
                <w:szCs w:val="14"/>
              </w:rPr>
            </w:pPr>
            <w:bookmarkStart w:id="296" w:name="_Toc371663413"/>
            <w:r w:rsidRPr="0058047D">
              <w:rPr>
                <w:rFonts w:ascii="Tahoma" w:hAnsi="Tahoma" w:cs="Tahoma"/>
                <w:b w:val="0"/>
                <w:sz w:val="14"/>
              </w:rPr>
              <w:t>Microsoft Dynamics CRM Online Basic</w:t>
            </w:r>
            <w:bookmarkEnd w:id="296"/>
          </w:p>
        </w:tc>
        <w:tc>
          <w:tcPr>
            <w:tcW w:w="554" w:type="dxa"/>
            <w:tcBorders>
              <w:bottom w:val="single" w:sz="4" w:space="0" w:color="auto"/>
            </w:tcBorders>
            <w:shd w:val="clear" w:color="auto" w:fill="FABF8F"/>
            <w:vAlign w:val="center"/>
          </w:tcPr>
          <w:p w14:paraId="04F09877" w14:textId="77777777" w:rsidR="002F4C73" w:rsidRPr="0058047D" w:rsidRDefault="00C86F50" w:rsidP="002F4C73">
            <w:pPr>
              <w:pStyle w:val="TableText"/>
              <w:widowControl w:val="0"/>
            </w:pPr>
            <w:hyperlink w:anchor="_73_Microsoft_Dynamics" w:history="1">
              <w:hyperlink w:anchor="_70_Microsoft_Dynamics" w:history="1">
                <w:r w:rsidR="00BF5FC6" w:rsidRPr="0058047D">
                  <w:rPr>
                    <w:rStyle w:val="Hyperlink"/>
                    <w:b/>
                    <w:sz w:val="13"/>
                    <w:szCs w:val="13"/>
                  </w:rPr>
                  <w:t>7</w:t>
                </w:r>
              </w:hyperlink>
            </w:hyperlink>
            <w:r w:rsidR="00BF5FC6" w:rsidRPr="0058047D">
              <w:rPr>
                <w:rStyle w:val="Hyperlink"/>
                <w:b/>
                <w:sz w:val="13"/>
                <w:szCs w:val="13"/>
              </w:rPr>
              <w:t>3</w:t>
            </w:r>
          </w:p>
        </w:tc>
        <w:tc>
          <w:tcPr>
            <w:tcW w:w="516" w:type="dxa"/>
            <w:tcBorders>
              <w:bottom w:val="single" w:sz="4" w:space="0" w:color="auto"/>
            </w:tcBorders>
            <w:shd w:val="clear" w:color="auto" w:fill="FABF8F"/>
            <w:vAlign w:val="center"/>
          </w:tcPr>
          <w:p w14:paraId="1D15C44E" w14:textId="77777777" w:rsidR="002F4C73" w:rsidRPr="0058047D" w:rsidRDefault="002F4C73" w:rsidP="00003078">
            <w:pPr>
              <w:pStyle w:val="TableText"/>
              <w:widowControl w:val="0"/>
              <w:spacing w:before="120"/>
              <w:rPr>
                <w:rFonts w:ascii="Tahoma" w:hAnsi="Tahoma" w:cs="Tahoma"/>
                <w:color w:val="000000"/>
                <w:sz w:val="13"/>
              </w:rPr>
            </w:pPr>
            <w:r w:rsidRPr="0058047D">
              <w:rPr>
                <w:rFonts w:ascii="Tahoma" w:hAnsi="Tahoma" w:cs="Tahoma"/>
                <w:color w:val="000000"/>
                <w:sz w:val="13"/>
              </w:rPr>
              <w:t>10/13</w:t>
            </w:r>
          </w:p>
        </w:tc>
        <w:tc>
          <w:tcPr>
            <w:tcW w:w="358" w:type="dxa"/>
            <w:tcBorders>
              <w:bottom w:val="single" w:sz="4" w:space="0" w:color="auto"/>
              <w:right w:val="single" w:sz="18" w:space="0" w:color="auto"/>
            </w:tcBorders>
            <w:shd w:val="clear" w:color="auto" w:fill="FABF8F"/>
            <w:vAlign w:val="center"/>
          </w:tcPr>
          <w:p w14:paraId="6718AB37" w14:textId="77777777" w:rsidR="002F4C73" w:rsidRPr="0058047D" w:rsidRDefault="002F4C73" w:rsidP="00003078">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center"/>
          </w:tcPr>
          <w:p w14:paraId="386D56BD" w14:textId="77777777" w:rsidR="002F4C73" w:rsidRPr="0058047D" w:rsidRDefault="002F4C73" w:rsidP="00003078">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55A570DE" w14:textId="77777777" w:rsidR="002F4C73" w:rsidRPr="0058047D" w:rsidRDefault="002F4C73" w:rsidP="00003078">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46E7D72E" w14:textId="77777777" w:rsidR="002F4C73" w:rsidRPr="0058047D" w:rsidRDefault="002F4C73" w:rsidP="00003078">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4736D415" w14:textId="77777777" w:rsidR="002F4C73" w:rsidRPr="0058047D"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D72F156" w14:textId="77777777" w:rsidR="002F4C73" w:rsidRPr="0058047D"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DA14390" w14:textId="77777777" w:rsidR="002F4C73" w:rsidRPr="0058047D" w:rsidRDefault="002F4C73" w:rsidP="00003078">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0EA9C48E" w14:textId="77777777" w:rsidR="002F4C73" w:rsidRPr="0058047D" w:rsidRDefault="002F4C73" w:rsidP="00003078">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21E63BE0" w14:textId="77777777" w:rsidR="002F4C73" w:rsidRPr="0058047D"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893D45F" w14:textId="77777777" w:rsidR="002F4C73" w:rsidRPr="0058047D" w:rsidRDefault="002F4C73" w:rsidP="00003078">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7A470BBD" w14:textId="77777777" w:rsidR="002F4C73" w:rsidRPr="0058047D" w:rsidRDefault="002F4C73" w:rsidP="00003078">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129A3997" w14:textId="77777777" w:rsidR="002F4C73" w:rsidRPr="0058047D" w:rsidRDefault="002F4C73" w:rsidP="00003078">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41A006EF" w14:textId="77777777" w:rsidR="002F4C73" w:rsidRPr="0058047D" w:rsidRDefault="00003078" w:rsidP="00003078">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3336D7B1" w14:textId="77777777" w:rsidR="002F4C73" w:rsidRPr="0058047D" w:rsidRDefault="002F4C73" w:rsidP="00003078">
            <w:pPr>
              <w:pStyle w:val="TableText"/>
              <w:widowControl w:val="0"/>
              <w:rPr>
                <w:rFonts w:ascii="Tahoma" w:hAnsi="Tahoma" w:cs="Tahoma"/>
                <w:sz w:val="13"/>
              </w:rPr>
            </w:pPr>
          </w:p>
        </w:tc>
        <w:tc>
          <w:tcPr>
            <w:tcW w:w="655" w:type="dxa"/>
            <w:tcBorders>
              <w:bottom w:val="single" w:sz="4" w:space="0" w:color="auto"/>
            </w:tcBorders>
            <w:shd w:val="clear" w:color="auto" w:fill="FABF8F"/>
            <w:vAlign w:val="center"/>
          </w:tcPr>
          <w:p w14:paraId="59FD651C" w14:textId="77777777" w:rsidR="002F4C73" w:rsidRPr="0058047D" w:rsidRDefault="00003078" w:rsidP="00003078">
            <w:pPr>
              <w:pStyle w:val="TableText"/>
              <w:widowControl w:val="0"/>
              <w:spacing w:before="120"/>
              <w:rPr>
                <w:rFonts w:ascii="Tahoma" w:hAnsi="Tahoma" w:cs="Tahoma"/>
                <w:sz w:val="13"/>
              </w:rPr>
            </w:pPr>
            <w:r w:rsidRPr="0058047D">
              <w:rPr>
                <w:rFonts w:ascii="Tahoma" w:hAnsi="Tahoma" w:cs="Tahoma"/>
                <w:sz w:val="13"/>
              </w:rPr>
              <w:t>A, ST</w:t>
            </w:r>
          </w:p>
        </w:tc>
        <w:tc>
          <w:tcPr>
            <w:tcW w:w="504" w:type="dxa"/>
            <w:tcBorders>
              <w:bottom w:val="single" w:sz="4" w:space="0" w:color="auto"/>
            </w:tcBorders>
            <w:shd w:val="clear" w:color="auto" w:fill="FABF8F"/>
            <w:vAlign w:val="center"/>
          </w:tcPr>
          <w:p w14:paraId="691CCBC5" w14:textId="77777777" w:rsidR="002F4C73" w:rsidRPr="0058047D" w:rsidRDefault="002F4C73" w:rsidP="00003078">
            <w:pPr>
              <w:pStyle w:val="TableText"/>
              <w:widowControl w:val="0"/>
              <w:rPr>
                <w:rFonts w:ascii="Tahoma" w:hAnsi="Tahoma" w:cs="Tahoma"/>
                <w:sz w:val="13"/>
              </w:rPr>
            </w:pPr>
          </w:p>
        </w:tc>
        <w:tc>
          <w:tcPr>
            <w:tcW w:w="405" w:type="dxa"/>
            <w:tcBorders>
              <w:bottom w:val="single" w:sz="4" w:space="0" w:color="auto"/>
            </w:tcBorders>
            <w:shd w:val="clear" w:color="auto" w:fill="FABF8F"/>
            <w:vAlign w:val="center"/>
          </w:tcPr>
          <w:p w14:paraId="10C2344A" w14:textId="77777777" w:rsidR="002F4C73" w:rsidRPr="0058047D" w:rsidRDefault="002F4C73" w:rsidP="00003078">
            <w:pPr>
              <w:pStyle w:val="TableText"/>
              <w:widowControl w:val="0"/>
              <w:rPr>
                <w:rFonts w:ascii="Tahoma" w:hAnsi="Tahoma" w:cs="Tahoma"/>
                <w:sz w:val="13"/>
              </w:rPr>
            </w:pPr>
          </w:p>
        </w:tc>
      </w:tr>
      <w:tr w:rsidR="009323A0" w:rsidRPr="0058047D" w14:paraId="2C00ED60" w14:textId="77777777" w:rsidTr="00C86F50">
        <w:trPr>
          <w:trHeight w:val="145"/>
        </w:trPr>
        <w:tc>
          <w:tcPr>
            <w:tcW w:w="2619" w:type="dxa"/>
            <w:gridSpan w:val="2"/>
            <w:tcBorders>
              <w:bottom w:val="single" w:sz="4" w:space="0" w:color="auto"/>
            </w:tcBorders>
            <w:shd w:val="clear" w:color="auto" w:fill="auto"/>
            <w:vAlign w:val="center"/>
          </w:tcPr>
          <w:p w14:paraId="4E99FC9A" w14:textId="77777777" w:rsidR="002F4C73" w:rsidRPr="0058047D" w:rsidRDefault="002F4C73" w:rsidP="002F4C73">
            <w:pPr>
              <w:pStyle w:val="Heading2"/>
              <w:ind w:left="0"/>
              <w:rPr>
                <w:rFonts w:ascii="Tahoma" w:hAnsi="Tahoma" w:cs="Tahoma"/>
                <w:b w:val="0"/>
                <w:sz w:val="14"/>
                <w:szCs w:val="14"/>
              </w:rPr>
            </w:pPr>
            <w:bookmarkStart w:id="297" w:name="_Toc371663414"/>
            <w:r w:rsidRPr="0058047D">
              <w:rPr>
                <w:rFonts w:ascii="Tahoma" w:hAnsi="Tahoma" w:cs="Tahoma"/>
                <w:b w:val="0"/>
                <w:sz w:val="14"/>
              </w:rPr>
              <w:t>Microsoft Dynamics CRM Online Enhanced Support</w:t>
            </w:r>
            <w:bookmarkEnd w:id="297"/>
          </w:p>
        </w:tc>
        <w:tc>
          <w:tcPr>
            <w:tcW w:w="554" w:type="dxa"/>
            <w:tcBorders>
              <w:bottom w:val="single" w:sz="4" w:space="0" w:color="auto"/>
            </w:tcBorders>
            <w:shd w:val="clear" w:color="auto" w:fill="auto"/>
            <w:vAlign w:val="center"/>
          </w:tcPr>
          <w:p w14:paraId="047C8ED8" w14:textId="77777777" w:rsidR="002F4C73" w:rsidRPr="0058047D" w:rsidRDefault="00C86F50" w:rsidP="002F4C73">
            <w:pPr>
              <w:pStyle w:val="TableText"/>
              <w:widowControl w:val="0"/>
            </w:pPr>
            <w:hyperlink w:anchor="_73_Microsoft_Dynamics" w:history="1">
              <w:hyperlink w:anchor="_70_Microsoft_Dynamics" w:history="1">
                <w:r w:rsidR="002B4E2B" w:rsidRPr="0058047D">
                  <w:rPr>
                    <w:rStyle w:val="Hyperlink"/>
                    <w:b/>
                    <w:sz w:val="13"/>
                    <w:szCs w:val="13"/>
                  </w:rPr>
                  <w:t>7</w:t>
                </w:r>
              </w:hyperlink>
            </w:hyperlink>
            <w:r w:rsidR="002B4E2B" w:rsidRPr="0058047D">
              <w:rPr>
                <w:rStyle w:val="Hyperlink"/>
                <w:b/>
                <w:sz w:val="13"/>
                <w:szCs w:val="13"/>
              </w:rPr>
              <w:t>3</w:t>
            </w:r>
          </w:p>
        </w:tc>
        <w:tc>
          <w:tcPr>
            <w:tcW w:w="516" w:type="dxa"/>
            <w:tcBorders>
              <w:bottom w:val="single" w:sz="4" w:space="0" w:color="auto"/>
            </w:tcBorders>
            <w:shd w:val="clear" w:color="auto" w:fill="auto"/>
            <w:vAlign w:val="center"/>
          </w:tcPr>
          <w:p w14:paraId="3980A15A" w14:textId="77777777" w:rsidR="002F4C73" w:rsidRPr="0058047D" w:rsidRDefault="002F4C73" w:rsidP="00003078">
            <w:pPr>
              <w:pStyle w:val="TableText"/>
              <w:widowControl w:val="0"/>
              <w:spacing w:before="120"/>
              <w:rPr>
                <w:rFonts w:ascii="Tahoma" w:hAnsi="Tahoma" w:cs="Tahoma"/>
                <w:color w:val="000000"/>
                <w:sz w:val="13"/>
              </w:rPr>
            </w:pPr>
            <w:r w:rsidRPr="0058047D">
              <w:rPr>
                <w:rFonts w:ascii="Tahoma" w:hAnsi="Tahoma" w:cs="Tahoma"/>
                <w:color w:val="000000"/>
                <w:sz w:val="13"/>
              </w:rPr>
              <w:t>10/13</w:t>
            </w:r>
          </w:p>
        </w:tc>
        <w:tc>
          <w:tcPr>
            <w:tcW w:w="358" w:type="dxa"/>
            <w:tcBorders>
              <w:bottom w:val="single" w:sz="4" w:space="0" w:color="auto"/>
              <w:right w:val="single" w:sz="18" w:space="0" w:color="auto"/>
            </w:tcBorders>
            <w:shd w:val="clear" w:color="auto" w:fill="auto"/>
            <w:vAlign w:val="center"/>
          </w:tcPr>
          <w:p w14:paraId="16BACBF8" w14:textId="77777777" w:rsidR="002F4C73" w:rsidRPr="0058047D" w:rsidRDefault="002F4C73" w:rsidP="00003078">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auto"/>
            <w:vAlign w:val="center"/>
          </w:tcPr>
          <w:p w14:paraId="172FAD82" w14:textId="77777777" w:rsidR="002F4C73" w:rsidRPr="0058047D" w:rsidRDefault="002F4C73" w:rsidP="00003078">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1B20017C" w14:textId="77777777" w:rsidR="002F4C73" w:rsidRPr="0058047D" w:rsidRDefault="002F4C73" w:rsidP="00003078">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35E5C0CC" w14:textId="77777777" w:rsidR="002F4C73" w:rsidRPr="0058047D" w:rsidRDefault="002F4C73" w:rsidP="00003078">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4A222847" w14:textId="77777777" w:rsidR="002F4C73" w:rsidRPr="0058047D"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B70014A" w14:textId="77777777" w:rsidR="002F4C73" w:rsidRPr="0058047D"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2EE3107" w14:textId="77777777" w:rsidR="002F4C73" w:rsidRPr="0058047D" w:rsidRDefault="002F4C73" w:rsidP="00003078">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76DB9568" w14:textId="77777777" w:rsidR="002F4C73" w:rsidRPr="0058047D" w:rsidRDefault="002F4C73" w:rsidP="00003078">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60FFBC01" w14:textId="77777777" w:rsidR="002F4C73" w:rsidRPr="0058047D"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DDC4AB4" w14:textId="77777777" w:rsidR="002F4C73" w:rsidRPr="0058047D" w:rsidRDefault="002F4C73" w:rsidP="00003078">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172ABB27" w14:textId="77777777" w:rsidR="002F4C73" w:rsidRPr="0058047D" w:rsidRDefault="002F4C73" w:rsidP="00003078">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5D5A7FE3" w14:textId="77777777" w:rsidR="002F4C73" w:rsidRPr="0058047D" w:rsidRDefault="002F4C73" w:rsidP="00003078">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73E9148F" w14:textId="77777777" w:rsidR="002F4C73" w:rsidRPr="0058047D" w:rsidRDefault="00003078" w:rsidP="00003078">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4FC69DC5" w14:textId="77777777" w:rsidR="002F4C73" w:rsidRPr="0058047D" w:rsidRDefault="002F4C73" w:rsidP="00003078">
            <w:pPr>
              <w:pStyle w:val="TableText"/>
              <w:widowControl w:val="0"/>
              <w:rPr>
                <w:rFonts w:ascii="Tahoma" w:hAnsi="Tahoma" w:cs="Tahoma"/>
                <w:sz w:val="13"/>
              </w:rPr>
            </w:pPr>
          </w:p>
        </w:tc>
        <w:tc>
          <w:tcPr>
            <w:tcW w:w="655" w:type="dxa"/>
            <w:tcBorders>
              <w:bottom w:val="single" w:sz="4" w:space="0" w:color="auto"/>
            </w:tcBorders>
            <w:shd w:val="clear" w:color="auto" w:fill="auto"/>
            <w:vAlign w:val="center"/>
          </w:tcPr>
          <w:p w14:paraId="119F7718" w14:textId="77777777" w:rsidR="002F4C73" w:rsidRPr="0058047D" w:rsidRDefault="00003078" w:rsidP="00003078">
            <w:pPr>
              <w:pStyle w:val="TableText"/>
              <w:widowControl w:val="0"/>
              <w:spacing w:before="120"/>
              <w:rPr>
                <w:rFonts w:ascii="Tahoma" w:hAnsi="Tahoma" w:cs="Tahoma"/>
                <w:sz w:val="13"/>
              </w:rPr>
            </w:pPr>
            <w:r w:rsidRPr="0058047D">
              <w:rPr>
                <w:rFonts w:ascii="Tahoma" w:hAnsi="Tahoma" w:cs="Tahoma"/>
                <w:sz w:val="13"/>
              </w:rPr>
              <w:t>A, ST</w:t>
            </w:r>
          </w:p>
        </w:tc>
        <w:tc>
          <w:tcPr>
            <w:tcW w:w="504" w:type="dxa"/>
            <w:tcBorders>
              <w:bottom w:val="single" w:sz="4" w:space="0" w:color="auto"/>
            </w:tcBorders>
            <w:shd w:val="clear" w:color="auto" w:fill="auto"/>
            <w:vAlign w:val="center"/>
          </w:tcPr>
          <w:p w14:paraId="2DA8961B" w14:textId="77777777" w:rsidR="002F4C73" w:rsidRPr="0058047D" w:rsidRDefault="002F4C73" w:rsidP="00003078">
            <w:pPr>
              <w:pStyle w:val="TableText"/>
              <w:widowControl w:val="0"/>
              <w:rPr>
                <w:rFonts w:ascii="Tahoma" w:hAnsi="Tahoma" w:cs="Tahoma"/>
                <w:sz w:val="13"/>
              </w:rPr>
            </w:pPr>
          </w:p>
        </w:tc>
        <w:tc>
          <w:tcPr>
            <w:tcW w:w="405" w:type="dxa"/>
            <w:tcBorders>
              <w:bottom w:val="single" w:sz="4" w:space="0" w:color="auto"/>
            </w:tcBorders>
            <w:vAlign w:val="center"/>
          </w:tcPr>
          <w:p w14:paraId="3793611A" w14:textId="77777777" w:rsidR="002F4C73" w:rsidRPr="0058047D" w:rsidRDefault="002F4C73" w:rsidP="00003078">
            <w:pPr>
              <w:pStyle w:val="TableText"/>
              <w:widowControl w:val="0"/>
              <w:rPr>
                <w:rFonts w:ascii="Tahoma" w:hAnsi="Tahoma" w:cs="Tahoma"/>
                <w:sz w:val="13"/>
              </w:rPr>
            </w:pPr>
          </w:p>
        </w:tc>
      </w:tr>
      <w:tr w:rsidR="009323A0" w:rsidRPr="0058047D" w14:paraId="2C55AD65" w14:textId="77777777" w:rsidTr="00C86F50">
        <w:trPr>
          <w:trHeight w:val="145"/>
        </w:trPr>
        <w:tc>
          <w:tcPr>
            <w:tcW w:w="2619" w:type="dxa"/>
            <w:gridSpan w:val="2"/>
            <w:tcBorders>
              <w:bottom w:val="single" w:sz="4" w:space="0" w:color="auto"/>
            </w:tcBorders>
            <w:shd w:val="clear" w:color="auto" w:fill="FABF8F"/>
            <w:vAlign w:val="center"/>
          </w:tcPr>
          <w:p w14:paraId="3A9F47EE" w14:textId="77777777" w:rsidR="002F4C73" w:rsidRPr="0058047D" w:rsidRDefault="002F4C73" w:rsidP="002F4C73">
            <w:pPr>
              <w:pStyle w:val="Heading2"/>
              <w:ind w:left="0"/>
              <w:rPr>
                <w:rFonts w:ascii="Tahoma" w:hAnsi="Tahoma" w:cs="Tahoma"/>
                <w:b w:val="0"/>
                <w:sz w:val="14"/>
                <w:szCs w:val="14"/>
              </w:rPr>
            </w:pPr>
            <w:bookmarkStart w:id="298" w:name="_Toc371663415"/>
            <w:r w:rsidRPr="0058047D">
              <w:rPr>
                <w:rFonts w:ascii="Tahoma" w:hAnsi="Tahoma" w:cs="Tahoma"/>
                <w:b w:val="0"/>
                <w:sz w:val="14"/>
              </w:rPr>
              <w:t>Microsoft Dynamics CRM Online Essential</w:t>
            </w:r>
            <w:bookmarkEnd w:id="298"/>
          </w:p>
        </w:tc>
        <w:tc>
          <w:tcPr>
            <w:tcW w:w="554" w:type="dxa"/>
            <w:tcBorders>
              <w:bottom w:val="single" w:sz="4" w:space="0" w:color="auto"/>
            </w:tcBorders>
            <w:shd w:val="clear" w:color="auto" w:fill="FABF8F"/>
            <w:vAlign w:val="center"/>
          </w:tcPr>
          <w:p w14:paraId="0B9736F4" w14:textId="77777777" w:rsidR="002F4C73" w:rsidRPr="0058047D" w:rsidRDefault="00C86F50" w:rsidP="002F4C73">
            <w:pPr>
              <w:pStyle w:val="TableText"/>
              <w:widowControl w:val="0"/>
            </w:pPr>
            <w:hyperlink w:anchor="_73_Microsoft_Dynamics" w:history="1">
              <w:hyperlink w:anchor="_70_Microsoft_Dynamics" w:history="1">
                <w:r w:rsidR="002B4E2B" w:rsidRPr="0058047D">
                  <w:rPr>
                    <w:rStyle w:val="Hyperlink"/>
                    <w:b/>
                    <w:sz w:val="13"/>
                    <w:szCs w:val="13"/>
                  </w:rPr>
                  <w:t>7</w:t>
                </w:r>
              </w:hyperlink>
            </w:hyperlink>
            <w:r w:rsidR="002B4E2B" w:rsidRPr="0058047D">
              <w:rPr>
                <w:rStyle w:val="Hyperlink"/>
                <w:b/>
                <w:sz w:val="13"/>
                <w:szCs w:val="13"/>
              </w:rPr>
              <w:t>3</w:t>
            </w:r>
          </w:p>
        </w:tc>
        <w:tc>
          <w:tcPr>
            <w:tcW w:w="516" w:type="dxa"/>
            <w:tcBorders>
              <w:bottom w:val="single" w:sz="4" w:space="0" w:color="auto"/>
            </w:tcBorders>
            <w:shd w:val="clear" w:color="auto" w:fill="FABF8F"/>
            <w:vAlign w:val="center"/>
          </w:tcPr>
          <w:p w14:paraId="4323D8AD" w14:textId="77777777" w:rsidR="002F4C73" w:rsidRPr="0058047D" w:rsidRDefault="002F4C73" w:rsidP="00003078">
            <w:pPr>
              <w:pStyle w:val="TableText"/>
              <w:widowControl w:val="0"/>
              <w:spacing w:before="120"/>
              <w:rPr>
                <w:rFonts w:ascii="Tahoma" w:hAnsi="Tahoma" w:cs="Tahoma"/>
                <w:color w:val="000000"/>
                <w:sz w:val="13"/>
              </w:rPr>
            </w:pPr>
            <w:r w:rsidRPr="0058047D">
              <w:rPr>
                <w:rFonts w:ascii="Tahoma" w:hAnsi="Tahoma" w:cs="Tahoma"/>
                <w:color w:val="000000"/>
                <w:sz w:val="13"/>
              </w:rPr>
              <w:t>10/13</w:t>
            </w:r>
          </w:p>
        </w:tc>
        <w:tc>
          <w:tcPr>
            <w:tcW w:w="358" w:type="dxa"/>
            <w:tcBorders>
              <w:bottom w:val="single" w:sz="4" w:space="0" w:color="auto"/>
              <w:right w:val="single" w:sz="18" w:space="0" w:color="auto"/>
            </w:tcBorders>
            <w:shd w:val="clear" w:color="auto" w:fill="FABF8F"/>
            <w:vAlign w:val="center"/>
          </w:tcPr>
          <w:p w14:paraId="513C3ADD" w14:textId="77777777" w:rsidR="002F4C73" w:rsidRPr="0058047D" w:rsidRDefault="002F4C73" w:rsidP="00003078">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center"/>
          </w:tcPr>
          <w:p w14:paraId="0EAB1E35" w14:textId="77777777" w:rsidR="002F4C73" w:rsidRPr="0058047D" w:rsidRDefault="002F4C73" w:rsidP="00003078">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55B29CA3" w14:textId="77777777" w:rsidR="002F4C73" w:rsidRPr="0058047D" w:rsidRDefault="002F4C73" w:rsidP="00003078">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402FFAB2" w14:textId="77777777" w:rsidR="002F4C73" w:rsidRPr="0058047D" w:rsidRDefault="002F4C73" w:rsidP="00003078">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0BB16492" w14:textId="77777777" w:rsidR="002F4C73" w:rsidRPr="0058047D"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F6BE9B7" w14:textId="77777777" w:rsidR="002F4C73" w:rsidRPr="0058047D"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9F1DF8E" w14:textId="77777777" w:rsidR="002F4C73" w:rsidRPr="0058047D" w:rsidRDefault="002F4C73" w:rsidP="00003078">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2F1A2EC4" w14:textId="77777777" w:rsidR="002F4C73" w:rsidRPr="0058047D" w:rsidRDefault="002F4C73" w:rsidP="00003078">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1A80E96D" w14:textId="77777777" w:rsidR="002F4C73" w:rsidRPr="0058047D"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E87B45E" w14:textId="77777777" w:rsidR="002F4C73" w:rsidRPr="0058047D" w:rsidRDefault="002F4C73" w:rsidP="00003078">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171F55B7" w14:textId="77777777" w:rsidR="002F4C73" w:rsidRPr="0058047D" w:rsidRDefault="002F4C73" w:rsidP="00003078">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2827FF9C" w14:textId="77777777" w:rsidR="002F4C73" w:rsidRPr="0058047D" w:rsidRDefault="002F4C73" w:rsidP="00003078">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2185CB01" w14:textId="77777777" w:rsidR="002F4C73" w:rsidRPr="0058047D" w:rsidRDefault="00003078" w:rsidP="00003078">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24C9BC35" w14:textId="77777777" w:rsidR="002F4C73" w:rsidRPr="0058047D" w:rsidRDefault="002F4C73" w:rsidP="00003078">
            <w:pPr>
              <w:pStyle w:val="TableText"/>
              <w:widowControl w:val="0"/>
              <w:rPr>
                <w:rFonts w:ascii="Tahoma" w:hAnsi="Tahoma" w:cs="Tahoma"/>
                <w:sz w:val="13"/>
              </w:rPr>
            </w:pPr>
          </w:p>
        </w:tc>
        <w:tc>
          <w:tcPr>
            <w:tcW w:w="655" w:type="dxa"/>
            <w:tcBorders>
              <w:bottom w:val="single" w:sz="4" w:space="0" w:color="auto"/>
            </w:tcBorders>
            <w:shd w:val="clear" w:color="auto" w:fill="FABF8F"/>
            <w:vAlign w:val="center"/>
          </w:tcPr>
          <w:p w14:paraId="6A4604BC" w14:textId="77777777" w:rsidR="002F4C73" w:rsidRPr="0058047D" w:rsidRDefault="00003078" w:rsidP="00003078">
            <w:pPr>
              <w:pStyle w:val="TableText"/>
              <w:widowControl w:val="0"/>
              <w:spacing w:before="120"/>
              <w:rPr>
                <w:rFonts w:ascii="Tahoma" w:hAnsi="Tahoma" w:cs="Tahoma"/>
                <w:sz w:val="13"/>
              </w:rPr>
            </w:pPr>
            <w:r w:rsidRPr="0058047D">
              <w:rPr>
                <w:rFonts w:ascii="Tahoma" w:hAnsi="Tahoma" w:cs="Tahoma"/>
                <w:sz w:val="13"/>
              </w:rPr>
              <w:t>A, ST</w:t>
            </w:r>
          </w:p>
        </w:tc>
        <w:tc>
          <w:tcPr>
            <w:tcW w:w="504" w:type="dxa"/>
            <w:tcBorders>
              <w:bottom w:val="single" w:sz="4" w:space="0" w:color="auto"/>
            </w:tcBorders>
            <w:shd w:val="clear" w:color="auto" w:fill="FABF8F"/>
            <w:vAlign w:val="center"/>
          </w:tcPr>
          <w:p w14:paraId="1B308514" w14:textId="77777777" w:rsidR="002F4C73" w:rsidRPr="0058047D" w:rsidRDefault="002F4C73" w:rsidP="00003078">
            <w:pPr>
              <w:pStyle w:val="TableText"/>
              <w:widowControl w:val="0"/>
              <w:rPr>
                <w:rFonts w:ascii="Tahoma" w:hAnsi="Tahoma" w:cs="Tahoma"/>
                <w:sz w:val="13"/>
              </w:rPr>
            </w:pPr>
          </w:p>
        </w:tc>
        <w:tc>
          <w:tcPr>
            <w:tcW w:w="405" w:type="dxa"/>
            <w:tcBorders>
              <w:bottom w:val="single" w:sz="4" w:space="0" w:color="auto"/>
            </w:tcBorders>
            <w:shd w:val="clear" w:color="auto" w:fill="FABF8F"/>
            <w:vAlign w:val="center"/>
          </w:tcPr>
          <w:p w14:paraId="2F6E0F82" w14:textId="77777777" w:rsidR="002F4C73" w:rsidRPr="0058047D" w:rsidRDefault="002F4C73" w:rsidP="00003078">
            <w:pPr>
              <w:pStyle w:val="TableText"/>
              <w:widowControl w:val="0"/>
              <w:rPr>
                <w:rFonts w:ascii="Tahoma" w:hAnsi="Tahoma" w:cs="Tahoma"/>
                <w:sz w:val="13"/>
              </w:rPr>
            </w:pPr>
          </w:p>
        </w:tc>
      </w:tr>
      <w:tr w:rsidR="009323A0" w:rsidRPr="0058047D" w14:paraId="155C322B" w14:textId="77777777" w:rsidTr="00C86F50">
        <w:trPr>
          <w:trHeight w:val="145"/>
        </w:trPr>
        <w:tc>
          <w:tcPr>
            <w:tcW w:w="2619" w:type="dxa"/>
            <w:gridSpan w:val="2"/>
            <w:tcBorders>
              <w:bottom w:val="single" w:sz="4" w:space="0" w:color="auto"/>
            </w:tcBorders>
            <w:shd w:val="clear" w:color="auto" w:fill="auto"/>
            <w:vAlign w:val="center"/>
          </w:tcPr>
          <w:p w14:paraId="6DE9B3E3" w14:textId="77777777" w:rsidR="002F4C73" w:rsidRPr="003F471F" w:rsidRDefault="002F4C73" w:rsidP="002F4C73">
            <w:pPr>
              <w:pStyle w:val="Heading2"/>
              <w:ind w:left="0"/>
              <w:rPr>
                <w:rFonts w:ascii="Tahoma" w:hAnsi="Tahoma" w:cs="Tahoma"/>
                <w:b w:val="0"/>
                <w:sz w:val="14"/>
                <w:szCs w:val="14"/>
                <w:lang w:val="fr-FR"/>
              </w:rPr>
            </w:pPr>
            <w:bookmarkStart w:id="299" w:name="_Toc371663416"/>
            <w:r w:rsidRPr="003F471F">
              <w:rPr>
                <w:rFonts w:ascii="Tahoma" w:hAnsi="Tahoma" w:cs="Tahoma"/>
                <w:b w:val="0"/>
                <w:sz w:val="14"/>
                <w:lang w:val="fr-FR"/>
              </w:rPr>
              <w:t xml:space="preserve">Microsoft Dynamics CRM Online </w:t>
            </w:r>
            <w:r w:rsidR="001B5647" w:rsidRPr="003F471F">
              <w:rPr>
                <w:rFonts w:ascii="Tahoma" w:hAnsi="Tahoma" w:cs="Tahoma"/>
                <w:b w:val="0"/>
                <w:sz w:val="14"/>
                <w:lang w:val="fr-FR"/>
              </w:rPr>
              <w:br/>
            </w:r>
            <w:r w:rsidRPr="003F471F">
              <w:rPr>
                <w:rFonts w:ascii="Tahoma" w:hAnsi="Tahoma" w:cs="Tahoma"/>
                <w:b w:val="0"/>
                <w:sz w:val="14"/>
                <w:lang w:val="fr-FR"/>
              </w:rPr>
              <w:t>Non-Production Instance</w:t>
            </w:r>
            <w:bookmarkEnd w:id="299"/>
          </w:p>
        </w:tc>
        <w:tc>
          <w:tcPr>
            <w:tcW w:w="554" w:type="dxa"/>
            <w:tcBorders>
              <w:bottom w:val="single" w:sz="4" w:space="0" w:color="auto"/>
            </w:tcBorders>
            <w:shd w:val="clear" w:color="auto" w:fill="auto"/>
            <w:vAlign w:val="center"/>
          </w:tcPr>
          <w:p w14:paraId="39A6EE25" w14:textId="77777777" w:rsidR="002F4C73" w:rsidRPr="0058047D" w:rsidRDefault="00C86F50" w:rsidP="002F4C73">
            <w:pPr>
              <w:pStyle w:val="TableText"/>
              <w:widowControl w:val="0"/>
            </w:pPr>
            <w:hyperlink w:anchor="_73_Microsoft_Dynamics" w:history="1">
              <w:hyperlink w:anchor="_70_Microsoft_Dynamics" w:history="1">
                <w:r w:rsidR="002B4E2B" w:rsidRPr="0058047D">
                  <w:rPr>
                    <w:rStyle w:val="Hyperlink"/>
                    <w:b/>
                    <w:sz w:val="13"/>
                    <w:szCs w:val="13"/>
                  </w:rPr>
                  <w:t>7</w:t>
                </w:r>
              </w:hyperlink>
            </w:hyperlink>
            <w:r w:rsidR="002B4E2B" w:rsidRPr="0058047D">
              <w:rPr>
                <w:rStyle w:val="Hyperlink"/>
                <w:b/>
                <w:sz w:val="13"/>
                <w:szCs w:val="13"/>
              </w:rPr>
              <w:t>3</w:t>
            </w:r>
          </w:p>
        </w:tc>
        <w:tc>
          <w:tcPr>
            <w:tcW w:w="516" w:type="dxa"/>
            <w:tcBorders>
              <w:bottom w:val="single" w:sz="4" w:space="0" w:color="auto"/>
            </w:tcBorders>
            <w:shd w:val="clear" w:color="auto" w:fill="auto"/>
            <w:vAlign w:val="center"/>
          </w:tcPr>
          <w:p w14:paraId="540AE3D2" w14:textId="77777777" w:rsidR="002F4C73" w:rsidRPr="0058047D" w:rsidRDefault="002F4C73" w:rsidP="00003078">
            <w:pPr>
              <w:pStyle w:val="TableText"/>
              <w:widowControl w:val="0"/>
              <w:spacing w:before="120"/>
              <w:rPr>
                <w:rFonts w:ascii="Tahoma" w:hAnsi="Tahoma" w:cs="Tahoma"/>
                <w:color w:val="000000"/>
                <w:sz w:val="13"/>
              </w:rPr>
            </w:pPr>
            <w:r w:rsidRPr="0058047D">
              <w:rPr>
                <w:rFonts w:ascii="Tahoma" w:hAnsi="Tahoma" w:cs="Tahoma"/>
                <w:color w:val="000000"/>
                <w:sz w:val="13"/>
              </w:rPr>
              <w:t>10/13</w:t>
            </w:r>
          </w:p>
        </w:tc>
        <w:tc>
          <w:tcPr>
            <w:tcW w:w="358" w:type="dxa"/>
            <w:tcBorders>
              <w:bottom w:val="single" w:sz="4" w:space="0" w:color="auto"/>
              <w:right w:val="single" w:sz="18" w:space="0" w:color="auto"/>
            </w:tcBorders>
            <w:shd w:val="clear" w:color="auto" w:fill="auto"/>
            <w:vAlign w:val="center"/>
          </w:tcPr>
          <w:p w14:paraId="40D2DC16" w14:textId="77777777" w:rsidR="002F4C73" w:rsidRPr="0058047D" w:rsidRDefault="002F4C73" w:rsidP="00003078">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auto"/>
            <w:vAlign w:val="center"/>
          </w:tcPr>
          <w:p w14:paraId="745207F0" w14:textId="77777777" w:rsidR="002F4C73" w:rsidRPr="0058047D" w:rsidRDefault="002F4C73" w:rsidP="00003078">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0A077B20" w14:textId="77777777" w:rsidR="002F4C73" w:rsidRPr="0058047D" w:rsidRDefault="002F4C73" w:rsidP="00003078">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5C0B34B1" w14:textId="77777777" w:rsidR="002F4C73" w:rsidRPr="0058047D" w:rsidRDefault="002F4C73" w:rsidP="00003078">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34F161BD" w14:textId="77777777" w:rsidR="002F4C73" w:rsidRPr="0058047D"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B3F57AB" w14:textId="77777777" w:rsidR="002F4C73" w:rsidRPr="0058047D"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81303F4" w14:textId="77777777" w:rsidR="002F4C73" w:rsidRPr="0058047D" w:rsidRDefault="002F4C73" w:rsidP="00003078">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4C8B7065" w14:textId="77777777" w:rsidR="002F4C73" w:rsidRPr="0058047D" w:rsidRDefault="002F4C73" w:rsidP="00003078">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1C63BAD8" w14:textId="77777777" w:rsidR="002F4C73" w:rsidRPr="0058047D"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903B661" w14:textId="77777777" w:rsidR="002F4C73" w:rsidRPr="0058047D" w:rsidRDefault="002F4C73" w:rsidP="00003078">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5E786CC5" w14:textId="77777777" w:rsidR="002F4C73" w:rsidRPr="0058047D" w:rsidRDefault="002F4C73" w:rsidP="00003078">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4CF1B0FC" w14:textId="77777777" w:rsidR="002F4C73" w:rsidRPr="0058047D" w:rsidRDefault="002F4C73" w:rsidP="00003078">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6F1F9134" w14:textId="77777777" w:rsidR="002F4C73" w:rsidRPr="0058047D" w:rsidRDefault="00003078" w:rsidP="00003078">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29127A0B" w14:textId="77777777" w:rsidR="002F4C73" w:rsidRPr="0058047D" w:rsidRDefault="002F4C73" w:rsidP="00003078">
            <w:pPr>
              <w:pStyle w:val="TableText"/>
              <w:widowControl w:val="0"/>
              <w:rPr>
                <w:rFonts w:ascii="Tahoma" w:hAnsi="Tahoma" w:cs="Tahoma"/>
                <w:sz w:val="13"/>
              </w:rPr>
            </w:pPr>
          </w:p>
        </w:tc>
        <w:tc>
          <w:tcPr>
            <w:tcW w:w="655" w:type="dxa"/>
            <w:tcBorders>
              <w:bottom w:val="single" w:sz="4" w:space="0" w:color="auto"/>
            </w:tcBorders>
            <w:shd w:val="clear" w:color="auto" w:fill="auto"/>
            <w:vAlign w:val="center"/>
          </w:tcPr>
          <w:p w14:paraId="44E0BF1A" w14:textId="77777777" w:rsidR="002F4C73" w:rsidRPr="0058047D" w:rsidRDefault="00003078" w:rsidP="00003078">
            <w:pPr>
              <w:pStyle w:val="TableText"/>
              <w:widowControl w:val="0"/>
              <w:spacing w:before="120"/>
              <w:rPr>
                <w:rFonts w:ascii="Tahoma" w:hAnsi="Tahoma" w:cs="Tahoma"/>
                <w:sz w:val="13"/>
              </w:rPr>
            </w:pPr>
            <w:r w:rsidRPr="0058047D">
              <w:rPr>
                <w:rFonts w:ascii="Tahoma" w:hAnsi="Tahoma" w:cs="Tahoma"/>
                <w:sz w:val="13"/>
              </w:rPr>
              <w:t>A, ST</w:t>
            </w:r>
          </w:p>
        </w:tc>
        <w:tc>
          <w:tcPr>
            <w:tcW w:w="504" w:type="dxa"/>
            <w:tcBorders>
              <w:bottom w:val="single" w:sz="4" w:space="0" w:color="auto"/>
            </w:tcBorders>
            <w:shd w:val="clear" w:color="auto" w:fill="auto"/>
            <w:vAlign w:val="center"/>
          </w:tcPr>
          <w:p w14:paraId="7D1030BE" w14:textId="77777777" w:rsidR="002F4C73" w:rsidRPr="0058047D" w:rsidRDefault="002F4C73" w:rsidP="00003078">
            <w:pPr>
              <w:pStyle w:val="TableText"/>
              <w:widowControl w:val="0"/>
              <w:rPr>
                <w:rFonts w:ascii="Tahoma" w:hAnsi="Tahoma" w:cs="Tahoma"/>
                <w:sz w:val="13"/>
              </w:rPr>
            </w:pPr>
          </w:p>
        </w:tc>
        <w:tc>
          <w:tcPr>
            <w:tcW w:w="405" w:type="dxa"/>
            <w:tcBorders>
              <w:bottom w:val="single" w:sz="4" w:space="0" w:color="auto"/>
            </w:tcBorders>
            <w:vAlign w:val="center"/>
          </w:tcPr>
          <w:p w14:paraId="712AE33B" w14:textId="77777777" w:rsidR="002F4C73" w:rsidRPr="0058047D" w:rsidRDefault="002F4C73" w:rsidP="00003078">
            <w:pPr>
              <w:pStyle w:val="TableText"/>
              <w:widowControl w:val="0"/>
              <w:rPr>
                <w:rFonts w:ascii="Tahoma" w:hAnsi="Tahoma" w:cs="Tahoma"/>
                <w:sz w:val="13"/>
              </w:rPr>
            </w:pPr>
          </w:p>
        </w:tc>
      </w:tr>
      <w:tr w:rsidR="009323A0" w:rsidRPr="0058047D" w14:paraId="2BFA5270" w14:textId="77777777" w:rsidTr="00C86F50">
        <w:trPr>
          <w:trHeight w:val="145"/>
        </w:trPr>
        <w:tc>
          <w:tcPr>
            <w:tcW w:w="2619" w:type="dxa"/>
            <w:gridSpan w:val="2"/>
            <w:tcBorders>
              <w:bottom w:val="single" w:sz="4" w:space="0" w:color="auto"/>
            </w:tcBorders>
            <w:shd w:val="clear" w:color="auto" w:fill="FABF8F"/>
            <w:vAlign w:val="center"/>
          </w:tcPr>
          <w:p w14:paraId="0CFD461C" w14:textId="77777777" w:rsidR="002F4C73" w:rsidRPr="0058047D" w:rsidRDefault="002F4C73" w:rsidP="002F4C73">
            <w:pPr>
              <w:pStyle w:val="Heading2"/>
              <w:ind w:left="0"/>
              <w:rPr>
                <w:rFonts w:ascii="Tahoma" w:hAnsi="Tahoma" w:cs="Tahoma"/>
                <w:b w:val="0"/>
                <w:sz w:val="14"/>
                <w:szCs w:val="14"/>
              </w:rPr>
            </w:pPr>
            <w:bookmarkStart w:id="300" w:name="_Toc371663417"/>
            <w:r w:rsidRPr="0058047D">
              <w:rPr>
                <w:rFonts w:ascii="Tahoma" w:hAnsi="Tahoma" w:cs="Tahoma"/>
                <w:b w:val="0"/>
                <w:sz w:val="14"/>
              </w:rPr>
              <w:t>Microsoft Dynamics CRM Online Production Instance</w:t>
            </w:r>
            <w:bookmarkEnd w:id="300"/>
          </w:p>
        </w:tc>
        <w:tc>
          <w:tcPr>
            <w:tcW w:w="554" w:type="dxa"/>
            <w:tcBorders>
              <w:bottom w:val="single" w:sz="4" w:space="0" w:color="auto"/>
            </w:tcBorders>
            <w:shd w:val="clear" w:color="auto" w:fill="FABF8F"/>
            <w:vAlign w:val="center"/>
          </w:tcPr>
          <w:p w14:paraId="6B775345" w14:textId="77777777" w:rsidR="002F4C73" w:rsidRPr="0058047D" w:rsidRDefault="00C86F50" w:rsidP="002F4C73">
            <w:pPr>
              <w:pStyle w:val="TableText"/>
              <w:widowControl w:val="0"/>
            </w:pPr>
            <w:hyperlink w:anchor="_73_Microsoft_Dynamics" w:history="1">
              <w:hyperlink w:anchor="_70_Microsoft_Dynamics" w:history="1">
                <w:r w:rsidR="002B4E2B" w:rsidRPr="0058047D">
                  <w:rPr>
                    <w:rStyle w:val="Hyperlink"/>
                    <w:b/>
                    <w:sz w:val="13"/>
                    <w:szCs w:val="13"/>
                  </w:rPr>
                  <w:t>7</w:t>
                </w:r>
              </w:hyperlink>
            </w:hyperlink>
            <w:r w:rsidR="002B4E2B" w:rsidRPr="0058047D">
              <w:rPr>
                <w:rStyle w:val="Hyperlink"/>
                <w:b/>
                <w:sz w:val="13"/>
                <w:szCs w:val="13"/>
              </w:rPr>
              <w:t>3</w:t>
            </w:r>
          </w:p>
        </w:tc>
        <w:tc>
          <w:tcPr>
            <w:tcW w:w="516" w:type="dxa"/>
            <w:tcBorders>
              <w:bottom w:val="single" w:sz="4" w:space="0" w:color="auto"/>
            </w:tcBorders>
            <w:shd w:val="clear" w:color="auto" w:fill="FABF8F"/>
            <w:vAlign w:val="center"/>
          </w:tcPr>
          <w:p w14:paraId="5BC2799F" w14:textId="77777777" w:rsidR="002F4C73" w:rsidRPr="0058047D" w:rsidRDefault="002F4C73" w:rsidP="00003078">
            <w:pPr>
              <w:pStyle w:val="TableText"/>
              <w:widowControl w:val="0"/>
              <w:spacing w:before="120"/>
              <w:rPr>
                <w:rFonts w:ascii="Tahoma" w:hAnsi="Tahoma" w:cs="Tahoma"/>
                <w:color w:val="000000"/>
                <w:sz w:val="13"/>
              </w:rPr>
            </w:pPr>
            <w:r w:rsidRPr="0058047D">
              <w:rPr>
                <w:rFonts w:ascii="Tahoma" w:hAnsi="Tahoma" w:cs="Tahoma"/>
                <w:color w:val="000000"/>
                <w:sz w:val="13"/>
              </w:rPr>
              <w:t>10/13</w:t>
            </w:r>
          </w:p>
        </w:tc>
        <w:tc>
          <w:tcPr>
            <w:tcW w:w="358" w:type="dxa"/>
            <w:tcBorders>
              <w:bottom w:val="single" w:sz="4" w:space="0" w:color="auto"/>
              <w:right w:val="single" w:sz="18" w:space="0" w:color="auto"/>
            </w:tcBorders>
            <w:shd w:val="clear" w:color="auto" w:fill="FABF8F"/>
            <w:vAlign w:val="center"/>
          </w:tcPr>
          <w:p w14:paraId="4EC0B6D5" w14:textId="77777777" w:rsidR="002F4C73" w:rsidRPr="0058047D" w:rsidRDefault="002F4C73" w:rsidP="00003078">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center"/>
          </w:tcPr>
          <w:p w14:paraId="5232DCB3" w14:textId="77777777" w:rsidR="002F4C73" w:rsidRPr="0058047D" w:rsidRDefault="002F4C73" w:rsidP="00003078">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04499845" w14:textId="77777777" w:rsidR="002F4C73" w:rsidRPr="0058047D" w:rsidRDefault="002F4C73" w:rsidP="00003078">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16634F5C" w14:textId="77777777" w:rsidR="002F4C73" w:rsidRPr="0058047D" w:rsidRDefault="002F4C73" w:rsidP="00003078">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7AE82A0D" w14:textId="77777777" w:rsidR="002F4C73" w:rsidRPr="0058047D"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7A22651" w14:textId="77777777" w:rsidR="002F4C73" w:rsidRPr="0058047D"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2A4B2FC" w14:textId="77777777" w:rsidR="002F4C73" w:rsidRPr="0058047D" w:rsidRDefault="002F4C73" w:rsidP="00003078">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63736B46" w14:textId="77777777" w:rsidR="002F4C73" w:rsidRPr="0058047D" w:rsidRDefault="002F4C73" w:rsidP="00003078">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5DE754B0" w14:textId="77777777" w:rsidR="002F4C73" w:rsidRPr="0058047D"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A8D23C" w14:textId="77777777" w:rsidR="002F4C73" w:rsidRPr="0058047D" w:rsidRDefault="002F4C73" w:rsidP="00003078">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7D9609A8" w14:textId="77777777" w:rsidR="002F4C73" w:rsidRPr="0058047D" w:rsidRDefault="002F4C73" w:rsidP="00003078">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7FFD6544" w14:textId="77777777" w:rsidR="002F4C73" w:rsidRPr="0058047D" w:rsidRDefault="002F4C73" w:rsidP="00003078">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3722EFFE" w14:textId="77777777" w:rsidR="002F4C73" w:rsidRPr="0058047D" w:rsidRDefault="00003078" w:rsidP="00003078">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525DBAB7" w14:textId="77777777" w:rsidR="002F4C73" w:rsidRPr="0058047D" w:rsidRDefault="002F4C73" w:rsidP="00003078">
            <w:pPr>
              <w:pStyle w:val="TableText"/>
              <w:widowControl w:val="0"/>
              <w:rPr>
                <w:rFonts w:ascii="Tahoma" w:hAnsi="Tahoma" w:cs="Tahoma"/>
                <w:sz w:val="13"/>
              </w:rPr>
            </w:pPr>
          </w:p>
        </w:tc>
        <w:tc>
          <w:tcPr>
            <w:tcW w:w="655" w:type="dxa"/>
            <w:tcBorders>
              <w:bottom w:val="single" w:sz="4" w:space="0" w:color="auto"/>
            </w:tcBorders>
            <w:shd w:val="clear" w:color="auto" w:fill="FABF8F"/>
            <w:vAlign w:val="center"/>
          </w:tcPr>
          <w:p w14:paraId="70D0D758" w14:textId="77777777" w:rsidR="002F4C73" w:rsidRPr="0058047D" w:rsidRDefault="00003078" w:rsidP="00003078">
            <w:pPr>
              <w:pStyle w:val="TableText"/>
              <w:widowControl w:val="0"/>
              <w:spacing w:before="120"/>
              <w:rPr>
                <w:rFonts w:ascii="Tahoma" w:hAnsi="Tahoma" w:cs="Tahoma"/>
                <w:sz w:val="13"/>
              </w:rPr>
            </w:pPr>
            <w:r w:rsidRPr="0058047D">
              <w:rPr>
                <w:rFonts w:ascii="Tahoma" w:hAnsi="Tahoma" w:cs="Tahoma"/>
                <w:sz w:val="13"/>
              </w:rPr>
              <w:t>A, ST</w:t>
            </w:r>
          </w:p>
        </w:tc>
        <w:tc>
          <w:tcPr>
            <w:tcW w:w="504" w:type="dxa"/>
            <w:tcBorders>
              <w:bottom w:val="single" w:sz="4" w:space="0" w:color="auto"/>
            </w:tcBorders>
            <w:shd w:val="clear" w:color="auto" w:fill="FABF8F"/>
            <w:vAlign w:val="center"/>
          </w:tcPr>
          <w:p w14:paraId="16E23525" w14:textId="77777777" w:rsidR="002F4C73" w:rsidRPr="0058047D" w:rsidRDefault="002F4C73" w:rsidP="00003078">
            <w:pPr>
              <w:pStyle w:val="TableText"/>
              <w:widowControl w:val="0"/>
              <w:rPr>
                <w:rFonts w:ascii="Tahoma" w:hAnsi="Tahoma" w:cs="Tahoma"/>
                <w:sz w:val="13"/>
              </w:rPr>
            </w:pPr>
          </w:p>
        </w:tc>
        <w:tc>
          <w:tcPr>
            <w:tcW w:w="405" w:type="dxa"/>
            <w:tcBorders>
              <w:bottom w:val="single" w:sz="4" w:space="0" w:color="auto"/>
            </w:tcBorders>
            <w:shd w:val="clear" w:color="auto" w:fill="FABF8F"/>
            <w:vAlign w:val="center"/>
          </w:tcPr>
          <w:p w14:paraId="7F1D8EC0" w14:textId="77777777" w:rsidR="002F4C73" w:rsidRPr="0058047D" w:rsidRDefault="002F4C73" w:rsidP="00003078">
            <w:pPr>
              <w:pStyle w:val="TableText"/>
              <w:widowControl w:val="0"/>
              <w:rPr>
                <w:rFonts w:ascii="Tahoma" w:hAnsi="Tahoma" w:cs="Tahoma"/>
                <w:sz w:val="13"/>
              </w:rPr>
            </w:pPr>
          </w:p>
        </w:tc>
      </w:tr>
      <w:tr w:rsidR="009323A0" w:rsidRPr="0058047D" w14:paraId="448C59C7" w14:textId="77777777" w:rsidTr="00C86F50">
        <w:trPr>
          <w:trHeight w:val="145"/>
        </w:trPr>
        <w:tc>
          <w:tcPr>
            <w:tcW w:w="2619" w:type="dxa"/>
            <w:gridSpan w:val="2"/>
            <w:tcBorders>
              <w:bottom w:val="single" w:sz="4" w:space="0" w:color="auto"/>
            </w:tcBorders>
            <w:shd w:val="clear" w:color="auto" w:fill="auto"/>
            <w:vAlign w:val="center"/>
          </w:tcPr>
          <w:p w14:paraId="3D3961BD" w14:textId="77777777" w:rsidR="002F4C73" w:rsidRPr="0058047D" w:rsidRDefault="002F4C73" w:rsidP="002F4C73">
            <w:pPr>
              <w:pStyle w:val="Heading2"/>
              <w:ind w:left="0"/>
              <w:rPr>
                <w:rFonts w:ascii="Tahoma" w:hAnsi="Tahoma" w:cs="Tahoma"/>
                <w:b w:val="0"/>
                <w:sz w:val="14"/>
                <w:szCs w:val="14"/>
              </w:rPr>
            </w:pPr>
            <w:bookmarkStart w:id="301" w:name="_Toc371663418"/>
            <w:r w:rsidRPr="0058047D">
              <w:rPr>
                <w:rFonts w:ascii="Tahoma" w:hAnsi="Tahoma" w:cs="Tahoma"/>
                <w:b w:val="0"/>
                <w:sz w:val="14"/>
              </w:rPr>
              <w:t>Microsoft Dynamics CRM Online Professional</w:t>
            </w:r>
            <w:bookmarkEnd w:id="301"/>
          </w:p>
        </w:tc>
        <w:tc>
          <w:tcPr>
            <w:tcW w:w="554" w:type="dxa"/>
            <w:tcBorders>
              <w:bottom w:val="single" w:sz="4" w:space="0" w:color="auto"/>
            </w:tcBorders>
            <w:shd w:val="clear" w:color="auto" w:fill="auto"/>
            <w:vAlign w:val="center"/>
          </w:tcPr>
          <w:p w14:paraId="5D675B56" w14:textId="77777777" w:rsidR="002F4C73" w:rsidRPr="0058047D" w:rsidRDefault="00C86F50" w:rsidP="002F4C73">
            <w:pPr>
              <w:pStyle w:val="TableText"/>
              <w:widowControl w:val="0"/>
            </w:pPr>
            <w:hyperlink w:anchor="_73_Microsoft_Dynamics" w:history="1">
              <w:hyperlink w:anchor="_70_Microsoft_Dynamics" w:history="1">
                <w:r w:rsidR="002B4E2B" w:rsidRPr="0058047D">
                  <w:rPr>
                    <w:rStyle w:val="Hyperlink"/>
                    <w:b/>
                    <w:sz w:val="13"/>
                    <w:szCs w:val="13"/>
                  </w:rPr>
                  <w:t>7</w:t>
                </w:r>
              </w:hyperlink>
            </w:hyperlink>
            <w:r w:rsidR="002B4E2B" w:rsidRPr="0058047D">
              <w:rPr>
                <w:rStyle w:val="Hyperlink"/>
                <w:b/>
                <w:sz w:val="13"/>
                <w:szCs w:val="13"/>
              </w:rPr>
              <w:t>3</w:t>
            </w:r>
          </w:p>
        </w:tc>
        <w:tc>
          <w:tcPr>
            <w:tcW w:w="516" w:type="dxa"/>
            <w:tcBorders>
              <w:bottom w:val="single" w:sz="4" w:space="0" w:color="auto"/>
            </w:tcBorders>
            <w:shd w:val="clear" w:color="auto" w:fill="auto"/>
            <w:vAlign w:val="center"/>
          </w:tcPr>
          <w:p w14:paraId="6127DD9D" w14:textId="77777777" w:rsidR="002F4C73" w:rsidRPr="0058047D" w:rsidRDefault="002F4C73" w:rsidP="00003078">
            <w:pPr>
              <w:pStyle w:val="TableText"/>
              <w:widowControl w:val="0"/>
              <w:spacing w:before="120"/>
              <w:rPr>
                <w:rFonts w:ascii="Tahoma" w:hAnsi="Tahoma" w:cs="Tahoma"/>
                <w:color w:val="000000"/>
                <w:sz w:val="13"/>
              </w:rPr>
            </w:pPr>
            <w:r w:rsidRPr="0058047D">
              <w:rPr>
                <w:rFonts w:ascii="Tahoma" w:hAnsi="Tahoma" w:cs="Tahoma"/>
                <w:color w:val="000000"/>
                <w:sz w:val="13"/>
              </w:rPr>
              <w:t>10/13</w:t>
            </w:r>
          </w:p>
        </w:tc>
        <w:tc>
          <w:tcPr>
            <w:tcW w:w="358" w:type="dxa"/>
            <w:tcBorders>
              <w:bottom w:val="single" w:sz="4" w:space="0" w:color="auto"/>
              <w:right w:val="single" w:sz="18" w:space="0" w:color="auto"/>
            </w:tcBorders>
            <w:shd w:val="clear" w:color="auto" w:fill="auto"/>
            <w:vAlign w:val="center"/>
          </w:tcPr>
          <w:p w14:paraId="516DB50A" w14:textId="77777777" w:rsidR="002F4C73" w:rsidRPr="0058047D" w:rsidRDefault="002F4C73" w:rsidP="00003078">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auto"/>
            <w:vAlign w:val="center"/>
          </w:tcPr>
          <w:p w14:paraId="78C714C6" w14:textId="77777777" w:rsidR="002F4C73" w:rsidRPr="0058047D" w:rsidRDefault="002F4C73" w:rsidP="00003078">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0874EF76" w14:textId="77777777" w:rsidR="002F4C73" w:rsidRPr="0058047D" w:rsidRDefault="002F4C73" w:rsidP="00003078">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09133B57" w14:textId="77777777" w:rsidR="002F4C73" w:rsidRPr="0058047D" w:rsidRDefault="002F4C73" w:rsidP="00003078">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41D8384B" w14:textId="77777777" w:rsidR="002F4C73" w:rsidRPr="0058047D"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EF47E39" w14:textId="77777777" w:rsidR="002F4C73" w:rsidRPr="0058047D"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49B168B" w14:textId="77777777" w:rsidR="002F4C73" w:rsidRPr="0058047D" w:rsidRDefault="002F4C73" w:rsidP="00003078">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6CBC910F" w14:textId="77777777" w:rsidR="002F4C73" w:rsidRPr="0058047D" w:rsidRDefault="002F4C73" w:rsidP="00003078">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1915DFFE" w14:textId="77777777" w:rsidR="002F4C73" w:rsidRPr="0058047D"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3ECA58" w14:textId="77777777" w:rsidR="002F4C73" w:rsidRPr="0058047D" w:rsidRDefault="002F4C73" w:rsidP="00003078">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3EE57F37" w14:textId="77777777" w:rsidR="002F4C73" w:rsidRPr="0058047D" w:rsidRDefault="002F4C73" w:rsidP="00003078">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054E3488" w14:textId="77777777" w:rsidR="002F4C73" w:rsidRPr="0058047D" w:rsidRDefault="002F4C73" w:rsidP="00003078">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2441E6D4" w14:textId="77777777" w:rsidR="002F4C73" w:rsidRPr="0058047D" w:rsidRDefault="00003078" w:rsidP="00003078">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0F4106F2" w14:textId="77777777" w:rsidR="002F4C73" w:rsidRPr="0058047D" w:rsidRDefault="002F4C73" w:rsidP="00003078">
            <w:pPr>
              <w:pStyle w:val="TableText"/>
              <w:widowControl w:val="0"/>
              <w:rPr>
                <w:rFonts w:ascii="Tahoma" w:hAnsi="Tahoma" w:cs="Tahoma"/>
                <w:sz w:val="13"/>
              </w:rPr>
            </w:pPr>
          </w:p>
        </w:tc>
        <w:tc>
          <w:tcPr>
            <w:tcW w:w="655" w:type="dxa"/>
            <w:tcBorders>
              <w:bottom w:val="single" w:sz="4" w:space="0" w:color="auto"/>
            </w:tcBorders>
            <w:shd w:val="clear" w:color="auto" w:fill="auto"/>
            <w:vAlign w:val="center"/>
          </w:tcPr>
          <w:p w14:paraId="4CB420AB" w14:textId="77777777" w:rsidR="002F4C73" w:rsidRPr="0058047D" w:rsidRDefault="00003078" w:rsidP="00003078">
            <w:pPr>
              <w:pStyle w:val="TableText"/>
              <w:widowControl w:val="0"/>
              <w:spacing w:before="120"/>
              <w:rPr>
                <w:rFonts w:ascii="Tahoma" w:hAnsi="Tahoma" w:cs="Tahoma"/>
                <w:sz w:val="13"/>
              </w:rPr>
            </w:pPr>
            <w:r w:rsidRPr="0058047D">
              <w:rPr>
                <w:rFonts w:ascii="Tahoma" w:hAnsi="Tahoma" w:cs="Tahoma"/>
                <w:sz w:val="13"/>
              </w:rPr>
              <w:t>A, ST</w:t>
            </w:r>
          </w:p>
        </w:tc>
        <w:tc>
          <w:tcPr>
            <w:tcW w:w="504" w:type="dxa"/>
            <w:tcBorders>
              <w:bottom w:val="single" w:sz="4" w:space="0" w:color="auto"/>
            </w:tcBorders>
            <w:shd w:val="clear" w:color="auto" w:fill="auto"/>
            <w:vAlign w:val="center"/>
          </w:tcPr>
          <w:p w14:paraId="35562726" w14:textId="77777777" w:rsidR="002F4C73" w:rsidRPr="0058047D" w:rsidRDefault="002F4C73" w:rsidP="00003078">
            <w:pPr>
              <w:pStyle w:val="TableText"/>
              <w:widowControl w:val="0"/>
              <w:rPr>
                <w:rFonts w:ascii="Tahoma" w:hAnsi="Tahoma" w:cs="Tahoma"/>
                <w:sz w:val="13"/>
              </w:rPr>
            </w:pPr>
          </w:p>
        </w:tc>
        <w:tc>
          <w:tcPr>
            <w:tcW w:w="405" w:type="dxa"/>
            <w:tcBorders>
              <w:bottom w:val="single" w:sz="4" w:space="0" w:color="auto"/>
            </w:tcBorders>
            <w:vAlign w:val="center"/>
          </w:tcPr>
          <w:p w14:paraId="4528AD47" w14:textId="77777777" w:rsidR="002F4C73" w:rsidRPr="0058047D" w:rsidRDefault="002F4C73" w:rsidP="00003078">
            <w:pPr>
              <w:pStyle w:val="TableText"/>
              <w:widowControl w:val="0"/>
              <w:rPr>
                <w:rFonts w:ascii="Tahoma" w:hAnsi="Tahoma" w:cs="Tahoma"/>
                <w:sz w:val="13"/>
              </w:rPr>
            </w:pPr>
          </w:p>
        </w:tc>
      </w:tr>
      <w:tr w:rsidR="009323A0" w:rsidRPr="0058047D" w14:paraId="2292D18D" w14:textId="77777777" w:rsidTr="00C86F50">
        <w:trPr>
          <w:trHeight w:val="145"/>
        </w:trPr>
        <w:tc>
          <w:tcPr>
            <w:tcW w:w="2619" w:type="dxa"/>
            <w:gridSpan w:val="2"/>
            <w:tcBorders>
              <w:bottom w:val="single" w:sz="4" w:space="0" w:color="auto"/>
            </w:tcBorders>
            <w:shd w:val="clear" w:color="auto" w:fill="FABF8F"/>
            <w:vAlign w:val="center"/>
          </w:tcPr>
          <w:p w14:paraId="575D1117" w14:textId="77777777" w:rsidR="002F4C73" w:rsidRPr="0058047D" w:rsidRDefault="002F4C73" w:rsidP="002F4C73">
            <w:pPr>
              <w:pStyle w:val="Heading2"/>
              <w:ind w:left="0"/>
              <w:rPr>
                <w:rFonts w:ascii="Tahoma" w:hAnsi="Tahoma" w:cs="Tahoma"/>
                <w:b w:val="0"/>
                <w:sz w:val="14"/>
                <w:szCs w:val="14"/>
              </w:rPr>
            </w:pPr>
            <w:bookmarkStart w:id="302" w:name="_Toc371663419"/>
            <w:r w:rsidRPr="0058047D">
              <w:rPr>
                <w:rFonts w:ascii="Tahoma" w:hAnsi="Tahoma" w:cs="Tahoma"/>
                <w:b w:val="0"/>
                <w:sz w:val="14"/>
              </w:rPr>
              <w:t>Microsoft Dynamics CRM Online Professional Direct Support</w:t>
            </w:r>
            <w:bookmarkEnd w:id="302"/>
          </w:p>
        </w:tc>
        <w:tc>
          <w:tcPr>
            <w:tcW w:w="554" w:type="dxa"/>
            <w:tcBorders>
              <w:bottom w:val="single" w:sz="4" w:space="0" w:color="auto"/>
            </w:tcBorders>
            <w:shd w:val="clear" w:color="auto" w:fill="FABF8F"/>
            <w:vAlign w:val="center"/>
          </w:tcPr>
          <w:p w14:paraId="28658B7B" w14:textId="77777777" w:rsidR="002F4C73" w:rsidRPr="0058047D" w:rsidRDefault="00C86F50" w:rsidP="002F4C73">
            <w:pPr>
              <w:pStyle w:val="TableText"/>
              <w:widowControl w:val="0"/>
            </w:pPr>
            <w:hyperlink w:anchor="_73_Microsoft_Dynamics" w:history="1">
              <w:hyperlink w:anchor="_70_Microsoft_Dynamics" w:history="1">
                <w:r w:rsidR="002B4E2B" w:rsidRPr="0058047D">
                  <w:rPr>
                    <w:rStyle w:val="Hyperlink"/>
                    <w:b/>
                    <w:sz w:val="13"/>
                    <w:szCs w:val="13"/>
                  </w:rPr>
                  <w:t>7</w:t>
                </w:r>
              </w:hyperlink>
            </w:hyperlink>
            <w:r w:rsidR="002B4E2B" w:rsidRPr="0058047D">
              <w:rPr>
                <w:rStyle w:val="Hyperlink"/>
                <w:b/>
                <w:sz w:val="13"/>
                <w:szCs w:val="13"/>
              </w:rPr>
              <w:t>3</w:t>
            </w:r>
          </w:p>
        </w:tc>
        <w:tc>
          <w:tcPr>
            <w:tcW w:w="516" w:type="dxa"/>
            <w:tcBorders>
              <w:bottom w:val="single" w:sz="4" w:space="0" w:color="auto"/>
            </w:tcBorders>
            <w:shd w:val="clear" w:color="auto" w:fill="FABF8F"/>
            <w:vAlign w:val="center"/>
          </w:tcPr>
          <w:p w14:paraId="5AA4A547" w14:textId="77777777" w:rsidR="002F4C73" w:rsidRPr="0058047D" w:rsidRDefault="002F4C73" w:rsidP="00003078">
            <w:pPr>
              <w:pStyle w:val="TableText"/>
              <w:widowControl w:val="0"/>
              <w:spacing w:before="120"/>
              <w:rPr>
                <w:rFonts w:ascii="Tahoma" w:hAnsi="Tahoma" w:cs="Tahoma"/>
                <w:color w:val="000000"/>
                <w:sz w:val="13"/>
              </w:rPr>
            </w:pPr>
            <w:r w:rsidRPr="0058047D">
              <w:rPr>
                <w:rFonts w:ascii="Tahoma" w:hAnsi="Tahoma" w:cs="Tahoma"/>
                <w:color w:val="000000"/>
                <w:sz w:val="13"/>
              </w:rPr>
              <w:t>10/13</w:t>
            </w:r>
          </w:p>
        </w:tc>
        <w:tc>
          <w:tcPr>
            <w:tcW w:w="358" w:type="dxa"/>
            <w:tcBorders>
              <w:bottom w:val="single" w:sz="4" w:space="0" w:color="auto"/>
              <w:right w:val="single" w:sz="18" w:space="0" w:color="auto"/>
            </w:tcBorders>
            <w:shd w:val="clear" w:color="auto" w:fill="FABF8F"/>
            <w:vAlign w:val="center"/>
          </w:tcPr>
          <w:p w14:paraId="79658C73" w14:textId="77777777" w:rsidR="002F4C73" w:rsidRPr="0058047D" w:rsidRDefault="002F4C73" w:rsidP="00003078">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center"/>
          </w:tcPr>
          <w:p w14:paraId="47CA1B0D" w14:textId="77777777" w:rsidR="002F4C73" w:rsidRPr="0058047D" w:rsidRDefault="002F4C73" w:rsidP="00003078">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2F7CA48E" w14:textId="77777777" w:rsidR="002F4C73" w:rsidRPr="0058047D" w:rsidRDefault="002F4C73" w:rsidP="00003078">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5BC1A577" w14:textId="77777777" w:rsidR="002F4C73" w:rsidRPr="0058047D" w:rsidRDefault="002F4C73" w:rsidP="00003078">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2EF5A3D1" w14:textId="77777777" w:rsidR="002F4C73" w:rsidRPr="0058047D"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09A5DBF" w14:textId="77777777" w:rsidR="002F4C73" w:rsidRPr="0058047D"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D0B338A" w14:textId="77777777" w:rsidR="002F4C73" w:rsidRPr="0058047D" w:rsidRDefault="002F4C73" w:rsidP="00003078">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11C51618" w14:textId="77777777" w:rsidR="002F4C73" w:rsidRPr="0058047D" w:rsidRDefault="002F4C73" w:rsidP="00003078">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50ED4BD8" w14:textId="77777777" w:rsidR="002F4C73" w:rsidRPr="0058047D"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A836EFE" w14:textId="77777777" w:rsidR="002F4C73" w:rsidRPr="0058047D" w:rsidRDefault="002F4C73" w:rsidP="00003078">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5F45D1BA" w14:textId="77777777" w:rsidR="002F4C73" w:rsidRPr="0058047D" w:rsidRDefault="002F4C73" w:rsidP="00003078">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148BA30A" w14:textId="77777777" w:rsidR="002F4C73" w:rsidRPr="0058047D" w:rsidRDefault="002F4C73" w:rsidP="00003078">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4BFA81A3" w14:textId="77777777" w:rsidR="002F4C73" w:rsidRPr="0058047D" w:rsidRDefault="00003078" w:rsidP="00003078">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644C1D3C" w14:textId="77777777" w:rsidR="002F4C73" w:rsidRPr="0058047D" w:rsidRDefault="002F4C73" w:rsidP="00003078">
            <w:pPr>
              <w:pStyle w:val="TableText"/>
              <w:widowControl w:val="0"/>
              <w:rPr>
                <w:rFonts w:ascii="Tahoma" w:hAnsi="Tahoma" w:cs="Tahoma"/>
                <w:sz w:val="13"/>
              </w:rPr>
            </w:pPr>
          </w:p>
        </w:tc>
        <w:tc>
          <w:tcPr>
            <w:tcW w:w="655" w:type="dxa"/>
            <w:tcBorders>
              <w:bottom w:val="single" w:sz="4" w:space="0" w:color="auto"/>
            </w:tcBorders>
            <w:shd w:val="clear" w:color="auto" w:fill="FABF8F"/>
            <w:vAlign w:val="center"/>
          </w:tcPr>
          <w:p w14:paraId="570A6A86" w14:textId="77777777" w:rsidR="002F4C73" w:rsidRPr="0058047D" w:rsidRDefault="00003078" w:rsidP="00003078">
            <w:pPr>
              <w:pStyle w:val="TableText"/>
              <w:widowControl w:val="0"/>
              <w:spacing w:before="120"/>
              <w:rPr>
                <w:rFonts w:ascii="Tahoma" w:hAnsi="Tahoma" w:cs="Tahoma"/>
                <w:sz w:val="13"/>
              </w:rPr>
            </w:pPr>
            <w:r w:rsidRPr="0058047D">
              <w:rPr>
                <w:rFonts w:ascii="Tahoma" w:hAnsi="Tahoma" w:cs="Tahoma"/>
                <w:sz w:val="13"/>
              </w:rPr>
              <w:t>A, ST</w:t>
            </w:r>
          </w:p>
        </w:tc>
        <w:tc>
          <w:tcPr>
            <w:tcW w:w="504" w:type="dxa"/>
            <w:tcBorders>
              <w:bottom w:val="single" w:sz="4" w:space="0" w:color="auto"/>
            </w:tcBorders>
            <w:shd w:val="clear" w:color="auto" w:fill="FABF8F"/>
            <w:vAlign w:val="center"/>
          </w:tcPr>
          <w:p w14:paraId="45A58DD1" w14:textId="77777777" w:rsidR="002F4C73" w:rsidRPr="0058047D" w:rsidRDefault="002F4C73" w:rsidP="00003078">
            <w:pPr>
              <w:pStyle w:val="TableText"/>
              <w:widowControl w:val="0"/>
              <w:rPr>
                <w:rFonts w:ascii="Tahoma" w:hAnsi="Tahoma" w:cs="Tahoma"/>
                <w:sz w:val="13"/>
              </w:rPr>
            </w:pPr>
          </w:p>
        </w:tc>
        <w:tc>
          <w:tcPr>
            <w:tcW w:w="405" w:type="dxa"/>
            <w:tcBorders>
              <w:bottom w:val="single" w:sz="4" w:space="0" w:color="auto"/>
            </w:tcBorders>
            <w:shd w:val="clear" w:color="auto" w:fill="FABF8F"/>
            <w:vAlign w:val="center"/>
          </w:tcPr>
          <w:p w14:paraId="7B3E5D6B" w14:textId="77777777" w:rsidR="002F4C73" w:rsidRPr="0058047D" w:rsidRDefault="002F4C73" w:rsidP="00003078">
            <w:pPr>
              <w:pStyle w:val="TableText"/>
              <w:widowControl w:val="0"/>
              <w:rPr>
                <w:rFonts w:ascii="Tahoma" w:hAnsi="Tahoma" w:cs="Tahoma"/>
                <w:sz w:val="13"/>
              </w:rPr>
            </w:pPr>
          </w:p>
        </w:tc>
      </w:tr>
      <w:tr w:rsidR="009323A0" w:rsidRPr="0058047D" w14:paraId="4D8B9EC2" w14:textId="77777777" w:rsidTr="00C86F50">
        <w:trPr>
          <w:trHeight w:val="145"/>
        </w:trPr>
        <w:tc>
          <w:tcPr>
            <w:tcW w:w="2619" w:type="dxa"/>
            <w:gridSpan w:val="2"/>
            <w:tcBorders>
              <w:bottom w:val="single" w:sz="4" w:space="0" w:color="auto"/>
            </w:tcBorders>
            <w:shd w:val="clear" w:color="auto" w:fill="auto"/>
            <w:vAlign w:val="center"/>
          </w:tcPr>
          <w:p w14:paraId="757DD57A" w14:textId="77777777" w:rsidR="002F4C73" w:rsidRPr="0058047D" w:rsidRDefault="002F4C73" w:rsidP="002F4C73">
            <w:pPr>
              <w:pStyle w:val="Heading2"/>
              <w:ind w:left="0"/>
              <w:rPr>
                <w:rFonts w:ascii="Tahoma" w:hAnsi="Tahoma" w:cs="Tahoma"/>
                <w:b w:val="0"/>
                <w:sz w:val="14"/>
                <w:szCs w:val="14"/>
              </w:rPr>
            </w:pPr>
            <w:bookmarkStart w:id="303" w:name="_Toc371663420"/>
            <w:r w:rsidRPr="0058047D">
              <w:rPr>
                <w:rFonts w:ascii="Tahoma" w:hAnsi="Tahoma" w:cs="Tahoma"/>
                <w:b w:val="0"/>
                <w:sz w:val="14"/>
              </w:rPr>
              <w:t>Microsoft Dynamics CRM Online Storage</w:t>
            </w:r>
            <w:bookmarkEnd w:id="303"/>
          </w:p>
        </w:tc>
        <w:tc>
          <w:tcPr>
            <w:tcW w:w="554" w:type="dxa"/>
            <w:tcBorders>
              <w:bottom w:val="single" w:sz="4" w:space="0" w:color="auto"/>
            </w:tcBorders>
            <w:shd w:val="clear" w:color="auto" w:fill="auto"/>
            <w:vAlign w:val="center"/>
          </w:tcPr>
          <w:p w14:paraId="77739F8E" w14:textId="77777777" w:rsidR="002F4C73" w:rsidRPr="0058047D" w:rsidRDefault="00C86F50" w:rsidP="002F4C73">
            <w:pPr>
              <w:pStyle w:val="TableText"/>
              <w:widowControl w:val="0"/>
            </w:pPr>
            <w:hyperlink w:anchor="_70_Microsoft_Dynamics" w:history="1">
              <w:hyperlink w:anchor="_70_Microsoft_Dynamics" w:history="1">
                <w:r w:rsidR="002B4E2B" w:rsidRPr="003A2AA4">
                  <w:rPr>
                    <w:rStyle w:val="Hyperlink"/>
                    <w:b/>
                    <w:sz w:val="13"/>
                    <w:szCs w:val="13"/>
                  </w:rPr>
                  <w:t>7</w:t>
                </w:r>
              </w:hyperlink>
              <w:r w:rsidR="002B4E2B" w:rsidRPr="003A2AA4">
                <w:rPr>
                  <w:rStyle w:val="Hyperlink"/>
                  <w:b/>
                  <w:sz w:val="13"/>
                  <w:szCs w:val="13"/>
                </w:rPr>
                <w:t>3</w:t>
              </w:r>
            </w:hyperlink>
          </w:p>
        </w:tc>
        <w:tc>
          <w:tcPr>
            <w:tcW w:w="516" w:type="dxa"/>
            <w:tcBorders>
              <w:bottom w:val="single" w:sz="4" w:space="0" w:color="auto"/>
            </w:tcBorders>
            <w:shd w:val="clear" w:color="auto" w:fill="auto"/>
            <w:vAlign w:val="center"/>
          </w:tcPr>
          <w:p w14:paraId="29BCFCB4" w14:textId="77777777" w:rsidR="002F4C73" w:rsidRPr="0058047D" w:rsidRDefault="002F4C73" w:rsidP="00003078">
            <w:pPr>
              <w:pStyle w:val="TableText"/>
              <w:widowControl w:val="0"/>
              <w:spacing w:before="120"/>
              <w:rPr>
                <w:rFonts w:ascii="Tahoma" w:hAnsi="Tahoma" w:cs="Tahoma"/>
                <w:color w:val="000000"/>
                <w:sz w:val="13"/>
              </w:rPr>
            </w:pPr>
            <w:r w:rsidRPr="0058047D">
              <w:rPr>
                <w:rFonts w:ascii="Tahoma" w:hAnsi="Tahoma" w:cs="Tahoma"/>
                <w:color w:val="000000"/>
                <w:sz w:val="13"/>
              </w:rPr>
              <w:t>10/13</w:t>
            </w:r>
          </w:p>
        </w:tc>
        <w:tc>
          <w:tcPr>
            <w:tcW w:w="358" w:type="dxa"/>
            <w:tcBorders>
              <w:bottom w:val="single" w:sz="4" w:space="0" w:color="auto"/>
              <w:right w:val="single" w:sz="18" w:space="0" w:color="auto"/>
            </w:tcBorders>
            <w:shd w:val="clear" w:color="auto" w:fill="auto"/>
            <w:vAlign w:val="center"/>
          </w:tcPr>
          <w:p w14:paraId="52375171" w14:textId="77777777" w:rsidR="002F4C73" w:rsidRPr="0058047D" w:rsidRDefault="002F4C73" w:rsidP="00003078">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auto"/>
            <w:vAlign w:val="center"/>
          </w:tcPr>
          <w:p w14:paraId="2F3C43E7" w14:textId="77777777" w:rsidR="002F4C73" w:rsidRPr="0058047D" w:rsidRDefault="002F4C73" w:rsidP="00003078">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3605C551" w14:textId="77777777" w:rsidR="002F4C73" w:rsidRPr="0058047D" w:rsidRDefault="002F4C73" w:rsidP="00003078">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166F8A72" w14:textId="77777777" w:rsidR="002F4C73" w:rsidRPr="0058047D" w:rsidRDefault="002F4C73" w:rsidP="00003078">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501EFEF8" w14:textId="77777777" w:rsidR="002F4C73" w:rsidRPr="0058047D"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285BD7" w14:textId="77777777" w:rsidR="002F4C73" w:rsidRPr="0058047D"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7582897" w14:textId="77777777" w:rsidR="002F4C73" w:rsidRPr="0058047D" w:rsidRDefault="002F4C73" w:rsidP="00003078">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4C19E865" w14:textId="77777777" w:rsidR="002F4C73" w:rsidRPr="0058047D" w:rsidRDefault="002F4C73" w:rsidP="00003078">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18F545BB" w14:textId="77777777" w:rsidR="002F4C73" w:rsidRPr="0058047D"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480E503" w14:textId="77777777" w:rsidR="002F4C73" w:rsidRPr="0058047D" w:rsidRDefault="002F4C73" w:rsidP="00003078">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2FDE61E8" w14:textId="77777777" w:rsidR="002F4C73" w:rsidRPr="0058047D" w:rsidRDefault="002F4C73" w:rsidP="00003078">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015ED581" w14:textId="77777777" w:rsidR="002F4C73" w:rsidRPr="0058047D" w:rsidRDefault="002F4C73" w:rsidP="00003078">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2E316FA2" w14:textId="77777777" w:rsidR="002F4C73" w:rsidRPr="0058047D" w:rsidRDefault="00003078" w:rsidP="00003078">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3994756A" w14:textId="77777777" w:rsidR="002F4C73" w:rsidRPr="0058047D" w:rsidRDefault="002F4C73" w:rsidP="00003078">
            <w:pPr>
              <w:pStyle w:val="TableText"/>
              <w:widowControl w:val="0"/>
              <w:rPr>
                <w:rFonts w:ascii="Tahoma" w:hAnsi="Tahoma" w:cs="Tahoma"/>
                <w:sz w:val="13"/>
              </w:rPr>
            </w:pPr>
          </w:p>
        </w:tc>
        <w:tc>
          <w:tcPr>
            <w:tcW w:w="655" w:type="dxa"/>
            <w:tcBorders>
              <w:bottom w:val="single" w:sz="4" w:space="0" w:color="auto"/>
            </w:tcBorders>
            <w:shd w:val="clear" w:color="auto" w:fill="auto"/>
            <w:vAlign w:val="center"/>
          </w:tcPr>
          <w:p w14:paraId="0F694781" w14:textId="77777777" w:rsidR="002F4C73" w:rsidRPr="0058047D" w:rsidRDefault="00003078" w:rsidP="00003078">
            <w:pPr>
              <w:pStyle w:val="TableText"/>
              <w:widowControl w:val="0"/>
              <w:spacing w:before="120"/>
              <w:rPr>
                <w:rFonts w:ascii="Tahoma" w:hAnsi="Tahoma" w:cs="Tahoma"/>
                <w:sz w:val="13"/>
              </w:rPr>
            </w:pPr>
            <w:r w:rsidRPr="0058047D">
              <w:rPr>
                <w:rFonts w:ascii="Tahoma" w:hAnsi="Tahoma" w:cs="Tahoma"/>
                <w:sz w:val="13"/>
              </w:rPr>
              <w:t>A, ST</w:t>
            </w:r>
          </w:p>
        </w:tc>
        <w:tc>
          <w:tcPr>
            <w:tcW w:w="504" w:type="dxa"/>
            <w:tcBorders>
              <w:bottom w:val="single" w:sz="4" w:space="0" w:color="auto"/>
            </w:tcBorders>
            <w:shd w:val="clear" w:color="auto" w:fill="auto"/>
            <w:vAlign w:val="center"/>
          </w:tcPr>
          <w:p w14:paraId="54E8CF84" w14:textId="77777777" w:rsidR="002F4C73" w:rsidRPr="0058047D" w:rsidRDefault="002F4C73" w:rsidP="00003078">
            <w:pPr>
              <w:pStyle w:val="TableText"/>
              <w:widowControl w:val="0"/>
              <w:rPr>
                <w:rFonts w:ascii="Tahoma" w:hAnsi="Tahoma" w:cs="Tahoma"/>
                <w:sz w:val="13"/>
              </w:rPr>
            </w:pPr>
          </w:p>
        </w:tc>
        <w:tc>
          <w:tcPr>
            <w:tcW w:w="405" w:type="dxa"/>
            <w:tcBorders>
              <w:bottom w:val="single" w:sz="4" w:space="0" w:color="auto"/>
            </w:tcBorders>
            <w:vAlign w:val="center"/>
          </w:tcPr>
          <w:p w14:paraId="026DE8E1" w14:textId="77777777" w:rsidR="002F4C73" w:rsidRPr="0058047D" w:rsidRDefault="002F4C73" w:rsidP="00003078">
            <w:pPr>
              <w:pStyle w:val="TableText"/>
              <w:widowControl w:val="0"/>
              <w:rPr>
                <w:rFonts w:ascii="Tahoma" w:hAnsi="Tahoma" w:cs="Tahoma"/>
                <w:sz w:val="13"/>
              </w:rPr>
            </w:pPr>
          </w:p>
        </w:tc>
      </w:tr>
      <w:tr w:rsidR="009323A0" w:rsidRPr="0058047D" w14:paraId="263C43A0" w14:textId="77777777" w:rsidTr="00C86F50">
        <w:trPr>
          <w:trHeight w:val="145"/>
        </w:trPr>
        <w:tc>
          <w:tcPr>
            <w:tcW w:w="2619" w:type="dxa"/>
            <w:gridSpan w:val="2"/>
            <w:tcBorders>
              <w:bottom w:val="single" w:sz="4" w:space="0" w:color="auto"/>
            </w:tcBorders>
            <w:shd w:val="clear" w:color="auto" w:fill="FABF8F"/>
          </w:tcPr>
          <w:p w14:paraId="005659F7" w14:textId="77777777" w:rsidR="00913A0A" w:rsidRPr="0058047D" w:rsidRDefault="00913A0A" w:rsidP="00FC0808">
            <w:pPr>
              <w:pStyle w:val="ProductNames"/>
              <w:rPr>
                <w:rFonts w:ascii="Tahoma" w:hAnsi="Tahoma" w:cs="Tahoma"/>
                <w:sz w:val="14"/>
              </w:rPr>
            </w:pPr>
            <w:bookmarkStart w:id="304" w:name="_Toc371663421"/>
            <w:r w:rsidRPr="0058047D">
              <w:rPr>
                <w:rFonts w:ascii="Tahoma" w:hAnsi="Tahoma" w:cs="Tahoma"/>
                <w:sz w:val="14"/>
              </w:rPr>
              <w:t>Microsoft Learning E-Reference Library (SL per Utente)</w:t>
            </w:r>
            <w:bookmarkEnd w:id="304"/>
          </w:p>
        </w:tc>
        <w:tc>
          <w:tcPr>
            <w:tcW w:w="554" w:type="dxa"/>
            <w:tcBorders>
              <w:bottom w:val="single" w:sz="4" w:space="0" w:color="auto"/>
            </w:tcBorders>
            <w:shd w:val="clear" w:color="auto" w:fill="FABF8F"/>
            <w:vAlign w:val="center"/>
          </w:tcPr>
          <w:p w14:paraId="0BC608EA" w14:textId="77777777" w:rsidR="00913A0A" w:rsidRPr="0058047D" w:rsidRDefault="00913A0A" w:rsidP="00FC0808">
            <w:pPr>
              <w:pStyle w:val="TableText"/>
              <w:widowControl w:val="0"/>
              <w:rPr>
                <w:rStyle w:val="EndnoteReference"/>
                <w:color w:val="000000"/>
                <w:sz w:val="13"/>
                <w:szCs w:val="13"/>
                <w:u w:val="single"/>
              </w:rPr>
            </w:pPr>
          </w:p>
        </w:tc>
        <w:tc>
          <w:tcPr>
            <w:tcW w:w="516" w:type="dxa"/>
            <w:tcBorders>
              <w:bottom w:val="single" w:sz="4" w:space="0" w:color="auto"/>
            </w:tcBorders>
            <w:shd w:val="clear" w:color="auto" w:fill="FABF8F"/>
          </w:tcPr>
          <w:p w14:paraId="4750A49E" w14:textId="77777777" w:rsidR="00913A0A" w:rsidRPr="0058047D" w:rsidRDefault="00913A0A" w:rsidP="00FC0808">
            <w:pPr>
              <w:pStyle w:val="TableText"/>
              <w:widowControl w:val="0"/>
              <w:spacing w:before="80"/>
              <w:rPr>
                <w:rFonts w:ascii="Tahoma" w:hAnsi="Tahoma" w:cs="Tahoma"/>
                <w:sz w:val="13"/>
              </w:rPr>
            </w:pPr>
            <w:r w:rsidRPr="0058047D">
              <w:rPr>
                <w:rFonts w:ascii="Tahoma" w:hAnsi="Tahoma" w:cs="Tahoma"/>
                <w:sz w:val="13"/>
              </w:rPr>
              <w:t>12/07</w:t>
            </w:r>
          </w:p>
        </w:tc>
        <w:tc>
          <w:tcPr>
            <w:tcW w:w="358" w:type="dxa"/>
            <w:tcBorders>
              <w:bottom w:val="single" w:sz="4" w:space="0" w:color="auto"/>
              <w:right w:val="single" w:sz="18" w:space="0" w:color="auto"/>
            </w:tcBorders>
            <w:shd w:val="clear" w:color="auto" w:fill="FABF8F"/>
            <w:vAlign w:val="center"/>
          </w:tcPr>
          <w:p w14:paraId="7BC81EAC" w14:textId="77777777" w:rsidR="00913A0A" w:rsidRPr="0058047D" w:rsidRDefault="00913A0A" w:rsidP="00FC0808">
            <w:pPr>
              <w:pStyle w:val="TableText"/>
              <w:widowControl w:val="0"/>
              <w:rPr>
                <w:rFonts w:ascii="Tahoma" w:hAnsi="Tahoma" w:cs="Tahoma"/>
                <w:sz w:val="13"/>
              </w:rPr>
            </w:pPr>
          </w:p>
        </w:tc>
        <w:tc>
          <w:tcPr>
            <w:tcW w:w="2712" w:type="dxa"/>
            <w:gridSpan w:val="8"/>
            <w:tcBorders>
              <w:left w:val="single" w:sz="18" w:space="0" w:color="auto"/>
              <w:bottom w:val="single" w:sz="4" w:space="0" w:color="auto"/>
              <w:right w:val="single" w:sz="18" w:space="0" w:color="auto"/>
            </w:tcBorders>
            <w:shd w:val="clear" w:color="auto" w:fill="FABF8F"/>
            <w:vAlign w:val="center"/>
          </w:tcPr>
          <w:p w14:paraId="474DA2DF" w14:textId="77777777" w:rsidR="00913A0A" w:rsidRPr="0058047D" w:rsidRDefault="00913A0A" w:rsidP="00FC0808">
            <w:pPr>
              <w:pStyle w:val="TableText"/>
              <w:widowControl w:val="0"/>
              <w:rPr>
                <w:rFonts w:ascii="Tahoma" w:hAnsi="Tahoma" w:cs="Tahoma"/>
                <w:sz w:val="13"/>
              </w:rPr>
            </w:pPr>
            <w:r w:rsidRPr="0058047D">
              <w:rPr>
                <w:rFonts w:ascii="Tahoma" w:hAnsi="Tahoma" w:cs="Tahoma"/>
                <w:sz w:val="13"/>
              </w:rPr>
              <w:t>1 punto</w:t>
            </w:r>
          </w:p>
        </w:tc>
        <w:tc>
          <w:tcPr>
            <w:tcW w:w="477" w:type="dxa"/>
            <w:tcBorders>
              <w:left w:val="single" w:sz="18" w:space="0" w:color="auto"/>
              <w:bottom w:val="single" w:sz="4" w:space="0" w:color="auto"/>
            </w:tcBorders>
            <w:shd w:val="clear" w:color="auto" w:fill="FABF8F"/>
            <w:vAlign w:val="center"/>
          </w:tcPr>
          <w:p w14:paraId="086E1E8E" w14:textId="77777777" w:rsidR="00913A0A" w:rsidRPr="0058047D"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396E363" w14:textId="77777777" w:rsidR="00913A0A" w:rsidRPr="0058047D" w:rsidRDefault="00913A0A" w:rsidP="00FC0808">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4E9E107A" w14:textId="77777777" w:rsidR="00913A0A" w:rsidRPr="0058047D" w:rsidRDefault="00913A0A" w:rsidP="00FC0808">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20EAE50D" w14:textId="77777777" w:rsidR="00913A0A" w:rsidRPr="0058047D" w:rsidRDefault="00913A0A" w:rsidP="00FC0808">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6E61D732" w14:textId="77777777" w:rsidR="00913A0A" w:rsidRPr="0058047D" w:rsidRDefault="00913A0A" w:rsidP="00FC0808">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3A899133" w14:textId="77777777" w:rsidR="00913A0A" w:rsidRPr="0058047D" w:rsidRDefault="00913A0A" w:rsidP="00FC0808">
            <w:pPr>
              <w:pStyle w:val="TableText"/>
              <w:widowControl w:val="0"/>
              <w:rPr>
                <w:rFonts w:ascii="Tahoma" w:hAnsi="Tahoma" w:cs="Tahoma"/>
                <w:sz w:val="13"/>
              </w:rPr>
            </w:pPr>
          </w:p>
        </w:tc>
        <w:tc>
          <w:tcPr>
            <w:tcW w:w="655" w:type="dxa"/>
            <w:tcBorders>
              <w:bottom w:val="single" w:sz="4" w:space="0" w:color="auto"/>
            </w:tcBorders>
            <w:shd w:val="clear" w:color="auto" w:fill="FABF8F"/>
          </w:tcPr>
          <w:p w14:paraId="4A942B11" w14:textId="77777777" w:rsidR="00913A0A" w:rsidRPr="0058047D" w:rsidRDefault="00913A0A" w:rsidP="00FC0808">
            <w:pPr>
              <w:pStyle w:val="TableText"/>
              <w:widowControl w:val="0"/>
              <w:spacing w:before="12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FABF8F"/>
            <w:vAlign w:val="center"/>
          </w:tcPr>
          <w:p w14:paraId="31450757" w14:textId="77777777" w:rsidR="00913A0A" w:rsidRPr="0058047D" w:rsidRDefault="00913A0A" w:rsidP="00FC0808">
            <w:pPr>
              <w:pStyle w:val="TableText"/>
              <w:widowControl w:val="0"/>
              <w:rPr>
                <w:rFonts w:ascii="Tahoma" w:hAnsi="Tahoma" w:cs="Tahoma"/>
                <w:sz w:val="13"/>
              </w:rPr>
            </w:pPr>
          </w:p>
        </w:tc>
        <w:tc>
          <w:tcPr>
            <w:tcW w:w="405" w:type="dxa"/>
            <w:tcBorders>
              <w:bottom w:val="single" w:sz="4" w:space="0" w:color="auto"/>
            </w:tcBorders>
            <w:shd w:val="clear" w:color="auto" w:fill="FABF8F"/>
          </w:tcPr>
          <w:p w14:paraId="4037581E" w14:textId="77777777" w:rsidR="00913A0A" w:rsidRPr="0058047D" w:rsidRDefault="002C4BA9" w:rsidP="00FC0808">
            <w:pPr>
              <w:pStyle w:val="TableText"/>
              <w:widowControl w:val="0"/>
              <w:rPr>
                <w:rFonts w:ascii="Tahoma" w:hAnsi="Tahoma" w:cs="Tahoma"/>
                <w:sz w:val="13"/>
              </w:rPr>
            </w:pPr>
            <w:r w:rsidRPr="0058047D">
              <w:rPr>
                <w:rFonts w:ascii="Tahoma" w:hAnsi="Tahoma" w:cs="Tahoma"/>
                <w:sz w:val="13"/>
              </w:rPr>
              <w:t>A</w:t>
            </w:r>
          </w:p>
        </w:tc>
      </w:tr>
      <w:tr w:rsidR="009323A0" w:rsidRPr="0058047D" w14:paraId="7D6AB68F" w14:textId="77777777" w:rsidTr="00C86F50">
        <w:trPr>
          <w:trHeight w:val="145"/>
        </w:trPr>
        <w:tc>
          <w:tcPr>
            <w:tcW w:w="2619" w:type="dxa"/>
            <w:gridSpan w:val="2"/>
            <w:tcBorders>
              <w:bottom w:val="single" w:sz="4" w:space="0" w:color="auto"/>
            </w:tcBorders>
            <w:shd w:val="clear" w:color="auto" w:fill="auto"/>
            <w:vAlign w:val="bottom"/>
          </w:tcPr>
          <w:p w14:paraId="70FB2AF6" w14:textId="77777777" w:rsidR="00913A0A" w:rsidRPr="0058047D" w:rsidRDefault="00913A0A" w:rsidP="009323A0">
            <w:pPr>
              <w:pStyle w:val="ProductNames"/>
              <w:rPr>
                <w:rFonts w:ascii="Tahoma" w:hAnsi="Tahoma" w:cs="Tahoma"/>
                <w:sz w:val="14"/>
              </w:rPr>
            </w:pPr>
            <w:bookmarkStart w:id="305" w:name="_Toc371663422"/>
            <w:r w:rsidRPr="0058047D">
              <w:rPr>
                <w:rFonts w:ascii="Tahoma" w:hAnsi="Tahoma" w:cs="Tahoma"/>
                <w:sz w:val="14"/>
              </w:rPr>
              <w:t>Microsoft Learning IT Academy (SL</w:t>
            </w:r>
            <w:r w:rsidR="009323A0">
              <w:rPr>
                <w:rFonts w:ascii="Tahoma" w:hAnsi="Tahoma" w:cs="Tahoma"/>
                <w:sz w:val="14"/>
              </w:rPr>
              <w:t> </w:t>
            </w:r>
            <w:r w:rsidRPr="0058047D">
              <w:rPr>
                <w:rFonts w:ascii="Tahoma" w:hAnsi="Tahoma" w:cs="Tahoma"/>
                <w:sz w:val="14"/>
              </w:rPr>
              <w:t>Servizi)</w:t>
            </w:r>
            <w:bookmarkEnd w:id="305"/>
          </w:p>
        </w:tc>
        <w:tc>
          <w:tcPr>
            <w:tcW w:w="554" w:type="dxa"/>
            <w:tcBorders>
              <w:bottom w:val="single" w:sz="4" w:space="0" w:color="auto"/>
            </w:tcBorders>
            <w:shd w:val="clear" w:color="auto" w:fill="auto"/>
            <w:vAlign w:val="center"/>
          </w:tcPr>
          <w:p w14:paraId="6EAC1766" w14:textId="77777777" w:rsidR="00913A0A" w:rsidRPr="0058047D" w:rsidRDefault="00913A0A" w:rsidP="00FC0808">
            <w:pPr>
              <w:pStyle w:val="TableText"/>
              <w:widowControl w:val="0"/>
              <w:rPr>
                <w:b/>
                <w:color w:val="000000"/>
                <w:sz w:val="13"/>
                <w:szCs w:val="13"/>
                <w:u w:val="single"/>
              </w:rPr>
            </w:pPr>
          </w:p>
        </w:tc>
        <w:tc>
          <w:tcPr>
            <w:tcW w:w="516" w:type="dxa"/>
            <w:tcBorders>
              <w:bottom w:val="single" w:sz="4" w:space="0" w:color="auto"/>
            </w:tcBorders>
            <w:shd w:val="clear" w:color="auto" w:fill="auto"/>
          </w:tcPr>
          <w:p w14:paraId="5B0AA3F5" w14:textId="77777777" w:rsidR="00913A0A" w:rsidRPr="0058047D" w:rsidRDefault="00913A0A" w:rsidP="00FC0808">
            <w:pPr>
              <w:pStyle w:val="TableText"/>
              <w:widowControl w:val="0"/>
              <w:spacing w:before="80"/>
              <w:rPr>
                <w:rFonts w:ascii="Tahoma" w:hAnsi="Tahoma" w:cs="Tahoma"/>
                <w:sz w:val="13"/>
              </w:rPr>
            </w:pPr>
            <w:r w:rsidRPr="0058047D">
              <w:rPr>
                <w:rFonts w:ascii="Tahoma" w:hAnsi="Tahoma" w:cs="Tahoma"/>
                <w:sz w:val="13"/>
              </w:rPr>
              <w:t>01/10</w:t>
            </w:r>
          </w:p>
        </w:tc>
        <w:tc>
          <w:tcPr>
            <w:tcW w:w="358" w:type="dxa"/>
            <w:tcBorders>
              <w:bottom w:val="single" w:sz="4" w:space="0" w:color="auto"/>
              <w:right w:val="single" w:sz="18" w:space="0" w:color="auto"/>
            </w:tcBorders>
            <w:shd w:val="clear" w:color="auto" w:fill="auto"/>
            <w:vAlign w:val="center"/>
          </w:tcPr>
          <w:p w14:paraId="4240CA3E" w14:textId="77777777" w:rsidR="00913A0A" w:rsidRPr="0058047D" w:rsidRDefault="00913A0A" w:rsidP="00FC0808">
            <w:pPr>
              <w:pStyle w:val="TableText"/>
              <w:widowControl w:val="0"/>
              <w:rPr>
                <w:rFonts w:ascii="Tahoma" w:hAnsi="Tahoma" w:cs="Tahoma"/>
                <w:sz w:val="13"/>
              </w:rPr>
            </w:pPr>
          </w:p>
        </w:tc>
        <w:tc>
          <w:tcPr>
            <w:tcW w:w="2712" w:type="dxa"/>
            <w:gridSpan w:val="8"/>
            <w:tcBorders>
              <w:left w:val="single" w:sz="18" w:space="0" w:color="auto"/>
              <w:bottom w:val="single" w:sz="4" w:space="0" w:color="auto"/>
              <w:right w:val="single" w:sz="18" w:space="0" w:color="auto"/>
            </w:tcBorders>
            <w:shd w:val="clear" w:color="auto" w:fill="auto"/>
            <w:vAlign w:val="center"/>
          </w:tcPr>
          <w:p w14:paraId="4A9B7700" w14:textId="77777777" w:rsidR="00913A0A" w:rsidRPr="0058047D" w:rsidRDefault="00913A0A" w:rsidP="00FC0808">
            <w:pPr>
              <w:pStyle w:val="TableText"/>
              <w:widowControl w:val="0"/>
              <w:rPr>
                <w:rFonts w:ascii="Tahoma" w:hAnsi="Tahoma" w:cs="Tahoma"/>
                <w:sz w:val="13"/>
              </w:rPr>
            </w:pPr>
            <w:r w:rsidRPr="0058047D">
              <w:rPr>
                <w:rFonts w:ascii="Tahoma" w:hAnsi="Tahoma" w:cs="Tahoma"/>
                <w:sz w:val="13"/>
              </w:rPr>
              <w:t>75 crediti</w:t>
            </w:r>
          </w:p>
        </w:tc>
        <w:tc>
          <w:tcPr>
            <w:tcW w:w="477" w:type="dxa"/>
            <w:tcBorders>
              <w:left w:val="single" w:sz="18" w:space="0" w:color="auto"/>
              <w:bottom w:val="single" w:sz="4" w:space="0" w:color="auto"/>
            </w:tcBorders>
            <w:shd w:val="clear" w:color="auto" w:fill="auto"/>
            <w:vAlign w:val="center"/>
          </w:tcPr>
          <w:p w14:paraId="493129F8" w14:textId="77777777" w:rsidR="00913A0A" w:rsidRPr="0058047D"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E23E94E" w14:textId="77777777" w:rsidR="00913A0A" w:rsidRPr="0058047D" w:rsidRDefault="00913A0A" w:rsidP="00FC0808">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42BA49D9" w14:textId="77777777" w:rsidR="00913A0A" w:rsidRPr="0058047D" w:rsidRDefault="00913A0A" w:rsidP="00FC0808">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7FAFF50D" w14:textId="77777777" w:rsidR="00913A0A" w:rsidRPr="0058047D" w:rsidRDefault="00913A0A" w:rsidP="00FC0808">
            <w:pPr>
              <w:pStyle w:val="TableText"/>
              <w:widowControl w:val="0"/>
              <w:rPr>
                <w:rFonts w:ascii="Tahoma" w:hAnsi="Tahoma" w:cs="Tahoma"/>
                <w:sz w:val="13"/>
              </w:rPr>
            </w:pPr>
            <w:r w:rsidRPr="0058047D">
              <w:rPr>
                <w:rFonts w:ascii="Tahoma" w:hAnsi="Tahoma" w:cs="Tahoma"/>
                <w:sz w:val="13"/>
              </w:rPr>
              <w:t>75</w:t>
            </w:r>
          </w:p>
        </w:tc>
        <w:tc>
          <w:tcPr>
            <w:tcW w:w="477" w:type="dxa"/>
            <w:tcBorders>
              <w:bottom w:val="single" w:sz="4" w:space="0" w:color="auto"/>
              <w:right w:val="single" w:sz="18" w:space="0" w:color="auto"/>
            </w:tcBorders>
            <w:shd w:val="clear" w:color="auto" w:fill="auto"/>
            <w:vAlign w:val="center"/>
          </w:tcPr>
          <w:p w14:paraId="1C58F128" w14:textId="77777777" w:rsidR="00913A0A" w:rsidRPr="0058047D" w:rsidRDefault="00913A0A" w:rsidP="00FC0808">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1B2841B5" w14:textId="77777777" w:rsidR="00913A0A" w:rsidRPr="0058047D" w:rsidRDefault="00913A0A" w:rsidP="00FC0808">
            <w:pPr>
              <w:pStyle w:val="TableText"/>
              <w:widowControl w:val="0"/>
              <w:rPr>
                <w:rFonts w:ascii="Tahoma" w:hAnsi="Tahoma" w:cs="Tahoma"/>
                <w:sz w:val="13"/>
              </w:rPr>
            </w:pPr>
          </w:p>
        </w:tc>
        <w:tc>
          <w:tcPr>
            <w:tcW w:w="655" w:type="dxa"/>
            <w:tcBorders>
              <w:bottom w:val="single" w:sz="4" w:space="0" w:color="auto"/>
            </w:tcBorders>
            <w:shd w:val="clear" w:color="auto" w:fill="auto"/>
          </w:tcPr>
          <w:p w14:paraId="726D7CBD" w14:textId="77777777" w:rsidR="00913A0A" w:rsidRPr="0058047D" w:rsidRDefault="00913A0A" w:rsidP="00FC0808">
            <w:pPr>
              <w:pStyle w:val="TableText"/>
              <w:widowControl w:val="0"/>
              <w:spacing w:before="12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auto"/>
            <w:vAlign w:val="center"/>
          </w:tcPr>
          <w:p w14:paraId="6D576381" w14:textId="77777777" w:rsidR="00913A0A" w:rsidRPr="0058047D" w:rsidRDefault="00913A0A" w:rsidP="00FC0808">
            <w:pPr>
              <w:pStyle w:val="TableText"/>
              <w:widowControl w:val="0"/>
              <w:rPr>
                <w:rFonts w:ascii="Tahoma" w:hAnsi="Tahoma" w:cs="Tahoma"/>
                <w:sz w:val="13"/>
              </w:rPr>
            </w:pPr>
            <w:r w:rsidRPr="0058047D">
              <w:rPr>
                <w:rFonts w:ascii="Tahoma" w:hAnsi="Tahoma" w:cs="Tahoma"/>
                <w:sz w:val="13"/>
              </w:rPr>
              <w:t>OL</w:t>
            </w:r>
          </w:p>
        </w:tc>
        <w:tc>
          <w:tcPr>
            <w:tcW w:w="405" w:type="dxa"/>
            <w:tcBorders>
              <w:bottom w:val="single" w:sz="4" w:space="0" w:color="auto"/>
            </w:tcBorders>
          </w:tcPr>
          <w:p w14:paraId="4C914E03" w14:textId="77777777" w:rsidR="00913A0A" w:rsidRPr="0058047D" w:rsidRDefault="00913A0A" w:rsidP="00FC0808">
            <w:pPr>
              <w:pStyle w:val="TableText"/>
              <w:widowControl w:val="0"/>
              <w:rPr>
                <w:rFonts w:ascii="Tahoma" w:hAnsi="Tahoma" w:cs="Tahoma"/>
                <w:sz w:val="13"/>
              </w:rPr>
            </w:pPr>
          </w:p>
        </w:tc>
      </w:tr>
      <w:tr w:rsidR="009323A0" w:rsidRPr="0058047D" w14:paraId="715D4E1E" w14:textId="77777777" w:rsidTr="00C86F50">
        <w:trPr>
          <w:cantSplit/>
          <w:trHeight w:val="145"/>
        </w:trPr>
        <w:tc>
          <w:tcPr>
            <w:tcW w:w="2619" w:type="dxa"/>
            <w:gridSpan w:val="2"/>
            <w:tcBorders>
              <w:bottom w:val="single" w:sz="4" w:space="0" w:color="auto"/>
            </w:tcBorders>
            <w:shd w:val="clear" w:color="auto" w:fill="FABF8F"/>
            <w:vAlign w:val="bottom"/>
          </w:tcPr>
          <w:p w14:paraId="01EA7441" w14:textId="77777777" w:rsidR="00913A0A" w:rsidRPr="0058047D" w:rsidRDefault="00913A0A" w:rsidP="00FC0808">
            <w:pPr>
              <w:pStyle w:val="ProductNames"/>
              <w:rPr>
                <w:rFonts w:ascii="Tahoma" w:hAnsi="Tahoma" w:cs="Tahoma"/>
                <w:sz w:val="14"/>
              </w:rPr>
            </w:pPr>
            <w:bookmarkStart w:id="306" w:name="_Toc371663423"/>
            <w:r w:rsidRPr="0058047D">
              <w:rPr>
                <w:rFonts w:ascii="Tahoma" w:hAnsi="Tahoma" w:cs="Tahoma"/>
                <w:sz w:val="14"/>
              </w:rPr>
              <w:t>Microsoft Learning MCP 1 Exam Vouchers (SL Servizi)</w:t>
            </w:r>
            <w:bookmarkEnd w:id="306"/>
          </w:p>
        </w:tc>
        <w:tc>
          <w:tcPr>
            <w:tcW w:w="554" w:type="dxa"/>
            <w:tcBorders>
              <w:bottom w:val="single" w:sz="4" w:space="0" w:color="auto"/>
            </w:tcBorders>
            <w:shd w:val="clear" w:color="auto" w:fill="FABF8F"/>
            <w:vAlign w:val="center"/>
          </w:tcPr>
          <w:p w14:paraId="1A7A8F19" w14:textId="77777777" w:rsidR="00913A0A" w:rsidRPr="0058047D" w:rsidRDefault="00C86F50" w:rsidP="00907139">
            <w:pPr>
              <w:pStyle w:val="TableText"/>
              <w:widowControl w:val="0"/>
              <w:rPr>
                <w:rStyle w:val="EndnoteReference"/>
                <w:b w:val="0"/>
                <w:color w:val="000000"/>
                <w:sz w:val="13"/>
                <w:szCs w:val="13"/>
                <w:u w:val="single"/>
              </w:rPr>
            </w:pPr>
            <w:hyperlink w:anchor="_74_Microsoft_Learning" w:history="1">
              <w:r w:rsidR="00913A0A" w:rsidRPr="003A2AA4">
                <w:rPr>
                  <w:rStyle w:val="Hyperlink"/>
                  <w:b/>
                  <w:sz w:val="13"/>
                  <w:szCs w:val="13"/>
                </w:rPr>
                <w:t>74</w:t>
              </w:r>
            </w:hyperlink>
            <w:hyperlink w:anchor="_69_Learning_Solutions" w:history="1">
              <w:hyperlink w:anchor="_64_62_Learning" w:history="1"/>
            </w:hyperlink>
          </w:p>
        </w:tc>
        <w:tc>
          <w:tcPr>
            <w:tcW w:w="516" w:type="dxa"/>
            <w:tcBorders>
              <w:bottom w:val="single" w:sz="4" w:space="0" w:color="auto"/>
            </w:tcBorders>
            <w:shd w:val="clear" w:color="auto" w:fill="FABF8F"/>
          </w:tcPr>
          <w:p w14:paraId="6AD06F60" w14:textId="77777777" w:rsidR="00913A0A" w:rsidRPr="0058047D" w:rsidRDefault="00913A0A" w:rsidP="00FC0808">
            <w:pPr>
              <w:pStyle w:val="TableText"/>
              <w:widowControl w:val="0"/>
              <w:spacing w:before="80"/>
              <w:rPr>
                <w:rFonts w:ascii="Tahoma" w:hAnsi="Tahoma" w:cs="Tahoma"/>
                <w:sz w:val="13"/>
              </w:rPr>
            </w:pPr>
            <w:r w:rsidRPr="0058047D">
              <w:rPr>
                <w:rFonts w:ascii="Tahoma" w:hAnsi="Tahoma" w:cs="Tahoma"/>
                <w:sz w:val="13"/>
              </w:rPr>
              <w:t>01/06</w:t>
            </w:r>
          </w:p>
        </w:tc>
        <w:tc>
          <w:tcPr>
            <w:tcW w:w="358" w:type="dxa"/>
            <w:tcBorders>
              <w:bottom w:val="single" w:sz="4" w:space="0" w:color="auto"/>
              <w:right w:val="single" w:sz="18" w:space="0" w:color="auto"/>
            </w:tcBorders>
            <w:shd w:val="clear" w:color="auto" w:fill="FABF8F"/>
            <w:vAlign w:val="center"/>
          </w:tcPr>
          <w:p w14:paraId="594D96AE" w14:textId="77777777" w:rsidR="00913A0A" w:rsidRPr="0058047D" w:rsidRDefault="00913A0A" w:rsidP="00FC0808">
            <w:pPr>
              <w:pStyle w:val="TableText"/>
              <w:widowControl w:val="0"/>
              <w:rPr>
                <w:rFonts w:ascii="Tahoma" w:hAnsi="Tahoma" w:cs="Tahoma"/>
                <w:sz w:val="13"/>
              </w:rPr>
            </w:pPr>
          </w:p>
        </w:tc>
        <w:tc>
          <w:tcPr>
            <w:tcW w:w="2712" w:type="dxa"/>
            <w:gridSpan w:val="8"/>
            <w:tcBorders>
              <w:left w:val="single" w:sz="18" w:space="0" w:color="auto"/>
              <w:bottom w:val="single" w:sz="4" w:space="0" w:color="auto"/>
              <w:right w:val="single" w:sz="18" w:space="0" w:color="auto"/>
            </w:tcBorders>
            <w:shd w:val="clear" w:color="auto" w:fill="FABF8F"/>
            <w:vAlign w:val="center"/>
          </w:tcPr>
          <w:p w14:paraId="109A8521" w14:textId="77777777" w:rsidR="00913A0A" w:rsidRPr="0058047D" w:rsidRDefault="00913A0A" w:rsidP="00FC0808">
            <w:pPr>
              <w:pStyle w:val="TableText"/>
              <w:widowControl w:val="0"/>
              <w:rPr>
                <w:rFonts w:ascii="Tahoma" w:hAnsi="Tahoma" w:cs="Tahoma"/>
                <w:sz w:val="13"/>
              </w:rPr>
            </w:pPr>
            <w:r w:rsidRPr="0058047D">
              <w:rPr>
                <w:rFonts w:ascii="Tahoma" w:hAnsi="Tahoma" w:cs="Tahoma"/>
                <w:sz w:val="13"/>
              </w:rPr>
              <w:t>1 punto</w:t>
            </w:r>
          </w:p>
        </w:tc>
        <w:tc>
          <w:tcPr>
            <w:tcW w:w="477" w:type="dxa"/>
            <w:tcBorders>
              <w:left w:val="single" w:sz="18" w:space="0" w:color="auto"/>
              <w:bottom w:val="single" w:sz="4" w:space="0" w:color="auto"/>
            </w:tcBorders>
            <w:shd w:val="clear" w:color="auto" w:fill="FABF8F"/>
            <w:vAlign w:val="center"/>
          </w:tcPr>
          <w:p w14:paraId="12F1F664" w14:textId="77777777" w:rsidR="00913A0A" w:rsidRPr="0058047D"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7862508" w14:textId="77777777" w:rsidR="00913A0A" w:rsidRPr="0058047D" w:rsidRDefault="00913A0A" w:rsidP="00FC0808">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2047816B" w14:textId="77777777" w:rsidR="00913A0A" w:rsidRPr="0058047D" w:rsidRDefault="00913A0A" w:rsidP="00FC0808">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723CB3B8" w14:textId="77777777" w:rsidR="00913A0A" w:rsidRPr="0058047D" w:rsidRDefault="00913A0A" w:rsidP="00FC0808">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1DC78F7C" w14:textId="77777777" w:rsidR="00913A0A" w:rsidRPr="0058047D" w:rsidRDefault="00913A0A" w:rsidP="00FC0808">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0BD8426B" w14:textId="77777777" w:rsidR="00913A0A" w:rsidRPr="0058047D" w:rsidRDefault="00913A0A" w:rsidP="00FC0808">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tcPr>
          <w:p w14:paraId="0278C975" w14:textId="77777777" w:rsidR="00913A0A" w:rsidRPr="0058047D" w:rsidRDefault="00913A0A" w:rsidP="00FC0808">
            <w:pPr>
              <w:pStyle w:val="TableText"/>
              <w:widowControl w:val="0"/>
              <w:spacing w:before="120"/>
              <w:rPr>
                <w:rFonts w:ascii="Tahoma" w:hAnsi="Tahoma" w:cs="Tahoma"/>
                <w:sz w:val="13"/>
              </w:rPr>
            </w:pPr>
          </w:p>
        </w:tc>
        <w:tc>
          <w:tcPr>
            <w:tcW w:w="504" w:type="dxa"/>
            <w:tcBorders>
              <w:bottom w:val="single" w:sz="4" w:space="0" w:color="auto"/>
            </w:tcBorders>
            <w:shd w:val="clear" w:color="auto" w:fill="FABF8F"/>
            <w:vAlign w:val="center"/>
          </w:tcPr>
          <w:p w14:paraId="6ED54506" w14:textId="77777777" w:rsidR="00913A0A" w:rsidRPr="0058047D" w:rsidRDefault="00913A0A" w:rsidP="00FC0808">
            <w:pPr>
              <w:pStyle w:val="TableText"/>
              <w:widowControl w:val="0"/>
              <w:rPr>
                <w:rFonts w:ascii="Tahoma" w:hAnsi="Tahoma" w:cs="Tahoma"/>
                <w:sz w:val="13"/>
              </w:rPr>
            </w:pPr>
          </w:p>
        </w:tc>
        <w:tc>
          <w:tcPr>
            <w:tcW w:w="405" w:type="dxa"/>
            <w:tcBorders>
              <w:bottom w:val="single" w:sz="4" w:space="0" w:color="auto"/>
            </w:tcBorders>
            <w:shd w:val="clear" w:color="auto" w:fill="FABF8F"/>
          </w:tcPr>
          <w:p w14:paraId="06C5E7E1" w14:textId="77777777" w:rsidR="00913A0A" w:rsidRPr="0058047D" w:rsidRDefault="002C4BA9" w:rsidP="00FC0808">
            <w:pPr>
              <w:pStyle w:val="TableText"/>
              <w:widowControl w:val="0"/>
              <w:rPr>
                <w:rFonts w:ascii="Tahoma" w:hAnsi="Tahoma" w:cs="Tahoma"/>
                <w:sz w:val="13"/>
              </w:rPr>
            </w:pPr>
            <w:r w:rsidRPr="0058047D">
              <w:rPr>
                <w:rFonts w:ascii="Tahoma" w:hAnsi="Tahoma" w:cs="Tahoma"/>
                <w:sz w:val="13"/>
              </w:rPr>
              <w:t>A</w:t>
            </w:r>
          </w:p>
        </w:tc>
      </w:tr>
      <w:tr w:rsidR="009323A0" w:rsidRPr="0058047D" w14:paraId="47EB8C84" w14:textId="77777777" w:rsidTr="00C86F50">
        <w:trPr>
          <w:trHeight w:val="145"/>
        </w:trPr>
        <w:tc>
          <w:tcPr>
            <w:tcW w:w="2619" w:type="dxa"/>
            <w:gridSpan w:val="2"/>
            <w:tcBorders>
              <w:bottom w:val="single" w:sz="4" w:space="0" w:color="auto"/>
            </w:tcBorders>
            <w:shd w:val="clear" w:color="auto" w:fill="auto"/>
            <w:vAlign w:val="bottom"/>
          </w:tcPr>
          <w:p w14:paraId="238ADB9F" w14:textId="77777777" w:rsidR="00913A0A" w:rsidRPr="0058047D" w:rsidRDefault="00913A0A" w:rsidP="00FC0808">
            <w:pPr>
              <w:pStyle w:val="ProductNames"/>
              <w:rPr>
                <w:rFonts w:ascii="Tahoma" w:hAnsi="Tahoma" w:cs="Tahoma"/>
                <w:sz w:val="14"/>
              </w:rPr>
            </w:pPr>
            <w:bookmarkStart w:id="307" w:name="_Toc371663424"/>
            <w:r w:rsidRPr="0058047D">
              <w:rPr>
                <w:rFonts w:ascii="Tahoma" w:hAnsi="Tahoma" w:cs="Tahoma"/>
                <w:sz w:val="14"/>
              </w:rPr>
              <w:t>Microsoft Learning MCP 30 Exam Vouchers (SL per Utente)</w:t>
            </w:r>
            <w:bookmarkEnd w:id="307"/>
          </w:p>
        </w:tc>
        <w:tc>
          <w:tcPr>
            <w:tcW w:w="554" w:type="dxa"/>
            <w:tcBorders>
              <w:bottom w:val="single" w:sz="4" w:space="0" w:color="auto"/>
            </w:tcBorders>
            <w:shd w:val="clear" w:color="auto" w:fill="auto"/>
            <w:vAlign w:val="center"/>
          </w:tcPr>
          <w:p w14:paraId="21182D05" w14:textId="77777777" w:rsidR="00913A0A" w:rsidRPr="0058047D" w:rsidRDefault="00913A0A" w:rsidP="00FC0808">
            <w:pPr>
              <w:pStyle w:val="TableText"/>
              <w:widowControl w:val="0"/>
              <w:rPr>
                <w:b/>
                <w:sz w:val="13"/>
                <w:szCs w:val="13"/>
              </w:rPr>
            </w:pPr>
          </w:p>
        </w:tc>
        <w:tc>
          <w:tcPr>
            <w:tcW w:w="516" w:type="dxa"/>
            <w:tcBorders>
              <w:bottom w:val="single" w:sz="4" w:space="0" w:color="auto"/>
            </w:tcBorders>
            <w:shd w:val="clear" w:color="auto" w:fill="auto"/>
          </w:tcPr>
          <w:p w14:paraId="3783CC85" w14:textId="77777777" w:rsidR="00913A0A" w:rsidRPr="0058047D" w:rsidRDefault="00913A0A" w:rsidP="00FC0808">
            <w:pPr>
              <w:pStyle w:val="TableText"/>
              <w:widowControl w:val="0"/>
              <w:spacing w:before="80"/>
              <w:rPr>
                <w:rFonts w:ascii="Tahoma" w:hAnsi="Tahoma" w:cs="Tahoma"/>
                <w:sz w:val="13"/>
              </w:rPr>
            </w:pPr>
            <w:r w:rsidRPr="0058047D">
              <w:rPr>
                <w:rFonts w:ascii="Tahoma" w:hAnsi="Tahoma" w:cs="Tahoma"/>
                <w:sz w:val="13"/>
              </w:rPr>
              <w:t>10/12</w:t>
            </w:r>
          </w:p>
        </w:tc>
        <w:tc>
          <w:tcPr>
            <w:tcW w:w="358" w:type="dxa"/>
            <w:tcBorders>
              <w:bottom w:val="single" w:sz="4" w:space="0" w:color="auto"/>
              <w:right w:val="single" w:sz="18" w:space="0" w:color="auto"/>
            </w:tcBorders>
            <w:shd w:val="clear" w:color="auto" w:fill="auto"/>
            <w:vAlign w:val="center"/>
          </w:tcPr>
          <w:p w14:paraId="5649CA87" w14:textId="77777777" w:rsidR="00913A0A" w:rsidRPr="0058047D" w:rsidRDefault="00913A0A" w:rsidP="00FC0808">
            <w:pPr>
              <w:pStyle w:val="TableText"/>
              <w:widowControl w:val="0"/>
              <w:rPr>
                <w:rFonts w:ascii="Tahoma" w:hAnsi="Tahoma" w:cs="Tahoma"/>
                <w:sz w:val="13"/>
              </w:rPr>
            </w:pPr>
          </w:p>
        </w:tc>
        <w:tc>
          <w:tcPr>
            <w:tcW w:w="2712" w:type="dxa"/>
            <w:gridSpan w:val="8"/>
            <w:tcBorders>
              <w:left w:val="single" w:sz="18" w:space="0" w:color="auto"/>
              <w:bottom w:val="single" w:sz="4" w:space="0" w:color="auto"/>
              <w:right w:val="single" w:sz="18" w:space="0" w:color="auto"/>
            </w:tcBorders>
            <w:shd w:val="clear" w:color="auto" w:fill="auto"/>
            <w:vAlign w:val="center"/>
          </w:tcPr>
          <w:p w14:paraId="67EB906E" w14:textId="77777777" w:rsidR="00913A0A" w:rsidRPr="0058047D" w:rsidRDefault="00913A0A" w:rsidP="00FC0808">
            <w:pPr>
              <w:pStyle w:val="TableText"/>
              <w:widowControl w:val="0"/>
              <w:rPr>
                <w:rFonts w:ascii="Tahoma" w:hAnsi="Tahoma" w:cs="Tahoma"/>
                <w:sz w:val="13"/>
              </w:rPr>
            </w:pPr>
            <w:r w:rsidRPr="0058047D">
              <w:rPr>
                <w:rFonts w:ascii="Tahoma" w:hAnsi="Tahoma" w:cs="Tahoma"/>
                <w:sz w:val="13"/>
              </w:rPr>
              <w:t>75 crediti</w:t>
            </w:r>
          </w:p>
        </w:tc>
        <w:tc>
          <w:tcPr>
            <w:tcW w:w="477" w:type="dxa"/>
            <w:tcBorders>
              <w:left w:val="single" w:sz="18" w:space="0" w:color="auto"/>
              <w:bottom w:val="single" w:sz="4" w:space="0" w:color="auto"/>
            </w:tcBorders>
            <w:shd w:val="clear" w:color="auto" w:fill="auto"/>
            <w:vAlign w:val="center"/>
          </w:tcPr>
          <w:p w14:paraId="5310C1AC" w14:textId="77777777" w:rsidR="00913A0A" w:rsidRPr="0058047D"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4E2CB09" w14:textId="77777777" w:rsidR="00913A0A" w:rsidRPr="0058047D" w:rsidRDefault="00913A0A" w:rsidP="00FC0808">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4B93F328" w14:textId="77777777" w:rsidR="00913A0A" w:rsidRPr="0058047D" w:rsidRDefault="00913A0A" w:rsidP="00FC0808">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05E42C09" w14:textId="77777777" w:rsidR="00913A0A" w:rsidRPr="0058047D" w:rsidRDefault="00913A0A" w:rsidP="00FC0808">
            <w:pPr>
              <w:pStyle w:val="TableText"/>
              <w:widowControl w:val="0"/>
              <w:rPr>
                <w:rFonts w:ascii="Tahoma" w:hAnsi="Tahoma" w:cs="Tahoma"/>
                <w:sz w:val="13"/>
              </w:rPr>
            </w:pPr>
            <w:r w:rsidRPr="0058047D">
              <w:rPr>
                <w:rFonts w:ascii="Tahoma" w:hAnsi="Tahoma" w:cs="Tahoma"/>
                <w:sz w:val="13"/>
              </w:rPr>
              <w:t>75</w:t>
            </w:r>
          </w:p>
        </w:tc>
        <w:tc>
          <w:tcPr>
            <w:tcW w:w="477" w:type="dxa"/>
            <w:tcBorders>
              <w:bottom w:val="single" w:sz="4" w:space="0" w:color="auto"/>
              <w:right w:val="single" w:sz="18" w:space="0" w:color="auto"/>
            </w:tcBorders>
            <w:shd w:val="clear" w:color="auto" w:fill="auto"/>
            <w:vAlign w:val="center"/>
          </w:tcPr>
          <w:p w14:paraId="1D7A1B54" w14:textId="77777777" w:rsidR="00913A0A" w:rsidRPr="0058047D" w:rsidRDefault="00913A0A" w:rsidP="00FC0808">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707738FC" w14:textId="77777777" w:rsidR="00913A0A" w:rsidRPr="0058047D" w:rsidRDefault="00913A0A" w:rsidP="00FC0808">
            <w:pPr>
              <w:pStyle w:val="TableText"/>
              <w:widowControl w:val="0"/>
              <w:rPr>
                <w:rFonts w:ascii="Tahoma" w:hAnsi="Tahoma" w:cs="Tahoma"/>
                <w:sz w:val="13"/>
              </w:rPr>
            </w:pPr>
          </w:p>
        </w:tc>
        <w:tc>
          <w:tcPr>
            <w:tcW w:w="655" w:type="dxa"/>
            <w:tcBorders>
              <w:bottom w:val="single" w:sz="4" w:space="0" w:color="auto"/>
            </w:tcBorders>
            <w:shd w:val="clear" w:color="auto" w:fill="auto"/>
          </w:tcPr>
          <w:p w14:paraId="28D202BA" w14:textId="77777777" w:rsidR="00913A0A" w:rsidRPr="0058047D" w:rsidRDefault="00913A0A" w:rsidP="00FC0808">
            <w:pPr>
              <w:pStyle w:val="TableText"/>
              <w:widowControl w:val="0"/>
              <w:spacing w:before="12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auto"/>
            <w:vAlign w:val="center"/>
          </w:tcPr>
          <w:p w14:paraId="1BBF51B2" w14:textId="77777777" w:rsidR="00913A0A" w:rsidRPr="0058047D" w:rsidRDefault="00913A0A" w:rsidP="00FC0808">
            <w:pPr>
              <w:pStyle w:val="TableText"/>
              <w:widowControl w:val="0"/>
              <w:rPr>
                <w:rFonts w:ascii="Tahoma" w:hAnsi="Tahoma" w:cs="Tahoma"/>
                <w:sz w:val="13"/>
              </w:rPr>
            </w:pPr>
            <w:r w:rsidRPr="0058047D">
              <w:rPr>
                <w:rFonts w:ascii="Tahoma" w:hAnsi="Tahoma" w:cs="Tahoma"/>
                <w:sz w:val="13"/>
              </w:rPr>
              <w:t>OL</w:t>
            </w:r>
          </w:p>
        </w:tc>
        <w:tc>
          <w:tcPr>
            <w:tcW w:w="405" w:type="dxa"/>
            <w:tcBorders>
              <w:bottom w:val="single" w:sz="4" w:space="0" w:color="auto"/>
            </w:tcBorders>
          </w:tcPr>
          <w:p w14:paraId="15ADCF04" w14:textId="77777777" w:rsidR="00913A0A" w:rsidRPr="0058047D" w:rsidRDefault="00913A0A" w:rsidP="00FC0808">
            <w:pPr>
              <w:pStyle w:val="TableText"/>
              <w:widowControl w:val="0"/>
              <w:rPr>
                <w:rFonts w:ascii="Tahoma" w:hAnsi="Tahoma" w:cs="Tahoma"/>
                <w:sz w:val="13"/>
              </w:rPr>
            </w:pPr>
          </w:p>
        </w:tc>
      </w:tr>
      <w:tr w:rsidR="009323A0" w:rsidRPr="0058047D" w14:paraId="336C8957" w14:textId="77777777" w:rsidTr="00C86F50">
        <w:trPr>
          <w:trHeight w:val="145"/>
        </w:trPr>
        <w:tc>
          <w:tcPr>
            <w:tcW w:w="2619" w:type="dxa"/>
            <w:gridSpan w:val="2"/>
            <w:tcBorders>
              <w:bottom w:val="single" w:sz="4" w:space="0" w:color="auto"/>
            </w:tcBorders>
            <w:shd w:val="clear" w:color="auto" w:fill="FABF8F"/>
            <w:vAlign w:val="bottom"/>
          </w:tcPr>
          <w:p w14:paraId="327A8968" w14:textId="77777777" w:rsidR="00913A0A" w:rsidRPr="0058047D" w:rsidRDefault="00913A0A" w:rsidP="00FC0808">
            <w:pPr>
              <w:pStyle w:val="ProductNames"/>
              <w:rPr>
                <w:rFonts w:ascii="Tahoma" w:hAnsi="Tahoma" w:cs="Tahoma"/>
                <w:sz w:val="14"/>
              </w:rPr>
            </w:pPr>
            <w:bookmarkStart w:id="308" w:name="_Toc371663425"/>
            <w:r w:rsidRPr="0058047D">
              <w:rPr>
                <w:rFonts w:ascii="Tahoma" w:hAnsi="Tahoma" w:cs="Tahoma"/>
                <w:sz w:val="14"/>
              </w:rPr>
              <w:t>Microsoft Learning MOS 500 Exam Site License (SL Servizi)</w:t>
            </w:r>
            <w:bookmarkEnd w:id="308"/>
          </w:p>
        </w:tc>
        <w:tc>
          <w:tcPr>
            <w:tcW w:w="554" w:type="dxa"/>
            <w:tcBorders>
              <w:bottom w:val="single" w:sz="4" w:space="0" w:color="auto"/>
            </w:tcBorders>
            <w:shd w:val="clear" w:color="auto" w:fill="FABF8F"/>
            <w:vAlign w:val="center"/>
          </w:tcPr>
          <w:p w14:paraId="21F63260" w14:textId="77777777" w:rsidR="00913A0A" w:rsidRPr="0058047D" w:rsidRDefault="00913A0A" w:rsidP="00FC0808">
            <w:pPr>
              <w:pStyle w:val="TableText"/>
              <w:widowControl w:val="0"/>
              <w:rPr>
                <w:b/>
                <w:sz w:val="13"/>
                <w:szCs w:val="13"/>
              </w:rPr>
            </w:pPr>
          </w:p>
        </w:tc>
        <w:tc>
          <w:tcPr>
            <w:tcW w:w="516" w:type="dxa"/>
            <w:tcBorders>
              <w:bottom w:val="single" w:sz="4" w:space="0" w:color="auto"/>
            </w:tcBorders>
            <w:shd w:val="clear" w:color="auto" w:fill="FABF8F"/>
          </w:tcPr>
          <w:p w14:paraId="7CF74D4F" w14:textId="77777777" w:rsidR="00913A0A" w:rsidRPr="0058047D" w:rsidRDefault="00913A0A" w:rsidP="00FC0808">
            <w:pPr>
              <w:pStyle w:val="TableText"/>
              <w:widowControl w:val="0"/>
              <w:spacing w:before="80"/>
              <w:rPr>
                <w:rFonts w:ascii="Tahoma" w:hAnsi="Tahoma" w:cs="Tahoma"/>
                <w:sz w:val="13"/>
              </w:rPr>
            </w:pPr>
            <w:r w:rsidRPr="0058047D">
              <w:rPr>
                <w:rFonts w:ascii="Tahoma" w:hAnsi="Tahoma" w:cs="Tahoma"/>
                <w:sz w:val="13"/>
              </w:rPr>
              <w:t>12/12</w:t>
            </w:r>
          </w:p>
        </w:tc>
        <w:tc>
          <w:tcPr>
            <w:tcW w:w="358" w:type="dxa"/>
            <w:tcBorders>
              <w:bottom w:val="single" w:sz="4" w:space="0" w:color="auto"/>
              <w:right w:val="single" w:sz="18" w:space="0" w:color="auto"/>
            </w:tcBorders>
            <w:shd w:val="clear" w:color="auto" w:fill="FABF8F"/>
            <w:vAlign w:val="center"/>
          </w:tcPr>
          <w:p w14:paraId="365DD7FF" w14:textId="77777777" w:rsidR="00913A0A" w:rsidRPr="0058047D" w:rsidRDefault="00913A0A" w:rsidP="00FC0808">
            <w:pPr>
              <w:pStyle w:val="TableText"/>
              <w:widowControl w:val="0"/>
              <w:rPr>
                <w:rFonts w:ascii="Tahoma" w:hAnsi="Tahoma" w:cs="Tahoma"/>
                <w:sz w:val="13"/>
              </w:rPr>
            </w:pPr>
          </w:p>
        </w:tc>
        <w:tc>
          <w:tcPr>
            <w:tcW w:w="2712" w:type="dxa"/>
            <w:gridSpan w:val="8"/>
            <w:tcBorders>
              <w:left w:val="single" w:sz="18" w:space="0" w:color="auto"/>
              <w:bottom w:val="single" w:sz="4" w:space="0" w:color="auto"/>
              <w:right w:val="single" w:sz="18" w:space="0" w:color="auto"/>
            </w:tcBorders>
            <w:shd w:val="clear" w:color="auto" w:fill="FABF8F"/>
            <w:vAlign w:val="center"/>
          </w:tcPr>
          <w:p w14:paraId="493414B3" w14:textId="77777777" w:rsidR="00913A0A" w:rsidRPr="0058047D" w:rsidRDefault="00913A0A" w:rsidP="00FC0808">
            <w:pPr>
              <w:pStyle w:val="TableText"/>
              <w:widowControl w:val="0"/>
              <w:rPr>
                <w:rFonts w:ascii="Tahoma" w:hAnsi="Tahoma" w:cs="Tahoma"/>
                <w:sz w:val="13"/>
              </w:rPr>
            </w:pPr>
            <w:r w:rsidRPr="0058047D">
              <w:rPr>
                <w:rFonts w:ascii="Tahoma" w:hAnsi="Tahoma" w:cs="Tahoma"/>
                <w:sz w:val="13"/>
              </w:rPr>
              <w:t>125 crediti</w:t>
            </w:r>
          </w:p>
        </w:tc>
        <w:tc>
          <w:tcPr>
            <w:tcW w:w="477" w:type="dxa"/>
            <w:tcBorders>
              <w:left w:val="single" w:sz="18" w:space="0" w:color="auto"/>
              <w:bottom w:val="single" w:sz="4" w:space="0" w:color="auto"/>
            </w:tcBorders>
            <w:shd w:val="clear" w:color="auto" w:fill="FABF8F"/>
            <w:vAlign w:val="center"/>
          </w:tcPr>
          <w:p w14:paraId="6E0AE04E" w14:textId="77777777" w:rsidR="00913A0A" w:rsidRPr="0058047D"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24C02E7" w14:textId="77777777" w:rsidR="00913A0A" w:rsidRPr="0058047D" w:rsidRDefault="00913A0A" w:rsidP="00FC0808">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2918276B" w14:textId="77777777" w:rsidR="00913A0A" w:rsidRPr="0058047D" w:rsidRDefault="00913A0A" w:rsidP="00FC0808">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1EAD02FF" w14:textId="77777777" w:rsidR="00913A0A" w:rsidRPr="0058047D" w:rsidRDefault="00913A0A" w:rsidP="00FC0808">
            <w:pPr>
              <w:pStyle w:val="TableText"/>
              <w:widowControl w:val="0"/>
              <w:rPr>
                <w:rFonts w:ascii="Tahoma" w:hAnsi="Tahoma" w:cs="Tahoma"/>
                <w:sz w:val="13"/>
              </w:rPr>
            </w:pPr>
            <w:r w:rsidRPr="0058047D">
              <w:rPr>
                <w:rFonts w:ascii="Tahoma" w:hAnsi="Tahoma" w:cs="Tahoma"/>
                <w:sz w:val="13"/>
              </w:rPr>
              <w:t>125</w:t>
            </w:r>
          </w:p>
        </w:tc>
        <w:tc>
          <w:tcPr>
            <w:tcW w:w="477" w:type="dxa"/>
            <w:tcBorders>
              <w:bottom w:val="single" w:sz="4" w:space="0" w:color="auto"/>
              <w:right w:val="single" w:sz="18" w:space="0" w:color="auto"/>
            </w:tcBorders>
            <w:shd w:val="clear" w:color="auto" w:fill="FABF8F"/>
            <w:vAlign w:val="center"/>
          </w:tcPr>
          <w:p w14:paraId="6E58C348" w14:textId="77777777" w:rsidR="00913A0A" w:rsidRPr="0058047D" w:rsidRDefault="00913A0A" w:rsidP="00FC0808">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5E488868" w14:textId="77777777" w:rsidR="00913A0A" w:rsidRPr="0058047D" w:rsidRDefault="00913A0A" w:rsidP="00FC0808">
            <w:pPr>
              <w:pStyle w:val="TableText"/>
              <w:widowControl w:val="0"/>
              <w:rPr>
                <w:rFonts w:ascii="Tahoma" w:hAnsi="Tahoma" w:cs="Tahoma"/>
                <w:sz w:val="13"/>
              </w:rPr>
            </w:pPr>
          </w:p>
        </w:tc>
        <w:tc>
          <w:tcPr>
            <w:tcW w:w="655" w:type="dxa"/>
            <w:tcBorders>
              <w:bottom w:val="single" w:sz="4" w:space="0" w:color="auto"/>
            </w:tcBorders>
            <w:shd w:val="clear" w:color="auto" w:fill="FABF8F"/>
          </w:tcPr>
          <w:p w14:paraId="1FA5E350" w14:textId="77777777" w:rsidR="00913A0A" w:rsidRPr="0058047D" w:rsidRDefault="00913A0A" w:rsidP="00FC0808">
            <w:pPr>
              <w:pStyle w:val="TableText"/>
              <w:widowControl w:val="0"/>
              <w:spacing w:before="12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FABF8F"/>
            <w:vAlign w:val="center"/>
          </w:tcPr>
          <w:p w14:paraId="3A0E2C42" w14:textId="77777777" w:rsidR="00913A0A" w:rsidRPr="0058047D" w:rsidRDefault="00913A0A" w:rsidP="00FC0808">
            <w:pPr>
              <w:pStyle w:val="TableText"/>
              <w:widowControl w:val="0"/>
              <w:rPr>
                <w:rFonts w:ascii="Tahoma" w:hAnsi="Tahoma" w:cs="Tahoma"/>
                <w:sz w:val="13"/>
              </w:rPr>
            </w:pPr>
          </w:p>
        </w:tc>
        <w:tc>
          <w:tcPr>
            <w:tcW w:w="405" w:type="dxa"/>
            <w:tcBorders>
              <w:bottom w:val="single" w:sz="4" w:space="0" w:color="auto"/>
            </w:tcBorders>
            <w:shd w:val="clear" w:color="auto" w:fill="FABF8F"/>
          </w:tcPr>
          <w:p w14:paraId="4CC4C2A8" w14:textId="77777777" w:rsidR="00913A0A" w:rsidRPr="0058047D" w:rsidRDefault="00913A0A" w:rsidP="00FC0808">
            <w:pPr>
              <w:pStyle w:val="TableText"/>
              <w:widowControl w:val="0"/>
              <w:rPr>
                <w:rFonts w:ascii="Tahoma" w:hAnsi="Tahoma" w:cs="Tahoma"/>
                <w:sz w:val="13"/>
              </w:rPr>
            </w:pPr>
          </w:p>
        </w:tc>
      </w:tr>
      <w:tr w:rsidR="009323A0" w:rsidRPr="0058047D" w14:paraId="1666AAD3" w14:textId="77777777" w:rsidTr="00C86F50">
        <w:trPr>
          <w:trHeight w:val="145"/>
        </w:trPr>
        <w:tc>
          <w:tcPr>
            <w:tcW w:w="2619" w:type="dxa"/>
            <w:gridSpan w:val="2"/>
            <w:tcBorders>
              <w:bottom w:val="single" w:sz="4" w:space="0" w:color="auto"/>
            </w:tcBorders>
            <w:shd w:val="clear" w:color="auto" w:fill="auto"/>
            <w:vAlign w:val="bottom"/>
          </w:tcPr>
          <w:p w14:paraId="65DD8E11" w14:textId="77777777" w:rsidR="00913A0A" w:rsidRPr="0058047D" w:rsidRDefault="00913A0A" w:rsidP="00FC0808">
            <w:pPr>
              <w:pStyle w:val="ProductNames"/>
              <w:rPr>
                <w:rFonts w:ascii="Tahoma" w:hAnsi="Tahoma" w:cs="Tahoma"/>
                <w:sz w:val="14"/>
              </w:rPr>
            </w:pPr>
            <w:bookmarkStart w:id="309" w:name="_Toc371663426"/>
            <w:r w:rsidRPr="0058047D">
              <w:rPr>
                <w:rFonts w:ascii="Tahoma" w:hAnsi="Tahoma" w:cs="Tahoma"/>
                <w:sz w:val="14"/>
              </w:rPr>
              <w:t>Microsoft Learning MTA 250 Exam Site License (SL Servizi)</w:t>
            </w:r>
            <w:bookmarkEnd w:id="309"/>
          </w:p>
        </w:tc>
        <w:tc>
          <w:tcPr>
            <w:tcW w:w="554" w:type="dxa"/>
            <w:tcBorders>
              <w:bottom w:val="single" w:sz="4" w:space="0" w:color="auto"/>
            </w:tcBorders>
            <w:shd w:val="clear" w:color="auto" w:fill="auto"/>
            <w:vAlign w:val="center"/>
          </w:tcPr>
          <w:p w14:paraId="7FA01C9B" w14:textId="77777777" w:rsidR="00913A0A" w:rsidRPr="0058047D" w:rsidRDefault="00913A0A" w:rsidP="00FC0808">
            <w:pPr>
              <w:pStyle w:val="TableText"/>
              <w:widowControl w:val="0"/>
              <w:rPr>
                <w:b/>
                <w:sz w:val="13"/>
                <w:szCs w:val="13"/>
              </w:rPr>
            </w:pPr>
          </w:p>
        </w:tc>
        <w:tc>
          <w:tcPr>
            <w:tcW w:w="516" w:type="dxa"/>
            <w:tcBorders>
              <w:bottom w:val="single" w:sz="4" w:space="0" w:color="auto"/>
            </w:tcBorders>
            <w:shd w:val="clear" w:color="auto" w:fill="auto"/>
          </w:tcPr>
          <w:p w14:paraId="3C765EDE" w14:textId="77777777" w:rsidR="00913A0A" w:rsidRPr="0058047D" w:rsidRDefault="00913A0A" w:rsidP="00FC0808">
            <w:pPr>
              <w:pStyle w:val="TableText"/>
              <w:widowControl w:val="0"/>
              <w:spacing w:before="80"/>
              <w:rPr>
                <w:rFonts w:ascii="Tahoma" w:hAnsi="Tahoma" w:cs="Tahoma"/>
                <w:sz w:val="13"/>
              </w:rPr>
            </w:pPr>
            <w:r w:rsidRPr="0058047D">
              <w:rPr>
                <w:rFonts w:ascii="Tahoma" w:hAnsi="Tahoma" w:cs="Tahoma"/>
                <w:sz w:val="13"/>
              </w:rPr>
              <w:t>12/12</w:t>
            </w:r>
          </w:p>
        </w:tc>
        <w:tc>
          <w:tcPr>
            <w:tcW w:w="358" w:type="dxa"/>
            <w:tcBorders>
              <w:bottom w:val="single" w:sz="4" w:space="0" w:color="auto"/>
              <w:right w:val="single" w:sz="18" w:space="0" w:color="auto"/>
            </w:tcBorders>
            <w:shd w:val="clear" w:color="auto" w:fill="auto"/>
            <w:vAlign w:val="center"/>
          </w:tcPr>
          <w:p w14:paraId="24224E88" w14:textId="77777777" w:rsidR="00913A0A" w:rsidRPr="0058047D" w:rsidRDefault="00913A0A" w:rsidP="00FC0808">
            <w:pPr>
              <w:pStyle w:val="TableText"/>
              <w:widowControl w:val="0"/>
              <w:rPr>
                <w:rFonts w:ascii="Tahoma" w:hAnsi="Tahoma" w:cs="Tahoma"/>
                <w:sz w:val="13"/>
              </w:rPr>
            </w:pPr>
          </w:p>
        </w:tc>
        <w:tc>
          <w:tcPr>
            <w:tcW w:w="2712" w:type="dxa"/>
            <w:gridSpan w:val="8"/>
            <w:tcBorders>
              <w:left w:val="single" w:sz="18" w:space="0" w:color="auto"/>
              <w:bottom w:val="single" w:sz="4" w:space="0" w:color="auto"/>
              <w:right w:val="single" w:sz="18" w:space="0" w:color="auto"/>
            </w:tcBorders>
            <w:shd w:val="clear" w:color="auto" w:fill="auto"/>
            <w:vAlign w:val="center"/>
          </w:tcPr>
          <w:p w14:paraId="532B6FC0" w14:textId="77777777" w:rsidR="00913A0A" w:rsidRPr="0058047D" w:rsidRDefault="00913A0A" w:rsidP="00FC0808">
            <w:pPr>
              <w:pStyle w:val="TableText"/>
              <w:widowControl w:val="0"/>
              <w:rPr>
                <w:rFonts w:ascii="Tahoma" w:hAnsi="Tahoma" w:cs="Tahoma"/>
                <w:sz w:val="13"/>
              </w:rPr>
            </w:pPr>
            <w:r w:rsidRPr="0058047D">
              <w:rPr>
                <w:rFonts w:ascii="Tahoma" w:hAnsi="Tahoma" w:cs="Tahoma"/>
                <w:sz w:val="13"/>
              </w:rPr>
              <w:t>125 crediti</w:t>
            </w:r>
          </w:p>
        </w:tc>
        <w:tc>
          <w:tcPr>
            <w:tcW w:w="477" w:type="dxa"/>
            <w:tcBorders>
              <w:left w:val="single" w:sz="18" w:space="0" w:color="auto"/>
              <w:bottom w:val="single" w:sz="4" w:space="0" w:color="auto"/>
            </w:tcBorders>
            <w:shd w:val="clear" w:color="auto" w:fill="auto"/>
            <w:vAlign w:val="center"/>
          </w:tcPr>
          <w:p w14:paraId="446B095E" w14:textId="77777777" w:rsidR="00913A0A" w:rsidRPr="0058047D"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9533536" w14:textId="77777777" w:rsidR="00913A0A" w:rsidRPr="0058047D" w:rsidRDefault="00913A0A" w:rsidP="00FC0808">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682D3F31" w14:textId="77777777" w:rsidR="00913A0A" w:rsidRPr="0058047D" w:rsidRDefault="00913A0A" w:rsidP="00FC0808">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2ADE2E31" w14:textId="77777777" w:rsidR="00913A0A" w:rsidRPr="0058047D" w:rsidRDefault="00913A0A" w:rsidP="00FC0808">
            <w:pPr>
              <w:pStyle w:val="TableText"/>
              <w:widowControl w:val="0"/>
              <w:rPr>
                <w:rFonts w:ascii="Tahoma" w:hAnsi="Tahoma" w:cs="Tahoma"/>
                <w:sz w:val="13"/>
              </w:rPr>
            </w:pPr>
            <w:r w:rsidRPr="0058047D">
              <w:rPr>
                <w:rFonts w:ascii="Tahoma" w:hAnsi="Tahoma" w:cs="Tahoma"/>
                <w:sz w:val="13"/>
              </w:rPr>
              <w:t>125</w:t>
            </w:r>
          </w:p>
        </w:tc>
        <w:tc>
          <w:tcPr>
            <w:tcW w:w="477" w:type="dxa"/>
            <w:tcBorders>
              <w:bottom w:val="single" w:sz="4" w:space="0" w:color="auto"/>
              <w:right w:val="single" w:sz="18" w:space="0" w:color="auto"/>
            </w:tcBorders>
            <w:shd w:val="clear" w:color="auto" w:fill="auto"/>
            <w:vAlign w:val="center"/>
          </w:tcPr>
          <w:p w14:paraId="289EDD27" w14:textId="77777777" w:rsidR="00913A0A" w:rsidRPr="0058047D" w:rsidRDefault="00913A0A" w:rsidP="00FC0808">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7196E25A" w14:textId="77777777" w:rsidR="00913A0A" w:rsidRPr="0058047D" w:rsidRDefault="00913A0A" w:rsidP="00FC0808">
            <w:pPr>
              <w:pStyle w:val="TableText"/>
              <w:widowControl w:val="0"/>
              <w:rPr>
                <w:rFonts w:ascii="Tahoma" w:hAnsi="Tahoma" w:cs="Tahoma"/>
                <w:sz w:val="13"/>
              </w:rPr>
            </w:pPr>
          </w:p>
        </w:tc>
        <w:tc>
          <w:tcPr>
            <w:tcW w:w="655" w:type="dxa"/>
            <w:tcBorders>
              <w:bottom w:val="single" w:sz="4" w:space="0" w:color="auto"/>
            </w:tcBorders>
            <w:shd w:val="clear" w:color="auto" w:fill="auto"/>
          </w:tcPr>
          <w:p w14:paraId="447697F2" w14:textId="77777777" w:rsidR="00913A0A" w:rsidRPr="0058047D" w:rsidRDefault="00913A0A" w:rsidP="00FC0808">
            <w:pPr>
              <w:pStyle w:val="TableText"/>
              <w:widowControl w:val="0"/>
              <w:spacing w:before="12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auto"/>
            <w:vAlign w:val="center"/>
          </w:tcPr>
          <w:p w14:paraId="14B0057E" w14:textId="77777777" w:rsidR="00913A0A" w:rsidRPr="0058047D" w:rsidRDefault="00913A0A" w:rsidP="00FC0808">
            <w:pPr>
              <w:pStyle w:val="TableText"/>
              <w:widowControl w:val="0"/>
              <w:rPr>
                <w:rFonts w:ascii="Tahoma" w:hAnsi="Tahoma" w:cs="Tahoma"/>
                <w:sz w:val="13"/>
              </w:rPr>
            </w:pPr>
          </w:p>
        </w:tc>
        <w:tc>
          <w:tcPr>
            <w:tcW w:w="405" w:type="dxa"/>
            <w:tcBorders>
              <w:bottom w:val="single" w:sz="4" w:space="0" w:color="auto"/>
            </w:tcBorders>
          </w:tcPr>
          <w:p w14:paraId="3FCF7FCD" w14:textId="77777777" w:rsidR="00913A0A" w:rsidRPr="0058047D" w:rsidRDefault="00913A0A" w:rsidP="00FC0808">
            <w:pPr>
              <w:pStyle w:val="TableText"/>
              <w:widowControl w:val="0"/>
              <w:rPr>
                <w:rFonts w:ascii="Tahoma" w:hAnsi="Tahoma" w:cs="Tahoma"/>
                <w:sz w:val="13"/>
              </w:rPr>
            </w:pPr>
          </w:p>
        </w:tc>
      </w:tr>
      <w:tr w:rsidR="009323A0" w:rsidRPr="0058047D" w:rsidDel="00436016" w14:paraId="2BBD50D2" w14:textId="77777777" w:rsidTr="00C86F50">
        <w:trPr>
          <w:trHeight w:val="145"/>
        </w:trPr>
        <w:tc>
          <w:tcPr>
            <w:tcW w:w="2619" w:type="dxa"/>
            <w:gridSpan w:val="2"/>
            <w:tcBorders>
              <w:bottom w:val="single" w:sz="4" w:space="0" w:color="auto"/>
            </w:tcBorders>
            <w:shd w:val="clear" w:color="auto" w:fill="FABF8F"/>
            <w:vAlign w:val="center"/>
          </w:tcPr>
          <w:p w14:paraId="7BB421D6" w14:textId="77777777" w:rsidR="00913A0A" w:rsidRPr="0058047D" w:rsidRDefault="00913A0A" w:rsidP="001A63C6">
            <w:pPr>
              <w:pStyle w:val="Heading2"/>
              <w:ind w:left="-15" w:firstLine="15"/>
              <w:rPr>
                <w:rFonts w:ascii="Tahoma" w:hAnsi="Tahoma" w:cs="Tahoma"/>
                <w:b w:val="0"/>
                <w:sz w:val="14"/>
                <w:szCs w:val="14"/>
              </w:rPr>
            </w:pPr>
            <w:bookmarkStart w:id="310" w:name="_Toc371663427"/>
            <w:r w:rsidRPr="0058047D">
              <w:rPr>
                <w:rFonts w:ascii="Tahoma" w:hAnsi="Tahoma" w:cs="Tahoma"/>
                <w:b w:val="0"/>
                <w:sz w:val="14"/>
                <w:szCs w:val="14"/>
              </w:rPr>
              <w:t>Microsoft Office Audit and Control Management Server</w:t>
            </w:r>
            <w:bookmarkEnd w:id="310"/>
          </w:p>
        </w:tc>
        <w:tc>
          <w:tcPr>
            <w:tcW w:w="554" w:type="dxa"/>
            <w:tcBorders>
              <w:bottom w:val="single" w:sz="4" w:space="0" w:color="auto"/>
            </w:tcBorders>
            <w:shd w:val="clear" w:color="auto" w:fill="FABF8F"/>
            <w:vAlign w:val="center"/>
          </w:tcPr>
          <w:p w14:paraId="48830FFE" w14:textId="77777777" w:rsidR="00913A0A" w:rsidRPr="0058047D" w:rsidRDefault="00913A0A" w:rsidP="001A63C6">
            <w:pPr>
              <w:pStyle w:val="TableText"/>
              <w:widowControl w:val="0"/>
              <w:rPr>
                <w:b/>
                <w:color w:val="0000FF"/>
                <w:sz w:val="13"/>
                <w:szCs w:val="13"/>
                <w:u w:val="single"/>
              </w:rPr>
            </w:pPr>
          </w:p>
        </w:tc>
        <w:tc>
          <w:tcPr>
            <w:tcW w:w="516" w:type="dxa"/>
            <w:tcBorders>
              <w:bottom w:val="single" w:sz="4" w:space="0" w:color="auto"/>
            </w:tcBorders>
            <w:shd w:val="clear" w:color="auto" w:fill="FABF8F"/>
          </w:tcPr>
          <w:p w14:paraId="670969D9" w14:textId="77777777" w:rsidR="00913A0A" w:rsidRPr="0058047D" w:rsidRDefault="00913A0A" w:rsidP="001A63C6">
            <w:pPr>
              <w:pStyle w:val="TableText"/>
              <w:widowControl w:val="0"/>
              <w:spacing w:before="120"/>
              <w:rPr>
                <w:rFonts w:ascii="Tahoma" w:hAnsi="Tahoma" w:cs="Tahoma"/>
                <w:color w:val="000000"/>
                <w:sz w:val="13"/>
              </w:rPr>
            </w:pPr>
            <w:r w:rsidRPr="0058047D">
              <w:rPr>
                <w:rFonts w:ascii="Tahoma" w:hAnsi="Tahoma" w:cs="Tahoma"/>
                <w:color w:val="000000"/>
                <w:sz w:val="13"/>
              </w:rPr>
              <w:t>04/13</w:t>
            </w:r>
          </w:p>
        </w:tc>
        <w:tc>
          <w:tcPr>
            <w:tcW w:w="358" w:type="dxa"/>
            <w:tcBorders>
              <w:bottom w:val="single" w:sz="4" w:space="0" w:color="auto"/>
              <w:right w:val="single" w:sz="18" w:space="0" w:color="auto"/>
            </w:tcBorders>
            <w:shd w:val="clear" w:color="auto" w:fill="FABF8F"/>
            <w:vAlign w:val="center"/>
          </w:tcPr>
          <w:p w14:paraId="6F2E9D38" w14:textId="77777777" w:rsidR="00913A0A" w:rsidRPr="0058047D" w:rsidRDefault="00913A0A" w:rsidP="001C3A4A">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center"/>
          </w:tcPr>
          <w:p w14:paraId="6A52630E" w14:textId="77777777" w:rsidR="00913A0A" w:rsidRPr="0058047D" w:rsidDel="00436016" w:rsidRDefault="00913A0A" w:rsidP="001A63C6">
            <w:pPr>
              <w:pStyle w:val="TableText"/>
              <w:widowControl w:val="0"/>
              <w:rPr>
                <w:rFonts w:ascii="Tahoma" w:hAnsi="Tahoma" w:cs="Tahoma"/>
                <w:sz w:val="13"/>
              </w:rPr>
            </w:pPr>
            <w:r w:rsidRPr="0058047D">
              <w:rPr>
                <w:rFonts w:ascii="Tahoma" w:hAnsi="Tahoma" w:cs="Tahoma"/>
                <w:sz w:val="13"/>
              </w:rPr>
              <w:t>50</w:t>
            </w:r>
          </w:p>
        </w:tc>
        <w:tc>
          <w:tcPr>
            <w:tcW w:w="324" w:type="dxa"/>
            <w:tcBorders>
              <w:bottom w:val="single" w:sz="4" w:space="0" w:color="auto"/>
            </w:tcBorders>
            <w:shd w:val="clear" w:color="auto" w:fill="FABF8F"/>
            <w:vAlign w:val="center"/>
          </w:tcPr>
          <w:p w14:paraId="75AEF7B5" w14:textId="77777777" w:rsidR="00913A0A" w:rsidRPr="0058047D" w:rsidDel="00436016" w:rsidRDefault="00913A0A" w:rsidP="001A63C6">
            <w:pPr>
              <w:pStyle w:val="TableText"/>
              <w:widowControl w:val="0"/>
              <w:rPr>
                <w:rFonts w:ascii="Tahoma" w:hAnsi="Tahoma" w:cs="Tahoma"/>
                <w:sz w:val="13"/>
              </w:rPr>
            </w:pPr>
            <w:r w:rsidRPr="0058047D">
              <w:rPr>
                <w:rFonts w:ascii="Tahoma" w:hAnsi="Tahoma" w:cs="Tahoma"/>
                <w:sz w:val="13"/>
              </w:rPr>
              <w:t>125</w:t>
            </w:r>
          </w:p>
        </w:tc>
        <w:tc>
          <w:tcPr>
            <w:tcW w:w="366" w:type="dxa"/>
            <w:tcBorders>
              <w:bottom w:val="single" w:sz="4" w:space="0" w:color="auto"/>
            </w:tcBorders>
            <w:shd w:val="clear" w:color="auto" w:fill="FABF8F"/>
            <w:vAlign w:val="center"/>
          </w:tcPr>
          <w:p w14:paraId="5461E2F9" w14:textId="77777777" w:rsidR="00913A0A" w:rsidRPr="0058047D" w:rsidDel="00436016" w:rsidRDefault="00913A0A" w:rsidP="001A63C6">
            <w:pPr>
              <w:pStyle w:val="TableText"/>
              <w:widowControl w:val="0"/>
              <w:rPr>
                <w:rFonts w:ascii="Tahoma" w:hAnsi="Tahoma" w:cs="Tahoma"/>
                <w:sz w:val="13"/>
              </w:rPr>
            </w:pPr>
            <w:r w:rsidRPr="0058047D">
              <w:rPr>
                <w:rFonts w:ascii="Tahoma" w:hAnsi="Tahoma" w:cs="Tahoma"/>
                <w:sz w:val="13"/>
              </w:rPr>
              <w:t>100</w:t>
            </w:r>
          </w:p>
        </w:tc>
        <w:tc>
          <w:tcPr>
            <w:tcW w:w="456" w:type="dxa"/>
            <w:gridSpan w:val="2"/>
            <w:tcBorders>
              <w:bottom w:val="single" w:sz="4" w:space="0" w:color="auto"/>
            </w:tcBorders>
            <w:shd w:val="clear" w:color="auto" w:fill="FABF8F"/>
            <w:vAlign w:val="center"/>
          </w:tcPr>
          <w:p w14:paraId="4A4D4CFD" w14:textId="77777777" w:rsidR="00913A0A" w:rsidRPr="0058047D" w:rsidDel="00436016" w:rsidRDefault="00913A0A" w:rsidP="001A63C6">
            <w:pPr>
              <w:pStyle w:val="TableText"/>
              <w:widowControl w:val="0"/>
              <w:rPr>
                <w:rFonts w:ascii="Tahoma" w:hAnsi="Tahoma" w:cs="Tahoma"/>
                <w:sz w:val="13"/>
              </w:rPr>
            </w:pPr>
            <w:r w:rsidRPr="0058047D">
              <w:rPr>
                <w:rFonts w:ascii="Tahoma" w:hAnsi="Tahoma" w:cs="Tahoma"/>
                <w:sz w:val="13"/>
              </w:rPr>
              <w:t>75</w:t>
            </w:r>
          </w:p>
        </w:tc>
        <w:tc>
          <w:tcPr>
            <w:tcW w:w="450" w:type="dxa"/>
            <w:tcBorders>
              <w:bottom w:val="single" w:sz="4" w:space="0" w:color="auto"/>
            </w:tcBorders>
            <w:shd w:val="clear" w:color="auto" w:fill="FABF8F"/>
            <w:vAlign w:val="center"/>
          </w:tcPr>
          <w:p w14:paraId="128F5A48" w14:textId="77777777" w:rsidR="00913A0A" w:rsidRPr="0058047D" w:rsidDel="00436016" w:rsidRDefault="00913A0A" w:rsidP="001A63C6">
            <w:pPr>
              <w:pStyle w:val="TableText"/>
              <w:widowControl w:val="0"/>
              <w:rPr>
                <w:rFonts w:ascii="Tahoma" w:hAnsi="Tahoma" w:cs="Tahoma"/>
                <w:sz w:val="13"/>
              </w:rPr>
            </w:pPr>
            <w:r w:rsidRPr="0058047D">
              <w:rPr>
                <w:rFonts w:ascii="Tahoma" w:hAnsi="Tahoma" w:cs="Tahoma"/>
                <w:sz w:val="13"/>
              </w:rPr>
              <w:t>75</w:t>
            </w:r>
          </w:p>
        </w:tc>
        <w:tc>
          <w:tcPr>
            <w:tcW w:w="450" w:type="dxa"/>
            <w:tcBorders>
              <w:bottom w:val="single" w:sz="4" w:space="0" w:color="auto"/>
            </w:tcBorders>
            <w:shd w:val="clear" w:color="auto" w:fill="FABF8F"/>
            <w:vAlign w:val="center"/>
          </w:tcPr>
          <w:p w14:paraId="208743DD" w14:textId="77777777" w:rsidR="00913A0A" w:rsidRPr="0058047D" w:rsidDel="00436016" w:rsidRDefault="00913A0A" w:rsidP="001A63C6">
            <w:pPr>
              <w:pStyle w:val="TableText"/>
              <w:widowControl w:val="0"/>
              <w:rPr>
                <w:rFonts w:ascii="Tahoma" w:hAnsi="Tahoma" w:cs="Tahoma"/>
                <w:sz w:val="13"/>
              </w:rPr>
            </w:pPr>
            <w:r w:rsidRPr="0058047D">
              <w:rPr>
                <w:rFonts w:ascii="Tahoma" w:hAnsi="Tahoma" w:cs="Tahoma"/>
                <w:sz w:val="13"/>
              </w:rPr>
              <w:t>50</w:t>
            </w:r>
          </w:p>
        </w:tc>
        <w:tc>
          <w:tcPr>
            <w:tcW w:w="336" w:type="dxa"/>
            <w:tcBorders>
              <w:bottom w:val="single" w:sz="4" w:space="0" w:color="auto"/>
              <w:right w:val="single" w:sz="18" w:space="0" w:color="auto"/>
            </w:tcBorders>
            <w:shd w:val="clear" w:color="auto" w:fill="FABF8F"/>
            <w:vAlign w:val="center"/>
          </w:tcPr>
          <w:p w14:paraId="0043489C" w14:textId="77777777" w:rsidR="00913A0A" w:rsidRPr="0058047D" w:rsidDel="00436016" w:rsidRDefault="00913A0A" w:rsidP="001A63C6">
            <w:pPr>
              <w:pStyle w:val="TableText"/>
              <w:widowControl w:val="0"/>
              <w:rPr>
                <w:rFonts w:ascii="Tahoma" w:hAnsi="Tahoma" w:cs="Tahoma"/>
                <w:sz w:val="13"/>
              </w:rPr>
            </w:pPr>
            <w:r w:rsidRPr="0058047D">
              <w:rPr>
                <w:rFonts w:ascii="Tahoma" w:hAnsi="Tahoma" w:cs="Tahoma"/>
                <w:sz w:val="13"/>
              </w:rPr>
              <w:t>25</w:t>
            </w:r>
          </w:p>
        </w:tc>
        <w:tc>
          <w:tcPr>
            <w:tcW w:w="477" w:type="dxa"/>
            <w:tcBorders>
              <w:left w:val="single" w:sz="18" w:space="0" w:color="auto"/>
              <w:bottom w:val="single" w:sz="4" w:space="0" w:color="auto"/>
            </w:tcBorders>
            <w:shd w:val="clear" w:color="auto" w:fill="FABF8F"/>
            <w:vAlign w:val="center"/>
          </w:tcPr>
          <w:p w14:paraId="30453B8D" w14:textId="77777777" w:rsidR="00913A0A" w:rsidRPr="0058047D" w:rsidDel="00436016" w:rsidRDefault="00913A0A" w:rsidP="001A63C6">
            <w:pPr>
              <w:pStyle w:val="TableText"/>
              <w:widowControl w:val="0"/>
              <w:rPr>
                <w:rFonts w:ascii="Tahoma" w:hAnsi="Tahoma" w:cs="Tahoma"/>
                <w:sz w:val="13"/>
              </w:rPr>
            </w:pPr>
            <w:r w:rsidRPr="0058047D">
              <w:rPr>
                <w:rFonts w:ascii="Tahoma" w:hAnsi="Tahoma" w:cs="Tahoma"/>
                <w:sz w:val="13"/>
              </w:rPr>
              <w:t>50</w:t>
            </w:r>
          </w:p>
        </w:tc>
        <w:tc>
          <w:tcPr>
            <w:tcW w:w="450" w:type="dxa"/>
            <w:tcBorders>
              <w:bottom w:val="single" w:sz="4" w:space="0" w:color="auto"/>
            </w:tcBorders>
            <w:shd w:val="clear" w:color="auto" w:fill="FABF8F"/>
            <w:vAlign w:val="center"/>
          </w:tcPr>
          <w:p w14:paraId="6B0A5083" w14:textId="77777777" w:rsidR="00913A0A" w:rsidRPr="0058047D" w:rsidDel="00436016" w:rsidRDefault="00913A0A" w:rsidP="001A63C6">
            <w:pPr>
              <w:pStyle w:val="TableText"/>
              <w:widowControl w:val="0"/>
              <w:rPr>
                <w:rFonts w:ascii="Tahoma" w:hAnsi="Tahoma" w:cs="Tahoma"/>
                <w:sz w:val="13"/>
              </w:rPr>
            </w:pPr>
            <w:r w:rsidRPr="0058047D">
              <w:rPr>
                <w:rFonts w:ascii="Tahoma" w:hAnsi="Tahoma" w:cs="Tahoma"/>
                <w:sz w:val="13"/>
              </w:rPr>
              <w:t>100</w:t>
            </w:r>
          </w:p>
        </w:tc>
        <w:tc>
          <w:tcPr>
            <w:tcW w:w="414" w:type="dxa"/>
            <w:tcBorders>
              <w:bottom w:val="single" w:sz="4" w:space="0" w:color="auto"/>
              <w:right w:val="single" w:sz="18" w:space="0" w:color="auto"/>
            </w:tcBorders>
            <w:shd w:val="clear" w:color="auto" w:fill="FABF8F"/>
            <w:vAlign w:val="center"/>
          </w:tcPr>
          <w:p w14:paraId="05BF93F9" w14:textId="77777777" w:rsidR="00913A0A" w:rsidRPr="0058047D" w:rsidDel="00436016" w:rsidRDefault="00913A0A" w:rsidP="001A63C6">
            <w:pPr>
              <w:pStyle w:val="TableText"/>
              <w:widowControl w:val="0"/>
              <w:rPr>
                <w:rFonts w:ascii="Tahoma" w:hAnsi="Tahoma" w:cs="Tahoma"/>
                <w:sz w:val="13"/>
              </w:rPr>
            </w:pPr>
            <w:r w:rsidRPr="0058047D">
              <w:rPr>
                <w:rFonts w:ascii="Tahoma" w:hAnsi="Tahoma" w:cs="Tahoma"/>
                <w:sz w:val="13"/>
              </w:rPr>
              <w:t>50</w:t>
            </w:r>
          </w:p>
        </w:tc>
        <w:tc>
          <w:tcPr>
            <w:tcW w:w="468" w:type="dxa"/>
            <w:tcBorders>
              <w:left w:val="single" w:sz="18" w:space="0" w:color="auto"/>
              <w:bottom w:val="single" w:sz="4" w:space="0" w:color="auto"/>
            </w:tcBorders>
            <w:shd w:val="clear" w:color="auto" w:fill="FABF8F"/>
            <w:vAlign w:val="center"/>
          </w:tcPr>
          <w:p w14:paraId="219C7DF7" w14:textId="77777777" w:rsidR="00913A0A" w:rsidRPr="0058047D" w:rsidDel="00436016" w:rsidRDefault="00913A0A" w:rsidP="001A63C6">
            <w:pPr>
              <w:pStyle w:val="TableText"/>
              <w:widowControl w:val="0"/>
              <w:rPr>
                <w:rFonts w:ascii="Tahoma" w:hAnsi="Tahoma" w:cs="Tahoma"/>
                <w:sz w:val="13"/>
              </w:rPr>
            </w:pPr>
            <w:r w:rsidRPr="0058047D">
              <w:rPr>
                <w:rFonts w:ascii="Tahoma" w:hAnsi="Tahoma" w:cs="Tahoma"/>
                <w:sz w:val="13"/>
              </w:rPr>
              <w:t>50</w:t>
            </w:r>
          </w:p>
        </w:tc>
        <w:tc>
          <w:tcPr>
            <w:tcW w:w="477" w:type="dxa"/>
            <w:tcBorders>
              <w:bottom w:val="single" w:sz="4" w:space="0" w:color="auto"/>
              <w:right w:val="single" w:sz="18" w:space="0" w:color="auto"/>
            </w:tcBorders>
            <w:shd w:val="clear" w:color="auto" w:fill="FABF8F"/>
            <w:vAlign w:val="center"/>
          </w:tcPr>
          <w:p w14:paraId="0B9943A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11C505C2" w14:textId="77777777" w:rsidR="00913A0A" w:rsidRPr="0058047D" w:rsidDel="00436016"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vAlign w:val="center"/>
          </w:tcPr>
          <w:p w14:paraId="4E7A9DC5" w14:textId="77777777" w:rsidR="00913A0A" w:rsidRPr="0058047D" w:rsidRDefault="00913A0A" w:rsidP="001C3A4A">
            <w:pPr>
              <w:pStyle w:val="TableText"/>
              <w:widowControl w:val="0"/>
              <w:spacing w:before="120"/>
              <w:rPr>
                <w:rFonts w:ascii="Tahoma" w:hAnsi="Tahoma" w:cs="Tahoma"/>
                <w:sz w:val="13"/>
              </w:rPr>
            </w:pPr>
            <w:r w:rsidRPr="0058047D">
              <w:rPr>
                <w:rFonts w:ascii="Tahoma" w:hAnsi="Tahoma" w:cs="Tahoma"/>
                <w:sz w:val="13"/>
              </w:rPr>
              <w:t>A (Solo EES)</w:t>
            </w:r>
          </w:p>
        </w:tc>
        <w:tc>
          <w:tcPr>
            <w:tcW w:w="504" w:type="dxa"/>
            <w:tcBorders>
              <w:bottom w:val="single" w:sz="4" w:space="0" w:color="auto"/>
            </w:tcBorders>
            <w:shd w:val="clear" w:color="auto" w:fill="FABF8F"/>
            <w:vAlign w:val="center"/>
          </w:tcPr>
          <w:p w14:paraId="5103748B" w14:textId="77777777" w:rsidR="00913A0A" w:rsidRPr="0058047D" w:rsidDel="00436016"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0C9ADA81" w14:textId="77777777" w:rsidR="00913A0A" w:rsidRPr="0058047D" w:rsidDel="00436016" w:rsidRDefault="002C4BA9" w:rsidP="001A63C6">
            <w:pPr>
              <w:pStyle w:val="TableText"/>
              <w:widowControl w:val="0"/>
              <w:rPr>
                <w:rFonts w:ascii="Tahoma" w:hAnsi="Tahoma" w:cs="Tahoma"/>
                <w:sz w:val="13"/>
              </w:rPr>
            </w:pPr>
            <w:r w:rsidRPr="0058047D">
              <w:rPr>
                <w:rFonts w:ascii="Tahoma" w:hAnsi="Tahoma" w:cs="Tahoma"/>
                <w:sz w:val="13"/>
              </w:rPr>
              <w:t>A</w:t>
            </w:r>
          </w:p>
        </w:tc>
      </w:tr>
      <w:tr w:rsidR="009323A0" w:rsidRPr="0058047D" w:rsidDel="00436016" w14:paraId="1D552D61" w14:textId="77777777" w:rsidTr="00C86F50">
        <w:trPr>
          <w:trHeight w:val="145"/>
        </w:trPr>
        <w:tc>
          <w:tcPr>
            <w:tcW w:w="2619" w:type="dxa"/>
            <w:gridSpan w:val="2"/>
            <w:tcBorders>
              <w:bottom w:val="single" w:sz="4" w:space="0" w:color="auto"/>
            </w:tcBorders>
            <w:shd w:val="clear" w:color="auto" w:fill="auto"/>
            <w:vAlign w:val="center"/>
          </w:tcPr>
          <w:p w14:paraId="18D2467B" w14:textId="77777777" w:rsidR="00913A0A" w:rsidRPr="0058047D" w:rsidRDefault="00913A0A" w:rsidP="001A63C6">
            <w:pPr>
              <w:pStyle w:val="Heading2"/>
              <w:ind w:left="-15" w:firstLine="15"/>
              <w:rPr>
                <w:rFonts w:ascii="Tahoma" w:hAnsi="Tahoma" w:cs="Tahoma"/>
                <w:b w:val="0"/>
                <w:sz w:val="14"/>
                <w:szCs w:val="16"/>
              </w:rPr>
            </w:pPr>
            <w:bookmarkStart w:id="311" w:name="_Toc336338023"/>
            <w:bookmarkStart w:id="312" w:name="_Toc371663428"/>
            <w:r w:rsidRPr="0058047D">
              <w:rPr>
                <w:rFonts w:ascii="Tahoma" w:hAnsi="Tahoma" w:cs="Tahoma"/>
                <w:b w:val="0"/>
                <w:sz w:val="14"/>
                <w:szCs w:val="14"/>
              </w:rPr>
              <w:t>Microsoft Translator API</w:t>
            </w:r>
            <w:bookmarkEnd w:id="311"/>
            <w:bookmarkEnd w:id="312"/>
          </w:p>
        </w:tc>
        <w:tc>
          <w:tcPr>
            <w:tcW w:w="554" w:type="dxa"/>
            <w:tcBorders>
              <w:bottom w:val="single" w:sz="4" w:space="0" w:color="auto"/>
            </w:tcBorders>
            <w:shd w:val="clear" w:color="auto" w:fill="auto"/>
            <w:vAlign w:val="center"/>
          </w:tcPr>
          <w:p w14:paraId="55E6AD61" w14:textId="77777777" w:rsidR="00913A0A" w:rsidRPr="0058047D" w:rsidRDefault="00913A0A" w:rsidP="001A63C6">
            <w:pPr>
              <w:pStyle w:val="TableText"/>
              <w:widowControl w:val="0"/>
              <w:rPr>
                <w:b/>
                <w:color w:val="0000FF"/>
                <w:sz w:val="13"/>
                <w:szCs w:val="13"/>
                <w:u w:val="single"/>
              </w:rPr>
            </w:pPr>
          </w:p>
        </w:tc>
        <w:tc>
          <w:tcPr>
            <w:tcW w:w="516" w:type="dxa"/>
            <w:tcBorders>
              <w:bottom w:val="single" w:sz="4" w:space="0" w:color="auto"/>
            </w:tcBorders>
            <w:shd w:val="clear" w:color="auto" w:fill="auto"/>
          </w:tcPr>
          <w:p w14:paraId="0D965422" w14:textId="77777777" w:rsidR="00913A0A" w:rsidRPr="0058047D" w:rsidRDefault="00913A0A" w:rsidP="001A63C6">
            <w:pPr>
              <w:pStyle w:val="TableText"/>
              <w:widowControl w:val="0"/>
              <w:spacing w:before="120"/>
              <w:rPr>
                <w:rFonts w:ascii="Tahoma" w:hAnsi="Tahoma" w:cs="Tahoma"/>
                <w:color w:val="000000"/>
                <w:sz w:val="13"/>
              </w:rPr>
            </w:pPr>
            <w:r w:rsidRPr="0058047D">
              <w:rPr>
                <w:rFonts w:ascii="Tahoma" w:hAnsi="Tahoma" w:cs="Tahoma"/>
                <w:color w:val="000000"/>
                <w:sz w:val="13"/>
              </w:rPr>
              <w:t>08/12</w:t>
            </w:r>
          </w:p>
        </w:tc>
        <w:tc>
          <w:tcPr>
            <w:tcW w:w="358" w:type="dxa"/>
            <w:tcBorders>
              <w:bottom w:val="single" w:sz="4" w:space="0" w:color="auto"/>
              <w:right w:val="single" w:sz="18" w:space="0" w:color="auto"/>
            </w:tcBorders>
            <w:shd w:val="clear" w:color="auto" w:fill="auto"/>
            <w:vAlign w:val="center"/>
          </w:tcPr>
          <w:p w14:paraId="5B26536C"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auto"/>
            <w:vAlign w:val="center"/>
          </w:tcPr>
          <w:p w14:paraId="685B437A" w14:textId="77777777" w:rsidR="00913A0A" w:rsidRPr="0058047D" w:rsidDel="00436016"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10389915" w14:textId="77777777" w:rsidR="00913A0A" w:rsidRPr="0058047D" w:rsidDel="00436016"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66557479" w14:textId="77777777" w:rsidR="00913A0A" w:rsidRPr="0058047D" w:rsidDel="00436016"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7762287C" w14:textId="77777777" w:rsidR="00913A0A" w:rsidRPr="0058047D"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BB817C8" w14:textId="77777777" w:rsidR="00913A0A" w:rsidRPr="0058047D"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0751B84" w14:textId="77777777" w:rsidR="00913A0A" w:rsidRPr="0058047D" w:rsidDel="00436016"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17AD51D9" w14:textId="77777777" w:rsidR="00913A0A" w:rsidRPr="0058047D" w:rsidDel="00436016"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6F29C2D4" w14:textId="77777777" w:rsidR="00913A0A" w:rsidRPr="0058047D"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024266B" w14:textId="77777777" w:rsidR="00913A0A" w:rsidRPr="0058047D" w:rsidDel="00436016"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75E2A3D2" w14:textId="77777777" w:rsidR="00913A0A" w:rsidRPr="0058047D" w:rsidDel="00436016"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12B39E09" w14:textId="77777777" w:rsidR="00913A0A" w:rsidRPr="0058047D" w:rsidDel="00436016"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0FC284B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346ABC05" w14:textId="77777777" w:rsidR="00913A0A" w:rsidRPr="0058047D" w:rsidDel="00436016"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vAlign w:val="center"/>
          </w:tcPr>
          <w:p w14:paraId="7DBBED98" w14:textId="77777777" w:rsidR="00913A0A" w:rsidRPr="0058047D"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auto"/>
            <w:vAlign w:val="center"/>
          </w:tcPr>
          <w:p w14:paraId="2D96E1FF" w14:textId="77777777" w:rsidR="00913A0A" w:rsidRPr="0058047D" w:rsidDel="00436016" w:rsidRDefault="00913A0A" w:rsidP="001A63C6">
            <w:pPr>
              <w:pStyle w:val="TableText"/>
              <w:widowControl w:val="0"/>
              <w:rPr>
                <w:rFonts w:ascii="Tahoma" w:hAnsi="Tahoma" w:cs="Tahoma"/>
                <w:sz w:val="13"/>
              </w:rPr>
            </w:pPr>
          </w:p>
        </w:tc>
        <w:tc>
          <w:tcPr>
            <w:tcW w:w="405" w:type="dxa"/>
            <w:tcBorders>
              <w:bottom w:val="single" w:sz="4" w:space="0" w:color="auto"/>
            </w:tcBorders>
          </w:tcPr>
          <w:p w14:paraId="1068BE32" w14:textId="77777777" w:rsidR="00913A0A" w:rsidRPr="0058047D" w:rsidDel="00436016" w:rsidRDefault="002C4BA9" w:rsidP="001A63C6">
            <w:pPr>
              <w:pStyle w:val="TableText"/>
              <w:widowControl w:val="0"/>
              <w:rPr>
                <w:rFonts w:ascii="Tahoma" w:hAnsi="Tahoma" w:cs="Tahoma"/>
                <w:sz w:val="13"/>
              </w:rPr>
            </w:pPr>
            <w:r w:rsidRPr="0058047D">
              <w:rPr>
                <w:rFonts w:ascii="Tahoma" w:hAnsi="Tahoma" w:cs="Tahoma"/>
                <w:sz w:val="13"/>
              </w:rPr>
              <w:t>A</w:t>
            </w:r>
          </w:p>
        </w:tc>
      </w:tr>
      <w:tr w:rsidR="009323A0" w:rsidRPr="0058047D" w:rsidDel="00436016" w14:paraId="29E671CE" w14:textId="77777777" w:rsidTr="00C86F50">
        <w:trPr>
          <w:trHeight w:val="145"/>
        </w:trPr>
        <w:tc>
          <w:tcPr>
            <w:tcW w:w="2619" w:type="dxa"/>
            <w:gridSpan w:val="2"/>
            <w:tcBorders>
              <w:bottom w:val="single" w:sz="4" w:space="0" w:color="auto"/>
            </w:tcBorders>
            <w:shd w:val="clear" w:color="auto" w:fill="FABF8F"/>
            <w:vAlign w:val="center"/>
          </w:tcPr>
          <w:p w14:paraId="67BA91F7" w14:textId="77777777" w:rsidR="00913A0A" w:rsidRPr="0058047D" w:rsidRDefault="00913A0A" w:rsidP="001A63C6">
            <w:pPr>
              <w:pStyle w:val="Heading2"/>
              <w:ind w:left="-15" w:firstLine="15"/>
              <w:rPr>
                <w:rFonts w:ascii="Tahoma" w:hAnsi="Tahoma" w:cs="Tahoma"/>
                <w:b w:val="0"/>
                <w:sz w:val="14"/>
                <w:szCs w:val="14"/>
              </w:rPr>
            </w:pPr>
            <w:bookmarkStart w:id="313" w:name="_Toc371663429"/>
            <w:r w:rsidRPr="0058047D">
              <w:rPr>
                <w:rFonts w:ascii="Tahoma" w:hAnsi="Tahoma" w:cs="Tahoma"/>
                <w:b w:val="0"/>
                <w:sz w:val="14"/>
                <w:szCs w:val="14"/>
              </w:rPr>
              <w:t xml:space="preserve">Office 365 Midsize Business </w:t>
            </w:r>
            <w:r w:rsidR="00295AED">
              <w:rPr>
                <w:rFonts w:ascii="Tahoma" w:hAnsi="Tahoma" w:cs="Tahoma"/>
                <w:b w:val="0"/>
                <w:sz w:val="14"/>
                <w:szCs w:val="14"/>
              </w:rPr>
              <w:br/>
            </w:r>
            <w:r w:rsidRPr="0058047D">
              <w:rPr>
                <w:rFonts w:ascii="Tahoma" w:hAnsi="Tahoma" w:cs="Tahoma"/>
                <w:b w:val="0"/>
                <w:sz w:val="14"/>
                <w:szCs w:val="14"/>
              </w:rPr>
              <w:t>(SL per Utente)</w:t>
            </w:r>
            <w:bookmarkEnd w:id="313"/>
          </w:p>
        </w:tc>
        <w:tc>
          <w:tcPr>
            <w:tcW w:w="554" w:type="dxa"/>
            <w:tcBorders>
              <w:bottom w:val="single" w:sz="4" w:space="0" w:color="auto"/>
            </w:tcBorders>
            <w:shd w:val="clear" w:color="auto" w:fill="FABF8F"/>
            <w:vAlign w:val="center"/>
          </w:tcPr>
          <w:p w14:paraId="7B7EA59E" w14:textId="77777777" w:rsidR="00913A0A" w:rsidRPr="0058047D" w:rsidRDefault="00913A0A" w:rsidP="001A63C6">
            <w:pPr>
              <w:pStyle w:val="TableText"/>
              <w:widowControl w:val="0"/>
              <w:rPr>
                <w:b/>
                <w:color w:val="0000FF"/>
                <w:sz w:val="13"/>
                <w:szCs w:val="13"/>
                <w:u w:val="single"/>
              </w:rPr>
            </w:pPr>
          </w:p>
        </w:tc>
        <w:tc>
          <w:tcPr>
            <w:tcW w:w="516" w:type="dxa"/>
            <w:tcBorders>
              <w:bottom w:val="single" w:sz="4" w:space="0" w:color="auto"/>
            </w:tcBorders>
            <w:shd w:val="clear" w:color="auto" w:fill="FABF8F"/>
          </w:tcPr>
          <w:p w14:paraId="44A48606" w14:textId="77777777" w:rsidR="00913A0A" w:rsidRPr="0058047D" w:rsidRDefault="00913A0A" w:rsidP="001A63C6">
            <w:pPr>
              <w:pStyle w:val="TableText"/>
              <w:widowControl w:val="0"/>
              <w:spacing w:before="120"/>
              <w:rPr>
                <w:rFonts w:ascii="Tahoma" w:hAnsi="Tahoma" w:cs="Tahoma"/>
                <w:color w:val="000000"/>
                <w:sz w:val="13"/>
              </w:rPr>
            </w:pPr>
            <w:r w:rsidRPr="0058047D">
              <w:rPr>
                <w:rFonts w:ascii="Tahoma" w:hAnsi="Tahoma" w:cs="Tahoma"/>
                <w:color w:val="000000"/>
                <w:sz w:val="13"/>
              </w:rPr>
              <w:t>03/13</w:t>
            </w:r>
          </w:p>
        </w:tc>
        <w:tc>
          <w:tcPr>
            <w:tcW w:w="358" w:type="dxa"/>
            <w:tcBorders>
              <w:bottom w:val="single" w:sz="4" w:space="0" w:color="auto"/>
              <w:right w:val="single" w:sz="18" w:space="0" w:color="auto"/>
            </w:tcBorders>
            <w:shd w:val="clear" w:color="auto" w:fill="FABF8F"/>
            <w:vAlign w:val="center"/>
          </w:tcPr>
          <w:p w14:paraId="76B6761C"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center"/>
          </w:tcPr>
          <w:p w14:paraId="50DDF985" w14:textId="77777777" w:rsidR="00913A0A" w:rsidRPr="0058047D" w:rsidDel="00436016"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6EBA4C23" w14:textId="77777777" w:rsidR="00913A0A" w:rsidRPr="0058047D" w:rsidDel="00436016"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7C07DF56" w14:textId="77777777" w:rsidR="00913A0A" w:rsidRPr="0058047D" w:rsidDel="00436016"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550FD390" w14:textId="77777777" w:rsidR="00913A0A" w:rsidRPr="0058047D"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415C0" w14:textId="77777777" w:rsidR="00913A0A" w:rsidRPr="0058047D"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83349CD" w14:textId="77777777" w:rsidR="00913A0A" w:rsidRPr="0058047D" w:rsidDel="00436016"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62A3429E" w14:textId="77777777" w:rsidR="00913A0A" w:rsidRPr="0058047D" w:rsidDel="00436016" w:rsidRDefault="00913A0A" w:rsidP="001A63C6">
            <w:pPr>
              <w:pStyle w:val="TableText"/>
              <w:widowControl w:val="0"/>
              <w:rPr>
                <w:rFonts w:ascii="Tahoma" w:hAnsi="Tahoma" w:cs="Tahoma"/>
                <w:sz w:val="13"/>
              </w:rPr>
            </w:pPr>
          </w:p>
        </w:tc>
        <w:tc>
          <w:tcPr>
            <w:tcW w:w="1341" w:type="dxa"/>
            <w:gridSpan w:val="3"/>
            <w:tcBorders>
              <w:left w:val="single" w:sz="18" w:space="0" w:color="auto"/>
              <w:bottom w:val="single" w:sz="4" w:space="0" w:color="auto"/>
              <w:right w:val="single" w:sz="18" w:space="0" w:color="auto"/>
            </w:tcBorders>
            <w:shd w:val="clear" w:color="auto" w:fill="FABF8F"/>
            <w:vAlign w:val="center"/>
          </w:tcPr>
          <w:p w14:paraId="2C3F9F0F" w14:textId="77777777" w:rsidR="00913A0A" w:rsidRPr="0058047D" w:rsidDel="00436016" w:rsidRDefault="00913A0A" w:rsidP="001A63C6">
            <w:pPr>
              <w:pStyle w:val="TableText"/>
              <w:widowControl w:val="0"/>
              <w:rPr>
                <w:rFonts w:ascii="Tahoma" w:hAnsi="Tahoma" w:cs="Tahoma"/>
                <w:sz w:val="13"/>
              </w:rPr>
            </w:pPr>
            <w:r w:rsidRPr="0058047D">
              <w:rPr>
                <w:rFonts w:ascii="Tahoma" w:hAnsi="Tahoma" w:cs="Tahoma"/>
                <w:sz w:val="13"/>
              </w:rPr>
              <w:t>1</w:t>
            </w:r>
          </w:p>
        </w:tc>
        <w:tc>
          <w:tcPr>
            <w:tcW w:w="468" w:type="dxa"/>
            <w:tcBorders>
              <w:left w:val="single" w:sz="18" w:space="0" w:color="auto"/>
              <w:bottom w:val="single" w:sz="4" w:space="0" w:color="auto"/>
            </w:tcBorders>
            <w:shd w:val="clear" w:color="auto" w:fill="FABF8F"/>
            <w:vAlign w:val="center"/>
          </w:tcPr>
          <w:p w14:paraId="1FC5DF5D" w14:textId="77777777" w:rsidR="00913A0A" w:rsidRPr="0058047D" w:rsidDel="00436016"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0516AF42"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524E1A7E" w14:textId="77777777" w:rsidR="00913A0A" w:rsidRPr="0058047D" w:rsidDel="00436016"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vAlign w:val="center"/>
          </w:tcPr>
          <w:p w14:paraId="195B315D" w14:textId="77777777" w:rsidR="00913A0A" w:rsidRPr="0058047D"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FABF8F"/>
            <w:vAlign w:val="center"/>
          </w:tcPr>
          <w:p w14:paraId="5A816B3D" w14:textId="77777777" w:rsidR="00913A0A" w:rsidRPr="0058047D" w:rsidDel="00436016" w:rsidRDefault="00913A0A" w:rsidP="001A63C6">
            <w:pPr>
              <w:pStyle w:val="TableText"/>
              <w:widowControl w:val="0"/>
              <w:rPr>
                <w:rFonts w:ascii="Tahoma" w:hAnsi="Tahoma" w:cs="Tahoma"/>
                <w:sz w:val="13"/>
              </w:rPr>
            </w:pPr>
            <w:r w:rsidRPr="0058047D">
              <w:rPr>
                <w:rFonts w:ascii="Tahoma" w:hAnsi="Tahoma" w:cs="Tahoma"/>
                <w:sz w:val="13"/>
              </w:rPr>
              <w:t>OL/OV</w:t>
            </w:r>
          </w:p>
        </w:tc>
        <w:tc>
          <w:tcPr>
            <w:tcW w:w="405" w:type="dxa"/>
            <w:tcBorders>
              <w:bottom w:val="single" w:sz="4" w:space="0" w:color="auto"/>
            </w:tcBorders>
            <w:shd w:val="clear" w:color="auto" w:fill="FABF8F"/>
          </w:tcPr>
          <w:p w14:paraId="31FBF4AD" w14:textId="77777777" w:rsidR="00913A0A" w:rsidRPr="0058047D" w:rsidRDefault="00913A0A" w:rsidP="001A63C6">
            <w:pPr>
              <w:pStyle w:val="TableText"/>
              <w:widowControl w:val="0"/>
              <w:rPr>
                <w:rFonts w:ascii="Tahoma" w:hAnsi="Tahoma" w:cs="Tahoma"/>
                <w:sz w:val="13"/>
              </w:rPr>
            </w:pPr>
          </w:p>
        </w:tc>
      </w:tr>
      <w:tr w:rsidR="009323A0" w:rsidRPr="0058047D" w:rsidDel="00436016" w14:paraId="39AAE2F8" w14:textId="77777777" w:rsidTr="00C86F50">
        <w:trPr>
          <w:trHeight w:val="145"/>
        </w:trPr>
        <w:tc>
          <w:tcPr>
            <w:tcW w:w="2619" w:type="dxa"/>
            <w:gridSpan w:val="2"/>
            <w:tcBorders>
              <w:bottom w:val="single" w:sz="4" w:space="0" w:color="auto"/>
            </w:tcBorders>
            <w:shd w:val="clear" w:color="auto" w:fill="auto"/>
            <w:vAlign w:val="center"/>
          </w:tcPr>
          <w:p w14:paraId="08A8C754" w14:textId="77777777" w:rsidR="00913A0A" w:rsidRPr="0058047D" w:rsidRDefault="00913A0A" w:rsidP="001A63C6">
            <w:pPr>
              <w:pStyle w:val="Heading2"/>
              <w:ind w:left="-15" w:firstLine="15"/>
              <w:rPr>
                <w:rFonts w:ascii="Tahoma" w:hAnsi="Tahoma" w:cs="Tahoma"/>
                <w:b w:val="0"/>
                <w:sz w:val="14"/>
                <w:szCs w:val="16"/>
              </w:rPr>
            </w:pPr>
            <w:bookmarkStart w:id="314" w:name="_Toc336338024"/>
            <w:bookmarkStart w:id="315" w:name="_Toc371663430"/>
            <w:r w:rsidRPr="0058047D">
              <w:rPr>
                <w:rFonts w:ascii="Tahoma" w:hAnsi="Tahoma" w:cs="Tahoma"/>
                <w:b w:val="0"/>
                <w:sz w:val="14"/>
                <w:szCs w:val="16"/>
              </w:rPr>
              <w:t>Office 365 Education A2 (SL per Utente)</w:t>
            </w:r>
            <w:bookmarkEnd w:id="314"/>
            <w:bookmarkEnd w:id="315"/>
          </w:p>
        </w:tc>
        <w:tc>
          <w:tcPr>
            <w:tcW w:w="554" w:type="dxa"/>
            <w:tcBorders>
              <w:bottom w:val="single" w:sz="4" w:space="0" w:color="auto"/>
            </w:tcBorders>
            <w:shd w:val="clear" w:color="auto" w:fill="auto"/>
            <w:vAlign w:val="center"/>
          </w:tcPr>
          <w:p w14:paraId="4DF38CAC" w14:textId="77777777" w:rsidR="00913A0A" w:rsidRPr="0058047D" w:rsidRDefault="00C86F50" w:rsidP="001A63C6">
            <w:pPr>
              <w:pStyle w:val="TableText"/>
              <w:widowControl w:val="0"/>
              <w:rPr>
                <w:b/>
                <w:color w:val="0000FF"/>
                <w:sz w:val="13"/>
                <w:szCs w:val="13"/>
                <w:u w:val="single"/>
              </w:rPr>
            </w:pPr>
            <w:hyperlink w:anchor="_5_Office_365_1" w:history="1">
              <w:r w:rsidR="00BF5FC6" w:rsidRPr="0058047D">
                <w:rPr>
                  <w:rStyle w:val="Hyperlink"/>
                  <w:b/>
                  <w:sz w:val="13"/>
                  <w:szCs w:val="13"/>
                </w:rPr>
                <w:t>5</w:t>
              </w:r>
            </w:hyperlink>
          </w:p>
        </w:tc>
        <w:tc>
          <w:tcPr>
            <w:tcW w:w="516" w:type="dxa"/>
            <w:tcBorders>
              <w:bottom w:val="single" w:sz="4" w:space="0" w:color="auto"/>
            </w:tcBorders>
            <w:shd w:val="clear" w:color="auto" w:fill="auto"/>
            <w:vAlign w:val="center"/>
          </w:tcPr>
          <w:p w14:paraId="1368944E"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06/12</w:t>
            </w:r>
          </w:p>
        </w:tc>
        <w:tc>
          <w:tcPr>
            <w:tcW w:w="358" w:type="dxa"/>
            <w:tcBorders>
              <w:bottom w:val="single" w:sz="4" w:space="0" w:color="auto"/>
              <w:right w:val="single" w:sz="18" w:space="0" w:color="auto"/>
            </w:tcBorders>
            <w:shd w:val="clear" w:color="auto" w:fill="auto"/>
            <w:vAlign w:val="center"/>
          </w:tcPr>
          <w:p w14:paraId="2E0E247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OSB</w:t>
            </w:r>
          </w:p>
        </w:tc>
        <w:tc>
          <w:tcPr>
            <w:tcW w:w="330" w:type="dxa"/>
            <w:tcBorders>
              <w:left w:val="single" w:sz="18" w:space="0" w:color="auto"/>
              <w:bottom w:val="single" w:sz="4" w:space="0" w:color="auto"/>
            </w:tcBorders>
            <w:shd w:val="clear" w:color="auto" w:fill="auto"/>
            <w:vAlign w:val="center"/>
          </w:tcPr>
          <w:p w14:paraId="6F98CE0D" w14:textId="77777777" w:rsidR="00913A0A" w:rsidRPr="0058047D" w:rsidDel="00436016"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5425C21B" w14:textId="77777777" w:rsidR="00913A0A" w:rsidRPr="0058047D" w:rsidDel="00436016"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4794698A" w14:textId="77777777" w:rsidR="00913A0A" w:rsidRPr="0058047D" w:rsidDel="00436016"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23A1A3E8" w14:textId="77777777" w:rsidR="00913A0A" w:rsidRPr="0058047D"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B19CDC8" w14:textId="77777777" w:rsidR="00913A0A" w:rsidRPr="0058047D"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F8249B" w14:textId="77777777" w:rsidR="00913A0A" w:rsidRPr="0058047D" w:rsidDel="00436016"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05A13BEF" w14:textId="77777777" w:rsidR="00913A0A" w:rsidRPr="0058047D" w:rsidDel="00436016"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1584E96A" w14:textId="77777777" w:rsidR="00913A0A" w:rsidRPr="0058047D"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6FB33B8" w14:textId="77777777" w:rsidR="00913A0A" w:rsidRPr="0058047D" w:rsidDel="00436016"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0DFBD3C4" w14:textId="77777777" w:rsidR="00913A0A" w:rsidRPr="0058047D" w:rsidDel="00436016"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10F7C958" w14:textId="77777777" w:rsidR="00913A0A" w:rsidRPr="0058047D" w:rsidDel="00436016"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0CF3DEDB"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02B93FA5" w14:textId="77777777" w:rsidR="00913A0A" w:rsidRPr="0058047D" w:rsidDel="00436016"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vAlign w:val="center"/>
          </w:tcPr>
          <w:p w14:paraId="17CB4661" w14:textId="77777777" w:rsidR="00913A0A" w:rsidRPr="0058047D" w:rsidDel="00436016" w:rsidRDefault="00913A0A" w:rsidP="001A63C6">
            <w:pPr>
              <w:pStyle w:val="TableText"/>
              <w:widowControl w:val="0"/>
              <w:rPr>
                <w:rFonts w:ascii="Tahoma" w:hAnsi="Tahoma" w:cs="Tahoma"/>
                <w:sz w:val="13"/>
              </w:rPr>
            </w:pPr>
            <w:r w:rsidRPr="0058047D">
              <w:rPr>
                <w:rFonts w:ascii="Tahoma" w:hAnsi="Tahoma" w:cs="Tahoma"/>
                <w:sz w:val="13"/>
              </w:rPr>
              <w:t>A, ST (Solo EES)</w:t>
            </w:r>
          </w:p>
        </w:tc>
        <w:tc>
          <w:tcPr>
            <w:tcW w:w="504" w:type="dxa"/>
            <w:tcBorders>
              <w:bottom w:val="single" w:sz="4" w:space="0" w:color="auto"/>
            </w:tcBorders>
            <w:shd w:val="clear" w:color="auto" w:fill="auto"/>
            <w:vAlign w:val="center"/>
          </w:tcPr>
          <w:p w14:paraId="6C57BBDF" w14:textId="77777777" w:rsidR="00913A0A" w:rsidRPr="0058047D" w:rsidDel="00436016" w:rsidRDefault="00913A0A" w:rsidP="001A63C6">
            <w:pPr>
              <w:pStyle w:val="TableText"/>
              <w:widowControl w:val="0"/>
              <w:rPr>
                <w:rFonts w:ascii="Tahoma" w:hAnsi="Tahoma" w:cs="Tahoma"/>
                <w:sz w:val="13"/>
              </w:rPr>
            </w:pPr>
          </w:p>
        </w:tc>
        <w:tc>
          <w:tcPr>
            <w:tcW w:w="405" w:type="dxa"/>
            <w:tcBorders>
              <w:bottom w:val="single" w:sz="4" w:space="0" w:color="auto"/>
            </w:tcBorders>
          </w:tcPr>
          <w:p w14:paraId="7CCF5989" w14:textId="77777777" w:rsidR="00913A0A" w:rsidRPr="0058047D" w:rsidDel="00436016" w:rsidRDefault="00913A0A" w:rsidP="001A63C6">
            <w:pPr>
              <w:pStyle w:val="TableText"/>
              <w:widowControl w:val="0"/>
              <w:rPr>
                <w:rFonts w:ascii="Tahoma" w:hAnsi="Tahoma" w:cs="Tahoma"/>
                <w:sz w:val="13"/>
              </w:rPr>
            </w:pPr>
          </w:p>
        </w:tc>
      </w:tr>
      <w:tr w:rsidR="009323A0" w:rsidRPr="0058047D" w:rsidDel="00436016" w14:paraId="43451F65" w14:textId="77777777" w:rsidTr="00C86F50">
        <w:trPr>
          <w:trHeight w:val="145"/>
        </w:trPr>
        <w:tc>
          <w:tcPr>
            <w:tcW w:w="2619" w:type="dxa"/>
            <w:gridSpan w:val="2"/>
            <w:tcBorders>
              <w:bottom w:val="single" w:sz="4" w:space="0" w:color="auto"/>
            </w:tcBorders>
            <w:shd w:val="clear" w:color="auto" w:fill="FABF8F"/>
            <w:vAlign w:val="center"/>
          </w:tcPr>
          <w:p w14:paraId="6BD203DB" w14:textId="77777777" w:rsidR="00913A0A" w:rsidRPr="0058047D" w:rsidRDefault="00913A0A" w:rsidP="001A63C6">
            <w:pPr>
              <w:pStyle w:val="Heading2"/>
              <w:ind w:left="-15" w:firstLine="15"/>
              <w:rPr>
                <w:rFonts w:ascii="Tahoma" w:hAnsi="Tahoma" w:cs="Tahoma"/>
                <w:b w:val="0"/>
                <w:sz w:val="14"/>
                <w:szCs w:val="16"/>
              </w:rPr>
            </w:pPr>
            <w:bookmarkStart w:id="316" w:name="_Toc336338025"/>
            <w:bookmarkStart w:id="317" w:name="_Toc371663431"/>
            <w:r w:rsidRPr="0058047D">
              <w:rPr>
                <w:rFonts w:ascii="Tahoma" w:hAnsi="Tahoma" w:cs="Tahoma"/>
                <w:b w:val="0"/>
                <w:sz w:val="14"/>
                <w:szCs w:val="16"/>
              </w:rPr>
              <w:t>Office 365 Education A3 (SL per Utente)</w:t>
            </w:r>
            <w:bookmarkEnd w:id="316"/>
            <w:bookmarkEnd w:id="317"/>
          </w:p>
        </w:tc>
        <w:tc>
          <w:tcPr>
            <w:tcW w:w="554" w:type="dxa"/>
            <w:tcBorders>
              <w:bottom w:val="single" w:sz="4" w:space="0" w:color="auto"/>
            </w:tcBorders>
            <w:shd w:val="clear" w:color="auto" w:fill="FABF8F"/>
            <w:vAlign w:val="center"/>
          </w:tcPr>
          <w:p w14:paraId="72EAD880" w14:textId="77777777" w:rsidR="00913A0A" w:rsidRPr="0058047D" w:rsidRDefault="00C86F50" w:rsidP="001A63C6">
            <w:pPr>
              <w:pStyle w:val="TableText"/>
              <w:widowControl w:val="0"/>
              <w:rPr>
                <w:b/>
                <w:color w:val="0000FF"/>
                <w:sz w:val="13"/>
                <w:szCs w:val="13"/>
                <w:u w:val="single"/>
              </w:rPr>
            </w:pPr>
            <w:hyperlink w:anchor="_5_Office_365_1" w:history="1">
              <w:r w:rsidR="00295AED" w:rsidRPr="0058047D">
                <w:rPr>
                  <w:rStyle w:val="Hyperlink"/>
                  <w:b/>
                  <w:sz w:val="13"/>
                  <w:szCs w:val="13"/>
                </w:rPr>
                <w:t>5</w:t>
              </w:r>
            </w:hyperlink>
          </w:p>
        </w:tc>
        <w:tc>
          <w:tcPr>
            <w:tcW w:w="516" w:type="dxa"/>
            <w:tcBorders>
              <w:bottom w:val="single" w:sz="4" w:space="0" w:color="auto"/>
            </w:tcBorders>
            <w:shd w:val="clear" w:color="auto" w:fill="FABF8F"/>
          </w:tcPr>
          <w:p w14:paraId="36808EBA" w14:textId="77777777" w:rsidR="00913A0A" w:rsidRPr="0058047D" w:rsidRDefault="00913A0A" w:rsidP="001A63C6">
            <w:pPr>
              <w:pStyle w:val="TableText"/>
              <w:widowControl w:val="0"/>
              <w:spacing w:before="120"/>
              <w:rPr>
                <w:rFonts w:ascii="Tahoma" w:hAnsi="Tahoma" w:cs="Tahoma"/>
                <w:color w:val="000000"/>
                <w:sz w:val="13"/>
              </w:rPr>
            </w:pPr>
            <w:r w:rsidRPr="0058047D">
              <w:rPr>
                <w:rFonts w:ascii="Tahoma" w:hAnsi="Tahoma" w:cs="Tahoma"/>
                <w:color w:val="000000"/>
                <w:sz w:val="13"/>
              </w:rPr>
              <w:t>06/12</w:t>
            </w:r>
          </w:p>
        </w:tc>
        <w:tc>
          <w:tcPr>
            <w:tcW w:w="358" w:type="dxa"/>
            <w:tcBorders>
              <w:bottom w:val="single" w:sz="4" w:space="0" w:color="auto"/>
              <w:right w:val="single" w:sz="18" w:space="0" w:color="auto"/>
            </w:tcBorders>
            <w:shd w:val="clear" w:color="auto" w:fill="FABF8F"/>
            <w:vAlign w:val="center"/>
          </w:tcPr>
          <w:p w14:paraId="7CF04285"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OSB</w:t>
            </w:r>
          </w:p>
        </w:tc>
        <w:tc>
          <w:tcPr>
            <w:tcW w:w="330" w:type="dxa"/>
            <w:tcBorders>
              <w:left w:val="single" w:sz="18" w:space="0" w:color="auto"/>
              <w:bottom w:val="single" w:sz="4" w:space="0" w:color="auto"/>
            </w:tcBorders>
            <w:shd w:val="clear" w:color="auto" w:fill="FABF8F"/>
            <w:vAlign w:val="center"/>
          </w:tcPr>
          <w:p w14:paraId="2834D710" w14:textId="77777777" w:rsidR="00913A0A" w:rsidRPr="0058047D" w:rsidDel="00436016"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0E2B4646" w14:textId="77777777" w:rsidR="00913A0A" w:rsidRPr="0058047D" w:rsidDel="00436016"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2D33AD85" w14:textId="77777777" w:rsidR="00913A0A" w:rsidRPr="0058047D" w:rsidDel="00436016"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329482BC" w14:textId="77777777" w:rsidR="00913A0A" w:rsidRPr="0058047D"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66841B7" w14:textId="77777777" w:rsidR="00913A0A" w:rsidRPr="0058047D"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8ADADAB" w14:textId="77777777" w:rsidR="00913A0A" w:rsidRPr="0058047D" w:rsidDel="00436016"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69EC6F0E" w14:textId="77777777" w:rsidR="00913A0A" w:rsidRPr="0058047D" w:rsidDel="00436016" w:rsidRDefault="00913A0A" w:rsidP="001A63C6">
            <w:pPr>
              <w:pStyle w:val="TableText"/>
              <w:widowControl w:val="0"/>
              <w:rPr>
                <w:rFonts w:ascii="Tahoma" w:hAnsi="Tahoma" w:cs="Tahoma"/>
                <w:sz w:val="13"/>
              </w:rPr>
            </w:pPr>
          </w:p>
        </w:tc>
        <w:tc>
          <w:tcPr>
            <w:tcW w:w="1341" w:type="dxa"/>
            <w:gridSpan w:val="3"/>
            <w:tcBorders>
              <w:left w:val="single" w:sz="18" w:space="0" w:color="auto"/>
              <w:bottom w:val="single" w:sz="4" w:space="0" w:color="auto"/>
              <w:right w:val="single" w:sz="18" w:space="0" w:color="auto"/>
            </w:tcBorders>
            <w:shd w:val="clear" w:color="auto" w:fill="FABF8F"/>
            <w:vAlign w:val="center"/>
          </w:tcPr>
          <w:p w14:paraId="2E6D688B" w14:textId="77777777" w:rsidR="00913A0A" w:rsidRPr="0058047D" w:rsidDel="00436016" w:rsidRDefault="00913A0A" w:rsidP="001A63C6">
            <w:pPr>
              <w:pStyle w:val="TableText"/>
              <w:widowControl w:val="0"/>
              <w:rPr>
                <w:rFonts w:ascii="Tahoma" w:hAnsi="Tahoma" w:cs="Tahoma"/>
                <w:sz w:val="13"/>
              </w:rPr>
            </w:pPr>
            <w:r w:rsidRPr="0058047D">
              <w:rPr>
                <w:rFonts w:ascii="Tahoma" w:hAnsi="Tahoma" w:cs="Tahoma"/>
                <w:sz w:val="13"/>
              </w:rPr>
              <w:t>2</w:t>
            </w:r>
          </w:p>
        </w:tc>
        <w:tc>
          <w:tcPr>
            <w:tcW w:w="468" w:type="dxa"/>
            <w:tcBorders>
              <w:left w:val="single" w:sz="18" w:space="0" w:color="auto"/>
              <w:bottom w:val="single" w:sz="4" w:space="0" w:color="auto"/>
            </w:tcBorders>
            <w:shd w:val="clear" w:color="auto" w:fill="FABF8F"/>
            <w:vAlign w:val="center"/>
          </w:tcPr>
          <w:p w14:paraId="36506B06" w14:textId="77777777" w:rsidR="00913A0A" w:rsidRPr="0058047D" w:rsidDel="00436016" w:rsidRDefault="00913A0A" w:rsidP="001A63C6">
            <w:pPr>
              <w:pStyle w:val="TableText"/>
              <w:widowControl w:val="0"/>
              <w:rPr>
                <w:rFonts w:ascii="Tahoma" w:hAnsi="Tahoma" w:cs="Tahoma"/>
                <w:sz w:val="13"/>
              </w:rPr>
            </w:pPr>
            <w:r w:rsidRPr="0058047D">
              <w:rPr>
                <w:rFonts w:ascii="Tahoma" w:hAnsi="Tahoma" w:cs="Tahoma"/>
                <w:sz w:val="13"/>
              </w:rPr>
              <w:t>2</w:t>
            </w:r>
          </w:p>
        </w:tc>
        <w:tc>
          <w:tcPr>
            <w:tcW w:w="477" w:type="dxa"/>
            <w:tcBorders>
              <w:bottom w:val="single" w:sz="4" w:space="0" w:color="auto"/>
              <w:right w:val="single" w:sz="18" w:space="0" w:color="auto"/>
            </w:tcBorders>
            <w:shd w:val="clear" w:color="auto" w:fill="FABF8F"/>
            <w:vAlign w:val="center"/>
          </w:tcPr>
          <w:p w14:paraId="46268671"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4F007EE8" w14:textId="77777777" w:rsidR="00913A0A" w:rsidRPr="0058047D" w:rsidDel="00436016"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vAlign w:val="center"/>
          </w:tcPr>
          <w:p w14:paraId="61116CA9" w14:textId="77777777" w:rsidR="00913A0A" w:rsidRPr="0058047D" w:rsidDel="00436016" w:rsidRDefault="00913A0A" w:rsidP="0047054A">
            <w:pPr>
              <w:pStyle w:val="TableText"/>
              <w:widowControl w:val="0"/>
              <w:spacing w:before="120"/>
              <w:rPr>
                <w:rFonts w:ascii="Tahoma" w:hAnsi="Tahoma" w:cs="Tahoma"/>
                <w:sz w:val="13"/>
              </w:rPr>
            </w:pPr>
            <w:r w:rsidRPr="0058047D">
              <w:rPr>
                <w:rFonts w:ascii="Tahoma" w:hAnsi="Tahoma" w:cs="Tahoma"/>
                <w:sz w:val="13"/>
              </w:rPr>
              <w:t xml:space="preserve">EOLS (Solo EES), </w:t>
            </w:r>
          </w:p>
        </w:tc>
        <w:tc>
          <w:tcPr>
            <w:tcW w:w="504" w:type="dxa"/>
            <w:tcBorders>
              <w:bottom w:val="single" w:sz="4" w:space="0" w:color="auto"/>
            </w:tcBorders>
            <w:shd w:val="clear" w:color="auto" w:fill="FABF8F"/>
            <w:vAlign w:val="center"/>
          </w:tcPr>
          <w:p w14:paraId="74827C30" w14:textId="77777777" w:rsidR="00913A0A" w:rsidRPr="0058047D" w:rsidDel="00436016" w:rsidRDefault="00913A0A" w:rsidP="001A63C6">
            <w:pPr>
              <w:pStyle w:val="TableText"/>
              <w:widowControl w:val="0"/>
              <w:rPr>
                <w:rFonts w:ascii="Tahoma" w:hAnsi="Tahoma" w:cs="Tahoma"/>
                <w:sz w:val="13"/>
              </w:rPr>
            </w:pPr>
            <w:r w:rsidRPr="0058047D">
              <w:rPr>
                <w:rFonts w:ascii="Tahoma" w:hAnsi="Tahoma" w:cs="Tahoma"/>
                <w:sz w:val="13"/>
              </w:rPr>
              <w:t>OL</w:t>
            </w:r>
          </w:p>
        </w:tc>
        <w:tc>
          <w:tcPr>
            <w:tcW w:w="405" w:type="dxa"/>
            <w:tcBorders>
              <w:bottom w:val="single" w:sz="4" w:space="0" w:color="auto"/>
            </w:tcBorders>
            <w:shd w:val="clear" w:color="auto" w:fill="FABF8F"/>
          </w:tcPr>
          <w:p w14:paraId="4CE333C0" w14:textId="77777777" w:rsidR="00913A0A" w:rsidRPr="0058047D" w:rsidRDefault="00913A0A" w:rsidP="001A63C6">
            <w:pPr>
              <w:pStyle w:val="TableText"/>
              <w:widowControl w:val="0"/>
              <w:rPr>
                <w:rFonts w:ascii="Tahoma" w:hAnsi="Tahoma" w:cs="Tahoma"/>
                <w:sz w:val="13"/>
              </w:rPr>
            </w:pPr>
          </w:p>
        </w:tc>
      </w:tr>
      <w:tr w:rsidR="009323A0" w:rsidRPr="0058047D" w14:paraId="0BE91713" w14:textId="77777777" w:rsidTr="00C86F50">
        <w:trPr>
          <w:trHeight w:val="145"/>
        </w:trPr>
        <w:tc>
          <w:tcPr>
            <w:tcW w:w="2619" w:type="dxa"/>
            <w:gridSpan w:val="2"/>
            <w:tcBorders>
              <w:bottom w:val="single" w:sz="4" w:space="0" w:color="auto"/>
            </w:tcBorders>
            <w:shd w:val="clear" w:color="auto" w:fill="auto"/>
            <w:vAlign w:val="center"/>
          </w:tcPr>
          <w:p w14:paraId="4DD24CF1" w14:textId="77777777" w:rsidR="00913A0A" w:rsidRPr="0058047D" w:rsidRDefault="00913A0A" w:rsidP="00E077BC">
            <w:pPr>
              <w:pStyle w:val="Heading2"/>
              <w:spacing w:beforeLines="20" w:before="48" w:afterLines="20" w:after="48"/>
              <w:ind w:left="0" w:firstLine="15"/>
              <w:rPr>
                <w:rFonts w:ascii="Tahoma" w:hAnsi="Tahoma" w:cs="Tahoma"/>
                <w:b w:val="0"/>
                <w:sz w:val="14"/>
                <w:szCs w:val="16"/>
              </w:rPr>
            </w:pPr>
            <w:bookmarkStart w:id="318" w:name="_Toc336338026"/>
            <w:bookmarkStart w:id="319" w:name="_Toc371663432"/>
            <w:r w:rsidRPr="0058047D">
              <w:rPr>
                <w:rFonts w:ascii="Tahoma" w:hAnsi="Tahoma" w:cs="Tahoma"/>
                <w:b w:val="0"/>
                <w:sz w:val="14"/>
                <w:szCs w:val="16"/>
              </w:rPr>
              <w:t>Office 365 Education A4 (SL per Utente)</w:t>
            </w:r>
            <w:bookmarkEnd w:id="318"/>
            <w:bookmarkEnd w:id="319"/>
          </w:p>
        </w:tc>
        <w:tc>
          <w:tcPr>
            <w:tcW w:w="554" w:type="dxa"/>
            <w:tcBorders>
              <w:bottom w:val="single" w:sz="4" w:space="0" w:color="auto"/>
            </w:tcBorders>
            <w:shd w:val="clear" w:color="auto" w:fill="auto"/>
            <w:vAlign w:val="center"/>
          </w:tcPr>
          <w:p w14:paraId="17DE9EEE" w14:textId="77777777" w:rsidR="00913A0A" w:rsidRPr="0058047D" w:rsidRDefault="00C86F50" w:rsidP="00295AED">
            <w:pPr>
              <w:pStyle w:val="TableText"/>
              <w:widowControl w:val="0"/>
              <w:rPr>
                <w:b/>
                <w:color w:val="0000FF"/>
                <w:sz w:val="13"/>
                <w:szCs w:val="13"/>
                <w:u w:val="single"/>
              </w:rPr>
            </w:pPr>
            <w:hyperlink w:anchor="_5_Office_365_1" w:history="1">
              <w:r w:rsidR="00295AED">
                <w:rPr>
                  <w:rStyle w:val="Hyperlink"/>
                  <w:b/>
                  <w:sz w:val="13"/>
                  <w:szCs w:val="13"/>
                </w:rPr>
                <w:t>v</w:t>
              </w:r>
            </w:hyperlink>
          </w:p>
        </w:tc>
        <w:tc>
          <w:tcPr>
            <w:tcW w:w="516" w:type="dxa"/>
            <w:tcBorders>
              <w:bottom w:val="single" w:sz="4" w:space="0" w:color="auto"/>
            </w:tcBorders>
            <w:shd w:val="clear" w:color="auto" w:fill="auto"/>
          </w:tcPr>
          <w:p w14:paraId="5283E115" w14:textId="77777777" w:rsidR="00913A0A" w:rsidRPr="0058047D" w:rsidRDefault="00913A0A" w:rsidP="001A63C6">
            <w:pPr>
              <w:pStyle w:val="TableText"/>
              <w:widowControl w:val="0"/>
              <w:spacing w:before="120"/>
              <w:rPr>
                <w:rFonts w:ascii="Tahoma" w:hAnsi="Tahoma" w:cs="Tahoma"/>
                <w:color w:val="000000"/>
                <w:sz w:val="13"/>
              </w:rPr>
            </w:pPr>
            <w:r w:rsidRPr="0058047D">
              <w:rPr>
                <w:rFonts w:ascii="Tahoma" w:hAnsi="Tahoma" w:cs="Tahoma"/>
                <w:color w:val="000000"/>
                <w:sz w:val="13"/>
              </w:rPr>
              <w:t>06/12</w:t>
            </w:r>
          </w:p>
        </w:tc>
        <w:tc>
          <w:tcPr>
            <w:tcW w:w="358" w:type="dxa"/>
            <w:tcBorders>
              <w:bottom w:val="single" w:sz="4" w:space="0" w:color="auto"/>
              <w:right w:val="single" w:sz="18" w:space="0" w:color="auto"/>
            </w:tcBorders>
            <w:shd w:val="clear" w:color="auto" w:fill="auto"/>
            <w:vAlign w:val="center"/>
          </w:tcPr>
          <w:p w14:paraId="285ECD8E"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OSB</w:t>
            </w:r>
          </w:p>
        </w:tc>
        <w:tc>
          <w:tcPr>
            <w:tcW w:w="330" w:type="dxa"/>
            <w:tcBorders>
              <w:left w:val="single" w:sz="18" w:space="0" w:color="auto"/>
              <w:bottom w:val="single" w:sz="4" w:space="0" w:color="auto"/>
            </w:tcBorders>
            <w:shd w:val="clear" w:color="auto" w:fill="auto"/>
            <w:vAlign w:val="center"/>
          </w:tcPr>
          <w:p w14:paraId="58007BC7"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25996E2A"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0A24182E"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25C044CD"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C1C26C4"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F08132E"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33D4ADB8"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011935CD"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F31B7AA"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715FC574"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0226F080"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77" w:type="dxa"/>
            <w:tcBorders>
              <w:bottom w:val="single" w:sz="4" w:space="0" w:color="auto"/>
              <w:right w:val="single" w:sz="18" w:space="0" w:color="auto"/>
            </w:tcBorders>
            <w:shd w:val="clear" w:color="auto" w:fill="auto"/>
            <w:vAlign w:val="center"/>
          </w:tcPr>
          <w:p w14:paraId="2AE50DA2"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3048BCFF"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vAlign w:val="center"/>
          </w:tcPr>
          <w:p w14:paraId="71875581" w14:textId="77777777" w:rsidR="00913A0A" w:rsidRPr="0058047D" w:rsidRDefault="00913A0A" w:rsidP="001A63C6">
            <w:pPr>
              <w:pStyle w:val="TableText"/>
              <w:widowControl w:val="0"/>
              <w:spacing w:before="120"/>
              <w:rPr>
                <w:rFonts w:ascii="Tahoma" w:hAnsi="Tahoma" w:cs="Tahoma"/>
                <w:sz w:val="13"/>
              </w:rPr>
            </w:pPr>
            <w:r w:rsidRPr="0058047D">
              <w:rPr>
                <w:rFonts w:ascii="Tahoma" w:hAnsi="Tahoma" w:cs="Tahoma"/>
                <w:sz w:val="13"/>
              </w:rPr>
              <w:t>EOLS (Solo EES)</w:t>
            </w:r>
          </w:p>
        </w:tc>
        <w:tc>
          <w:tcPr>
            <w:tcW w:w="504" w:type="dxa"/>
            <w:tcBorders>
              <w:bottom w:val="single" w:sz="4" w:space="0" w:color="auto"/>
            </w:tcBorders>
            <w:shd w:val="clear" w:color="auto" w:fill="auto"/>
            <w:vAlign w:val="center"/>
          </w:tcPr>
          <w:p w14:paraId="6FE83204"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tcPr>
          <w:p w14:paraId="39D3C2E8" w14:textId="77777777" w:rsidR="00913A0A" w:rsidRPr="0058047D" w:rsidRDefault="00913A0A" w:rsidP="001A63C6">
            <w:pPr>
              <w:pStyle w:val="TableText"/>
              <w:widowControl w:val="0"/>
              <w:rPr>
                <w:rFonts w:ascii="Tahoma" w:hAnsi="Tahoma" w:cs="Tahoma"/>
                <w:sz w:val="13"/>
              </w:rPr>
            </w:pPr>
          </w:p>
        </w:tc>
      </w:tr>
      <w:tr w:rsidR="009323A0" w:rsidRPr="0058047D" w14:paraId="08AA41BE" w14:textId="77777777" w:rsidTr="00C86F50">
        <w:trPr>
          <w:trHeight w:val="145"/>
        </w:trPr>
        <w:tc>
          <w:tcPr>
            <w:tcW w:w="2619" w:type="dxa"/>
            <w:gridSpan w:val="2"/>
            <w:tcBorders>
              <w:bottom w:val="single" w:sz="4" w:space="0" w:color="auto"/>
            </w:tcBorders>
            <w:shd w:val="clear" w:color="auto" w:fill="FABF8F"/>
            <w:vAlign w:val="center"/>
          </w:tcPr>
          <w:p w14:paraId="0826F0BF" w14:textId="77777777" w:rsidR="000956ED" w:rsidRPr="003F471F" w:rsidRDefault="000956ED" w:rsidP="00E077BC">
            <w:pPr>
              <w:pStyle w:val="Heading2"/>
              <w:spacing w:beforeLines="20" w:before="48" w:afterLines="20" w:after="48"/>
              <w:ind w:left="0" w:firstLine="15"/>
              <w:rPr>
                <w:rFonts w:ascii="Tahoma" w:hAnsi="Tahoma" w:cs="Tahoma"/>
                <w:b w:val="0"/>
                <w:sz w:val="14"/>
                <w:szCs w:val="16"/>
                <w:lang w:val="it-IT"/>
              </w:rPr>
            </w:pPr>
            <w:bookmarkStart w:id="320" w:name="_Toc336338028"/>
            <w:bookmarkStart w:id="321" w:name="_Toc371663433"/>
            <w:r w:rsidRPr="003F471F">
              <w:rPr>
                <w:rFonts w:ascii="Tahoma" w:hAnsi="Tahoma" w:cs="Tahoma"/>
                <w:b w:val="0"/>
                <w:sz w:val="14"/>
                <w:szCs w:val="16"/>
                <w:lang w:val="it-IT"/>
              </w:rPr>
              <w:t>Office 365 Enterprise E3 (SL per Utente)</w:t>
            </w:r>
            <w:bookmarkEnd w:id="320"/>
            <w:bookmarkEnd w:id="321"/>
          </w:p>
        </w:tc>
        <w:tc>
          <w:tcPr>
            <w:tcW w:w="554" w:type="dxa"/>
            <w:tcBorders>
              <w:bottom w:val="single" w:sz="4" w:space="0" w:color="auto"/>
            </w:tcBorders>
            <w:shd w:val="clear" w:color="auto" w:fill="FABF8F"/>
            <w:vAlign w:val="center"/>
          </w:tcPr>
          <w:p w14:paraId="58EE95BE" w14:textId="77777777" w:rsidR="000956ED" w:rsidRPr="0058047D" w:rsidRDefault="00C86F50" w:rsidP="00132E08">
            <w:pPr>
              <w:pStyle w:val="TableText"/>
              <w:widowControl w:val="0"/>
              <w:rPr>
                <w:b/>
                <w:color w:val="0000FF"/>
                <w:sz w:val="13"/>
                <w:szCs w:val="13"/>
                <w:u w:val="single"/>
              </w:rPr>
            </w:pPr>
            <w:hyperlink w:anchor="_7_Office_365_1" w:history="1">
              <w:r w:rsidR="00BF5FC6" w:rsidRPr="0058047D">
                <w:rPr>
                  <w:rStyle w:val="Hyperlink"/>
                  <w:b/>
                  <w:sz w:val="13"/>
                  <w:szCs w:val="13"/>
                </w:rPr>
                <w:t>8</w:t>
              </w:r>
            </w:hyperlink>
            <w:hyperlink w:anchor="_65_Office_365" w:history="1"/>
          </w:p>
        </w:tc>
        <w:tc>
          <w:tcPr>
            <w:tcW w:w="516" w:type="dxa"/>
            <w:tcBorders>
              <w:bottom w:val="single" w:sz="4" w:space="0" w:color="auto"/>
            </w:tcBorders>
            <w:shd w:val="clear" w:color="auto" w:fill="FABF8F"/>
          </w:tcPr>
          <w:p w14:paraId="53F3895E" w14:textId="77777777" w:rsidR="000956ED" w:rsidRPr="0058047D" w:rsidRDefault="000956ED" w:rsidP="001A63C6">
            <w:pPr>
              <w:pStyle w:val="TableText"/>
              <w:widowControl w:val="0"/>
              <w:spacing w:before="120"/>
              <w:rPr>
                <w:rFonts w:ascii="Tahoma" w:hAnsi="Tahoma" w:cs="Tahoma"/>
                <w:color w:val="000000"/>
                <w:sz w:val="13"/>
              </w:rPr>
            </w:pPr>
            <w:r w:rsidRPr="0058047D">
              <w:rPr>
                <w:rFonts w:ascii="Tahoma" w:hAnsi="Tahoma" w:cs="Tahoma"/>
                <w:color w:val="000000"/>
                <w:sz w:val="13"/>
              </w:rPr>
              <w:t>06/11</w:t>
            </w:r>
          </w:p>
        </w:tc>
        <w:tc>
          <w:tcPr>
            <w:tcW w:w="358" w:type="dxa"/>
            <w:tcBorders>
              <w:bottom w:val="single" w:sz="4" w:space="0" w:color="auto"/>
              <w:right w:val="single" w:sz="18" w:space="0" w:color="auto"/>
            </w:tcBorders>
            <w:shd w:val="clear" w:color="auto" w:fill="FABF8F"/>
            <w:vAlign w:val="center"/>
          </w:tcPr>
          <w:p w14:paraId="40E9B1D7" w14:textId="77777777" w:rsidR="000956ED" w:rsidRPr="0058047D" w:rsidRDefault="000956ED" w:rsidP="001A63C6">
            <w:pPr>
              <w:pStyle w:val="TableText"/>
              <w:widowControl w:val="0"/>
              <w:rPr>
                <w:rFonts w:ascii="Tahoma" w:hAnsi="Tahoma" w:cs="Tahoma"/>
                <w:sz w:val="13"/>
              </w:rPr>
            </w:pPr>
            <w:r w:rsidRPr="0058047D">
              <w:rPr>
                <w:rFonts w:ascii="Tahoma" w:hAnsi="Tahoma" w:cs="Tahoma"/>
                <w:sz w:val="13"/>
              </w:rPr>
              <w:t>OSB</w:t>
            </w:r>
          </w:p>
        </w:tc>
        <w:tc>
          <w:tcPr>
            <w:tcW w:w="330" w:type="dxa"/>
            <w:tcBorders>
              <w:left w:val="single" w:sz="18" w:space="0" w:color="auto"/>
              <w:bottom w:val="single" w:sz="4" w:space="0" w:color="auto"/>
            </w:tcBorders>
            <w:shd w:val="clear" w:color="auto" w:fill="FABF8F"/>
            <w:vAlign w:val="center"/>
          </w:tcPr>
          <w:p w14:paraId="60586503" w14:textId="77777777" w:rsidR="000956ED" w:rsidRPr="0058047D" w:rsidRDefault="000956ED"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3A28111C" w14:textId="77777777" w:rsidR="000956ED" w:rsidRPr="0058047D" w:rsidRDefault="000956ED"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2E254407" w14:textId="77777777" w:rsidR="000956ED" w:rsidRPr="0058047D" w:rsidRDefault="000956ED"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66AF86C0" w14:textId="77777777" w:rsidR="000956ED" w:rsidRPr="0058047D" w:rsidRDefault="000956ED"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6D15527" w14:textId="77777777" w:rsidR="000956ED" w:rsidRPr="0058047D" w:rsidRDefault="000956ED"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7BCBE77" w14:textId="77777777" w:rsidR="000956ED" w:rsidRPr="0058047D" w:rsidRDefault="000956ED"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7EE3BA76" w14:textId="77777777" w:rsidR="000956ED" w:rsidRPr="0058047D" w:rsidRDefault="000956ED" w:rsidP="001A63C6">
            <w:pPr>
              <w:pStyle w:val="TableText"/>
              <w:widowControl w:val="0"/>
              <w:rPr>
                <w:rFonts w:ascii="Tahoma" w:hAnsi="Tahoma" w:cs="Tahoma"/>
                <w:sz w:val="13"/>
              </w:rPr>
            </w:pPr>
          </w:p>
        </w:tc>
        <w:tc>
          <w:tcPr>
            <w:tcW w:w="1341" w:type="dxa"/>
            <w:gridSpan w:val="3"/>
            <w:tcBorders>
              <w:left w:val="single" w:sz="18" w:space="0" w:color="auto"/>
              <w:bottom w:val="single" w:sz="4" w:space="0" w:color="auto"/>
              <w:right w:val="single" w:sz="18" w:space="0" w:color="auto"/>
            </w:tcBorders>
            <w:shd w:val="clear" w:color="auto" w:fill="FABF8F"/>
            <w:vAlign w:val="center"/>
          </w:tcPr>
          <w:p w14:paraId="01753BE7" w14:textId="77777777" w:rsidR="000956ED" w:rsidRPr="0058047D" w:rsidRDefault="000956ED" w:rsidP="001A63C6">
            <w:pPr>
              <w:pStyle w:val="TableText"/>
              <w:widowControl w:val="0"/>
              <w:rPr>
                <w:rFonts w:ascii="Tahoma" w:hAnsi="Tahoma" w:cs="Tahoma"/>
                <w:sz w:val="13"/>
              </w:rPr>
            </w:pPr>
            <w:r w:rsidRPr="0058047D">
              <w:rPr>
                <w:rFonts w:ascii="Tahoma" w:hAnsi="Tahoma" w:cs="Tahoma"/>
                <w:sz w:val="13"/>
              </w:rPr>
              <w:t>2</w:t>
            </w:r>
          </w:p>
        </w:tc>
        <w:tc>
          <w:tcPr>
            <w:tcW w:w="468" w:type="dxa"/>
            <w:tcBorders>
              <w:left w:val="single" w:sz="18" w:space="0" w:color="auto"/>
              <w:bottom w:val="single" w:sz="4" w:space="0" w:color="auto"/>
            </w:tcBorders>
            <w:shd w:val="clear" w:color="auto" w:fill="FABF8F"/>
            <w:vAlign w:val="center"/>
          </w:tcPr>
          <w:p w14:paraId="0987CA4A" w14:textId="77777777" w:rsidR="000956ED" w:rsidRPr="0058047D" w:rsidRDefault="000956ED"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3968234B" w14:textId="77777777" w:rsidR="000956ED" w:rsidRPr="0058047D" w:rsidRDefault="000956ED" w:rsidP="001A63C6">
            <w:pPr>
              <w:pStyle w:val="TableText"/>
              <w:widowControl w:val="0"/>
              <w:rPr>
                <w:rFonts w:ascii="Tahoma" w:hAnsi="Tahoma" w:cs="Tahoma"/>
                <w:sz w:val="13"/>
              </w:rPr>
            </w:pPr>
            <w:r w:rsidRPr="0058047D">
              <w:rPr>
                <w:rFonts w:ascii="Tahoma" w:hAnsi="Tahoma" w:cs="Tahoma"/>
                <w:sz w:val="13"/>
              </w:rPr>
              <w:t>EOLS</w:t>
            </w:r>
          </w:p>
        </w:tc>
        <w:tc>
          <w:tcPr>
            <w:tcW w:w="324" w:type="dxa"/>
            <w:tcBorders>
              <w:left w:val="single" w:sz="18" w:space="0" w:color="auto"/>
              <w:bottom w:val="single" w:sz="4" w:space="0" w:color="auto"/>
              <w:right w:val="single" w:sz="18" w:space="0" w:color="auto"/>
            </w:tcBorders>
            <w:shd w:val="clear" w:color="auto" w:fill="FABF8F"/>
            <w:vAlign w:val="center"/>
          </w:tcPr>
          <w:p w14:paraId="6B1ED23E" w14:textId="77777777" w:rsidR="000956ED" w:rsidRPr="0058047D" w:rsidRDefault="000956ED"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tcPr>
          <w:p w14:paraId="18747C87" w14:textId="77777777" w:rsidR="000956ED" w:rsidRPr="0058047D" w:rsidRDefault="000956ED"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FABF8F"/>
            <w:vAlign w:val="center"/>
          </w:tcPr>
          <w:p w14:paraId="47D9FF04" w14:textId="77777777" w:rsidR="000956ED" w:rsidRPr="0058047D" w:rsidRDefault="000956ED" w:rsidP="001A63C6">
            <w:pPr>
              <w:pStyle w:val="TableText"/>
              <w:widowControl w:val="0"/>
              <w:rPr>
                <w:rFonts w:ascii="Tahoma" w:hAnsi="Tahoma" w:cs="Tahoma"/>
                <w:sz w:val="13"/>
              </w:rPr>
            </w:pPr>
            <w:r w:rsidRPr="0058047D">
              <w:rPr>
                <w:rFonts w:ascii="Tahoma" w:hAnsi="Tahoma" w:cs="Tahoma"/>
                <w:sz w:val="13"/>
              </w:rPr>
              <w:t>OL/OV</w:t>
            </w:r>
          </w:p>
        </w:tc>
        <w:tc>
          <w:tcPr>
            <w:tcW w:w="405" w:type="dxa"/>
            <w:tcBorders>
              <w:bottom w:val="single" w:sz="4" w:space="0" w:color="auto"/>
            </w:tcBorders>
            <w:shd w:val="clear" w:color="auto" w:fill="FABF8F"/>
          </w:tcPr>
          <w:p w14:paraId="11190A3B" w14:textId="77777777" w:rsidR="000956ED" w:rsidRPr="0058047D" w:rsidRDefault="000956ED" w:rsidP="001A63C6">
            <w:pPr>
              <w:pStyle w:val="TableText"/>
              <w:widowControl w:val="0"/>
              <w:rPr>
                <w:rFonts w:ascii="Tahoma" w:hAnsi="Tahoma" w:cs="Tahoma"/>
                <w:sz w:val="13"/>
              </w:rPr>
            </w:pPr>
          </w:p>
        </w:tc>
      </w:tr>
      <w:tr w:rsidR="009323A0" w:rsidRPr="0058047D" w14:paraId="0B58C758" w14:textId="77777777" w:rsidTr="00C86F50">
        <w:trPr>
          <w:trHeight w:val="145"/>
        </w:trPr>
        <w:tc>
          <w:tcPr>
            <w:tcW w:w="2619" w:type="dxa"/>
            <w:gridSpan w:val="2"/>
            <w:tcBorders>
              <w:bottom w:val="single" w:sz="4" w:space="0" w:color="auto"/>
            </w:tcBorders>
            <w:shd w:val="clear" w:color="auto" w:fill="auto"/>
            <w:vAlign w:val="center"/>
          </w:tcPr>
          <w:p w14:paraId="06A8D45E" w14:textId="77777777" w:rsidR="00913A0A" w:rsidRPr="003F471F" w:rsidRDefault="00913A0A" w:rsidP="00E077BC">
            <w:pPr>
              <w:pStyle w:val="Heading2"/>
              <w:spacing w:beforeLines="20" w:before="48" w:afterLines="20" w:after="48"/>
              <w:ind w:left="0" w:firstLine="15"/>
              <w:rPr>
                <w:rFonts w:ascii="Tahoma" w:hAnsi="Tahoma" w:cs="Tahoma"/>
                <w:b w:val="0"/>
                <w:sz w:val="14"/>
                <w:szCs w:val="16"/>
                <w:lang w:val="it-IT"/>
              </w:rPr>
            </w:pPr>
            <w:bookmarkStart w:id="322" w:name="_Toc371663434"/>
            <w:r w:rsidRPr="003F471F">
              <w:rPr>
                <w:rFonts w:ascii="Tahoma" w:hAnsi="Tahoma" w:cs="Tahoma"/>
                <w:b w:val="0"/>
                <w:sz w:val="14"/>
                <w:szCs w:val="16"/>
                <w:lang w:val="it-IT"/>
              </w:rPr>
              <w:t>Office 365 Enterprise E4 (SL per Utente)</w:t>
            </w:r>
            <w:bookmarkEnd w:id="322"/>
          </w:p>
        </w:tc>
        <w:tc>
          <w:tcPr>
            <w:tcW w:w="554" w:type="dxa"/>
            <w:tcBorders>
              <w:bottom w:val="single" w:sz="4" w:space="0" w:color="auto"/>
            </w:tcBorders>
            <w:shd w:val="clear" w:color="auto" w:fill="auto"/>
            <w:vAlign w:val="center"/>
          </w:tcPr>
          <w:p w14:paraId="15E7D26C" w14:textId="77777777" w:rsidR="00913A0A" w:rsidRPr="0058047D" w:rsidRDefault="00C86F50" w:rsidP="000B5EFD">
            <w:pPr>
              <w:pStyle w:val="TableText"/>
              <w:widowControl w:val="0"/>
            </w:pPr>
            <w:hyperlink w:anchor="_7_Office_365_1" w:history="1">
              <w:r w:rsidR="00295AED" w:rsidRPr="0058047D">
                <w:rPr>
                  <w:rStyle w:val="Hyperlink"/>
                  <w:b/>
                  <w:sz w:val="13"/>
                  <w:szCs w:val="13"/>
                </w:rPr>
                <w:t>8</w:t>
              </w:r>
            </w:hyperlink>
            <w:hyperlink w:anchor="_65_Office_365" w:history="1"/>
          </w:p>
        </w:tc>
        <w:tc>
          <w:tcPr>
            <w:tcW w:w="516" w:type="dxa"/>
            <w:tcBorders>
              <w:bottom w:val="single" w:sz="4" w:space="0" w:color="auto"/>
            </w:tcBorders>
            <w:shd w:val="clear" w:color="auto" w:fill="auto"/>
          </w:tcPr>
          <w:p w14:paraId="79803C84" w14:textId="77777777" w:rsidR="00913A0A" w:rsidRPr="0058047D" w:rsidRDefault="00913A0A" w:rsidP="000B5EFD">
            <w:pPr>
              <w:pStyle w:val="TableText"/>
              <w:widowControl w:val="0"/>
              <w:spacing w:before="120"/>
              <w:rPr>
                <w:rFonts w:ascii="Tahoma" w:hAnsi="Tahoma" w:cs="Tahoma"/>
                <w:color w:val="000000"/>
                <w:sz w:val="13"/>
              </w:rPr>
            </w:pPr>
            <w:r w:rsidRPr="0058047D">
              <w:rPr>
                <w:rFonts w:ascii="Tahoma" w:hAnsi="Tahoma" w:cs="Tahoma"/>
                <w:color w:val="000000"/>
                <w:sz w:val="13"/>
              </w:rPr>
              <w:t>06/11</w:t>
            </w:r>
          </w:p>
        </w:tc>
        <w:tc>
          <w:tcPr>
            <w:tcW w:w="358" w:type="dxa"/>
            <w:tcBorders>
              <w:bottom w:val="single" w:sz="4" w:space="0" w:color="auto"/>
              <w:right w:val="single" w:sz="18" w:space="0" w:color="auto"/>
            </w:tcBorders>
            <w:shd w:val="clear" w:color="auto" w:fill="auto"/>
            <w:vAlign w:val="center"/>
          </w:tcPr>
          <w:p w14:paraId="479E9880" w14:textId="77777777" w:rsidR="00913A0A" w:rsidRPr="0058047D" w:rsidRDefault="00913A0A" w:rsidP="000B5EFD">
            <w:pPr>
              <w:pStyle w:val="TableText"/>
              <w:widowControl w:val="0"/>
              <w:rPr>
                <w:rFonts w:ascii="Tahoma" w:hAnsi="Tahoma" w:cs="Tahoma"/>
                <w:sz w:val="13"/>
              </w:rPr>
            </w:pPr>
            <w:r w:rsidRPr="0058047D">
              <w:rPr>
                <w:rFonts w:ascii="Tahoma" w:hAnsi="Tahoma" w:cs="Tahoma"/>
                <w:sz w:val="13"/>
              </w:rPr>
              <w:t>OSB</w:t>
            </w:r>
          </w:p>
        </w:tc>
        <w:tc>
          <w:tcPr>
            <w:tcW w:w="330" w:type="dxa"/>
            <w:tcBorders>
              <w:left w:val="single" w:sz="18" w:space="0" w:color="auto"/>
              <w:bottom w:val="single" w:sz="4" w:space="0" w:color="auto"/>
            </w:tcBorders>
            <w:shd w:val="clear" w:color="auto" w:fill="auto"/>
            <w:vAlign w:val="center"/>
          </w:tcPr>
          <w:p w14:paraId="2A4D4CC7" w14:textId="77777777" w:rsidR="00913A0A" w:rsidRPr="0058047D" w:rsidRDefault="00913A0A" w:rsidP="000B5EFD">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728745CE" w14:textId="77777777" w:rsidR="00913A0A" w:rsidRPr="0058047D" w:rsidRDefault="00913A0A" w:rsidP="000B5EFD">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4A8DF608" w14:textId="77777777" w:rsidR="00913A0A" w:rsidRPr="0058047D" w:rsidRDefault="00913A0A" w:rsidP="000B5EFD">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43247709" w14:textId="77777777" w:rsidR="00913A0A" w:rsidRPr="0058047D" w:rsidRDefault="00913A0A" w:rsidP="000B5EF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8F75DD9" w14:textId="77777777" w:rsidR="00913A0A" w:rsidRPr="0058047D" w:rsidRDefault="00913A0A" w:rsidP="000B5EF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4D835E8" w14:textId="77777777" w:rsidR="00913A0A" w:rsidRPr="0058047D" w:rsidRDefault="00913A0A" w:rsidP="000B5EFD">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2598EA96" w14:textId="77777777" w:rsidR="00913A0A" w:rsidRPr="0058047D" w:rsidRDefault="00913A0A" w:rsidP="000B5EFD">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766C4625" w14:textId="77777777" w:rsidR="00913A0A" w:rsidRPr="0058047D" w:rsidRDefault="00913A0A" w:rsidP="000B5EF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2CBE87C" w14:textId="77777777" w:rsidR="00913A0A" w:rsidRPr="0058047D" w:rsidRDefault="00913A0A" w:rsidP="000B5EFD">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53A2BE61" w14:textId="77777777" w:rsidR="00913A0A" w:rsidRPr="0058047D" w:rsidRDefault="00913A0A" w:rsidP="000B5EFD">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256E6735" w14:textId="77777777" w:rsidR="00913A0A" w:rsidRPr="0058047D" w:rsidRDefault="00913A0A" w:rsidP="000B5EFD">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177A192C" w14:textId="77777777" w:rsidR="00913A0A" w:rsidRPr="0058047D" w:rsidRDefault="00913A0A" w:rsidP="000B5EFD">
            <w:pPr>
              <w:pStyle w:val="TableText"/>
              <w:widowControl w:val="0"/>
              <w:rPr>
                <w:rFonts w:ascii="Tahoma" w:hAnsi="Tahoma" w:cs="Tahoma"/>
                <w:sz w:val="13"/>
              </w:rPr>
            </w:pPr>
            <w:r w:rsidRPr="0058047D">
              <w:rPr>
                <w:rFonts w:ascii="Tahoma" w:hAnsi="Tahoma" w:cs="Tahoma"/>
                <w:sz w:val="13"/>
              </w:rPr>
              <w:t>EOLS</w:t>
            </w:r>
          </w:p>
        </w:tc>
        <w:tc>
          <w:tcPr>
            <w:tcW w:w="324" w:type="dxa"/>
            <w:tcBorders>
              <w:left w:val="single" w:sz="18" w:space="0" w:color="auto"/>
              <w:bottom w:val="single" w:sz="4" w:space="0" w:color="auto"/>
              <w:right w:val="single" w:sz="18" w:space="0" w:color="auto"/>
            </w:tcBorders>
            <w:shd w:val="clear" w:color="auto" w:fill="auto"/>
            <w:vAlign w:val="center"/>
          </w:tcPr>
          <w:p w14:paraId="42247A50" w14:textId="77777777" w:rsidR="00913A0A" w:rsidRPr="0058047D" w:rsidRDefault="00913A0A" w:rsidP="000B5EFD">
            <w:pPr>
              <w:pStyle w:val="TableText"/>
              <w:widowControl w:val="0"/>
              <w:rPr>
                <w:rFonts w:ascii="Tahoma" w:hAnsi="Tahoma" w:cs="Tahoma"/>
                <w:sz w:val="13"/>
              </w:rPr>
            </w:pPr>
          </w:p>
        </w:tc>
        <w:tc>
          <w:tcPr>
            <w:tcW w:w="655" w:type="dxa"/>
            <w:tcBorders>
              <w:bottom w:val="single" w:sz="4" w:space="0" w:color="auto"/>
            </w:tcBorders>
            <w:shd w:val="clear" w:color="auto" w:fill="auto"/>
          </w:tcPr>
          <w:p w14:paraId="0C7513ED" w14:textId="77777777" w:rsidR="00913A0A" w:rsidRPr="0058047D" w:rsidRDefault="00913A0A" w:rsidP="000B5EFD">
            <w:pPr>
              <w:pStyle w:val="TableText"/>
              <w:widowControl w:val="0"/>
              <w:spacing w:before="120"/>
              <w:rPr>
                <w:rFonts w:ascii="Tahoma" w:hAnsi="Tahoma" w:cs="Tahoma"/>
                <w:sz w:val="13"/>
              </w:rPr>
            </w:pPr>
          </w:p>
        </w:tc>
        <w:tc>
          <w:tcPr>
            <w:tcW w:w="504" w:type="dxa"/>
            <w:tcBorders>
              <w:bottom w:val="single" w:sz="4" w:space="0" w:color="auto"/>
            </w:tcBorders>
            <w:shd w:val="clear" w:color="auto" w:fill="auto"/>
            <w:vAlign w:val="center"/>
          </w:tcPr>
          <w:p w14:paraId="028A1BCE" w14:textId="77777777" w:rsidR="00913A0A" w:rsidRPr="0058047D" w:rsidRDefault="00913A0A" w:rsidP="000B5EFD">
            <w:pPr>
              <w:pStyle w:val="TableText"/>
              <w:widowControl w:val="0"/>
              <w:rPr>
                <w:rFonts w:ascii="Tahoma" w:hAnsi="Tahoma" w:cs="Tahoma"/>
                <w:sz w:val="13"/>
              </w:rPr>
            </w:pPr>
          </w:p>
        </w:tc>
        <w:tc>
          <w:tcPr>
            <w:tcW w:w="405" w:type="dxa"/>
            <w:tcBorders>
              <w:bottom w:val="single" w:sz="4" w:space="0" w:color="auto"/>
            </w:tcBorders>
          </w:tcPr>
          <w:p w14:paraId="075963DD" w14:textId="77777777" w:rsidR="00913A0A" w:rsidRPr="0058047D" w:rsidRDefault="00913A0A" w:rsidP="000B5EFD">
            <w:pPr>
              <w:pStyle w:val="TableText"/>
              <w:widowControl w:val="0"/>
              <w:rPr>
                <w:rFonts w:ascii="Tahoma" w:hAnsi="Tahoma" w:cs="Tahoma"/>
                <w:sz w:val="13"/>
              </w:rPr>
            </w:pPr>
          </w:p>
        </w:tc>
      </w:tr>
      <w:tr w:rsidR="009323A0" w:rsidRPr="0058047D" w14:paraId="2906BD0D" w14:textId="77777777" w:rsidTr="00C86F50">
        <w:trPr>
          <w:trHeight w:val="145"/>
        </w:trPr>
        <w:tc>
          <w:tcPr>
            <w:tcW w:w="2619" w:type="dxa"/>
            <w:gridSpan w:val="2"/>
            <w:tcBorders>
              <w:bottom w:val="single" w:sz="4" w:space="0" w:color="auto"/>
            </w:tcBorders>
            <w:shd w:val="clear" w:color="auto" w:fill="FABF8F"/>
            <w:vAlign w:val="center"/>
          </w:tcPr>
          <w:p w14:paraId="67E42BF6" w14:textId="77777777" w:rsidR="00913A0A" w:rsidRPr="003F471F" w:rsidRDefault="00913A0A" w:rsidP="00E077BC">
            <w:pPr>
              <w:pStyle w:val="Heading2"/>
              <w:spacing w:beforeLines="20" w:before="48" w:afterLines="20" w:after="48"/>
              <w:ind w:left="0" w:firstLine="15"/>
              <w:rPr>
                <w:rFonts w:ascii="Tahoma" w:hAnsi="Tahoma" w:cs="Tahoma"/>
                <w:b w:val="0"/>
                <w:sz w:val="14"/>
                <w:szCs w:val="16"/>
                <w:lang w:val="it-IT"/>
              </w:rPr>
            </w:pPr>
            <w:bookmarkStart w:id="323" w:name="_Toc371663435"/>
            <w:r w:rsidRPr="003F471F">
              <w:rPr>
                <w:rFonts w:ascii="Tahoma" w:hAnsi="Tahoma" w:cs="Tahoma"/>
                <w:b w:val="0"/>
                <w:sz w:val="14"/>
                <w:szCs w:val="16"/>
                <w:lang w:val="it-IT"/>
              </w:rPr>
              <w:t>Componente Aggiuntivo di Office 365 Enterprise E1, E3, E4 (SL per Utente)</w:t>
            </w:r>
            <w:bookmarkEnd w:id="323"/>
          </w:p>
        </w:tc>
        <w:tc>
          <w:tcPr>
            <w:tcW w:w="554" w:type="dxa"/>
            <w:tcBorders>
              <w:bottom w:val="single" w:sz="4" w:space="0" w:color="auto"/>
            </w:tcBorders>
            <w:shd w:val="clear" w:color="auto" w:fill="FABF8F"/>
            <w:vAlign w:val="center"/>
          </w:tcPr>
          <w:p w14:paraId="3777655F" w14:textId="77777777" w:rsidR="00913A0A" w:rsidRPr="0058047D" w:rsidRDefault="00C86F50" w:rsidP="00132E08">
            <w:pPr>
              <w:pStyle w:val="TableText"/>
              <w:widowControl w:val="0"/>
            </w:pPr>
            <w:hyperlink w:anchor="_7_Add-on_User" w:history="1">
              <w:r w:rsidR="00BF5FC6" w:rsidRPr="0058047D">
                <w:rPr>
                  <w:rStyle w:val="Hyperlink"/>
                </w:rPr>
                <w:t>7</w:t>
              </w:r>
            </w:hyperlink>
          </w:p>
        </w:tc>
        <w:tc>
          <w:tcPr>
            <w:tcW w:w="516" w:type="dxa"/>
            <w:tcBorders>
              <w:bottom w:val="single" w:sz="4" w:space="0" w:color="auto"/>
            </w:tcBorders>
            <w:shd w:val="clear" w:color="auto" w:fill="FABF8F"/>
          </w:tcPr>
          <w:p w14:paraId="7A78BAC2" w14:textId="77777777" w:rsidR="00913A0A" w:rsidRPr="0058047D" w:rsidRDefault="00913A0A" w:rsidP="001A63C6">
            <w:pPr>
              <w:pStyle w:val="TableText"/>
              <w:widowControl w:val="0"/>
              <w:spacing w:before="120"/>
              <w:rPr>
                <w:rFonts w:ascii="Tahoma" w:hAnsi="Tahoma" w:cs="Tahoma"/>
                <w:color w:val="000000"/>
                <w:sz w:val="13"/>
              </w:rPr>
            </w:pPr>
            <w:r w:rsidRPr="0058047D">
              <w:rPr>
                <w:rFonts w:ascii="Tahoma" w:hAnsi="Tahoma" w:cs="Tahoma"/>
                <w:color w:val="000000"/>
                <w:sz w:val="13"/>
              </w:rPr>
              <w:t>08/13</w:t>
            </w:r>
          </w:p>
        </w:tc>
        <w:tc>
          <w:tcPr>
            <w:tcW w:w="358" w:type="dxa"/>
            <w:tcBorders>
              <w:bottom w:val="single" w:sz="4" w:space="0" w:color="auto"/>
              <w:right w:val="single" w:sz="18" w:space="0" w:color="auto"/>
            </w:tcBorders>
            <w:shd w:val="clear" w:color="auto" w:fill="FABF8F"/>
            <w:vAlign w:val="center"/>
          </w:tcPr>
          <w:p w14:paraId="04A1AF19"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center"/>
          </w:tcPr>
          <w:p w14:paraId="49C7070E"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73668E08"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4063C2F7"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4E3B5386"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50014B2"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F26C268"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0CFD1681"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64551D1E"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04AE1F7"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43CB80F2"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711E90F0"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3CAB3CE6"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104C2B2F"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55216591" w14:textId="77777777" w:rsidR="00913A0A" w:rsidRPr="0058047D"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FABF8F"/>
            <w:vAlign w:val="center"/>
          </w:tcPr>
          <w:p w14:paraId="7D424E0E"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73B95BE1"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A</w:t>
            </w:r>
          </w:p>
        </w:tc>
      </w:tr>
      <w:tr w:rsidR="009323A0" w:rsidRPr="0058047D" w:rsidDel="00436016" w14:paraId="34278C78" w14:textId="77777777" w:rsidTr="00C86F50">
        <w:trPr>
          <w:trHeight w:val="145"/>
        </w:trPr>
        <w:tc>
          <w:tcPr>
            <w:tcW w:w="2619" w:type="dxa"/>
            <w:gridSpan w:val="2"/>
            <w:tcBorders>
              <w:bottom w:val="single" w:sz="4" w:space="0" w:color="auto"/>
            </w:tcBorders>
            <w:shd w:val="clear" w:color="auto" w:fill="auto"/>
            <w:vAlign w:val="center"/>
          </w:tcPr>
          <w:p w14:paraId="028F6E5F" w14:textId="77777777" w:rsidR="00913A0A" w:rsidRPr="003F471F" w:rsidRDefault="00913A0A" w:rsidP="00E077BC">
            <w:pPr>
              <w:pStyle w:val="Heading2"/>
              <w:spacing w:beforeLines="20" w:before="48" w:afterLines="20" w:after="48"/>
              <w:ind w:left="0" w:firstLine="15"/>
              <w:rPr>
                <w:rFonts w:ascii="Tahoma" w:hAnsi="Tahoma" w:cs="Tahoma"/>
                <w:b w:val="0"/>
                <w:sz w:val="14"/>
                <w:szCs w:val="16"/>
                <w:lang w:val="it-IT"/>
              </w:rPr>
            </w:pPr>
            <w:bookmarkStart w:id="324" w:name="_Toc371663436"/>
            <w:r w:rsidRPr="003F471F">
              <w:rPr>
                <w:rFonts w:ascii="Tahoma" w:hAnsi="Tahoma" w:cs="Tahoma"/>
                <w:b w:val="0"/>
                <w:sz w:val="14"/>
                <w:szCs w:val="16"/>
                <w:lang w:val="it-IT"/>
              </w:rPr>
              <w:t>Office 365 Enterprise E3, E4 senza Componente Aggiuntivo di Office Pro Plus (SL per Utente)</w:t>
            </w:r>
            <w:bookmarkEnd w:id="324"/>
          </w:p>
        </w:tc>
        <w:tc>
          <w:tcPr>
            <w:tcW w:w="554" w:type="dxa"/>
            <w:tcBorders>
              <w:bottom w:val="single" w:sz="4" w:space="0" w:color="auto"/>
            </w:tcBorders>
            <w:shd w:val="clear" w:color="auto" w:fill="auto"/>
            <w:vAlign w:val="center"/>
          </w:tcPr>
          <w:p w14:paraId="5389F366" w14:textId="77777777" w:rsidR="00913A0A" w:rsidRPr="0058047D" w:rsidRDefault="00C86F50" w:rsidP="00132E08">
            <w:pPr>
              <w:pStyle w:val="TableText"/>
              <w:widowControl w:val="0"/>
            </w:pPr>
            <w:hyperlink w:anchor="_7_Add-on_User" w:history="1">
              <w:r w:rsidR="00295AED" w:rsidRPr="0058047D">
                <w:rPr>
                  <w:rStyle w:val="Hyperlink"/>
                </w:rPr>
                <w:t>7</w:t>
              </w:r>
            </w:hyperlink>
          </w:p>
        </w:tc>
        <w:tc>
          <w:tcPr>
            <w:tcW w:w="516" w:type="dxa"/>
            <w:tcBorders>
              <w:bottom w:val="single" w:sz="4" w:space="0" w:color="auto"/>
            </w:tcBorders>
            <w:shd w:val="clear" w:color="auto" w:fill="auto"/>
          </w:tcPr>
          <w:p w14:paraId="6E4B756F" w14:textId="77777777" w:rsidR="00913A0A" w:rsidRPr="0058047D" w:rsidRDefault="00913A0A" w:rsidP="001A63C6">
            <w:pPr>
              <w:pStyle w:val="TableText"/>
              <w:widowControl w:val="0"/>
              <w:spacing w:before="120"/>
              <w:rPr>
                <w:rFonts w:ascii="Tahoma" w:hAnsi="Tahoma" w:cs="Tahoma"/>
                <w:color w:val="000000"/>
                <w:sz w:val="13"/>
              </w:rPr>
            </w:pPr>
            <w:r w:rsidRPr="0058047D">
              <w:rPr>
                <w:rFonts w:ascii="Tahoma" w:hAnsi="Tahoma" w:cs="Tahoma"/>
                <w:color w:val="000000"/>
                <w:sz w:val="13"/>
              </w:rPr>
              <w:t>08/13</w:t>
            </w:r>
          </w:p>
        </w:tc>
        <w:tc>
          <w:tcPr>
            <w:tcW w:w="358" w:type="dxa"/>
            <w:tcBorders>
              <w:bottom w:val="single" w:sz="4" w:space="0" w:color="auto"/>
              <w:right w:val="single" w:sz="18" w:space="0" w:color="auto"/>
            </w:tcBorders>
            <w:shd w:val="clear" w:color="auto" w:fill="auto"/>
            <w:vAlign w:val="center"/>
          </w:tcPr>
          <w:p w14:paraId="5FE50AF3"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auto"/>
            <w:vAlign w:val="center"/>
          </w:tcPr>
          <w:p w14:paraId="70E1EE35" w14:textId="77777777" w:rsidR="00913A0A" w:rsidRPr="0058047D" w:rsidDel="00436016"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267C509B" w14:textId="77777777" w:rsidR="00913A0A" w:rsidRPr="0058047D" w:rsidDel="00436016"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0A2D0CC6" w14:textId="77777777" w:rsidR="00913A0A" w:rsidRPr="0058047D" w:rsidDel="00436016"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7D4FBFD3" w14:textId="77777777" w:rsidR="00913A0A" w:rsidRPr="0058047D"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7EEED2" w14:textId="77777777" w:rsidR="00913A0A" w:rsidRPr="0058047D"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9CE127" w14:textId="77777777" w:rsidR="00913A0A" w:rsidRPr="0058047D" w:rsidDel="00436016"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2C76808B" w14:textId="77777777" w:rsidR="00913A0A" w:rsidRPr="0058047D" w:rsidDel="00436016"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592E1323" w14:textId="77777777" w:rsidR="00913A0A" w:rsidRPr="0058047D"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7A0F9DC" w14:textId="77777777" w:rsidR="00913A0A" w:rsidRPr="0058047D" w:rsidDel="00436016"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559E4616" w14:textId="77777777" w:rsidR="00913A0A" w:rsidRPr="0058047D" w:rsidDel="00436016"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33F399AD" w14:textId="77777777" w:rsidR="00913A0A" w:rsidRPr="0058047D" w:rsidDel="00436016"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235B59F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02972397" w14:textId="77777777" w:rsidR="00913A0A" w:rsidRPr="0058047D" w:rsidDel="00436016"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tcPr>
          <w:p w14:paraId="7B3CF693" w14:textId="77777777" w:rsidR="00913A0A" w:rsidRPr="0058047D" w:rsidDel="00436016"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auto"/>
            <w:vAlign w:val="center"/>
          </w:tcPr>
          <w:p w14:paraId="6CCC5160" w14:textId="77777777" w:rsidR="00913A0A" w:rsidRPr="0058047D" w:rsidDel="00436016" w:rsidRDefault="00913A0A" w:rsidP="001A63C6">
            <w:pPr>
              <w:pStyle w:val="TableText"/>
              <w:widowControl w:val="0"/>
              <w:rPr>
                <w:rFonts w:ascii="Tahoma" w:hAnsi="Tahoma" w:cs="Tahoma"/>
                <w:sz w:val="13"/>
              </w:rPr>
            </w:pPr>
          </w:p>
        </w:tc>
        <w:tc>
          <w:tcPr>
            <w:tcW w:w="405" w:type="dxa"/>
            <w:tcBorders>
              <w:bottom w:val="single" w:sz="4" w:space="0" w:color="auto"/>
            </w:tcBorders>
          </w:tcPr>
          <w:p w14:paraId="755AB6E6" w14:textId="77777777" w:rsidR="00913A0A" w:rsidRPr="0058047D" w:rsidDel="00436016" w:rsidRDefault="002C4BA9" w:rsidP="001A63C6">
            <w:pPr>
              <w:pStyle w:val="TableText"/>
              <w:widowControl w:val="0"/>
              <w:rPr>
                <w:rFonts w:ascii="Tahoma" w:hAnsi="Tahoma" w:cs="Tahoma"/>
                <w:sz w:val="13"/>
              </w:rPr>
            </w:pPr>
            <w:r w:rsidRPr="0058047D">
              <w:rPr>
                <w:rFonts w:ascii="Tahoma" w:hAnsi="Tahoma" w:cs="Tahoma"/>
                <w:sz w:val="13"/>
              </w:rPr>
              <w:t>A</w:t>
            </w:r>
          </w:p>
        </w:tc>
      </w:tr>
      <w:tr w:rsidR="009323A0" w:rsidRPr="0058047D" w:rsidDel="00436016" w14:paraId="6E8311E2" w14:textId="77777777" w:rsidTr="00C86F50">
        <w:trPr>
          <w:trHeight w:val="145"/>
        </w:trPr>
        <w:tc>
          <w:tcPr>
            <w:tcW w:w="2619" w:type="dxa"/>
            <w:gridSpan w:val="2"/>
            <w:tcBorders>
              <w:bottom w:val="single" w:sz="4" w:space="0" w:color="auto"/>
            </w:tcBorders>
            <w:shd w:val="clear" w:color="auto" w:fill="FABF8F"/>
            <w:vAlign w:val="center"/>
          </w:tcPr>
          <w:p w14:paraId="6C449542" w14:textId="77777777" w:rsidR="00913A0A" w:rsidRPr="003F471F" w:rsidDel="00436016" w:rsidRDefault="00913A0A" w:rsidP="00E077BC">
            <w:pPr>
              <w:pStyle w:val="Heading2"/>
              <w:spacing w:beforeLines="20" w:before="48" w:afterLines="20" w:after="48"/>
              <w:ind w:left="0" w:firstLine="15"/>
              <w:rPr>
                <w:rFonts w:ascii="Tahoma" w:hAnsi="Tahoma" w:cs="Tahoma"/>
                <w:b w:val="0"/>
                <w:sz w:val="14"/>
                <w:szCs w:val="16"/>
                <w:lang w:val="it-IT"/>
              </w:rPr>
            </w:pPr>
            <w:bookmarkStart w:id="325" w:name="_Toc336338030"/>
            <w:bookmarkStart w:id="326" w:name="_Toc371663437"/>
            <w:r w:rsidRPr="003F471F">
              <w:rPr>
                <w:rFonts w:ascii="Tahoma" w:hAnsi="Tahoma" w:cs="Tahoma"/>
                <w:b w:val="0"/>
                <w:sz w:val="14"/>
                <w:szCs w:val="16"/>
                <w:lang w:val="it-IT"/>
              </w:rPr>
              <w:t>Office 365 Enterprise K1 (SL per Utente)</w:t>
            </w:r>
            <w:bookmarkEnd w:id="325"/>
            <w:bookmarkEnd w:id="326"/>
          </w:p>
        </w:tc>
        <w:tc>
          <w:tcPr>
            <w:tcW w:w="554" w:type="dxa"/>
            <w:tcBorders>
              <w:bottom w:val="single" w:sz="4" w:space="0" w:color="auto"/>
            </w:tcBorders>
            <w:shd w:val="clear" w:color="auto" w:fill="FABF8F"/>
            <w:vAlign w:val="center"/>
          </w:tcPr>
          <w:p w14:paraId="1E1EF1A0" w14:textId="77777777" w:rsidR="00913A0A" w:rsidRPr="0058047D" w:rsidDel="00436016" w:rsidRDefault="00C86F50" w:rsidP="00907139">
            <w:pPr>
              <w:pStyle w:val="TableText"/>
              <w:widowControl w:val="0"/>
              <w:rPr>
                <w:b/>
                <w:color w:val="0000FF"/>
                <w:sz w:val="13"/>
                <w:szCs w:val="13"/>
                <w:u w:val="single"/>
              </w:rPr>
            </w:pPr>
            <w:hyperlink w:anchor="_70_68_Office" w:history="1">
              <w:r w:rsidR="00BF5FC6" w:rsidRPr="0058047D">
                <w:rPr>
                  <w:rStyle w:val="Hyperlink"/>
                  <w:b/>
                  <w:sz w:val="13"/>
                  <w:szCs w:val="13"/>
                </w:rPr>
                <w:t>75</w:t>
              </w:r>
            </w:hyperlink>
            <w:hyperlink w:anchor="_69_Office_365_1" w:history="1"/>
          </w:p>
        </w:tc>
        <w:tc>
          <w:tcPr>
            <w:tcW w:w="516" w:type="dxa"/>
            <w:tcBorders>
              <w:bottom w:val="single" w:sz="4" w:space="0" w:color="auto"/>
            </w:tcBorders>
            <w:shd w:val="clear" w:color="auto" w:fill="FABF8F"/>
          </w:tcPr>
          <w:p w14:paraId="2428494A" w14:textId="77777777" w:rsidR="00913A0A" w:rsidRPr="0058047D" w:rsidDel="00436016" w:rsidRDefault="00913A0A" w:rsidP="001A63C6">
            <w:pPr>
              <w:pStyle w:val="TableText"/>
              <w:widowControl w:val="0"/>
              <w:spacing w:before="120"/>
              <w:rPr>
                <w:rFonts w:ascii="Tahoma" w:hAnsi="Tahoma" w:cs="Tahoma"/>
                <w:color w:val="000000"/>
                <w:sz w:val="13"/>
              </w:rPr>
            </w:pPr>
            <w:r w:rsidRPr="0058047D">
              <w:rPr>
                <w:rFonts w:ascii="Tahoma" w:hAnsi="Tahoma" w:cs="Tahoma"/>
                <w:color w:val="000000"/>
                <w:sz w:val="13"/>
              </w:rPr>
              <w:t>06/11</w:t>
            </w:r>
          </w:p>
        </w:tc>
        <w:tc>
          <w:tcPr>
            <w:tcW w:w="358" w:type="dxa"/>
            <w:tcBorders>
              <w:bottom w:val="single" w:sz="4" w:space="0" w:color="auto"/>
              <w:right w:val="single" w:sz="18" w:space="0" w:color="auto"/>
            </w:tcBorders>
            <w:shd w:val="clear" w:color="auto" w:fill="FABF8F"/>
            <w:vAlign w:val="center"/>
          </w:tcPr>
          <w:p w14:paraId="38905E45" w14:textId="77777777" w:rsidR="00913A0A" w:rsidRPr="0058047D" w:rsidDel="00436016" w:rsidRDefault="00913A0A" w:rsidP="001A63C6">
            <w:pPr>
              <w:pStyle w:val="TableText"/>
              <w:widowControl w:val="0"/>
              <w:rPr>
                <w:rFonts w:ascii="Tahoma" w:hAnsi="Tahoma" w:cs="Tahoma"/>
                <w:sz w:val="13"/>
              </w:rPr>
            </w:pPr>
            <w:r w:rsidRPr="0058047D">
              <w:rPr>
                <w:rFonts w:ascii="Tahoma" w:hAnsi="Tahoma" w:cs="Tahoma"/>
                <w:sz w:val="13"/>
              </w:rPr>
              <w:t>OSB</w:t>
            </w:r>
          </w:p>
        </w:tc>
        <w:tc>
          <w:tcPr>
            <w:tcW w:w="330" w:type="dxa"/>
            <w:tcBorders>
              <w:left w:val="single" w:sz="18" w:space="0" w:color="auto"/>
              <w:bottom w:val="single" w:sz="4" w:space="0" w:color="auto"/>
            </w:tcBorders>
            <w:shd w:val="clear" w:color="auto" w:fill="FABF8F"/>
            <w:vAlign w:val="center"/>
          </w:tcPr>
          <w:p w14:paraId="157D545C" w14:textId="77777777" w:rsidR="00913A0A" w:rsidRPr="0058047D" w:rsidDel="00436016"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041A185B" w14:textId="77777777" w:rsidR="00913A0A" w:rsidRPr="0058047D" w:rsidDel="00436016"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782500BF" w14:textId="77777777" w:rsidR="00913A0A" w:rsidRPr="0058047D" w:rsidDel="00436016"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3E9A873D" w14:textId="77777777" w:rsidR="00913A0A" w:rsidRPr="0058047D"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942FFB5" w14:textId="77777777" w:rsidR="00913A0A" w:rsidRPr="0058047D"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A58A6B6" w14:textId="77777777" w:rsidR="00913A0A" w:rsidRPr="0058047D" w:rsidDel="00436016"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2600536F" w14:textId="77777777" w:rsidR="00913A0A" w:rsidRPr="0058047D" w:rsidDel="00436016"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758D8F74" w14:textId="77777777" w:rsidR="00913A0A" w:rsidRPr="0058047D"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2C555F1" w14:textId="77777777" w:rsidR="00913A0A" w:rsidRPr="0058047D" w:rsidDel="00436016"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777EE1AE" w14:textId="77777777" w:rsidR="00913A0A" w:rsidRPr="0058047D" w:rsidDel="00436016"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59A4B5F6" w14:textId="77777777" w:rsidR="00913A0A" w:rsidRPr="0058047D" w:rsidDel="00436016"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1EE591FC" w14:textId="77777777" w:rsidR="00913A0A" w:rsidRPr="0058047D" w:rsidDel="00436016"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681E2E6F" w14:textId="77777777" w:rsidR="00913A0A" w:rsidRPr="0058047D" w:rsidDel="00436016"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68E859E0" w14:textId="77777777" w:rsidR="00913A0A" w:rsidRPr="0058047D" w:rsidDel="00436016"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FABF8F"/>
            <w:vAlign w:val="center"/>
          </w:tcPr>
          <w:p w14:paraId="34CCC263" w14:textId="77777777" w:rsidR="00913A0A" w:rsidRPr="0058047D" w:rsidDel="00436016"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2E4A2BE7" w14:textId="77777777" w:rsidR="00913A0A" w:rsidRPr="0058047D" w:rsidDel="00436016" w:rsidRDefault="002C4BA9" w:rsidP="001A63C6">
            <w:pPr>
              <w:pStyle w:val="TableText"/>
              <w:widowControl w:val="0"/>
              <w:rPr>
                <w:rFonts w:ascii="Tahoma" w:hAnsi="Tahoma" w:cs="Tahoma"/>
                <w:sz w:val="13"/>
              </w:rPr>
            </w:pPr>
            <w:r w:rsidRPr="0058047D">
              <w:rPr>
                <w:rFonts w:ascii="Tahoma" w:hAnsi="Tahoma" w:cs="Tahoma"/>
                <w:sz w:val="13"/>
              </w:rPr>
              <w:t>A</w:t>
            </w:r>
          </w:p>
        </w:tc>
      </w:tr>
      <w:tr w:rsidR="009323A0" w:rsidRPr="0058047D" w:rsidDel="00436016" w14:paraId="2FEAD5ED" w14:textId="77777777" w:rsidTr="00C86F50">
        <w:trPr>
          <w:trHeight w:val="145"/>
        </w:trPr>
        <w:tc>
          <w:tcPr>
            <w:tcW w:w="261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5520A8E" w14:textId="77777777" w:rsidR="00913A0A" w:rsidRPr="0058047D" w:rsidRDefault="00913A0A" w:rsidP="009323A0">
            <w:pPr>
              <w:pStyle w:val="Heading2"/>
              <w:spacing w:beforeLines="20" w:before="48" w:afterLines="20" w:after="48"/>
              <w:ind w:left="0" w:firstLine="15"/>
              <w:rPr>
                <w:rFonts w:ascii="Tahoma" w:hAnsi="Tahoma" w:cs="Tahoma"/>
                <w:b w:val="0"/>
                <w:sz w:val="14"/>
                <w:szCs w:val="16"/>
              </w:rPr>
            </w:pPr>
            <w:bookmarkStart w:id="327" w:name="_Toc371663438"/>
            <w:r w:rsidRPr="0058047D">
              <w:rPr>
                <w:rFonts w:ascii="Tahoma" w:hAnsi="Tahoma" w:cs="Tahoma"/>
                <w:b w:val="0"/>
                <w:sz w:val="14"/>
                <w:szCs w:val="16"/>
              </w:rPr>
              <w:t>Office 365 Government G1, G3, G4 (SL</w:t>
            </w:r>
            <w:r w:rsidR="009323A0">
              <w:rPr>
                <w:rFonts w:ascii="Tahoma" w:hAnsi="Tahoma" w:cs="Tahoma"/>
                <w:b w:val="0"/>
                <w:sz w:val="14"/>
                <w:szCs w:val="16"/>
              </w:rPr>
              <w:t> </w:t>
            </w:r>
            <w:r w:rsidRPr="0058047D">
              <w:rPr>
                <w:rFonts w:ascii="Tahoma" w:hAnsi="Tahoma" w:cs="Tahoma"/>
                <w:b w:val="0"/>
                <w:sz w:val="14"/>
                <w:szCs w:val="16"/>
              </w:rPr>
              <w:t>per Utente)</w:t>
            </w:r>
            <w:bookmarkEnd w:id="327"/>
          </w:p>
        </w:tc>
        <w:tc>
          <w:tcPr>
            <w:tcW w:w="554" w:type="dxa"/>
            <w:tcBorders>
              <w:top w:val="single" w:sz="4" w:space="0" w:color="auto"/>
              <w:left w:val="single" w:sz="4" w:space="0" w:color="auto"/>
              <w:bottom w:val="single" w:sz="4" w:space="0" w:color="auto"/>
              <w:right w:val="single" w:sz="4" w:space="0" w:color="auto"/>
            </w:tcBorders>
            <w:shd w:val="clear" w:color="auto" w:fill="auto"/>
            <w:vAlign w:val="center"/>
          </w:tcPr>
          <w:p w14:paraId="276BC261" w14:textId="77777777" w:rsidR="00913A0A" w:rsidRPr="0058047D" w:rsidRDefault="00C86F50" w:rsidP="00907139">
            <w:pPr>
              <w:pStyle w:val="TableText"/>
              <w:widowControl w:val="0"/>
              <w:rPr>
                <w:b/>
                <w:sz w:val="13"/>
                <w:szCs w:val="13"/>
              </w:rPr>
            </w:pPr>
            <w:hyperlink w:anchor="_77_Office_365" w:history="1">
              <w:r w:rsidR="00BF5FC6" w:rsidRPr="0058047D">
                <w:rPr>
                  <w:rStyle w:val="Hyperlink"/>
                  <w:b/>
                  <w:sz w:val="13"/>
                  <w:szCs w:val="13"/>
                </w:rPr>
                <w:t>76</w:t>
              </w:r>
            </w:hyperlink>
          </w:p>
        </w:tc>
        <w:tc>
          <w:tcPr>
            <w:tcW w:w="516" w:type="dxa"/>
            <w:tcBorders>
              <w:top w:val="single" w:sz="4" w:space="0" w:color="auto"/>
              <w:left w:val="single" w:sz="4" w:space="0" w:color="auto"/>
              <w:bottom w:val="single" w:sz="4" w:space="0" w:color="auto"/>
              <w:right w:val="single" w:sz="4" w:space="0" w:color="auto"/>
            </w:tcBorders>
            <w:shd w:val="clear" w:color="auto" w:fill="auto"/>
          </w:tcPr>
          <w:p w14:paraId="6C0CC014" w14:textId="77777777" w:rsidR="00913A0A" w:rsidRPr="0058047D" w:rsidRDefault="00913A0A" w:rsidP="00871AE2">
            <w:pPr>
              <w:pStyle w:val="TableText"/>
              <w:widowControl w:val="0"/>
              <w:spacing w:before="120"/>
              <w:rPr>
                <w:rFonts w:ascii="Tahoma" w:hAnsi="Tahoma" w:cs="Tahoma"/>
                <w:color w:val="000000"/>
                <w:sz w:val="13"/>
              </w:rPr>
            </w:pPr>
            <w:r w:rsidRPr="0058047D">
              <w:rPr>
                <w:rFonts w:ascii="Tahoma" w:hAnsi="Tahoma" w:cs="Tahoma"/>
                <w:color w:val="000000"/>
                <w:sz w:val="13"/>
              </w:rPr>
              <w:t>08/12</w:t>
            </w:r>
          </w:p>
        </w:tc>
        <w:tc>
          <w:tcPr>
            <w:tcW w:w="358" w:type="dxa"/>
            <w:tcBorders>
              <w:top w:val="single" w:sz="4" w:space="0" w:color="auto"/>
              <w:left w:val="single" w:sz="4" w:space="0" w:color="auto"/>
              <w:bottom w:val="single" w:sz="4" w:space="0" w:color="auto"/>
              <w:right w:val="single" w:sz="18" w:space="0" w:color="auto"/>
            </w:tcBorders>
            <w:shd w:val="clear" w:color="auto" w:fill="auto"/>
            <w:vAlign w:val="center"/>
          </w:tcPr>
          <w:p w14:paraId="4031ABFD" w14:textId="77777777" w:rsidR="00913A0A" w:rsidRPr="0058047D" w:rsidRDefault="00913A0A" w:rsidP="00871AE2">
            <w:pPr>
              <w:pStyle w:val="TableText"/>
              <w:widowControl w:val="0"/>
              <w:rPr>
                <w:rFonts w:ascii="Tahoma" w:hAnsi="Tahoma" w:cs="Tahoma"/>
                <w:sz w:val="13"/>
              </w:rPr>
            </w:pPr>
            <w:r w:rsidRPr="0058047D">
              <w:rPr>
                <w:rFonts w:ascii="Tahoma" w:hAnsi="Tahoma" w:cs="Tahoma"/>
                <w:sz w:val="13"/>
              </w:rPr>
              <w:t>OSB</w:t>
            </w:r>
          </w:p>
        </w:tc>
        <w:tc>
          <w:tcPr>
            <w:tcW w:w="330" w:type="dxa"/>
            <w:tcBorders>
              <w:top w:val="single" w:sz="4" w:space="0" w:color="auto"/>
              <w:left w:val="single" w:sz="18" w:space="0" w:color="auto"/>
              <w:bottom w:val="single" w:sz="4" w:space="0" w:color="auto"/>
              <w:right w:val="single" w:sz="4" w:space="0" w:color="auto"/>
            </w:tcBorders>
            <w:shd w:val="clear" w:color="auto" w:fill="auto"/>
            <w:vAlign w:val="center"/>
          </w:tcPr>
          <w:p w14:paraId="4C9FD1F7" w14:textId="77777777" w:rsidR="00913A0A" w:rsidRPr="0058047D" w:rsidDel="00436016" w:rsidRDefault="00913A0A" w:rsidP="00871AE2">
            <w:pPr>
              <w:pStyle w:val="TableText"/>
              <w:widowControl w:val="0"/>
              <w:rPr>
                <w:rFonts w:ascii="Tahoma" w:hAnsi="Tahoma" w:cs="Tahoma"/>
                <w:sz w:val="13"/>
              </w:rPr>
            </w:pPr>
          </w:p>
        </w:tc>
        <w:tc>
          <w:tcPr>
            <w:tcW w:w="324" w:type="dxa"/>
            <w:tcBorders>
              <w:top w:val="single" w:sz="4" w:space="0" w:color="auto"/>
              <w:left w:val="single" w:sz="4" w:space="0" w:color="auto"/>
              <w:bottom w:val="single" w:sz="4" w:space="0" w:color="auto"/>
              <w:right w:val="single" w:sz="4" w:space="0" w:color="auto"/>
            </w:tcBorders>
            <w:shd w:val="clear" w:color="auto" w:fill="auto"/>
            <w:vAlign w:val="center"/>
          </w:tcPr>
          <w:p w14:paraId="2A46CE64" w14:textId="77777777" w:rsidR="00913A0A" w:rsidRPr="0058047D" w:rsidDel="00436016" w:rsidRDefault="00913A0A" w:rsidP="00871AE2">
            <w:pPr>
              <w:pStyle w:val="TableText"/>
              <w:widowControl w:val="0"/>
              <w:rPr>
                <w:rFonts w:ascii="Tahoma" w:hAnsi="Tahoma" w:cs="Tahoma"/>
                <w:sz w:val="13"/>
              </w:rPr>
            </w:pPr>
          </w:p>
        </w:tc>
        <w:tc>
          <w:tcPr>
            <w:tcW w:w="366" w:type="dxa"/>
            <w:tcBorders>
              <w:top w:val="single" w:sz="4" w:space="0" w:color="auto"/>
              <w:left w:val="single" w:sz="4" w:space="0" w:color="auto"/>
              <w:bottom w:val="single" w:sz="4" w:space="0" w:color="auto"/>
              <w:right w:val="single" w:sz="4" w:space="0" w:color="auto"/>
            </w:tcBorders>
            <w:shd w:val="clear" w:color="auto" w:fill="auto"/>
            <w:vAlign w:val="center"/>
          </w:tcPr>
          <w:p w14:paraId="7968AE1D" w14:textId="77777777" w:rsidR="00913A0A" w:rsidRPr="0058047D" w:rsidDel="00436016" w:rsidRDefault="00913A0A" w:rsidP="00871AE2">
            <w:pPr>
              <w:pStyle w:val="TableText"/>
              <w:widowControl w:val="0"/>
              <w:rPr>
                <w:rFonts w:ascii="Tahoma" w:hAnsi="Tahoma" w:cs="Tahoma"/>
                <w:sz w:val="13"/>
              </w:rPr>
            </w:pPr>
          </w:p>
        </w:tc>
        <w:tc>
          <w:tcPr>
            <w:tcW w:w="45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FEC7BEE" w14:textId="77777777" w:rsidR="00913A0A" w:rsidRPr="0058047D"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6E5B3ACA" w14:textId="77777777" w:rsidR="00913A0A" w:rsidRPr="0058047D"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3CEB55B6" w14:textId="77777777" w:rsidR="00913A0A" w:rsidRPr="0058047D" w:rsidDel="00436016" w:rsidRDefault="00913A0A" w:rsidP="00871AE2">
            <w:pPr>
              <w:pStyle w:val="TableText"/>
              <w:widowControl w:val="0"/>
              <w:rPr>
                <w:rFonts w:ascii="Tahoma" w:hAnsi="Tahoma" w:cs="Tahoma"/>
                <w:sz w:val="13"/>
              </w:rPr>
            </w:pPr>
          </w:p>
        </w:tc>
        <w:tc>
          <w:tcPr>
            <w:tcW w:w="336" w:type="dxa"/>
            <w:tcBorders>
              <w:top w:val="single" w:sz="4" w:space="0" w:color="auto"/>
              <w:left w:val="single" w:sz="4" w:space="0" w:color="auto"/>
              <w:bottom w:val="single" w:sz="4" w:space="0" w:color="auto"/>
              <w:right w:val="single" w:sz="18" w:space="0" w:color="auto"/>
            </w:tcBorders>
            <w:shd w:val="clear" w:color="auto" w:fill="auto"/>
            <w:vAlign w:val="center"/>
          </w:tcPr>
          <w:p w14:paraId="2B440A8C" w14:textId="77777777" w:rsidR="00913A0A" w:rsidRPr="0058047D" w:rsidDel="00436016" w:rsidRDefault="00913A0A" w:rsidP="00871AE2">
            <w:pPr>
              <w:pStyle w:val="TableText"/>
              <w:widowControl w:val="0"/>
              <w:rPr>
                <w:rFonts w:ascii="Tahoma" w:hAnsi="Tahoma" w:cs="Tahoma"/>
                <w:sz w:val="13"/>
              </w:rPr>
            </w:pPr>
          </w:p>
        </w:tc>
        <w:tc>
          <w:tcPr>
            <w:tcW w:w="477" w:type="dxa"/>
            <w:tcBorders>
              <w:top w:val="single" w:sz="4" w:space="0" w:color="auto"/>
              <w:left w:val="single" w:sz="18" w:space="0" w:color="auto"/>
              <w:bottom w:val="single" w:sz="4" w:space="0" w:color="auto"/>
              <w:right w:val="single" w:sz="4" w:space="0" w:color="auto"/>
            </w:tcBorders>
            <w:shd w:val="clear" w:color="auto" w:fill="auto"/>
            <w:vAlign w:val="center"/>
          </w:tcPr>
          <w:p w14:paraId="6C55781F" w14:textId="77777777" w:rsidR="00913A0A" w:rsidRPr="0058047D"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25EE203E" w14:textId="77777777" w:rsidR="00913A0A" w:rsidRPr="0058047D" w:rsidDel="00436016" w:rsidRDefault="00913A0A" w:rsidP="00871AE2">
            <w:pPr>
              <w:pStyle w:val="TableText"/>
              <w:widowControl w:val="0"/>
              <w:rPr>
                <w:rFonts w:ascii="Tahoma" w:hAnsi="Tahoma" w:cs="Tahoma"/>
                <w:sz w:val="13"/>
              </w:rPr>
            </w:pPr>
          </w:p>
        </w:tc>
        <w:tc>
          <w:tcPr>
            <w:tcW w:w="414" w:type="dxa"/>
            <w:tcBorders>
              <w:top w:val="single" w:sz="4" w:space="0" w:color="auto"/>
              <w:left w:val="single" w:sz="4" w:space="0" w:color="auto"/>
              <w:bottom w:val="single" w:sz="4" w:space="0" w:color="auto"/>
              <w:right w:val="single" w:sz="18" w:space="0" w:color="auto"/>
            </w:tcBorders>
            <w:shd w:val="clear" w:color="auto" w:fill="auto"/>
            <w:vAlign w:val="center"/>
          </w:tcPr>
          <w:p w14:paraId="3B57C26A" w14:textId="77777777" w:rsidR="00913A0A" w:rsidRPr="0058047D" w:rsidDel="00436016" w:rsidRDefault="00913A0A" w:rsidP="00871AE2">
            <w:pPr>
              <w:pStyle w:val="TableText"/>
              <w:widowControl w:val="0"/>
              <w:rPr>
                <w:rFonts w:ascii="Tahoma" w:hAnsi="Tahoma" w:cs="Tahoma"/>
                <w:sz w:val="13"/>
              </w:rPr>
            </w:pPr>
          </w:p>
        </w:tc>
        <w:tc>
          <w:tcPr>
            <w:tcW w:w="468" w:type="dxa"/>
            <w:tcBorders>
              <w:top w:val="single" w:sz="4" w:space="0" w:color="auto"/>
              <w:left w:val="single" w:sz="18" w:space="0" w:color="auto"/>
              <w:bottom w:val="single" w:sz="4" w:space="0" w:color="auto"/>
              <w:right w:val="single" w:sz="4" w:space="0" w:color="auto"/>
            </w:tcBorders>
            <w:shd w:val="clear" w:color="auto" w:fill="auto"/>
            <w:vAlign w:val="center"/>
          </w:tcPr>
          <w:p w14:paraId="30CA38D2" w14:textId="77777777" w:rsidR="00913A0A" w:rsidRPr="0058047D" w:rsidDel="00436016" w:rsidRDefault="00913A0A" w:rsidP="00871AE2">
            <w:pPr>
              <w:pStyle w:val="TableText"/>
              <w:widowControl w:val="0"/>
              <w:rPr>
                <w:rFonts w:ascii="Tahoma" w:hAnsi="Tahoma" w:cs="Tahoma"/>
                <w:sz w:val="13"/>
              </w:rPr>
            </w:pPr>
          </w:p>
        </w:tc>
        <w:tc>
          <w:tcPr>
            <w:tcW w:w="477" w:type="dxa"/>
            <w:tcBorders>
              <w:top w:val="single" w:sz="4" w:space="0" w:color="auto"/>
              <w:left w:val="single" w:sz="4" w:space="0" w:color="auto"/>
              <w:bottom w:val="single" w:sz="4" w:space="0" w:color="auto"/>
              <w:right w:val="single" w:sz="18" w:space="0" w:color="auto"/>
            </w:tcBorders>
            <w:shd w:val="clear" w:color="auto" w:fill="auto"/>
            <w:vAlign w:val="center"/>
          </w:tcPr>
          <w:p w14:paraId="58F2A1BC" w14:textId="77777777" w:rsidR="00913A0A" w:rsidRPr="0058047D" w:rsidRDefault="00913A0A" w:rsidP="00871AE2">
            <w:pPr>
              <w:pStyle w:val="TableText"/>
              <w:widowControl w:val="0"/>
              <w:rPr>
                <w:rFonts w:ascii="Tahoma" w:hAnsi="Tahoma" w:cs="Tahoma"/>
                <w:sz w:val="13"/>
              </w:rPr>
            </w:pPr>
            <w:r w:rsidRPr="0058047D">
              <w:rPr>
                <w:rFonts w:ascii="Tahoma" w:hAnsi="Tahoma" w:cs="Tahoma"/>
                <w:sz w:val="13"/>
              </w:rPr>
              <w:t>EOLS</w:t>
            </w:r>
          </w:p>
        </w:tc>
        <w:tc>
          <w:tcPr>
            <w:tcW w:w="324" w:type="dxa"/>
            <w:tcBorders>
              <w:top w:val="single" w:sz="4" w:space="0" w:color="auto"/>
              <w:left w:val="single" w:sz="18" w:space="0" w:color="auto"/>
              <w:bottom w:val="single" w:sz="4" w:space="0" w:color="auto"/>
              <w:right w:val="single" w:sz="18" w:space="0" w:color="auto"/>
            </w:tcBorders>
            <w:shd w:val="clear" w:color="auto" w:fill="auto"/>
            <w:vAlign w:val="center"/>
          </w:tcPr>
          <w:p w14:paraId="6F339424" w14:textId="77777777" w:rsidR="00913A0A" w:rsidRPr="0058047D" w:rsidDel="00436016" w:rsidRDefault="00913A0A" w:rsidP="00871AE2">
            <w:pPr>
              <w:pStyle w:val="TableText"/>
              <w:widowControl w:val="0"/>
              <w:rPr>
                <w:rFonts w:ascii="Tahoma" w:hAnsi="Tahoma" w:cs="Tahoma"/>
                <w:sz w:val="13"/>
              </w:rPr>
            </w:pPr>
          </w:p>
        </w:tc>
        <w:tc>
          <w:tcPr>
            <w:tcW w:w="655" w:type="dxa"/>
            <w:tcBorders>
              <w:top w:val="single" w:sz="4" w:space="0" w:color="auto"/>
              <w:left w:val="single" w:sz="4" w:space="0" w:color="auto"/>
              <w:bottom w:val="single" w:sz="4" w:space="0" w:color="auto"/>
              <w:right w:val="single" w:sz="4" w:space="0" w:color="auto"/>
            </w:tcBorders>
            <w:shd w:val="clear" w:color="auto" w:fill="auto"/>
          </w:tcPr>
          <w:p w14:paraId="28C72A08" w14:textId="77777777" w:rsidR="00913A0A" w:rsidRPr="0058047D" w:rsidDel="00436016" w:rsidRDefault="00913A0A" w:rsidP="00871AE2">
            <w:pPr>
              <w:pStyle w:val="TableText"/>
              <w:widowControl w:val="0"/>
              <w:spacing w:before="120"/>
              <w:rPr>
                <w:rFonts w:ascii="Tahoma" w:hAnsi="Tahoma" w:cs="Tahoma"/>
                <w:sz w:val="13"/>
              </w:rPr>
            </w:pPr>
          </w:p>
        </w:tc>
        <w:tc>
          <w:tcPr>
            <w:tcW w:w="504" w:type="dxa"/>
            <w:tcBorders>
              <w:top w:val="single" w:sz="4" w:space="0" w:color="auto"/>
              <w:left w:val="single" w:sz="4" w:space="0" w:color="auto"/>
              <w:bottom w:val="single" w:sz="4" w:space="0" w:color="auto"/>
              <w:right w:val="single" w:sz="4" w:space="0" w:color="auto"/>
            </w:tcBorders>
            <w:shd w:val="clear" w:color="auto" w:fill="auto"/>
            <w:vAlign w:val="center"/>
          </w:tcPr>
          <w:p w14:paraId="7BA43F9B" w14:textId="77777777" w:rsidR="00913A0A" w:rsidRPr="0058047D" w:rsidDel="00436016" w:rsidRDefault="00913A0A" w:rsidP="00871AE2">
            <w:pPr>
              <w:pStyle w:val="TableText"/>
              <w:widowControl w:val="0"/>
              <w:rPr>
                <w:rFonts w:ascii="Tahoma" w:hAnsi="Tahoma" w:cs="Tahoma"/>
                <w:sz w:val="13"/>
              </w:rPr>
            </w:pPr>
          </w:p>
        </w:tc>
        <w:tc>
          <w:tcPr>
            <w:tcW w:w="405" w:type="dxa"/>
            <w:tcBorders>
              <w:top w:val="single" w:sz="4" w:space="0" w:color="auto"/>
              <w:left w:val="single" w:sz="4" w:space="0" w:color="auto"/>
              <w:bottom w:val="single" w:sz="4" w:space="0" w:color="auto"/>
              <w:right w:val="single" w:sz="4" w:space="0" w:color="auto"/>
            </w:tcBorders>
          </w:tcPr>
          <w:p w14:paraId="6729212E" w14:textId="77777777" w:rsidR="00913A0A" w:rsidRPr="0058047D" w:rsidDel="00436016" w:rsidRDefault="00913A0A" w:rsidP="00871AE2">
            <w:pPr>
              <w:pStyle w:val="TableText"/>
              <w:widowControl w:val="0"/>
              <w:rPr>
                <w:rFonts w:ascii="Tahoma" w:hAnsi="Tahoma" w:cs="Tahoma"/>
                <w:sz w:val="13"/>
              </w:rPr>
            </w:pPr>
          </w:p>
        </w:tc>
      </w:tr>
      <w:tr w:rsidR="009323A0" w:rsidRPr="0058047D" w:rsidDel="00436016" w14:paraId="2B0D928C" w14:textId="77777777" w:rsidTr="00C86F50">
        <w:trPr>
          <w:trHeight w:val="145"/>
        </w:trPr>
        <w:tc>
          <w:tcPr>
            <w:tcW w:w="2619"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F1DB45F" w14:textId="77777777" w:rsidR="00913A0A" w:rsidRPr="003F471F" w:rsidRDefault="00913A0A" w:rsidP="00E077BC">
            <w:pPr>
              <w:pStyle w:val="Heading2"/>
              <w:spacing w:beforeLines="20" w:before="48" w:afterLines="20" w:after="48"/>
              <w:ind w:left="0" w:firstLine="15"/>
              <w:rPr>
                <w:rFonts w:ascii="Tahoma" w:hAnsi="Tahoma" w:cs="Tahoma"/>
                <w:b w:val="0"/>
                <w:sz w:val="14"/>
                <w:szCs w:val="16"/>
                <w:lang w:val="it-IT"/>
              </w:rPr>
            </w:pPr>
            <w:bookmarkStart w:id="328" w:name="_Toc371663439"/>
            <w:r w:rsidRPr="003F471F">
              <w:rPr>
                <w:rFonts w:ascii="Tahoma" w:hAnsi="Tahoma" w:cs="Tahoma"/>
                <w:b w:val="0"/>
                <w:sz w:val="14"/>
                <w:szCs w:val="16"/>
                <w:lang w:val="it-IT"/>
              </w:rPr>
              <w:t>Componente Aggiuntivo di Office 365 Government G1, G3, G4 (SL per Utente)</w:t>
            </w:r>
            <w:bookmarkEnd w:id="328"/>
          </w:p>
        </w:tc>
        <w:tc>
          <w:tcPr>
            <w:tcW w:w="554" w:type="dxa"/>
            <w:tcBorders>
              <w:top w:val="single" w:sz="4" w:space="0" w:color="auto"/>
              <w:left w:val="single" w:sz="4" w:space="0" w:color="auto"/>
              <w:bottom w:val="single" w:sz="4" w:space="0" w:color="auto"/>
              <w:right w:val="single" w:sz="4" w:space="0" w:color="auto"/>
            </w:tcBorders>
            <w:shd w:val="clear" w:color="auto" w:fill="FABF8F"/>
            <w:vAlign w:val="center"/>
          </w:tcPr>
          <w:p w14:paraId="119D8119" w14:textId="77777777" w:rsidR="00913A0A" w:rsidRPr="0058047D" w:rsidRDefault="00C86F50" w:rsidP="00796355">
            <w:pPr>
              <w:pStyle w:val="TableText"/>
              <w:widowControl w:val="0"/>
            </w:pPr>
            <w:hyperlink w:anchor="_7_Add-on_User" w:history="1">
              <w:r w:rsidR="00BF5FC6" w:rsidRPr="0058047D">
                <w:rPr>
                  <w:rStyle w:val="Hyperlink"/>
                </w:rPr>
                <w:t>7</w:t>
              </w:r>
            </w:hyperlink>
          </w:p>
        </w:tc>
        <w:tc>
          <w:tcPr>
            <w:tcW w:w="516" w:type="dxa"/>
            <w:tcBorders>
              <w:top w:val="single" w:sz="4" w:space="0" w:color="auto"/>
              <w:left w:val="single" w:sz="4" w:space="0" w:color="auto"/>
              <w:bottom w:val="single" w:sz="4" w:space="0" w:color="auto"/>
              <w:right w:val="single" w:sz="4" w:space="0" w:color="auto"/>
            </w:tcBorders>
            <w:shd w:val="clear" w:color="auto" w:fill="FABF8F"/>
          </w:tcPr>
          <w:p w14:paraId="626E54BA" w14:textId="77777777" w:rsidR="00913A0A" w:rsidRPr="0058047D" w:rsidRDefault="00913A0A" w:rsidP="00871AE2">
            <w:pPr>
              <w:pStyle w:val="TableText"/>
              <w:widowControl w:val="0"/>
              <w:spacing w:before="120"/>
              <w:rPr>
                <w:rFonts w:ascii="Tahoma" w:hAnsi="Tahoma" w:cs="Tahoma"/>
                <w:color w:val="000000"/>
                <w:sz w:val="13"/>
              </w:rPr>
            </w:pPr>
            <w:r w:rsidRPr="0058047D">
              <w:rPr>
                <w:rFonts w:ascii="Tahoma" w:hAnsi="Tahoma" w:cs="Tahoma"/>
                <w:color w:val="000000"/>
                <w:sz w:val="13"/>
              </w:rPr>
              <w:t>08/13</w:t>
            </w:r>
          </w:p>
        </w:tc>
        <w:tc>
          <w:tcPr>
            <w:tcW w:w="358" w:type="dxa"/>
            <w:tcBorders>
              <w:top w:val="single" w:sz="4" w:space="0" w:color="auto"/>
              <w:left w:val="single" w:sz="4" w:space="0" w:color="auto"/>
              <w:bottom w:val="single" w:sz="4" w:space="0" w:color="auto"/>
              <w:right w:val="single" w:sz="18" w:space="0" w:color="auto"/>
            </w:tcBorders>
            <w:shd w:val="clear" w:color="auto" w:fill="FABF8F"/>
            <w:vAlign w:val="center"/>
          </w:tcPr>
          <w:p w14:paraId="3DB549B3" w14:textId="77777777" w:rsidR="00913A0A" w:rsidRPr="0058047D" w:rsidRDefault="00913A0A" w:rsidP="00871AE2">
            <w:pPr>
              <w:pStyle w:val="TableText"/>
              <w:widowControl w:val="0"/>
              <w:rPr>
                <w:rFonts w:ascii="Tahoma" w:hAnsi="Tahoma" w:cs="Tahoma"/>
                <w:sz w:val="13"/>
              </w:rPr>
            </w:pPr>
          </w:p>
        </w:tc>
        <w:tc>
          <w:tcPr>
            <w:tcW w:w="330" w:type="dxa"/>
            <w:tcBorders>
              <w:top w:val="single" w:sz="4" w:space="0" w:color="auto"/>
              <w:left w:val="single" w:sz="18" w:space="0" w:color="auto"/>
              <w:bottom w:val="single" w:sz="4" w:space="0" w:color="auto"/>
              <w:right w:val="single" w:sz="4" w:space="0" w:color="auto"/>
            </w:tcBorders>
            <w:shd w:val="clear" w:color="auto" w:fill="FABF8F"/>
            <w:vAlign w:val="center"/>
          </w:tcPr>
          <w:p w14:paraId="6ED9219B" w14:textId="77777777" w:rsidR="00913A0A" w:rsidRPr="0058047D" w:rsidDel="00436016" w:rsidRDefault="00913A0A" w:rsidP="00871AE2">
            <w:pPr>
              <w:pStyle w:val="TableText"/>
              <w:widowControl w:val="0"/>
              <w:rPr>
                <w:rFonts w:ascii="Tahoma" w:hAnsi="Tahoma" w:cs="Tahoma"/>
                <w:sz w:val="13"/>
              </w:rPr>
            </w:pPr>
          </w:p>
        </w:tc>
        <w:tc>
          <w:tcPr>
            <w:tcW w:w="324" w:type="dxa"/>
            <w:tcBorders>
              <w:top w:val="single" w:sz="4" w:space="0" w:color="auto"/>
              <w:left w:val="single" w:sz="4" w:space="0" w:color="auto"/>
              <w:bottom w:val="single" w:sz="4" w:space="0" w:color="auto"/>
              <w:right w:val="single" w:sz="4" w:space="0" w:color="auto"/>
            </w:tcBorders>
            <w:shd w:val="clear" w:color="auto" w:fill="FABF8F"/>
            <w:vAlign w:val="center"/>
          </w:tcPr>
          <w:p w14:paraId="1AEB1F63" w14:textId="77777777" w:rsidR="00913A0A" w:rsidRPr="0058047D" w:rsidDel="00436016" w:rsidRDefault="00913A0A" w:rsidP="00871AE2">
            <w:pPr>
              <w:pStyle w:val="TableText"/>
              <w:widowControl w:val="0"/>
              <w:rPr>
                <w:rFonts w:ascii="Tahoma" w:hAnsi="Tahoma" w:cs="Tahoma"/>
                <w:sz w:val="13"/>
              </w:rPr>
            </w:pPr>
          </w:p>
        </w:tc>
        <w:tc>
          <w:tcPr>
            <w:tcW w:w="366" w:type="dxa"/>
            <w:tcBorders>
              <w:top w:val="single" w:sz="4" w:space="0" w:color="auto"/>
              <w:left w:val="single" w:sz="4" w:space="0" w:color="auto"/>
              <w:bottom w:val="single" w:sz="4" w:space="0" w:color="auto"/>
              <w:right w:val="single" w:sz="4" w:space="0" w:color="auto"/>
            </w:tcBorders>
            <w:shd w:val="clear" w:color="auto" w:fill="FABF8F"/>
            <w:vAlign w:val="center"/>
          </w:tcPr>
          <w:p w14:paraId="491FD7FB" w14:textId="77777777" w:rsidR="00913A0A" w:rsidRPr="0058047D" w:rsidDel="00436016" w:rsidRDefault="00913A0A" w:rsidP="00871AE2">
            <w:pPr>
              <w:pStyle w:val="TableText"/>
              <w:widowControl w:val="0"/>
              <w:rPr>
                <w:rFonts w:ascii="Tahoma" w:hAnsi="Tahoma" w:cs="Tahoma"/>
                <w:sz w:val="13"/>
              </w:rPr>
            </w:pPr>
          </w:p>
        </w:tc>
        <w:tc>
          <w:tcPr>
            <w:tcW w:w="456"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65AD88CE" w14:textId="77777777" w:rsidR="00913A0A" w:rsidRPr="0058047D"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D6631C2" w14:textId="77777777" w:rsidR="00913A0A" w:rsidRPr="0058047D"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648FC108" w14:textId="77777777" w:rsidR="00913A0A" w:rsidRPr="0058047D" w:rsidDel="00436016" w:rsidRDefault="00913A0A" w:rsidP="00871AE2">
            <w:pPr>
              <w:pStyle w:val="TableText"/>
              <w:widowControl w:val="0"/>
              <w:rPr>
                <w:rFonts w:ascii="Tahoma" w:hAnsi="Tahoma" w:cs="Tahoma"/>
                <w:sz w:val="13"/>
              </w:rPr>
            </w:pPr>
          </w:p>
        </w:tc>
        <w:tc>
          <w:tcPr>
            <w:tcW w:w="336" w:type="dxa"/>
            <w:tcBorders>
              <w:top w:val="single" w:sz="4" w:space="0" w:color="auto"/>
              <w:left w:val="single" w:sz="4" w:space="0" w:color="auto"/>
              <w:bottom w:val="single" w:sz="4" w:space="0" w:color="auto"/>
              <w:right w:val="single" w:sz="18" w:space="0" w:color="auto"/>
            </w:tcBorders>
            <w:shd w:val="clear" w:color="auto" w:fill="FABF8F"/>
            <w:vAlign w:val="center"/>
          </w:tcPr>
          <w:p w14:paraId="79ED3CC6" w14:textId="77777777" w:rsidR="00913A0A" w:rsidRPr="0058047D" w:rsidDel="00436016" w:rsidRDefault="00913A0A" w:rsidP="00871AE2">
            <w:pPr>
              <w:pStyle w:val="TableText"/>
              <w:widowControl w:val="0"/>
              <w:rPr>
                <w:rFonts w:ascii="Tahoma" w:hAnsi="Tahoma" w:cs="Tahoma"/>
                <w:sz w:val="13"/>
              </w:rPr>
            </w:pPr>
          </w:p>
        </w:tc>
        <w:tc>
          <w:tcPr>
            <w:tcW w:w="477" w:type="dxa"/>
            <w:tcBorders>
              <w:top w:val="single" w:sz="4" w:space="0" w:color="auto"/>
              <w:left w:val="single" w:sz="18" w:space="0" w:color="auto"/>
              <w:bottom w:val="single" w:sz="4" w:space="0" w:color="auto"/>
              <w:right w:val="single" w:sz="4" w:space="0" w:color="auto"/>
            </w:tcBorders>
            <w:shd w:val="clear" w:color="auto" w:fill="FABF8F"/>
            <w:vAlign w:val="center"/>
          </w:tcPr>
          <w:p w14:paraId="1D417536" w14:textId="77777777" w:rsidR="00913A0A" w:rsidRPr="0058047D"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733A6710" w14:textId="77777777" w:rsidR="00913A0A" w:rsidRPr="0058047D" w:rsidDel="00436016" w:rsidRDefault="00913A0A" w:rsidP="00871AE2">
            <w:pPr>
              <w:pStyle w:val="TableText"/>
              <w:widowControl w:val="0"/>
              <w:rPr>
                <w:rFonts w:ascii="Tahoma" w:hAnsi="Tahoma" w:cs="Tahoma"/>
                <w:sz w:val="13"/>
              </w:rPr>
            </w:pPr>
          </w:p>
        </w:tc>
        <w:tc>
          <w:tcPr>
            <w:tcW w:w="414" w:type="dxa"/>
            <w:tcBorders>
              <w:top w:val="single" w:sz="4" w:space="0" w:color="auto"/>
              <w:left w:val="single" w:sz="4" w:space="0" w:color="auto"/>
              <w:bottom w:val="single" w:sz="4" w:space="0" w:color="auto"/>
              <w:right w:val="single" w:sz="18" w:space="0" w:color="auto"/>
            </w:tcBorders>
            <w:shd w:val="clear" w:color="auto" w:fill="FABF8F"/>
            <w:vAlign w:val="center"/>
          </w:tcPr>
          <w:p w14:paraId="2290D7D6" w14:textId="77777777" w:rsidR="00913A0A" w:rsidRPr="0058047D" w:rsidDel="00436016" w:rsidRDefault="00913A0A" w:rsidP="00871AE2">
            <w:pPr>
              <w:pStyle w:val="TableText"/>
              <w:widowControl w:val="0"/>
              <w:rPr>
                <w:rFonts w:ascii="Tahoma" w:hAnsi="Tahoma" w:cs="Tahoma"/>
                <w:sz w:val="13"/>
              </w:rPr>
            </w:pPr>
          </w:p>
        </w:tc>
        <w:tc>
          <w:tcPr>
            <w:tcW w:w="468" w:type="dxa"/>
            <w:tcBorders>
              <w:top w:val="single" w:sz="4" w:space="0" w:color="auto"/>
              <w:left w:val="single" w:sz="18" w:space="0" w:color="auto"/>
              <w:bottom w:val="single" w:sz="4" w:space="0" w:color="auto"/>
              <w:right w:val="single" w:sz="4" w:space="0" w:color="auto"/>
            </w:tcBorders>
            <w:shd w:val="clear" w:color="auto" w:fill="FABF8F"/>
            <w:vAlign w:val="center"/>
          </w:tcPr>
          <w:p w14:paraId="29B4EC82" w14:textId="77777777" w:rsidR="00913A0A" w:rsidRPr="0058047D" w:rsidDel="00436016" w:rsidRDefault="00913A0A" w:rsidP="00871AE2">
            <w:pPr>
              <w:pStyle w:val="TableText"/>
              <w:widowControl w:val="0"/>
              <w:rPr>
                <w:rFonts w:ascii="Tahoma" w:hAnsi="Tahoma" w:cs="Tahoma"/>
                <w:sz w:val="13"/>
              </w:rPr>
            </w:pPr>
          </w:p>
        </w:tc>
        <w:tc>
          <w:tcPr>
            <w:tcW w:w="477" w:type="dxa"/>
            <w:tcBorders>
              <w:top w:val="single" w:sz="4" w:space="0" w:color="auto"/>
              <w:left w:val="single" w:sz="4" w:space="0" w:color="auto"/>
              <w:bottom w:val="single" w:sz="4" w:space="0" w:color="auto"/>
              <w:right w:val="single" w:sz="18" w:space="0" w:color="auto"/>
            </w:tcBorders>
            <w:shd w:val="clear" w:color="auto" w:fill="FABF8F"/>
            <w:vAlign w:val="center"/>
          </w:tcPr>
          <w:p w14:paraId="1CE200CF" w14:textId="77777777" w:rsidR="00913A0A" w:rsidRPr="0058047D" w:rsidRDefault="00913A0A" w:rsidP="00871AE2">
            <w:pPr>
              <w:pStyle w:val="TableText"/>
              <w:widowControl w:val="0"/>
              <w:rPr>
                <w:rFonts w:ascii="Tahoma" w:hAnsi="Tahoma" w:cs="Tahoma"/>
                <w:sz w:val="13"/>
              </w:rPr>
            </w:pPr>
            <w:r w:rsidRPr="0058047D">
              <w:rPr>
                <w:rFonts w:ascii="Tahoma" w:hAnsi="Tahoma" w:cs="Tahoma"/>
                <w:sz w:val="13"/>
              </w:rPr>
              <w:t>A</w:t>
            </w:r>
          </w:p>
        </w:tc>
        <w:tc>
          <w:tcPr>
            <w:tcW w:w="324" w:type="dxa"/>
            <w:tcBorders>
              <w:top w:val="single" w:sz="4" w:space="0" w:color="auto"/>
              <w:left w:val="single" w:sz="18" w:space="0" w:color="auto"/>
              <w:bottom w:val="single" w:sz="4" w:space="0" w:color="auto"/>
              <w:right w:val="single" w:sz="18" w:space="0" w:color="auto"/>
            </w:tcBorders>
            <w:shd w:val="clear" w:color="auto" w:fill="FABF8F"/>
            <w:vAlign w:val="center"/>
          </w:tcPr>
          <w:p w14:paraId="2545C6EA" w14:textId="77777777" w:rsidR="00913A0A" w:rsidRPr="0058047D" w:rsidDel="00436016" w:rsidRDefault="00913A0A" w:rsidP="00871AE2">
            <w:pPr>
              <w:pStyle w:val="TableText"/>
              <w:widowControl w:val="0"/>
              <w:rPr>
                <w:rFonts w:ascii="Tahoma" w:hAnsi="Tahoma" w:cs="Tahoma"/>
                <w:sz w:val="13"/>
              </w:rPr>
            </w:pPr>
          </w:p>
        </w:tc>
        <w:tc>
          <w:tcPr>
            <w:tcW w:w="655" w:type="dxa"/>
            <w:tcBorders>
              <w:top w:val="single" w:sz="4" w:space="0" w:color="auto"/>
              <w:left w:val="single" w:sz="4" w:space="0" w:color="auto"/>
              <w:bottom w:val="single" w:sz="4" w:space="0" w:color="auto"/>
              <w:right w:val="single" w:sz="4" w:space="0" w:color="auto"/>
            </w:tcBorders>
            <w:shd w:val="clear" w:color="auto" w:fill="FABF8F"/>
          </w:tcPr>
          <w:p w14:paraId="00ECBDF4" w14:textId="77777777" w:rsidR="00913A0A" w:rsidRPr="0058047D" w:rsidDel="00436016" w:rsidRDefault="00913A0A" w:rsidP="00871AE2">
            <w:pPr>
              <w:pStyle w:val="TableText"/>
              <w:widowControl w:val="0"/>
              <w:spacing w:before="120"/>
              <w:rPr>
                <w:rFonts w:ascii="Tahoma" w:hAnsi="Tahoma" w:cs="Tahoma"/>
                <w:sz w:val="13"/>
              </w:rPr>
            </w:pPr>
          </w:p>
        </w:tc>
        <w:tc>
          <w:tcPr>
            <w:tcW w:w="504" w:type="dxa"/>
            <w:tcBorders>
              <w:top w:val="single" w:sz="4" w:space="0" w:color="auto"/>
              <w:left w:val="single" w:sz="4" w:space="0" w:color="auto"/>
              <w:bottom w:val="single" w:sz="4" w:space="0" w:color="auto"/>
              <w:right w:val="single" w:sz="4" w:space="0" w:color="auto"/>
            </w:tcBorders>
            <w:shd w:val="clear" w:color="auto" w:fill="FABF8F"/>
            <w:vAlign w:val="center"/>
          </w:tcPr>
          <w:p w14:paraId="153FDCEF" w14:textId="77777777" w:rsidR="00913A0A" w:rsidRPr="0058047D" w:rsidDel="00436016" w:rsidRDefault="00913A0A" w:rsidP="00871AE2">
            <w:pPr>
              <w:pStyle w:val="TableText"/>
              <w:widowControl w:val="0"/>
              <w:rPr>
                <w:rFonts w:ascii="Tahoma" w:hAnsi="Tahoma" w:cs="Tahoma"/>
                <w:sz w:val="13"/>
              </w:rPr>
            </w:pPr>
          </w:p>
        </w:tc>
        <w:tc>
          <w:tcPr>
            <w:tcW w:w="405" w:type="dxa"/>
            <w:tcBorders>
              <w:top w:val="single" w:sz="4" w:space="0" w:color="auto"/>
              <w:left w:val="single" w:sz="4" w:space="0" w:color="auto"/>
              <w:bottom w:val="single" w:sz="4" w:space="0" w:color="auto"/>
              <w:right w:val="single" w:sz="4" w:space="0" w:color="auto"/>
            </w:tcBorders>
            <w:shd w:val="clear" w:color="auto" w:fill="FABF8F"/>
          </w:tcPr>
          <w:p w14:paraId="4E0B8581" w14:textId="77777777" w:rsidR="00913A0A" w:rsidRPr="0058047D" w:rsidDel="00436016" w:rsidRDefault="002C4BA9" w:rsidP="00871AE2">
            <w:pPr>
              <w:pStyle w:val="TableText"/>
              <w:widowControl w:val="0"/>
              <w:rPr>
                <w:rFonts w:ascii="Tahoma" w:hAnsi="Tahoma" w:cs="Tahoma"/>
                <w:sz w:val="13"/>
              </w:rPr>
            </w:pPr>
            <w:r w:rsidRPr="0058047D">
              <w:rPr>
                <w:rFonts w:ascii="Tahoma" w:hAnsi="Tahoma" w:cs="Tahoma"/>
                <w:sz w:val="13"/>
              </w:rPr>
              <w:t>A</w:t>
            </w:r>
          </w:p>
        </w:tc>
      </w:tr>
      <w:tr w:rsidR="009323A0" w:rsidRPr="0058047D" w:rsidDel="00436016" w14:paraId="26760E9F" w14:textId="77777777" w:rsidTr="00C86F50">
        <w:trPr>
          <w:trHeight w:val="145"/>
        </w:trPr>
        <w:tc>
          <w:tcPr>
            <w:tcW w:w="261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2BBDD93" w14:textId="77777777" w:rsidR="00913A0A" w:rsidRPr="003F471F" w:rsidRDefault="00913A0A" w:rsidP="00E077BC">
            <w:pPr>
              <w:pStyle w:val="Heading2"/>
              <w:spacing w:beforeLines="20" w:before="48" w:afterLines="20" w:after="48"/>
              <w:ind w:left="0" w:firstLine="15"/>
              <w:rPr>
                <w:rFonts w:ascii="Tahoma" w:hAnsi="Tahoma" w:cs="Tahoma"/>
                <w:b w:val="0"/>
                <w:sz w:val="14"/>
                <w:szCs w:val="16"/>
                <w:lang w:val="it-IT"/>
              </w:rPr>
            </w:pPr>
            <w:bookmarkStart w:id="329" w:name="_Toc371663440"/>
            <w:r w:rsidRPr="003F471F">
              <w:rPr>
                <w:rFonts w:ascii="Tahoma" w:hAnsi="Tahoma" w:cs="Tahoma"/>
                <w:b w:val="0"/>
                <w:sz w:val="14"/>
                <w:szCs w:val="16"/>
                <w:lang w:val="it-IT"/>
              </w:rPr>
              <w:t>Office 365 Government G3, G4 senza Componente Aggiuntivo di Office Pro Plus (SL per Utente)</w:t>
            </w:r>
            <w:bookmarkEnd w:id="329"/>
          </w:p>
        </w:tc>
        <w:tc>
          <w:tcPr>
            <w:tcW w:w="554" w:type="dxa"/>
            <w:tcBorders>
              <w:top w:val="single" w:sz="4" w:space="0" w:color="auto"/>
              <w:left w:val="single" w:sz="4" w:space="0" w:color="auto"/>
              <w:bottom w:val="single" w:sz="4" w:space="0" w:color="auto"/>
              <w:right w:val="single" w:sz="4" w:space="0" w:color="auto"/>
            </w:tcBorders>
            <w:shd w:val="clear" w:color="auto" w:fill="auto"/>
            <w:vAlign w:val="center"/>
          </w:tcPr>
          <w:p w14:paraId="3C302CA4" w14:textId="77777777" w:rsidR="00913A0A" w:rsidRPr="0058047D" w:rsidRDefault="00C86F50" w:rsidP="00796355">
            <w:pPr>
              <w:pStyle w:val="TableText"/>
              <w:widowControl w:val="0"/>
            </w:pPr>
            <w:hyperlink w:anchor="_7_Add-on_User" w:history="1">
              <w:r w:rsidR="00295AED" w:rsidRPr="0058047D">
                <w:rPr>
                  <w:rStyle w:val="Hyperlink"/>
                </w:rPr>
                <w:t>7</w:t>
              </w:r>
            </w:hyperlink>
          </w:p>
        </w:tc>
        <w:tc>
          <w:tcPr>
            <w:tcW w:w="516" w:type="dxa"/>
            <w:tcBorders>
              <w:top w:val="single" w:sz="4" w:space="0" w:color="auto"/>
              <w:left w:val="single" w:sz="4" w:space="0" w:color="auto"/>
              <w:bottom w:val="single" w:sz="4" w:space="0" w:color="auto"/>
              <w:right w:val="single" w:sz="4" w:space="0" w:color="auto"/>
            </w:tcBorders>
            <w:shd w:val="clear" w:color="auto" w:fill="auto"/>
          </w:tcPr>
          <w:p w14:paraId="1F2D5A0F" w14:textId="77777777" w:rsidR="00913A0A" w:rsidRPr="0058047D" w:rsidRDefault="00913A0A" w:rsidP="00871AE2">
            <w:pPr>
              <w:pStyle w:val="TableText"/>
              <w:widowControl w:val="0"/>
              <w:spacing w:before="120"/>
              <w:rPr>
                <w:rFonts w:ascii="Tahoma" w:hAnsi="Tahoma" w:cs="Tahoma"/>
                <w:color w:val="000000"/>
                <w:sz w:val="13"/>
              </w:rPr>
            </w:pPr>
            <w:r w:rsidRPr="0058047D">
              <w:rPr>
                <w:rFonts w:ascii="Tahoma" w:hAnsi="Tahoma" w:cs="Tahoma"/>
                <w:color w:val="000000"/>
                <w:sz w:val="13"/>
              </w:rPr>
              <w:t>08/13</w:t>
            </w:r>
          </w:p>
        </w:tc>
        <w:tc>
          <w:tcPr>
            <w:tcW w:w="358" w:type="dxa"/>
            <w:tcBorders>
              <w:top w:val="single" w:sz="4" w:space="0" w:color="auto"/>
              <w:left w:val="single" w:sz="4" w:space="0" w:color="auto"/>
              <w:bottom w:val="single" w:sz="4" w:space="0" w:color="auto"/>
              <w:right w:val="single" w:sz="18" w:space="0" w:color="auto"/>
            </w:tcBorders>
            <w:shd w:val="clear" w:color="auto" w:fill="auto"/>
            <w:vAlign w:val="center"/>
          </w:tcPr>
          <w:p w14:paraId="29E4BA0E" w14:textId="77777777" w:rsidR="00913A0A" w:rsidRPr="0058047D" w:rsidRDefault="00913A0A" w:rsidP="00871AE2">
            <w:pPr>
              <w:pStyle w:val="TableText"/>
              <w:widowControl w:val="0"/>
              <w:rPr>
                <w:rFonts w:ascii="Tahoma" w:hAnsi="Tahoma" w:cs="Tahoma"/>
                <w:sz w:val="13"/>
              </w:rPr>
            </w:pPr>
          </w:p>
        </w:tc>
        <w:tc>
          <w:tcPr>
            <w:tcW w:w="330" w:type="dxa"/>
            <w:tcBorders>
              <w:top w:val="single" w:sz="4" w:space="0" w:color="auto"/>
              <w:left w:val="single" w:sz="18" w:space="0" w:color="auto"/>
              <w:bottom w:val="single" w:sz="4" w:space="0" w:color="auto"/>
              <w:right w:val="single" w:sz="4" w:space="0" w:color="auto"/>
            </w:tcBorders>
            <w:shd w:val="clear" w:color="auto" w:fill="auto"/>
            <w:vAlign w:val="center"/>
          </w:tcPr>
          <w:p w14:paraId="46C2854D" w14:textId="77777777" w:rsidR="00913A0A" w:rsidRPr="0058047D" w:rsidDel="00436016" w:rsidRDefault="00913A0A" w:rsidP="00871AE2">
            <w:pPr>
              <w:pStyle w:val="TableText"/>
              <w:widowControl w:val="0"/>
              <w:rPr>
                <w:rFonts w:ascii="Tahoma" w:hAnsi="Tahoma" w:cs="Tahoma"/>
                <w:sz w:val="13"/>
              </w:rPr>
            </w:pPr>
          </w:p>
        </w:tc>
        <w:tc>
          <w:tcPr>
            <w:tcW w:w="324" w:type="dxa"/>
            <w:tcBorders>
              <w:top w:val="single" w:sz="4" w:space="0" w:color="auto"/>
              <w:left w:val="single" w:sz="4" w:space="0" w:color="auto"/>
              <w:bottom w:val="single" w:sz="4" w:space="0" w:color="auto"/>
              <w:right w:val="single" w:sz="4" w:space="0" w:color="auto"/>
            </w:tcBorders>
            <w:shd w:val="clear" w:color="auto" w:fill="auto"/>
            <w:vAlign w:val="center"/>
          </w:tcPr>
          <w:p w14:paraId="2F80A920" w14:textId="77777777" w:rsidR="00913A0A" w:rsidRPr="0058047D" w:rsidDel="00436016" w:rsidRDefault="00913A0A" w:rsidP="00871AE2">
            <w:pPr>
              <w:pStyle w:val="TableText"/>
              <w:widowControl w:val="0"/>
              <w:rPr>
                <w:rFonts w:ascii="Tahoma" w:hAnsi="Tahoma" w:cs="Tahoma"/>
                <w:sz w:val="13"/>
              </w:rPr>
            </w:pPr>
          </w:p>
        </w:tc>
        <w:tc>
          <w:tcPr>
            <w:tcW w:w="366" w:type="dxa"/>
            <w:tcBorders>
              <w:top w:val="single" w:sz="4" w:space="0" w:color="auto"/>
              <w:left w:val="single" w:sz="4" w:space="0" w:color="auto"/>
              <w:bottom w:val="single" w:sz="4" w:space="0" w:color="auto"/>
              <w:right w:val="single" w:sz="4" w:space="0" w:color="auto"/>
            </w:tcBorders>
            <w:shd w:val="clear" w:color="auto" w:fill="auto"/>
            <w:vAlign w:val="center"/>
          </w:tcPr>
          <w:p w14:paraId="75E4F568" w14:textId="77777777" w:rsidR="00913A0A" w:rsidRPr="0058047D" w:rsidDel="00436016" w:rsidRDefault="00913A0A" w:rsidP="00871AE2">
            <w:pPr>
              <w:pStyle w:val="TableText"/>
              <w:widowControl w:val="0"/>
              <w:rPr>
                <w:rFonts w:ascii="Tahoma" w:hAnsi="Tahoma" w:cs="Tahoma"/>
                <w:sz w:val="13"/>
              </w:rPr>
            </w:pPr>
          </w:p>
        </w:tc>
        <w:tc>
          <w:tcPr>
            <w:tcW w:w="45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BA78D3E" w14:textId="77777777" w:rsidR="00913A0A" w:rsidRPr="0058047D"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15E2641C" w14:textId="77777777" w:rsidR="00913A0A" w:rsidRPr="0058047D"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29273EE5" w14:textId="77777777" w:rsidR="00913A0A" w:rsidRPr="0058047D" w:rsidDel="00436016" w:rsidRDefault="00913A0A" w:rsidP="00871AE2">
            <w:pPr>
              <w:pStyle w:val="TableText"/>
              <w:widowControl w:val="0"/>
              <w:rPr>
                <w:rFonts w:ascii="Tahoma" w:hAnsi="Tahoma" w:cs="Tahoma"/>
                <w:sz w:val="13"/>
              </w:rPr>
            </w:pPr>
          </w:p>
        </w:tc>
        <w:tc>
          <w:tcPr>
            <w:tcW w:w="336" w:type="dxa"/>
            <w:tcBorders>
              <w:top w:val="single" w:sz="4" w:space="0" w:color="auto"/>
              <w:left w:val="single" w:sz="4" w:space="0" w:color="auto"/>
              <w:bottom w:val="single" w:sz="4" w:space="0" w:color="auto"/>
              <w:right w:val="single" w:sz="18" w:space="0" w:color="auto"/>
            </w:tcBorders>
            <w:shd w:val="clear" w:color="auto" w:fill="auto"/>
            <w:vAlign w:val="center"/>
          </w:tcPr>
          <w:p w14:paraId="61A49DEC" w14:textId="77777777" w:rsidR="00913A0A" w:rsidRPr="0058047D" w:rsidDel="00436016" w:rsidRDefault="00913A0A" w:rsidP="00871AE2">
            <w:pPr>
              <w:pStyle w:val="TableText"/>
              <w:widowControl w:val="0"/>
              <w:rPr>
                <w:rFonts w:ascii="Tahoma" w:hAnsi="Tahoma" w:cs="Tahoma"/>
                <w:sz w:val="13"/>
              </w:rPr>
            </w:pPr>
          </w:p>
        </w:tc>
        <w:tc>
          <w:tcPr>
            <w:tcW w:w="477" w:type="dxa"/>
            <w:tcBorders>
              <w:top w:val="single" w:sz="4" w:space="0" w:color="auto"/>
              <w:left w:val="single" w:sz="18" w:space="0" w:color="auto"/>
              <w:bottom w:val="single" w:sz="4" w:space="0" w:color="auto"/>
              <w:right w:val="single" w:sz="4" w:space="0" w:color="auto"/>
            </w:tcBorders>
            <w:shd w:val="clear" w:color="auto" w:fill="auto"/>
            <w:vAlign w:val="center"/>
          </w:tcPr>
          <w:p w14:paraId="034B528F" w14:textId="77777777" w:rsidR="00913A0A" w:rsidRPr="0058047D"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7BAAFA08" w14:textId="77777777" w:rsidR="00913A0A" w:rsidRPr="0058047D" w:rsidDel="00436016" w:rsidRDefault="00913A0A" w:rsidP="00871AE2">
            <w:pPr>
              <w:pStyle w:val="TableText"/>
              <w:widowControl w:val="0"/>
              <w:rPr>
                <w:rFonts w:ascii="Tahoma" w:hAnsi="Tahoma" w:cs="Tahoma"/>
                <w:sz w:val="13"/>
              </w:rPr>
            </w:pPr>
          </w:p>
        </w:tc>
        <w:tc>
          <w:tcPr>
            <w:tcW w:w="414" w:type="dxa"/>
            <w:tcBorders>
              <w:top w:val="single" w:sz="4" w:space="0" w:color="auto"/>
              <w:left w:val="single" w:sz="4" w:space="0" w:color="auto"/>
              <w:bottom w:val="single" w:sz="4" w:space="0" w:color="auto"/>
              <w:right w:val="single" w:sz="18" w:space="0" w:color="auto"/>
            </w:tcBorders>
            <w:shd w:val="clear" w:color="auto" w:fill="auto"/>
            <w:vAlign w:val="center"/>
          </w:tcPr>
          <w:p w14:paraId="69470D0D" w14:textId="77777777" w:rsidR="00913A0A" w:rsidRPr="0058047D" w:rsidDel="00436016" w:rsidRDefault="00913A0A" w:rsidP="00871AE2">
            <w:pPr>
              <w:pStyle w:val="TableText"/>
              <w:widowControl w:val="0"/>
              <w:rPr>
                <w:rFonts w:ascii="Tahoma" w:hAnsi="Tahoma" w:cs="Tahoma"/>
                <w:sz w:val="13"/>
              </w:rPr>
            </w:pPr>
          </w:p>
        </w:tc>
        <w:tc>
          <w:tcPr>
            <w:tcW w:w="468" w:type="dxa"/>
            <w:tcBorders>
              <w:top w:val="single" w:sz="4" w:space="0" w:color="auto"/>
              <w:left w:val="single" w:sz="18" w:space="0" w:color="auto"/>
              <w:bottom w:val="single" w:sz="4" w:space="0" w:color="auto"/>
              <w:right w:val="single" w:sz="4" w:space="0" w:color="auto"/>
            </w:tcBorders>
            <w:shd w:val="clear" w:color="auto" w:fill="auto"/>
            <w:vAlign w:val="center"/>
          </w:tcPr>
          <w:p w14:paraId="65CC9E23" w14:textId="77777777" w:rsidR="00913A0A" w:rsidRPr="0058047D" w:rsidDel="00436016" w:rsidRDefault="00913A0A" w:rsidP="00871AE2">
            <w:pPr>
              <w:pStyle w:val="TableText"/>
              <w:widowControl w:val="0"/>
              <w:rPr>
                <w:rFonts w:ascii="Tahoma" w:hAnsi="Tahoma" w:cs="Tahoma"/>
                <w:sz w:val="13"/>
              </w:rPr>
            </w:pPr>
          </w:p>
        </w:tc>
        <w:tc>
          <w:tcPr>
            <w:tcW w:w="477" w:type="dxa"/>
            <w:tcBorders>
              <w:top w:val="single" w:sz="4" w:space="0" w:color="auto"/>
              <w:left w:val="single" w:sz="4" w:space="0" w:color="auto"/>
              <w:bottom w:val="single" w:sz="4" w:space="0" w:color="auto"/>
              <w:right w:val="single" w:sz="18" w:space="0" w:color="auto"/>
            </w:tcBorders>
            <w:shd w:val="clear" w:color="auto" w:fill="auto"/>
            <w:vAlign w:val="center"/>
          </w:tcPr>
          <w:p w14:paraId="75DB8C90" w14:textId="77777777" w:rsidR="00913A0A" w:rsidRPr="0058047D" w:rsidRDefault="00913A0A" w:rsidP="00871AE2">
            <w:pPr>
              <w:pStyle w:val="TableText"/>
              <w:widowControl w:val="0"/>
              <w:rPr>
                <w:rFonts w:ascii="Tahoma" w:hAnsi="Tahoma" w:cs="Tahoma"/>
                <w:sz w:val="13"/>
              </w:rPr>
            </w:pPr>
            <w:r w:rsidRPr="0058047D">
              <w:rPr>
                <w:rFonts w:ascii="Tahoma" w:hAnsi="Tahoma" w:cs="Tahoma"/>
                <w:sz w:val="13"/>
              </w:rPr>
              <w:t>A</w:t>
            </w:r>
          </w:p>
        </w:tc>
        <w:tc>
          <w:tcPr>
            <w:tcW w:w="324" w:type="dxa"/>
            <w:tcBorders>
              <w:top w:val="single" w:sz="4" w:space="0" w:color="auto"/>
              <w:left w:val="single" w:sz="18" w:space="0" w:color="auto"/>
              <w:bottom w:val="single" w:sz="4" w:space="0" w:color="auto"/>
              <w:right w:val="single" w:sz="18" w:space="0" w:color="auto"/>
            </w:tcBorders>
            <w:shd w:val="clear" w:color="auto" w:fill="auto"/>
            <w:vAlign w:val="center"/>
          </w:tcPr>
          <w:p w14:paraId="02AC6714" w14:textId="77777777" w:rsidR="00913A0A" w:rsidRPr="0058047D" w:rsidDel="00436016" w:rsidRDefault="00913A0A" w:rsidP="00871AE2">
            <w:pPr>
              <w:pStyle w:val="TableText"/>
              <w:widowControl w:val="0"/>
              <w:rPr>
                <w:rFonts w:ascii="Tahoma" w:hAnsi="Tahoma" w:cs="Tahoma"/>
                <w:sz w:val="13"/>
              </w:rPr>
            </w:pPr>
          </w:p>
        </w:tc>
        <w:tc>
          <w:tcPr>
            <w:tcW w:w="655" w:type="dxa"/>
            <w:tcBorders>
              <w:top w:val="single" w:sz="4" w:space="0" w:color="auto"/>
              <w:left w:val="single" w:sz="4" w:space="0" w:color="auto"/>
              <w:bottom w:val="single" w:sz="4" w:space="0" w:color="auto"/>
              <w:right w:val="single" w:sz="4" w:space="0" w:color="auto"/>
            </w:tcBorders>
            <w:shd w:val="clear" w:color="auto" w:fill="auto"/>
          </w:tcPr>
          <w:p w14:paraId="2AFB19FF" w14:textId="77777777" w:rsidR="00913A0A" w:rsidRPr="0058047D" w:rsidDel="00436016" w:rsidRDefault="00913A0A" w:rsidP="00871AE2">
            <w:pPr>
              <w:pStyle w:val="TableText"/>
              <w:widowControl w:val="0"/>
              <w:spacing w:before="120"/>
              <w:rPr>
                <w:rFonts w:ascii="Tahoma" w:hAnsi="Tahoma" w:cs="Tahoma"/>
                <w:sz w:val="13"/>
              </w:rPr>
            </w:pPr>
          </w:p>
        </w:tc>
        <w:tc>
          <w:tcPr>
            <w:tcW w:w="504" w:type="dxa"/>
            <w:tcBorders>
              <w:top w:val="single" w:sz="4" w:space="0" w:color="auto"/>
              <w:left w:val="single" w:sz="4" w:space="0" w:color="auto"/>
              <w:bottom w:val="single" w:sz="4" w:space="0" w:color="auto"/>
              <w:right w:val="single" w:sz="4" w:space="0" w:color="auto"/>
            </w:tcBorders>
            <w:shd w:val="clear" w:color="auto" w:fill="auto"/>
            <w:vAlign w:val="center"/>
          </w:tcPr>
          <w:p w14:paraId="7E211A29" w14:textId="77777777" w:rsidR="00913A0A" w:rsidRPr="0058047D" w:rsidDel="00436016" w:rsidRDefault="00913A0A" w:rsidP="00871AE2">
            <w:pPr>
              <w:pStyle w:val="TableText"/>
              <w:widowControl w:val="0"/>
              <w:rPr>
                <w:rFonts w:ascii="Tahoma" w:hAnsi="Tahoma" w:cs="Tahoma"/>
                <w:sz w:val="13"/>
              </w:rPr>
            </w:pPr>
          </w:p>
        </w:tc>
        <w:tc>
          <w:tcPr>
            <w:tcW w:w="405" w:type="dxa"/>
            <w:tcBorders>
              <w:top w:val="single" w:sz="4" w:space="0" w:color="auto"/>
              <w:left w:val="single" w:sz="4" w:space="0" w:color="auto"/>
              <w:bottom w:val="single" w:sz="4" w:space="0" w:color="auto"/>
              <w:right w:val="single" w:sz="4" w:space="0" w:color="auto"/>
            </w:tcBorders>
          </w:tcPr>
          <w:p w14:paraId="56F59586" w14:textId="77777777" w:rsidR="00913A0A" w:rsidRPr="0058047D" w:rsidDel="00436016" w:rsidRDefault="002C4BA9" w:rsidP="00871AE2">
            <w:pPr>
              <w:pStyle w:val="TableText"/>
              <w:widowControl w:val="0"/>
              <w:rPr>
                <w:rFonts w:ascii="Tahoma" w:hAnsi="Tahoma" w:cs="Tahoma"/>
                <w:sz w:val="13"/>
              </w:rPr>
            </w:pPr>
            <w:r w:rsidRPr="0058047D">
              <w:rPr>
                <w:rFonts w:ascii="Tahoma" w:hAnsi="Tahoma" w:cs="Tahoma"/>
                <w:sz w:val="13"/>
              </w:rPr>
              <w:t>A</w:t>
            </w:r>
          </w:p>
        </w:tc>
      </w:tr>
      <w:tr w:rsidR="009323A0" w:rsidRPr="0058047D" w14:paraId="65B84EA4" w14:textId="77777777" w:rsidTr="00C86F50">
        <w:trPr>
          <w:trHeight w:val="145"/>
        </w:trPr>
        <w:tc>
          <w:tcPr>
            <w:tcW w:w="2619" w:type="dxa"/>
            <w:gridSpan w:val="2"/>
            <w:tcBorders>
              <w:bottom w:val="single" w:sz="4" w:space="0" w:color="auto"/>
            </w:tcBorders>
            <w:shd w:val="clear" w:color="auto" w:fill="FABF8F"/>
            <w:vAlign w:val="center"/>
          </w:tcPr>
          <w:p w14:paraId="1A1BB48B" w14:textId="77777777" w:rsidR="00913A0A" w:rsidRPr="0058047D" w:rsidRDefault="00913A0A" w:rsidP="006C465D">
            <w:pPr>
              <w:pStyle w:val="ProductNames"/>
              <w:spacing w:before="0" w:after="0"/>
              <w:rPr>
                <w:rFonts w:ascii="Tahoma" w:hAnsi="Tahoma" w:cs="Tahoma"/>
                <w:sz w:val="14"/>
              </w:rPr>
            </w:pPr>
            <w:bookmarkStart w:id="330" w:name="_Toc336338032"/>
            <w:bookmarkStart w:id="331" w:name="_Toc371663441"/>
            <w:r w:rsidRPr="0058047D">
              <w:rPr>
                <w:rFonts w:ascii="Tahoma" w:hAnsi="Tahoma" w:cs="Tahoma"/>
                <w:sz w:val="14"/>
              </w:rPr>
              <w:t>Office Web Applications con SharePoint Piano 2A (SL per utente)</w:t>
            </w:r>
            <w:bookmarkEnd w:id="330"/>
            <w:bookmarkEnd w:id="331"/>
          </w:p>
        </w:tc>
        <w:tc>
          <w:tcPr>
            <w:tcW w:w="554" w:type="dxa"/>
            <w:tcBorders>
              <w:bottom w:val="single" w:sz="4" w:space="0" w:color="auto"/>
            </w:tcBorders>
            <w:shd w:val="clear" w:color="auto" w:fill="FABF8F"/>
            <w:vAlign w:val="center"/>
          </w:tcPr>
          <w:p w14:paraId="33E9F69D" w14:textId="77777777" w:rsidR="00913A0A" w:rsidRPr="0058047D" w:rsidRDefault="00913A0A" w:rsidP="00D66F68">
            <w:pPr>
              <w:pStyle w:val="TableText"/>
              <w:widowControl w:val="0"/>
              <w:rPr>
                <w:b/>
                <w:color w:val="0000FF"/>
                <w:sz w:val="13"/>
                <w:szCs w:val="13"/>
                <w:u w:val="single"/>
              </w:rPr>
            </w:pPr>
          </w:p>
        </w:tc>
        <w:tc>
          <w:tcPr>
            <w:tcW w:w="516" w:type="dxa"/>
            <w:tcBorders>
              <w:bottom w:val="single" w:sz="4" w:space="0" w:color="auto"/>
            </w:tcBorders>
            <w:shd w:val="clear" w:color="auto" w:fill="FABF8F"/>
            <w:vAlign w:val="center"/>
          </w:tcPr>
          <w:p w14:paraId="31A6AEC4" w14:textId="77777777" w:rsidR="00913A0A" w:rsidRPr="0058047D" w:rsidRDefault="00913A0A" w:rsidP="006C465D">
            <w:pPr>
              <w:pStyle w:val="TableText"/>
              <w:widowControl w:val="0"/>
              <w:rPr>
                <w:rFonts w:ascii="Tahoma" w:hAnsi="Tahoma" w:cs="Tahoma"/>
                <w:color w:val="000000"/>
                <w:sz w:val="13"/>
              </w:rPr>
            </w:pPr>
            <w:r w:rsidRPr="0058047D">
              <w:rPr>
                <w:rFonts w:ascii="Tahoma" w:hAnsi="Tahoma" w:cs="Tahoma"/>
                <w:color w:val="000000"/>
                <w:sz w:val="13"/>
              </w:rPr>
              <w:t>07/12</w:t>
            </w:r>
          </w:p>
        </w:tc>
        <w:tc>
          <w:tcPr>
            <w:tcW w:w="358" w:type="dxa"/>
            <w:tcBorders>
              <w:bottom w:val="single" w:sz="4" w:space="0" w:color="auto"/>
              <w:right w:val="single" w:sz="18" w:space="0" w:color="auto"/>
            </w:tcBorders>
            <w:shd w:val="clear" w:color="auto" w:fill="FABF8F"/>
            <w:vAlign w:val="center"/>
          </w:tcPr>
          <w:p w14:paraId="628B64DA" w14:textId="77777777" w:rsidR="00913A0A" w:rsidRPr="0058047D" w:rsidRDefault="00913A0A" w:rsidP="00D66F68">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bottom"/>
          </w:tcPr>
          <w:p w14:paraId="18A8DC42" w14:textId="77777777" w:rsidR="00913A0A" w:rsidRPr="0058047D" w:rsidRDefault="00913A0A" w:rsidP="00D66F68">
            <w:pPr>
              <w:pStyle w:val="TableText"/>
              <w:widowControl w:val="0"/>
              <w:rPr>
                <w:rFonts w:ascii="Tahoma" w:hAnsi="Tahoma" w:cs="Tahoma"/>
                <w:sz w:val="14"/>
                <w:szCs w:val="14"/>
              </w:rPr>
            </w:pPr>
          </w:p>
        </w:tc>
        <w:tc>
          <w:tcPr>
            <w:tcW w:w="324" w:type="dxa"/>
            <w:tcBorders>
              <w:bottom w:val="single" w:sz="4" w:space="0" w:color="auto"/>
            </w:tcBorders>
            <w:shd w:val="clear" w:color="auto" w:fill="FABF8F"/>
            <w:vAlign w:val="bottom"/>
          </w:tcPr>
          <w:p w14:paraId="21169A62" w14:textId="77777777" w:rsidR="00913A0A" w:rsidRPr="0058047D" w:rsidRDefault="00913A0A" w:rsidP="002A6E97">
            <w:pPr>
              <w:pStyle w:val="TableText"/>
              <w:widowControl w:val="0"/>
              <w:rPr>
                <w:rFonts w:ascii="Tahoma" w:hAnsi="Tahoma" w:cs="Tahoma"/>
                <w:sz w:val="14"/>
                <w:szCs w:val="14"/>
              </w:rPr>
            </w:pPr>
          </w:p>
        </w:tc>
        <w:tc>
          <w:tcPr>
            <w:tcW w:w="366" w:type="dxa"/>
            <w:tcBorders>
              <w:bottom w:val="single" w:sz="4" w:space="0" w:color="auto"/>
            </w:tcBorders>
            <w:shd w:val="clear" w:color="auto" w:fill="FABF8F"/>
            <w:vAlign w:val="bottom"/>
          </w:tcPr>
          <w:p w14:paraId="7B2D633C" w14:textId="77777777" w:rsidR="00913A0A" w:rsidRPr="0058047D" w:rsidRDefault="00913A0A" w:rsidP="002A6E97">
            <w:pPr>
              <w:pStyle w:val="TableText"/>
              <w:widowControl w:val="0"/>
              <w:rPr>
                <w:rFonts w:ascii="Tahoma" w:hAnsi="Tahoma" w:cs="Tahoma"/>
                <w:sz w:val="14"/>
                <w:szCs w:val="14"/>
              </w:rPr>
            </w:pPr>
          </w:p>
        </w:tc>
        <w:tc>
          <w:tcPr>
            <w:tcW w:w="456" w:type="dxa"/>
            <w:gridSpan w:val="2"/>
            <w:tcBorders>
              <w:bottom w:val="single" w:sz="4" w:space="0" w:color="auto"/>
            </w:tcBorders>
            <w:shd w:val="clear" w:color="auto" w:fill="FABF8F"/>
            <w:vAlign w:val="bottom"/>
          </w:tcPr>
          <w:p w14:paraId="1744F97F" w14:textId="77777777" w:rsidR="00913A0A" w:rsidRPr="0058047D" w:rsidRDefault="00913A0A"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4C244AFD" w14:textId="77777777" w:rsidR="00913A0A" w:rsidRPr="0058047D" w:rsidRDefault="00913A0A"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275D9B30" w14:textId="77777777" w:rsidR="00913A0A" w:rsidRPr="0058047D" w:rsidRDefault="00913A0A" w:rsidP="006C465D">
            <w:pPr>
              <w:pStyle w:val="TableText"/>
              <w:widowControl w:val="0"/>
              <w:rPr>
                <w:rFonts w:ascii="Tahoma" w:hAnsi="Tahoma" w:cs="Tahoma"/>
                <w:sz w:val="14"/>
                <w:szCs w:val="14"/>
              </w:rPr>
            </w:pPr>
          </w:p>
        </w:tc>
        <w:tc>
          <w:tcPr>
            <w:tcW w:w="336" w:type="dxa"/>
            <w:tcBorders>
              <w:bottom w:val="single" w:sz="4" w:space="0" w:color="auto"/>
              <w:right w:val="single" w:sz="18" w:space="0" w:color="auto"/>
            </w:tcBorders>
            <w:shd w:val="clear" w:color="auto" w:fill="FABF8F"/>
            <w:vAlign w:val="bottom"/>
          </w:tcPr>
          <w:p w14:paraId="4D173AA8" w14:textId="77777777" w:rsidR="00913A0A" w:rsidRPr="0058047D" w:rsidRDefault="00913A0A" w:rsidP="006C465D">
            <w:pPr>
              <w:pStyle w:val="TableText"/>
              <w:widowControl w:val="0"/>
              <w:rPr>
                <w:rFonts w:ascii="Tahoma" w:hAnsi="Tahoma" w:cs="Tahoma"/>
                <w:sz w:val="14"/>
                <w:szCs w:val="14"/>
              </w:rPr>
            </w:pPr>
          </w:p>
        </w:tc>
        <w:tc>
          <w:tcPr>
            <w:tcW w:w="477" w:type="dxa"/>
            <w:tcBorders>
              <w:left w:val="single" w:sz="18" w:space="0" w:color="auto"/>
              <w:bottom w:val="single" w:sz="4" w:space="0" w:color="auto"/>
            </w:tcBorders>
            <w:shd w:val="clear" w:color="auto" w:fill="FABF8F"/>
            <w:vAlign w:val="bottom"/>
          </w:tcPr>
          <w:p w14:paraId="0F321E0B" w14:textId="77777777" w:rsidR="00913A0A" w:rsidRPr="0058047D" w:rsidRDefault="00913A0A"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10B74BC3" w14:textId="77777777" w:rsidR="00913A0A" w:rsidRPr="0058047D" w:rsidRDefault="00913A0A" w:rsidP="006C465D">
            <w:pPr>
              <w:pStyle w:val="TableText"/>
              <w:widowControl w:val="0"/>
              <w:rPr>
                <w:rFonts w:ascii="Tahoma" w:hAnsi="Tahoma" w:cs="Tahoma"/>
                <w:sz w:val="14"/>
                <w:szCs w:val="14"/>
              </w:rPr>
            </w:pPr>
          </w:p>
        </w:tc>
        <w:tc>
          <w:tcPr>
            <w:tcW w:w="414" w:type="dxa"/>
            <w:tcBorders>
              <w:bottom w:val="single" w:sz="4" w:space="0" w:color="auto"/>
              <w:right w:val="single" w:sz="18" w:space="0" w:color="auto"/>
            </w:tcBorders>
            <w:shd w:val="clear" w:color="auto" w:fill="FABF8F"/>
            <w:vAlign w:val="bottom"/>
          </w:tcPr>
          <w:p w14:paraId="62E2416B" w14:textId="77777777" w:rsidR="00913A0A" w:rsidRPr="0058047D" w:rsidRDefault="00913A0A" w:rsidP="006C465D">
            <w:pPr>
              <w:pStyle w:val="TableText"/>
              <w:widowControl w:val="0"/>
              <w:rPr>
                <w:rFonts w:ascii="Tahoma" w:hAnsi="Tahoma" w:cs="Tahoma"/>
                <w:sz w:val="14"/>
                <w:szCs w:val="14"/>
              </w:rPr>
            </w:pPr>
          </w:p>
        </w:tc>
        <w:tc>
          <w:tcPr>
            <w:tcW w:w="468" w:type="dxa"/>
            <w:tcBorders>
              <w:left w:val="single" w:sz="18" w:space="0" w:color="auto"/>
              <w:bottom w:val="single" w:sz="4" w:space="0" w:color="auto"/>
            </w:tcBorders>
            <w:shd w:val="clear" w:color="auto" w:fill="FABF8F"/>
            <w:vAlign w:val="center"/>
          </w:tcPr>
          <w:p w14:paraId="1CF48DF3" w14:textId="77777777" w:rsidR="00913A0A" w:rsidRPr="0058047D" w:rsidRDefault="00913A0A" w:rsidP="006C465D">
            <w:pPr>
              <w:pStyle w:val="TableText"/>
              <w:widowControl w:val="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FABF8F"/>
            <w:vAlign w:val="center"/>
          </w:tcPr>
          <w:p w14:paraId="6CF66237" w14:textId="77777777" w:rsidR="00913A0A" w:rsidRPr="0058047D" w:rsidRDefault="00913A0A" w:rsidP="00D02D7A">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4322C800" w14:textId="77777777" w:rsidR="00913A0A" w:rsidRPr="0058047D" w:rsidRDefault="00913A0A" w:rsidP="00D02D7A">
            <w:pPr>
              <w:pStyle w:val="TableText"/>
              <w:widowControl w:val="0"/>
              <w:rPr>
                <w:rFonts w:ascii="Tahoma" w:hAnsi="Tahoma" w:cs="Tahoma"/>
                <w:sz w:val="13"/>
              </w:rPr>
            </w:pPr>
          </w:p>
        </w:tc>
        <w:tc>
          <w:tcPr>
            <w:tcW w:w="655" w:type="dxa"/>
            <w:tcBorders>
              <w:bottom w:val="single" w:sz="4" w:space="0" w:color="auto"/>
            </w:tcBorders>
            <w:shd w:val="clear" w:color="auto" w:fill="FABF8F"/>
          </w:tcPr>
          <w:p w14:paraId="285F70C2" w14:textId="77777777" w:rsidR="00913A0A" w:rsidRPr="0058047D" w:rsidRDefault="00913A0A" w:rsidP="006C465D">
            <w:pPr>
              <w:pStyle w:val="TableText"/>
              <w:widowControl w:val="0"/>
              <w:rPr>
                <w:rFonts w:ascii="Tahoma" w:hAnsi="Tahoma" w:cs="Tahoma"/>
                <w:sz w:val="13"/>
              </w:rPr>
            </w:pPr>
            <w:r w:rsidRPr="0058047D">
              <w:rPr>
                <w:rFonts w:ascii="Tahoma" w:hAnsi="Tahoma" w:cs="Tahoma"/>
                <w:sz w:val="13"/>
              </w:rPr>
              <w:t>A, ST (Solo EES)</w:t>
            </w:r>
          </w:p>
        </w:tc>
        <w:tc>
          <w:tcPr>
            <w:tcW w:w="504" w:type="dxa"/>
            <w:tcBorders>
              <w:bottom w:val="single" w:sz="4" w:space="0" w:color="auto"/>
            </w:tcBorders>
            <w:shd w:val="clear" w:color="auto" w:fill="FABF8F"/>
            <w:vAlign w:val="center"/>
          </w:tcPr>
          <w:p w14:paraId="70758443" w14:textId="77777777" w:rsidR="00913A0A" w:rsidRPr="0058047D" w:rsidRDefault="00913A0A" w:rsidP="00D66F68">
            <w:pPr>
              <w:pStyle w:val="TableText"/>
              <w:widowControl w:val="0"/>
              <w:rPr>
                <w:rFonts w:ascii="Tahoma" w:hAnsi="Tahoma" w:cs="Tahoma"/>
                <w:sz w:val="13"/>
              </w:rPr>
            </w:pPr>
          </w:p>
        </w:tc>
        <w:tc>
          <w:tcPr>
            <w:tcW w:w="405" w:type="dxa"/>
            <w:tcBorders>
              <w:bottom w:val="single" w:sz="4" w:space="0" w:color="auto"/>
            </w:tcBorders>
            <w:shd w:val="clear" w:color="auto" w:fill="FABF8F"/>
          </w:tcPr>
          <w:p w14:paraId="675FEA9C" w14:textId="77777777" w:rsidR="00913A0A" w:rsidRPr="0058047D" w:rsidRDefault="002C4BA9" w:rsidP="00D66F68">
            <w:pPr>
              <w:pStyle w:val="TableText"/>
              <w:widowControl w:val="0"/>
              <w:rPr>
                <w:rFonts w:ascii="Tahoma" w:hAnsi="Tahoma" w:cs="Tahoma"/>
                <w:sz w:val="13"/>
              </w:rPr>
            </w:pPr>
            <w:r w:rsidRPr="0058047D">
              <w:rPr>
                <w:rFonts w:ascii="Tahoma" w:hAnsi="Tahoma" w:cs="Tahoma"/>
                <w:sz w:val="13"/>
              </w:rPr>
              <w:t>A</w:t>
            </w:r>
          </w:p>
        </w:tc>
      </w:tr>
      <w:tr w:rsidR="009323A0" w:rsidRPr="0058047D" w14:paraId="41BD0AD1" w14:textId="77777777" w:rsidTr="00C86F50">
        <w:trPr>
          <w:trHeight w:val="145"/>
        </w:trPr>
        <w:tc>
          <w:tcPr>
            <w:tcW w:w="2619" w:type="dxa"/>
            <w:gridSpan w:val="2"/>
            <w:tcBorders>
              <w:bottom w:val="single" w:sz="4" w:space="0" w:color="auto"/>
            </w:tcBorders>
            <w:shd w:val="clear" w:color="auto" w:fill="auto"/>
            <w:vAlign w:val="center"/>
          </w:tcPr>
          <w:p w14:paraId="6AADDFF6" w14:textId="77777777" w:rsidR="000E0C44" w:rsidRPr="0058047D" w:rsidRDefault="000E0C44" w:rsidP="00E077BC">
            <w:pPr>
              <w:pStyle w:val="ProductNames"/>
              <w:spacing w:beforeLines="20" w:before="48" w:afterLines="20" w:after="48"/>
              <w:rPr>
                <w:rFonts w:ascii="Tahoma" w:hAnsi="Tahoma" w:cs="Tahoma"/>
                <w:sz w:val="14"/>
              </w:rPr>
            </w:pPr>
            <w:bookmarkStart w:id="332" w:name="_Toc371663442"/>
            <w:r w:rsidRPr="0058047D">
              <w:rPr>
                <w:rFonts w:ascii="Tahoma" w:hAnsi="Tahoma" w:cs="Tahoma"/>
                <w:sz w:val="14"/>
              </w:rPr>
              <w:t>Project Online</w:t>
            </w:r>
            <w:bookmarkEnd w:id="332"/>
            <w:r w:rsidR="00E34ED3" w:rsidRPr="0058047D">
              <w:rPr>
                <w:rFonts w:ascii="Tahoma" w:hAnsi="Tahoma" w:cs="Tahoma"/>
                <w:sz w:val="14"/>
              </w:rPr>
              <w:t xml:space="preserve"> </w:t>
            </w:r>
          </w:p>
        </w:tc>
        <w:tc>
          <w:tcPr>
            <w:tcW w:w="554" w:type="dxa"/>
            <w:tcBorders>
              <w:bottom w:val="single" w:sz="4" w:space="0" w:color="auto"/>
            </w:tcBorders>
            <w:shd w:val="clear" w:color="auto" w:fill="auto"/>
            <w:vAlign w:val="center"/>
          </w:tcPr>
          <w:p w14:paraId="2B75E045" w14:textId="77777777" w:rsidR="000E0C44" w:rsidRPr="0058047D" w:rsidRDefault="000E0C44" w:rsidP="001A63C6">
            <w:pPr>
              <w:pStyle w:val="TableText"/>
              <w:widowControl w:val="0"/>
              <w:rPr>
                <w:rStyle w:val="EndnoteReference"/>
                <w:color w:val="0000FF"/>
                <w:sz w:val="13"/>
                <w:szCs w:val="13"/>
                <w:u w:val="single"/>
              </w:rPr>
            </w:pPr>
          </w:p>
        </w:tc>
        <w:tc>
          <w:tcPr>
            <w:tcW w:w="516" w:type="dxa"/>
            <w:tcBorders>
              <w:bottom w:val="single" w:sz="4" w:space="0" w:color="auto"/>
            </w:tcBorders>
            <w:shd w:val="clear" w:color="auto" w:fill="auto"/>
          </w:tcPr>
          <w:p w14:paraId="6429933A" w14:textId="77777777" w:rsidR="000E0C44" w:rsidRPr="0058047D" w:rsidRDefault="000E0C44" w:rsidP="001A63C6">
            <w:pPr>
              <w:pStyle w:val="TableText"/>
              <w:widowControl w:val="0"/>
              <w:spacing w:before="40"/>
              <w:rPr>
                <w:rFonts w:ascii="Tahoma" w:hAnsi="Tahoma" w:cs="Tahoma"/>
                <w:color w:val="000000"/>
                <w:sz w:val="13"/>
              </w:rPr>
            </w:pPr>
            <w:r w:rsidRPr="0058047D">
              <w:rPr>
                <w:rFonts w:ascii="Tahoma" w:hAnsi="Tahoma" w:cs="Tahoma"/>
                <w:color w:val="000000"/>
                <w:sz w:val="13"/>
              </w:rPr>
              <w:t>03/13</w:t>
            </w:r>
          </w:p>
        </w:tc>
        <w:tc>
          <w:tcPr>
            <w:tcW w:w="358" w:type="dxa"/>
            <w:tcBorders>
              <w:bottom w:val="single" w:sz="4" w:space="0" w:color="auto"/>
              <w:right w:val="single" w:sz="18" w:space="0" w:color="auto"/>
            </w:tcBorders>
            <w:shd w:val="clear" w:color="auto" w:fill="auto"/>
            <w:vAlign w:val="center"/>
          </w:tcPr>
          <w:p w14:paraId="2A0201F2" w14:textId="77777777" w:rsidR="000E0C44" w:rsidRPr="0058047D" w:rsidRDefault="000E0C44"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bottom"/>
          </w:tcPr>
          <w:p w14:paraId="2A116DA4" w14:textId="77777777" w:rsidR="000E0C44" w:rsidRPr="0058047D" w:rsidRDefault="000E0C44" w:rsidP="001A63C6">
            <w:pPr>
              <w:pStyle w:val="TableText"/>
              <w:widowControl w:val="0"/>
              <w:rPr>
                <w:rFonts w:ascii="Tahoma" w:hAnsi="Tahoma" w:cs="Tahoma"/>
                <w:sz w:val="14"/>
                <w:szCs w:val="14"/>
              </w:rPr>
            </w:pPr>
          </w:p>
        </w:tc>
        <w:tc>
          <w:tcPr>
            <w:tcW w:w="324" w:type="dxa"/>
            <w:tcBorders>
              <w:bottom w:val="single" w:sz="4" w:space="0" w:color="auto"/>
            </w:tcBorders>
            <w:shd w:val="clear" w:color="auto" w:fill="auto"/>
            <w:vAlign w:val="bottom"/>
          </w:tcPr>
          <w:p w14:paraId="79A8066A" w14:textId="77777777" w:rsidR="000E0C44" w:rsidRPr="0058047D" w:rsidRDefault="000E0C44" w:rsidP="001A63C6">
            <w:pPr>
              <w:pStyle w:val="TableText"/>
              <w:widowControl w:val="0"/>
              <w:rPr>
                <w:rFonts w:ascii="Tahoma" w:hAnsi="Tahoma" w:cs="Tahoma"/>
                <w:sz w:val="14"/>
                <w:szCs w:val="14"/>
              </w:rPr>
            </w:pPr>
          </w:p>
        </w:tc>
        <w:tc>
          <w:tcPr>
            <w:tcW w:w="366" w:type="dxa"/>
            <w:tcBorders>
              <w:bottom w:val="single" w:sz="4" w:space="0" w:color="auto"/>
            </w:tcBorders>
            <w:shd w:val="clear" w:color="auto" w:fill="auto"/>
            <w:vAlign w:val="bottom"/>
          </w:tcPr>
          <w:p w14:paraId="3E0B088B" w14:textId="77777777" w:rsidR="000E0C44" w:rsidRPr="0058047D" w:rsidRDefault="000E0C44" w:rsidP="001A63C6">
            <w:pPr>
              <w:pStyle w:val="TableText"/>
              <w:widowControl w:val="0"/>
              <w:rPr>
                <w:rFonts w:ascii="Tahoma" w:hAnsi="Tahoma" w:cs="Tahoma"/>
                <w:sz w:val="14"/>
                <w:szCs w:val="14"/>
              </w:rPr>
            </w:pPr>
          </w:p>
        </w:tc>
        <w:tc>
          <w:tcPr>
            <w:tcW w:w="456" w:type="dxa"/>
            <w:gridSpan w:val="2"/>
            <w:tcBorders>
              <w:bottom w:val="single" w:sz="4" w:space="0" w:color="auto"/>
            </w:tcBorders>
            <w:shd w:val="clear" w:color="auto" w:fill="auto"/>
            <w:vAlign w:val="bottom"/>
          </w:tcPr>
          <w:p w14:paraId="48539609" w14:textId="77777777" w:rsidR="000E0C44" w:rsidRPr="0058047D" w:rsidRDefault="000E0C44"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49AFB36E" w14:textId="77777777" w:rsidR="000E0C44" w:rsidRPr="0058047D" w:rsidRDefault="000E0C44"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74836CD5" w14:textId="77777777" w:rsidR="000E0C44" w:rsidRPr="0058047D" w:rsidRDefault="000E0C44" w:rsidP="001A63C6">
            <w:pPr>
              <w:pStyle w:val="TableText"/>
              <w:widowControl w:val="0"/>
              <w:rPr>
                <w:rFonts w:ascii="Tahoma" w:hAnsi="Tahoma" w:cs="Tahoma"/>
                <w:sz w:val="14"/>
                <w:szCs w:val="14"/>
              </w:rPr>
            </w:pPr>
          </w:p>
        </w:tc>
        <w:tc>
          <w:tcPr>
            <w:tcW w:w="336" w:type="dxa"/>
            <w:tcBorders>
              <w:bottom w:val="single" w:sz="4" w:space="0" w:color="auto"/>
              <w:right w:val="single" w:sz="18" w:space="0" w:color="auto"/>
            </w:tcBorders>
            <w:shd w:val="clear" w:color="auto" w:fill="auto"/>
            <w:vAlign w:val="bottom"/>
          </w:tcPr>
          <w:p w14:paraId="70F31A77" w14:textId="77777777" w:rsidR="000E0C44" w:rsidRPr="0058047D" w:rsidRDefault="000E0C44" w:rsidP="001A63C6">
            <w:pPr>
              <w:pStyle w:val="TableText"/>
              <w:widowControl w:val="0"/>
              <w:rPr>
                <w:rFonts w:ascii="Tahoma" w:hAnsi="Tahoma" w:cs="Tahoma"/>
                <w:sz w:val="14"/>
                <w:szCs w:val="14"/>
              </w:rPr>
            </w:pPr>
          </w:p>
        </w:tc>
        <w:tc>
          <w:tcPr>
            <w:tcW w:w="1341" w:type="dxa"/>
            <w:gridSpan w:val="3"/>
            <w:tcBorders>
              <w:left w:val="single" w:sz="18" w:space="0" w:color="auto"/>
              <w:bottom w:val="single" w:sz="4" w:space="0" w:color="auto"/>
              <w:right w:val="single" w:sz="18" w:space="0" w:color="auto"/>
            </w:tcBorders>
            <w:shd w:val="clear" w:color="auto" w:fill="auto"/>
            <w:vAlign w:val="bottom"/>
          </w:tcPr>
          <w:p w14:paraId="394B476F" w14:textId="77777777" w:rsidR="000E0C44" w:rsidRPr="0058047D" w:rsidRDefault="000E0C44" w:rsidP="001A63C6">
            <w:pPr>
              <w:pStyle w:val="TableText"/>
              <w:widowControl w:val="0"/>
              <w:rPr>
                <w:rFonts w:ascii="Tahoma" w:hAnsi="Tahoma" w:cs="Tahoma"/>
                <w:sz w:val="14"/>
                <w:szCs w:val="14"/>
              </w:rPr>
            </w:pPr>
            <w:r w:rsidRPr="0058047D">
              <w:rPr>
                <w:rFonts w:ascii="Tahoma" w:hAnsi="Tahoma" w:cs="Tahoma"/>
                <w:sz w:val="14"/>
                <w:szCs w:val="14"/>
              </w:rPr>
              <w:t>1</w:t>
            </w:r>
          </w:p>
        </w:tc>
        <w:tc>
          <w:tcPr>
            <w:tcW w:w="468" w:type="dxa"/>
            <w:tcBorders>
              <w:left w:val="single" w:sz="18" w:space="0" w:color="auto"/>
              <w:bottom w:val="single" w:sz="4" w:space="0" w:color="auto"/>
            </w:tcBorders>
            <w:shd w:val="clear" w:color="auto" w:fill="auto"/>
            <w:vAlign w:val="center"/>
          </w:tcPr>
          <w:p w14:paraId="18003F13" w14:textId="77777777" w:rsidR="000E0C44" w:rsidRPr="0058047D" w:rsidRDefault="000E0C44"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5C8075E5" w14:textId="77777777" w:rsidR="000E0C44" w:rsidRPr="0058047D" w:rsidRDefault="000E0C44"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4737C2A9" w14:textId="77777777" w:rsidR="000E0C44" w:rsidRPr="0058047D" w:rsidRDefault="000E0C44"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auto"/>
          </w:tcPr>
          <w:p w14:paraId="41339986" w14:textId="77777777" w:rsidR="000E0C44" w:rsidRPr="0058047D" w:rsidRDefault="000E0C44"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auto"/>
            <w:vAlign w:val="center"/>
          </w:tcPr>
          <w:p w14:paraId="73957222" w14:textId="77777777" w:rsidR="000E0C44" w:rsidRPr="0058047D" w:rsidRDefault="000E0C44" w:rsidP="001A63C6">
            <w:pPr>
              <w:pStyle w:val="TableText"/>
              <w:widowControl w:val="0"/>
              <w:rPr>
                <w:rFonts w:ascii="Tahoma" w:hAnsi="Tahoma" w:cs="Tahoma"/>
                <w:sz w:val="13"/>
              </w:rPr>
            </w:pPr>
            <w:r w:rsidRPr="0058047D">
              <w:rPr>
                <w:rFonts w:ascii="Tahoma" w:hAnsi="Tahoma" w:cs="Tahoma"/>
                <w:sz w:val="13"/>
              </w:rPr>
              <w:t>OL/OV</w:t>
            </w:r>
          </w:p>
        </w:tc>
        <w:tc>
          <w:tcPr>
            <w:tcW w:w="405" w:type="dxa"/>
            <w:tcBorders>
              <w:bottom w:val="single" w:sz="4" w:space="0" w:color="auto"/>
            </w:tcBorders>
          </w:tcPr>
          <w:p w14:paraId="474874FE" w14:textId="77777777" w:rsidR="000E0C44" w:rsidRPr="0058047D" w:rsidRDefault="000E0C44"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5F39925D" w14:textId="77777777" w:rsidTr="00C86F50">
        <w:trPr>
          <w:trHeight w:val="145"/>
        </w:trPr>
        <w:tc>
          <w:tcPr>
            <w:tcW w:w="2619" w:type="dxa"/>
            <w:gridSpan w:val="2"/>
            <w:tcBorders>
              <w:bottom w:val="single" w:sz="4" w:space="0" w:color="auto"/>
            </w:tcBorders>
            <w:shd w:val="clear" w:color="auto" w:fill="FABF8F"/>
            <w:vAlign w:val="center"/>
          </w:tcPr>
          <w:p w14:paraId="0C54C5E7" w14:textId="77777777" w:rsidR="000E0C44" w:rsidRPr="0058047D" w:rsidRDefault="000E0C44" w:rsidP="00E077BC">
            <w:pPr>
              <w:pStyle w:val="ProductNames"/>
              <w:spacing w:beforeLines="20" w:before="48" w:afterLines="20" w:after="48"/>
              <w:rPr>
                <w:rFonts w:ascii="Tahoma" w:hAnsi="Tahoma" w:cs="Tahoma"/>
                <w:sz w:val="14"/>
              </w:rPr>
            </w:pPr>
            <w:bookmarkStart w:id="333" w:name="_Toc371663443"/>
            <w:r w:rsidRPr="0058047D">
              <w:rPr>
                <w:rFonts w:ascii="Tahoma" w:hAnsi="Tahoma" w:cs="Tahoma"/>
                <w:sz w:val="14"/>
              </w:rPr>
              <w:t>Project Online A</w:t>
            </w:r>
            <w:bookmarkEnd w:id="333"/>
          </w:p>
        </w:tc>
        <w:tc>
          <w:tcPr>
            <w:tcW w:w="554" w:type="dxa"/>
            <w:tcBorders>
              <w:bottom w:val="single" w:sz="4" w:space="0" w:color="auto"/>
            </w:tcBorders>
            <w:shd w:val="clear" w:color="auto" w:fill="FABF8F"/>
            <w:vAlign w:val="center"/>
          </w:tcPr>
          <w:p w14:paraId="2B38D775" w14:textId="77777777" w:rsidR="000E0C44" w:rsidRPr="0058047D" w:rsidRDefault="000E0C44" w:rsidP="001A63C6">
            <w:pPr>
              <w:pStyle w:val="TableText"/>
              <w:widowControl w:val="0"/>
              <w:rPr>
                <w:rStyle w:val="EndnoteReference"/>
                <w:color w:val="0000FF"/>
                <w:sz w:val="13"/>
                <w:szCs w:val="13"/>
                <w:u w:val="single"/>
              </w:rPr>
            </w:pPr>
          </w:p>
        </w:tc>
        <w:tc>
          <w:tcPr>
            <w:tcW w:w="516" w:type="dxa"/>
            <w:tcBorders>
              <w:bottom w:val="single" w:sz="4" w:space="0" w:color="auto"/>
            </w:tcBorders>
            <w:shd w:val="clear" w:color="auto" w:fill="FABF8F"/>
          </w:tcPr>
          <w:p w14:paraId="3EAE613F" w14:textId="77777777" w:rsidR="000E0C44" w:rsidRPr="0058047D" w:rsidRDefault="000E0C44" w:rsidP="001A63C6">
            <w:pPr>
              <w:pStyle w:val="TableText"/>
              <w:widowControl w:val="0"/>
              <w:spacing w:before="40"/>
              <w:rPr>
                <w:rFonts w:ascii="Tahoma" w:hAnsi="Tahoma" w:cs="Tahoma"/>
                <w:color w:val="000000"/>
                <w:sz w:val="13"/>
              </w:rPr>
            </w:pPr>
            <w:r w:rsidRPr="0058047D">
              <w:rPr>
                <w:rFonts w:ascii="Tahoma" w:hAnsi="Tahoma" w:cs="Tahoma"/>
                <w:color w:val="000000"/>
                <w:sz w:val="13"/>
              </w:rPr>
              <w:t>03/13</w:t>
            </w:r>
          </w:p>
        </w:tc>
        <w:tc>
          <w:tcPr>
            <w:tcW w:w="358" w:type="dxa"/>
            <w:tcBorders>
              <w:bottom w:val="single" w:sz="4" w:space="0" w:color="auto"/>
              <w:right w:val="single" w:sz="18" w:space="0" w:color="auto"/>
            </w:tcBorders>
            <w:shd w:val="clear" w:color="auto" w:fill="FABF8F"/>
            <w:vAlign w:val="center"/>
          </w:tcPr>
          <w:p w14:paraId="42D57B23" w14:textId="77777777" w:rsidR="000E0C44" w:rsidRPr="0058047D" w:rsidRDefault="000E0C44"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bottom"/>
          </w:tcPr>
          <w:p w14:paraId="12E1D1F9" w14:textId="77777777" w:rsidR="000E0C44" w:rsidRPr="0058047D" w:rsidRDefault="000E0C44" w:rsidP="001A63C6">
            <w:pPr>
              <w:pStyle w:val="TableText"/>
              <w:widowControl w:val="0"/>
              <w:rPr>
                <w:rFonts w:ascii="Tahoma" w:hAnsi="Tahoma" w:cs="Tahoma"/>
                <w:sz w:val="14"/>
                <w:szCs w:val="14"/>
              </w:rPr>
            </w:pPr>
          </w:p>
        </w:tc>
        <w:tc>
          <w:tcPr>
            <w:tcW w:w="324" w:type="dxa"/>
            <w:tcBorders>
              <w:bottom w:val="single" w:sz="4" w:space="0" w:color="auto"/>
            </w:tcBorders>
            <w:shd w:val="clear" w:color="auto" w:fill="FABF8F"/>
            <w:vAlign w:val="bottom"/>
          </w:tcPr>
          <w:p w14:paraId="7C40F247" w14:textId="77777777" w:rsidR="000E0C44" w:rsidRPr="0058047D" w:rsidRDefault="000E0C44" w:rsidP="001A63C6">
            <w:pPr>
              <w:pStyle w:val="TableText"/>
              <w:widowControl w:val="0"/>
              <w:rPr>
                <w:rFonts w:ascii="Tahoma" w:hAnsi="Tahoma" w:cs="Tahoma"/>
                <w:sz w:val="14"/>
                <w:szCs w:val="14"/>
              </w:rPr>
            </w:pPr>
          </w:p>
        </w:tc>
        <w:tc>
          <w:tcPr>
            <w:tcW w:w="366" w:type="dxa"/>
            <w:tcBorders>
              <w:bottom w:val="single" w:sz="4" w:space="0" w:color="auto"/>
            </w:tcBorders>
            <w:shd w:val="clear" w:color="auto" w:fill="FABF8F"/>
            <w:vAlign w:val="bottom"/>
          </w:tcPr>
          <w:p w14:paraId="629B902B" w14:textId="77777777" w:rsidR="000E0C44" w:rsidRPr="0058047D" w:rsidRDefault="000E0C44" w:rsidP="001A63C6">
            <w:pPr>
              <w:pStyle w:val="TableText"/>
              <w:widowControl w:val="0"/>
              <w:rPr>
                <w:rFonts w:ascii="Tahoma" w:hAnsi="Tahoma" w:cs="Tahoma"/>
                <w:sz w:val="14"/>
                <w:szCs w:val="14"/>
              </w:rPr>
            </w:pPr>
          </w:p>
        </w:tc>
        <w:tc>
          <w:tcPr>
            <w:tcW w:w="456" w:type="dxa"/>
            <w:gridSpan w:val="2"/>
            <w:tcBorders>
              <w:bottom w:val="single" w:sz="4" w:space="0" w:color="auto"/>
            </w:tcBorders>
            <w:shd w:val="clear" w:color="auto" w:fill="FABF8F"/>
            <w:vAlign w:val="bottom"/>
          </w:tcPr>
          <w:p w14:paraId="04F69D90" w14:textId="77777777" w:rsidR="000E0C44" w:rsidRPr="0058047D" w:rsidRDefault="000E0C44"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04074BEC" w14:textId="77777777" w:rsidR="000E0C44" w:rsidRPr="0058047D" w:rsidRDefault="000E0C44"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26F84F76" w14:textId="77777777" w:rsidR="000E0C44" w:rsidRPr="0058047D" w:rsidRDefault="000E0C44" w:rsidP="001A63C6">
            <w:pPr>
              <w:pStyle w:val="TableText"/>
              <w:widowControl w:val="0"/>
              <w:rPr>
                <w:rFonts w:ascii="Tahoma" w:hAnsi="Tahoma" w:cs="Tahoma"/>
                <w:sz w:val="14"/>
                <w:szCs w:val="14"/>
              </w:rPr>
            </w:pPr>
          </w:p>
        </w:tc>
        <w:tc>
          <w:tcPr>
            <w:tcW w:w="336" w:type="dxa"/>
            <w:tcBorders>
              <w:bottom w:val="single" w:sz="4" w:space="0" w:color="auto"/>
              <w:right w:val="single" w:sz="18" w:space="0" w:color="auto"/>
            </w:tcBorders>
            <w:shd w:val="clear" w:color="auto" w:fill="FABF8F"/>
            <w:vAlign w:val="bottom"/>
          </w:tcPr>
          <w:p w14:paraId="1F0D3A96" w14:textId="77777777" w:rsidR="000E0C44" w:rsidRPr="0058047D" w:rsidRDefault="000E0C44" w:rsidP="001A63C6">
            <w:pPr>
              <w:pStyle w:val="TableText"/>
              <w:widowControl w:val="0"/>
              <w:rPr>
                <w:rFonts w:ascii="Tahoma" w:hAnsi="Tahoma" w:cs="Tahoma"/>
                <w:sz w:val="14"/>
                <w:szCs w:val="14"/>
              </w:rPr>
            </w:pPr>
          </w:p>
        </w:tc>
        <w:tc>
          <w:tcPr>
            <w:tcW w:w="1341" w:type="dxa"/>
            <w:gridSpan w:val="3"/>
            <w:tcBorders>
              <w:left w:val="single" w:sz="18" w:space="0" w:color="auto"/>
              <w:bottom w:val="single" w:sz="4" w:space="0" w:color="auto"/>
              <w:right w:val="single" w:sz="18" w:space="0" w:color="auto"/>
            </w:tcBorders>
            <w:shd w:val="clear" w:color="auto" w:fill="FABF8F"/>
            <w:vAlign w:val="bottom"/>
          </w:tcPr>
          <w:p w14:paraId="598D425D" w14:textId="77777777" w:rsidR="000E0C44" w:rsidRPr="0058047D" w:rsidRDefault="000E0C44" w:rsidP="001A63C6">
            <w:pPr>
              <w:pStyle w:val="TableText"/>
              <w:widowControl w:val="0"/>
              <w:rPr>
                <w:rFonts w:ascii="Tahoma" w:hAnsi="Tahoma" w:cs="Tahoma"/>
                <w:sz w:val="14"/>
                <w:szCs w:val="14"/>
              </w:rPr>
            </w:pPr>
            <w:r w:rsidRPr="0058047D">
              <w:rPr>
                <w:rFonts w:ascii="Tahoma" w:hAnsi="Tahoma" w:cs="Tahoma"/>
                <w:sz w:val="14"/>
                <w:szCs w:val="14"/>
              </w:rPr>
              <w:t>1</w:t>
            </w:r>
          </w:p>
        </w:tc>
        <w:tc>
          <w:tcPr>
            <w:tcW w:w="468" w:type="dxa"/>
            <w:tcBorders>
              <w:left w:val="single" w:sz="18" w:space="0" w:color="auto"/>
              <w:bottom w:val="single" w:sz="4" w:space="0" w:color="auto"/>
            </w:tcBorders>
            <w:shd w:val="clear" w:color="auto" w:fill="FABF8F"/>
            <w:vAlign w:val="center"/>
          </w:tcPr>
          <w:p w14:paraId="1B37DAA1" w14:textId="77777777" w:rsidR="000E0C44" w:rsidRPr="0058047D" w:rsidRDefault="000E0C44" w:rsidP="001A63C6">
            <w:pPr>
              <w:pStyle w:val="TableText"/>
              <w:widowControl w:val="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FABF8F"/>
            <w:vAlign w:val="center"/>
          </w:tcPr>
          <w:p w14:paraId="48CB1B18" w14:textId="77777777" w:rsidR="000E0C44" w:rsidRPr="0058047D" w:rsidRDefault="000E0C44"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32DB41EF" w14:textId="77777777" w:rsidR="000E0C44" w:rsidRPr="0058047D" w:rsidRDefault="000E0C44"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tcPr>
          <w:p w14:paraId="207D3BFA" w14:textId="77777777" w:rsidR="000E0C44" w:rsidRPr="0058047D" w:rsidRDefault="000E0C44" w:rsidP="001A63C6">
            <w:pPr>
              <w:pStyle w:val="TableText"/>
              <w:widowControl w:val="0"/>
              <w:spacing w:before="120"/>
              <w:rPr>
                <w:rFonts w:ascii="Tahoma" w:hAnsi="Tahoma" w:cs="Tahoma"/>
                <w:sz w:val="13"/>
              </w:rPr>
            </w:pPr>
            <w:r w:rsidRPr="0058047D">
              <w:rPr>
                <w:rFonts w:ascii="Tahoma" w:hAnsi="Tahoma" w:cs="Tahoma"/>
                <w:sz w:val="13"/>
              </w:rPr>
              <w:t>A, ST (EES), A (OVS-ES)</w:t>
            </w:r>
          </w:p>
        </w:tc>
        <w:tc>
          <w:tcPr>
            <w:tcW w:w="504" w:type="dxa"/>
            <w:tcBorders>
              <w:bottom w:val="single" w:sz="4" w:space="0" w:color="auto"/>
            </w:tcBorders>
            <w:shd w:val="clear" w:color="auto" w:fill="FABF8F"/>
            <w:vAlign w:val="center"/>
          </w:tcPr>
          <w:p w14:paraId="7F72AA9A" w14:textId="77777777" w:rsidR="000E0C44" w:rsidRPr="0058047D" w:rsidRDefault="000E0C44" w:rsidP="001A63C6">
            <w:pPr>
              <w:pStyle w:val="TableText"/>
              <w:widowControl w:val="0"/>
              <w:rPr>
                <w:rFonts w:ascii="Tahoma" w:hAnsi="Tahoma" w:cs="Tahoma"/>
                <w:sz w:val="13"/>
              </w:rPr>
            </w:pPr>
            <w:r w:rsidRPr="0058047D">
              <w:rPr>
                <w:rFonts w:ascii="Tahoma" w:hAnsi="Tahoma" w:cs="Tahoma"/>
                <w:sz w:val="13"/>
              </w:rPr>
              <w:t>OL/OV</w:t>
            </w:r>
          </w:p>
        </w:tc>
        <w:tc>
          <w:tcPr>
            <w:tcW w:w="405" w:type="dxa"/>
            <w:tcBorders>
              <w:bottom w:val="single" w:sz="4" w:space="0" w:color="auto"/>
            </w:tcBorders>
            <w:shd w:val="clear" w:color="auto" w:fill="FABF8F"/>
          </w:tcPr>
          <w:p w14:paraId="6D07CC68" w14:textId="77777777" w:rsidR="000E0C44" w:rsidRPr="0058047D" w:rsidRDefault="000E0C44"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04489D1F" w14:textId="77777777" w:rsidTr="00C86F50">
        <w:trPr>
          <w:trHeight w:val="145"/>
        </w:trPr>
        <w:tc>
          <w:tcPr>
            <w:tcW w:w="2619" w:type="dxa"/>
            <w:gridSpan w:val="2"/>
            <w:tcBorders>
              <w:bottom w:val="single" w:sz="4" w:space="0" w:color="auto"/>
            </w:tcBorders>
            <w:shd w:val="clear" w:color="auto" w:fill="auto"/>
            <w:vAlign w:val="center"/>
          </w:tcPr>
          <w:p w14:paraId="3EB0D8DF" w14:textId="77777777" w:rsidR="00913A0A" w:rsidRPr="0058047D" w:rsidRDefault="00913A0A" w:rsidP="00E077BC">
            <w:pPr>
              <w:pStyle w:val="ProductNames"/>
              <w:spacing w:beforeLines="20" w:before="48" w:afterLines="20" w:after="48"/>
              <w:rPr>
                <w:rFonts w:ascii="Tahoma" w:hAnsi="Tahoma" w:cs="Tahoma"/>
                <w:sz w:val="14"/>
              </w:rPr>
            </w:pPr>
            <w:bookmarkStart w:id="334" w:name="_Toc336338033"/>
            <w:bookmarkStart w:id="335" w:name="_Toc371663444"/>
            <w:r w:rsidRPr="0058047D">
              <w:rPr>
                <w:rFonts w:ascii="Tahoma" w:hAnsi="Tahoma" w:cs="Tahoma"/>
                <w:sz w:val="14"/>
              </w:rPr>
              <w:t xml:space="preserve">Project Server </w:t>
            </w:r>
            <w:bookmarkEnd w:id="334"/>
            <w:r w:rsidRPr="0058047D">
              <w:rPr>
                <w:rFonts w:ascii="Tahoma" w:hAnsi="Tahoma" w:cs="Tahoma"/>
                <w:sz w:val="14"/>
              </w:rPr>
              <w:t>2013</w:t>
            </w:r>
            <w:bookmarkEnd w:id="335"/>
          </w:p>
        </w:tc>
        <w:tc>
          <w:tcPr>
            <w:tcW w:w="554" w:type="dxa"/>
            <w:tcBorders>
              <w:bottom w:val="single" w:sz="4" w:space="0" w:color="auto"/>
            </w:tcBorders>
            <w:shd w:val="clear" w:color="auto" w:fill="auto"/>
            <w:vAlign w:val="center"/>
          </w:tcPr>
          <w:p w14:paraId="217CA9BF" w14:textId="77777777" w:rsidR="00913A0A" w:rsidRPr="0058047D" w:rsidRDefault="00913A0A" w:rsidP="001A63C6">
            <w:pPr>
              <w:pStyle w:val="TableText"/>
              <w:widowControl w:val="0"/>
              <w:rPr>
                <w:rStyle w:val="EndnoteReference"/>
                <w:color w:val="0000FF"/>
                <w:sz w:val="13"/>
                <w:szCs w:val="13"/>
                <w:u w:val="single"/>
              </w:rPr>
            </w:pPr>
            <w:bookmarkStart w:id="336" w:name="_Hlt336249768"/>
          </w:p>
        </w:tc>
        <w:bookmarkEnd w:id="336"/>
        <w:tc>
          <w:tcPr>
            <w:tcW w:w="516" w:type="dxa"/>
            <w:tcBorders>
              <w:bottom w:val="single" w:sz="4" w:space="0" w:color="auto"/>
            </w:tcBorders>
            <w:shd w:val="clear" w:color="auto" w:fill="auto"/>
          </w:tcPr>
          <w:p w14:paraId="4688C9D8" w14:textId="77777777" w:rsidR="00913A0A" w:rsidRPr="0058047D" w:rsidRDefault="00913A0A" w:rsidP="001A63C6">
            <w:pPr>
              <w:pStyle w:val="TableText"/>
              <w:widowControl w:val="0"/>
              <w:spacing w:before="40"/>
              <w:rPr>
                <w:rFonts w:ascii="Tahoma" w:hAnsi="Tahoma" w:cs="Tahoma"/>
                <w:color w:val="000000"/>
                <w:sz w:val="13"/>
              </w:rPr>
            </w:pPr>
            <w:r w:rsidRPr="0058047D">
              <w:rPr>
                <w:rFonts w:ascii="Tahoma" w:hAnsi="Tahoma" w:cs="Tahoma"/>
                <w:color w:val="000000"/>
                <w:sz w:val="13"/>
              </w:rPr>
              <w:t>10/12</w:t>
            </w:r>
          </w:p>
        </w:tc>
        <w:tc>
          <w:tcPr>
            <w:tcW w:w="358" w:type="dxa"/>
            <w:tcBorders>
              <w:bottom w:val="single" w:sz="4" w:space="0" w:color="auto"/>
              <w:right w:val="single" w:sz="18" w:space="0" w:color="auto"/>
            </w:tcBorders>
            <w:shd w:val="clear" w:color="auto" w:fill="auto"/>
            <w:vAlign w:val="center"/>
          </w:tcPr>
          <w:p w14:paraId="08B44BE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07D15828" w14:textId="77777777" w:rsidR="00913A0A" w:rsidRPr="0058047D" w:rsidRDefault="00913A0A" w:rsidP="002A6E97">
            <w:pPr>
              <w:pStyle w:val="TableText"/>
              <w:widowControl w:val="0"/>
              <w:rPr>
                <w:rFonts w:ascii="Tahoma" w:hAnsi="Tahoma" w:cs="Tahoma"/>
                <w:sz w:val="14"/>
                <w:szCs w:val="14"/>
              </w:rPr>
            </w:pPr>
            <w:r w:rsidRPr="0058047D">
              <w:rPr>
                <w:rFonts w:ascii="Tahoma" w:hAnsi="Tahoma" w:cs="Tahoma"/>
                <w:sz w:val="14"/>
                <w:szCs w:val="14"/>
              </w:rPr>
              <w:t>50</w:t>
            </w:r>
          </w:p>
        </w:tc>
        <w:tc>
          <w:tcPr>
            <w:tcW w:w="324" w:type="dxa"/>
            <w:tcBorders>
              <w:bottom w:val="single" w:sz="4" w:space="0" w:color="auto"/>
            </w:tcBorders>
            <w:shd w:val="clear" w:color="auto" w:fill="auto"/>
            <w:vAlign w:val="center"/>
          </w:tcPr>
          <w:p w14:paraId="052FAB96" w14:textId="77777777" w:rsidR="00913A0A" w:rsidRPr="0058047D" w:rsidRDefault="00913A0A" w:rsidP="002A6E97">
            <w:pPr>
              <w:pStyle w:val="TableText"/>
              <w:widowControl w:val="0"/>
              <w:rPr>
                <w:rFonts w:ascii="Tahoma" w:hAnsi="Tahoma" w:cs="Tahoma"/>
                <w:sz w:val="14"/>
                <w:szCs w:val="14"/>
              </w:rPr>
            </w:pPr>
            <w:r w:rsidRPr="0058047D">
              <w:rPr>
                <w:rFonts w:ascii="Tahoma" w:hAnsi="Tahoma" w:cs="Tahoma"/>
                <w:sz w:val="14"/>
                <w:szCs w:val="14"/>
              </w:rPr>
              <w:t>125</w:t>
            </w:r>
          </w:p>
        </w:tc>
        <w:tc>
          <w:tcPr>
            <w:tcW w:w="366" w:type="dxa"/>
            <w:tcBorders>
              <w:bottom w:val="single" w:sz="4" w:space="0" w:color="auto"/>
            </w:tcBorders>
            <w:shd w:val="clear" w:color="auto" w:fill="auto"/>
            <w:vAlign w:val="center"/>
          </w:tcPr>
          <w:p w14:paraId="10D63DB0" w14:textId="77777777" w:rsidR="00913A0A" w:rsidRPr="0058047D" w:rsidRDefault="00913A0A" w:rsidP="00D02D7A">
            <w:pPr>
              <w:pStyle w:val="TableText"/>
              <w:widowControl w:val="0"/>
              <w:rPr>
                <w:rFonts w:ascii="Tahoma" w:hAnsi="Tahoma" w:cs="Tahoma"/>
                <w:sz w:val="14"/>
                <w:szCs w:val="14"/>
              </w:rPr>
            </w:pPr>
            <w:r w:rsidRPr="0058047D">
              <w:rPr>
                <w:rFonts w:ascii="Tahoma" w:hAnsi="Tahoma" w:cs="Tahoma"/>
                <w:sz w:val="14"/>
                <w:szCs w:val="14"/>
              </w:rPr>
              <w:t>100</w:t>
            </w:r>
          </w:p>
        </w:tc>
        <w:tc>
          <w:tcPr>
            <w:tcW w:w="456" w:type="dxa"/>
            <w:gridSpan w:val="2"/>
            <w:tcBorders>
              <w:bottom w:val="single" w:sz="4" w:space="0" w:color="auto"/>
            </w:tcBorders>
            <w:shd w:val="clear" w:color="auto" w:fill="auto"/>
            <w:vAlign w:val="center"/>
          </w:tcPr>
          <w:p w14:paraId="06093227" w14:textId="77777777" w:rsidR="00913A0A" w:rsidRPr="0058047D" w:rsidRDefault="00913A0A" w:rsidP="00D02D7A">
            <w:pPr>
              <w:pStyle w:val="TableText"/>
              <w:widowControl w:val="0"/>
              <w:rPr>
                <w:rFonts w:ascii="Tahoma" w:hAnsi="Tahoma" w:cs="Tahoma"/>
                <w:sz w:val="14"/>
                <w:szCs w:val="14"/>
              </w:rPr>
            </w:pPr>
            <w:r w:rsidRPr="0058047D">
              <w:rPr>
                <w:rFonts w:ascii="Tahoma" w:hAnsi="Tahoma" w:cs="Tahoma"/>
                <w:sz w:val="14"/>
                <w:szCs w:val="14"/>
              </w:rPr>
              <w:t>75</w:t>
            </w:r>
          </w:p>
        </w:tc>
        <w:tc>
          <w:tcPr>
            <w:tcW w:w="450" w:type="dxa"/>
            <w:tcBorders>
              <w:bottom w:val="single" w:sz="4" w:space="0" w:color="auto"/>
            </w:tcBorders>
            <w:shd w:val="clear" w:color="auto" w:fill="auto"/>
            <w:vAlign w:val="center"/>
          </w:tcPr>
          <w:p w14:paraId="29D5B1E6" w14:textId="77777777" w:rsidR="00913A0A" w:rsidRPr="0058047D" w:rsidRDefault="00913A0A" w:rsidP="00242B11">
            <w:pPr>
              <w:pStyle w:val="TableText"/>
              <w:widowControl w:val="0"/>
              <w:rPr>
                <w:rFonts w:ascii="Tahoma" w:hAnsi="Tahoma" w:cs="Tahoma"/>
                <w:sz w:val="14"/>
                <w:szCs w:val="14"/>
              </w:rPr>
            </w:pPr>
            <w:r w:rsidRPr="0058047D">
              <w:rPr>
                <w:rFonts w:ascii="Tahoma" w:hAnsi="Tahoma" w:cs="Tahoma"/>
                <w:sz w:val="14"/>
                <w:szCs w:val="14"/>
              </w:rPr>
              <w:t>75</w:t>
            </w:r>
          </w:p>
        </w:tc>
        <w:tc>
          <w:tcPr>
            <w:tcW w:w="450" w:type="dxa"/>
            <w:tcBorders>
              <w:bottom w:val="single" w:sz="4" w:space="0" w:color="auto"/>
            </w:tcBorders>
            <w:shd w:val="clear" w:color="auto" w:fill="auto"/>
            <w:vAlign w:val="center"/>
          </w:tcPr>
          <w:p w14:paraId="06169315" w14:textId="77777777" w:rsidR="00913A0A" w:rsidRPr="0058047D" w:rsidRDefault="00913A0A" w:rsidP="00242B11">
            <w:pPr>
              <w:pStyle w:val="TableText"/>
              <w:widowControl w:val="0"/>
              <w:rPr>
                <w:rFonts w:ascii="Tahoma" w:hAnsi="Tahoma" w:cs="Tahoma"/>
                <w:sz w:val="14"/>
                <w:szCs w:val="14"/>
              </w:rPr>
            </w:pPr>
            <w:r w:rsidRPr="0058047D">
              <w:rPr>
                <w:rFonts w:ascii="Tahoma" w:hAnsi="Tahoma" w:cs="Tahoma"/>
                <w:sz w:val="14"/>
                <w:szCs w:val="14"/>
              </w:rPr>
              <w:t>50</w:t>
            </w:r>
          </w:p>
        </w:tc>
        <w:tc>
          <w:tcPr>
            <w:tcW w:w="336" w:type="dxa"/>
            <w:tcBorders>
              <w:bottom w:val="single" w:sz="4" w:space="0" w:color="auto"/>
              <w:right w:val="single" w:sz="18" w:space="0" w:color="auto"/>
            </w:tcBorders>
            <w:shd w:val="clear" w:color="auto" w:fill="auto"/>
            <w:vAlign w:val="center"/>
          </w:tcPr>
          <w:p w14:paraId="2B154DE5" w14:textId="77777777" w:rsidR="00913A0A" w:rsidRPr="0058047D" w:rsidRDefault="00913A0A" w:rsidP="00EA31A6">
            <w:pPr>
              <w:pStyle w:val="TableText"/>
              <w:widowControl w:val="0"/>
              <w:rPr>
                <w:rFonts w:ascii="Tahoma" w:hAnsi="Tahoma" w:cs="Tahoma"/>
                <w:sz w:val="14"/>
                <w:szCs w:val="14"/>
              </w:rPr>
            </w:pPr>
            <w:r w:rsidRPr="0058047D">
              <w:rPr>
                <w:rFonts w:ascii="Tahoma" w:hAnsi="Tahoma" w:cs="Tahoma"/>
                <w:sz w:val="14"/>
                <w:szCs w:val="14"/>
              </w:rPr>
              <w:t>25</w:t>
            </w:r>
          </w:p>
        </w:tc>
        <w:tc>
          <w:tcPr>
            <w:tcW w:w="477" w:type="dxa"/>
            <w:tcBorders>
              <w:left w:val="single" w:sz="18" w:space="0" w:color="auto"/>
              <w:bottom w:val="single" w:sz="4" w:space="0" w:color="auto"/>
            </w:tcBorders>
            <w:shd w:val="clear" w:color="auto" w:fill="auto"/>
            <w:vAlign w:val="center"/>
          </w:tcPr>
          <w:p w14:paraId="6B5A05AF" w14:textId="77777777" w:rsidR="00913A0A" w:rsidRPr="0058047D" w:rsidRDefault="00913A0A" w:rsidP="00EA31A6">
            <w:pPr>
              <w:pStyle w:val="TableText"/>
              <w:widowControl w:val="0"/>
              <w:rPr>
                <w:rFonts w:ascii="Tahoma" w:hAnsi="Tahoma" w:cs="Tahoma"/>
                <w:sz w:val="14"/>
                <w:szCs w:val="14"/>
              </w:rPr>
            </w:pPr>
            <w:r w:rsidRPr="0058047D">
              <w:rPr>
                <w:rFonts w:ascii="Tahoma" w:hAnsi="Tahoma" w:cs="Tahoma"/>
                <w:sz w:val="14"/>
                <w:szCs w:val="14"/>
              </w:rPr>
              <w:t>50</w:t>
            </w:r>
          </w:p>
        </w:tc>
        <w:tc>
          <w:tcPr>
            <w:tcW w:w="450" w:type="dxa"/>
            <w:tcBorders>
              <w:bottom w:val="single" w:sz="4" w:space="0" w:color="auto"/>
            </w:tcBorders>
            <w:shd w:val="clear" w:color="auto" w:fill="auto"/>
            <w:vAlign w:val="center"/>
          </w:tcPr>
          <w:p w14:paraId="7798ECF4" w14:textId="77777777" w:rsidR="00913A0A" w:rsidRPr="0058047D" w:rsidRDefault="00913A0A" w:rsidP="00EA31A6">
            <w:pPr>
              <w:pStyle w:val="TableText"/>
              <w:widowControl w:val="0"/>
              <w:rPr>
                <w:rFonts w:ascii="Tahoma" w:hAnsi="Tahoma" w:cs="Tahoma"/>
                <w:sz w:val="14"/>
                <w:szCs w:val="14"/>
              </w:rPr>
            </w:pPr>
            <w:r w:rsidRPr="0058047D">
              <w:rPr>
                <w:rFonts w:ascii="Tahoma" w:hAnsi="Tahoma" w:cs="Tahoma"/>
                <w:sz w:val="14"/>
                <w:szCs w:val="14"/>
              </w:rPr>
              <w:t>100</w:t>
            </w:r>
          </w:p>
        </w:tc>
        <w:tc>
          <w:tcPr>
            <w:tcW w:w="414" w:type="dxa"/>
            <w:tcBorders>
              <w:bottom w:val="single" w:sz="4" w:space="0" w:color="auto"/>
              <w:right w:val="single" w:sz="18" w:space="0" w:color="auto"/>
            </w:tcBorders>
            <w:shd w:val="clear" w:color="auto" w:fill="auto"/>
            <w:vAlign w:val="center"/>
          </w:tcPr>
          <w:p w14:paraId="40C73983" w14:textId="77777777" w:rsidR="00913A0A" w:rsidRPr="0058047D" w:rsidRDefault="00913A0A" w:rsidP="00EA31A6">
            <w:pPr>
              <w:pStyle w:val="TableText"/>
              <w:widowControl w:val="0"/>
              <w:rPr>
                <w:rFonts w:ascii="Tahoma" w:hAnsi="Tahoma" w:cs="Tahoma"/>
                <w:sz w:val="14"/>
                <w:szCs w:val="14"/>
              </w:rPr>
            </w:pPr>
            <w:r w:rsidRPr="0058047D">
              <w:rPr>
                <w:rFonts w:ascii="Tahoma" w:hAnsi="Tahoma" w:cs="Tahoma"/>
                <w:sz w:val="14"/>
                <w:szCs w:val="14"/>
              </w:rPr>
              <w:t>50</w:t>
            </w:r>
          </w:p>
        </w:tc>
        <w:tc>
          <w:tcPr>
            <w:tcW w:w="468" w:type="dxa"/>
            <w:tcBorders>
              <w:left w:val="single" w:sz="18" w:space="0" w:color="auto"/>
              <w:bottom w:val="single" w:sz="4" w:space="0" w:color="auto"/>
            </w:tcBorders>
            <w:shd w:val="clear" w:color="auto" w:fill="auto"/>
            <w:vAlign w:val="center"/>
          </w:tcPr>
          <w:p w14:paraId="35F62D95" w14:textId="77777777" w:rsidR="00913A0A" w:rsidRPr="0058047D" w:rsidRDefault="00913A0A" w:rsidP="003537B9">
            <w:pPr>
              <w:pStyle w:val="TableText"/>
              <w:widowControl w:val="0"/>
              <w:rPr>
                <w:rFonts w:ascii="Tahoma" w:hAnsi="Tahoma" w:cs="Tahoma"/>
                <w:sz w:val="13"/>
              </w:rPr>
            </w:pPr>
            <w:r w:rsidRPr="0058047D">
              <w:rPr>
                <w:rFonts w:ascii="Tahoma" w:hAnsi="Tahoma" w:cs="Tahoma"/>
                <w:sz w:val="13"/>
              </w:rPr>
              <w:t>50</w:t>
            </w:r>
          </w:p>
        </w:tc>
        <w:tc>
          <w:tcPr>
            <w:tcW w:w="477" w:type="dxa"/>
            <w:tcBorders>
              <w:bottom w:val="single" w:sz="4" w:space="0" w:color="auto"/>
              <w:right w:val="single" w:sz="18" w:space="0" w:color="auto"/>
            </w:tcBorders>
            <w:shd w:val="clear" w:color="auto" w:fill="auto"/>
            <w:vAlign w:val="center"/>
          </w:tcPr>
          <w:p w14:paraId="403F828C" w14:textId="77777777" w:rsidR="00913A0A" w:rsidRPr="0058047D" w:rsidRDefault="00913A0A" w:rsidP="003537B9">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5F801165" w14:textId="77777777" w:rsidR="00913A0A" w:rsidRPr="0058047D" w:rsidRDefault="00913A0A" w:rsidP="003537B9">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auto"/>
            <w:vAlign w:val="center"/>
          </w:tcPr>
          <w:p w14:paraId="4F28360B" w14:textId="77777777" w:rsidR="00913A0A" w:rsidRPr="0058047D" w:rsidRDefault="00913A0A" w:rsidP="003537B9">
            <w:pPr>
              <w:pStyle w:val="TableText"/>
              <w:widowControl w:val="0"/>
              <w:spacing w:before="12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auto"/>
            <w:vAlign w:val="center"/>
          </w:tcPr>
          <w:p w14:paraId="54AE227B" w14:textId="77777777" w:rsidR="00913A0A" w:rsidRPr="0058047D" w:rsidRDefault="00913A0A" w:rsidP="00C778DB">
            <w:pPr>
              <w:pStyle w:val="TableText"/>
              <w:widowControl w:val="0"/>
              <w:rPr>
                <w:rFonts w:ascii="Tahoma" w:hAnsi="Tahoma" w:cs="Tahoma"/>
                <w:sz w:val="13"/>
              </w:rPr>
            </w:pPr>
          </w:p>
        </w:tc>
        <w:tc>
          <w:tcPr>
            <w:tcW w:w="405" w:type="dxa"/>
            <w:tcBorders>
              <w:bottom w:val="single" w:sz="4" w:space="0" w:color="auto"/>
            </w:tcBorders>
          </w:tcPr>
          <w:p w14:paraId="376DA466" w14:textId="77777777" w:rsidR="00913A0A" w:rsidRPr="0058047D" w:rsidRDefault="002C4BA9" w:rsidP="00C778DB">
            <w:pPr>
              <w:pStyle w:val="TableText"/>
              <w:widowControl w:val="0"/>
              <w:rPr>
                <w:rFonts w:ascii="Tahoma" w:hAnsi="Tahoma" w:cs="Tahoma"/>
                <w:sz w:val="13"/>
              </w:rPr>
            </w:pPr>
            <w:r w:rsidRPr="0058047D">
              <w:rPr>
                <w:rFonts w:ascii="Tahoma" w:hAnsi="Tahoma" w:cs="Tahoma"/>
                <w:sz w:val="13"/>
              </w:rPr>
              <w:t>A</w:t>
            </w:r>
          </w:p>
        </w:tc>
      </w:tr>
      <w:tr w:rsidR="009323A0" w:rsidRPr="0058047D" w14:paraId="4890DFF5" w14:textId="77777777" w:rsidTr="00C86F50">
        <w:trPr>
          <w:trHeight w:val="145"/>
        </w:trPr>
        <w:tc>
          <w:tcPr>
            <w:tcW w:w="2619" w:type="dxa"/>
            <w:gridSpan w:val="2"/>
            <w:tcBorders>
              <w:bottom w:val="single" w:sz="4" w:space="0" w:color="auto"/>
            </w:tcBorders>
            <w:shd w:val="clear" w:color="auto" w:fill="FABF8F"/>
            <w:vAlign w:val="center"/>
          </w:tcPr>
          <w:p w14:paraId="70C06D59" w14:textId="77777777" w:rsidR="00913A0A" w:rsidRPr="0058047D" w:rsidRDefault="00913A0A" w:rsidP="00E077BC">
            <w:pPr>
              <w:pStyle w:val="ProductNames"/>
              <w:spacing w:beforeLines="20" w:before="48" w:afterLines="20" w:after="48"/>
              <w:rPr>
                <w:rFonts w:ascii="Tahoma" w:hAnsi="Tahoma" w:cs="Tahoma"/>
                <w:sz w:val="14"/>
              </w:rPr>
            </w:pPr>
            <w:bookmarkStart w:id="337" w:name="_Toc336338034"/>
            <w:bookmarkStart w:id="338" w:name="_Toc371663445"/>
            <w:r w:rsidRPr="0058047D">
              <w:rPr>
                <w:rFonts w:ascii="Tahoma" w:hAnsi="Tahoma" w:cs="Tahoma"/>
                <w:sz w:val="14"/>
              </w:rPr>
              <w:t>CAL per Project Server</w:t>
            </w:r>
            <w:bookmarkEnd w:id="337"/>
            <w:r w:rsidRPr="0058047D">
              <w:rPr>
                <w:rFonts w:ascii="Tahoma" w:hAnsi="Tahoma" w:cs="Tahoma"/>
                <w:sz w:val="14"/>
              </w:rPr>
              <w:t xml:space="preserve"> 2013</w:t>
            </w:r>
            <w:bookmarkEnd w:id="338"/>
            <w:r w:rsidRPr="0058047D">
              <w:rPr>
                <w:rFonts w:ascii="Tahoma" w:hAnsi="Tahoma" w:cs="Tahoma"/>
                <w:sz w:val="14"/>
              </w:rPr>
              <w:t xml:space="preserve"> </w:t>
            </w:r>
          </w:p>
        </w:tc>
        <w:tc>
          <w:tcPr>
            <w:tcW w:w="554" w:type="dxa"/>
            <w:tcBorders>
              <w:bottom w:val="single" w:sz="4" w:space="0" w:color="auto"/>
            </w:tcBorders>
            <w:shd w:val="clear" w:color="auto" w:fill="FABF8F"/>
            <w:vAlign w:val="center"/>
          </w:tcPr>
          <w:p w14:paraId="212FED4A" w14:textId="77777777" w:rsidR="00913A0A" w:rsidRPr="0058047D" w:rsidRDefault="00913A0A" w:rsidP="001A63C6">
            <w:pPr>
              <w:pStyle w:val="TableText"/>
              <w:widowControl w:val="0"/>
              <w:rPr>
                <w:rStyle w:val="EndnoteReference"/>
                <w:rFonts w:cs="Tahoma"/>
                <w:color w:val="000000"/>
                <w:sz w:val="13"/>
                <w:szCs w:val="13"/>
                <w:u w:val="single"/>
              </w:rPr>
            </w:pPr>
          </w:p>
        </w:tc>
        <w:tc>
          <w:tcPr>
            <w:tcW w:w="516" w:type="dxa"/>
            <w:tcBorders>
              <w:bottom w:val="single" w:sz="4" w:space="0" w:color="auto"/>
            </w:tcBorders>
            <w:shd w:val="clear" w:color="auto" w:fill="FABF8F"/>
            <w:vAlign w:val="center"/>
          </w:tcPr>
          <w:p w14:paraId="46AEF065"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4"/>
                <w:szCs w:val="14"/>
              </w:rPr>
              <w:t>10/12</w:t>
            </w:r>
          </w:p>
        </w:tc>
        <w:tc>
          <w:tcPr>
            <w:tcW w:w="358" w:type="dxa"/>
            <w:tcBorders>
              <w:bottom w:val="single" w:sz="4" w:space="0" w:color="auto"/>
              <w:right w:val="single" w:sz="18" w:space="0" w:color="auto"/>
            </w:tcBorders>
            <w:shd w:val="clear" w:color="auto" w:fill="FABF8F"/>
            <w:vAlign w:val="center"/>
          </w:tcPr>
          <w:p w14:paraId="40493B9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center"/>
          </w:tcPr>
          <w:p w14:paraId="547FF515"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324" w:type="dxa"/>
            <w:tcBorders>
              <w:bottom w:val="single" w:sz="4" w:space="0" w:color="auto"/>
            </w:tcBorders>
            <w:shd w:val="clear" w:color="auto" w:fill="FABF8F"/>
            <w:vAlign w:val="center"/>
          </w:tcPr>
          <w:p w14:paraId="4BEA0FAE"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3</w:t>
            </w:r>
          </w:p>
        </w:tc>
        <w:tc>
          <w:tcPr>
            <w:tcW w:w="366" w:type="dxa"/>
            <w:tcBorders>
              <w:bottom w:val="single" w:sz="4" w:space="0" w:color="auto"/>
            </w:tcBorders>
            <w:shd w:val="clear" w:color="auto" w:fill="FABF8F"/>
            <w:vAlign w:val="center"/>
          </w:tcPr>
          <w:p w14:paraId="6D68530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56" w:type="dxa"/>
            <w:gridSpan w:val="2"/>
            <w:tcBorders>
              <w:bottom w:val="single" w:sz="4" w:space="0" w:color="auto"/>
            </w:tcBorders>
            <w:shd w:val="clear" w:color="auto" w:fill="FABF8F"/>
            <w:vAlign w:val="center"/>
          </w:tcPr>
          <w:p w14:paraId="56457AE5"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FABF8F"/>
            <w:vAlign w:val="center"/>
          </w:tcPr>
          <w:p w14:paraId="4288971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FABF8F"/>
            <w:vAlign w:val="center"/>
          </w:tcPr>
          <w:p w14:paraId="0D19C09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336" w:type="dxa"/>
            <w:tcBorders>
              <w:bottom w:val="single" w:sz="4" w:space="0" w:color="auto"/>
              <w:right w:val="single" w:sz="18" w:space="0" w:color="auto"/>
            </w:tcBorders>
            <w:shd w:val="clear" w:color="auto" w:fill="FABF8F"/>
            <w:vAlign w:val="center"/>
          </w:tcPr>
          <w:p w14:paraId="2FFD921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left w:val="single" w:sz="18" w:space="0" w:color="auto"/>
              <w:bottom w:val="single" w:sz="4" w:space="0" w:color="auto"/>
            </w:tcBorders>
            <w:shd w:val="clear" w:color="auto" w:fill="FABF8F"/>
            <w:vAlign w:val="center"/>
          </w:tcPr>
          <w:p w14:paraId="2DDAF35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50" w:type="dxa"/>
            <w:tcBorders>
              <w:bottom w:val="single" w:sz="4" w:space="0" w:color="auto"/>
            </w:tcBorders>
            <w:shd w:val="clear" w:color="auto" w:fill="FABF8F"/>
            <w:vAlign w:val="center"/>
          </w:tcPr>
          <w:p w14:paraId="43B55EA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14" w:type="dxa"/>
            <w:tcBorders>
              <w:bottom w:val="single" w:sz="4" w:space="0" w:color="auto"/>
              <w:right w:val="single" w:sz="18" w:space="0" w:color="auto"/>
            </w:tcBorders>
            <w:shd w:val="clear" w:color="auto" w:fill="FABF8F"/>
            <w:vAlign w:val="center"/>
          </w:tcPr>
          <w:p w14:paraId="1FFC88D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68" w:type="dxa"/>
            <w:tcBorders>
              <w:left w:val="single" w:sz="18" w:space="0" w:color="auto"/>
              <w:bottom w:val="single" w:sz="4" w:space="0" w:color="auto"/>
            </w:tcBorders>
            <w:shd w:val="clear" w:color="auto" w:fill="FABF8F"/>
            <w:vAlign w:val="center"/>
          </w:tcPr>
          <w:p w14:paraId="361AF3C7"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4306F84D"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7D70881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tcPr>
          <w:p w14:paraId="61221706" w14:textId="77777777" w:rsidR="00913A0A" w:rsidRPr="0058047D" w:rsidRDefault="00913A0A" w:rsidP="001A63C6">
            <w:pPr>
              <w:pStyle w:val="TableText"/>
              <w:widowControl w:val="0"/>
              <w:spacing w:before="12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FABF8F"/>
            <w:vAlign w:val="center"/>
          </w:tcPr>
          <w:p w14:paraId="73DA2967"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137347A9"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1B6ED45D" w14:textId="77777777" w:rsidTr="00C86F50">
        <w:trPr>
          <w:trHeight w:val="145"/>
        </w:trPr>
        <w:tc>
          <w:tcPr>
            <w:tcW w:w="2619" w:type="dxa"/>
            <w:gridSpan w:val="2"/>
            <w:tcBorders>
              <w:bottom w:val="single" w:sz="4" w:space="0" w:color="auto"/>
            </w:tcBorders>
            <w:shd w:val="clear" w:color="auto" w:fill="auto"/>
            <w:vAlign w:val="center"/>
          </w:tcPr>
          <w:p w14:paraId="78EC915E" w14:textId="77777777" w:rsidR="00913A0A" w:rsidRPr="0058047D" w:rsidRDefault="00913A0A" w:rsidP="00E077BC">
            <w:pPr>
              <w:pStyle w:val="Heading2"/>
              <w:spacing w:beforeLines="20" w:before="48" w:afterLines="20" w:after="48"/>
              <w:ind w:left="0" w:firstLine="15"/>
              <w:rPr>
                <w:rFonts w:ascii="Tahoma" w:hAnsi="Tahoma" w:cs="Tahoma"/>
                <w:b w:val="0"/>
                <w:sz w:val="14"/>
              </w:rPr>
            </w:pPr>
            <w:bookmarkStart w:id="339" w:name="_Toc336338036"/>
            <w:bookmarkStart w:id="340" w:name="_Toc371663446"/>
            <w:r w:rsidRPr="0058047D">
              <w:rPr>
                <w:rFonts w:ascii="Tahoma" w:hAnsi="Tahoma" w:cs="Tahoma"/>
                <w:b w:val="0"/>
                <w:sz w:val="14"/>
              </w:rPr>
              <w:t>SharePoint™ Online Extra Storage 1 GB (SL Add-on)</w:t>
            </w:r>
            <w:bookmarkEnd w:id="339"/>
            <w:bookmarkEnd w:id="340"/>
          </w:p>
        </w:tc>
        <w:tc>
          <w:tcPr>
            <w:tcW w:w="554" w:type="dxa"/>
            <w:tcBorders>
              <w:bottom w:val="single" w:sz="4" w:space="0" w:color="auto"/>
            </w:tcBorders>
            <w:shd w:val="clear" w:color="auto" w:fill="auto"/>
            <w:vAlign w:val="center"/>
          </w:tcPr>
          <w:p w14:paraId="2691BB69" w14:textId="77777777" w:rsidR="00913A0A" w:rsidRPr="0058047D" w:rsidRDefault="00913A0A" w:rsidP="001A63C6">
            <w:pPr>
              <w:pStyle w:val="TableText"/>
              <w:widowControl w:val="0"/>
              <w:rPr>
                <w:b/>
                <w:color w:val="000000"/>
                <w:sz w:val="13"/>
                <w:szCs w:val="13"/>
                <w:u w:val="single"/>
              </w:rPr>
            </w:pPr>
          </w:p>
        </w:tc>
        <w:tc>
          <w:tcPr>
            <w:tcW w:w="516" w:type="dxa"/>
            <w:tcBorders>
              <w:bottom w:val="single" w:sz="4" w:space="0" w:color="auto"/>
            </w:tcBorders>
            <w:shd w:val="clear" w:color="auto" w:fill="auto"/>
          </w:tcPr>
          <w:p w14:paraId="3FCF7327" w14:textId="77777777" w:rsidR="00913A0A" w:rsidRPr="0058047D" w:rsidDel="008F575D" w:rsidRDefault="00913A0A" w:rsidP="001A63C6">
            <w:pPr>
              <w:pStyle w:val="TableText"/>
              <w:widowControl w:val="0"/>
              <w:spacing w:before="80"/>
              <w:rPr>
                <w:rFonts w:ascii="Tahoma" w:hAnsi="Tahoma" w:cs="Tahoma"/>
                <w:sz w:val="13"/>
              </w:rPr>
            </w:pPr>
            <w:r w:rsidRPr="0058047D">
              <w:rPr>
                <w:rFonts w:ascii="Tahoma" w:hAnsi="Tahoma" w:cs="Tahoma"/>
                <w:sz w:val="13"/>
              </w:rPr>
              <w:t>06/11</w:t>
            </w:r>
          </w:p>
        </w:tc>
        <w:tc>
          <w:tcPr>
            <w:tcW w:w="358" w:type="dxa"/>
            <w:tcBorders>
              <w:bottom w:val="single" w:sz="4" w:space="0" w:color="auto"/>
              <w:right w:val="single" w:sz="18" w:space="0" w:color="auto"/>
            </w:tcBorders>
            <w:shd w:val="clear" w:color="auto" w:fill="auto"/>
            <w:vAlign w:val="center"/>
          </w:tcPr>
          <w:p w14:paraId="14816800"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auto"/>
            <w:vAlign w:val="center"/>
          </w:tcPr>
          <w:p w14:paraId="437F90C1"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0FE12444"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4B390A9C"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6658EE91"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CC52017"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16D1661"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4100632D"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46E98A51"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86C1E85"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36DB86AB"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1ECA2A5C"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4CC7D5E6"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2965C786"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tcPr>
          <w:p w14:paraId="40A439E5" w14:textId="77777777" w:rsidR="00913A0A" w:rsidRPr="0058047D"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auto"/>
            <w:vAlign w:val="center"/>
          </w:tcPr>
          <w:p w14:paraId="774DD457"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tcPr>
          <w:p w14:paraId="7FD7F8C0"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4B34B292" w14:textId="77777777" w:rsidTr="00C86F50">
        <w:trPr>
          <w:trHeight w:val="145"/>
        </w:trPr>
        <w:tc>
          <w:tcPr>
            <w:tcW w:w="2619" w:type="dxa"/>
            <w:gridSpan w:val="2"/>
            <w:tcBorders>
              <w:bottom w:val="single" w:sz="4" w:space="0" w:color="auto"/>
            </w:tcBorders>
            <w:shd w:val="clear" w:color="auto" w:fill="FABF8F"/>
            <w:vAlign w:val="center"/>
          </w:tcPr>
          <w:p w14:paraId="05D5BBF2" w14:textId="77777777" w:rsidR="00913A0A" w:rsidRPr="0058047D" w:rsidRDefault="00913A0A" w:rsidP="007E466C">
            <w:pPr>
              <w:pStyle w:val="Heading2"/>
              <w:ind w:left="0" w:firstLine="15"/>
              <w:jc w:val="both"/>
              <w:rPr>
                <w:rFonts w:ascii="Tahoma" w:hAnsi="Tahoma" w:cs="Tahoma"/>
                <w:b w:val="0"/>
                <w:sz w:val="14"/>
              </w:rPr>
            </w:pPr>
            <w:bookmarkStart w:id="341" w:name="_Toc336338037"/>
            <w:bookmarkStart w:id="342" w:name="_Toc371663447"/>
            <w:r w:rsidRPr="0058047D">
              <w:rPr>
                <w:rFonts w:ascii="Tahoma" w:hAnsi="Tahoma" w:cs="Tahoma"/>
                <w:b w:val="0"/>
                <w:sz w:val="14"/>
              </w:rPr>
              <w:t>SharePoint™ Online Extra Storage 1 GB A (SL Add-on)</w:t>
            </w:r>
            <w:bookmarkEnd w:id="341"/>
            <w:bookmarkEnd w:id="342"/>
          </w:p>
        </w:tc>
        <w:tc>
          <w:tcPr>
            <w:tcW w:w="554" w:type="dxa"/>
            <w:tcBorders>
              <w:bottom w:val="single" w:sz="4" w:space="0" w:color="auto"/>
            </w:tcBorders>
            <w:shd w:val="clear" w:color="auto" w:fill="FABF8F"/>
            <w:vAlign w:val="center"/>
          </w:tcPr>
          <w:p w14:paraId="7397E351" w14:textId="77777777" w:rsidR="00913A0A" w:rsidRPr="0058047D" w:rsidRDefault="00913A0A" w:rsidP="00D66F68">
            <w:pPr>
              <w:pStyle w:val="TableText"/>
              <w:widowControl w:val="0"/>
              <w:rPr>
                <w:rFonts w:cs="Tahoma"/>
                <w:b/>
                <w:color w:val="0000FF"/>
                <w:sz w:val="13"/>
                <w:szCs w:val="13"/>
                <w:u w:val="single"/>
              </w:rPr>
            </w:pPr>
          </w:p>
        </w:tc>
        <w:tc>
          <w:tcPr>
            <w:tcW w:w="516" w:type="dxa"/>
            <w:tcBorders>
              <w:bottom w:val="single" w:sz="4" w:space="0" w:color="auto"/>
            </w:tcBorders>
            <w:shd w:val="clear" w:color="auto" w:fill="FABF8F"/>
            <w:vAlign w:val="center"/>
          </w:tcPr>
          <w:p w14:paraId="24F8814E" w14:textId="77777777" w:rsidR="00913A0A" w:rsidRPr="0058047D" w:rsidRDefault="00913A0A" w:rsidP="007E466C">
            <w:pPr>
              <w:pStyle w:val="TableText"/>
              <w:widowControl w:val="0"/>
              <w:rPr>
                <w:rFonts w:ascii="Tahoma" w:hAnsi="Tahoma" w:cs="Tahoma"/>
                <w:sz w:val="13"/>
              </w:rPr>
            </w:pPr>
            <w:r w:rsidRPr="0058047D">
              <w:rPr>
                <w:rFonts w:ascii="Tahoma" w:hAnsi="Tahoma" w:cs="Tahoma"/>
                <w:sz w:val="13"/>
              </w:rPr>
              <w:t>06/12</w:t>
            </w:r>
          </w:p>
        </w:tc>
        <w:tc>
          <w:tcPr>
            <w:tcW w:w="358" w:type="dxa"/>
            <w:tcBorders>
              <w:bottom w:val="single" w:sz="4" w:space="0" w:color="auto"/>
              <w:right w:val="single" w:sz="18" w:space="0" w:color="auto"/>
            </w:tcBorders>
            <w:shd w:val="clear" w:color="auto" w:fill="FABF8F"/>
            <w:vAlign w:val="center"/>
          </w:tcPr>
          <w:p w14:paraId="6C854FF2" w14:textId="77777777" w:rsidR="00913A0A" w:rsidRPr="0058047D" w:rsidRDefault="00913A0A" w:rsidP="00D66F68">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center"/>
          </w:tcPr>
          <w:p w14:paraId="5158E31C" w14:textId="77777777" w:rsidR="00913A0A" w:rsidRPr="0058047D" w:rsidRDefault="00913A0A" w:rsidP="00D66F68">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5A0D8E19" w14:textId="77777777" w:rsidR="00913A0A" w:rsidRPr="0058047D" w:rsidRDefault="00913A0A" w:rsidP="006C465D">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5511489F" w14:textId="77777777" w:rsidR="00913A0A" w:rsidRPr="0058047D" w:rsidRDefault="00913A0A" w:rsidP="006C465D">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131BD90D" w14:textId="77777777" w:rsidR="00913A0A" w:rsidRPr="0058047D" w:rsidRDefault="00913A0A" w:rsidP="006C465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E6280AB" w14:textId="77777777" w:rsidR="00913A0A" w:rsidRPr="0058047D" w:rsidRDefault="00913A0A" w:rsidP="006C465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3EEFBC3" w14:textId="77777777" w:rsidR="00913A0A" w:rsidRPr="0058047D" w:rsidRDefault="00913A0A" w:rsidP="00D02D7A">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523D20EF" w14:textId="77777777" w:rsidR="00913A0A" w:rsidRPr="0058047D" w:rsidRDefault="00913A0A" w:rsidP="00D02D7A">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0E255A67" w14:textId="77777777" w:rsidR="00913A0A" w:rsidRPr="0058047D" w:rsidRDefault="00913A0A" w:rsidP="00242B1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9D245" w14:textId="77777777" w:rsidR="00913A0A" w:rsidRPr="0058047D" w:rsidRDefault="00913A0A" w:rsidP="00242B11">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75D48B63" w14:textId="77777777" w:rsidR="00913A0A" w:rsidRPr="0058047D" w:rsidRDefault="00913A0A" w:rsidP="00EA31A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75F44B80" w14:textId="77777777" w:rsidR="00913A0A" w:rsidRPr="0058047D" w:rsidRDefault="00913A0A" w:rsidP="00EA31A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38015520" w14:textId="77777777" w:rsidR="00913A0A" w:rsidRPr="0058047D" w:rsidRDefault="00913A0A" w:rsidP="00EA31A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262B8E8F" w14:textId="77777777" w:rsidR="00913A0A" w:rsidRPr="0058047D" w:rsidRDefault="00913A0A" w:rsidP="00EA31A6">
            <w:pPr>
              <w:pStyle w:val="TableText"/>
              <w:widowControl w:val="0"/>
              <w:rPr>
                <w:rFonts w:ascii="Tahoma" w:hAnsi="Tahoma" w:cs="Tahoma"/>
                <w:sz w:val="13"/>
              </w:rPr>
            </w:pPr>
          </w:p>
        </w:tc>
        <w:tc>
          <w:tcPr>
            <w:tcW w:w="655" w:type="dxa"/>
            <w:tcBorders>
              <w:bottom w:val="single" w:sz="4" w:space="0" w:color="auto"/>
            </w:tcBorders>
            <w:shd w:val="clear" w:color="auto" w:fill="FABF8F"/>
          </w:tcPr>
          <w:p w14:paraId="7008C6EF" w14:textId="77777777" w:rsidR="00913A0A" w:rsidRPr="0058047D" w:rsidRDefault="00913A0A" w:rsidP="007E466C">
            <w:pPr>
              <w:pStyle w:val="TableText"/>
              <w:widowControl w:val="0"/>
              <w:rPr>
                <w:rFonts w:ascii="Tahoma" w:hAnsi="Tahoma" w:cs="Tahoma"/>
                <w:sz w:val="13"/>
              </w:rPr>
            </w:pPr>
            <w:r w:rsidRPr="0058047D">
              <w:rPr>
                <w:rFonts w:ascii="Tahoma" w:hAnsi="Tahoma" w:cs="Tahoma"/>
                <w:sz w:val="13"/>
              </w:rPr>
              <w:t>A, ST (Solo EES)</w:t>
            </w:r>
          </w:p>
        </w:tc>
        <w:tc>
          <w:tcPr>
            <w:tcW w:w="504" w:type="dxa"/>
            <w:tcBorders>
              <w:bottom w:val="single" w:sz="4" w:space="0" w:color="auto"/>
            </w:tcBorders>
            <w:shd w:val="clear" w:color="auto" w:fill="FABF8F"/>
            <w:vAlign w:val="center"/>
          </w:tcPr>
          <w:p w14:paraId="1BC4A780" w14:textId="77777777" w:rsidR="00913A0A" w:rsidRPr="0058047D" w:rsidRDefault="00913A0A" w:rsidP="00D66F68">
            <w:pPr>
              <w:pStyle w:val="TableText"/>
              <w:widowControl w:val="0"/>
              <w:rPr>
                <w:rFonts w:ascii="Tahoma" w:hAnsi="Tahoma" w:cs="Tahoma"/>
                <w:sz w:val="13"/>
              </w:rPr>
            </w:pPr>
          </w:p>
        </w:tc>
        <w:tc>
          <w:tcPr>
            <w:tcW w:w="405" w:type="dxa"/>
            <w:tcBorders>
              <w:bottom w:val="single" w:sz="4" w:space="0" w:color="auto"/>
            </w:tcBorders>
            <w:shd w:val="clear" w:color="auto" w:fill="FABF8F"/>
          </w:tcPr>
          <w:p w14:paraId="625AA9E5" w14:textId="77777777" w:rsidR="00913A0A" w:rsidRPr="0058047D" w:rsidRDefault="00913A0A" w:rsidP="00D66F68">
            <w:pPr>
              <w:pStyle w:val="TableText"/>
              <w:widowControl w:val="0"/>
              <w:rPr>
                <w:rFonts w:ascii="Tahoma" w:hAnsi="Tahoma" w:cs="Tahoma"/>
                <w:sz w:val="13"/>
              </w:rPr>
            </w:pPr>
          </w:p>
        </w:tc>
      </w:tr>
      <w:tr w:rsidR="009323A0" w:rsidRPr="0058047D" w14:paraId="46CE6E4C" w14:textId="77777777" w:rsidTr="00C86F50">
        <w:trPr>
          <w:trHeight w:val="145"/>
        </w:trPr>
        <w:tc>
          <w:tcPr>
            <w:tcW w:w="2619" w:type="dxa"/>
            <w:gridSpan w:val="2"/>
            <w:tcBorders>
              <w:bottom w:val="single" w:sz="4" w:space="0" w:color="auto"/>
            </w:tcBorders>
            <w:shd w:val="clear" w:color="auto" w:fill="auto"/>
            <w:vAlign w:val="center"/>
          </w:tcPr>
          <w:p w14:paraId="3FB378F6" w14:textId="77777777" w:rsidR="00913A0A" w:rsidRPr="003F471F" w:rsidRDefault="00913A0A" w:rsidP="00E077BC">
            <w:pPr>
              <w:pStyle w:val="Heading2"/>
              <w:spacing w:beforeLines="20" w:before="48" w:afterLines="20" w:after="48"/>
              <w:ind w:left="0" w:firstLine="15"/>
              <w:jc w:val="both"/>
              <w:rPr>
                <w:rFonts w:ascii="Tahoma" w:hAnsi="Tahoma" w:cs="Tahoma"/>
                <w:b w:val="0"/>
                <w:sz w:val="14"/>
                <w:lang w:val="it-IT"/>
              </w:rPr>
            </w:pPr>
            <w:bookmarkStart w:id="343" w:name="_Toc371663448"/>
            <w:r w:rsidRPr="003F471F">
              <w:rPr>
                <w:rFonts w:ascii="Tahoma" w:hAnsi="Tahoma" w:cs="Tahoma"/>
                <w:b w:val="0"/>
                <w:sz w:val="14"/>
                <w:lang w:val="it-IT"/>
              </w:rPr>
              <w:t>Componente Aggiuntivo di SharePoint™ Online Piano 1 (SL per Utente)</w:t>
            </w:r>
            <w:bookmarkEnd w:id="343"/>
          </w:p>
        </w:tc>
        <w:tc>
          <w:tcPr>
            <w:tcW w:w="554" w:type="dxa"/>
            <w:tcBorders>
              <w:bottom w:val="single" w:sz="4" w:space="0" w:color="auto"/>
            </w:tcBorders>
            <w:shd w:val="clear" w:color="auto" w:fill="auto"/>
            <w:vAlign w:val="center"/>
          </w:tcPr>
          <w:p w14:paraId="63343AC0" w14:textId="77777777" w:rsidR="00913A0A" w:rsidRPr="003F471F" w:rsidRDefault="00913A0A" w:rsidP="00796355">
            <w:pPr>
              <w:pStyle w:val="TableText"/>
              <w:widowControl w:val="0"/>
              <w:rPr>
                <w:lang w:val="it-IT"/>
              </w:rPr>
            </w:pPr>
          </w:p>
        </w:tc>
        <w:tc>
          <w:tcPr>
            <w:tcW w:w="516" w:type="dxa"/>
            <w:tcBorders>
              <w:bottom w:val="single" w:sz="4" w:space="0" w:color="auto"/>
            </w:tcBorders>
            <w:shd w:val="clear" w:color="auto" w:fill="auto"/>
          </w:tcPr>
          <w:p w14:paraId="65BEB93B"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08/13</w:t>
            </w:r>
          </w:p>
        </w:tc>
        <w:tc>
          <w:tcPr>
            <w:tcW w:w="358" w:type="dxa"/>
            <w:tcBorders>
              <w:bottom w:val="single" w:sz="4" w:space="0" w:color="auto"/>
              <w:right w:val="single" w:sz="18" w:space="0" w:color="auto"/>
            </w:tcBorders>
            <w:shd w:val="clear" w:color="auto" w:fill="auto"/>
            <w:vAlign w:val="center"/>
          </w:tcPr>
          <w:p w14:paraId="60D4F256"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auto"/>
            <w:vAlign w:val="center"/>
          </w:tcPr>
          <w:p w14:paraId="6461A847"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1181A03C"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34ECDB9D"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7DB1EA40"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D749FBF"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E213E06"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0C554BA4"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3F4395F0"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EDBFD58"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7892D4AF"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33F634DC"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0756BC5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2584C022"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tcPr>
          <w:p w14:paraId="70CBA05B" w14:textId="77777777" w:rsidR="00913A0A" w:rsidRPr="0058047D"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auto"/>
            <w:vAlign w:val="center"/>
          </w:tcPr>
          <w:p w14:paraId="4ED3B240"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tcPr>
          <w:p w14:paraId="2A6A305F"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4B1EFC0D" w14:textId="77777777" w:rsidTr="00C86F50">
        <w:trPr>
          <w:trHeight w:val="145"/>
        </w:trPr>
        <w:tc>
          <w:tcPr>
            <w:tcW w:w="2619" w:type="dxa"/>
            <w:gridSpan w:val="2"/>
            <w:tcBorders>
              <w:bottom w:val="single" w:sz="4" w:space="0" w:color="auto"/>
            </w:tcBorders>
            <w:shd w:val="clear" w:color="auto" w:fill="FABF8F"/>
            <w:vAlign w:val="center"/>
          </w:tcPr>
          <w:p w14:paraId="786A45E1" w14:textId="77777777" w:rsidR="00913A0A" w:rsidRPr="003F471F" w:rsidRDefault="00913A0A" w:rsidP="001B5647">
            <w:pPr>
              <w:pStyle w:val="Heading2"/>
              <w:spacing w:beforeLines="20" w:before="48" w:afterLines="20" w:after="48"/>
              <w:ind w:left="0" w:firstLine="15"/>
              <w:jc w:val="both"/>
              <w:rPr>
                <w:rFonts w:ascii="Tahoma" w:hAnsi="Tahoma" w:cs="Tahoma"/>
                <w:b w:val="0"/>
                <w:lang w:val="it-IT"/>
              </w:rPr>
            </w:pPr>
            <w:bookmarkStart w:id="344" w:name="_Toc336338038"/>
            <w:bookmarkStart w:id="345" w:name="_Toc371663449"/>
            <w:r w:rsidRPr="003F471F">
              <w:rPr>
                <w:rFonts w:ascii="Tahoma" w:hAnsi="Tahoma" w:cs="Tahoma"/>
                <w:b w:val="0"/>
                <w:sz w:val="14"/>
                <w:lang w:val="it-IT"/>
              </w:rPr>
              <w:t>SharePoint™</w:t>
            </w:r>
            <w:r w:rsidR="001B5647" w:rsidRPr="003F471F">
              <w:rPr>
                <w:rFonts w:ascii="Tahoma" w:hAnsi="Tahoma" w:cs="Tahoma"/>
                <w:b w:val="0"/>
                <w:sz w:val="14"/>
                <w:lang w:val="it-IT"/>
              </w:rPr>
              <w:t> </w:t>
            </w:r>
            <w:r w:rsidRPr="003F471F">
              <w:rPr>
                <w:rFonts w:ascii="Tahoma" w:hAnsi="Tahoma" w:cs="Tahoma"/>
                <w:b w:val="0"/>
                <w:sz w:val="14"/>
                <w:lang w:val="it-IT"/>
              </w:rPr>
              <w:t>Online</w:t>
            </w:r>
            <w:r w:rsidR="001B5647" w:rsidRPr="003F471F">
              <w:rPr>
                <w:rFonts w:ascii="Tahoma" w:hAnsi="Tahoma" w:cs="Tahoma"/>
                <w:b w:val="0"/>
                <w:sz w:val="14"/>
                <w:lang w:val="it-IT"/>
              </w:rPr>
              <w:t> </w:t>
            </w:r>
            <w:r w:rsidRPr="003F471F">
              <w:rPr>
                <w:rFonts w:ascii="Tahoma" w:hAnsi="Tahoma" w:cs="Tahoma"/>
                <w:b w:val="0"/>
                <w:sz w:val="14"/>
                <w:lang w:val="it-IT"/>
              </w:rPr>
              <w:t>Piano</w:t>
            </w:r>
            <w:r w:rsidR="001B5647" w:rsidRPr="003F471F">
              <w:rPr>
                <w:rFonts w:ascii="Tahoma" w:hAnsi="Tahoma" w:cs="Tahoma"/>
                <w:b w:val="0"/>
                <w:sz w:val="14"/>
                <w:lang w:val="it-IT"/>
              </w:rPr>
              <w:t> </w:t>
            </w:r>
            <w:r w:rsidRPr="003F471F">
              <w:rPr>
                <w:rFonts w:ascii="Tahoma" w:hAnsi="Tahoma" w:cs="Tahoma"/>
                <w:b w:val="0"/>
                <w:sz w:val="14"/>
                <w:lang w:val="it-IT"/>
              </w:rPr>
              <w:t xml:space="preserve">1 </w:t>
            </w:r>
            <w:r w:rsidR="001B5647" w:rsidRPr="003F471F">
              <w:rPr>
                <w:rFonts w:ascii="Tahoma" w:hAnsi="Tahoma" w:cs="Tahoma"/>
                <w:b w:val="0"/>
                <w:sz w:val="14"/>
                <w:lang w:val="it-IT"/>
              </w:rPr>
              <w:br/>
            </w:r>
            <w:r w:rsidRPr="003F471F">
              <w:rPr>
                <w:rFonts w:ascii="Tahoma" w:hAnsi="Tahoma" w:cs="Tahoma"/>
                <w:b w:val="0"/>
                <w:sz w:val="14"/>
                <w:lang w:val="it-IT"/>
              </w:rPr>
              <w:t>(SL per Utente)</w:t>
            </w:r>
            <w:bookmarkEnd w:id="344"/>
            <w:bookmarkEnd w:id="345"/>
          </w:p>
        </w:tc>
        <w:tc>
          <w:tcPr>
            <w:tcW w:w="554" w:type="dxa"/>
            <w:tcBorders>
              <w:bottom w:val="single" w:sz="4" w:space="0" w:color="auto"/>
            </w:tcBorders>
            <w:shd w:val="clear" w:color="auto" w:fill="FABF8F"/>
            <w:vAlign w:val="center"/>
          </w:tcPr>
          <w:p w14:paraId="2007B4A3" w14:textId="77777777" w:rsidR="00913A0A" w:rsidRPr="0058047D" w:rsidRDefault="00C86F50" w:rsidP="00907139">
            <w:pPr>
              <w:pStyle w:val="TableText"/>
              <w:widowControl w:val="0"/>
              <w:rPr>
                <w:rStyle w:val="EndnoteReference"/>
                <w:rFonts w:cs="Tahoma"/>
                <w:b w:val="0"/>
                <w:color w:val="0000FF"/>
                <w:sz w:val="13"/>
                <w:szCs w:val="13"/>
                <w:u w:val="single"/>
              </w:rPr>
            </w:pPr>
            <w:hyperlink w:anchor="_78_SharePoint_Online" w:history="1">
              <w:r w:rsidR="00BF5FC6" w:rsidRPr="0058047D">
                <w:rPr>
                  <w:rStyle w:val="Hyperlink"/>
                  <w:rFonts w:cs="Tahoma"/>
                  <w:b/>
                  <w:sz w:val="13"/>
                  <w:szCs w:val="13"/>
                </w:rPr>
                <w:t>77</w:t>
              </w:r>
            </w:hyperlink>
          </w:p>
        </w:tc>
        <w:tc>
          <w:tcPr>
            <w:tcW w:w="516" w:type="dxa"/>
            <w:tcBorders>
              <w:bottom w:val="single" w:sz="4" w:space="0" w:color="auto"/>
            </w:tcBorders>
            <w:shd w:val="clear" w:color="auto" w:fill="FABF8F"/>
          </w:tcPr>
          <w:p w14:paraId="62A99A45"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06/11</w:t>
            </w:r>
          </w:p>
        </w:tc>
        <w:tc>
          <w:tcPr>
            <w:tcW w:w="358" w:type="dxa"/>
            <w:tcBorders>
              <w:bottom w:val="single" w:sz="4" w:space="0" w:color="auto"/>
              <w:right w:val="single" w:sz="18" w:space="0" w:color="auto"/>
            </w:tcBorders>
            <w:shd w:val="clear" w:color="auto" w:fill="FABF8F"/>
            <w:vAlign w:val="center"/>
          </w:tcPr>
          <w:p w14:paraId="1F9026BB"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center"/>
          </w:tcPr>
          <w:p w14:paraId="782A895B"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12E45575"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5CAF2479"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46170DEC"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D7DFA03"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4ED38C7"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7BA81583"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7A4E4004"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6FADC5B"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00E44F20"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51BC3DB7"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3D986D1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1B9D3DCF"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7A58E1BF" w14:textId="77777777" w:rsidR="00913A0A" w:rsidRPr="0058047D"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FABF8F"/>
            <w:vAlign w:val="center"/>
          </w:tcPr>
          <w:p w14:paraId="3ED95B64"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3393E0AC"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20E23439" w14:textId="77777777" w:rsidTr="00C86F50">
        <w:trPr>
          <w:cantSplit/>
          <w:trHeight w:val="145"/>
        </w:trPr>
        <w:tc>
          <w:tcPr>
            <w:tcW w:w="2619" w:type="dxa"/>
            <w:gridSpan w:val="2"/>
            <w:tcBorders>
              <w:bottom w:val="single" w:sz="4" w:space="0" w:color="auto"/>
            </w:tcBorders>
            <w:shd w:val="clear" w:color="auto" w:fill="auto"/>
            <w:vAlign w:val="center"/>
          </w:tcPr>
          <w:p w14:paraId="7EB86931" w14:textId="77777777" w:rsidR="004B53C5" w:rsidRPr="003F471F" w:rsidRDefault="004B53C5" w:rsidP="001B5647">
            <w:pPr>
              <w:pStyle w:val="Heading2"/>
              <w:spacing w:beforeLines="20" w:before="48" w:afterLines="20" w:after="48"/>
              <w:ind w:left="0" w:firstLine="15"/>
              <w:jc w:val="both"/>
              <w:rPr>
                <w:rFonts w:ascii="Tahoma" w:hAnsi="Tahoma" w:cs="Tahoma"/>
                <w:b w:val="0"/>
                <w:sz w:val="14"/>
                <w:lang w:val="it-IT"/>
              </w:rPr>
            </w:pPr>
            <w:bookmarkStart w:id="346" w:name="_Toc371663450"/>
            <w:r w:rsidRPr="003F471F">
              <w:rPr>
                <w:rFonts w:ascii="Tahoma" w:hAnsi="Tahoma" w:cs="Tahoma"/>
                <w:b w:val="0"/>
                <w:sz w:val="14"/>
                <w:lang w:val="it-IT"/>
              </w:rPr>
              <w:t>SharePoint™</w:t>
            </w:r>
            <w:r w:rsidR="001B5647" w:rsidRPr="003F471F">
              <w:rPr>
                <w:rFonts w:ascii="Tahoma" w:hAnsi="Tahoma" w:cs="Tahoma"/>
                <w:b w:val="0"/>
                <w:sz w:val="14"/>
                <w:lang w:val="it-IT"/>
              </w:rPr>
              <w:t> </w:t>
            </w:r>
            <w:r w:rsidRPr="003F471F">
              <w:rPr>
                <w:rFonts w:ascii="Tahoma" w:hAnsi="Tahoma" w:cs="Tahoma"/>
                <w:b w:val="0"/>
                <w:sz w:val="14"/>
                <w:lang w:val="it-IT"/>
              </w:rPr>
              <w:t>Online</w:t>
            </w:r>
            <w:r w:rsidR="001B5647" w:rsidRPr="003F471F">
              <w:rPr>
                <w:rFonts w:ascii="Tahoma" w:hAnsi="Tahoma" w:cs="Tahoma"/>
                <w:b w:val="0"/>
                <w:sz w:val="14"/>
                <w:lang w:val="it-IT"/>
              </w:rPr>
              <w:t> </w:t>
            </w:r>
            <w:r w:rsidRPr="003F471F">
              <w:rPr>
                <w:rFonts w:ascii="Tahoma" w:hAnsi="Tahoma" w:cs="Tahoma"/>
                <w:b w:val="0"/>
                <w:sz w:val="14"/>
                <w:lang w:val="it-IT"/>
              </w:rPr>
              <w:t>Piano</w:t>
            </w:r>
            <w:r w:rsidR="001B5647" w:rsidRPr="003F471F">
              <w:rPr>
                <w:rFonts w:ascii="Tahoma" w:hAnsi="Tahoma" w:cs="Tahoma"/>
                <w:b w:val="0"/>
                <w:sz w:val="14"/>
                <w:lang w:val="it-IT"/>
              </w:rPr>
              <w:t> </w:t>
            </w:r>
            <w:r w:rsidRPr="003F471F">
              <w:rPr>
                <w:rFonts w:ascii="Tahoma" w:hAnsi="Tahoma" w:cs="Tahoma"/>
                <w:b w:val="0"/>
                <w:sz w:val="14"/>
                <w:lang w:val="it-IT"/>
              </w:rPr>
              <w:t>1</w:t>
            </w:r>
            <w:r w:rsidR="001B5647" w:rsidRPr="003F471F">
              <w:rPr>
                <w:rFonts w:ascii="Tahoma" w:hAnsi="Tahoma" w:cs="Tahoma"/>
                <w:b w:val="0"/>
                <w:sz w:val="14"/>
                <w:lang w:val="it-IT"/>
              </w:rPr>
              <w:t> </w:t>
            </w:r>
            <w:r w:rsidRPr="003F471F">
              <w:rPr>
                <w:rFonts w:ascii="Tahoma" w:hAnsi="Tahoma" w:cs="Tahoma"/>
                <w:b w:val="0"/>
                <w:sz w:val="14"/>
                <w:lang w:val="it-IT"/>
              </w:rPr>
              <w:t>con Componente</w:t>
            </w:r>
            <w:r w:rsidR="001B5647" w:rsidRPr="003F471F">
              <w:rPr>
                <w:rFonts w:ascii="Tahoma" w:hAnsi="Tahoma" w:cs="Tahoma"/>
                <w:b w:val="0"/>
                <w:sz w:val="14"/>
                <w:lang w:val="it-IT"/>
              </w:rPr>
              <w:t> </w:t>
            </w:r>
            <w:r w:rsidRPr="003F471F">
              <w:rPr>
                <w:rFonts w:ascii="Tahoma" w:hAnsi="Tahoma" w:cs="Tahoma"/>
                <w:b w:val="0"/>
                <w:sz w:val="14"/>
                <w:lang w:val="it-IT"/>
              </w:rPr>
              <w:t>Aggiuntivo</w:t>
            </w:r>
            <w:r w:rsidR="001B5647" w:rsidRPr="003F471F">
              <w:rPr>
                <w:rFonts w:ascii="Tahoma" w:hAnsi="Tahoma" w:cs="Tahoma"/>
                <w:b w:val="0"/>
                <w:sz w:val="14"/>
                <w:lang w:val="it-IT"/>
              </w:rPr>
              <w:t> </w:t>
            </w:r>
            <w:r w:rsidRPr="003F471F">
              <w:rPr>
                <w:rFonts w:ascii="Tahoma" w:hAnsi="Tahoma" w:cs="Tahoma"/>
                <w:b w:val="0"/>
                <w:sz w:val="14"/>
                <w:lang w:val="it-IT"/>
              </w:rPr>
              <w:t>di</w:t>
            </w:r>
            <w:r w:rsidR="001B5647" w:rsidRPr="003F471F">
              <w:rPr>
                <w:rFonts w:ascii="Tahoma" w:hAnsi="Tahoma" w:cs="Tahoma"/>
                <w:b w:val="0"/>
                <w:sz w:val="14"/>
                <w:lang w:val="it-IT"/>
              </w:rPr>
              <w:t> </w:t>
            </w:r>
            <w:r w:rsidRPr="003F471F">
              <w:rPr>
                <w:rFonts w:ascii="Tahoma" w:hAnsi="Tahoma" w:cs="Tahoma"/>
                <w:b w:val="0"/>
                <w:sz w:val="14"/>
                <w:lang w:val="it-IT"/>
              </w:rPr>
              <w:t>Yammer (SL</w:t>
            </w:r>
            <w:r w:rsidR="009323A0" w:rsidRPr="003F471F">
              <w:rPr>
                <w:rFonts w:ascii="Tahoma" w:hAnsi="Tahoma" w:cs="Tahoma"/>
                <w:b w:val="0"/>
                <w:sz w:val="14"/>
                <w:lang w:val="it-IT"/>
              </w:rPr>
              <w:t> </w:t>
            </w:r>
            <w:r w:rsidRPr="003F471F">
              <w:rPr>
                <w:rFonts w:ascii="Tahoma" w:hAnsi="Tahoma" w:cs="Tahoma"/>
                <w:b w:val="0"/>
                <w:sz w:val="14"/>
                <w:lang w:val="it-IT"/>
              </w:rPr>
              <w:t>per Utente)</w:t>
            </w:r>
            <w:bookmarkEnd w:id="346"/>
          </w:p>
        </w:tc>
        <w:tc>
          <w:tcPr>
            <w:tcW w:w="554" w:type="dxa"/>
            <w:tcBorders>
              <w:bottom w:val="single" w:sz="4" w:space="0" w:color="auto"/>
            </w:tcBorders>
            <w:shd w:val="clear" w:color="auto" w:fill="auto"/>
            <w:vAlign w:val="center"/>
          </w:tcPr>
          <w:p w14:paraId="03A88147" w14:textId="77777777" w:rsidR="004B53C5" w:rsidRPr="003F471F" w:rsidRDefault="004B53C5" w:rsidP="00796355">
            <w:pPr>
              <w:pStyle w:val="TableText"/>
              <w:widowControl w:val="0"/>
              <w:rPr>
                <w:lang w:val="it-IT"/>
              </w:rPr>
            </w:pPr>
          </w:p>
        </w:tc>
        <w:tc>
          <w:tcPr>
            <w:tcW w:w="516" w:type="dxa"/>
            <w:tcBorders>
              <w:bottom w:val="single" w:sz="4" w:space="0" w:color="auto"/>
            </w:tcBorders>
            <w:shd w:val="clear" w:color="auto" w:fill="auto"/>
          </w:tcPr>
          <w:p w14:paraId="727439A9" w14:textId="77777777" w:rsidR="004B53C5" w:rsidRPr="0058047D" w:rsidRDefault="004B53C5" w:rsidP="001A63C6">
            <w:pPr>
              <w:pStyle w:val="TableText"/>
              <w:widowControl w:val="0"/>
              <w:spacing w:before="80"/>
              <w:rPr>
                <w:rFonts w:ascii="Tahoma" w:hAnsi="Tahoma" w:cs="Tahoma"/>
                <w:sz w:val="13"/>
              </w:rPr>
            </w:pPr>
            <w:r w:rsidRPr="0058047D">
              <w:rPr>
                <w:rFonts w:ascii="Tahoma" w:hAnsi="Tahoma" w:cs="Tahoma"/>
                <w:sz w:val="13"/>
              </w:rPr>
              <w:t>08/13</w:t>
            </w:r>
          </w:p>
        </w:tc>
        <w:tc>
          <w:tcPr>
            <w:tcW w:w="358" w:type="dxa"/>
            <w:tcBorders>
              <w:bottom w:val="single" w:sz="4" w:space="0" w:color="auto"/>
              <w:right w:val="single" w:sz="18" w:space="0" w:color="auto"/>
            </w:tcBorders>
            <w:shd w:val="clear" w:color="auto" w:fill="auto"/>
            <w:vAlign w:val="center"/>
          </w:tcPr>
          <w:p w14:paraId="6FD5036D" w14:textId="77777777" w:rsidR="004B53C5" w:rsidRPr="0058047D" w:rsidRDefault="004B53C5"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auto"/>
            <w:vAlign w:val="center"/>
          </w:tcPr>
          <w:p w14:paraId="59F15053" w14:textId="77777777" w:rsidR="004B53C5" w:rsidRPr="0058047D" w:rsidRDefault="004B53C5"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19A3775E" w14:textId="77777777" w:rsidR="004B53C5" w:rsidRPr="0058047D" w:rsidRDefault="004B53C5"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2F270440" w14:textId="77777777" w:rsidR="004B53C5" w:rsidRPr="0058047D" w:rsidRDefault="004B53C5"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06DAE073" w14:textId="77777777" w:rsidR="004B53C5" w:rsidRPr="0058047D" w:rsidRDefault="004B53C5"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E13D0C" w14:textId="77777777" w:rsidR="004B53C5" w:rsidRPr="0058047D" w:rsidRDefault="004B53C5"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CEFC1B5" w14:textId="77777777" w:rsidR="004B53C5" w:rsidRPr="0058047D" w:rsidRDefault="004B53C5"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14E7407B" w14:textId="77777777" w:rsidR="004B53C5" w:rsidRPr="0058047D" w:rsidRDefault="004B53C5" w:rsidP="001A63C6">
            <w:pPr>
              <w:pStyle w:val="TableText"/>
              <w:widowControl w:val="0"/>
              <w:rPr>
                <w:rFonts w:ascii="Tahoma" w:hAnsi="Tahoma" w:cs="Tahoma"/>
                <w:sz w:val="13"/>
              </w:rPr>
            </w:pPr>
          </w:p>
        </w:tc>
        <w:tc>
          <w:tcPr>
            <w:tcW w:w="1341" w:type="dxa"/>
            <w:gridSpan w:val="3"/>
            <w:tcBorders>
              <w:left w:val="single" w:sz="18" w:space="0" w:color="auto"/>
              <w:bottom w:val="single" w:sz="4" w:space="0" w:color="auto"/>
              <w:right w:val="single" w:sz="18" w:space="0" w:color="auto"/>
            </w:tcBorders>
            <w:shd w:val="clear" w:color="auto" w:fill="auto"/>
            <w:vAlign w:val="center"/>
          </w:tcPr>
          <w:p w14:paraId="06A16EC0" w14:textId="77777777" w:rsidR="004B53C5" w:rsidRPr="0058047D" w:rsidRDefault="004B53C5" w:rsidP="001A63C6">
            <w:pPr>
              <w:pStyle w:val="TableText"/>
              <w:widowControl w:val="0"/>
              <w:rPr>
                <w:rFonts w:ascii="Tahoma" w:hAnsi="Tahoma" w:cs="Tahoma"/>
                <w:sz w:val="13"/>
              </w:rPr>
            </w:pPr>
            <w:r w:rsidRPr="0058047D">
              <w:rPr>
                <w:rFonts w:ascii="Tahoma" w:hAnsi="Tahoma" w:cs="Tahoma"/>
                <w:sz w:val="13"/>
              </w:rPr>
              <w:t>1</w:t>
            </w:r>
          </w:p>
        </w:tc>
        <w:tc>
          <w:tcPr>
            <w:tcW w:w="468" w:type="dxa"/>
            <w:tcBorders>
              <w:left w:val="single" w:sz="18" w:space="0" w:color="auto"/>
              <w:bottom w:val="single" w:sz="4" w:space="0" w:color="auto"/>
            </w:tcBorders>
            <w:shd w:val="clear" w:color="auto" w:fill="auto"/>
            <w:vAlign w:val="center"/>
          </w:tcPr>
          <w:p w14:paraId="7A227AD6" w14:textId="77777777" w:rsidR="004B53C5" w:rsidRPr="0058047D" w:rsidRDefault="004B53C5"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17CF61B3" w14:textId="77777777" w:rsidR="004B53C5" w:rsidRPr="0058047D" w:rsidRDefault="004B53C5"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09E3D08B" w14:textId="77777777" w:rsidR="004B53C5" w:rsidRPr="0058047D" w:rsidRDefault="004B53C5"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auto"/>
          </w:tcPr>
          <w:p w14:paraId="03C42709" w14:textId="77777777" w:rsidR="004B53C5" w:rsidRPr="0058047D" w:rsidRDefault="004B53C5"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auto"/>
            <w:vAlign w:val="center"/>
          </w:tcPr>
          <w:p w14:paraId="171A4323" w14:textId="77777777" w:rsidR="004B53C5" w:rsidRPr="0058047D" w:rsidRDefault="004B53C5" w:rsidP="001A63C6">
            <w:pPr>
              <w:pStyle w:val="TableText"/>
              <w:widowControl w:val="0"/>
              <w:rPr>
                <w:rFonts w:ascii="Tahoma" w:hAnsi="Tahoma" w:cs="Tahoma"/>
                <w:sz w:val="13"/>
              </w:rPr>
            </w:pPr>
            <w:r w:rsidRPr="0058047D">
              <w:rPr>
                <w:rFonts w:ascii="Tahoma" w:hAnsi="Tahoma" w:cs="Tahoma"/>
                <w:sz w:val="13"/>
              </w:rPr>
              <w:t>OL/OV</w:t>
            </w:r>
          </w:p>
        </w:tc>
        <w:tc>
          <w:tcPr>
            <w:tcW w:w="405" w:type="dxa"/>
            <w:tcBorders>
              <w:bottom w:val="single" w:sz="4" w:space="0" w:color="auto"/>
            </w:tcBorders>
          </w:tcPr>
          <w:p w14:paraId="658E5866" w14:textId="77777777" w:rsidR="004B53C5" w:rsidRPr="0058047D" w:rsidRDefault="004B53C5"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44971E1D" w14:textId="77777777" w:rsidTr="00C86F50">
        <w:trPr>
          <w:trHeight w:val="145"/>
        </w:trPr>
        <w:tc>
          <w:tcPr>
            <w:tcW w:w="2619" w:type="dxa"/>
            <w:gridSpan w:val="2"/>
            <w:tcBorders>
              <w:bottom w:val="single" w:sz="4" w:space="0" w:color="auto"/>
            </w:tcBorders>
            <w:shd w:val="clear" w:color="auto" w:fill="FABF8F"/>
            <w:vAlign w:val="center"/>
          </w:tcPr>
          <w:p w14:paraId="20FA2927" w14:textId="77777777" w:rsidR="00913A0A" w:rsidRPr="003F471F" w:rsidRDefault="00913A0A" w:rsidP="00E077BC">
            <w:pPr>
              <w:pStyle w:val="ProductNames"/>
              <w:spacing w:beforeLines="20" w:before="48" w:afterLines="20" w:after="48"/>
              <w:rPr>
                <w:rFonts w:ascii="Tahoma" w:hAnsi="Tahoma" w:cs="Tahoma"/>
                <w:sz w:val="14"/>
                <w:lang w:val="it-IT"/>
              </w:rPr>
            </w:pPr>
            <w:bookmarkStart w:id="347" w:name="_Toc336338039"/>
            <w:bookmarkStart w:id="348" w:name="_Toc371663451"/>
            <w:r w:rsidRPr="003F471F">
              <w:rPr>
                <w:rFonts w:ascii="Tahoma" w:hAnsi="Tahoma" w:cs="Tahoma"/>
                <w:sz w:val="14"/>
                <w:lang w:val="it-IT"/>
              </w:rPr>
              <w:t xml:space="preserve">SharePoint™ Online Piano 2 </w:t>
            </w:r>
            <w:r w:rsidR="001B5647" w:rsidRPr="003F471F">
              <w:rPr>
                <w:rFonts w:ascii="Tahoma" w:hAnsi="Tahoma" w:cs="Tahoma"/>
                <w:sz w:val="14"/>
                <w:lang w:val="it-IT"/>
              </w:rPr>
              <w:br/>
            </w:r>
            <w:r w:rsidRPr="003F471F">
              <w:rPr>
                <w:rFonts w:ascii="Tahoma" w:hAnsi="Tahoma" w:cs="Tahoma"/>
                <w:sz w:val="14"/>
                <w:lang w:val="it-IT"/>
              </w:rPr>
              <w:t>(SL per Utente)</w:t>
            </w:r>
            <w:bookmarkEnd w:id="347"/>
            <w:bookmarkEnd w:id="348"/>
          </w:p>
        </w:tc>
        <w:tc>
          <w:tcPr>
            <w:tcW w:w="554" w:type="dxa"/>
            <w:tcBorders>
              <w:bottom w:val="single" w:sz="4" w:space="0" w:color="auto"/>
            </w:tcBorders>
            <w:shd w:val="clear" w:color="auto" w:fill="FABF8F"/>
            <w:vAlign w:val="center"/>
          </w:tcPr>
          <w:p w14:paraId="38098AB8" w14:textId="77777777" w:rsidR="00913A0A" w:rsidRPr="0058047D" w:rsidRDefault="00C86F50" w:rsidP="00907139">
            <w:pPr>
              <w:pStyle w:val="TableText"/>
              <w:widowControl w:val="0"/>
              <w:rPr>
                <w:rStyle w:val="EndnoteReference"/>
                <w:b w:val="0"/>
                <w:color w:val="000000"/>
                <w:sz w:val="13"/>
                <w:szCs w:val="13"/>
                <w:u w:val="single"/>
              </w:rPr>
            </w:pPr>
            <w:hyperlink w:anchor="_68_SharePoint_Online" w:history="1">
              <w:r w:rsidR="00BF5FC6" w:rsidRPr="0058047D">
                <w:rPr>
                  <w:rStyle w:val="Hyperlink"/>
                  <w:rFonts w:cs="Tahoma"/>
                  <w:b/>
                  <w:sz w:val="13"/>
                  <w:szCs w:val="13"/>
                </w:rPr>
                <w:t>77</w:t>
              </w:r>
            </w:hyperlink>
          </w:p>
        </w:tc>
        <w:tc>
          <w:tcPr>
            <w:tcW w:w="516" w:type="dxa"/>
            <w:tcBorders>
              <w:bottom w:val="single" w:sz="4" w:space="0" w:color="auto"/>
            </w:tcBorders>
            <w:shd w:val="clear" w:color="auto" w:fill="FABF8F"/>
          </w:tcPr>
          <w:p w14:paraId="611B8E9B"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06/11</w:t>
            </w:r>
          </w:p>
        </w:tc>
        <w:tc>
          <w:tcPr>
            <w:tcW w:w="358" w:type="dxa"/>
            <w:tcBorders>
              <w:bottom w:val="single" w:sz="4" w:space="0" w:color="auto"/>
              <w:right w:val="single" w:sz="18" w:space="0" w:color="auto"/>
            </w:tcBorders>
            <w:shd w:val="clear" w:color="auto" w:fill="FABF8F"/>
            <w:vAlign w:val="center"/>
          </w:tcPr>
          <w:p w14:paraId="793AC15F"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center"/>
          </w:tcPr>
          <w:p w14:paraId="5E195D62"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0E206CD2"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0CFB5D34"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22334E1D"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548672F"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5AB35D6"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743D42AF"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6D341BA6"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31594B0"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6DF5CE45"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09F71EF7"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686B918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01BA601B"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6605958B" w14:textId="77777777" w:rsidR="00913A0A" w:rsidRPr="0058047D"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FABF8F"/>
            <w:vAlign w:val="center"/>
          </w:tcPr>
          <w:p w14:paraId="7F46D601"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5B8CD368"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2D856C01" w14:textId="77777777" w:rsidTr="00C86F50">
        <w:trPr>
          <w:trHeight w:val="145"/>
        </w:trPr>
        <w:tc>
          <w:tcPr>
            <w:tcW w:w="2619" w:type="dxa"/>
            <w:gridSpan w:val="2"/>
            <w:tcBorders>
              <w:bottom w:val="single" w:sz="4" w:space="0" w:color="auto"/>
            </w:tcBorders>
            <w:shd w:val="clear" w:color="auto" w:fill="auto"/>
          </w:tcPr>
          <w:p w14:paraId="746B1680" w14:textId="77777777" w:rsidR="00913A0A" w:rsidRPr="0058047D" w:rsidRDefault="00913A0A" w:rsidP="00E077BC">
            <w:pPr>
              <w:pStyle w:val="ProductNames"/>
              <w:spacing w:beforeLines="20" w:before="48" w:afterLines="20" w:after="48"/>
              <w:rPr>
                <w:rFonts w:ascii="Tahoma" w:hAnsi="Tahoma" w:cs="Tahoma"/>
                <w:sz w:val="14"/>
              </w:rPr>
            </w:pPr>
            <w:bookmarkStart w:id="349" w:name="_Toc336338040"/>
            <w:bookmarkStart w:id="350" w:name="_Toc371663452"/>
            <w:r w:rsidRPr="0058047D">
              <w:rPr>
                <w:rFonts w:ascii="Tahoma" w:hAnsi="Tahoma" w:cs="Tahoma"/>
                <w:sz w:val="14"/>
              </w:rPr>
              <w:t xml:space="preserve">SharePoint™ Server </w:t>
            </w:r>
            <w:bookmarkEnd w:id="349"/>
            <w:r w:rsidRPr="0058047D">
              <w:rPr>
                <w:rFonts w:ascii="Tahoma" w:hAnsi="Tahoma" w:cs="Tahoma"/>
                <w:sz w:val="14"/>
              </w:rPr>
              <w:t>2013</w:t>
            </w:r>
            <w:bookmarkEnd w:id="350"/>
            <w:r w:rsidRPr="0058047D">
              <w:rPr>
                <w:rFonts w:ascii="Tahoma" w:hAnsi="Tahoma" w:cs="Tahoma"/>
                <w:sz w:val="14"/>
              </w:rPr>
              <w:t xml:space="preserve"> </w:t>
            </w:r>
          </w:p>
        </w:tc>
        <w:tc>
          <w:tcPr>
            <w:tcW w:w="554" w:type="dxa"/>
            <w:tcBorders>
              <w:bottom w:val="single" w:sz="4" w:space="0" w:color="auto"/>
            </w:tcBorders>
            <w:shd w:val="clear" w:color="auto" w:fill="auto"/>
            <w:vAlign w:val="center"/>
          </w:tcPr>
          <w:p w14:paraId="4B4B0FC8" w14:textId="77777777" w:rsidR="00913A0A" w:rsidRPr="0058047D" w:rsidRDefault="00C86F50" w:rsidP="00907139">
            <w:pPr>
              <w:pStyle w:val="TableText"/>
              <w:widowControl w:val="0"/>
              <w:rPr>
                <w:rStyle w:val="EndnoteReference"/>
                <w:b w:val="0"/>
                <w:color w:val="000000"/>
                <w:sz w:val="13"/>
                <w:szCs w:val="13"/>
                <w:u w:val="single"/>
              </w:rPr>
            </w:pPr>
            <w:hyperlink w:anchor="_78_SharePoint_Server" w:history="1">
              <w:r w:rsidR="00913A0A" w:rsidRPr="00A66459">
                <w:rPr>
                  <w:rStyle w:val="Hyperlink"/>
                  <w:b/>
                  <w:sz w:val="13"/>
                  <w:szCs w:val="13"/>
                </w:rPr>
                <w:t>78</w:t>
              </w:r>
            </w:hyperlink>
          </w:p>
        </w:tc>
        <w:tc>
          <w:tcPr>
            <w:tcW w:w="516" w:type="dxa"/>
            <w:tcBorders>
              <w:bottom w:val="single" w:sz="4" w:space="0" w:color="auto"/>
            </w:tcBorders>
            <w:shd w:val="clear" w:color="auto" w:fill="auto"/>
          </w:tcPr>
          <w:p w14:paraId="19A9390F" w14:textId="77777777" w:rsidR="00913A0A" w:rsidRPr="0058047D" w:rsidRDefault="00913A0A" w:rsidP="001A63C6">
            <w:pPr>
              <w:pStyle w:val="TableText"/>
              <w:widowControl w:val="0"/>
              <w:spacing w:before="120"/>
              <w:rPr>
                <w:rFonts w:ascii="Tahoma" w:hAnsi="Tahoma" w:cs="Tahoma"/>
                <w:color w:val="000000"/>
                <w:sz w:val="13"/>
              </w:rPr>
            </w:pPr>
            <w:r w:rsidRPr="0058047D">
              <w:rPr>
                <w:rFonts w:ascii="Tahoma" w:hAnsi="Tahoma" w:cs="Tahoma"/>
                <w:color w:val="000000"/>
                <w:sz w:val="13"/>
              </w:rPr>
              <w:t>10/12</w:t>
            </w:r>
          </w:p>
        </w:tc>
        <w:tc>
          <w:tcPr>
            <w:tcW w:w="358" w:type="dxa"/>
            <w:tcBorders>
              <w:bottom w:val="single" w:sz="4" w:space="0" w:color="auto"/>
              <w:right w:val="single" w:sz="18" w:space="0" w:color="auto"/>
            </w:tcBorders>
            <w:shd w:val="clear" w:color="auto" w:fill="auto"/>
            <w:vAlign w:val="center"/>
          </w:tcPr>
          <w:p w14:paraId="0BFEC048"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472336BD"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324" w:type="dxa"/>
            <w:tcBorders>
              <w:bottom w:val="single" w:sz="4" w:space="0" w:color="auto"/>
            </w:tcBorders>
            <w:shd w:val="clear" w:color="auto" w:fill="auto"/>
            <w:vAlign w:val="center"/>
          </w:tcPr>
          <w:p w14:paraId="2CF7CD6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125</w:t>
            </w:r>
          </w:p>
        </w:tc>
        <w:tc>
          <w:tcPr>
            <w:tcW w:w="366" w:type="dxa"/>
            <w:tcBorders>
              <w:bottom w:val="single" w:sz="4" w:space="0" w:color="auto"/>
            </w:tcBorders>
            <w:shd w:val="clear" w:color="auto" w:fill="auto"/>
            <w:vAlign w:val="center"/>
          </w:tcPr>
          <w:p w14:paraId="39907D2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100</w:t>
            </w:r>
          </w:p>
        </w:tc>
        <w:tc>
          <w:tcPr>
            <w:tcW w:w="456" w:type="dxa"/>
            <w:gridSpan w:val="2"/>
            <w:tcBorders>
              <w:bottom w:val="single" w:sz="4" w:space="0" w:color="auto"/>
            </w:tcBorders>
            <w:shd w:val="clear" w:color="auto" w:fill="auto"/>
            <w:vAlign w:val="center"/>
          </w:tcPr>
          <w:p w14:paraId="771D2D1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75</w:t>
            </w:r>
          </w:p>
        </w:tc>
        <w:tc>
          <w:tcPr>
            <w:tcW w:w="450" w:type="dxa"/>
            <w:tcBorders>
              <w:bottom w:val="single" w:sz="4" w:space="0" w:color="auto"/>
            </w:tcBorders>
            <w:shd w:val="clear" w:color="auto" w:fill="auto"/>
            <w:vAlign w:val="center"/>
          </w:tcPr>
          <w:p w14:paraId="3558680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75</w:t>
            </w:r>
          </w:p>
        </w:tc>
        <w:tc>
          <w:tcPr>
            <w:tcW w:w="450" w:type="dxa"/>
            <w:tcBorders>
              <w:bottom w:val="single" w:sz="4" w:space="0" w:color="auto"/>
            </w:tcBorders>
            <w:shd w:val="clear" w:color="auto" w:fill="auto"/>
            <w:vAlign w:val="center"/>
          </w:tcPr>
          <w:p w14:paraId="1B9AF0A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336" w:type="dxa"/>
            <w:tcBorders>
              <w:bottom w:val="single" w:sz="4" w:space="0" w:color="auto"/>
              <w:right w:val="single" w:sz="18" w:space="0" w:color="auto"/>
            </w:tcBorders>
            <w:shd w:val="clear" w:color="auto" w:fill="auto"/>
            <w:vAlign w:val="center"/>
          </w:tcPr>
          <w:p w14:paraId="220F7EB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25</w:t>
            </w:r>
          </w:p>
        </w:tc>
        <w:tc>
          <w:tcPr>
            <w:tcW w:w="477" w:type="dxa"/>
            <w:tcBorders>
              <w:left w:val="single" w:sz="18" w:space="0" w:color="auto"/>
              <w:bottom w:val="single" w:sz="4" w:space="0" w:color="auto"/>
            </w:tcBorders>
            <w:shd w:val="clear" w:color="auto" w:fill="auto"/>
            <w:vAlign w:val="center"/>
          </w:tcPr>
          <w:p w14:paraId="477D7EA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450" w:type="dxa"/>
            <w:tcBorders>
              <w:bottom w:val="single" w:sz="4" w:space="0" w:color="auto"/>
            </w:tcBorders>
            <w:shd w:val="clear" w:color="auto" w:fill="auto"/>
            <w:vAlign w:val="center"/>
          </w:tcPr>
          <w:p w14:paraId="3470F21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100</w:t>
            </w:r>
          </w:p>
        </w:tc>
        <w:tc>
          <w:tcPr>
            <w:tcW w:w="414" w:type="dxa"/>
            <w:tcBorders>
              <w:bottom w:val="single" w:sz="4" w:space="0" w:color="auto"/>
              <w:right w:val="single" w:sz="18" w:space="0" w:color="auto"/>
            </w:tcBorders>
            <w:shd w:val="clear" w:color="auto" w:fill="auto"/>
            <w:vAlign w:val="center"/>
          </w:tcPr>
          <w:p w14:paraId="6C04F868"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468" w:type="dxa"/>
            <w:tcBorders>
              <w:left w:val="single" w:sz="18" w:space="0" w:color="auto"/>
              <w:bottom w:val="single" w:sz="4" w:space="0" w:color="auto"/>
            </w:tcBorders>
            <w:shd w:val="clear" w:color="auto" w:fill="auto"/>
            <w:vAlign w:val="center"/>
          </w:tcPr>
          <w:p w14:paraId="15BA9EA0"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477" w:type="dxa"/>
            <w:tcBorders>
              <w:bottom w:val="single" w:sz="4" w:space="0" w:color="auto"/>
              <w:right w:val="single" w:sz="18" w:space="0" w:color="auto"/>
            </w:tcBorders>
            <w:shd w:val="clear" w:color="auto" w:fill="auto"/>
            <w:vAlign w:val="center"/>
          </w:tcPr>
          <w:p w14:paraId="336428E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A,S</w:t>
            </w:r>
          </w:p>
        </w:tc>
        <w:tc>
          <w:tcPr>
            <w:tcW w:w="324" w:type="dxa"/>
            <w:tcBorders>
              <w:left w:val="single" w:sz="18" w:space="0" w:color="auto"/>
              <w:bottom w:val="single" w:sz="4" w:space="0" w:color="auto"/>
              <w:right w:val="single" w:sz="18" w:space="0" w:color="auto"/>
            </w:tcBorders>
            <w:shd w:val="clear" w:color="auto" w:fill="auto"/>
            <w:vAlign w:val="center"/>
          </w:tcPr>
          <w:p w14:paraId="248127E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auto"/>
            <w:vAlign w:val="center"/>
          </w:tcPr>
          <w:p w14:paraId="09E41BBD" w14:textId="77777777" w:rsidR="00913A0A" w:rsidRPr="0058047D" w:rsidRDefault="00913A0A" w:rsidP="006C465D">
            <w:pPr>
              <w:pStyle w:val="TableText"/>
              <w:widowControl w:val="0"/>
              <w:spacing w:before="12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auto"/>
            <w:vAlign w:val="center"/>
          </w:tcPr>
          <w:p w14:paraId="0F08E732"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tcPr>
          <w:p w14:paraId="639A3238"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STP</w:t>
            </w:r>
          </w:p>
        </w:tc>
      </w:tr>
      <w:tr w:rsidR="009323A0" w:rsidRPr="0058047D" w14:paraId="627116AC" w14:textId="77777777" w:rsidTr="00C86F50">
        <w:trPr>
          <w:trHeight w:val="145"/>
        </w:trPr>
        <w:tc>
          <w:tcPr>
            <w:tcW w:w="2619" w:type="dxa"/>
            <w:gridSpan w:val="2"/>
            <w:tcBorders>
              <w:bottom w:val="single" w:sz="4" w:space="0" w:color="auto"/>
            </w:tcBorders>
            <w:shd w:val="clear" w:color="auto" w:fill="FABF8F"/>
          </w:tcPr>
          <w:p w14:paraId="728D3E26" w14:textId="77777777" w:rsidR="00913A0A" w:rsidRPr="0058047D" w:rsidRDefault="00913A0A" w:rsidP="00E077BC">
            <w:pPr>
              <w:pStyle w:val="ProductNames"/>
              <w:spacing w:beforeLines="20" w:before="48" w:afterLines="20" w:after="48"/>
              <w:rPr>
                <w:rFonts w:ascii="Tahoma" w:hAnsi="Tahoma" w:cs="Tahoma"/>
                <w:sz w:val="14"/>
              </w:rPr>
            </w:pPr>
            <w:bookmarkStart w:id="351" w:name="_Toc336338041"/>
            <w:bookmarkStart w:id="352" w:name="_Toc371663453"/>
            <w:r w:rsidRPr="0058047D">
              <w:rPr>
                <w:rFonts w:ascii="Tahoma" w:hAnsi="Tahoma" w:cs="Tahoma"/>
                <w:sz w:val="14"/>
              </w:rPr>
              <w:t>Enterprise CAL per SharePoint™ Server</w:t>
            </w:r>
            <w:bookmarkEnd w:id="351"/>
            <w:r w:rsidRPr="0058047D">
              <w:rPr>
                <w:rFonts w:ascii="Tahoma" w:hAnsi="Tahoma" w:cs="Tahoma"/>
                <w:sz w:val="14"/>
              </w:rPr>
              <w:t xml:space="preserve"> 2013</w:t>
            </w:r>
            <w:bookmarkEnd w:id="352"/>
            <w:r w:rsidRPr="0058047D">
              <w:rPr>
                <w:rFonts w:ascii="Tahoma" w:hAnsi="Tahoma" w:cs="Tahoma"/>
                <w:sz w:val="14"/>
              </w:rPr>
              <w:t xml:space="preserve"> </w:t>
            </w:r>
          </w:p>
        </w:tc>
        <w:tc>
          <w:tcPr>
            <w:tcW w:w="554" w:type="dxa"/>
            <w:tcBorders>
              <w:bottom w:val="single" w:sz="4" w:space="0" w:color="auto"/>
            </w:tcBorders>
            <w:shd w:val="clear" w:color="auto" w:fill="FABF8F"/>
            <w:vAlign w:val="center"/>
          </w:tcPr>
          <w:p w14:paraId="2F962534" w14:textId="77777777" w:rsidR="00913A0A" w:rsidRPr="0058047D" w:rsidRDefault="00913A0A" w:rsidP="001A63C6">
            <w:pPr>
              <w:pStyle w:val="TableText"/>
              <w:widowControl w:val="0"/>
              <w:rPr>
                <w:rStyle w:val="EndnoteReference"/>
                <w:color w:val="000000"/>
                <w:sz w:val="13"/>
                <w:szCs w:val="13"/>
                <w:u w:val="single"/>
              </w:rPr>
            </w:pPr>
          </w:p>
        </w:tc>
        <w:tc>
          <w:tcPr>
            <w:tcW w:w="516" w:type="dxa"/>
            <w:tcBorders>
              <w:bottom w:val="single" w:sz="4" w:space="0" w:color="auto"/>
            </w:tcBorders>
            <w:shd w:val="clear" w:color="auto" w:fill="FABF8F"/>
          </w:tcPr>
          <w:p w14:paraId="2E1DF6DC" w14:textId="77777777" w:rsidR="00913A0A" w:rsidRPr="0058047D" w:rsidRDefault="00913A0A" w:rsidP="001A63C6">
            <w:pPr>
              <w:pStyle w:val="TableText"/>
              <w:widowControl w:val="0"/>
              <w:spacing w:before="120"/>
              <w:rPr>
                <w:rFonts w:ascii="Tahoma" w:hAnsi="Tahoma" w:cs="Tahoma"/>
                <w:color w:val="000000"/>
                <w:sz w:val="13"/>
              </w:rPr>
            </w:pPr>
            <w:r w:rsidRPr="0058047D">
              <w:rPr>
                <w:rFonts w:ascii="Tahoma" w:hAnsi="Tahoma" w:cs="Tahoma"/>
                <w:color w:val="000000"/>
                <w:sz w:val="13"/>
              </w:rPr>
              <w:t>10/12</w:t>
            </w:r>
          </w:p>
        </w:tc>
        <w:tc>
          <w:tcPr>
            <w:tcW w:w="358" w:type="dxa"/>
            <w:tcBorders>
              <w:bottom w:val="single" w:sz="4" w:space="0" w:color="auto"/>
              <w:right w:val="single" w:sz="18" w:space="0" w:color="auto"/>
            </w:tcBorders>
            <w:shd w:val="clear" w:color="auto" w:fill="FABF8F"/>
            <w:vAlign w:val="center"/>
          </w:tcPr>
          <w:p w14:paraId="4E942DE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center"/>
          </w:tcPr>
          <w:p w14:paraId="25B140BF"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324" w:type="dxa"/>
            <w:tcBorders>
              <w:bottom w:val="single" w:sz="4" w:space="0" w:color="auto"/>
            </w:tcBorders>
            <w:shd w:val="clear" w:color="auto" w:fill="FABF8F"/>
            <w:vAlign w:val="center"/>
          </w:tcPr>
          <w:p w14:paraId="1C0DACB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3</w:t>
            </w:r>
          </w:p>
        </w:tc>
        <w:tc>
          <w:tcPr>
            <w:tcW w:w="366" w:type="dxa"/>
            <w:tcBorders>
              <w:bottom w:val="single" w:sz="4" w:space="0" w:color="auto"/>
            </w:tcBorders>
            <w:shd w:val="clear" w:color="auto" w:fill="FABF8F"/>
            <w:vAlign w:val="center"/>
          </w:tcPr>
          <w:p w14:paraId="53A7AD5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56" w:type="dxa"/>
            <w:gridSpan w:val="2"/>
            <w:tcBorders>
              <w:bottom w:val="single" w:sz="4" w:space="0" w:color="auto"/>
            </w:tcBorders>
            <w:shd w:val="clear" w:color="auto" w:fill="FABF8F"/>
            <w:vAlign w:val="center"/>
          </w:tcPr>
          <w:p w14:paraId="62B1B9A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FABF8F"/>
            <w:vAlign w:val="center"/>
          </w:tcPr>
          <w:p w14:paraId="572CD7DF"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FABF8F"/>
            <w:vAlign w:val="center"/>
          </w:tcPr>
          <w:p w14:paraId="6E625E6D"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336" w:type="dxa"/>
            <w:tcBorders>
              <w:bottom w:val="single" w:sz="4" w:space="0" w:color="auto"/>
              <w:right w:val="single" w:sz="18" w:space="0" w:color="auto"/>
            </w:tcBorders>
            <w:shd w:val="clear" w:color="auto" w:fill="FABF8F"/>
            <w:vAlign w:val="center"/>
          </w:tcPr>
          <w:p w14:paraId="4ECD625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left w:val="single" w:sz="18" w:space="0" w:color="auto"/>
              <w:bottom w:val="single" w:sz="4" w:space="0" w:color="auto"/>
            </w:tcBorders>
            <w:shd w:val="clear" w:color="auto" w:fill="FABF8F"/>
            <w:vAlign w:val="center"/>
          </w:tcPr>
          <w:p w14:paraId="3841E53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50" w:type="dxa"/>
            <w:tcBorders>
              <w:bottom w:val="single" w:sz="4" w:space="0" w:color="auto"/>
            </w:tcBorders>
            <w:shd w:val="clear" w:color="auto" w:fill="FABF8F"/>
            <w:vAlign w:val="center"/>
          </w:tcPr>
          <w:p w14:paraId="530256E0"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14" w:type="dxa"/>
            <w:tcBorders>
              <w:bottom w:val="single" w:sz="4" w:space="0" w:color="auto"/>
              <w:right w:val="single" w:sz="18" w:space="0" w:color="auto"/>
            </w:tcBorders>
            <w:shd w:val="clear" w:color="auto" w:fill="FABF8F"/>
            <w:vAlign w:val="center"/>
          </w:tcPr>
          <w:p w14:paraId="1BCBB38F"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68" w:type="dxa"/>
            <w:tcBorders>
              <w:left w:val="single" w:sz="18" w:space="0" w:color="auto"/>
              <w:bottom w:val="single" w:sz="4" w:space="0" w:color="auto"/>
            </w:tcBorders>
            <w:shd w:val="clear" w:color="auto" w:fill="FABF8F"/>
            <w:vAlign w:val="center"/>
          </w:tcPr>
          <w:p w14:paraId="70B422CD"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FABF8F"/>
            <w:vAlign w:val="center"/>
          </w:tcPr>
          <w:p w14:paraId="49A818F8"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 D</w:t>
            </w:r>
          </w:p>
        </w:tc>
        <w:tc>
          <w:tcPr>
            <w:tcW w:w="324" w:type="dxa"/>
            <w:tcBorders>
              <w:left w:val="single" w:sz="18" w:space="0" w:color="auto"/>
              <w:bottom w:val="single" w:sz="4" w:space="0" w:color="auto"/>
              <w:right w:val="single" w:sz="18" w:space="0" w:color="auto"/>
            </w:tcBorders>
            <w:shd w:val="clear" w:color="auto" w:fill="FABF8F"/>
            <w:vAlign w:val="center"/>
          </w:tcPr>
          <w:p w14:paraId="50D2BDB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tcPr>
          <w:p w14:paraId="3FC58E64" w14:textId="77777777" w:rsidR="00913A0A" w:rsidRPr="0058047D" w:rsidRDefault="00913A0A" w:rsidP="001A63C6">
            <w:pPr>
              <w:pStyle w:val="TableText"/>
              <w:widowControl w:val="0"/>
              <w:spacing w:before="120"/>
              <w:rPr>
                <w:rFonts w:ascii="Tahoma" w:hAnsi="Tahoma" w:cs="Tahoma"/>
                <w:sz w:val="13"/>
              </w:rPr>
            </w:pPr>
            <w:r w:rsidRPr="0058047D">
              <w:rPr>
                <w:rFonts w:ascii="Tahoma" w:hAnsi="Tahoma" w:cs="Tahoma"/>
                <w:sz w:val="13"/>
              </w:rPr>
              <w:t>AO, ST</w:t>
            </w:r>
          </w:p>
        </w:tc>
        <w:tc>
          <w:tcPr>
            <w:tcW w:w="504" w:type="dxa"/>
            <w:tcBorders>
              <w:bottom w:val="single" w:sz="4" w:space="0" w:color="auto"/>
            </w:tcBorders>
            <w:shd w:val="clear" w:color="auto" w:fill="FABF8F"/>
            <w:vAlign w:val="center"/>
          </w:tcPr>
          <w:p w14:paraId="18F47BE8"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76422422"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376EE45E" w14:textId="77777777" w:rsidTr="00C86F50">
        <w:trPr>
          <w:trHeight w:val="260"/>
        </w:trPr>
        <w:tc>
          <w:tcPr>
            <w:tcW w:w="2619" w:type="dxa"/>
            <w:gridSpan w:val="2"/>
            <w:tcBorders>
              <w:bottom w:val="single" w:sz="4" w:space="0" w:color="auto"/>
            </w:tcBorders>
            <w:shd w:val="clear" w:color="auto" w:fill="auto"/>
          </w:tcPr>
          <w:p w14:paraId="277FBB19" w14:textId="77777777" w:rsidR="00913A0A" w:rsidRPr="0058047D" w:rsidRDefault="00913A0A" w:rsidP="00E077BC">
            <w:pPr>
              <w:pStyle w:val="ProductNames"/>
              <w:spacing w:beforeLines="20" w:before="48" w:afterLines="20" w:after="48"/>
              <w:rPr>
                <w:rFonts w:ascii="Tahoma" w:hAnsi="Tahoma" w:cs="Tahoma"/>
                <w:sz w:val="14"/>
              </w:rPr>
            </w:pPr>
            <w:bookmarkStart w:id="353" w:name="_Toc336338044"/>
            <w:bookmarkStart w:id="354" w:name="_Toc371663454"/>
            <w:r w:rsidRPr="0058047D">
              <w:rPr>
                <w:rFonts w:ascii="Tahoma" w:hAnsi="Tahoma" w:cs="Tahoma"/>
                <w:sz w:val="14"/>
              </w:rPr>
              <w:t>Standard CAL per SharePoint™ Server</w:t>
            </w:r>
            <w:bookmarkEnd w:id="353"/>
            <w:r w:rsidRPr="0058047D">
              <w:rPr>
                <w:rFonts w:ascii="Tahoma" w:hAnsi="Tahoma" w:cs="Tahoma"/>
                <w:sz w:val="14"/>
              </w:rPr>
              <w:t xml:space="preserve"> 2013</w:t>
            </w:r>
            <w:bookmarkEnd w:id="354"/>
          </w:p>
        </w:tc>
        <w:tc>
          <w:tcPr>
            <w:tcW w:w="554" w:type="dxa"/>
            <w:tcBorders>
              <w:bottom w:val="single" w:sz="4" w:space="0" w:color="auto"/>
            </w:tcBorders>
            <w:shd w:val="clear" w:color="auto" w:fill="auto"/>
            <w:vAlign w:val="center"/>
          </w:tcPr>
          <w:p w14:paraId="6A397629" w14:textId="77777777" w:rsidR="00913A0A" w:rsidRPr="0058047D" w:rsidRDefault="00913A0A" w:rsidP="00E077BC">
            <w:pPr>
              <w:pStyle w:val="TableText"/>
              <w:widowControl w:val="0"/>
              <w:spacing w:beforeLines="20" w:before="48" w:afterLines="20" w:after="48"/>
              <w:rPr>
                <w:rStyle w:val="EndnoteReference"/>
                <w:rFonts w:cs="Tahoma"/>
                <w:color w:val="000000"/>
                <w:sz w:val="13"/>
                <w:szCs w:val="13"/>
                <w:u w:val="single"/>
              </w:rPr>
            </w:pPr>
          </w:p>
        </w:tc>
        <w:tc>
          <w:tcPr>
            <w:tcW w:w="516" w:type="dxa"/>
            <w:tcBorders>
              <w:bottom w:val="single" w:sz="4" w:space="0" w:color="auto"/>
            </w:tcBorders>
            <w:shd w:val="clear" w:color="auto" w:fill="auto"/>
          </w:tcPr>
          <w:p w14:paraId="3976F90F" w14:textId="77777777" w:rsidR="00913A0A" w:rsidRPr="0058047D" w:rsidRDefault="00913A0A" w:rsidP="00E077BC">
            <w:pPr>
              <w:pStyle w:val="TableText"/>
              <w:widowControl w:val="0"/>
              <w:spacing w:beforeLines="20" w:before="48" w:afterLines="20" w:after="48"/>
              <w:rPr>
                <w:rFonts w:ascii="Tahoma" w:hAnsi="Tahoma" w:cs="Tahoma"/>
                <w:color w:val="000000"/>
                <w:sz w:val="13"/>
              </w:rPr>
            </w:pPr>
            <w:r w:rsidRPr="0058047D">
              <w:rPr>
                <w:rFonts w:ascii="Tahoma" w:hAnsi="Tahoma" w:cs="Tahoma"/>
                <w:color w:val="000000"/>
                <w:sz w:val="13"/>
              </w:rPr>
              <w:t>10/12</w:t>
            </w:r>
          </w:p>
        </w:tc>
        <w:tc>
          <w:tcPr>
            <w:tcW w:w="358" w:type="dxa"/>
            <w:tcBorders>
              <w:bottom w:val="single" w:sz="4" w:space="0" w:color="auto"/>
              <w:right w:val="single" w:sz="18" w:space="0" w:color="auto"/>
            </w:tcBorders>
            <w:shd w:val="clear" w:color="auto" w:fill="auto"/>
            <w:vAlign w:val="center"/>
          </w:tcPr>
          <w:p w14:paraId="243D7916" w14:textId="77777777" w:rsidR="00913A0A" w:rsidRPr="0058047D" w:rsidRDefault="00913A0A" w:rsidP="00E077BC">
            <w:pPr>
              <w:pStyle w:val="TableText"/>
              <w:widowControl w:val="0"/>
              <w:spacing w:beforeLines="20" w:before="48" w:afterLines="20" w:after="48"/>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655B0327" w14:textId="77777777" w:rsidR="00913A0A" w:rsidRPr="0058047D" w:rsidRDefault="00913A0A" w:rsidP="00E077BC">
            <w:pPr>
              <w:pStyle w:val="TableText"/>
              <w:widowControl w:val="0"/>
              <w:spacing w:beforeLines="20" w:before="48" w:afterLines="20" w:after="48"/>
              <w:rPr>
                <w:rFonts w:ascii="Tahoma" w:hAnsi="Tahoma" w:cs="Tahoma"/>
                <w:sz w:val="13"/>
              </w:rPr>
            </w:pPr>
            <w:r w:rsidRPr="0058047D">
              <w:rPr>
                <w:rFonts w:ascii="Tahoma" w:hAnsi="Tahoma" w:cs="Tahoma"/>
                <w:sz w:val="13"/>
              </w:rPr>
              <w:t>1</w:t>
            </w:r>
          </w:p>
        </w:tc>
        <w:tc>
          <w:tcPr>
            <w:tcW w:w="324" w:type="dxa"/>
            <w:tcBorders>
              <w:bottom w:val="single" w:sz="4" w:space="0" w:color="auto"/>
            </w:tcBorders>
            <w:shd w:val="clear" w:color="auto" w:fill="auto"/>
            <w:vAlign w:val="center"/>
          </w:tcPr>
          <w:p w14:paraId="6F94D7EA" w14:textId="77777777" w:rsidR="00913A0A" w:rsidRPr="0058047D" w:rsidRDefault="00913A0A" w:rsidP="00E077BC">
            <w:pPr>
              <w:pStyle w:val="TableText"/>
              <w:widowControl w:val="0"/>
              <w:spacing w:beforeLines="20" w:before="48" w:afterLines="20" w:after="48"/>
              <w:rPr>
                <w:rFonts w:ascii="Tahoma" w:hAnsi="Tahoma" w:cs="Tahoma"/>
                <w:sz w:val="13"/>
              </w:rPr>
            </w:pPr>
            <w:r w:rsidRPr="0058047D">
              <w:rPr>
                <w:rFonts w:ascii="Tahoma" w:hAnsi="Tahoma" w:cs="Tahoma"/>
                <w:sz w:val="13"/>
              </w:rPr>
              <w:t>3</w:t>
            </w:r>
          </w:p>
        </w:tc>
        <w:tc>
          <w:tcPr>
            <w:tcW w:w="366" w:type="dxa"/>
            <w:tcBorders>
              <w:bottom w:val="single" w:sz="4" w:space="0" w:color="auto"/>
            </w:tcBorders>
            <w:shd w:val="clear" w:color="auto" w:fill="auto"/>
            <w:vAlign w:val="center"/>
          </w:tcPr>
          <w:p w14:paraId="3C2C29AA" w14:textId="77777777" w:rsidR="00913A0A" w:rsidRPr="0058047D" w:rsidRDefault="00913A0A" w:rsidP="00E077BC">
            <w:pPr>
              <w:pStyle w:val="TableText"/>
              <w:widowControl w:val="0"/>
              <w:spacing w:beforeLines="20" w:before="48" w:afterLines="20" w:after="48"/>
              <w:rPr>
                <w:rFonts w:ascii="Tahoma" w:hAnsi="Tahoma" w:cs="Tahoma"/>
                <w:sz w:val="13"/>
              </w:rPr>
            </w:pPr>
            <w:r w:rsidRPr="0058047D">
              <w:rPr>
                <w:rFonts w:ascii="Tahoma" w:hAnsi="Tahoma" w:cs="Tahoma"/>
                <w:sz w:val="13"/>
              </w:rPr>
              <w:t>2</w:t>
            </w:r>
          </w:p>
        </w:tc>
        <w:tc>
          <w:tcPr>
            <w:tcW w:w="456" w:type="dxa"/>
            <w:gridSpan w:val="2"/>
            <w:tcBorders>
              <w:bottom w:val="single" w:sz="4" w:space="0" w:color="auto"/>
            </w:tcBorders>
            <w:shd w:val="clear" w:color="auto" w:fill="auto"/>
            <w:vAlign w:val="center"/>
          </w:tcPr>
          <w:p w14:paraId="054729C4" w14:textId="77777777" w:rsidR="00913A0A" w:rsidRPr="0058047D" w:rsidRDefault="00913A0A" w:rsidP="00E077BC">
            <w:pPr>
              <w:pStyle w:val="TableText"/>
              <w:widowControl w:val="0"/>
              <w:spacing w:beforeLines="20" w:before="48" w:afterLines="20" w:after="48"/>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auto"/>
            <w:vAlign w:val="center"/>
          </w:tcPr>
          <w:p w14:paraId="1619F0DD" w14:textId="77777777" w:rsidR="00913A0A" w:rsidRPr="0058047D" w:rsidRDefault="00913A0A" w:rsidP="00E077BC">
            <w:pPr>
              <w:pStyle w:val="TableText"/>
              <w:widowControl w:val="0"/>
              <w:spacing w:beforeLines="20" w:before="48" w:afterLines="20" w:after="48"/>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auto"/>
            <w:vAlign w:val="center"/>
          </w:tcPr>
          <w:p w14:paraId="7C3A0BA6" w14:textId="77777777" w:rsidR="00913A0A" w:rsidRPr="0058047D" w:rsidRDefault="00913A0A" w:rsidP="00E077BC">
            <w:pPr>
              <w:pStyle w:val="TableText"/>
              <w:widowControl w:val="0"/>
              <w:spacing w:beforeLines="20" w:before="48" w:afterLines="20" w:after="48"/>
              <w:rPr>
                <w:rFonts w:ascii="Tahoma" w:hAnsi="Tahoma" w:cs="Tahoma"/>
                <w:sz w:val="13"/>
              </w:rPr>
            </w:pPr>
            <w:r w:rsidRPr="0058047D">
              <w:rPr>
                <w:rFonts w:ascii="Tahoma" w:hAnsi="Tahoma" w:cs="Tahoma"/>
                <w:sz w:val="13"/>
              </w:rPr>
              <w:t>1</w:t>
            </w:r>
          </w:p>
        </w:tc>
        <w:tc>
          <w:tcPr>
            <w:tcW w:w="336" w:type="dxa"/>
            <w:tcBorders>
              <w:bottom w:val="single" w:sz="4" w:space="0" w:color="auto"/>
              <w:right w:val="single" w:sz="18" w:space="0" w:color="auto"/>
            </w:tcBorders>
            <w:shd w:val="clear" w:color="auto" w:fill="auto"/>
            <w:vAlign w:val="center"/>
          </w:tcPr>
          <w:p w14:paraId="59DDD670" w14:textId="77777777" w:rsidR="00913A0A" w:rsidRPr="0058047D" w:rsidRDefault="00913A0A" w:rsidP="00E077BC">
            <w:pPr>
              <w:pStyle w:val="TableText"/>
              <w:widowControl w:val="0"/>
              <w:spacing w:beforeLines="20" w:before="48" w:afterLines="20" w:after="48"/>
              <w:rPr>
                <w:rFonts w:ascii="Tahoma" w:hAnsi="Tahoma" w:cs="Tahoma"/>
                <w:sz w:val="13"/>
              </w:rPr>
            </w:pPr>
            <w:r w:rsidRPr="0058047D">
              <w:rPr>
                <w:rFonts w:ascii="Tahoma" w:hAnsi="Tahoma" w:cs="Tahoma"/>
                <w:sz w:val="13"/>
              </w:rPr>
              <w:t>1</w:t>
            </w:r>
          </w:p>
        </w:tc>
        <w:tc>
          <w:tcPr>
            <w:tcW w:w="477" w:type="dxa"/>
            <w:tcBorders>
              <w:left w:val="single" w:sz="18" w:space="0" w:color="auto"/>
              <w:bottom w:val="single" w:sz="4" w:space="0" w:color="auto"/>
            </w:tcBorders>
            <w:shd w:val="clear" w:color="auto" w:fill="auto"/>
            <w:vAlign w:val="center"/>
          </w:tcPr>
          <w:p w14:paraId="2E787FB3" w14:textId="77777777" w:rsidR="00913A0A" w:rsidRPr="0058047D" w:rsidRDefault="00913A0A" w:rsidP="00E077BC">
            <w:pPr>
              <w:pStyle w:val="TableText"/>
              <w:widowControl w:val="0"/>
              <w:spacing w:beforeLines="20" w:before="48" w:afterLines="20" w:after="48"/>
              <w:rPr>
                <w:rFonts w:ascii="Tahoma" w:hAnsi="Tahoma" w:cs="Tahoma"/>
                <w:sz w:val="13"/>
              </w:rPr>
            </w:pPr>
            <w:r w:rsidRPr="0058047D">
              <w:rPr>
                <w:rFonts w:ascii="Tahoma" w:hAnsi="Tahoma" w:cs="Tahoma"/>
                <w:sz w:val="13"/>
              </w:rPr>
              <w:t>1</w:t>
            </w:r>
          </w:p>
        </w:tc>
        <w:tc>
          <w:tcPr>
            <w:tcW w:w="450" w:type="dxa"/>
            <w:tcBorders>
              <w:bottom w:val="single" w:sz="4" w:space="0" w:color="auto"/>
            </w:tcBorders>
            <w:shd w:val="clear" w:color="auto" w:fill="auto"/>
            <w:vAlign w:val="center"/>
          </w:tcPr>
          <w:p w14:paraId="5FC7B6EA" w14:textId="77777777" w:rsidR="00913A0A" w:rsidRPr="0058047D" w:rsidRDefault="00913A0A" w:rsidP="00E077BC">
            <w:pPr>
              <w:pStyle w:val="TableText"/>
              <w:widowControl w:val="0"/>
              <w:spacing w:beforeLines="20" w:before="48" w:afterLines="20" w:after="48"/>
              <w:rPr>
                <w:rFonts w:ascii="Tahoma" w:hAnsi="Tahoma" w:cs="Tahoma"/>
                <w:sz w:val="13"/>
              </w:rPr>
            </w:pPr>
            <w:r w:rsidRPr="0058047D">
              <w:rPr>
                <w:rFonts w:ascii="Tahoma" w:hAnsi="Tahoma" w:cs="Tahoma"/>
                <w:sz w:val="13"/>
              </w:rPr>
              <w:t>2</w:t>
            </w:r>
          </w:p>
        </w:tc>
        <w:tc>
          <w:tcPr>
            <w:tcW w:w="414" w:type="dxa"/>
            <w:tcBorders>
              <w:bottom w:val="single" w:sz="4" w:space="0" w:color="auto"/>
              <w:right w:val="single" w:sz="18" w:space="0" w:color="auto"/>
            </w:tcBorders>
            <w:shd w:val="clear" w:color="auto" w:fill="auto"/>
            <w:vAlign w:val="center"/>
          </w:tcPr>
          <w:p w14:paraId="0BC11464" w14:textId="77777777" w:rsidR="00913A0A" w:rsidRPr="0058047D" w:rsidRDefault="00913A0A" w:rsidP="00E077BC">
            <w:pPr>
              <w:pStyle w:val="TableText"/>
              <w:widowControl w:val="0"/>
              <w:spacing w:beforeLines="20" w:before="48" w:afterLines="20" w:after="48"/>
              <w:rPr>
                <w:rFonts w:ascii="Tahoma" w:hAnsi="Tahoma" w:cs="Tahoma"/>
                <w:sz w:val="13"/>
              </w:rPr>
            </w:pPr>
            <w:r w:rsidRPr="0058047D">
              <w:rPr>
                <w:rFonts w:ascii="Tahoma" w:hAnsi="Tahoma" w:cs="Tahoma"/>
                <w:sz w:val="13"/>
              </w:rPr>
              <w:t>1</w:t>
            </w:r>
          </w:p>
        </w:tc>
        <w:tc>
          <w:tcPr>
            <w:tcW w:w="468" w:type="dxa"/>
            <w:tcBorders>
              <w:left w:val="single" w:sz="18" w:space="0" w:color="auto"/>
              <w:bottom w:val="single" w:sz="4" w:space="0" w:color="auto"/>
            </w:tcBorders>
            <w:shd w:val="clear" w:color="auto" w:fill="auto"/>
            <w:vAlign w:val="center"/>
          </w:tcPr>
          <w:p w14:paraId="0937EA97" w14:textId="77777777" w:rsidR="00913A0A" w:rsidRPr="0058047D" w:rsidRDefault="00913A0A" w:rsidP="00E077BC">
            <w:pPr>
              <w:pStyle w:val="TableText"/>
              <w:widowControl w:val="0"/>
              <w:spacing w:beforeLines="20" w:before="48" w:afterLines="20" w:after="48"/>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412F676A" w14:textId="77777777" w:rsidR="00913A0A" w:rsidRPr="0058047D" w:rsidRDefault="00913A0A" w:rsidP="00E077BC">
            <w:pPr>
              <w:pStyle w:val="TableText"/>
              <w:widowControl w:val="0"/>
              <w:spacing w:beforeLines="20" w:before="48" w:afterLines="20" w:after="48"/>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529F2F10" w14:textId="77777777" w:rsidR="00913A0A" w:rsidRPr="0058047D" w:rsidRDefault="00913A0A" w:rsidP="00E077BC">
            <w:pPr>
              <w:pStyle w:val="TableText"/>
              <w:widowControl w:val="0"/>
              <w:spacing w:beforeLines="20" w:before="48" w:afterLines="20" w:after="48"/>
              <w:rPr>
                <w:rFonts w:ascii="Tahoma" w:hAnsi="Tahoma" w:cs="Tahoma"/>
                <w:sz w:val="13"/>
              </w:rPr>
            </w:pPr>
          </w:p>
        </w:tc>
        <w:tc>
          <w:tcPr>
            <w:tcW w:w="655" w:type="dxa"/>
            <w:tcBorders>
              <w:bottom w:val="single" w:sz="4" w:space="0" w:color="auto"/>
            </w:tcBorders>
            <w:shd w:val="clear" w:color="auto" w:fill="auto"/>
          </w:tcPr>
          <w:p w14:paraId="3FDD65AF" w14:textId="77777777" w:rsidR="00913A0A" w:rsidRPr="0058047D" w:rsidRDefault="00913A0A" w:rsidP="00E077BC">
            <w:pPr>
              <w:pStyle w:val="TableText"/>
              <w:widowControl w:val="0"/>
              <w:spacing w:beforeLines="20" w:before="48" w:afterLines="20" w:after="48"/>
              <w:rPr>
                <w:rFonts w:ascii="Tahoma" w:hAnsi="Tahoma" w:cs="Tahoma"/>
                <w:sz w:val="13"/>
              </w:rPr>
            </w:pPr>
            <w:r w:rsidRPr="0058047D">
              <w:rPr>
                <w:rFonts w:ascii="Tahoma" w:hAnsi="Tahoma" w:cs="Tahoma"/>
                <w:sz w:val="13"/>
              </w:rPr>
              <w:t>AO, ST</w:t>
            </w:r>
          </w:p>
        </w:tc>
        <w:tc>
          <w:tcPr>
            <w:tcW w:w="504" w:type="dxa"/>
            <w:tcBorders>
              <w:bottom w:val="single" w:sz="4" w:space="0" w:color="auto"/>
            </w:tcBorders>
            <w:shd w:val="clear" w:color="auto" w:fill="auto"/>
            <w:vAlign w:val="center"/>
          </w:tcPr>
          <w:p w14:paraId="2B92C17E" w14:textId="77777777" w:rsidR="00913A0A" w:rsidRPr="0058047D" w:rsidRDefault="00913A0A" w:rsidP="00E077BC">
            <w:pPr>
              <w:pStyle w:val="TableText"/>
              <w:widowControl w:val="0"/>
              <w:spacing w:beforeLines="20" w:before="48" w:afterLines="20" w:after="48"/>
              <w:rPr>
                <w:rFonts w:ascii="Tahoma" w:hAnsi="Tahoma" w:cs="Tahoma"/>
                <w:sz w:val="13"/>
              </w:rPr>
            </w:pPr>
          </w:p>
        </w:tc>
        <w:tc>
          <w:tcPr>
            <w:tcW w:w="405" w:type="dxa"/>
            <w:tcBorders>
              <w:bottom w:val="single" w:sz="4" w:space="0" w:color="auto"/>
            </w:tcBorders>
          </w:tcPr>
          <w:p w14:paraId="3815CD39" w14:textId="77777777" w:rsidR="00913A0A" w:rsidRPr="0058047D" w:rsidRDefault="002C4BA9" w:rsidP="00E077BC">
            <w:pPr>
              <w:pStyle w:val="TableText"/>
              <w:widowControl w:val="0"/>
              <w:spacing w:beforeLines="20" w:before="48" w:afterLines="20" w:after="48"/>
              <w:rPr>
                <w:rFonts w:ascii="Tahoma" w:hAnsi="Tahoma" w:cs="Tahoma"/>
                <w:sz w:val="13"/>
              </w:rPr>
            </w:pPr>
            <w:r w:rsidRPr="0058047D">
              <w:rPr>
                <w:rFonts w:ascii="Tahoma" w:hAnsi="Tahoma" w:cs="Tahoma"/>
                <w:sz w:val="13"/>
              </w:rPr>
              <w:t>A</w:t>
            </w:r>
          </w:p>
        </w:tc>
      </w:tr>
      <w:tr w:rsidR="009323A0" w:rsidRPr="0058047D" w14:paraId="00E1CCD5" w14:textId="77777777" w:rsidTr="00C86F50">
        <w:trPr>
          <w:trHeight w:val="145"/>
        </w:trPr>
        <w:tc>
          <w:tcPr>
            <w:tcW w:w="2619" w:type="dxa"/>
            <w:gridSpan w:val="2"/>
            <w:tcBorders>
              <w:bottom w:val="single" w:sz="4" w:space="0" w:color="auto"/>
            </w:tcBorders>
            <w:shd w:val="clear" w:color="auto" w:fill="FABF8F"/>
            <w:vAlign w:val="center"/>
          </w:tcPr>
          <w:p w14:paraId="343BA9C3" w14:textId="77777777" w:rsidR="00913A0A" w:rsidRPr="003F471F" w:rsidRDefault="00913A0A" w:rsidP="00E077BC">
            <w:pPr>
              <w:pStyle w:val="ProductNames"/>
              <w:spacing w:beforeLines="20" w:before="48" w:afterLines="20" w:after="48"/>
              <w:rPr>
                <w:rFonts w:ascii="Tahoma" w:hAnsi="Tahoma" w:cs="Tahoma"/>
                <w:sz w:val="14"/>
                <w:lang w:val="it-IT"/>
              </w:rPr>
            </w:pPr>
            <w:bookmarkStart w:id="355" w:name="_Toc336338045"/>
            <w:bookmarkStart w:id="356" w:name="_Toc371663455"/>
            <w:r w:rsidRPr="003F471F">
              <w:rPr>
                <w:rFonts w:ascii="Tahoma" w:hAnsi="Tahoma" w:cs="Tahoma"/>
                <w:sz w:val="14"/>
                <w:lang w:val="it-IT"/>
              </w:rPr>
              <w:t>1 Licenza per Processore per SQL Server</w:t>
            </w:r>
            <w:r w:rsidR="00E53A46" w:rsidRPr="003F471F">
              <w:rPr>
                <w:rFonts w:ascii="Tahoma" w:eastAsia="Times New Roman" w:hAnsi="Tahoma" w:cs="Tahoma"/>
                <w:color w:val="000000"/>
                <w:sz w:val="18"/>
                <w:szCs w:val="18"/>
                <w:vertAlign w:val="superscript"/>
                <w:lang w:val="it-IT"/>
              </w:rPr>
              <w:t>®</w:t>
            </w:r>
            <w:r w:rsidRPr="003F471F">
              <w:rPr>
                <w:rFonts w:ascii="Tahoma" w:hAnsi="Tahoma" w:cs="Tahoma"/>
                <w:sz w:val="14"/>
                <w:lang w:val="it-IT"/>
              </w:rPr>
              <w:t xml:space="preserve"> 2008 R2 Datacenter</w:t>
            </w:r>
            <w:bookmarkEnd w:id="355"/>
            <w:bookmarkEnd w:id="356"/>
          </w:p>
        </w:tc>
        <w:tc>
          <w:tcPr>
            <w:tcW w:w="554" w:type="dxa"/>
            <w:tcBorders>
              <w:bottom w:val="single" w:sz="4" w:space="0" w:color="auto"/>
            </w:tcBorders>
            <w:shd w:val="clear" w:color="auto" w:fill="FABF8F"/>
            <w:vAlign w:val="center"/>
          </w:tcPr>
          <w:p w14:paraId="6FEC7FD8" w14:textId="77777777" w:rsidR="00913A0A" w:rsidRPr="0058047D" w:rsidRDefault="00C86F50" w:rsidP="00907139">
            <w:pPr>
              <w:pStyle w:val="TableText"/>
              <w:widowControl w:val="0"/>
              <w:rPr>
                <w:b/>
                <w:color w:val="0000FF"/>
                <w:sz w:val="13"/>
                <w:szCs w:val="13"/>
                <w:u w:val="single"/>
              </w:rPr>
            </w:pPr>
            <w:hyperlink w:anchor="_75_73_SQL" w:history="1">
              <w:r w:rsidR="00BF5FC6" w:rsidRPr="0058047D">
                <w:rPr>
                  <w:rStyle w:val="Hyperlink"/>
                  <w:b/>
                  <w:sz w:val="13"/>
                  <w:szCs w:val="13"/>
                </w:rPr>
                <w:t>79</w:t>
              </w:r>
            </w:hyperlink>
          </w:p>
        </w:tc>
        <w:tc>
          <w:tcPr>
            <w:tcW w:w="516" w:type="dxa"/>
            <w:tcBorders>
              <w:bottom w:val="single" w:sz="4" w:space="0" w:color="auto"/>
            </w:tcBorders>
            <w:shd w:val="clear" w:color="auto" w:fill="FABF8F"/>
          </w:tcPr>
          <w:p w14:paraId="5EF171C9" w14:textId="77777777" w:rsidR="00913A0A" w:rsidRPr="0058047D" w:rsidRDefault="00913A0A" w:rsidP="001A63C6">
            <w:pPr>
              <w:pStyle w:val="TableText"/>
              <w:widowControl w:val="0"/>
              <w:spacing w:before="80"/>
              <w:rPr>
                <w:rFonts w:ascii="Tahoma" w:hAnsi="Tahoma" w:cs="Tahoma"/>
                <w:sz w:val="13"/>
              </w:rPr>
            </w:pPr>
          </w:p>
        </w:tc>
        <w:tc>
          <w:tcPr>
            <w:tcW w:w="358" w:type="dxa"/>
            <w:tcBorders>
              <w:bottom w:val="single" w:sz="4" w:space="0" w:color="auto"/>
              <w:right w:val="single" w:sz="18" w:space="0" w:color="auto"/>
            </w:tcBorders>
            <w:shd w:val="clear" w:color="auto" w:fill="FABF8F"/>
            <w:vAlign w:val="center"/>
          </w:tcPr>
          <w:p w14:paraId="6FA710A5"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center"/>
          </w:tcPr>
          <w:p w14:paraId="773687F8"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020B2305"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004B15EA"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5B947418"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936B57F"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2DDB195"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3DF2A946"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2154BDEB"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B06B1E5"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5AE369A5"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6158B568"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23344826"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27C0ACD4"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25B2FE62"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5ED5C65F"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4A28235F" w14:textId="77777777" w:rsidR="00913A0A" w:rsidRPr="0058047D" w:rsidRDefault="00913A0A" w:rsidP="001A63C6">
            <w:pPr>
              <w:pStyle w:val="TableText"/>
              <w:widowControl w:val="0"/>
              <w:rPr>
                <w:rFonts w:ascii="Tahoma" w:hAnsi="Tahoma" w:cs="Tahoma"/>
                <w:sz w:val="13"/>
              </w:rPr>
            </w:pPr>
          </w:p>
        </w:tc>
      </w:tr>
      <w:tr w:rsidR="009323A0" w:rsidRPr="0058047D" w14:paraId="35D3C2C1" w14:textId="77777777" w:rsidTr="00C86F50">
        <w:trPr>
          <w:trHeight w:val="145"/>
        </w:trPr>
        <w:tc>
          <w:tcPr>
            <w:tcW w:w="2619" w:type="dxa"/>
            <w:gridSpan w:val="2"/>
            <w:tcBorders>
              <w:bottom w:val="single" w:sz="4" w:space="0" w:color="auto"/>
            </w:tcBorders>
            <w:shd w:val="clear" w:color="auto" w:fill="auto"/>
            <w:vAlign w:val="center"/>
          </w:tcPr>
          <w:p w14:paraId="717BA845" w14:textId="77777777" w:rsidR="00913A0A" w:rsidRPr="0058047D" w:rsidRDefault="00913A0A" w:rsidP="00E077BC">
            <w:pPr>
              <w:pStyle w:val="ProductNames"/>
              <w:spacing w:beforeLines="20" w:before="48" w:afterLines="20" w:after="48"/>
              <w:rPr>
                <w:rFonts w:ascii="Tahoma" w:hAnsi="Tahoma" w:cs="Tahoma"/>
                <w:sz w:val="14"/>
              </w:rPr>
            </w:pPr>
            <w:bookmarkStart w:id="357" w:name="_Toc336338048"/>
            <w:bookmarkStart w:id="358" w:name="_Toc371663456"/>
            <w:r w:rsidRPr="0058047D">
              <w:rPr>
                <w:rFonts w:ascii="Tahoma" w:hAnsi="Tahoma" w:cs="Tahoma"/>
                <w:sz w:val="14"/>
              </w:rPr>
              <w:t>SQL Server</w:t>
            </w:r>
            <w:r w:rsidR="00E53A46" w:rsidRPr="0058047D">
              <w:rPr>
                <w:rFonts w:ascii="Tahoma" w:eastAsia="Times New Roman" w:hAnsi="Tahoma" w:cs="Tahoma"/>
                <w:color w:val="000000"/>
                <w:sz w:val="18"/>
                <w:szCs w:val="18"/>
                <w:vertAlign w:val="superscript"/>
              </w:rPr>
              <w:t>®</w:t>
            </w:r>
            <w:r w:rsidRPr="0058047D">
              <w:rPr>
                <w:rFonts w:ascii="Tahoma" w:hAnsi="Tahoma" w:cs="Tahoma"/>
                <w:sz w:val="14"/>
              </w:rPr>
              <w:t xml:space="preserve"> 2008 R2 Small Business</w:t>
            </w:r>
            <w:bookmarkEnd w:id="357"/>
            <w:bookmarkEnd w:id="358"/>
          </w:p>
        </w:tc>
        <w:tc>
          <w:tcPr>
            <w:tcW w:w="554" w:type="dxa"/>
            <w:tcBorders>
              <w:bottom w:val="single" w:sz="4" w:space="0" w:color="auto"/>
            </w:tcBorders>
            <w:shd w:val="clear" w:color="auto" w:fill="auto"/>
            <w:vAlign w:val="center"/>
          </w:tcPr>
          <w:p w14:paraId="2FF3554E" w14:textId="77777777" w:rsidR="00913A0A" w:rsidRPr="0058047D" w:rsidRDefault="00C86F50" w:rsidP="00907139">
            <w:pPr>
              <w:pStyle w:val="TableText"/>
              <w:widowControl w:val="0"/>
              <w:rPr>
                <w:rStyle w:val="EndnoteReference"/>
                <w:rFonts w:cs="Tahoma"/>
                <w:b w:val="0"/>
                <w:color w:val="000000"/>
                <w:sz w:val="13"/>
                <w:szCs w:val="13"/>
                <w:u w:val="single"/>
              </w:rPr>
            </w:pPr>
            <w:hyperlink w:anchor="_76_74_SQL" w:history="1">
              <w:r w:rsidR="00BF5FC6" w:rsidRPr="0058047D">
                <w:rPr>
                  <w:rStyle w:val="Hyperlink"/>
                  <w:b/>
                  <w:sz w:val="13"/>
                  <w:szCs w:val="13"/>
                </w:rPr>
                <w:t>80</w:t>
              </w:r>
            </w:hyperlink>
          </w:p>
        </w:tc>
        <w:tc>
          <w:tcPr>
            <w:tcW w:w="516" w:type="dxa"/>
            <w:tcBorders>
              <w:bottom w:val="single" w:sz="4" w:space="0" w:color="auto"/>
            </w:tcBorders>
            <w:shd w:val="clear" w:color="auto" w:fill="auto"/>
          </w:tcPr>
          <w:p w14:paraId="251C687B"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01/11</w:t>
            </w:r>
          </w:p>
        </w:tc>
        <w:tc>
          <w:tcPr>
            <w:tcW w:w="358" w:type="dxa"/>
            <w:tcBorders>
              <w:bottom w:val="single" w:sz="4" w:space="0" w:color="auto"/>
              <w:right w:val="single" w:sz="18" w:space="0" w:color="auto"/>
            </w:tcBorders>
            <w:shd w:val="clear" w:color="auto" w:fill="auto"/>
            <w:vAlign w:val="center"/>
          </w:tcPr>
          <w:p w14:paraId="4DE0F3AD"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auto"/>
            <w:vAlign w:val="center"/>
          </w:tcPr>
          <w:p w14:paraId="49F10824"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3ED2342E"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2128A028"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2E94D109"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E240A15"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7A389DD"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07ECD302"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2367A089"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9867312"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15F96870"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1C283D92"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4ECEDC4F"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70E6AD78"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tcPr>
          <w:p w14:paraId="5C99CE93"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14:paraId="1396D285"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tcPr>
          <w:p w14:paraId="1C16E820" w14:textId="77777777" w:rsidR="00913A0A" w:rsidRPr="0058047D" w:rsidRDefault="00913A0A" w:rsidP="001A63C6">
            <w:pPr>
              <w:pStyle w:val="TableText"/>
              <w:widowControl w:val="0"/>
              <w:rPr>
                <w:rFonts w:ascii="Tahoma" w:hAnsi="Tahoma" w:cs="Tahoma"/>
                <w:sz w:val="13"/>
              </w:rPr>
            </w:pPr>
          </w:p>
        </w:tc>
      </w:tr>
      <w:tr w:rsidR="009323A0" w:rsidRPr="0058047D" w14:paraId="6C6B3659" w14:textId="77777777" w:rsidTr="00C86F50">
        <w:trPr>
          <w:trHeight w:val="145"/>
        </w:trPr>
        <w:tc>
          <w:tcPr>
            <w:tcW w:w="2619" w:type="dxa"/>
            <w:gridSpan w:val="2"/>
            <w:tcBorders>
              <w:bottom w:val="single" w:sz="4" w:space="0" w:color="auto"/>
            </w:tcBorders>
            <w:shd w:val="clear" w:color="auto" w:fill="FABF8F"/>
            <w:vAlign w:val="center"/>
          </w:tcPr>
          <w:p w14:paraId="17E3499F" w14:textId="77777777" w:rsidR="00913A0A" w:rsidRPr="0058047D" w:rsidRDefault="00913A0A" w:rsidP="00E077BC">
            <w:pPr>
              <w:pStyle w:val="ProductNames"/>
              <w:spacing w:beforeLines="20" w:before="48" w:afterLines="20" w:after="48"/>
              <w:rPr>
                <w:rFonts w:ascii="Tahoma" w:hAnsi="Tahoma" w:cs="Tahoma"/>
                <w:sz w:val="14"/>
              </w:rPr>
            </w:pPr>
            <w:bookmarkStart w:id="359" w:name="_Toc336338049"/>
            <w:bookmarkStart w:id="360" w:name="_Toc371663457"/>
            <w:r w:rsidRPr="0058047D">
              <w:rPr>
                <w:rFonts w:ascii="Tahoma" w:hAnsi="Tahoma" w:cs="Tahoma"/>
                <w:sz w:val="14"/>
              </w:rPr>
              <w:t>Licenza CAL per SQL Server</w:t>
            </w:r>
            <w:r w:rsidR="00E53A46" w:rsidRPr="0058047D">
              <w:rPr>
                <w:rFonts w:ascii="Tahoma" w:eastAsia="Times New Roman" w:hAnsi="Tahoma" w:cs="Tahoma"/>
                <w:color w:val="000000"/>
                <w:sz w:val="18"/>
                <w:szCs w:val="18"/>
                <w:vertAlign w:val="superscript"/>
              </w:rPr>
              <w:t>®</w:t>
            </w:r>
            <w:r w:rsidRPr="0058047D">
              <w:rPr>
                <w:rFonts w:ascii="Tahoma" w:hAnsi="Tahoma" w:cs="Tahoma"/>
                <w:sz w:val="14"/>
              </w:rPr>
              <w:t xml:space="preserve"> 2008 R2 Small Business</w:t>
            </w:r>
            <w:bookmarkEnd w:id="359"/>
            <w:bookmarkEnd w:id="360"/>
          </w:p>
        </w:tc>
        <w:tc>
          <w:tcPr>
            <w:tcW w:w="554" w:type="dxa"/>
            <w:tcBorders>
              <w:bottom w:val="single" w:sz="4" w:space="0" w:color="auto"/>
            </w:tcBorders>
            <w:shd w:val="clear" w:color="auto" w:fill="FABF8F"/>
            <w:vAlign w:val="center"/>
          </w:tcPr>
          <w:p w14:paraId="058C14A2" w14:textId="77777777" w:rsidR="00913A0A" w:rsidRPr="0058047D" w:rsidRDefault="00913A0A" w:rsidP="001A63C6">
            <w:pPr>
              <w:pStyle w:val="TableText"/>
              <w:widowControl w:val="0"/>
              <w:rPr>
                <w:rStyle w:val="EndnoteReference"/>
                <w:rFonts w:cs="Tahoma"/>
                <w:color w:val="000000"/>
                <w:sz w:val="13"/>
                <w:szCs w:val="13"/>
                <w:u w:val="single"/>
              </w:rPr>
            </w:pPr>
          </w:p>
        </w:tc>
        <w:tc>
          <w:tcPr>
            <w:tcW w:w="516" w:type="dxa"/>
            <w:tcBorders>
              <w:bottom w:val="single" w:sz="4" w:space="0" w:color="auto"/>
            </w:tcBorders>
            <w:shd w:val="clear" w:color="auto" w:fill="FABF8F"/>
          </w:tcPr>
          <w:p w14:paraId="6A004358"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01/11</w:t>
            </w:r>
          </w:p>
        </w:tc>
        <w:tc>
          <w:tcPr>
            <w:tcW w:w="358" w:type="dxa"/>
            <w:tcBorders>
              <w:bottom w:val="single" w:sz="4" w:space="0" w:color="auto"/>
              <w:right w:val="single" w:sz="18" w:space="0" w:color="auto"/>
            </w:tcBorders>
            <w:shd w:val="clear" w:color="auto" w:fill="FABF8F"/>
            <w:vAlign w:val="center"/>
          </w:tcPr>
          <w:p w14:paraId="27248586"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center"/>
          </w:tcPr>
          <w:p w14:paraId="3F233780"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451510D3"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54335AFF"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5136DB80"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08FA8CC"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24B7825"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044CFBB6"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1861278C"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236E2B3"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6EA3D9BF"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1EE563BC"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612FD3C6"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02DC40C7"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56ADD0B5"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652C955B"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7A6AC096" w14:textId="77777777" w:rsidR="00913A0A" w:rsidRPr="0058047D" w:rsidRDefault="00913A0A" w:rsidP="001A63C6">
            <w:pPr>
              <w:pStyle w:val="TableText"/>
              <w:widowControl w:val="0"/>
              <w:rPr>
                <w:rFonts w:ascii="Tahoma" w:hAnsi="Tahoma" w:cs="Tahoma"/>
                <w:sz w:val="13"/>
              </w:rPr>
            </w:pPr>
          </w:p>
        </w:tc>
      </w:tr>
      <w:tr w:rsidR="009323A0" w:rsidRPr="0058047D" w14:paraId="7DB9F3BA" w14:textId="77777777" w:rsidTr="00C86F50">
        <w:trPr>
          <w:trHeight w:val="145"/>
        </w:trPr>
        <w:tc>
          <w:tcPr>
            <w:tcW w:w="2619" w:type="dxa"/>
            <w:gridSpan w:val="2"/>
            <w:tcBorders>
              <w:bottom w:val="single" w:sz="4" w:space="0" w:color="auto"/>
            </w:tcBorders>
            <w:shd w:val="clear" w:color="auto" w:fill="auto"/>
            <w:vAlign w:val="center"/>
          </w:tcPr>
          <w:p w14:paraId="6810D7E9" w14:textId="77777777" w:rsidR="00913A0A" w:rsidRPr="003F471F" w:rsidRDefault="00913A0A" w:rsidP="00E077BC">
            <w:pPr>
              <w:pStyle w:val="ProductNames"/>
              <w:spacing w:beforeLines="20" w:before="48" w:afterLines="20" w:after="48"/>
              <w:rPr>
                <w:rFonts w:ascii="Tahoma" w:hAnsi="Tahoma" w:cs="Tahoma"/>
                <w:sz w:val="14"/>
                <w:lang w:val="it-IT"/>
              </w:rPr>
            </w:pPr>
            <w:bookmarkStart w:id="361" w:name="_Toc336338050"/>
            <w:bookmarkStart w:id="362" w:name="_Toc371663458"/>
            <w:r w:rsidRPr="003F471F">
              <w:rPr>
                <w:rFonts w:ascii="Tahoma" w:hAnsi="Tahoma" w:cs="Tahoma"/>
                <w:sz w:val="14"/>
                <w:lang w:val="it-IT"/>
              </w:rPr>
              <w:t>Licenza Per Processore per SQL Server</w:t>
            </w:r>
            <w:r w:rsidR="00E53A46" w:rsidRPr="003F471F">
              <w:rPr>
                <w:rFonts w:ascii="Tahoma" w:eastAsia="Times New Roman" w:hAnsi="Tahoma" w:cs="Tahoma"/>
                <w:color w:val="000000"/>
                <w:sz w:val="18"/>
                <w:szCs w:val="18"/>
                <w:vertAlign w:val="superscript"/>
                <w:lang w:val="it-IT"/>
              </w:rPr>
              <w:t>®</w:t>
            </w:r>
            <w:r w:rsidRPr="003F471F">
              <w:rPr>
                <w:rFonts w:ascii="Tahoma" w:hAnsi="Tahoma" w:cs="Tahoma"/>
                <w:sz w:val="14"/>
                <w:lang w:val="it-IT"/>
              </w:rPr>
              <w:t xml:space="preserve"> 2008 R2 Web</w:t>
            </w:r>
            <w:bookmarkEnd w:id="361"/>
            <w:bookmarkEnd w:id="362"/>
          </w:p>
        </w:tc>
        <w:tc>
          <w:tcPr>
            <w:tcW w:w="554" w:type="dxa"/>
            <w:tcBorders>
              <w:bottom w:val="single" w:sz="4" w:space="0" w:color="auto"/>
            </w:tcBorders>
            <w:shd w:val="clear" w:color="auto" w:fill="auto"/>
            <w:vAlign w:val="center"/>
          </w:tcPr>
          <w:p w14:paraId="6937EEEB" w14:textId="77777777" w:rsidR="00913A0A" w:rsidRPr="0058047D" w:rsidRDefault="00C86F50" w:rsidP="00907139">
            <w:pPr>
              <w:pStyle w:val="TableText"/>
              <w:widowControl w:val="0"/>
              <w:rPr>
                <w:rStyle w:val="EndnoteReference"/>
                <w:rFonts w:cs="Tahoma"/>
                <w:b w:val="0"/>
                <w:color w:val="000000"/>
                <w:sz w:val="13"/>
                <w:szCs w:val="13"/>
                <w:u w:val="single"/>
              </w:rPr>
            </w:pPr>
            <w:hyperlink w:anchor="_77_75_SQL" w:history="1">
              <w:r w:rsidR="00BF5FC6" w:rsidRPr="0058047D">
                <w:rPr>
                  <w:rStyle w:val="Hyperlink"/>
                  <w:b/>
                  <w:sz w:val="13"/>
                  <w:szCs w:val="13"/>
                </w:rPr>
                <w:t>81</w:t>
              </w:r>
            </w:hyperlink>
            <w:hyperlink w:anchor="Srv_84SQL2008R2Webproc" w:history="1"/>
          </w:p>
        </w:tc>
        <w:tc>
          <w:tcPr>
            <w:tcW w:w="516" w:type="dxa"/>
            <w:tcBorders>
              <w:bottom w:val="single" w:sz="4" w:space="0" w:color="auto"/>
            </w:tcBorders>
            <w:shd w:val="clear" w:color="auto" w:fill="auto"/>
          </w:tcPr>
          <w:p w14:paraId="21D58F14" w14:textId="77777777" w:rsidR="00913A0A" w:rsidRPr="0058047D" w:rsidRDefault="00913A0A" w:rsidP="001A63C6">
            <w:pPr>
              <w:pStyle w:val="TableText"/>
              <w:widowControl w:val="0"/>
              <w:spacing w:before="80"/>
              <w:rPr>
                <w:rFonts w:ascii="Tahoma" w:hAnsi="Tahoma" w:cs="Tahoma"/>
                <w:sz w:val="13"/>
              </w:rPr>
            </w:pPr>
          </w:p>
        </w:tc>
        <w:tc>
          <w:tcPr>
            <w:tcW w:w="358" w:type="dxa"/>
            <w:tcBorders>
              <w:bottom w:val="single" w:sz="4" w:space="0" w:color="auto"/>
              <w:right w:val="single" w:sz="18" w:space="0" w:color="auto"/>
            </w:tcBorders>
            <w:shd w:val="clear" w:color="auto" w:fill="auto"/>
            <w:vAlign w:val="center"/>
          </w:tcPr>
          <w:p w14:paraId="18DEC6B6"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auto"/>
            <w:vAlign w:val="center"/>
          </w:tcPr>
          <w:p w14:paraId="357A02CB"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24C9F4F3"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72C6C187"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4DFB3B2C"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A19ECD0"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F9EBBA3"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5791080C"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71EE9829"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9505AFF"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4ABFDD73"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3D9F656F"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2703394E"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41BA20FB"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tcPr>
          <w:p w14:paraId="1C900724"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14:paraId="5C6EAE44"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tcPr>
          <w:p w14:paraId="1D205DC4" w14:textId="77777777" w:rsidR="00913A0A" w:rsidRPr="0058047D" w:rsidRDefault="00913A0A" w:rsidP="001A63C6">
            <w:pPr>
              <w:pStyle w:val="TableText"/>
              <w:widowControl w:val="0"/>
              <w:rPr>
                <w:rFonts w:ascii="Tahoma" w:hAnsi="Tahoma" w:cs="Tahoma"/>
                <w:sz w:val="13"/>
              </w:rPr>
            </w:pPr>
          </w:p>
        </w:tc>
      </w:tr>
      <w:tr w:rsidR="009323A0" w:rsidRPr="003F471F" w14:paraId="4F3BA388" w14:textId="77777777" w:rsidTr="00C86F50">
        <w:trPr>
          <w:trHeight w:val="145"/>
        </w:trPr>
        <w:tc>
          <w:tcPr>
            <w:tcW w:w="2619" w:type="dxa"/>
            <w:gridSpan w:val="2"/>
            <w:tcBorders>
              <w:bottom w:val="single" w:sz="4" w:space="0" w:color="auto"/>
            </w:tcBorders>
            <w:shd w:val="clear" w:color="auto" w:fill="FABF8F"/>
            <w:vAlign w:val="center"/>
          </w:tcPr>
          <w:p w14:paraId="61C82A5E" w14:textId="77777777" w:rsidR="00913A0A" w:rsidRPr="003F471F" w:rsidRDefault="00913A0A" w:rsidP="00E077BC">
            <w:pPr>
              <w:pStyle w:val="ProductNames"/>
              <w:spacing w:beforeLines="20" w:before="48" w:afterLines="20" w:after="48"/>
              <w:rPr>
                <w:rFonts w:ascii="Tahoma" w:hAnsi="Tahoma" w:cs="Tahoma"/>
                <w:sz w:val="14"/>
                <w:lang w:val="it-IT"/>
              </w:rPr>
            </w:pPr>
            <w:bookmarkStart w:id="363" w:name="_Toc336338051"/>
            <w:bookmarkStart w:id="364" w:name="_Toc371663459"/>
            <w:r w:rsidRPr="003F471F">
              <w:rPr>
                <w:rFonts w:ascii="Tahoma" w:hAnsi="Tahoma" w:cs="Tahoma"/>
                <w:sz w:val="14"/>
                <w:lang w:val="it-IT"/>
              </w:rPr>
              <w:t>Licenza CAL per SQL Server</w:t>
            </w:r>
            <w:r w:rsidR="00E53A46" w:rsidRPr="003F471F">
              <w:rPr>
                <w:rFonts w:ascii="Tahoma" w:eastAsia="Times New Roman" w:hAnsi="Tahoma" w:cs="Tahoma"/>
                <w:color w:val="000000"/>
                <w:sz w:val="18"/>
                <w:szCs w:val="18"/>
                <w:vertAlign w:val="superscript"/>
                <w:lang w:val="it-IT"/>
              </w:rPr>
              <w:t>®</w:t>
            </w:r>
            <w:r w:rsidRPr="003F471F">
              <w:rPr>
                <w:rFonts w:ascii="Tahoma" w:hAnsi="Tahoma" w:cs="Tahoma"/>
                <w:sz w:val="14"/>
                <w:lang w:val="it-IT"/>
              </w:rPr>
              <w:t xml:space="preserve"> 2008 R2 Workgroup</w:t>
            </w:r>
            <w:bookmarkEnd w:id="363"/>
            <w:bookmarkEnd w:id="364"/>
          </w:p>
        </w:tc>
        <w:tc>
          <w:tcPr>
            <w:tcW w:w="554" w:type="dxa"/>
            <w:tcBorders>
              <w:bottom w:val="single" w:sz="4" w:space="0" w:color="auto"/>
            </w:tcBorders>
            <w:shd w:val="clear" w:color="auto" w:fill="FABF8F"/>
            <w:vAlign w:val="center"/>
          </w:tcPr>
          <w:p w14:paraId="570E4578" w14:textId="77777777" w:rsidR="00913A0A" w:rsidRPr="003F471F" w:rsidRDefault="00913A0A" w:rsidP="001A63C6">
            <w:pPr>
              <w:pStyle w:val="TableText"/>
              <w:widowControl w:val="0"/>
              <w:rPr>
                <w:rStyle w:val="EndnoteReference"/>
                <w:rFonts w:cs="Tahoma"/>
                <w:color w:val="000000"/>
                <w:sz w:val="13"/>
                <w:szCs w:val="13"/>
                <w:u w:val="single"/>
                <w:lang w:val="it-IT"/>
              </w:rPr>
            </w:pPr>
          </w:p>
        </w:tc>
        <w:tc>
          <w:tcPr>
            <w:tcW w:w="516" w:type="dxa"/>
            <w:tcBorders>
              <w:bottom w:val="single" w:sz="4" w:space="0" w:color="auto"/>
            </w:tcBorders>
            <w:shd w:val="clear" w:color="auto" w:fill="FABF8F"/>
          </w:tcPr>
          <w:p w14:paraId="598BE6F5" w14:textId="77777777" w:rsidR="00913A0A" w:rsidRPr="003F471F" w:rsidRDefault="00913A0A" w:rsidP="001A63C6">
            <w:pPr>
              <w:pStyle w:val="TableText"/>
              <w:widowControl w:val="0"/>
              <w:spacing w:before="80"/>
              <w:rPr>
                <w:rFonts w:ascii="Tahoma" w:hAnsi="Tahoma" w:cs="Tahoma"/>
                <w:sz w:val="13"/>
                <w:lang w:val="it-IT"/>
              </w:rPr>
            </w:pPr>
          </w:p>
        </w:tc>
        <w:tc>
          <w:tcPr>
            <w:tcW w:w="358" w:type="dxa"/>
            <w:tcBorders>
              <w:bottom w:val="single" w:sz="4" w:space="0" w:color="auto"/>
              <w:right w:val="single" w:sz="18" w:space="0" w:color="auto"/>
            </w:tcBorders>
            <w:shd w:val="clear" w:color="auto" w:fill="FABF8F"/>
            <w:vAlign w:val="center"/>
          </w:tcPr>
          <w:p w14:paraId="67282117" w14:textId="77777777" w:rsidR="00913A0A" w:rsidRPr="003F471F" w:rsidRDefault="00913A0A" w:rsidP="001A63C6">
            <w:pPr>
              <w:pStyle w:val="TableText"/>
              <w:widowControl w:val="0"/>
              <w:rPr>
                <w:rFonts w:ascii="Tahoma" w:hAnsi="Tahoma" w:cs="Tahoma"/>
                <w:sz w:val="13"/>
                <w:lang w:val="it-IT"/>
              </w:rPr>
            </w:pPr>
          </w:p>
        </w:tc>
        <w:tc>
          <w:tcPr>
            <w:tcW w:w="330" w:type="dxa"/>
            <w:tcBorders>
              <w:left w:val="single" w:sz="18" w:space="0" w:color="auto"/>
              <w:bottom w:val="single" w:sz="4" w:space="0" w:color="auto"/>
            </w:tcBorders>
            <w:shd w:val="clear" w:color="auto" w:fill="FABF8F"/>
            <w:vAlign w:val="center"/>
          </w:tcPr>
          <w:p w14:paraId="098A5244" w14:textId="77777777" w:rsidR="00913A0A" w:rsidRPr="003F471F" w:rsidRDefault="00913A0A" w:rsidP="001A63C6">
            <w:pPr>
              <w:pStyle w:val="TableText"/>
              <w:widowControl w:val="0"/>
              <w:rPr>
                <w:rFonts w:ascii="Tahoma" w:hAnsi="Tahoma" w:cs="Tahoma"/>
                <w:sz w:val="13"/>
                <w:lang w:val="it-IT"/>
              </w:rPr>
            </w:pPr>
          </w:p>
        </w:tc>
        <w:tc>
          <w:tcPr>
            <w:tcW w:w="324" w:type="dxa"/>
            <w:tcBorders>
              <w:bottom w:val="single" w:sz="4" w:space="0" w:color="auto"/>
            </w:tcBorders>
            <w:shd w:val="clear" w:color="auto" w:fill="FABF8F"/>
            <w:vAlign w:val="center"/>
          </w:tcPr>
          <w:p w14:paraId="1A82A531" w14:textId="77777777" w:rsidR="00913A0A" w:rsidRPr="003F471F" w:rsidRDefault="00913A0A" w:rsidP="001A63C6">
            <w:pPr>
              <w:pStyle w:val="TableText"/>
              <w:widowControl w:val="0"/>
              <w:rPr>
                <w:rFonts w:ascii="Tahoma" w:hAnsi="Tahoma" w:cs="Tahoma"/>
                <w:sz w:val="13"/>
                <w:lang w:val="it-IT"/>
              </w:rPr>
            </w:pPr>
          </w:p>
        </w:tc>
        <w:tc>
          <w:tcPr>
            <w:tcW w:w="366" w:type="dxa"/>
            <w:tcBorders>
              <w:bottom w:val="single" w:sz="4" w:space="0" w:color="auto"/>
            </w:tcBorders>
            <w:shd w:val="clear" w:color="auto" w:fill="FABF8F"/>
            <w:vAlign w:val="center"/>
          </w:tcPr>
          <w:p w14:paraId="2107FBE7" w14:textId="77777777" w:rsidR="00913A0A" w:rsidRPr="003F471F" w:rsidRDefault="00913A0A" w:rsidP="001A63C6">
            <w:pPr>
              <w:pStyle w:val="TableText"/>
              <w:widowControl w:val="0"/>
              <w:rPr>
                <w:rFonts w:ascii="Tahoma" w:hAnsi="Tahoma" w:cs="Tahoma"/>
                <w:sz w:val="13"/>
                <w:lang w:val="it-IT"/>
              </w:rPr>
            </w:pPr>
          </w:p>
        </w:tc>
        <w:tc>
          <w:tcPr>
            <w:tcW w:w="456" w:type="dxa"/>
            <w:gridSpan w:val="2"/>
            <w:tcBorders>
              <w:bottom w:val="single" w:sz="4" w:space="0" w:color="auto"/>
            </w:tcBorders>
            <w:shd w:val="clear" w:color="auto" w:fill="FABF8F"/>
            <w:vAlign w:val="center"/>
          </w:tcPr>
          <w:p w14:paraId="4A57A21C" w14:textId="77777777" w:rsidR="00913A0A" w:rsidRPr="003F471F" w:rsidRDefault="00913A0A"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FABF8F"/>
            <w:vAlign w:val="center"/>
          </w:tcPr>
          <w:p w14:paraId="1EF2FA2B" w14:textId="77777777" w:rsidR="00913A0A" w:rsidRPr="003F471F" w:rsidRDefault="00913A0A"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FABF8F"/>
            <w:vAlign w:val="center"/>
          </w:tcPr>
          <w:p w14:paraId="6A740FF9" w14:textId="77777777" w:rsidR="00913A0A" w:rsidRPr="003F471F" w:rsidRDefault="00913A0A" w:rsidP="001A63C6">
            <w:pPr>
              <w:pStyle w:val="TableText"/>
              <w:widowControl w:val="0"/>
              <w:rPr>
                <w:rFonts w:ascii="Tahoma" w:hAnsi="Tahoma" w:cs="Tahoma"/>
                <w:sz w:val="13"/>
                <w:lang w:val="it-IT"/>
              </w:rPr>
            </w:pPr>
          </w:p>
        </w:tc>
        <w:tc>
          <w:tcPr>
            <w:tcW w:w="336" w:type="dxa"/>
            <w:tcBorders>
              <w:bottom w:val="single" w:sz="4" w:space="0" w:color="auto"/>
              <w:right w:val="single" w:sz="18" w:space="0" w:color="auto"/>
            </w:tcBorders>
            <w:shd w:val="clear" w:color="auto" w:fill="FABF8F"/>
            <w:vAlign w:val="center"/>
          </w:tcPr>
          <w:p w14:paraId="0195A0D2" w14:textId="77777777" w:rsidR="00913A0A" w:rsidRPr="003F471F" w:rsidRDefault="00913A0A" w:rsidP="001A63C6">
            <w:pPr>
              <w:pStyle w:val="TableText"/>
              <w:widowControl w:val="0"/>
              <w:rPr>
                <w:rFonts w:ascii="Tahoma" w:hAnsi="Tahoma" w:cs="Tahoma"/>
                <w:sz w:val="13"/>
                <w:lang w:val="it-IT"/>
              </w:rPr>
            </w:pPr>
          </w:p>
        </w:tc>
        <w:tc>
          <w:tcPr>
            <w:tcW w:w="477" w:type="dxa"/>
            <w:tcBorders>
              <w:left w:val="single" w:sz="18" w:space="0" w:color="auto"/>
              <w:bottom w:val="single" w:sz="4" w:space="0" w:color="auto"/>
            </w:tcBorders>
            <w:shd w:val="clear" w:color="auto" w:fill="FABF8F"/>
            <w:vAlign w:val="center"/>
          </w:tcPr>
          <w:p w14:paraId="64475833" w14:textId="77777777" w:rsidR="00913A0A" w:rsidRPr="003F471F" w:rsidRDefault="00913A0A"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FABF8F"/>
            <w:vAlign w:val="center"/>
          </w:tcPr>
          <w:p w14:paraId="200F9A69" w14:textId="77777777" w:rsidR="00913A0A" w:rsidRPr="003F471F" w:rsidRDefault="00913A0A" w:rsidP="001A63C6">
            <w:pPr>
              <w:pStyle w:val="TableText"/>
              <w:widowControl w:val="0"/>
              <w:rPr>
                <w:rFonts w:ascii="Tahoma" w:hAnsi="Tahoma" w:cs="Tahoma"/>
                <w:sz w:val="13"/>
                <w:lang w:val="it-IT"/>
              </w:rPr>
            </w:pPr>
          </w:p>
        </w:tc>
        <w:tc>
          <w:tcPr>
            <w:tcW w:w="414" w:type="dxa"/>
            <w:tcBorders>
              <w:bottom w:val="single" w:sz="4" w:space="0" w:color="auto"/>
              <w:right w:val="single" w:sz="18" w:space="0" w:color="auto"/>
            </w:tcBorders>
            <w:shd w:val="clear" w:color="auto" w:fill="FABF8F"/>
            <w:vAlign w:val="center"/>
          </w:tcPr>
          <w:p w14:paraId="11A37315" w14:textId="77777777" w:rsidR="00913A0A" w:rsidRPr="003F471F" w:rsidRDefault="00913A0A" w:rsidP="001A63C6">
            <w:pPr>
              <w:pStyle w:val="TableText"/>
              <w:widowControl w:val="0"/>
              <w:rPr>
                <w:rFonts w:ascii="Tahoma" w:hAnsi="Tahoma" w:cs="Tahoma"/>
                <w:sz w:val="13"/>
                <w:lang w:val="it-IT"/>
              </w:rPr>
            </w:pPr>
          </w:p>
        </w:tc>
        <w:tc>
          <w:tcPr>
            <w:tcW w:w="468" w:type="dxa"/>
            <w:tcBorders>
              <w:left w:val="single" w:sz="18" w:space="0" w:color="auto"/>
              <w:bottom w:val="single" w:sz="4" w:space="0" w:color="auto"/>
            </w:tcBorders>
            <w:shd w:val="clear" w:color="auto" w:fill="FABF8F"/>
            <w:vAlign w:val="center"/>
          </w:tcPr>
          <w:p w14:paraId="4682A44D" w14:textId="77777777" w:rsidR="00913A0A" w:rsidRPr="003F471F" w:rsidRDefault="00913A0A" w:rsidP="001A63C6">
            <w:pPr>
              <w:pStyle w:val="TableText"/>
              <w:widowControl w:val="0"/>
              <w:rPr>
                <w:rFonts w:ascii="Tahoma" w:hAnsi="Tahoma" w:cs="Tahoma"/>
                <w:sz w:val="13"/>
                <w:lang w:val="it-IT"/>
              </w:rPr>
            </w:pPr>
          </w:p>
        </w:tc>
        <w:tc>
          <w:tcPr>
            <w:tcW w:w="477" w:type="dxa"/>
            <w:tcBorders>
              <w:bottom w:val="single" w:sz="4" w:space="0" w:color="auto"/>
              <w:right w:val="single" w:sz="18" w:space="0" w:color="auto"/>
            </w:tcBorders>
            <w:shd w:val="clear" w:color="auto" w:fill="FABF8F"/>
            <w:vAlign w:val="center"/>
          </w:tcPr>
          <w:p w14:paraId="1CE5F63E" w14:textId="77777777" w:rsidR="00913A0A" w:rsidRPr="003F471F" w:rsidRDefault="00913A0A" w:rsidP="001A63C6">
            <w:pPr>
              <w:pStyle w:val="TableText"/>
              <w:widowControl w:val="0"/>
              <w:rPr>
                <w:rFonts w:ascii="Tahoma" w:hAnsi="Tahoma" w:cs="Tahoma"/>
                <w:sz w:val="13"/>
                <w:lang w:val="it-IT"/>
              </w:rPr>
            </w:pPr>
          </w:p>
        </w:tc>
        <w:tc>
          <w:tcPr>
            <w:tcW w:w="324" w:type="dxa"/>
            <w:tcBorders>
              <w:left w:val="single" w:sz="18" w:space="0" w:color="auto"/>
              <w:bottom w:val="single" w:sz="4" w:space="0" w:color="auto"/>
              <w:right w:val="single" w:sz="18" w:space="0" w:color="auto"/>
            </w:tcBorders>
            <w:shd w:val="clear" w:color="auto" w:fill="FABF8F"/>
            <w:vAlign w:val="center"/>
          </w:tcPr>
          <w:p w14:paraId="3D245AF3" w14:textId="77777777" w:rsidR="00913A0A" w:rsidRPr="003F471F" w:rsidRDefault="00913A0A" w:rsidP="001A63C6">
            <w:pPr>
              <w:pStyle w:val="TableText"/>
              <w:widowControl w:val="0"/>
              <w:rPr>
                <w:rFonts w:ascii="Tahoma" w:hAnsi="Tahoma" w:cs="Tahoma"/>
                <w:sz w:val="13"/>
                <w:lang w:val="it-IT"/>
              </w:rPr>
            </w:pPr>
          </w:p>
        </w:tc>
        <w:tc>
          <w:tcPr>
            <w:tcW w:w="655" w:type="dxa"/>
            <w:tcBorders>
              <w:bottom w:val="single" w:sz="4" w:space="0" w:color="auto"/>
            </w:tcBorders>
            <w:shd w:val="clear" w:color="auto" w:fill="FABF8F"/>
          </w:tcPr>
          <w:p w14:paraId="36C1FF7C" w14:textId="77777777" w:rsidR="00913A0A" w:rsidRPr="003F471F" w:rsidRDefault="00913A0A" w:rsidP="001A63C6">
            <w:pPr>
              <w:pStyle w:val="TableText"/>
              <w:widowControl w:val="0"/>
              <w:rPr>
                <w:rFonts w:ascii="Tahoma" w:hAnsi="Tahoma" w:cs="Tahoma"/>
                <w:sz w:val="13"/>
                <w:lang w:val="it-IT"/>
              </w:rPr>
            </w:pPr>
          </w:p>
        </w:tc>
        <w:tc>
          <w:tcPr>
            <w:tcW w:w="504" w:type="dxa"/>
            <w:tcBorders>
              <w:bottom w:val="single" w:sz="4" w:space="0" w:color="auto"/>
            </w:tcBorders>
            <w:shd w:val="clear" w:color="auto" w:fill="FABF8F"/>
            <w:vAlign w:val="center"/>
          </w:tcPr>
          <w:p w14:paraId="4B72FE67" w14:textId="77777777" w:rsidR="00913A0A" w:rsidRPr="003F471F" w:rsidRDefault="00913A0A" w:rsidP="001A63C6">
            <w:pPr>
              <w:pStyle w:val="TableText"/>
              <w:widowControl w:val="0"/>
              <w:rPr>
                <w:rFonts w:ascii="Tahoma" w:hAnsi="Tahoma" w:cs="Tahoma"/>
                <w:sz w:val="13"/>
                <w:lang w:val="it-IT"/>
              </w:rPr>
            </w:pPr>
          </w:p>
        </w:tc>
        <w:tc>
          <w:tcPr>
            <w:tcW w:w="405" w:type="dxa"/>
            <w:tcBorders>
              <w:bottom w:val="single" w:sz="4" w:space="0" w:color="auto"/>
            </w:tcBorders>
            <w:shd w:val="clear" w:color="auto" w:fill="FABF8F"/>
          </w:tcPr>
          <w:p w14:paraId="1596A4C4" w14:textId="77777777" w:rsidR="00913A0A" w:rsidRPr="003F471F" w:rsidRDefault="00913A0A" w:rsidP="001A63C6">
            <w:pPr>
              <w:pStyle w:val="TableText"/>
              <w:widowControl w:val="0"/>
              <w:rPr>
                <w:rFonts w:ascii="Tahoma" w:hAnsi="Tahoma" w:cs="Tahoma"/>
                <w:sz w:val="13"/>
                <w:lang w:val="it-IT"/>
              </w:rPr>
            </w:pPr>
          </w:p>
        </w:tc>
      </w:tr>
      <w:tr w:rsidR="009323A0" w:rsidRPr="0058047D" w14:paraId="51E85DEB" w14:textId="77777777" w:rsidTr="00C86F50">
        <w:trPr>
          <w:trHeight w:val="145"/>
        </w:trPr>
        <w:tc>
          <w:tcPr>
            <w:tcW w:w="2619" w:type="dxa"/>
            <w:gridSpan w:val="2"/>
            <w:tcBorders>
              <w:bottom w:val="single" w:sz="4" w:space="0" w:color="auto"/>
            </w:tcBorders>
            <w:shd w:val="clear" w:color="auto" w:fill="auto"/>
            <w:vAlign w:val="center"/>
          </w:tcPr>
          <w:p w14:paraId="3DFD7851" w14:textId="77777777" w:rsidR="00913A0A" w:rsidRPr="0058047D" w:rsidRDefault="00913A0A" w:rsidP="00E077BC">
            <w:pPr>
              <w:pStyle w:val="ProductNames"/>
              <w:spacing w:beforeLines="20" w:before="48" w:afterLines="20" w:after="48"/>
              <w:rPr>
                <w:rFonts w:ascii="Tahoma" w:hAnsi="Tahoma" w:cs="Tahoma"/>
                <w:sz w:val="14"/>
              </w:rPr>
            </w:pPr>
            <w:bookmarkStart w:id="365" w:name="_Toc336338053"/>
            <w:bookmarkStart w:id="366" w:name="_Toc371663460"/>
            <w:r w:rsidRPr="0058047D">
              <w:rPr>
                <w:rFonts w:ascii="Tahoma" w:hAnsi="Tahoma" w:cs="Tahoma"/>
                <w:sz w:val="14"/>
                <w:szCs w:val="18"/>
              </w:rPr>
              <w:t>SQL Server</w:t>
            </w:r>
            <w:r w:rsidR="00E53A46" w:rsidRPr="0058047D">
              <w:rPr>
                <w:rFonts w:ascii="Tahoma" w:eastAsia="Times New Roman" w:hAnsi="Tahoma" w:cs="Tahoma"/>
                <w:color w:val="000000"/>
                <w:sz w:val="14"/>
                <w:szCs w:val="18"/>
                <w:vertAlign w:val="superscript"/>
              </w:rPr>
              <w:t>®</w:t>
            </w:r>
            <w:r w:rsidRPr="0058047D">
              <w:rPr>
                <w:rFonts w:ascii="Tahoma" w:hAnsi="Tahoma" w:cs="Tahoma"/>
                <w:sz w:val="14"/>
                <w:szCs w:val="18"/>
              </w:rPr>
              <w:t xml:space="preserve"> 2008 R2 Workgroup </w:t>
            </w:r>
            <w:r w:rsidR="001B5647">
              <w:rPr>
                <w:rFonts w:ascii="Tahoma" w:hAnsi="Tahoma" w:cs="Tahoma"/>
                <w:sz w:val="14"/>
                <w:szCs w:val="18"/>
              </w:rPr>
              <w:br/>
            </w:r>
            <w:r w:rsidRPr="0058047D">
              <w:rPr>
                <w:rFonts w:ascii="Tahoma" w:hAnsi="Tahoma" w:cs="Tahoma"/>
                <w:sz w:val="14"/>
                <w:szCs w:val="18"/>
              </w:rPr>
              <w:t>(5 Add On Client)</w:t>
            </w:r>
            <w:bookmarkEnd w:id="365"/>
            <w:bookmarkEnd w:id="366"/>
          </w:p>
        </w:tc>
        <w:tc>
          <w:tcPr>
            <w:tcW w:w="554" w:type="dxa"/>
            <w:tcBorders>
              <w:bottom w:val="single" w:sz="4" w:space="0" w:color="auto"/>
            </w:tcBorders>
            <w:shd w:val="clear" w:color="auto" w:fill="auto"/>
            <w:vAlign w:val="center"/>
          </w:tcPr>
          <w:p w14:paraId="3FFD8215" w14:textId="77777777" w:rsidR="00913A0A" w:rsidRPr="0058047D" w:rsidRDefault="00C86F50" w:rsidP="00907139">
            <w:pPr>
              <w:pStyle w:val="TableText"/>
              <w:widowControl w:val="0"/>
              <w:rPr>
                <w:rStyle w:val="EndnoteReference"/>
                <w:b w:val="0"/>
                <w:color w:val="000000"/>
                <w:sz w:val="13"/>
                <w:szCs w:val="13"/>
                <w:u w:val="single"/>
              </w:rPr>
            </w:pPr>
            <w:hyperlink w:anchor="_85_84_SQL" w:history="1">
              <w:r w:rsidR="00BF5FC6" w:rsidRPr="0058047D">
                <w:rPr>
                  <w:rStyle w:val="Hyperlink"/>
                  <w:b/>
                  <w:sz w:val="13"/>
                  <w:szCs w:val="13"/>
                </w:rPr>
                <w:t>82</w:t>
              </w:r>
            </w:hyperlink>
          </w:p>
        </w:tc>
        <w:tc>
          <w:tcPr>
            <w:tcW w:w="516" w:type="dxa"/>
            <w:tcBorders>
              <w:bottom w:val="single" w:sz="4" w:space="0" w:color="auto"/>
            </w:tcBorders>
            <w:shd w:val="clear" w:color="auto" w:fill="auto"/>
          </w:tcPr>
          <w:p w14:paraId="7B74447B" w14:textId="77777777" w:rsidR="00913A0A" w:rsidRPr="0058047D" w:rsidRDefault="00913A0A" w:rsidP="001A63C6">
            <w:pPr>
              <w:pStyle w:val="TableText"/>
              <w:widowControl w:val="0"/>
              <w:spacing w:before="120"/>
              <w:rPr>
                <w:rFonts w:ascii="Tahoma" w:hAnsi="Tahoma" w:cs="Tahoma"/>
                <w:sz w:val="13"/>
              </w:rPr>
            </w:pPr>
          </w:p>
        </w:tc>
        <w:tc>
          <w:tcPr>
            <w:tcW w:w="358" w:type="dxa"/>
            <w:tcBorders>
              <w:bottom w:val="single" w:sz="4" w:space="0" w:color="auto"/>
              <w:right w:val="single" w:sz="18" w:space="0" w:color="auto"/>
            </w:tcBorders>
            <w:shd w:val="clear" w:color="auto" w:fill="auto"/>
            <w:vAlign w:val="center"/>
          </w:tcPr>
          <w:p w14:paraId="36740F41"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auto"/>
            <w:vAlign w:val="center"/>
          </w:tcPr>
          <w:p w14:paraId="1D7A1219"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6F15089E"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14F896CD"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1FBE04A0"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7C432E8"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CE1E4BF"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21112D89"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2B0C9273"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C5B09AA"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6B8E87F6"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5602D3F7"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458A7E47"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6D1B3192"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tcPr>
          <w:p w14:paraId="4749AEB1"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14:paraId="70BF917E"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tcPr>
          <w:p w14:paraId="003D7CC6" w14:textId="77777777" w:rsidR="00913A0A" w:rsidRPr="0058047D" w:rsidRDefault="00913A0A" w:rsidP="001A63C6">
            <w:pPr>
              <w:pStyle w:val="TableText"/>
              <w:widowControl w:val="0"/>
              <w:rPr>
                <w:rFonts w:ascii="Tahoma" w:hAnsi="Tahoma" w:cs="Tahoma"/>
                <w:sz w:val="13"/>
              </w:rPr>
            </w:pPr>
          </w:p>
        </w:tc>
      </w:tr>
      <w:tr w:rsidR="009323A0" w:rsidRPr="0058047D" w14:paraId="11243DCD" w14:textId="77777777" w:rsidTr="00C86F50">
        <w:trPr>
          <w:trHeight w:val="145"/>
        </w:trPr>
        <w:tc>
          <w:tcPr>
            <w:tcW w:w="2619" w:type="dxa"/>
            <w:gridSpan w:val="2"/>
            <w:tcBorders>
              <w:bottom w:val="single" w:sz="4" w:space="0" w:color="auto"/>
            </w:tcBorders>
            <w:shd w:val="clear" w:color="auto" w:fill="FABF8F"/>
            <w:vAlign w:val="center"/>
          </w:tcPr>
          <w:p w14:paraId="5A67DDBB" w14:textId="77777777" w:rsidR="00913A0A" w:rsidRPr="003F471F" w:rsidRDefault="00913A0A" w:rsidP="00E077BC">
            <w:pPr>
              <w:pStyle w:val="ProductNames"/>
              <w:spacing w:beforeLines="20" w:before="48" w:afterLines="20" w:after="48"/>
              <w:rPr>
                <w:rFonts w:ascii="Tahoma" w:hAnsi="Tahoma" w:cs="Tahoma"/>
                <w:sz w:val="14"/>
                <w:szCs w:val="18"/>
                <w:lang w:val="it-IT"/>
              </w:rPr>
            </w:pPr>
            <w:bookmarkStart w:id="367" w:name="_Toc336338052"/>
            <w:bookmarkStart w:id="368" w:name="_Toc371663461"/>
            <w:r w:rsidRPr="003F471F">
              <w:rPr>
                <w:rFonts w:ascii="Tahoma" w:hAnsi="Tahoma" w:cs="Tahoma"/>
                <w:sz w:val="14"/>
                <w:lang w:val="it-IT"/>
              </w:rPr>
              <w:t>1 Licenza per Processore per SQL Server</w:t>
            </w:r>
            <w:r w:rsidR="00E53A46" w:rsidRPr="003F471F">
              <w:rPr>
                <w:rFonts w:ascii="Tahoma" w:eastAsia="Times New Roman" w:hAnsi="Tahoma" w:cs="Tahoma"/>
                <w:color w:val="000000"/>
                <w:sz w:val="18"/>
                <w:szCs w:val="18"/>
                <w:vertAlign w:val="superscript"/>
                <w:lang w:val="it-IT"/>
              </w:rPr>
              <w:t>®</w:t>
            </w:r>
            <w:r w:rsidRPr="003F471F">
              <w:rPr>
                <w:rFonts w:ascii="Tahoma" w:hAnsi="Tahoma" w:cs="Tahoma"/>
                <w:sz w:val="14"/>
                <w:lang w:val="it-IT"/>
              </w:rPr>
              <w:t xml:space="preserve"> 2008 R2 Workgroup</w:t>
            </w:r>
            <w:bookmarkEnd w:id="367"/>
            <w:bookmarkEnd w:id="368"/>
          </w:p>
        </w:tc>
        <w:tc>
          <w:tcPr>
            <w:tcW w:w="554" w:type="dxa"/>
            <w:tcBorders>
              <w:bottom w:val="single" w:sz="4" w:space="0" w:color="auto"/>
            </w:tcBorders>
            <w:shd w:val="clear" w:color="auto" w:fill="FABF8F"/>
            <w:vAlign w:val="center"/>
          </w:tcPr>
          <w:p w14:paraId="5DB24398" w14:textId="77777777" w:rsidR="00913A0A" w:rsidRPr="0058047D" w:rsidRDefault="00C86F50" w:rsidP="00907139">
            <w:pPr>
              <w:pStyle w:val="TableText"/>
              <w:widowControl w:val="0"/>
              <w:rPr>
                <w:rStyle w:val="EndnoteReference"/>
                <w:b w:val="0"/>
                <w:color w:val="000000"/>
                <w:sz w:val="13"/>
                <w:szCs w:val="13"/>
              </w:rPr>
            </w:pPr>
            <w:hyperlink w:anchor="_84_SQL_Server®" w:history="1">
              <w:r w:rsidR="00BF5FC6" w:rsidRPr="0058047D">
                <w:rPr>
                  <w:rStyle w:val="Hyperlink"/>
                  <w:b/>
                  <w:sz w:val="13"/>
                  <w:szCs w:val="13"/>
                </w:rPr>
                <w:t>83</w:t>
              </w:r>
            </w:hyperlink>
          </w:p>
        </w:tc>
        <w:tc>
          <w:tcPr>
            <w:tcW w:w="516" w:type="dxa"/>
            <w:tcBorders>
              <w:bottom w:val="single" w:sz="4" w:space="0" w:color="auto"/>
            </w:tcBorders>
            <w:shd w:val="clear" w:color="auto" w:fill="FABF8F"/>
          </w:tcPr>
          <w:p w14:paraId="1AD8174E" w14:textId="77777777" w:rsidR="00913A0A" w:rsidRPr="0058047D" w:rsidRDefault="00913A0A" w:rsidP="001A63C6">
            <w:pPr>
              <w:pStyle w:val="TableText"/>
              <w:widowControl w:val="0"/>
              <w:spacing w:before="120"/>
              <w:rPr>
                <w:rFonts w:ascii="Tahoma" w:hAnsi="Tahoma" w:cs="Tahoma"/>
                <w:sz w:val="13"/>
              </w:rPr>
            </w:pPr>
          </w:p>
        </w:tc>
        <w:tc>
          <w:tcPr>
            <w:tcW w:w="358" w:type="dxa"/>
            <w:tcBorders>
              <w:bottom w:val="single" w:sz="4" w:space="0" w:color="auto"/>
              <w:right w:val="single" w:sz="18" w:space="0" w:color="auto"/>
            </w:tcBorders>
            <w:shd w:val="clear" w:color="auto" w:fill="FABF8F"/>
            <w:vAlign w:val="center"/>
          </w:tcPr>
          <w:p w14:paraId="6F02D331"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center"/>
          </w:tcPr>
          <w:p w14:paraId="5A6CE00E"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1DDC7099"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2CD86C8F"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05C96EAA"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BA71287"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37E834E"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5780455D"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6EF1EEB4"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25F5B23"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2F382F59"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197D36D0"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73AC75FE"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3A378676"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7F2E3A00"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2B7409BD"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1DA65554" w14:textId="77777777" w:rsidR="00913A0A" w:rsidRPr="0058047D" w:rsidRDefault="00913A0A" w:rsidP="001A63C6">
            <w:pPr>
              <w:pStyle w:val="TableText"/>
              <w:widowControl w:val="0"/>
              <w:rPr>
                <w:rFonts w:ascii="Tahoma" w:hAnsi="Tahoma" w:cs="Tahoma"/>
                <w:sz w:val="13"/>
              </w:rPr>
            </w:pPr>
          </w:p>
        </w:tc>
      </w:tr>
      <w:tr w:rsidR="009323A0" w:rsidRPr="0058047D" w14:paraId="4BE6E09A" w14:textId="77777777" w:rsidTr="00C86F50">
        <w:trPr>
          <w:trHeight w:val="145"/>
        </w:trPr>
        <w:tc>
          <w:tcPr>
            <w:tcW w:w="2619" w:type="dxa"/>
            <w:gridSpan w:val="2"/>
            <w:tcBorders>
              <w:bottom w:val="single" w:sz="4" w:space="0" w:color="auto"/>
            </w:tcBorders>
            <w:shd w:val="clear" w:color="auto" w:fill="auto"/>
            <w:vAlign w:val="center"/>
          </w:tcPr>
          <w:p w14:paraId="3663A37C" w14:textId="77777777" w:rsidR="00913A0A" w:rsidRPr="0058047D" w:rsidRDefault="00913A0A" w:rsidP="00E077BC">
            <w:pPr>
              <w:pStyle w:val="ProductNames"/>
              <w:spacing w:beforeLines="20" w:before="48" w:afterLines="20" w:after="48"/>
              <w:rPr>
                <w:rFonts w:ascii="Tahoma" w:hAnsi="Tahoma" w:cs="Tahoma"/>
                <w:sz w:val="14"/>
              </w:rPr>
            </w:pPr>
            <w:bookmarkStart w:id="369" w:name="_Toc336338054"/>
            <w:bookmarkStart w:id="370" w:name="_Toc371663462"/>
            <w:r w:rsidRPr="0058047D">
              <w:rPr>
                <w:rFonts w:ascii="Tahoma" w:hAnsi="Tahoma" w:cs="Tahoma"/>
                <w:sz w:val="14"/>
              </w:rPr>
              <w:t>SQL Server</w:t>
            </w:r>
            <w:r w:rsidR="00E53A46" w:rsidRPr="0058047D">
              <w:rPr>
                <w:rFonts w:ascii="Tahoma" w:eastAsia="Times New Roman" w:hAnsi="Tahoma" w:cs="Tahoma"/>
                <w:color w:val="000000"/>
                <w:sz w:val="18"/>
                <w:szCs w:val="18"/>
                <w:vertAlign w:val="superscript"/>
              </w:rPr>
              <w:t>®</w:t>
            </w:r>
            <w:r w:rsidRPr="0058047D">
              <w:rPr>
                <w:rFonts w:ascii="Tahoma" w:hAnsi="Tahoma" w:cs="Tahoma"/>
                <w:sz w:val="14"/>
              </w:rPr>
              <w:t xml:space="preserve"> 2012 Business Intelligence</w:t>
            </w:r>
            <w:bookmarkEnd w:id="369"/>
            <w:bookmarkEnd w:id="370"/>
          </w:p>
        </w:tc>
        <w:tc>
          <w:tcPr>
            <w:tcW w:w="554" w:type="dxa"/>
            <w:tcBorders>
              <w:bottom w:val="single" w:sz="4" w:space="0" w:color="auto"/>
            </w:tcBorders>
            <w:shd w:val="clear" w:color="auto" w:fill="auto"/>
            <w:vAlign w:val="center"/>
          </w:tcPr>
          <w:p w14:paraId="2783A6DD" w14:textId="77777777" w:rsidR="00913A0A" w:rsidRPr="0058047D" w:rsidRDefault="00913A0A" w:rsidP="001A63C6">
            <w:pPr>
              <w:pStyle w:val="TableText"/>
              <w:widowControl w:val="0"/>
              <w:rPr>
                <w:rStyle w:val="EndnoteReference"/>
                <w:color w:val="000000"/>
                <w:sz w:val="13"/>
                <w:szCs w:val="13"/>
                <w:u w:val="single"/>
              </w:rPr>
            </w:pPr>
          </w:p>
        </w:tc>
        <w:tc>
          <w:tcPr>
            <w:tcW w:w="516" w:type="dxa"/>
            <w:tcBorders>
              <w:bottom w:val="single" w:sz="4" w:space="0" w:color="auto"/>
            </w:tcBorders>
            <w:shd w:val="clear" w:color="auto" w:fill="auto"/>
          </w:tcPr>
          <w:p w14:paraId="00A52576"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04/12</w:t>
            </w:r>
          </w:p>
        </w:tc>
        <w:tc>
          <w:tcPr>
            <w:tcW w:w="358" w:type="dxa"/>
            <w:tcBorders>
              <w:bottom w:val="single" w:sz="4" w:space="0" w:color="auto"/>
              <w:right w:val="single" w:sz="18" w:space="0" w:color="auto"/>
            </w:tcBorders>
            <w:shd w:val="clear" w:color="auto" w:fill="auto"/>
            <w:vAlign w:val="center"/>
          </w:tcPr>
          <w:p w14:paraId="5A9AC3AE"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auto"/>
            <w:vAlign w:val="bottom"/>
          </w:tcPr>
          <w:p w14:paraId="7E51E3AB"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u w:val="single"/>
              </w:rPr>
              <w:t>75</w:t>
            </w:r>
          </w:p>
        </w:tc>
        <w:tc>
          <w:tcPr>
            <w:tcW w:w="324" w:type="dxa"/>
            <w:tcBorders>
              <w:bottom w:val="single" w:sz="4" w:space="0" w:color="auto"/>
            </w:tcBorders>
            <w:shd w:val="clear" w:color="auto" w:fill="auto"/>
            <w:vAlign w:val="bottom"/>
          </w:tcPr>
          <w:p w14:paraId="26980D49"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188</w:t>
            </w:r>
          </w:p>
        </w:tc>
        <w:tc>
          <w:tcPr>
            <w:tcW w:w="366" w:type="dxa"/>
            <w:tcBorders>
              <w:bottom w:val="single" w:sz="4" w:space="0" w:color="auto"/>
            </w:tcBorders>
            <w:shd w:val="clear" w:color="auto" w:fill="auto"/>
            <w:vAlign w:val="bottom"/>
          </w:tcPr>
          <w:p w14:paraId="32426E3B"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150</w:t>
            </w:r>
          </w:p>
        </w:tc>
        <w:tc>
          <w:tcPr>
            <w:tcW w:w="456" w:type="dxa"/>
            <w:gridSpan w:val="2"/>
            <w:tcBorders>
              <w:bottom w:val="single" w:sz="4" w:space="0" w:color="auto"/>
            </w:tcBorders>
            <w:shd w:val="clear" w:color="auto" w:fill="auto"/>
            <w:vAlign w:val="bottom"/>
          </w:tcPr>
          <w:p w14:paraId="398B9690"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113</w:t>
            </w:r>
          </w:p>
        </w:tc>
        <w:tc>
          <w:tcPr>
            <w:tcW w:w="450" w:type="dxa"/>
            <w:tcBorders>
              <w:bottom w:val="single" w:sz="4" w:space="0" w:color="auto"/>
            </w:tcBorders>
            <w:shd w:val="clear" w:color="auto" w:fill="auto"/>
            <w:vAlign w:val="bottom"/>
          </w:tcPr>
          <w:p w14:paraId="3B1BF6F1"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113</w:t>
            </w:r>
          </w:p>
        </w:tc>
        <w:tc>
          <w:tcPr>
            <w:tcW w:w="450" w:type="dxa"/>
            <w:tcBorders>
              <w:bottom w:val="single" w:sz="4" w:space="0" w:color="auto"/>
            </w:tcBorders>
            <w:shd w:val="clear" w:color="auto" w:fill="auto"/>
            <w:vAlign w:val="bottom"/>
          </w:tcPr>
          <w:p w14:paraId="3ADD5338"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75</w:t>
            </w:r>
          </w:p>
        </w:tc>
        <w:tc>
          <w:tcPr>
            <w:tcW w:w="336" w:type="dxa"/>
            <w:tcBorders>
              <w:bottom w:val="single" w:sz="4" w:space="0" w:color="auto"/>
              <w:right w:val="single" w:sz="18" w:space="0" w:color="auto"/>
            </w:tcBorders>
            <w:shd w:val="clear" w:color="auto" w:fill="auto"/>
            <w:vAlign w:val="bottom"/>
          </w:tcPr>
          <w:p w14:paraId="57CE52C0"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38</w:t>
            </w:r>
          </w:p>
        </w:tc>
        <w:tc>
          <w:tcPr>
            <w:tcW w:w="477" w:type="dxa"/>
            <w:tcBorders>
              <w:left w:val="single" w:sz="18" w:space="0" w:color="auto"/>
              <w:bottom w:val="single" w:sz="4" w:space="0" w:color="auto"/>
            </w:tcBorders>
            <w:shd w:val="clear" w:color="auto" w:fill="auto"/>
            <w:vAlign w:val="bottom"/>
          </w:tcPr>
          <w:p w14:paraId="21496D90"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75</w:t>
            </w:r>
          </w:p>
        </w:tc>
        <w:tc>
          <w:tcPr>
            <w:tcW w:w="450" w:type="dxa"/>
            <w:tcBorders>
              <w:bottom w:val="single" w:sz="4" w:space="0" w:color="auto"/>
            </w:tcBorders>
            <w:shd w:val="clear" w:color="auto" w:fill="auto"/>
            <w:vAlign w:val="bottom"/>
          </w:tcPr>
          <w:p w14:paraId="18FCF0AD"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150</w:t>
            </w:r>
          </w:p>
        </w:tc>
        <w:tc>
          <w:tcPr>
            <w:tcW w:w="414" w:type="dxa"/>
            <w:tcBorders>
              <w:bottom w:val="single" w:sz="4" w:space="0" w:color="auto"/>
              <w:right w:val="single" w:sz="18" w:space="0" w:color="auto"/>
            </w:tcBorders>
            <w:shd w:val="clear" w:color="auto" w:fill="auto"/>
            <w:vAlign w:val="bottom"/>
          </w:tcPr>
          <w:p w14:paraId="3AA9DBA3"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75</w:t>
            </w:r>
          </w:p>
        </w:tc>
        <w:tc>
          <w:tcPr>
            <w:tcW w:w="468" w:type="dxa"/>
            <w:tcBorders>
              <w:left w:val="single" w:sz="18" w:space="0" w:color="auto"/>
              <w:bottom w:val="single" w:sz="4" w:space="0" w:color="auto"/>
            </w:tcBorders>
            <w:shd w:val="clear" w:color="auto" w:fill="auto"/>
            <w:vAlign w:val="bottom"/>
          </w:tcPr>
          <w:p w14:paraId="215BDE4C"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75</w:t>
            </w:r>
          </w:p>
        </w:tc>
        <w:tc>
          <w:tcPr>
            <w:tcW w:w="477" w:type="dxa"/>
            <w:tcBorders>
              <w:bottom w:val="single" w:sz="4" w:space="0" w:color="auto"/>
              <w:right w:val="single" w:sz="18" w:space="0" w:color="auto"/>
            </w:tcBorders>
            <w:shd w:val="clear" w:color="auto" w:fill="auto"/>
            <w:vAlign w:val="center"/>
          </w:tcPr>
          <w:p w14:paraId="5C6BDA88" w14:textId="77777777" w:rsidR="00913A0A" w:rsidRPr="0058047D" w:rsidRDefault="00913A0A" w:rsidP="001A63C6">
            <w:pPr>
              <w:pStyle w:val="TableText"/>
              <w:widowControl w:val="0"/>
              <w:rPr>
                <w:rFonts w:ascii="Tahoma" w:hAnsi="Tahoma" w:cs="Tahoma"/>
                <w:sz w:val="13"/>
                <w:szCs w:val="13"/>
              </w:rPr>
            </w:pPr>
            <w:r w:rsidRPr="0058047D">
              <w:rPr>
                <w:rFonts w:ascii="Tahoma" w:hAnsi="Tahoma" w:cs="Tahoma"/>
                <w:sz w:val="13"/>
                <w:szCs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30AB73D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auto"/>
          </w:tcPr>
          <w:p w14:paraId="3C87D02E"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auto"/>
            <w:vAlign w:val="center"/>
          </w:tcPr>
          <w:p w14:paraId="414A3CB8"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tcPr>
          <w:p w14:paraId="580827AC"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STP</w:t>
            </w:r>
          </w:p>
        </w:tc>
      </w:tr>
      <w:tr w:rsidR="009323A0" w:rsidRPr="0058047D" w14:paraId="218B73B7" w14:textId="77777777" w:rsidTr="00C86F50">
        <w:trPr>
          <w:trHeight w:val="145"/>
        </w:trPr>
        <w:tc>
          <w:tcPr>
            <w:tcW w:w="2619" w:type="dxa"/>
            <w:gridSpan w:val="2"/>
            <w:tcBorders>
              <w:bottom w:val="single" w:sz="4" w:space="0" w:color="auto"/>
            </w:tcBorders>
            <w:shd w:val="clear" w:color="auto" w:fill="FABF8F"/>
            <w:vAlign w:val="center"/>
          </w:tcPr>
          <w:p w14:paraId="73435C18" w14:textId="77777777" w:rsidR="00913A0A" w:rsidRPr="003F471F" w:rsidRDefault="00913A0A" w:rsidP="001B5647">
            <w:pPr>
              <w:pStyle w:val="ProductNames"/>
              <w:spacing w:beforeLines="20" w:before="48" w:afterLines="20" w:after="48"/>
              <w:rPr>
                <w:rFonts w:ascii="Tahoma" w:hAnsi="Tahoma" w:cs="Tahoma"/>
                <w:sz w:val="14"/>
                <w:lang w:val="it-IT"/>
              </w:rPr>
            </w:pPr>
            <w:bookmarkStart w:id="371" w:name="_Toc336338055"/>
            <w:bookmarkStart w:id="372" w:name="_Toc371663463"/>
            <w:r w:rsidRPr="003F471F">
              <w:rPr>
                <w:rFonts w:ascii="Tahoma" w:hAnsi="Tahoma" w:cs="Tahoma"/>
                <w:sz w:val="14"/>
                <w:lang w:val="it-IT"/>
              </w:rPr>
              <w:t>Licenza CAL per SQL Server</w:t>
            </w:r>
            <w:r w:rsidR="00E53A46" w:rsidRPr="003F471F">
              <w:rPr>
                <w:rFonts w:ascii="Tahoma" w:eastAsia="Times New Roman" w:hAnsi="Tahoma" w:cs="Tahoma"/>
                <w:color w:val="000000"/>
                <w:sz w:val="18"/>
                <w:szCs w:val="18"/>
                <w:vertAlign w:val="superscript"/>
                <w:lang w:val="it-IT"/>
              </w:rPr>
              <w:t>®</w:t>
            </w:r>
            <w:r w:rsidRPr="003F471F">
              <w:rPr>
                <w:rFonts w:ascii="Tahoma" w:hAnsi="Tahoma" w:cs="Tahoma"/>
                <w:sz w:val="14"/>
                <w:lang w:val="it-IT"/>
              </w:rPr>
              <w:t xml:space="preserve"> 2012 (SL</w:t>
            </w:r>
            <w:r w:rsidR="001B5647" w:rsidRPr="003F471F">
              <w:rPr>
                <w:rFonts w:ascii="Tahoma" w:hAnsi="Tahoma" w:cs="Tahoma"/>
                <w:sz w:val="14"/>
                <w:lang w:val="it-IT"/>
              </w:rPr>
              <w:t> </w:t>
            </w:r>
            <w:r w:rsidRPr="003F471F">
              <w:rPr>
                <w:rFonts w:ascii="Tahoma" w:hAnsi="Tahoma" w:cs="Tahoma"/>
                <w:sz w:val="14"/>
                <w:lang w:val="it-IT"/>
              </w:rPr>
              <w:t>per Dispositivo e Utente)</w:t>
            </w:r>
            <w:bookmarkEnd w:id="371"/>
            <w:bookmarkEnd w:id="372"/>
          </w:p>
        </w:tc>
        <w:tc>
          <w:tcPr>
            <w:tcW w:w="554" w:type="dxa"/>
            <w:tcBorders>
              <w:bottom w:val="single" w:sz="4" w:space="0" w:color="auto"/>
            </w:tcBorders>
            <w:shd w:val="clear" w:color="auto" w:fill="FABF8F"/>
            <w:vAlign w:val="center"/>
          </w:tcPr>
          <w:p w14:paraId="7A30F0FD" w14:textId="77777777" w:rsidR="00913A0A" w:rsidRPr="003F471F" w:rsidRDefault="00913A0A" w:rsidP="001A63C6">
            <w:pPr>
              <w:pStyle w:val="TableText"/>
              <w:widowControl w:val="0"/>
              <w:rPr>
                <w:rStyle w:val="EndnoteReference"/>
                <w:color w:val="000000"/>
                <w:sz w:val="13"/>
                <w:szCs w:val="13"/>
                <w:u w:val="single"/>
                <w:lang w:val="it-IT"/>
              </w:rPr>
            </w:pPr>
          </w:p>
        </w:tc>
        <w:tc>
          <w:tcPr>
            <w:tcW w:w="516" w:type="dxa"/>
            <w:tcBorders>
              <w:bottom w:val="single" w:sz="4" w:space="0" w:color="auto"/>
            </w:tcBorders>
            <w:shd w:val="clear" w:color="auto" w:fill="FABF8F"/>
          </w:tcPr>
          <w:p w14:paraId="429A05E2"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04/12</w:t>
            </w:r>
          </w:p>
        </w:tc>
        <w:tc>
          <w:tcPr>
            <w:tcW w:w="358" w:type="dxa"/>
            <w:tcBorders>
              <w:bottom w:val="single" w:sz="4" w:space="0" w:color="auto"/>
              <w:right w:val="single" w:sz="18" w:space="0" w:color="auto"/>
            </w:tcBorders>
            <w:shd w:val="clear" w:color="auto" w:fill="FABF8F"/>
            <w:vAlign w:val="center"/>
          </w:tcPr>
          <w:p w14:paraId="29E07F3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center"/>
          </w:tcPr>
          <w:p w14:paraId="247CA80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324" w:type="dxa"/>
            <w:tcBorders>
              <w:bottom w:val="single" w:sz="4" w:space="0" w:color="auto"/>
            </w:tcBorders>
            <w:shd w:val="clear" w:color="auto" w:fill="FABF8F"/>
            <w:vAlign w:val="center"/>
          </w:tcPr>
          <w:p w14:paraId="5D47394F"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3</w:t>
            </w:r>
          </w:p>
        </w:tc>
        <w:tc>
          <w:tcPr>
            <w:tcW w:w="366" w:type="dxa"/>
            <w:tcBorders>
              <w:bottom w:val="single" w:sz="4" w:space="0" w:color="auto"/>
            </w:tcBorders>
            <w:shd w:val="clear" w:color="auto" w:fill="FABF8F"/>
            <w:vAlign w:val="center"/>
          </w:tcPr>
          <w:p w14:paraId="106E75F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56" w:type="dxa"/>
            <w:gridSpan w:val="2"/>
            <w:tcBorders>
              <w:bottom w:val="single" w:sz="4" w:space="0" w:color="auto"/>
            </w:tcBorders>
            <w:shd w:val="clear" w:color="auto" w:fill="FABF8F"/>
            <w:vAlign w:val="center"/>
          </w:tcPr>
          <w:p w14:paraId="78AFB47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FABF8F"/>
            <w:vAlign w:val="center"/>
          </w:tcPr>
          <w:p w14:paraId="07ABBE4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FABF8F"/>
            <w:vAlign w:val="center"/>
          </w:tcPr>
          <w:p w14:paraId="62AFA3B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336" w:type="dxa"/>
            <w:tcBorders>
              <w:bottom w:val="single" w:sz="4" w:space="0" w:color="auto"/>
              <w:right w:val="single" w:sz="18" w:space="0" w:color="auto"/>
            </w:tcBorders>
            <w:shd w:val="clear" w:color="auto" w:fill="FABF8F"/>
            <w:vAlign w:val="center"/>
          </w:tcPr>
          <w:p w14:paraId="0727F82D"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left w:val="single" w:sz="18" w:space="0" w:color="auto"/>
              <w:bottom w:val="single" w:sz="4" w:space="0" w:color="auto"/>
            </w:tcBorders>
            <w:shd w:val="clear" w:color="auto" w:fill="FABF8F"/>
            <w:vAlign w:val="center"/>
          </w:tcPr>
          <w:p w14:paraId="23688A46"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50" w:type="dxa"/>
            <w:tcBorders>
              <w:bottom w:val="single" w:sz="4" w:space="0" w:color="auto"/>
            </w:tcBorders>
            <w:shd w:val="clear" w:color="auto" w:fill="FABF8F"/>
            <w:vAlign w:val="center"/>
          </w:tcPr>
          <w:p w14:paraId="7C8D748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14" w:type="dxa"/>
            <w:tcBorders>
              <w:bottom w:val="single" w:sz="4" w:space="0" w:color="auto"/>
              <w:right w:val="single" w:sz="18" w:space="0" w:color="auto"/>
            </w:tcBorders>
            <w:shd w:val="clear" w:color="auto" w:fill="FABF8F"/>
            <w:vAlign w:val="center"/>
          </w:tcPr>
          <w:p w14:paraId="59BD05E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68" w:type="dxa"/>
            <w:tcBorders>
              <w:left w:val="single" w:sz="18" w:space="0" w:color="auto"/>
              <w:bottom w:val="single" w:sz="4" w:space="0" w:color="auto"/>
            </w:tcBorders>
            <w:shd w:val="clear" w:color="auto" w:fill="FABF8F"/>
            <w:vAlign w:val="center"/>
          </w:tcPr>
          <w:p w14:paraId="4397A60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FABF8F"/>
            <w:vAlign w:val="center"/>
          </w:tcPr>
          <w:p w14:paraId="2BC8A50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A,S,D</w:t>
            </w:r>
          </w:p>
        </w:tc>
        <w:tc>
          <w:tcPr>
            <w:tcW w:w="324" w:type="dxa"/>
            <w:tcBorders>
              <w:left w:val="single" w:sz="18" w:space="0" w:color="auto"/>
              <w:bottom w:val="single" w:sz="4" w:space="0" w:color="auto"/>
              <w:right w:val="single" w:sz="18" w:space="0" w:color="auto"/>
            </w:tcBorders>
            <w:shd w:val="clear" w:color="auto" w:fill="FABF8F"/>
            <w:vAlign w:val="center"/>
          </w:tcPr>
          <w:p w14:paraId="4B707CA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tcPr>
          <w:p w14:paraId="356BBEF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 AO, ST</w:t>
            </w:r>
          </w:p>
        </w:tc>
        <w:tc>
          <w:tcPr>
            <w:tcW w:w="504" w:type="dxa"/>
            <w:tcBorders>
              <w:bottom w:val="single" w:sz="4" w:space="0" w:color="auto"/>
            </w:tcBorders>
            <w:shd w:val="clear" w:color="auto" w:fill="FABF8F"/>
            <w:vAlign w:val="center"/>
          </w:tcPr>
          <w:p w14:paraId="018A7DA0"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39021FD1"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STP</w:t>
            </w:r>
          </w:p>
        </w:tc>
      </w:tr>
      <w:tr w:rsidR="009323A0" w:rsidRPr="0058047D" w14:paraId="66054167" w14:textId="77777777" w:rsidTr="00C86F50">
        <w:trPr>
          <w:trHeight w:val="260"/>
        </w:trPr>
        <w:tc>
          <w:tcPr>
            <w:tcW w:w="2619" w:type="dxa"/>
            <w:gridSpan w:val="2"/>
            <w:tcBorders>
              <w:bottom w:val="single" w:sz="4" w:space="0" w:color="auto"/>
            </w:tcBorders>
            <w:shd w:val="clear" w:color="auto" w:fill="auto"/>
            <w:vAlign w:val="center"/>
          </w:tcPr>
          <w:p w14:paraId="7DE2E9CD" w14:textId="77777777" w:rsidR="00913A0A" w:rsidRPr="0058047D" w:rsidRDefault="00913A0A" w:rsidP="00E077BC">
            <w:pPr>
              <w:pStyle w:val="ProductNames"/>
              <w:spacing w:beforeLines="20" w:before="48" w:afterLines="20" w:after="48"/>
              <w:rPr>
                <w:rFonts w:ascii="Tahoma" w:hAnsi="Tahoma" w:cs="Tahoma"/>
                <w:sz w:val="14"/>
              </w:rPr>
            </w:pPr>
            <w:bookmarkStart w:id="373" w:name="_Toc336338056"/>
            <w:bookmarkStart w:id="374" w:name="_Toc371663464"/>
            <w:r w:rsidRPr="0058047D">
              <w:rPr>
                <w:rFonts w:ascii="Tahoma" w:hAnsi="Tahoma" w:cs="Tahoma"/>
                <w:sz w:val="14"/>
              </w:rPr>
              <w:t>SQL Server</w:t>
            </w:r>
            <w:r w:rsidR="00E53A46" w:rsidRPr="0058047D">
              <w:rPr>
                <w:rFonts w:ascii="Tahoma" w:eastAsia="Times New Roman" w:hAnsi="Tahoma" w:cs="Tahoma"/>
                <w:color w:val="000000"/>
                <w:sz w:val="18"/>
                <w:szCs w:val="18"/>
                <w:vertAlign w:val="superscript"/>
              </w:rPr>
              <w:t>®</w:t>
            </w:r>
            <w:r w:rsidRPr="0058047D">
              <w:rPr>
                <w:rFonts w:ascii="Tahoma" w:hAnsi="Tahoma" w:cs="Tahoma"/>
                <w:sz w:val="14"/>
              </w:rPr>
              <w:t xml:space="preserve"> 2012 Developer</w:t>
            </w:r>
            <w:bookmarkEnd w:id="373"/>
            <w:bookmarkEnd w:id="374"/>
            <w:r w:rsidRPr="0058047D">
              <w:rPr>
                <w:rFonts w:ascii="Tahoma" w:hAnsi="Tahoma" w:cs="Tahoma"/>
                <w:sz w:val="14"/>
              </w:rPr>
              <w:t xml:space="preserve"> </w:t>
            </w:r>
          </w:p>
        </w:tc>
        <w:tc>
          <w:tcPr>
            <w:tcW w:w="554" w:type="dxa"/>
            <w:tcBorders>
              <w:bottom w:val="single" w:sz="4" w:space="0" w:color="auto"/>
            </w:tcBorders>
            <w:shd w:val="clear" w:color="auto" w:fill="auto"/>
            <w:vAlign w:val="center"/>
          </w:tcPr>
          <w:p w14:paraId="053051C4" w14:textId="77777777" w:rsidR="00913A0A" w:rsidRPr="0058047D" w:rsidRDefault="00C86F50" w:rsidP="00907139">
            <w:pPr>
              <w:pStyle w:val="TableText"/>
              <w:widowControl w:val="0"/>
              <w:rPr>
                <w:rStyle w:val="EndnoteReference"/>
                <w:b w:val="0"/>
                <w:color w:val="000000"/>
                <w:sz w:val="13"/>
                <w:szCs w:val="13"/>
              </w:rPr>
            </w:pPr>
            <w:hyperlink w:anchor="_85_SQL_Server®" w:history="1">
              <w:r w:rsidR="00BF5FC6" w:rsidRPr="0058047D">
                <w:rPr>
                  <w:rStyle w:val="Hyperlink"/>
                  <w:b/>
                  <w:sz w:val="13"/>
                  <w:szCs w:val="13"/>
                </w:rPr>
                <w:t>84</w:t>
              </w:r>
            </w:hyperlink>
          </w:p>
        </w:tc>
        <w:tc>
          <w:tcPr>
            <w:tcW w:w="516" w:type="dxa"/>
            <w:tcBorders>
              <w:bottom w:val="single" w:sz="4" w:space="0" w:color="auto"/>
            </w:tcBorders>
            <w:shd w:val="clear" w:color="auto" w:fill="auto"/>
          </w:tcPr>
          <w:p w14:paraId="29BD7C16"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04/12</w:t>
            </w:r>
          </w:p>
        </w:tc>
        <w:tc>
          <w:tcPr>
            <w:tcW w:w="358" w:type="dxa"/>
            <w:tcBorders>
              <w:bottom w:val="single" w:sz="4" w:space="0" w:color="auto"/>
              <w:right w:val="single" w:sz="18" w:space="0" w:color="auto"/>
            </w:tcBorders>
            <w:shd w:val="clear" w:color="auto" w:fill="auto"/>
            <w:vAlign w:val="center"/>
          </w:tcPr>
          <w:p w14:paraId="654E0E1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7E7F67B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324" w:type="dxa"/>
            <w:tcBorders>
              <w:bottom w:val="single" w:sz="4" w:space="0" w:color="auto"/>
            </w:tcBorders>
            <w:shd w:val="clear" w:color="auto" w:fill="auto"/>
            <w:vAlign w:val="center"/>
          </w:tcPr>
          <w:p w14:paraId="78BBA043"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51002C0A"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0EA665A9"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096B8B2"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1385643"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79521AC2"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5DD97D2F"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50" w:type="dxa"/>
            <w:tcBorders>
              <w:bottom w:val="single" w:sz="4" w:space="0" w:color="auto"/>
            </w:tcBorders>
            <w:shd w:val="clear" w:color="auto" w:fill="auto"/>
            <w:vAlign w:val="center"/>
          </w:tcPr>
          <w:p w14:paraId="7BA465E3"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6CE5B24B"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42F5D8C3"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6C8991DF"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74ADFA77"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tcPr>
          <w:p w14:paraId="516E9B25"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14:paraId="1B42B448"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tcPr>
          <w:p w14:paraId="690AFFD3" w14:textId="77777777" w:rsidR="00913A0A" w:rsidRPr="0058047D" w:rsidRDefault="00913A0A" w:rsidP="001A63C6">
            <w:pPr>
              <w:pStyle w:val="TableText"/>
              <w:widowControl w:val="0"/>
              <w:rPr>
                <w:rFonts w:ascii="Tahoma" w:hAnsi="Tahoma" w:cs="Tahoma"/>
                <w:sz w:val="13"/>
              </w:rPr>
            </w:pPr>
          </w:p>
        </w:tc>
      </w:tr>
      <w:tr w:rsidR="009323A0" w:rsidRPr="0058047D" w14:paraId="2DA92918" w14:textId="77777777" w:rsidTr="00C86F50">
        <w:trPr>
          <w:trHeight w:val="145"/>
        </w:trPr>
        <w:tc>
          <w:tcPr>
            <w:tcW w:w="2619" w:type="dxa"/>
            <w:gridSpan w:val="2"/>
            <w:tcBorders>
              <w:bottom w:val="single" w:sz="4" w:space="0" w:color="auto"/>
            </w:tcBorders>
            <w:shd w:val="clear" w:color="auto" w:fill="FABF8F"/>
            <w:vAlign w:val="center"/>
          </w:tcPr>
          <w:p w14:paraId="72AB0101" w14:textId="77777777" w:rsidR="00913A0A" w:rsidRPr="0058047D" w:rsidRDefault="00913A0A" w:rsidP="00E077BC">
            <w:pPr>
              <w:pStyle w:val="ProductNames"/>
              <w:spacing w:beforeLines="20" w:before="48" w:afterLines="20" w:after="48"/>
              <w:rPr>
                <w:rFonts w:ascii="Tahoma" w:hAnsi="Tahoma" w:cs="Tahoma"/>
                <w:sz w:val="14"/>
              </w:rPr>
            </w:pPr>
            <w:bookmarkStart w:id="375" w:name="_Toc336338057"/>
            <w:bookmarkStart w:id="376" w:name="_Toc371663465"/>
            <w:r w:rsidRPr="0058047D">
              <w:rPr>
                <w:rFonts w:ascii="Tahoma" w:hAnsi="Tahoma" w:cs="Tahoma"/>
                <w:sz w:val="14"/>
              </w:rPr>
              <w:t>SQL Server</w:t>
            </w:r>
            <w:r w:rsidR="00E53A46" w:rsidRPr="0058047D">
              <w:rPr>
                <w:rFonts w:ascii="Tahoma" w:eastAsia="Times New Roman" w:hAnsi="Tahoma" w:cs="Tahoma"/>
                <w:color w:val="000000"/>
                <w:sz w:val="18"/>
                <w:szCs w:val="18"/>
                <w:vertAlign w:val="superscript"/>
              </w:rPr>
              <w:t>®</w:t>
            </w:r>
            <w:r w:rsidRPr="0058047D">
              <w:rPr>
                <w:rFonts w:ascii="Tahoma" w:hAnsi="Tahoma" w:cs="Tahoma"/>
                <w:sz w:val="14"/>
              </w:rPr>
              <w:t xml:space="preserve"> 2012 Enterprise</w:t>
            </w:r>
            <w:bookmarkEnd w:id="375"/>
            <w:bookmarkEnd w:id="376"/>
            <w:r w:rsidRPr="0058047D">
              <w:rPr>
                <w:rFonts w:ascii="Tahoma" w:hAnsi="Tahoma" w:cs="Tahoma"/>
                <w:sz w:val="14"/>
              </w:rPr>
              <w:t xml:space="preserve"> </w:t>
            </w:r>
          </w:p>
        </w:tc>
        <w:tc>
          <w:tcPr>
            <w:tcW w:w="554" w:type="dxa"/>
            <w:tcBorders>
              <w:bottom w:val="single" w:sz="4" w:space="0" w:color="auto"/>
            </w:tcBorders>
            <w:shd w:val="clear" w:color="auto" w:fill="FABF8F"/>
            <w:vAlign w:val="center"/>
          </w:tcPr>
          <w:p w14:paraId="2552757B" w14:textId="77777777" w:rsidR="00913A0A" w:rsidRPr="0058047D" w:rsidRDefault="00C86F50" w:rsidP="00907139">
            <w:pPr>
              <w:pStyle w:val="TableText"/>
              <w:widowControl w:val="0"/>
              <w:rPr>
                <w:rStyle w:val="EndnoteReference"/>
                <w:b w:val="0"/>
                <w:color w:val="000000"/>
                <w:sz w:val="13"/>
                <w:szCs w:val="13"/>
              </w:rPr>
            </w:pPr>
            <w:hyperlink w:anchor="_86_SQL_Server®" w:history="1">
              <w:r w:rsidR="00BF5FC6" w:rsidRPr="0058047D">
                <w:rPr>
                  <w:rStyle w:val="Hyperlink"/>
                  <w:b/>
                  <w:sz w:val="13"/>
                  <w:szCs w:val="13"/>
                </w:rPr>
                <w:t>85</w:t>
              </w:r>
            </w:hyperlink>
            <w:hyperlink w:anchor="_81_79_SQL" w:history="1"/>
            <w:hyperlink w:anchor="Srv_88SQLServer2012Enterprise" w:history="1"/>
          </w:p>
        </w:tc>
        <w:tc>
          <w:tcPr>
            <w:tcW w:w="516" w:type="dxa"/>
            <w:tcBorders>
              <w:bottom w:val="single" w:sz="4" w:space="0" w:color="auto"/>
            </w:tcBorders>
            <w:shd w:val="clear" w:color="auto" w:fill="FABF8F"/>
          </w:tcPr>
          <w:p w14:paraId="6771BBBC"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04/12</w:t>
            </w:r>
          </w:p>
        </w:tc>
        <w:tc>
          <w:tcPr>
            <w:tcW w:w="358" w:type="dxa"/>
            <w:tcBorders>
              <w:bottom w:val="single" w:sz="4" w:space="0" w:color="auto"/>
              <w:right w:val="single" w:sz="18" w:space="0" w:color="auto"/>
            </w:tcBorders>
            <w:shd w:val="clear" w:color="auto" w:fill="FABF8F"/>
            <w:vAlign w:val="center"/>
          </w:tcPr>
          <w:p w14:paraId="113C032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center"/>
          </w:tcPr>
          <w:p w14:paraId="4651993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75</w:t>
            </w:r>
          </w:p>
        </w:tc>
        <w:tc>
          <w:tcPr>
            <w:tcW w:w="324" w:type="dxa"/>
            <w:tcBorders>
              <w:bottom w:val="single" w:sz="4" w:space="0" w:color="auto"/>
            </w:tcBorders>
            <w:shd w:val="clear" w:color="auto" w:fill="FABF8F"/>
            <w:vAlign w:val="center"/>
          </w:tcPr>
          <w:p w14:paraId="436F35E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188</w:t>
            </w:r>
          </w:p>
        </w:tc>
        <w:tc>
          <w:tcPr>
            <w:tcW w:w="366" w:type="dxa"/>
            <w:tcBorders>
              <w:bottom w:val="single" w:sz="4" w:space="0" w:color="auto"/>
            </w:tcBorders>
            <w:shd w:val="clear" w:color="auto" w:fill="FABF8F"/>
            <w:vAlign w:val="center"/>
          </w:tcPr>
          <w:p w14:paraId="1C73F33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150</w:t>
            </w:r>
          </w:p>
        </w:tc>
        <w:tc>
          <w:tcPr>
            <w:tcW w:w="456" w:type="dxa"/>
            <w:gridSpan w:val="2"/>
            <w:tcBorders>
              <w:bottom w:val="single" w:sz="4" w:space="0" w:color="auto"/>
            </w:tcBorders>
            <w:shd w:val="clear" w:color="auto" w:fill="FABF8F"/>
            <w:vAlign w:val="center"/>
          </w:tcPr>
          <w:p w14:paraId="2745D74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113</w:t>
            </w:r>
          </w:p>
        </w:tc>
        <w:tc>
          <w:tcPr>
            <w:tcW w:w="450" w:type="dxa"/>
            <w:tcBorders>
              <w:bottom w:val="single" w:sz="4" w:space="0" w:color="auto"/>
            </w:tcBorders>
            <w:shd w:val="clear" w:color="auto" w:fill="FABF8F"/>
            <w:vAlign w:val="center"/>
          </w:tcPr>
          <w:p w14:paraId="3D6079E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113</w:t>
            </w:r>
          </w:p>
        </w:tc>
        <w:tc>
          <w:tcPr>
            <w:tcW w:w="450" w:type="dxa"/>
            <w:tcBorders>
              <w:bottom w:val="single" w:sz="4" w:space="0" w:color="auto"/>
            </w:tcBorders>
            <w:shd w:val="clear" w:color="auto" w:fill="FABF8F"/>
            <w:vAlign w:val="center"/>
          </w:tcPr>
          <w:p w14:paraId="3931C58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75</w:t>
            </w:r>
          </w:p>
        </w:tc>
        <w:tc>
          <w:tcPr>
            <w:tcW w:w="336" w:type="dxa"/>
            <w:tcBorders>
              <w:bottom w:val="single" w:sz="4" w:space="0" w:color="auto"/>
              <w:right w:val="single" w:sz="18" w:space="0" w:color="auto"/>
            </w:tcBorders>
            <w:shd w:val="clear" w:color="auto" w:fill="FABF8F"/>
            <w:vAlign w:val="center"/>
          </w:tcPr>
          <w:p w14:paraId="457466E6"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38</w:t>
            </w:r>
          </w:p>
        </w:tc>
        <w:tc>
          <w:tcPr>
            <w:tcW w:w="477" w:type="dxa"/>
            <w:tcBorders>
              <w:left w:val="single" w:sz="18" w:space="0" w:color="auto"/>
              <w:bottom w:val="single" w:sz="4" w:space="0" w:color="auto"/>
            </w:tcBorders>
            <w:shd w:val="clear" w:color="auto" w:fill="FABF8F"/>
            <w:vAlign w:val="center"/>
          </w:tcPr>
          <w:p w14:paraId="1D9C53A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75</w:t>
            </w:r>
          </w:p>
        </w:tc>
        <w:tc>
          <w:tcPr>
            <w:tcW w:w="450" w:type="dxa"/>
            <w:tcBorders>
              <w:bottom w:val="single" w:sz="4" w:space="0" w:color="auto"/>
            </w:tcBorders>
            <w:shd w:val="clear" w:color="auto" w:fill="FABF8F"/>
            <w:vAlign w:val="center"/>
          </w:tcPr>
          <w:p w14:paraId="11412BA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150</w:t>
            </w:r>
          </w:p>
        </w:tc>
        <w:tc>
          <w:tcPr>
            <w:tcW w:w="414" w:type="dxa"/>
            <w:tcBorders>
              <w:bottom w:val="single" w:sz="4" w:space="0" w:color="auto"/>
              <w:right w:val="single" w:sz="18" w:space="0" w:color="auto"/>
            </w:tcBorders>
            <w:shd w:val="clear" w:color="auto" w:fill="FABF8F"/>
            <w:vAlign w:val="center"/>
          </w:tcPr>
          <w:p w14:paraId="0C351358"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75</w:t>
            </w:r>
          </w:p>
        </w:tc>
        <w:tc>
          <w:tcPr>
            <w:tcW w:w="468" w:type="dxa"/>
            <w:tcBorders>
              <w:left w:val="single" w:sz="18" w:space="0" w:color="auto"/>
              <w:bottom w:val="single" w:sz="4" w:space="0" w:color="auto"/>
            </w:tcBorders>
            <w:shd w:val="clear" w:color="auto" w:fill="FABF8F"/>
            <w:vAlign w:val="center"/>
          </w:tcPr>
          <w:p w14:paraId="6B33D0B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75</w:t>
            </w:r>
          </w:p>
        </w:tc>
        <w:tc>
          <w:tcPr>
            <w:tcW w:w="477" w:type="dxa"/>
            <w:tcBorders>
              <w:bottom w:val="single" w:sz="4" w:space="0" w:color="auto"/>
              <w:right w:val="single" w:sz="18" w:space="0" w:color="auto"/>
            </w:tcBorders>
            <w:shd w:val="clear" w:color="auto" w:fill="FABF8F"/>
            <w:vAlign w:val="center"/>
          </w:tcPr>
          <w:p w14:paraId="3DDBBE3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 xml:space="preserve">A </w:t>
            </w:r>
          </w:p>
        </w:tc>
        <w:tc>
          <w:tcPr>
            <w:tcW w:w="324" w:type="dxa"/>
            <w:tcBorders>
              <w:left w:val="single" w:sz="18" w:space="0" w:color="auto"/>
              <w:bottom w:val="single" w:sz="4" w:space="0" w:color="auto"/>
              <w:right w:val="single" w:sz="18" w:space="0" w:color="auto"/>
            </w:tcBorders>
            <w:shd w:val="clear" w:color="auto" w:fill="FABF8F"/>
            <w:vAlign w:val="center"/>
          </w:tcPr>
          <w:p w14:paraId="321D695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tcPr>
          <w:p w14:paraId="2D5F509A"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FABF8F"/>
            <w:vAlign w:val="center"/>
          </w:tcPr>
          <w:p w14:paraId="3CA3F28C"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789CAD16"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6153C6B5" w14:textId="77777777" w:rsidTr="00C86F50">
        <w:trPr>
          <w:trHeight w:val="145"/>
        </w:trPr>
        <w:tc>
          <w:tcPr>
            <w:tcW w:w="2619" w:type="dxa"/>
            <w:gridSpan w:val="2"/>
            <w:tcBorders>
              <w:bottom w:val="single" w:sz="4" w:space="0" w:color="auto"/>
            </w:tcBorders>
            <w:shd w:val="clear" w:color="auto" w:fill="auto"/>
            <w:vAlign w:val="center"/>
          </w:tcPr>
          <w:p w14:paraId="4D9A3A2F" w14:textId="77777777" w:rsidR="00913A0A" w:rsidRPr="003F471F" w:rsidRDefault="00913A0A" w:rsidP="001B5647">
            <w:pPr>
              <w:pStyle w:val="ProductNames"/>
              <w:spacing w:beforeLines="20" w:before="48" w:afterLines="20" w:after="48"/>
              <w:rPr>
                <w:rFonts w:ascii="Tahoma" w:hAnsi="Tahoma" w:cs="Tahoma"/>
                <w:sz w:val="14"/>
                <w:lang w:val="it-IT"/>
              </w:rPr>
            </w:pPr>
            <w:bookmarkStart w:id="377" w:name="_Toc336338058"/>
            <w:bookmarkStart w:id="378" w:name="_Toc371663466"/>
            <w:r w:rsidRPr="003F471F">
              <w:rPr>
                <w:rFonts w:ascii="Tahoma" w:hAnsi="Tahoma" w:cs="Tahoma"/>
                <w:sz w:val="14"/>
                <w:lang w:val="it-IT"/>
              </w:rPr>
              <w:t>SQL Server</w:t>
            </w:r>
            <w:r w:rsidR="00E53A46" w:rsidRPr="003F471F">
              <w:rPr>
                <w:rFonts w:ascii="Tahoma" w:eastAsia="Times New Roman" w:hAnsi="Tahoma" w:cs="Tahoma"/>
                <w:color w:val="000000"/>
                <w:sz w:val="18"/>
                <w:szCs w:val="18"/>
                <w:vertAlign w:val="superscript"/>
                <w:lang w:val="it-IT"/>
              </w:rPr>
              <w:t>®</w:t>
            </w:r>
            <w:r w:rsidRPr="003F471F">
              <w:rPr>
                <w:rFonts w:ascii="Tahoma" w:hAnsi="Tahoma" w:cs="Tahoma"/>
                <w:sz w:val="14"/>
                <w:lang w:val="it-IT"/>
              </w:rPr>
              <w:t xml:space="preserve"> 2012 Enterprise Core (2</w:t>
            </w:r>
            <w:r w:rsidR="001B5647" w:rsidRPr="003F471F">
              <w:rPr>
                <w:rFonts w:ascii="Tahoma" w:hAnsi="Tahoma" w:cs="Tahoma"/>
                <w:sz w:val="14"/>
                <w:lang w:val="it-IT"/>
              </w:rPr>
              <w:t> </w:t>
            </w:r>
            <w:r w:rsidRPr="003F471F">
              <w:rPr>
                <w:rFonts w:ascii="Tahoma" w:hAnsi="Tahoma" w:cs="Tahoma"/>
                <w:sz w:val="14"/>
                <w:lang w:val="it-IT"/>
              </w:rPr>
              <w:t>Licenze Core per confezione)</w:t>
            </w:r>
            <w:bookmarkEnd w:id="377"/>
            <w:bookmarkEnd w:id="378"/>
          </w:p>
        </w:tc>
        <w:tc>
          <w:tcPr>
            <w:tcW w:w="554" w:type="dxa"/>
            <w:tcBorders>
              <w:bottom w:val="single" w:sz="4" w:space="0" w:color="auto"/>
            </w:tcBorders>
            <w:shd w:val="clear" w:color="auto" w:fill="auto"/>
            <w:vAlign w:val="center"/>
          </w:tcPr>
          <w:p w14:paraId="30B70D51" w14:textId="77777777" w:rsidR="00913A0A" w:rsidRPr="0058047D" w:rsidRDefault="00C86F50" w:rsidP="00907139">
            <w:pPr>
              <w:pStyle w:val="TableText"/>
              <w:widowControl w:val="0"/>
              <w:rPr>
                <w:rStyle w:val="EndnoteReference"/>
                <w:b w:val="0"/>
                <w:color w:val="0000FF"/>
                <w:sz w:val="13"/>
                <w:szCs w:val="13"/>
                <w:u w:val="single"/>
              </w:rPr>
            </w:pPr>
            <w:hyperlink w:anchor="_87_SQL_Server®" w:history="1">
              <w:r w:rsidR="00BF5FC6" w:rsidRPr="0058047D">
                <w:rPr>
                  <w:rStyle w:val="Hyperlink"/>
                  <w:b/>
                  <w:sz w:val="13"/>
                  <w:szCs w:val="13"/>
                </w:rPr>
                <w:t>86</w:t>
              </w:r>
            </w:hyperlink>
            <w:hyperlink w:anchor="Srv_89SQLServer2012EnterpriseCore" w:history="1"/>
          </w:p>
        </w:tc>
        <w:tc>
          <w:tcPr>
            <w:tcW w:w="516" w:type="dxa"/>
            <w:tcBorders>
              <w:bottom w:val="single" w:sz="4" w:space="0" w:color="auto"/>
            </w:tcBorders>
            <w:shd w:val="clear" w:color="auto" w:fill="auto"/>
          </w:tcPr>
          <w:p w14:paraId="7986BA02"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04/12</w:t>
            </w:r>
          </w:p>
        </w:tc>
        <w:tc>
          <w:tcPr>
            <w:tcW w:w="358" w:type="dxa"/>
            <w:tcBorders>
              <w:bottom w:val="single" w:sz="4" w:space="0" w:color="auto"/>
              <w:right w:val="single" w:sz="18" w:space="0" w:color="auto"/>
            </w:tcBorders>
            <w:shd w:val="clear" w:color="auto" w:fill="auto"/>
            <w:vAlign w:val="center"/>
          </w:tcPr>
          <w:p w14:paraId="409AD9E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0FA68ACD"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125</w:t>
            </w:r>
          </w:p>
        </w:tc>
        <w:tc>
          <w:tcPr>
            <w:tcW w:w="324" w:type="dxa"/>
            <w:tcBorders>
              <w:bottom w:val="single" w:sz="4" w:space="0" w:color="auto"/>
            </w:tcBorders>
            <w:shd w:val="clear" w:color="auto" w:fill="auto"/>
            <w:vAlign w:val="center"/>
          </w:tcPr>
          <w:p w14:paraId="0327951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313</w:t>
            </w:r>
          </w:p>
        </w:tc>
        <w:tc>
          <w:tcPr>
            <w:tcW w:w="366" w:type="dxa"/>
            <w:tcBorders>
              <w:bottom w:val="single" w:sz="4" w:space="0" w:color="auto"/>
            </w:tcBorders>
            <w:shd w:val="clear" w:color="auto" w:fill="auto"/>
            <w:vAlign w:val="center"/>
          </w:tcPr>
          <w:p w14:paraId="208E88AA"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250</w:t>
            </w:r>
          </w:p>
        </w:tc>
        <w:tc>
          <w:tcPr>
            <w:tcW w:w="456" w:type="dxa"/>
            <w:gridSpan w:val="2"/>
            <w:tcBorders>
              <w:bottom w:val="single" w:sz="4" w:space="0" w:color="auto"/>
            </w:tcBorders>
            <w:shd w:val="clear" w:color="auto" w:fill="auto"/>
            <w:vAlign w:val="center"/>
          </w:tcPr>
          <w:p w14:paraId="171DB34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188</w:t>
            </w:r>
          </w:p>
        </w:tc>
        <w:tc>
          <w:tcPr>
            <w:tcW w:w="450" w:type="dxa"/>
            <w:tcBorders>
              <w:bottom w:val="single" w:sz="4" w:space="0" w:color="auto"/>
            </w:tcBorders>
            <w:shd w:val="clear" w:color="auto" w:fill="auto"/>
            <w:vAlign w:val="center"/>
          </w:tcPr>
          <w:p w14:paraId="6973B39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188</w:t>
            </w:r>
          </w:p>
        </w:tc>
        <w:tc>
          <w:tcPr>
            <w:tcW w:w="450" w:type="dxa"/>
            <w:tcBorders>
              <w:bottom w:val="single" w:sz="4" w:space="0" w:color="auto"/>
            </w:tcBorders>
            <w:shd w:val="clear" w:color="auto" w:fill="auto"/>
            <w:vAlign w:val="center"/>
          </w:tcPr>
          <w:p w14:paraId="16BE5B70"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125</w:t>
            </w:r>
          </w:p>
        </w:tc>
        <w:tc>
          <w:tcPr>
            <w:tcW w:w="336" w:type="dxa"/>
            <w:tcBorders>
              <w:bottom w:val="single" w:sz="4" w:space="0" w:color="auto"/>
              <w:right w:val="single" w:sz="18" w:space="0" w:color="auto"/>
            </w:tcBorders>
            <w:shd w:val="clear" w:color="auto" w:fill="auto"/>
            <w:vAlign w:val="center"/>
          </w:tcPr>
          <w:p w14:paraId="1FC6A38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63</w:t>
            </w:r>
          </w:p>
        </w:tc>
        <w:tc>
          <w:tcPr>
            <w:tcW w:w="477" w:type="dxa"/>
            <w:tcBorders>
              <w:left w:val="single" w:sz="18" w:space="0" w:color="auto"/>
              <w:bottom w:val="single" w:sz="4" w:space="0" w:color="auto"/>
            </w:tcBorders>
            <w:shd w:val="clear" w:color="auto" w:fill="auto"/>
            <w:vAlign w:val="center"/>
          </w:tcPr>
          <w:p w14:paraId="227BD1E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125</w:t>
            </w:r>
          </w:p>
        </w:tc>
        <w:tc>
          <w:tcPr>
            <w:tcW w:w="450" w:type="dxa"/>
            <w:tcBorders>
              <w:bottom w:val="single" w:sz="4" w:space="0" w:color="auto"/>
            </w:tcBorders>
            <w:shd w:val="clear" w:color="auto" w:fill="auto"/>
            <w:vAlign w:val="center"/>
          </w:tcPr>
          <w:p w14:paraId="0330415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250</w:t>
            </w:r>
          </w:p>
        </w:tc>
        <w:tc>
          <w:tcPr>
            <w:tcW w:w="414" w:type="dxa"/>
            <w:tcBorders>
              <w:bottom w:val="single" w:sz="4" w:space="0" w:color="auto"/>
              <w:right w:val="single" w:sz="18" w:space="0" w:color="auto"/>
            </w:tcBorders>
            <w:shd w:val="clear" w:color="auto" w:fill="auto"/>
            <w:vAlign w:val="center"/>
          </w:tcPr>
          <w:p w14:paraId="6D46955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125</w:t>
            </w:r>
          </w:p>
        </w:tc>
        <w:tc>
          <w:tcPr>
            <w:tcW w:w="468" w:type="dxa"/>
            <w:tcBorders>
              <w:left w:val="single" w:sz="18" w:space="0" w:color="auto"/>
              <w:bottom w:val="single" w:sz="4" w:space="0" w:color="auto"/>
            </w:tcBorders>
            <w:shd w:val="clear" w:color="auto" w:fill="auto"/>
            <w:vAlign w:val="center"/>
          </w:tcPr>
          <w:p w14:paraId="47DB3CEA"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125</w:t>
            </w:r>
          </w:p>
        </w:tc>
        <w:tc>
          <w:tcPr>
            <w:tcW w:w="477" w:type="dxa"/>
            <w:tcBorders>
              <w:bottom w:val="single" w:sz="4" w:space="0" w:color="auto"/>
              <w:right w:val="single" w:sz="18" w:space="0" w:color="auto"/>
            </w:tcBorders>
            <w:shd w:val="clear" w:color="auto" w:fill="auto"/>
            <w:vAlign w:val="center"/>
          </w:tcPr>
          <w:p w14:paraId="40BCAA8F"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20E809B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auto"/>
          </w:tcPr>
          <w:p w14:paraId="00C97C30"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auto"/>
            <w:vAlign w:val="center"/>
          </w:tcPr>
          <w:p w14:paraId="4CADF496"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OL/OV</w:t>
            </w:r>
          </w:p>
        </w:tc>
        <w:tc>
          <w:tcPr>
            <w:tcW w:w="405" w:type="dxa"/>
            <w:tcBorders>
              <w:bottom w:val="single" w:sz="4" w:space="0" w:color="auto"/>
            </w:tcBorders>
          </w:tcPr>
          <w:p w14:paraId="488CEC58"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STP</w:t>
            </w:r>
          </w:p>
        </w:tc>
      </w:tr>
      <w:tr w:rsidR="009323A0" w:rsidRPr="0058047D" w14:paraId="710FDB07" w14:textId="77777777" w:rsidTr="00C86F50">
        <w:trPr>
          <w:trHeight w:val="145"/>
        </w:trPr>
        <w:tc>
          <w:tcPr>
            <w:tcW w:w="2619" w:type="dxa"/>
            <w:gridSpan w:val="2"/>
            <w:tcBorders>
              <w:bottom w:val="single" w:sz="4" w:space="0" w:color="auto"/>
            </w:tcBorders>
            <w:shd w:val="clear" w:color="auto" w:fill="FABF8F"/>
            <w:vAlign w:val="center"/>
          </w:tcPr>
          <w:p w14:paraId="65FAE651" w14:textId="77777777" w:rsidR="00913A0A" w:rsidRPr="0058047D" w:rsidRDefault="00913A0A" w:rsidP="00E077BC">
            <w:pPr>
              <w:pStyle w:val="ProductNames"/>
              <w:spacing w:beforeLines="20" w:before="48" w:afterLines="20" w:after="48"/>
              <w:rPr>
                <w:rFonts w:ascii="Tahoma" w:hAnsi="Tahoma" w:cs="Tahoma"/>
                <w:sz w:val="14"/>
              </w:rPr>
            </w:pPr>
            <w:bookmarkStart w:id="379" w:name="_Toc336338046"/>
            <w:bookmarkStart w:id="380" w:name="_Toc371663467"/>
            <w:r w:rsidRPr="0058047D">
              <w:rPr>
                <w:rFonts w:ascii="Tahoma" w:hAnsi="Tahoma" w:cs="Tahoma"/>
                <w:sz w:val="14"/>
              </w:rPr>
              <w:t>SQL Server</w:t>
            </w:r>
            <w:r w:rsidR="00E53A46" w:rsidRPr="0058047D">
              <w:rPr>
                <w:rFonts w:ascii="Tahoma" w:eastAsia="Times New Roman" w:hAnsi="Tahoma" w:cs="Tahoma"/>
                <w:color w:val="000000"/>
                <w:sz w:val="18"/>
                <w:szCs w:val="18"/>
                <w:vertAlign w:val="superscript"/>
              </w:rPr>
              <w:t>®</w:t>
            </w:r>
            <w:r w:rsidRPr="0058047D">
              <w:rPr>
                <w:rFonts w:ascii="Tahoma" w:hAnsi="Tahoma" w:cs="Tahoma"/>
                <w:sz w:val="14"/>
              </w:rPr>
              <w:t xml:space="preserve"> 2012 Parallel Data Warehouse</w:t>
            </w:r>
            <w:bookmarkEnd w:id="379"/>
            <w:bookmarkEnd w:id="380"/>
          </w:p>
        </w:tc>
        <w:tc>
          <w:tcPr>
            <w:tcW w:w="554" w:type="dxa"/>
            <w:tcBorders>
              <w:bottom w:val="single" w:sz="4" w:space="0" w:color="auto"/>
            </w:tcBorders>
            <w:shd w:val="clear" w:color="auto" w:fill="FABF8F"/>
            <w:vAlign w:val="center"/>
          </w:tcPr>
          <w:p w14:paraId="6562A616" w14:textId="77777777" w:rsidR="00913A0A" w:rsidRPr="0058047D" w:rsidRDefault="00C86F50" w:rsidP="00907139">
            <w:pPr>
              <w:pStyle w:val="TableText"/>
              <w:widowControl w:val="0"/>
              <w:rPr>
                <w:rStyle w:val="EndnoteReference"/>
                <w:rFonts w:cs="Tahoma"/>
                <w:b w:val="0"/>
                <w:color w:val="000000"/>
                <w:sz w:val="13"/>
                <w:szCs w:val="13"/>
                <w:u w:val="single"/>
              </w:rPr>
            </w:pPr>
            <w:hyperlink w:anchor="_88_SQL_Server" w:history="1">
              <w:r w:rsidR="00BF5FC6" w:rsidRPr="0058047D">
                <w:rPr>
                  <w:rStyle w:val="Hyperlink"/>
                  <w:b/>
                  <w:sz w:val="13"/>
                  <w:szCs w:val="13"/>
                </w:rPr>
                <w:t>87</w:t>
              </w:r>
            </w:hyperlink>
            <w:hyperlink w:anchor="_80_SQL_Server" w:history="1"/>
          </w:p>
        </w:tc>
        <w:tc>
          <w:tcPr>
            <w:tcW w:w="516" w:type="dxa"/>
            <w:tcBorders>
              <w:bottom w:val="single" w:sz="4" w:space="0" w:color="auto"/>
            </w:tcBorders>
            <w:shd w:val="clear" w:color="auto" w:fill="FABF8F"/>
          </w:tcPr>
          <w:p w14:paraId="148A9314"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03/13</w:t>
            </w:r>
          </w:p>
        </w:tc>
        <w:tc>
          <w:tcPr>
            <w:tcW w:w="358" w:type="dxa"/>
            <w:tcBorders>
              <w:bottom w:val="single" w:sz="4" w:space="0" w:color="auto"/>
              <w:right w:val="single" w:sz="18" w:space="0" w:color="auto"/>
            </w:tcBorders>
            <w:shd w:val="clear" w:color="auto" w:fill="FABF8F"/>
            <w:vAlign w:val="center"/>
          </w:tcPr>
          <w:p w14:paraId="23392E20"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center"/>
          </w:tcPr>
          <w:p w14:paraId="63AB3C8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200</w:t>
            </w:r>
          </w:p>
        </w:tc>
        <w:tc>
          <w:tcPr>
            <w:tcW w:w="324" w:type="dxa"/>
            <w:tcBorders>
              <w:bottom w:val="single" w:sz="4" w:space="0" w:color="auto"/>
            </w:tcBorders>
            <w:shd w:val="clear" w:color="auto" w:fill="FABF8F"/>
            <w:vAlign w:val="center"/>
          </w:tcPr>
          <w:p w14:paraId="3B3D8B5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500</w:t>
            </w:r>
          </w:p>
        </w:tc>
        <w:tc>
          <w:tcPr>
            <w:tcW w:w="366" w:type="dxa"/>
            <w:tcBorders>
              <w:bottom w:val="single" w:sz="4" w:space="0" w:color="auto"/>
            </w:tcBorders>
            <w:shd w:val="clear" w:color="auto" w:fill="FABF8F"/>
            <w:vAlign w:val="center"/>
          </w:tcPr>
          <w:p w14:paraId="4316637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400</w:t>
            </w:r>
          </w:p>
        </w:tc>
        <w:tc>
          <w:tcPr>
            <w:tcW w:w="456" w:type="dxa"/>
            <w:gridSpan w:val="2"/>
            <w:tcBorders>
              <w:bottom w:val="single" w:sz="4" w:space="0" w:color="auto"/>
            </w:tcBorders>
            <w:shd w:val="clear" w:color="auto" w:fill="FABF8F"/>
            <w:vAlign w:val="center"/>
          </w:tcPr>
          <w:p w14:paraId="4CF2992E"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300</w:t>
            </w:r>
          </w:p>
        </w:tc>
        <w:tc>
          <w:tcPr>
            <w:tcW w:w="450" w:type="dxa"/>
            <w:tcBorders>
              <w:bottom w:val="single" w:sz="4" w:space="0" w:color="auto"/>
            </w:tcBorders>
            <w:shd w:val="clear" w:color="auto" w:fill="FABF8F"/>
            <w:vAlign w:val="center"/>
          </w:tcPr>
          <w:p w14:paraId="11EB6875"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300</w:t>
            </w:r>
          </w:p>
        </w:tc>
        <w:tc>
          <w:tcPr>
            <w:tcW w:w="450" w:type="dxa"/>
            <w:tcBorders>
              <w:bottom w:val="single" w:sz="4" w:space="0" w:color="auto"/>
            </w:tcBorders>
            <w:shd w:val="clear" w:color="auto" w:fill="FABF8F"/>
            <w:vAlign w:val="center"/>
          </w:tcPr>
          <w:p w14:paraId="0F1315D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200</w:t>
            </w:r>
          </w:p>
        </w:tc>
        <w:tc>
          <w:tcPr>
            <w:tcW w:w="336" w:type="dxa"/>
            <w:tcBorders>
              <w:bottom w:val="single" w:sz="4" w:space="0" w:color="auto"/>
              <w:right w:val="single" w:sz="18" w:space="0" w:color="auto"/>
            </w:tcBorders>
            <w:shd w:val="clear" w:color="auto" w:fill="FABF8F"/>
            <w:vAlign w:val="center"/>
          </w:tcPr>
          <w:p w14:paraId="6A38A71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100</w:t>
            </w:r>
          </w:p>
        </w:tc>
        <w:tc>
          <w:tcPr>
            <w:tcW w:w="477" w:type="dxa"/>
            <w:tcBorders>
              <w:left w:val="single" w:sz="18" w:space="0" w:color="auto"/>
              <w:bottom w:val="single" w:sz="4" w:space="0" w:color="auto"/>
            </w:tcBorders>
            <w:shd w:val="clear" w:color="auto" w:fill="FABF8F"/>
            <w:vAlign w:val="center"/>
          </w:tcPr>
          <w:p w14:paraId="1A6E6DEE"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97BF7C3"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43DCC570"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078F2C1D"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1A9C0085"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A,S</w:t>
            </w:r>
          </w:p>
        </w:tc>
        <w:tc>
          <w:tcPr>
            <w:tcW w:w="324" w:type="dxa"/>
            <w:tcBorders>
              <w:left w:val="single" w:sz="18" w:space="0" w:color="auto"/>
              <w:bottom w:val="single" w:sz="4" w:space="0" w:color="auto"/>
              <w:right w:val="single" w:sz="18" w:space="0" w:color="auto"/>
            </w:tcBorders>
            <w:shd w:val="clear" w:color="auto" w:fill="FABF8F"/>
            <w:vAlign w:val="center"/>
          </w:tcPr>
          <w:p w14:paraId="6DCCB9B1"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61FCB129"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36256775"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53FECD1E"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STP</w:t>
            </w:r>
          </w:p>
        </w:tc>
      </w:tr>
      <w:tr w:rsidR="009323A0" w:rsidRPr="0058047D" w14:paraId="6336FAEA" w14:textId="77777777" w:rsidTr="00C86F50">
        <w:trPr>
          <w:trHeight w:val="145"/>
        </w:trPr>
        <w:tc>
          <w:tcPr>
            <w:tcW w:w="2619" w:type="dxa"/>
            <w:gridSpan w:val="2"/>
            <w:tcBorders>
              <w:bottom w:val="single" w:sz="4" w:space="0" w:color="auto"/>
            </w:tcBorders>
            <w:shd w:val="clear" w:color="auto" w:fill="auto"/>
            <w:vAlign w:val="center"/>
          </w:tcPr>
          <w:p w14:paraId="0852814D" w14:textId="77777777" w:rsidR="00913A0A" w:rsidRPr="0058047D" w:rsidRDefault="00913A0A" w:rsidP="00E077BC">
            <w:pPr>
              <w:pStyle w:val="ProductNames"/>
              <w:spacing w:beforeLines="20" w:before="48" w:afterLines="20" w:after="48"/>
              <w:rPr>
                <w:rFonts w:ascii="Tahoma" w:hAnsi="Tahoma" w:cs="Tahoma"/>
                <w:sz w:val="14"/>
              </w:rPr>
            </w:pPr>
            <w:bookmarkStart w:id="381" w:name="_Toc336338047"/>
            <w:bookmarkStart w:id="382" w:name="_Toc371663468"/>
            <w:r w:rsidRPr="0058047D">
              <w:rPr>
                <w:rFonts w:ascii="Tahoma" w:hAnsi="Tahoma" w:cs="Tahoma"/>
                <w:sz w:val="14"/>
              </w:rPr>
              <w:t>SQL Server</w:t>
            </w:r>
            <w:r w:rsidR="00E53A46" w:rsidRPr="0058047D">
              <w:rPr>
                <w:rFonts w:ascii="Tahoma" w:eastAsia="Times New Roman" w:hAnsi="Tahoma" w:cs="Tahoma"/>
                <w:color w:val="000000"/>
                <w:sz w:val="18"/>
                <w:szCs w:val="18"/>
                <w:vertAlign w:val="superscript"/>
              </w:rPr>
              <w:t>®</w:t>
            </w:r>
            <w:r w:rsidRPr="0058047D">
              <w:rPr>
                <w:rFonts w:ascii="Tahoma" w:hAnsi="Tahoma" w:cs="Tahoma"/>
                <w:sz w:val="14"/>
              </w:rPr>
              <w:t xml:space="preserve"> 2012 Parallel Data Warehouse Developer</w:t>
            </w:r>
            <w:bookmarkEnd w:id="381"/>
            <w:bookmarkEnd w:id="382"/>
          </w:p>
        </w:tc>
        <w:tc>
          <w:tcPr>
            <w:tcW w:w="554" w:type="dxa"/>
            <w:tcBorders>
              <w:bottom w:val="single" w:sz="4" w:space="0" w:color="auto"/>
            </w:tcBorders>
            <w:shd w:val="clear" w:color="auto" w:fill="auto"/>
            <w:vAlign w:val="center"/>
          </w:tcPr>
          <w:p w14:paraId="60370DDC" w14:textId="77777777" w:rsidR="00913A0A" w:rsidRPr="0058047D" w:rsidRDefault="00913A0A" w:rsidP="001A63C6">
            <w:pPr>
              <w:pStyle w:val="TableText"/>
              <w:widowControl w:val="0"/>
              <w:rPr>
                <w:rStyle w:val="EndnoteReference"/>
                <w:rFonts w:cs="Tahoma"/>
                <w:color w:val="000000"/>
                <w:sz w:val="13"/>
                <w:szCs w:val="13"/>
                <w:u w:val="single"/>
              </w:rPr>
            </w:pPr>
          </w:p>
        </w:tc>
        <w:tc>
          <w:tcPr>
            <w:tcW w:w="516" w:type="dxa"/>
            <w:tcBorders>
              <w:bottom w:val="single" w:sz="4" w:space="0" w:color="auto"/>
            </w:tcBorders>
            <w:shd w:val="clear" w:color="auto" w:fill="auto"/>
          </w:tcPr>
          <w:p w14:paraId="3B1B952D"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11/10</w:t>
            </w:r>
          </w:p>
        </w:tc>
        <w:tc>
          <w:tcPr>
            <w:tcW w:w="358" w:type="dxa"/>
            <w:tcBorders>
              <w:bottom w:val="single" w:sz="4" w:space="0" w:color="auto"/>
              <w:right w:val="single" w:sz="18" w:space="0" w:color="auto"/>
            </w:tcBorders>
            <w:shd w:val="clear" w:color="auto" w:fill="auto"/>
            <w:vAlign w:val="center"/>
          </w:tcPr>
          <w:p w14:paraId="2C36BA8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4A9EF5C8"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324" w:type="dxa"/>
            <w:tcBorders>
              <w:bottom w:val="single" w:sz="4" w:space="0" w:color="auto"/>
            </w:tcBorders>
            <w:shd w:val="clear" w:color="auto" w:fill="auto"/>
            <w:vAlign w:val="center"/>
          </w:tcPr>
          <w:p w14:paraId="4F47D598"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3</w:t>
            </w:r>
          </w:p>
        </w:tc>
        <w:tc>
          <w:tcPr>
            <w:tcW w:w="366" w:type="dxa"/>
            <w:tcBorders>
              <w:bottom w:val="single" w:sz="4" w:space="0" w:color="auto"/>
            </w:tcBorders>
            <w:shd w:val="clear" w:color="auto" w:fill="auto"/>
            <w:vAlign w:val="center"/>
          </w:tcPr>
          <w:p w14:paraId="11D9FD3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56" w:type="dxa"/>
            <w:gridSpan w:val="2"/>
            <w:tcBorders>
              <w:bottom w:val="single" w:sz="4" w:space="0" w:color="auto"/>
            </w:tcBorders>
            <w:shd w:val="clear" w:color="auto" w:fill="auto"/>
            <w:vAlign w:val="center"/>
          </w:tcPr>
          <w:p w14:paraId="72D2F386"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auto"/>
            <w:vAlign w:val="center"/>
          </w:tcPr>
          <w:p w14:paraId="21D55AC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auto"/>
            <w:vAlign w:val="center"/>
          </w:tcPr>
          <w:p w14:paraId="1107A0B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336" w:type="dxa"/>
            <w:tcBorders>
              <w:bottom w:val="single" w:sz="4" w:space="0" w:color="auto"/>
              <w:right w:val="single" w:sz="18" w:space="0" w:color="auto"/>
            </w:tcBorders>
            <w:shd w:val="clear" w:color="auto" w:fill="auto"/>
            <w:vAlign w:val="center"/>
          </w:tcPr>
          <w:p w14:paraId="6CAD56F5"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left w:val="single" w:sz="18" w:space="0" w:color="auto"/>
              <w:bottom w:val="single" w:sz="4" w:space="0" w:color="auto"/>
            </w:tcBorders>
            <w:shd w:val="clear" w:color="auto" w:fill="auto"/>
            <w:vAlign w:val="center"/>
          </w:tcPr>
          <w:p w14:paraId="50EDE3F9"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14FA1BF"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76FCF181"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60C9C8E3"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382CA360"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23847DD5"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tcPr>
          <w:p w14:paraId="2CDC13B2"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14:paraId="11EC59CD"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auto"/>
          </w:tcPr>
          <w:p w14:paraId="333DC18D" w14:textId="77777777" w:rsidR="00913A0A" w:rsidRPr="0058047D" w:rsidRDefault="00913A0A" w:rsidP="001A63C6">
            <w:pPr>
              <w:pStyle w:val="TableText"/>
              <w:widowControl w:val="0"/>
              <w:rPr>
                <w:rFonts w:ascii="Tahoma" w:hAnsi="Tahoma" w:cs="Tahoma"/>
                <w:sz w:val="13"/>
              </w:rPr>
            </w:pPr>
          </w:p>
        </w:tc>
      </w:tr>
      <w:tr w:rsidR="009323A0" w:rsidRPr="0058047D" w14:paraId="624617E8" w14:textId="77777777" w:rsidTr="00C86F50">
        <w:trPr>
          <w:trHeight w:val="145"/>
        </w:trPr>
        <w:tc>
          <w:tcPr>
            <w:tcW w:w="2619" w:type="dxa"/>
            <w:gridSpan w:val="2"/>
            <w:tcBorders>
              <w:bottom w:val="single" w:sz="4" w:space="0" w:color="auto"/>
            </w:tcBorders>
            <w:shd w:val="clear" w:color="auto" w:fill="auto"/>
            <w:vAlign w:val="center"/>
          </w:tcPr>
          <w:p w14:paraId="4F44C1CB" w14:textId="77777777" w:rsidR="00913A0A" w:rsidRPr="0058047D" w:rsidRDefault="00913A0A" w:rsidP="00E077BC">
            <w:pPr>
              <w:pStyle w:val="ProductNames"/>
              <w:spacing w:beforeLines="20" w:before="48" w:afterLines="20" w:after="48"/>
              <w:rPr>
                <w:rFonts w:ascii="Tahoma" w:hAnsi="Tahoma" w:cs="Tahoma"/>
                <w:sz w:val="14"/>
              </w:rPr>
            </w:pPr>
            <w:bookmarkStart w:id="383" w:name="_Toc336338059"/>
            <w:bookmarkStart w:id="384" w:name="_Toc371663469"/>
            <w:r w:rsidRPr="0058047D">
              <w:rPr>
                <w:rFonts w:ascii="Tahoma" w:hAnsi="Tahoma" w:cs="Tahoma"/>
                <w:sz w:val="14"/>
              </w:rPr>
              <w:t>SQL Server</w:t>
            </w:r>
            <w:r w:rsidR="00E53A46" w:rsidRPr="0058047D">
              <w:rPr>
                <w:rFonts w:ascii="Tahoma" w:eastAsia="Times New Roman" w:hAnsi="Tahoma" w:cs="Tahoma"/>
                <w:color w:val="000000"/>
                <w:sz w:val="18"/>
                <w:szCs w:val="18"/>
                <w:vertAlign w:val="superscript"/>
              </w:rPr>
              <w:t>®</w:t>
            </w:r>
            <w:r w:rsidRPr="0058047D">
              <w:rPr>
                <w:rFonts w:ascii="Tahoma" w:hAnsi="Tahoma" w:cs="Tahoma"/>
                <w:sz w:val="14"/>
              </w:rPr>
              <w:t xml:space="preserve"> 2012 Standard</w:t>
            </w:r>
            <w:bookmarkEnd w:id="383"/>
            <w:bookmarkEnd w:id="384"/>
            <w:r w:rsidRPr="0058047D">
              <w:rPr>
                <w:rFonts w:ascii="Tahoma" w:hAnsi="Tahoma" w:cs="Tahoma"/>
                <w:sz w:val="14"/>
              </w:rPr>
              <w:t xml:space="preserve"> </w:t>
            </w:r>
          </w:p>
        </w:tc>
        <w:tc>
          <w:tcPr>
            <w:tcW w:w="554" w:type="dxa"/>
            <w:tcBorders>
              <w:bottom w:val="single" w:sz="4" w:space="0" w:color="auto"/>
            </w:tcBorders>
            <w:shd w:val="clear" w:color="auto" w:fill="auto"/>
            <w:vAlign w:val="center"/>
          </w:tcPr>
          <w:p w14:paraId="1BCB59F9" w14:textId="77777777" w:rsidR="00913A0A" w:rsidRPr="0058047D" w:rsidRDefault="00C86F50" w:rsidP="00907139">
            <w:pPr>
              <w:pStyle w:val="TableText"/>
              <w:widowControl w:val="0"/>
              <w:rPr>
                <w:rStyle w:val="EndnoteReference"/>
                <w:rFonts w:cs="Tahoma"/>
                <w:b w:val="0"/>
                <w:color w:val="0000FF"/>
                <w:sz w:val="13"/>
                <w:szCs w:val="13"/>
                <w:u w:val="single"/>
              </w:rPr>
            </w:pPr>
            <w:hyperlink w:anchor="_89_SQL_Server®" w:history="1">
              <w:r w:rsidR="00BF5FC6" w:rsidRPr="0058047D">
                <w:rPr>
                  <w:rStyle w:val="Hyperlink"/>
                  <w:b/>
                  <w:sz w:val="13"/>
                  <w:szCs w:val="13"/>
                </w:rPr>
                <w:t>88</w:t>
              </w:r>
            </w:hyperlink>
            <w:hyperlink w:anchor="Srv_90SQLServer2012Standard" w:history="1"/>
          </w:p>
        </w:tc>
        <w:tc>
          <w:tcPr>
            <w:tcW w:w="516" w:type="dxa"/>
            <w:tcBorders>
              <w:bottom w:val="single" w:sz="4" w:space="0" w:color="auto"/>
            </w:tcBorders>
            <w:shd w:val="clear" w:color="auto" w:fill="auto"/>
          </w:tcPr>
          <w:p w14:paraId="63475509"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04/12</w:t>
            </w:r>
          </w:p>
        </w:tc>
        <w:tc>
          <w:tcPr>
            <w:tcW w:w="358" w:type="dxa"/>
            <w:tcBorders>
              <w:bottom w:val="single" w:sz="4" w:space="0" w:color="auto"/>
              <w:right w:val="single" w:sz="18" w:space="0" w:color="auto"/>
            </w:tcBorders>
            <w:shd w:val="clear" w:color="auto" w:fill="auto"/>
            <w:vAlign w:val="center"/>
          </w:tcPr>
          <w:p w14:paraId="4296213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1485513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15</w:t>
            </w:r>
          </w:p>
        </w:tc>
        <w:tc>
          <w:tcPr>
            <w:tcW w:w="324" w:type="dxa"/>
            <w:tcBorders>
              <w:bottom w:val="single" w:sz="4" w:space="0" w:color="auto"/>
            </w:tcBorders>
            <w:shd w:val="clear" w:color="auto" w:fill="auto"/>
            <w:vAlign w:val="center"/>
          </w:tcPr>
          <w:p w14:paraId="598965B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38</w:t>
            </w:r>
          </w:p>
        </w:tc>
        <w:tc>
          <w:tcPr>
            <w:tcW w:w="366" w:type="dxa"/>
            <w:tcBorders>
              <w:bottom w:val="single" w:sz="4" w:space="0" w:color="auto"/>
            </w:tcBorders>
            <w:shd w:val="clear" w:color="auto" w:fill="auto"/>
            <w:vAlign w:val="center"/>
          </w:tcPr>
          <w:p w14:paraId="071053A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30</w:t>
            </w:r>
          </w:p>
        </w:tc>
        <w:tc>
          <w:tcPr>
            <w:tcW w:w="456" w:type="dxa"/>
            <w:gridSpan w:val="2"/>
            <w:tcBorders>
              <w:bottom w:val="single" w:sz="4" w:space="0" w:color="auto"/>
            </w:tcBorders>
            <w:shd w:val="clear" w:color="auto" w:fill="auto"/>
            <w:vAlign w:val="center"/>
          </w:tcPr>
          <w:p w14:paraId="1865372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23</w:t>
            </w:r>
          </w:p>
        </w:tc>
        <w:tc>
          <w:tcPr>
            <w:tcW w:w="450" w:type="dxa"/>
            <w:tcBorders>
              <w:bottom w:val="single" w:sz="4" w:space="0" w:color="auto"/>
            </w:tcBorders>
            <w:shd w:val="clear" w:color="auto" w:fill="auto"/>
            <w:vAlign w:val="center"/>
          </w:tcPr>
          <w:p w14:paraId="7E00DF8D"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23</w:t>
            </w:r>
          </w:p>
        </w:tc>
        <w:tc>
          <w:tcPr>
            <w:tcW w:w="450" w:type="dxa"/>
            <w:tcBorders>
              <w:bottom w:val="single" w:sz="4" w:space="0" w:color="auto"/>
            </w:tcBorders>
            <w:shd w:val="clear" w:color="auto" w:fill="auto"/>
            <w:vAlign w:val="center"/>
          </w:tcPr>
          <w:p w14:paraId="028D1A0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15</w:t>
            </w:r>
          </w:p>
        </w:tc>
        <w:tc>
          <w:tcPr>
            <w:tcW w:w="336" w:type="dxa"/>
            <w:tcBorders>
              <w:bottom w:val="single" w:sz="4" w:space="0" w:color="auto"/>
              <w:right w:val="single" w:sz="18" w:space="0" w:color="auto"/>
            </w:tcBorders>
            <w:shd w:val="clear" w:color="auto" w:fill="auto"/>
            <w:vAlign w:val="center"/>
          </w:tcPr>
          <w:p w14:paraId="7A2BAD3E"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8</w:t>
            </w:r>
          </w:p>
        </w:tc>
        <w:tc>
          <w:tcPr>
            <w:tcW w:w="477" w:type="dxa"/>
            <w:tcBorders>
              <w:left w:val="single" w:sz="18" w:space="0" w:color="auto"/>
              <w:bottom w:val="single" w:sz="4" w:space="0" w:color="auto"/>
            </w:tcBorders>
            <w:shd w:val="clear" w:color="auto" w:fill="auto"/>
            <w:vAlign w:val="center"/>
          </w:tcPr>
          <w:p w14:paraId="78A220A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15</w:t>
            </w:r>
          </w:p>
        </w:tc>
        <w:tc>
          <w:tcPr>
            <w:tcW w:w="450" w:type="dxa"/>
            <w:tcBorders>
              <w:bottom w:val="single" w:sz="4" w:space="0" w:color="auto"/>
            </w:tcBorders>
            <w:shd w:val="clear" w:color="auto" w:fill="auto"/>
            <w:vAlign w:val="center"/>
          </w:tcPr>
          <w:p w14:paraId="7ECBA49E"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30</w:t>
            </w:r>
          </w:p>
        </w:tc>
        <w:tc>
          <w:tcPr>
            <w:tcW w:w="414" w:type="dxa"/>
            <w:tcBorders>
              <w:bottom w:val="single" w:sz="4" w:space="0" w:color="auto"/>
              <w:right w:val="single" w:sz="18" w:space="0" w:color="auto"/>
            </w:tcBorders>
            <w:shd w:val="clear" w:color="auto" w:fill="auto"/>
            <w:vAlign w:val="center"/>
          </w:tcPr>
          <w:p w14:paraId="65774EA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15</w:t>
            </w:r>
          </w:p>
        </w:tc>
        <w:tc>
          <w:tcPr>
            <w:tcW w:w="468" w:type="dxa"/>
            <w:tcBorders>
              <w:left w:val="single" w:sz="18" w:space="0" w:color="auto"/>
              <w:bottom w:val="single" w:sz="4" w:space="0" w:color="auto"/>
            </w:tcBorders>
            <w:shd w:val="clear" w:color="auto" w:fill="auto"/>
            <w:vAlign w:val="center"/>
          </w:tcPr>
          <w:p w14:paraId="2D10AC3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15</w:t>
            </w:r>
          </w:p>
        </w:tc>
        <w:tc>
          <w:tcPr>
            <w:tcW w:w="477" w:type="dxa"/>
            <w:tcBorders>
              <w:bottom w:val="single" w:sz="4" w:space="0" w:color="auto"/>
              <w:right w:val="single" w:sz="18" w:space="0" w:color="auto"/>
            </w:tcBorders>
            <w:shd w:val="clear" w:color="auto" w:fill="auto"/>
            <w:vAlign w:val="center"/>
          </w:tcPr>
          <w:p w14:paraId="73AA99A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72D4C0C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auto"/>
          </w:tcPr>
          <w:p w14:paraId="66F485E8"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auto"/>
            <w:vAlign w:val="center"/>
          </w:tcPr>
          <w:p w14:paraId="4DC1F99C"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tcPr>
          <w:p w14:paraId="2591B7D4"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STP</w:t>
            </w:r>
          </w:p>
        </w:tc>
      </w:tr>
      <w:tr w:rsidR="009323A0" w:rsidRPr="0058047D" w14:paraId="2377B7EA" w14:textId="77777777" w:rsidTr="00C86F50">
        <w:trPr>
          <w:trHeight w:val="145"/>
        </w:trPr>
        <w:tc>
          <w:tcPr>
            <w:tcW w:w="2619" w:type="dxa"/>
            <w:gridSpan w:val="2"/>
            <w:tcBorders>
              <w:bottom w:val="single" w:sz="4" w:space="0" w:color="auto"/>
            </w:tcBorders>
            <w:shd w:val="clear" w:color="auto" w:fill="FABF8F"/>
            <w:vAlign w:val="center"/>
          </w:tcPr>
          <w:p w14:paraId="360FFB98" w14:textId="77777777" w:rsidR="00913A0A" w:rsidRPr="003F471F" w:rsidRDefault="00913A0A" w:rsidP="001B5647">
            <w:pPr>
              <w:pStyle w:val="ProductNames"/>
              <w:spacing w:beforeLines="20" w:before="48" w:afterLines="20" w:after="48"/>
              <w:rPr>
                <w:rFonts w:ascii="Tahoma" w:hAnsi="Tahoma" w:cs="Tahoma"/>
                <w:sz w:val="14"/>
                <w:lang w:val="it-IT"/>
              </w:rPr>
            </w:pPr>
            <w:bookmarkStart w:id="385" w:name="_Toc336338060"/>
            <w:bookmarkStart w:id="386" w:name="_Toc371663470"/>
            <w:r w:rsidRPr="003F471F">
              <w:rPr>
                <w:rFonts w:ascii="Tahoma" w:hAnsi="Tahoma" w:cs="Tahoma"/>
                <w:sz w:val="14"/>
                <w:lang w:val="it-IT"/>
              </w:rPr>
              <w:t>SQL Server</w:t>
            </w:r>
            <w:r w:rsidR="00E53A46" w:rsidRPr="003F471F">
              <w:rPr>
                <w:rFonts w:ascii="Tahoma" w:eastAsia="Times New Roman" w:hAnsi="Tahoma" w:cs="Tahoma"/>
                <w:color w:val="000000"/>
                <w:sz w:val="18"/>
                <w:szCs w:val="18"/>
                <w:vertAlign w:val="superscript"/>
                <w:lang w:val="it-IT"/>
              </w:rPr>
              <w:t>®</w:t>
            </w:r>
            <w:r w:rsidRPr="003F471F">
              <w:rPr>
                <w:rFonts w:ascii="Tahoma" w:hAnsi="Tahoma" w:cs="Tahoma"/>
                <w:sz w:val="14"/>
                <w:lang w:val="it-IT"/>
              </w:rPr>
              <w:t xml:space="preserve"> 2012 Standard Core (2</w:t>
            </w:r>
            <w:r w:rsidR="001B5647" w:rsidRPr="003F471F">
              <w:rPr>
                <w:rFonts w:ascii="Tahoma" w:hAnsi="Tahoma" w:cs="Tahoma"/>
                <w:sz w:val="14"/>
                <w:lang w:val="it-IT"/>
              </w:rPr>
              <w:t> </w:t>
            </w:r>
            <w:r w:rsidRPr="003F471F">
              <w:rPr>
                <w:rFonts w:ascii="Tahoma" w:hAnsi="Tahoma" w:cs="Tahoma"/>
                <w:sz w:val="14"/>
                <w:lang w:val="it-IT"/>
              </w:rPr>
              <w:t>Licenze Core per confezione)</w:t>
            </w:r>
            <w:bookmarkEnd w:id="385"/>
            <w:bookmarkEnd w:id="386"/>
          </w:p>
        </w:tc>
        <w:tc>
          <w:tcPr>
            <w:tcW w:w="554" w:type="dxa"/>
            <w:tcBorders>
              <w:bottom w:val="single" w:sz="4" w:space="0" w:color="auto"/>
            </w:tcBorders>
            <w:shd w:val="clear" w:color="auto" w:fill="FABF8F"/>
            <w:vAlign w:val="center"/>
          </w:tcPr>
          <w:p w14:paraId="1E33C7AB" w14:textId="77777777" w:rsidR="00913A0A" w:rsidRPr="0058047D" w:rsidRDefault="00C86F50" w:rsidP="00907139">
            <w:pPr>
              <w:pStyle w:val="TableText"/>
              <w:widowControl w:val="0"/>
              <w:rPr>
                <w:rStyle w:val="EndnoteReference"/>
                <w:rFonts w:cs="Tahoma"/>
                <w:b w:val="0"/>
                <w:color w:val="000000"/>
                <w:sz w:val="13"/>
                <w:szCs w:val="13"/>
                <w:u w:val="single"/>
              </w:rPr>
            </w:pPr>
            <w:hyperlink w:anchor="_85_83_SQL" w:history="1">
              <w:r w:rsidR="00BF5FC6" w:rsidRPr="0058047D">
                <w:rPr>
                  <w:rStyle w:val="Hyperlink"/>
                  <w:b/>
                  <w:sz w:val="13"/>
                  <w:szCs w:val="13"/>
                </w:rPr>
                <w:t>89</w:t>
              </w:r>
            </w:hyperlink>
            <w:hyperlink w:anchor="Srv_91SQLServer2012StandardCore" w:history="1"/>
          </w:p>
        </w:tc>
        <w:tc>
          <w:tcPr>
            <w:tcW w:w="516" w:type="dxa"/>
            <w:tcBorders>
              <w:bottom w:val="single" w:sz="4" w:space="0" w:color="auto"/>
            </w:tcBorders>
            <w:shd w:val="clear" w:color="auto" w:fill="FABF8F"/>
          </w:tcPr>
          <w:p w14:paraId="437FAF9B"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04/12</w:t>
            </w:r>
          </w:p>
        </w:tc>
        <w:tc>
          <w:tcPr>
            <w:tcW w:w="358" w:type="dxa"/>
            <w:tcBorders>
              <w:bottom w:val="single" w:sz="4" w:space="0" w:color="auto"/>
              <w:right w:val="single" w:sz="18" w:space="0" w:color="auto"/>
            </w:tcBorders>
            <w:shd w:val="clear" w:color="auto" w:fill="FABF8F"/>
            <w:vAlign w:val="center"/>
          </w:tcPr>
          <w:p w14:paraId="1480A7E6"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center"/>
          </w:tcPr>
          <w:p w14:paraId="26B5ED2F"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324" w:type="dxa"/>
            <w:tcBorders>
              <w:bottom w:val="single" w:sz="4" w:space="0" w:color="auto"/>
            </w:tcBorders>
            <w:shd w:val="clear" w:color="auto" w:fill="FABF8F"/>
            <w:vAlign w:val="center"/>
          </w:tcPr>
          <w:p w14:paraId="2C58FA9E"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125</w:t>
            </w:r>
          </w:p>
        </w:tc>
        <w:tc>
          <w:tcPr>
            <w:tcW w:w="366" w:type="dxa"/>
            <w:tcBorders>
              <w:bottom w:val="single" w:sz="4" w:space="0" w:color="auto"/>
            </w:tcBorders>
            <w:shd w:val="clear" w:color="auto" w:fill="FABF8F"/>
            <w:vAlign w:val="center"/>
          </w:tcPr>
          <w:p w14:paraId="6C93515E"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100</w:t>
            </w:r>
          </w:p>
        </w:tc>
        <w:tc>
          <w:tcPr>
            <w:tcW w:w="456" w:type="dxa"/>
            <w:gridSpan w:val="2"/>
            <w:tcBorders>
              <w:bottom w:val="single" w:sz="4" w:space="0" w:color="auto"/>
            </w:tcBorders>
            <w:shd w:val="clear" w:color="auto" w:fill="FABF8F"/>
            <w:vAlign w:val="center"/>
          </w:tcPr>
          <w:p w14:paraId="6AA5786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75</w:t>
            </w:r>
          </w:p>
        </w:tc>
        <w:tc>
          <w:tcPr>
            <w:tcW w:w="450" w:type="dxa"/>
            <w:tcBorders>
              <w:bottom w:val="single" w:sz="4" w:space="0" w:color="auto"/>
            </w:tcBorders>
            <w:shd w:val="clear" w:color="auto" w:fill="FABF8F"/>
            <w:vAlign w:val="center"/>
          </w:tcPr>
          <w:p w14:paraId="6909385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75</w:t>
            </w:r>
          </w:p>
        </w:tc>
        <w:tc>
          <w:tcPr>
            <w:tcW w:w="450" w:type="dxa"/>
            <w:tcBorders>
              <w:bottom w:val="single" w:sz="4" w:space="0" w:color="auto"/>
            </w:tcBorders>
            <w:shd w:val="clear" w:color="auto" w:fill="FABF8F"/>
            <w:vAlign w:val="center"/>
          </w:tcPr>
          <w:p w14:paraId="21C29C60"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336" w:type="dxa"/>
            <w:tcBorders>
              <w:bottom w:val="single" w:sz="4" w:space="0" w:color="auto"/>
              <w:right w:val="single" w:sz="18" w:space="0" w:color="auto"/>
            </w:tcBorders>
            <w:shd w:val="clear" w:color="auto" w:fill="FABF8F"/>
            <w:vAlign w:val="center"/>
          </w:tcPr>
          <w:p w14:paraId="41F5C8A5"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25</w:t>
            </w:r>
          </w:p>
        </w:tc>
        <w:tc>
          <w:tcPr>
            <w:tcW w:w="477" w:type="dxa"/>
            <w:tcBorders>
              <w:left w:val="single" w:sz="18" w:space="0" w:color="auto"/>
              <w:bottom w:val="single" w:sz="4" w:space="0" w:color="auto"/>
            </w:tcBorders>
            <w:shd w:val="clear" w:color="auto" w:fill="FABF8F"/>
            <w:vAlign w:val="center"/>
          </w:tcPr>
          <w:p w14:paraId="0D1F3D8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450" w:type="dxa"/>
            <w:tcBorders>
              <w:bottom w:val="single" w:sz="4" w:space="0" w:color="auto"/>
            </w:tcBorders>
            <w:shd w:val="clear" w:color="auto" w:fill="FABF8F"/>
            <w:vAlign w:val="center"/>
          </w:tcPr>
          <w:p w14:paraId="0287565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100</w:t>
            </w:r>
          </w:p>
        </w:tc>
        <w:tc>
          <w:tcPr>
            <w:tcW w:w="414" w:type="dxa"/>
            <w:tcBorders>
              <w:bottom w:val="single" w:sz="4" w:space="0" w:color="auto"/>
              <w:right w:val="single" w:sz="18" w:space="0" w:color="auto"/>
            </w:tcBorders>
            <w:shd w:val="clear" w:color="auto" w:fill="FABF8F"/>
            <w:vAlign w:val="center"/>
          </w:tcPr>
          <w:p w14:paraId="1D08A865"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468" w:type="dxa"/>
            <w:tcBorders>
              <w:left w:val="single" w:sz="18" w:space="0" w:color="auto"/>
              <w:bottom w:val="single" w:sz="4" w:space="0" w:color="auto"/>
            </w:tcBorders>
            <w:shd w:val="clear" w:color="auto" w:fill="FABF8F"/>
            <w:vAlign w:val="center"/>
          </w:tcPr>
          <w:p w14:paraId="7030DB2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477" w:type="dxa"/>
            <w:tcBorders>
              <w:bottom w:val="single" w:sz="4" w:space="0" w:color="auto"/>
              <w:right w:val="single" w:sz="18" w:space="0" w:color="auto"/>
            </w:tcBorders>
            <w:shd w:val="clear" w:color="auto" w:fill="FABF8F"/>
            <w:vAlign w:val="center"/>
          </w:tcPr>
          <w:p w14:paraId="1D55057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61BFA86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tcPr>
          <w:p w14:paraId="10AB7EA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FABF8F"/>
            <w:vAlign w:val="center"/>
          </w:tcPr>
          <w:p w14:paraId="1E25EE30"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OL/OV</w:t>
            </w:r>
          </w:p>
        </w:tc>
        <w:tc>
          <w:tcPr>
            <w:tcW w:w="405" w:type="dxa"/>
            <w:tcBorders>
              <w:bottom w:val="single" w:sz="4" w:space="0" w:color="auto"/>
            </w:tcBorders>
            <w:shd w:val="clear" w:color="auto" w:fill="FABF8F"/>
          </w:tcPr>
          <w:p w14:paraId="302F590B"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STP</w:t>
            </w:r>
          </w:p>
        </w:tc>
      </w:tr>
      <w:tr w:rsidR="009323A0" w:rsidRPr="0058047D" w14:paraId="64E6FAC4" w14:textId="77777777" w:rsidTr="00C86F50">
        <w:trPr>
          <w:trHeight w:val="145"/>
        </w:trPr>
        <w:tc>
          <w:tcPr>
            <w:tcW w:w="2619" w:type="dxa"/>
            <w:gridSpan w:val="2"/>
            <w:tcBorders>
              <w:bottom w:val="single" w:sz="4" w:space="0" w:color="auto"/>
            </w:tcBorders>
            <w:shd w:val="clear" w:color="auto" w:fill="auto"/>
            <w:vAlign w:val="center"/>
          </w:tcPr>
          <w:p w14:paraId="42D75955" w14:textId="77777777" w:rsidR="00913A0A" w:rsidRPr="003F471F" w:rsidRDefault="00913A0A" w:rsidP="001F5E7D">
            <w:pPr>
              <w:pStyle w:val="ProductNames"/>
              <w:spacing w:beforeLines="20" w:before="48" w:afterLines="20" w:after="48"/>
              <w:rPr>
                <w:rFonts w:ascii="Tahoma" w:hAnsi="Tahoma" w:cs="Tahoma"/>
                <w:sz w:val="14"/>
                <w:lang w:val="it-IT"/>
              </w:rPr>
            </w:pPr>
            <w:bookmarkStart w:id="387" w:name="_Toc336338062"/>
            <w:bookmarkStart w:id="388" w:name="_Toc371663471"/>
            <w:r w:rsidRPr="003F471F">
              <w:rPr>
                <w:rFonts w:ascii="Tahoma" w:hAnsi="Tahoma" w:cs="Tahoma"/>
                <w:sz w:val="14"/>
                <w:lang w:val="it-IT"/>
              </w:rPr>
              <w:t>Licenza di Gestione Server Enterprise per</w:t>
            </w:r>
            <w:r w:rsidR="001F5E7D" w:rsidRPr="003F471F">
              <w:rPr>
                <w:rFonts w:ascii="Tahoma" w:hAnsi="Tahoma" w:cs="Tahoma"/>
                <w:sz w:val="14"/>
                <w:lang w:val="it-IT"/>
              </w:rPr>
              <w:t> </w:t>
            </w:r>
            <w:r w:rsidRPr="003F471F">
              <w:rPr>
                <w:rFonts w:ascii="Tahoma" w:hAnsi="Tahoma" w:cs="Tahoma"/>
                <w:sz w:val="14"/>
                <w:lang w:val="it-IT"/>
              </w:rPr>
              <w:t>System Center Configuration Manager 2007 R3</w:t>
            </w:r>
            <w:bookmarkEnd w:id="387"/>
            <w:bookmarkEnd w:id="388"/>
            <w:r w:rsidRPr="003F471F">
              <w:rPr>
                <w:rFonts w:ascii="Tahoma" w:hAnsi="Tahoma" w:cs="Tahoma"/>
                <w:sz w:val="14"/>
                <w:lang w:val="it-IT"/>
              </w:rPr>
              <w:t xml:space="preserve"> </w:t>
            </w:r>
          </w:p>
        </w:tc>
        <w:tc>
          <w:tcPr>
            <w:tcW w:w="554" w:type="dxa"/>
            <w:tcBorders>
              <w:bottom w:val="single" w:sz="4" w:space="0" w:color="auto"/>
            </w:tcBorders>
            <w:shd w:val="clear" w:color="auto" w:fill="auto"/>
            <w:vAlign w:val="center"/>
          </w:tcPr>
          <w:p w14:paraId="5A8AFD1A" w14:textId="77777777" w:rsidR="00913A0A" w:rsidRPr="003F471F" w:rsidRDefault="00913A0A" w:rsidP="001A63C6">
            <w:pPr>
              <w:pStyle w:val="TableText"/>
              <w:widowControl w:val="0"/>
              <w:rPr>
                <w:rStyle w:val="EndnoteReference"/>
                <w:color w:val="0000FF"/>
                <w:sz w:val="13"/>
                <w:szCs w:val="13"/>
                <w:u w:val="single"/>
                <w:lang w:val="it-IT"/>
              </w:rPr>
            </w:pPr>
          </w:p>
        </w:tc>
        <w:tc>
          <w:tcPr>
            <w:tcW w:w="516" w:type="dxa"/>
            <w:tcBorders>
              <w:bottom w:val="single" w:sz="4" w:space="0" w:color="auto"/>
            </w:tcBorders>
            <w:shd w:val="clear" w:color="auto" w:fill="auto"/>
          </w:tcPr>
          <w:p w14:paraId="211CA584" w14:textId="77777777" w:rsidR="00913A0A" w:rsidRPr="0058047D" w:rsidRDefault="00913A0A" w:rsidP="001A63C6">
            <w:pPr>
              <w:pStyle w:val="TableText"/>
              <w:widowControl w:val="0"/>
              <w:spacing w:before="180"/>
              <w:rPr>
                <w:rFonts w:ascii="Tahoma" w:hAnsi="Tahoma" w:cs="Tahoma"/>
                <w:color w:val="000000"/>
                <w:sz w:val="13"/>
              </w:rPr>
            </w:pPr>
            <w:r w:rsidRPr="0058047D">
              <w:rPr>
                <w:rFonts w:ascii="Tahoma" w:hAnsi="Tahoma" w:cs="Tahoma"/>
                <w:color w:val="000000"/>
                <w:sz w:val="13"/>
              </w:rPr>
              <w:t>11/10</w:t>
            </w:r>
          </w:p>
        </w:tc>
        <w:tc>
          <w:tcPr>
            <w:tcW w:w="358" w:type="dxa"/>
            <w:tcBorders>
              <w:bottom w:val="single" w:sz="4" w:space="0" w:color="auto"/>
              <w:right w:val="single" w:sz="18" w:space="0" w:color="auto"/>
            </w:tcBorders>
            <w:shd w:val="clear" w:color="auto" w:fill="auto"/>
            <w:vAlign w:val="center"/>
          </w:tcPr>
          <w:p w14:paraId="63066EFA"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auto"/>
            <w:vAlign w:val="center"/>
          </w:tcPr>
          <w:p w14:paraId="08DC453D" w14:textId="77777777" w:rsidR="00913A0A" w:rsidRPr="0058047D" w:rsidRDefault="00913A0A" w:rsidP="001A63C6">
            <w:pPr>
              <w:pStyle w:val="TableText"/>
              <w:widowControl w:val="0"/>
              <w:rPr>
                <w:rFonts w:ascii="Tahoma" w:hAnsi="Tahoma" w:cs="Tahoma"/>
                <w:color w:val="000000"/>
                <w:sz w:val="13"/>
              </w:rPr>
            </w:pPr>
          </w:p>
        </w:tc>
        <w:tc>
          <w:tcPr>
            <w:tcW w:w="324" w:type="dxa"/>
            <w:tcBorders>
              <w:bottom w:val="single" w:sz="4" w:space="0" w:color="auto"/>
            </w:tcBorders>
            <w:shd w:val="clear" w:color="auto" w:fill="auto"/>
            <w:vAlign w:val="center"/>
          </w:tcPr>
          <w:p w14:paraId="0558F587" w14:textId="77777777" w:rsidR="00913A0A" w:rsidRPr="0058047D" w:rsidRDefault="00913A0A" w:rsidP="001A63C6">
            <w:pPr>
              <w:pStyle w:val="TableText"/>
              <w:widowControl w:val="0"/>
              <w:rPr>
                <w:rFonts w:ascii="Tahoma" w:hAnsi="Tahoma" w:cs="Tahoma"/>
                <w:color w:val="000000"/>
                <w:sz w:val="13"/>
              </w:rPr>
            </w:pPr>
          </w:p>
        </w:tc>
        <w:tc>
          <w:tcPr>
            <w:tcW w:w="366" w:type="dxa"/>
            <w:tcBorders>
              <w:bottom w:val="single" w:sz="4" w:space="0" w:color="auto"/>
            </w:tcBorders>
            <w:shd w:val="clear" w:color="auto" w:fill="auto"/>
            <w:vAlign w:val="center"/>
          </w:tcPr>
          <w:p w14:paraId="40CFF0A5" w14:textId="77777777" w:rsidR="00913A0A" w:rsidRPr="0058047D" w:rsidRDefault="00913A0A" w:rsidP="001A63C6">
            <w:pPr>
              <w:pStyle w:val="TableText"/>
              <w:widowControl w:val="0"/>
              <w:rPr>
                <w:rFonts w:ascii="Tahoma" w:hAnsi="Tahoma" w:cs="Tahoma"/>
                <w:color w:val="000000"/>
                <w:sz w:val="13"/>
              </w:rPr>
            </w:pPr>
          </w:p>
        </w:tc>
        <w:tc>
          <w:tcPr>
            <w:tcW w:w="456" w:type="dxa"/>
            <w:gridSpan w:val="2"/>
            <w:tcBorders>
              <w:bottom w:val="single" w:sz="4" w:space="0" w:color="auto"/>
            </w:tcBorders>
            <w:shd w:val="clear" w:color="auto" w:fill="auto"/>
            <w:vAlign w:val="center"/>
          </w:tcPr>
          <w:p w14:paraId="044FB10D"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04801AA"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574843D" w14:textId="77777777" w:rsidR="00913A0A" w:rsidRPr="0058047D" w:rsidRDefault="00913A0A" w:rsidP="001A63C6">
            <w:pPr>
              <w:pStyle w:val="TableText"/>
              <w:widowControl w:val="0"/>
              <w:rPr>
                <w:rFonts w:ascii="Tahoma" w:hAnsi="Tahoma" w:cs="Tahoma"/>
                <w:color w:val="000000"/>
                <w:sz w:val="13"/>
              </w:rPr>
            </w:pPr>
          </w:p>
        </w:tc>
        <w:tc>
          <w:tcPr>
            <w:tcW w:w="336" w:type="dxa"/>
            <w:tcBorders>
              <w:bottom w:val="single" w:sz="4" w:space="0" w:color="auto"/>
              <w:right w:val="single" w:sz="18" w:space="0" w:color="auto"/>
            </w:tcBorders>
            <w:shd w:val="clear" w:color="auto" w:fill="auto"/>
            <w:vAlign w:val="center"/>
          </w:tcPr>
          <w:p w14:paraId="4201FBD1" w14:textId="77777777" w:rsidR="00913A0A" w:rsidRPr="0058047D" w:rsidRDefault="00913A0A" w:rsidP="001A63C6">
            <w:pPr>
              <w:pStyle w:val="TableText"/>
              <w:widowControl w:val="0"/>
              <w:rPr>
                <w:rFonts w:ascii="Tahoma" w:hAnsi="Tahoma" w:cs="Tahoma"/>
                <w:color w:val="000000"/>
                <w:sz w:val="13"/>
              </w:rPr>
            </w:pPr>
          </w:p>
        </w:tc>
        <w:tc>
          <w:tcPr>
            <w:tcW w:w="477" w:type="dxa"/>
            <w:tcBorders>
              <w:left w:val="single" w:sz="18" w:space="0" w:color="auto"/>
              <w:bottom w:val="single" w:sz="4" w:space="0" w:color="auto"/>
            </w:tcBorders>
            <w:shd w:val="clear" w:color="auto" w:fill="auto"/>
            <w:vAlign w:val="center"/>
          </w:tcPr>
          <w:p w14:paraId="6126591D"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735A5B9" w14:textId="77777777" w:rsidR="00913A0A" w:rsidRPr="0058047D" w:rsidRDefault="00913A0A" w:rsidP="001A63C6">
            <w:pPr>
              <w:pStyle w:val="TableText"/>
              <w:widowControl w:val="0"/>
              <w:rPr>
                <w:rFonts w:ascii="Tahoma" w:hAnsi="Tahoma" w:cs="Tahoma"/>
                <w:color w:val="000000"/>
                <w:sz w:val="13"/>
              </w:rPr>
            </w:pPr>
          </w:p>
        </w:tc>
        <w:tc>
          <w:tcPr>
            <w:tcW w:w="414" w:type="dxa"/>
            <w:tcBorders>
              <w:bottom w:val="single" w:sz="4" w:space="0" w:color="auto"/>
              <w:right w:val="single" w:sz="18" w:space="0" w:color="auto"/>
            </w:tcBorders>
            <w:shd w:val="clear" w:color="auto" w:fill="auto"/>
            <w:vAlign w:val="center"/>
          </w:tcPr>
          <w:p w14:paraId="00236B2D" w14:textId="77777777" w:rsidR="00913A0A" w:rsidRPr="0058047D" w:rsidRDefault="00913A0A" w:rsidP="001A63C6">
            <w:pPr>
              <w:pStyle w:val="TableText"/>
              <w:widowControl w:val="0"/>
              <w:rPr>
                <w:rFonts w:ascii="Tahoma" w:hAnsi="Tahoma" w:cs="Tahoma"/>
                <w:color w:val="000000"/>
                <w:sz w:val="13"/>
              </w:rPr>
            </w:pPr>
          </w:p>
        </w:tc>
        <w:tc>
          <w:tcPr>
            <w:tcW w:w="468" w:type="dxa"/>
            <w:tcBorders>
              <w:left w:val="single" w:sz="18" w:space="0" w:color="auto"/>
              <w:bottom w:val="single" w:sz="4" w:space="0" w:color="auto"/>
            </w:tcBorders>
            <w:shd w:val="clear" w:color="auto" w:fill="auto"/>
            <w:vAlign w:val="center"/>
          </w:tcPr>
          <w:p w14:paraId="69D33CF7"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5</w:t>
            </w:r>
          </w:p>
        </w:tc>
        <w:tc>
          <w:tcPr>
            <w:tcW w:w="477" w:type="dxa"/>
            <w:tcBorders>
              <w:bottom w:val="single" w:sz="4" w:space="0" w:color="auto"/>
              <w:right w:val="single" w:sz="18" w:space="0" w:color="auto"/>
            </w:tcBorders>
            <w:shd w:val="clear" w:color="auto" w:fill="auto"/>
            <w:vAlign w:val="center"/>
          </w:tcPr>
          <w:p w14:paraId="67D6C298" w14:textId="77777777" w:rsidR="00913A0A" w:rsidRPr="0058047D" w:rsidRDefault="00913A0A" w:rsidP="001A63C6">
            <w:pPr>
              <w:pStyle w:val="TableText"/>
              <w:widowControl w:val="0"/>
              <w:rPr>
                <w:rFonts w:ascii="Tahoma" w:hAnsi="Tahoma" w:cs="Tahoma"/>
                <w:color w:val="000000"/>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34F43AE7" w14:textId="77777777" w:rsidR="00913A0A" w:rsidRPr="0058047D" w:rsidRDefault="00913A0A" w:rsidP="001A63C6">
            <w:pPr>
              <w:pStyle w:val="TableText"/>
              <w:widowControl w:val="0"/>
              <w:rPr>
                <w:rFonts w:ascii="Tahoma" w:hAnsi="Tahoma" w:cs="Tahoma"/>
                <w:color w:val="000000"/>
                <w:sz w:val="13"/>
              </w:rPr>
            </w:pPr>
          </w:p>
        </w:tc>
        <w:tc>
          <w:tcPr>
            <w:tcW w:w="655" w:type="dxa"/>
            <w:tcBorders>
              <w:bottom w:val="single" w:sz="4" w:space="0" w:color="auto"/>
            </w:tcBorders>
            <w:shd w:val="clear" w:color="auto" w:fill="auto"/>
          </w:tcPr>
          <w:p w14:paraId="18848929"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A</w:t>
            </w:r>
          </w:p>
        </w:tc>
        <w:tc>
          <w:tcPr>
            <w:tcW w:w="504" w:type="dxa"/>
            <w:tcBorders>
              <w:bottom w:val="single" w:sz="4" w:space="0" w:color="auto"/>
            </w:tcBorders>
            <w:shd w:val="clear" w:color="auto" w:fill="auto"/>
            <w:vAlign w:val="center"/>
          </w:tcPr>
          <w:p w14:paraId="2F8EAA2F" w14:textId="77777777" w:rsidR="00913A0A" w:rsidRPr="0058047D" w:rsidRDefault="00913A0A" w:rsidP="001A63C6">
            <w:pPr>
              <w:pStyle w:val="TableText"/>
              <w:widowControl w:val="0"/>
              <w:rPr>
                <w:rFonts w:ascii="Tahoma" w:hAnsi="Tahoma" w:cs="Tahoma"/>
                <w:color w:val="000000"/>
                <w:sz w:val="13"/>
              </w:rPr>
            </w:pPr>
          </w:p>
        </w:tc>
        <w:tc>
          <w:tcPr>
            <w:tcW w:w="405" w:type="dxa"/>
            <w:tcBorders>
              <w:bottom w:val="single" w:sz="4" w:space="0" w:color="auto"/>
            </w:tcBorders>
          </w:tcPr>
          <w:p w14:paraId="0F23A112" w14:textId="77777777" w:rsidR="00913A0A" w:rsidRPr="0058047D" w:rsidRDefault="00913A0A" w:rsidP="001A63C6">
            <w:pPr>
              <w:pStyle w:val="TableText"/>
              <w:widowControl w:val="0"/>
              <w:rPr>
                <w:rFonts w:ascii="Tahoma" w:hAnsi="Tahoma" w:cs="Tahoma"/>
                <w:color w:val="000000"/>
                <w:sz w:val="13"/>
              </w:rPr>
            </w:pPr>
          </w:p>
        </w:tc>
      </w:tr>
      <w:tr w:rsidR="009323A0" w:rsidRPr="0058047D" w14:paraId="1603CE64" w14:textId="77777777" w:rsidTr="00C86F50">
        <w:trPr>
          <w:trHeight w:val="145"/>
        </w:trPr>
        <w:tc>
          <w:tcPr>
            <w:tcW w:w="2619" w:type="dxa"/>
            <w:gridSpan w:val="2"/>
            <w:tcBorders>
              <w:bottom w:val="single" w:sz="4" w:space="0" w:color="auto"/>
            </w:tcBorders>
            <w:shd w:val="clear" w:color="auto" w:fill="FABF8F"/>
            <w:vAlign w:val="center"/>
          </w:tcPr>
          <w:p w14:paraId="0C2F1922" w14:textId="77777777" w:rsidR="00913A0A" w:rsidRPr="003F471F" w:rsidRDefault="00913A0A" w:rsidP="00E077BC">
            <w:pPr>
              <w:pStyle w:val="ProductNames"/>
              <w:spacing w:beforeLines="20" w:before="48" w:afterLines="20" w:after="48"/>
              <w:rPr>
                <w:rFonts w:ascii="Tahoma" w:hAnsi="Tahoma" w:cs="Tahoma"/>
                <w:sz w:val="14"/>
                <w:lang w:val="it-IT"/>
              </w:rPr>
            </w:pPr>
            <w:bookmarkStart w:id="389" w:name="_Toc336338063"/>
            <w:bookmarkStart w:id="390" w:name="_Toc371663472"/>
            <w:r w:rsidRPr="003F471F">
              <w:rPr>
                <w:rFonts w:ascii="Tahoma" w:hAnsi="Tahoma" w:cs="Tahoma"/>
                <w:sz w:val="14"/>
                <w:lang w:val="it-IT"/>
              </w:rPr>
              <w:t>Licenza di Gestione Server Standard (Standard Server ML) per System Center Configuration Manager 2007 R3</w:t>
            </w:r>
            <w:bookmarkEnd w:id="389"/>
            <w:bookmarkEnd w:id="390"/>
          </w:p>
        </w:tc>
        <w:tc>
          <w:tcPr>
            <w:tcW w:w="554" w:type="dxa"/>
            <w:tcBorders>
              <w:bottom w:val="single" w:sz="4" w:space="0" w:color="auto"/>
            </w:tcBorders>
            <w:shd w:val="clear" w:color="auto" w:fill="FABF8F"/>
            <w:vAlign w:val="center"/>
          </w:tcPr>
          <w:p w14:paraId="05E3DE5C" w14:textId="77777777" w:rsidR="00913A0A" w:rsidRPr="003F471F" w:rsidRDefault="00913A0A" w:rsidP="001A63C6">
            <w:pPr>
              <w:pStyle w:val="TableText"/>
              <w:widowControl w:val="0"/>
              <w:rPr>
                <w:rStyle w:val="EndnoteReference"/>
                <w:color w:val="0000FF"/>
                <w:sz w:val="13"/>
                <w:szCs w:val="13"/>
                <w:u w:val="single"/>
                <w:lang w:val="it-IT"/>
              </w:rPr>
            </w:pPr>
          </w:p>
        </w:tc>
        <w:tc>
          <w:tcPr>
            <w:tcW w:w="516" w:type="dxa"/>
            <w:tcBorders>
              <w:bottom w:val="single" w:sz="4" w:space="0" w:color="auto"/>
            </w:tcBorders>
            <w:shd w:val="clear" w:color="auto" w:fill="FABF8F"/>
          </w:tcPr>
          <w:p w14:paraId="11D61AF5" w14:textId="77777777" w:rsidR="00913A0A" w:rsidRPr="0058047D" w:rsidRDefault="00913A0A" w:rsidP="001A63C6">
            <w:pPr>
              <w:pStyle w:val="TableText"/>
              <w:widowControl w:val="0"/>
              <w:spacing w:before="180"/>
              <w:rPr>
                <w:rFonts w:ascii="Tahoma" w:hAnsi="Tahoma" w:cs="Tahoma"/>
                <w:color w:val="000000"/>
                <w:sz w:val="13"/>
              </w:rPr>
            </w:pPr>
            <w:r w:rsidRPr="0058047D">
              <w:rPr>
                <w:rFonts w:ascii="Tahoma" w:hAnsi="Tahoma" w:cs="Tahoma"/>
                <w:color w:val="000000"/>
                <w:sz w:val="13"/>
              </w:rPr>
              <w:t>11/10</w:t>
            </w:r>
          </w:p>
        </w:tc>
        <w:tc>
          <w:tcPr>
            <w:tcW w:w="358" w:type="dxa"/>
            <w:tcBorders>
              <w:bottom w:val="single" w:sz="4" w:space="0" w:color="auto"/>
              <w:right w:val="single" w:sz="18" w:space="0" w:color="auto"/>
            </w:tcBorders>
            <w:shd w:val="clear" w:color="auto" w:fill="FABF8F"/>
            <w:vAlign w:val="center"/>
          </w:tcPr>
          <w:p w14:paraId="5DD4F0EF"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FABF8F"/>
            <w:vAlign w:val="center"/>
          </w:tcPr>
          <w:p w14:paraId="4D2BE90D" w14:textId="77777777" w:rsidR="00913A0A" w:rsidRPr="0058047D" w:rsidRDefault="00913A0A" w:rsidP="001A63C6">
            <w:pPr>
              <w:pStyle w:val="TableText"/>
              <w:widowControl w:val="0"/>
              <w:rPr>
                <w:rFonts w:ascii="Tahoma" w:hAnsi="Tahoma" w:cs="Tahoma"/>
                <w:color w:val="000000"/>
                <w:sz w:val="13"/>
              </w:rPr>
            </w:pPr>
          </w:p>
        </w:tc>
        <w:tc>
          <w:tcPr>
            <w:tcW w:w="324" w:type="dxa"/>
            <w:tcBorders>
              <w:bottom w:val="single" w:sz="4" w:space="0" w:color="auto"/>
            </w:tcBorders>
            <w:shd w:val="clear" w:color="auto" w:fill="FABF8F"/>
            <w:vAlign w:val="center"/>
          </w:tcPr>
          <w:p w14:paraId="2898649A" w14:textId="77777777" w:rsidR="00913A0A" w:rsidRPr="0058047D" w:rsidRDefault="00913A0A" w:rsidP="001A63C6">
            <w:pPr>
              <w:pStyle w:val="TableText"/>
              <w:widowControl w:val="0"/>
              <w:rPr>
                <w:rFonts w:ascii="Tahoma" w:hAnsi="Tahoma" w:cs="Tahoma"/>
                <w:color w:val="000000"/>
                <w:sz w:val="13"/>
              </w:rPr>
            </w:pPr>
          </w:p>
        </w:tc>
        <w:tc>
          <w:tcPr>
            <w:tcW w:w="366" w:type="dxa"/>
            <w:tcBorders>
              <w:bottom w:val="single" w:sz="4" w:space="0" w:color="auto"/>
            </w:tcBorders>
            <w:shd w:val="clear" w:color="auto" w:fill="FABF8F"/>
            <w:vAlign w:val="center"/>
          </w:tcPr>
          <w:p w14:paraId="7958295B" w14:textId="77777777" w:rsidR="00913A0A" w:rsidRPr="0058047D" w:rsidRDefault="00913A0A" w:rsidP="001A63C6">
            <w:pPr>
              <w:pStyle w:val="TableText"/>
              <w:widowControl w:val="0"/>
              <w:rPr>
                <w:rFonts w:ascii="Tahoma" w:hAnsi="Tahoma" w:cs="Tahoma"/>
                <w:color w:val="000000"/>
                <w:sz w:val="13"/>
              </w:rPr>
            </w:pPr>
          </w:p>
        </w:tc>
        <w:tc>
          <w:tcPr>
            <w:tcW w:w="456" w:type="dxa"/>
            <w:gridSpan w:val="2"/>
            <w:tcBorders>
              <w:bottom w:val="single" w:sz="4" w:space="0" w:color="auto"/>
            </w:tcBorders>
            <w:shd w:val="clear" w:color="auto" w:fill="FABF8F"/>
            <w:vAlign w:val="center"/>
          </w:tcPr>
          <w:p w14:paraId="463777DA"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8FDC055"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9C86A6D" w14:textId="77777777" w:rsidR="00913A0A" w:rsidRPr="0058047D" w:rsidRDefault="00913A0A" w:rsidP="001A63C6">
            <w:pPr>
              <w:pStyle w:val="TableText"/>
              <w:widowControl w:val="0"/>
              <w:rPr>
                <w:rFonts w:ascii="Tahoma" w:hAnsi="Tahoma" w:cs="Tahoma"/>
                <w:color w:val="000000"/>
                <w:sz w:val="13"/>
              </w:rPr>
            </w:pPr>
          </w:p>
        </w:tc>
        <w:tc>
          <w:tcPr>
            <w:tcW w:w="336" w:type="dxa"/>
            <w:tcBorders>
              <w:bottom w:val="single" w:sz="4" w:space="0" w:color="auto"/>
              <w:right w:val="single" w:sz="18" w:space="0" w:color="auto"/>
            </w:tcBorders>
            <w:shd w:val="clear" w:color="auto" w:fill="FABF8F"/>
            <w:vAlign w:val="center"/>
          </w:tcPr>
          <w:p w14:paraId="38A7A081" w14:textId="77777777" w:rsidR="00913A0A" w:rsidRPr="0058047D" w:rsidRDefault="00913A0A" w:rsidP="001A63C6">
            <w:pPr>
              <w:pStyle w:val="TableText"/>
              <w:widowControl w:val="0"/>
              <w:rPr>
                <w:rFonts w:ascii="Tahoma" w:hAnsi="Tahoma" w:cs="Tahoma"/>
                <w:color w:val="000000"/>
                <w:sz w:val="13"/>
              </w:rPr>
            </w:pPr>
          </w:p>
        </w:tc>
        <w:tc>
          <w:tcPr>
            <w:tcW w:w="477" w:type="dxa"/>
            <w:tcBorders>
              <w:left w:val="single" w:sz="18" w:space="0" w:color="auto"/>
              <w:bottom w:val="single" w:sz="4" w:space="0" w:color="auto"/>
            </w:tcBorders>
            <w:shd w:val="clear" w:color="auto" w:fill="FABF8F"/>
            <w:vAlign w:val="center"/>
          </w:tcPr>
          <w:p w14:paraId="11C54497"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7E51285" w14:textId="77777777" w:rsidR="00913A0A" w:rsidRPr="0058047D" w:rsidRDefault="00913A0A" w:rsidP="001A63C6">
            <w:pPr>
              <w:pStyle w:val="TableText"/>
              <w:widowControl w:val="0"/>
              <w:rPr>
                <w:rFonts w:ascii="Tahoma" w:hAnsi="Tahoma" w:cs="Tahoma"/>
                <w:color w:val="000000"/>
                <w:sz w:val="13"/>
              </w:rPr>
            </w:pPr>
          </w:p>
        </w:tc>
        <w:tc>
          <w:tcPr>
            <w:tcW w:w="414" w:type="dxa"/>
            <w:tcBorders>
              <w:bottom w:val="single" w:sz="4" w:space="0" w:color="auto"/>
              <w:right w:val="single" w:sz="18" w:space="0" w:color="auto"/>
            </w:tcBorders>
            <w:shd w:val="clear" w:color="auto" w:fill="FABF8F"/>
            <w:vAlign w:val="center"/>
          </w:tcPr>
          <w:p w14:paraId="0A0464F7" w14:textId="77777777" w:rsidR="00913A0A" w:rsidRPr="0058047D" w:rsidRDefault="00913A0A" w:rsidP="001A63C6">
            <w:pPr>
              <w:pStyle w:val="TableText"/>
              <w:widowControl w:val="0"/>
              <w:rPr>
                <w:rFonts w:ascii="Tahoma" w:hAnsi="Tahoma" w:cs="Tahoma"/>
                <w:color w:val="000000"/>
                <w:sz w:val="13"/>
              </w:rPr>
            </w:pPr>
          </w:p>
        </w:tc>
        <w:tc>
          <w:tcPr>
            <w:tcW w:w="468" w:type="dxa"/>
            <w:tcBorders>
              <w:left w:val="single" w:sz="18" w:space="0" w:color="auto"/>
              <w:bottom w:val="single" w:sz="4" w:space="0" w:color="auto"/>
            </w:tcBorders>
            <w:shd w:val="clear" w:color="auto" w:fill="FABF8F"/>
            <w:vAlign w:val="center"/>
          </w:tcPr>
          <w:p w14:paraId="65A219BE"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1</w:t>
            </w:r>
          </w:p>
        </w:tc>
        <w:tc>
          <w:tcPr>
            <w:tcW w:w="477" w:type="dxa"/>
            <w:tcBorders>
              <w:bottom w:val="single" w:sz="4" w:space="0" w:color="auto"/>
              <w:right w:val="single" w:sz="18" w:space="0" w:color="auto"/>
            </w:tcBorders>
            <w:shd w:val="clear" w:color="auto" w:fill="FABF8F"/>
            <w:vAlign w:val="center"/>
          </w:tcPr>
          <w:p w14:paraId="16C268D7" w14:textId="77777777" w:rsidR="00913A0A" w:rsidRPr="0058047D" w:rsidRDefault="00913A0A" w:rsidP="001A63C6">
            <w:pPr>
              <w:pStyle w:val="TableText"/>
              <w:widowControl w:val="0"/>
              <w:rPr>
                <w:rFonts w:ascii="Tahoma" w:hAnsi="Tahoma" w:cs="Tahoma"/>
                <w:color w:val="000000"/>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3B3CB947" w14:textId="77777777" w:rsidR="00913A0A" w:rsidRPr="0058047D" w:rsidRDefault="00913A0A" w:rsidP="001A63C6">
            <w:pPr>
              <w:pStyle w:val="TableText"/>
              <w:widowControl w:val="0"/>
              <w:rPr>
                <w:rFonts w:ascii="Tahoma" w:hAnsi="Tahoma" w:cs="Tahoma"/>
                <w:color w:val="000000"/>
                <w:sz w:val="13"/>
              </w:rPr>
            </w:pPr>
          </w:p>
        </w:tc>
        <w:tc>
          <w:tcPr>
            <w:tcW w:w="655" w:type="dxa"/>
            <w:tcBorders>
              <w:bottom w:val="single" w:sz="4" w:space="0" w:color="auto"/>
            </w:tcBorders>
            <w:shd w:val="clear" w:color="auto" w:fill="FABF8F"/>
          </w:tcPr>
          <w:p w14:paraId="239CA2F9"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rPr>
              <w:t>A</w:t>
            </w:r>
          </w:p>
        </w:tc>
        <w:tc>
          <w:tcPr>
            <w:tcW w:w="504" w:type="dxa"/>
            <w:tcBorders>
              <w:bottom w:val="single" w:sz="4" w:space="0" w:color="auto"/>
            </w:tcBorders>
            <w:shd w:val="clear" w:color="auto" w:fill="FABF8F"/>
            <w:vAlign w:val="center"/>
          </w:tcPr>
          <w:p w14:paraId="4B24FD8D" w14:textId="77777777" w:rsidR="00913A0A" w:rsidRPr="0058047D" w:rsidRDefault="00913A0A" w:rsidP="001A63C6">
            <w:pPr>
              <w:pStyle w:val="TableText"/>
              <w:widowControl w:val="0"/>
              <w:rPr>
                <w:rFonts w:ascii="Tahoma" w:hAnsi="Tahoma" w:cs="Tahoma"/>
                <w:color w:val="000000"/>
                <w:sz w:val="13"/>
              </w:rPr>
            </w:pPr>
          </w:p>
        </w:tc>
        <w:tc>
          <w:tcPr>
            <w:tcW w:w="405" w:type="dxa"/>
            <w:tcBorders>
              <w:bottom w:val="single" w:sz="4" w:space="0" w:color="auto"/>
            </w:tcBorders>
            <w:shd w:val="clear" w:color="auto" w:fill="FABF8F"/>
          </w:tcPr>
          <w:p w14:paraId="651FF4EB" w14:textId="77777777" w:rsidR="00913A0A" w:rsidRPr="0058047D" w:rsidRDefault="00913A0A" w:rsidP="001A63C6">
            <w:pPr>
              <w:pStyle w:val="TableText"/>
              <w:widowControl w:val="0"/>
              <w:rPr>
                <w:rFonts w:ascii="Tahoma" w:hAnsi="Tahoma" w:cs="Tahoma"/>
                <w:color w:val="000000"/>
                <w:sz w:val="13"/>
              </w:rPr>
            </w:pPr>
          </w:p>
        </w:tc>
      </w:tr>
      <w:tr w:rsidR="009323A0" w:rsidRPr="0058047D" w14:paraId="51E991BF" w14:textId="77777777" w:rsidTr="00C86F50">
        <w:trPr>
          <w:trHeight w:val="145"/>
        </w:trPr>
        <w:tc>
          <w:tcPr>
            <w:tcW w:w="2619" w:type="dxa"/>
            <w:gridSpan w:val="2"/>
            <w:tcBorders>
              <w:bottom w:val="single" w:sz="4" w:space="0" w:color="auto"/>
            </w:tcBorders>
            <w:shd w:val="clear" w:color="auto" w:fill="auto"/>
            <w:vAlign w:val="center"/>
          </w:tcPr>
          <w:p w14:paraId="2B117ED6" w14:textId="77777777" w:rsidR="00913A0A" w:rsidRPr="003F471F" w:rsidRDefault="00913A0A" w:rsidP="001F5E7D">
            <w:pPr>
              <w:pStyle w:val="ProductNames"/>
              <w:spacing w:beforeLines="10" w:before="24" w:afterLines="10" w:after="24"/>
              <w:rPr>
                <w:rFonts w:ascii="Tahoma" w:hAnsi="Tahoma" w:cs="Tahoma"/>
                <w:sz w:val="14"/>
                <w:lang w:val="it-IT"/>
              </w:rPr>
            </w:pPr>
            <w:bookmarkStart w:id="391" w:name="_Toc257333903"/>
            <w:bookmarkStart w:id="392" w:name="_Toc336338067"/>
            <w:bookmarkStart w:id="393" w:name="_Toc371663473"/>
            <w:r w:rsidRPr="003F471F">
              <w:rPr>
                <w:rFonts w:ascii="Tahoma" w:hAnsi="Tahoma" w:cs="Tahoma"/>
                <w:sz w:val="14"/>
                <w:lang w:val="it-IT"/>
              </w:rPr>
              <w:t>Licenza di Gestione Server Enterprise per</w:t>
            </w:r>
            <w:r w:rsidR="001F5E7D" w:rsidRPr="003F471F">
              <w:rPr>
                <w:rFonts w:ascii="Tahoma" w:hAnsi="Tahoma" w:cs="Tahoma"/>
                <w:sz w:val="14"/>
                <w:lang w:val="it-IT"/>
              </w:rPr>
              <w:t> </w:t>
            </w:r>
            <w:r w:rsidRPr="003F471F">
              <w:rPr>
                <w:rFonts w:ascii="Tahoma" w:hAnsi="Tahoma" w:cs="Tahoma"/>
                <w:sz w:val="14"/>
                <w:lang w:val="it-IT"/>
              </w:rPr>
              <w:t>System Center Data Protection Manager 2010</w:t>
            </w:r>
            <w:bookmarkEnd w:id="391"/>
            <w:bookmarkEnd w:id="392"/>
            <w:bookmarkEnd w:id="393"/>
            <w:r w:rsidRPr="003F471F">
              <w:rPr>
                <w:rFonts w:ascii="Tahoma" w:hAnsi="Tahoma" w:cs="Tahoma"/>
                <w:sz w:val="14"/>
                <w:lang w:val="it-IT"/>
              </w:rPr>
              <w:t xml:space="preserve"> </w:t>
            </w:r>
          </w:p>
        </w:tc>
        <w:tc>
          <w:tcPr>
            <w:tcW w:w="554" w:type="dxa"/>
            <w:tcBorders>
              <w:bottom w:val="single" w:sz="4" w:space="0" w:color="auto"/>
            </w:tcBorders>
            <w:shd w:val="clear" w:color="auto" w:fill="auto"/>
            <w:vAlign w:val="center"/>
          </w:tcPr>
          <w:p w14:paraId="593BAD89" w14:textId="77777777" w:rsidR="00913A0A" w:rsidRPr="003F471F" w:rsidRDefault="00913A0A" w:rsidP="001A63C6">
            <w:pPr>
              <w:pStyle w:val="TableText"/>
              <w:widowControl w:val="0"/>
              <w:jc w:val="left"/>
              <w:rPr>
                <w:rStyle w:val="EndnoteReference"/>
                <w:sz w:val="13"/>
                <w:szCs w:val="13"/>
                <w:u w:val="single"/>
                <w:lang w:val="it-IT"/>
              </w:rPr>
            </w:pPr>
          </w:p>
        </w:tc>
        <w:tc>
          <w:tcPr>
            <w:tcW w:w="516" w:type="dxa"/>
            <w:tcBorders>
              <w:bottom w:val="single" w:sz="4" w:space="0" w:color="auto"/>
            </w:tcBorders>
            <w:shd w:val="clear" w:color="auto" w:fill="auto"/>
          </w:tcPr>
          <w:p w14:paraId="617D39C8" w14:textId="77777777" w:rsidR="00913A0A" w:rsidRPr="0058047D" w:rsidRDefault="00913A0A" w:rsidP="001A63C6">
            <w:pPr>
              <w:pStyle w:val="TableText"/>
              <w:widowControl w:val="0"/>
              <w:spacing w:before="180"/>
              <w:rPr>
                <w:rFonts w:ascii="Tahoma" w:hAnsi="Tahoma" w:cs="Tahoma"/>
                <w:color w:val="000000"/>
                <w:sz w:val="13"/>
              </w:rPr>
            </w:pPr>
            <w:r w:rsidRPr="0058047D">
              <w:rPr>
                <w:rFonts w:ascii="Tahoma" w:hAnsi="Tahoma" w:cs="Tahoma"/>
                <w:sz w:val="13"/>
              </w:rPr>
              <w:t>06/10</w:t>
            </w:r>
          </w:p>
        </w:tc>
        <w:tc>
          <w:tcPr>
            <w:tcW w:w="358" w:type="dxa"/>
            <w:tcBorders>
              <w:bottom w:val="single" w:sz="4" w:space="0" w:color="auto"/>
              <w:right w:val="single" w:sz="18" w:space="0" w:color="auto"/>
            </w:tcBorders>
            <w:shd w:val="clear" w:color="auto" w:fill="auto"/>
            <w:vAlign w:val="center"/>
          </w:tcPr>
          <w:p w14:paraId="1C1EA5C5"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auto"/>
            <w:vAlign w:val="center"/>
          </w:tcPr>
          <w:p w14:paraId="5ECA308F" w14:textId="77777777" w:rsidR="00913A0A" w:rsidRPr="0058047D" w:rsidRDefault="00913A0A" w:rsidP="001A63C6">
            <w:pPr>
              <w:pStyle w:val="TableText"/>
              <w:widowControl w:val="0"/>
              <w:rPr>
                <w:rFonts w:ascii="Tahoma" w:hAnsi="Tahoma" w:cs="Tahoma"/>
                <w:color w:val="000000"/>
                <w:sz w:val="13"/>
              </w:rPr>
            </w:pPr>
          </w:p>
        </w:tc>
        <w:tc>
          <w:tcPr>
            <w:tcW w:w="324" w:type="dxa"/>
            <w:tcBorders>
              <w:bottom w:val="single" w:sz="4" w:space="0" w:color="auto"/>
            </w:tcBorders>
            <w:shd w:val="clear" w:color="auto" w:fill="auto"/>
            <w:vAlign w:val="center"/>
          </w:tcPr>
          <w:p w14:paraId="0DB5CE6C" w14:textId="77777777" w:rsidR="00913A0A" w:rsidRPr="0058047D" w:rsidRDefault="00913A0A" w:rsidP="001A63C6">
            <w:pPr>
              <w:pStyle w:val="TableText"/>
              <w:widowControl w:val="0"/>
              <w:rPr>
                <w:rFonts w:ascii="Tahoma" w:hAnsi="Tahoma" w:cs="Tahoma"/>
                <w:color w:val="000000"/>
                <w:sz w:val="13"/>
              </w:rPr>
            </w:pPr>
          </w:p>
        </w:tc>
        <w:tc>
          <w:tcPr>
            <w:tcW w:w="366" w:type="dxa"/>
            <w:tcBorders>
              <w:bottom w:val="single" w:sz="4" w:space="0" w:color="auto"/>
            </w:tcBorders>
            <w:shd w:val="clear" w:color="auto" w:fill="auto"/>
            <w:vAlign w:val="center"/>
          </w:tcPr>
          <w:p w14:paraId="12BCAB00" w14:textId="77777777" w:rsidR="00913A0A" w:rsidRPr="0058047D" w:rsidRDefault="00913A0A" w:rsidP="001A63C6">
            <w:pPr>
              <w:pStyle w:val="TableText"/>
              <w:widowControl w:val="0"/>
              <w:rPr>
                <w:rFonts w:ascii="Tahoma" w:hAnsi="Tahoma" w:cs="Tahoma"/>
                <w:color w:val="000000"/>
                <w:sz w:val="13"/>
              </w:rPr>
            </w:pPr>
          </w:p>
        </w:tc>
        <w:tc>
          <w:tcPr>
            <w:tcW w:w="456" w:type="dxa"/>
            <w:gridSpan w:val="2"/>
            <w:tcBorders>
              <w:bottom w:val="single" w:sz="4" w:space="0" w:color="auto"/>
            </w:tcBorders>
            <w:shd w:val="clear" w:color="auto" w:fill="auto"/>
            <w:vAlign w:val="center"/>
          </w:tcPr>
          <w:p w14:paraId="6AF8E774"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9D43FC7"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E9FB234" w14:textId="77777777" w:rsidR="00913A0A" w:rsidRPr="0058047D" w:rsidRDefault="00913A0A" w:rsidP="001A63C6">
            <w:pPr>
              <w:pStyle w:val="TableText"/>
              <w:widowControl w:val="0"/>
              <w:rPr>
                <w:rFonts w:ascii="Tahoma" w:hAnsi="Tahoma" w:cs="Tahoma"/>
                <w:color w:val="000000"/>
                <w:sz w:val="13"/>
              </w:rPr>
            </w:pPr>
          </w:p>
        </w:tc>
        <w:tc>
          <w:tcPr>
            <w:tcW w:w="336" w:type="dxa"/>
            <w:tcBorders>
              <w:bottom w:val="single" w:sz="4" w:space="0" w:color="auto"/>
              <w:right w:val="single" w:sz="18" w:space="0" w:color="auto"/>
            </w:tcBorders>
            <w:shd w:val="clear" w:color="auto" w:fill="auto"/>
            <w:vAlign w:val="center"/>
          </w:tcPr>
          <w:p w14:paraId="1F842080" w14:textId="77777777" w:rsidR="00913A0A" w:rsidRPr="0058047D" w:rsidRDefault="00913A0A" w:rsidP="001A63C6">
            <w:pPr>
              <w:pStyle w:val="TableText"/>
              <w:widowControl w:val="0"/>
              <w:rPr>
                <w:rFonts w:ascii="Tahoma" w:hAnsi="Tahoma" w:cs="Tahoma"/>
                <w:color w:val="000000"/>
                <w:sz w:val="13"/>
              </w:rPr>
            </w:pPr>
          </w:p>
        </w:tc>
        <w:tc>
          <w:tcPr>
            <w:tcW w:w="477" w:type="dxa"/>
            <w:tcBorders>
              <w:left w:val="single" w:sz="18" w:space="0" w:color="auto"/>
              <w:bottom w:val="single" w:sz="4" w:space="0" w:color="auto"/>
            </w:tcBorders>
            <w:shd w:val="clear" w:color="auto" w:fill="auto"/>
            <w:vAlign w:val="center"/>
          </w:tcPr>
          <w:p w14:paraId="2ADF9D67"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FA63628" w14:textId="77777777" w:rsidR="00913A0A" w:rsidRPr="0058047D" w:rsidRDefault="00913A0A" w:rsidP="001A63C6">
            <w:pPr>
              <w:pStyle w:val="TableText"/>
              <w:widowControl w:val="0"/>
              <w:rPr>
                <w:rFonts w:ascii="Tahoma" w:hAnsi="Tahoma" w:cs="Tahoma"/>
                <w:color w:val="000000"/>
                <w:sz w:val="13"/>
              </w:rPr>
            </w:pPr>
          </w:p>
        </w:tc>
        <w:tc>
          <w:tcPr>
            <w:tcW w:w="414" w:type="dxa"/>
            <w:tcBorders>
              <w:bottom w:val="single" w:sz="4" w:space="0" w:color="auto"/>
              <w:right w:val="single" w:sz="18" w:space="0" w:color="auto"/>
            </w:tcBorders>
            <w:shd w:val="clear" w:color="auto" w:fill="auto"/>
            <w:vAlign w:val="center"/>
          </w:tcPr>
          <w:p w14:paraId="06789026" w14:textId="77777777" w:rsidR="00913A0A" w:rsidRPr="0058047D" w:rsidRDefault="00913A0A" w:rsidP="001A63C6">
            <w:pPr>
              <w:pStyle w:val="TableText"/>
              <w:widowControl w:val="0"/>
              <w:rPr>
                <w:rFonts w:ascii="Tahoma" w:hAnsi="Tahoma" w:cs="Tahoma"/>
                <w:color w:val="000000"/>
                <w:sz w:val="13"/>
              </w:rPr>
            </w:pPr>
          </w:p>
        </w:tc>
        <w:tc>
          <w:tcPr>
            <w:tcW w:w="468" w:type="dxa"/>
            <w:tcBorders>
              <w:left w:val="single" w:sz="18" w:space="0" w:color="auto"/>
              <w:bottom w:val="single" w:sz="4" w:space="0" w:color="auto"/>
            </w:tcBorders>
            <w:shd w:val="clear" w:color="auto" w:fill="auto"/>
            <w:vAlign w:val="center"/>
          </w:tcPr>
          <w:p w14:paraId="5A3EBFB2"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5</w:t>
            </w:r>
          </w:p>
        </w:tc>
        <w:tc>
          <w:tcPr>
            <w:tcW w:w="477" w:type="dxa"/>
            <w:tcBorders>
              <w:bottom w:val="single" w:sz="4" w:space="0" w:color="auto"/>
              <w:right w:val="single" w:sz="18" w:space="0" w:color="auto"/>
            </w:tcBorders>
            <w:shd w:val="clear" w:color="auto" w:fill="auto"/>
            <w:vAlign w:val="center"/>
          </w:tcPr>
          <w:p w14:paraId="344CEADA" w14:textId="77777777" w:rsidR="00913A0A" w:rsidRPr="0058047D" w:rsidRDefault="00913A0A" w:rsidP="001A63C6">
            <w:pPr>
              <w:pStyle w:val="TableText"/>
              <w:widowControl w:val="0"/>
              <w:rPr>
                <w:rFonts w:ascii="Tahoma" w:hAnsi="Tahoma" w:cs="Tahoma"/>
                <w:color w:val="000000"/>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05DA8936" w14:textId="77777777" w:rsidR="00913A0A" w:rsidRPr="0058047D" w:rsidRDefault="00913A0A" w:rsidP="001A63C6">
            <w:pPr>
              <w:pStyle w:val="TableText"/>
              <w:widowControl w:val="0"/>
              <w:rPr>
                <w:rFonts w:ascii="Tahoma" w:hAnsi="Tahoma" w:cs="Tahoma"/>
                <w:color w:val="000000"/>
                <w:sz w:val="13"/>
              </w:rPr>
            </w:pPr>
          </w:p>
        </w:tc>
        <w:tc>
          <w:tcPr>
            <w:tcW w:w="655" w:type="dxa"/>
            <w:tcBorders>
              <w:bottom w:val="single" w:sz="4" w:space="0" w:color="auto"/>
            </w:tcBorders>
            <w:shd w:val="clear" w:color="auto" w:fill="auto"/>
          </w:tcPr>
          <w:p w14:paraId="2BCE9231"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rPr>
              <w:t>AO, ST</w:t>
            </w:r>
          </w:p>
        </w:tc>
        <w:tc>
          <w:tcPr>
            <w:tcW w:w="504" w:type="dxa"/>
            <w:tcBorders>
              <w:bottom w:val="single" w:sz="4" w:space="0" w:color="auto"/>
            </w:tcBorders>
            <w:shd w:val="clear" w:color="auto" w:fill="auto"/>
            <w:vAlign w:val="center"/>
          </w:tcPr>
          <w:p w14:paraId="2ECB36C5" w14:textId="77777777" w:rsidR="00913A0A" w:rsidRPr="0058047D" w:rsidRDefault="00913A0A" w:rsidP="001A63C6">
            <w:pPr>
              <w:pStyle w:val="TableText"/>
              <w:widowControl w:val="0"/>
              <w:rPr>
                <w:rFonts w:ascii="Tahoma" w:hAnsi="Tahoma" w:cs="Tahoma"/>
                <w:color w:val="000000"/>
                <w:sz w:val="13"/>
              </w:rPr>
            </w:pPr>
          </w:p>
        </w:tc>
        <w:tc>
          <w:tcPr>
            <w:tcW w:w="405" w:type="dxa"/>
            <w:tcBorders>
              <w:bottom w:val="single" w:sz="4" w:space="0" w:color="auto"/>
            </w:tcBorders>
          </w:tcPr>
          <w:p w14:paraId="4500FCA8" w14:textId="77777777" w:rsidR="00913A0A" w:rsidRPr="0058047D" w:rsidRDefault="00913A0A" w:rsidP="001A63C6">
            <w:pPr>
              <w:pStyle w:val="TableText"/>
              <w:widowControl w:val="0"/>
              <w:rPr>
                <w:rFonts w:ascii="Tahoma" w:hAnsi="Tahoma" w:cs="Tahoma"/>
                <w:color w:val="000000"/>
                <w:sz w:val="13"/>
              </w:rPr>
            </w:pPr>
          </w:p>
        </w:tc>
      </w:tr>
      <w:tr w:rsidR="009323A0" w:rsidRPr="0058047D" w14:paraId="22FCA211" w14:textId="77777777" w:rsidTr="00C86F50">
        <w:trPr>
          <w:trHeight w:val="145"/>
        </w:trPr>
        <w:tc>
          <w:tcPr>
            <w:tcW w:w="2619" w:type="dxa"/>
            <w:gridSpan w:val="2"/>
            <w:tcBorders>
              <w:bottom w:val="single" w:sz="4" w:space="0" w:color="auto"/>
            </w:tcBorders>
            <w:shd w:val="clear" w:color="auto" w:fill="FABF8F"/>
            <w:vAlign w:val="center"/>
          </w:tcPr>
          <w:p w14:paraId="088928A1" w14:textId="77777777" w:rsidR="00913A0A" w:rsidRPr="003F471F" w:rsidRDefault="00913A0A" w:rsidP="00E077BC">
            <w:pPr>
              <w:pStyle w:val="ProductNames"/>
              <w:spacing w:beforeLines="10" w:before="24" w:afterLines="10" w:after="24"/>
              <w:rPr>
                <w:rFonts w:ascii="Tahoma" w:hAnsi="Tahoma" w:cs="Tahoma"/>
                <w:sz w:val="14"/>
                <w:lang w:val="it-IT"/>
              </w:rPr>
            </w:pPr>
            <w:bookmarkStart w:id="394" w:name="_Toc257333904"/>
            <w:bookmarkStart w:id="395" w:name="_Toc336338068"/>
            <w:bookmarkStart w:id="396" w:name="_Toc371663474"/>
            <w:r w:rsidRPr="003F471F">
              <w:rPr>
                <w:rFonts w:ascii="Tahoma" w:hAnsi="Tahoma" w:cs="Tahoma"/>
                <w:sz w:val="14"/>
                <w:lang w:val="it-IT"/>
              </w:rPr>
              <w:t>Licenza di Gestione Server Standard per System Center Data Protection Manager 2010</w:t>
            </w:r>
            <w:bookmarkEnd w:id="394"/>
            <w:bookmarkEnd w:id="395"/>
            <w:bookmarkEnd w:id="396"/>
            <w:r w:rsidRPr="003F471F">
              <w:rPr>
                <w:rFonts w:ascii="Tahoma" w:hAnsi="Tahoma" w:cs="Tahoma"/>
                <w:sz w:val="14"/>
                <w:lang w:val="it-IT"/>
              </w:rPr>
              <w:t xml:space="preserve"> </w:t>
            </w:r>
          </w:p>
        </w:tc>
        <w:tc>
          <w:tcPr>
            <w:tcW w:w="554" w:type="dxa"/>
            <w:tcBorders>
              <w:bottom w:val="single" w:sz="4" w:space="0" w:color="auto"/>
            </w:tcBorders>
            <w:shd w:val="clear" w:color="auto" w:fill="FABF8F"/>
            <w:vAlign w:val="center"/>
          </w:tcPr>
          <w:p w14:paraId="10E84C9B" w14:textId="77777777" w:rsidR="00913A0A" w:rsidRPr="003F471F" w:rsidRDefault="00913A0A" w:rsidP="001A63C6">
            <w:pPr>
              <w:pStyle w:val="TableText"/>
              <w:widowControl w:val="0"/>
              <w:rPr>
                <w:rStyle w:val="EndnoteReference"/>
                <w:color w:val="0000FF"/>
                <w:sz w:val="13"/>
                <w:szCs w:val="13"/>
                <w:u w:val="single"/>
                <w:lang w:val="it-IT"/>
              </w:rPr>
            </w:pPr>
          </w:p>
        </w:tc>
        <w:tc>
          <w:tcPr>
            <w:tcW w:w="516" w:type="dxa"/>
            <w:tcBorders>
              <w:bottom w:val="single" w:sz="4" w:space="0" w:color="auto"/>
            </w:tcBorders>
            <w:shd w:val="clear" w:color="auto" w:fill="FABF8F"/>
          </w:tcPr>
          <w:p w14:paraId="3ACF9EEA" w14:textId="77777777" w:rsidR="00913A0A" w:rsidRPr="0058047D" w:rsidRDefault="00913A0A" w:rsidP="001A63C6">
            <w:pPr>
              <w:pStyle w:val="TableText"/>
              <w:widowControl w:val="0"/>
              <w:spacing w:before="180"/>
              <w:rPr>
                <w:rFonts w:ascii="Tahoma" w:hAnsi="Tahoma" w:cs="Tahoma"/>
                <w:color w:val="000000"/>
                <w:sz w:val="13"/>
              </w:rPr>
            </w:pPr>
            <w:r w:rsidRPr="0058047D">
              <w:rPr>
                <w:rFonts w:ascii="Tahoma" w:hAnsi="Tahoma" w:cs="Tahoma"/>
                <w:sz w:val="13"/>
              </w:rPr>
              <w:t>06/10</w:t>
            </w:r>
          </w:p>
        </w:tc>
        <w:tc>
          <w:tcPr>
            <w:tcW w:w="358" w:type="dxa"/>
            <w:tcBorders>
              <w:bottom w:val="single" w:sz="4" w:space="0" w:color="auto"/>
              <w:right w:val="single" w:sz="18" w:space="0" w:color="auto"/>
            </w:tcBorders>
            <w:shd w:val="clear" w:color="auto" w:fill="FABF8F"/>
            <w:vAlign w:val="center"/>
          </w:tcPr>
          <w:p w14:paraId="4A105139"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FABF8F"/>
            <w:vAlign w:val="center"/>
          </w:tcPr>
          <w:p w14:paraId="6F08C5DB" w14:textId="77777777" w:rsidR="00913A0A" w:rsidRPr="0058047D" w:rsidRDefault="00913A0A" w:rsidP="001A63C6">
            <w:pPr>
              <w:pStyle w:val="TableText"/>
              <w:widowControl w:val="0"/>
              <w:rPr>
                <w:rFonts w:ascii="Tahoma" w:hAnsi="Tahoma" w:cs="Tahoma"/>
                <w:color w:val="000000"/>
                <w:sz w:val="13"/>
              </w:rPr>
            </w:pPr>
          </w:p>
        </w:tc>
        <w:tc>
          <w:tcPr>
            <w:tcW w:w="324" w:type="dxa"/>
            <w:tcBorders>
              <w:bottom w:val="single" w:sz="4" w:space="0" w:color="auto"/>
            </w:tcBorders>
            <w:shd w:val="clear" w:color="auto" w:fill="FABF8F"/>
            <w:vAlign w:val="center"/>
          </w:tcPr>
          <w:p w14:paraId="3E9B4DB5" w14:textId="77777777" w:rsidR="00913A0A" w:rsidRPr="0058047D" w:rsidRDefault="00913A0A" w:rsidP="001A63C6">
            <w:pPr>
              <w:pStyle w:val="TableText"/>
              <w:widowControl w:val="0"/>
              <w:rPr>
                <w:rFonts w:ascii="Tahoma" w:hAnsi="Tahoma" w:cs="Tahoma"/>
                <w:color w:val="000000"/>
                <w:sz w:val="13"/>
              </w:rPr>
            </w:pPr>
          </w:p>
        </w:tc>
        <w:tc>
          <w:tcPr>
            <w:tcW w:w="366" w:type="dxa"/>
            <w:tcBorders>
              <w:bottom w:val="single" w:sz="4" w:space="0" w:color="auto"/>
            </w:tcBorders>
            <w:shd w:val="clear" w:color="auto" w:fill="FABF8F"/>
            <w:vAlign w:val="center"/>
          </w:tcPr>
          <w:p w14:paraId="6700E900" w14:textId="77777777" w:rsidR="00913A0A" w:rsidRPr="0058047D" w:rsidRDefault="00913A0A" w:rsidP="001A63C6">
            <w:pPr>
              <w:pStyle w:val="TableText"/>
              <w:widowControl w:val="0"/>
              <w:rPr>
                <w:rFonts w:ascii="Tahoma" w:hAnsi="Tahoma" w:cs="Tahoma"/>
                <w:color w:val="000000"/>
                <w:sz w:val="13"/>
              </w:rPr>
            </w:pPr>
          </w:p>
        </w:tc>
        <w:tc>
          <w:tcPr>
            <w:tcW w:w="456" w:type="dxa"/>
            <w:gridSpan w:val="2"/>
            <w:tcBorders>
              <w:bottom w:val="single" w:sz="4" w:space="0" w:color="auto"/>
            </w:tcBorders>
            <w:shd w:val="clear" w:color="auto" w:fill="FABF8F"/>
            <w:vAlign w:val="center"/>
          </w:tcPr>
          <w:p w14:paraId="28F79372"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3CE04C37"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3D89E9E" w14:textId="77777777" w:rsidR="00913A0A" w:rsidRPr="0058047D" w:rsidRDefault="00913A0A" w:rsidP="001A63C6">
            <w:pPr>
              <w:pStyle w:val="TableText"/>
              <w:widowControl w:val="0"/>
              <w:rPr>
                <w:rFonts w:ascii="Tahoma" w:hAnsi="Tahoma" w:cs="Tahoma"/>
                <w:color w:val="000000"/>
                <w:sz w:val="13"/>
              </w:rPr>
            </w:pPr>
          </w:p>
        </w:tc>
        <w:tc>
          <w:tcPr>
            <w:tcW w:w="336" w:type="dxa"/>
            <w:tcBorders>
              <w:bottom w:val="single" w:sz="4" w:space="0" w:color="auto"/>
              <w:right w:val="single" w:sz="18" w:space="0" w:color="auto"/>
            </w:tcBorders>
            <w:shd w:val="clear" w:color="auto" w:fill="FABF8F"/>
            <w:vAlign w:val="center"/>
          </w:tcPr>
          <w:p w14:paraId="2849D590" w14:textId="77777777" w:rsidR="00913A0A" w:rsidRPr="0058047D" w:rsidRDefault="00913A0A" w:rsidP="001A63C6">
            <w:pPr>
              <w:pStyle w:val="TableText"/>
              <w:widowControl w:val="0"/>
              <w:rPr>
                <w:rFonts w:ascii="Tahoma" w:hAnsi="Tahoma" w:cs="Tahoma"/>
                <w:color w:val="000000"/>
                <w:sz w:val="13"/>
              </w:rPr>
            </w:pPr>
          </w:p>
        </w:tc>
        <w:tc>
          <w:tcPr>
            <w:tcW w:w="477" w:type="dxa"/>
            <w:tcBorders>
              <w:left w:val="single" w:sz="18" w:space="0" w:color="auto"/>
              <w:bottom w:val="single" w:sz="4" w:space="0" w:color="auto"/>
            </w:tcBorders>
            <w:shd w:val="clear" w:color="auto" w:fill="FABF8F"/>
            <w:vAlign w:val="center"/>
          </w:tcPr>
          <w:p w14:paraId="3392B7B3"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E9E2552" w14:textId="77777777" w:rsidR="00913A0A" w:rsidRPr="0058047D" w:rsidRDefault="00913A0A" w:rsidP="001A63C6">
            <w:pPr>
              <w:pStyle w:val="TableText"/>
              <w:widowControl w:val="0"/>
              <w:rPr>
                <w:rFonts w:ascii="Tahoma" w:hAnsi="Tahoma" w:cs="Tahoma"/>
                <w:color w:val="000000"/>
                <w:sz w:val="13"/>
              </w:rPr>
            </w:pPr>
          </w:p>
        </w:tc>
        <w:tc>
          <w:tcPr>
            <w:tcW w:w="414" w:type="dxa"/>
            <w:tcBorders>
              <w:bottom w:val="single" w:sz="4" w:space="0" w:color="auto"/>
              <w:right w:val="single" w:sz="18" w:space="0" w:color="auto"/>
            </w:tcBorders>
            <w:shd w:val="clear" w:color="auto" w:fill="FABF8F"/>
            <w:vAlign w:val="center"/>
          </w:tcPr>
          <w:p w14:paraId="340A85B8" w14:textId="77777777" w:rsidR="00913A0A" w:rsidRPr="0058047D" w:rsidRDefault="00913A0A" w:rsidP="001A63C6">
            <w:pPr>
              <w:pStyle w:val="TableText"/>
              <w:widowControl w:val="0"/>
              <w:rPr>
                <w:rFonts w:ascii="Tahoma" w:hAnsi="Tahoma" w:cs="Tahoma"/>
                <w:color w:val="000000"/>
                <w:sz w:val="13"/>
              </w:rPr>
            </w:pPr>
          </w:p>
        </w:tc>
        <w:tc>
          <w:tcPr>
            <w:tcW w:w="468" w:type="dxa"/>
            <w:tcBorders>
              <w:left w:val="single" w:sz="18" w:space="0" w:color="auto"/>
              <w:bottom w:val="single" w:sz="4" w:space="0" w:color="auto"/>
            </w:tcBorders>
            <w:shd w:val="clear" w:color="auto" w:fill="FABF8F"/>
            <w:vAlign w:val="center"/>
          </w:tcPr>
          <w:p w14:paraId="12B8AFE6"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1</w:t>
            </w:r>
          </w:p>
        </w:tc>
        <w:tc>
          <w:tcPr>
            <w:tcW w:w="477" w:type="dxa"/>
            <w:tcBorders>
              <w:bottom w:val="single" w:sz="4" w:space="0" w:color="auto"/>
              <w:right w:val="single" w:sz="18" w:space="0" w:color="auto"/>
            </w:tcBorders>
            <w:shd w:val="clear" w:color="auto" w:fill="FABF8F"/>
            <w:vAlign w:val="center"/>
          </w:tcPr>
          <w:p w14:paraId="5240CC0B" w14:textId="77777777" w:rsidR="00913A0A" w:rsidRPr="0058047D" w:rsidRDefault="00913A0A" w:rsidP="001A63C6">
            <w:pPr>
              <w:pStyle w:val="TableText"/>
              <w:widowControl w:val="0"/>
              <w:rPr>
                <w:rFonts w:ascii="Tahoma" w:hAnsi="Tahoma" w:cs="Tahoma"/>
                <w:color w:val="000000"/>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1AE09266" w14:textId="77777777" w:rsidR="00913A0A" w:rsidRPr="0058047D" w:rsidRDefault="00913A0A" w:rsidP="001A63C6">
            <w:pPr>
              <w:pStyle w:val="TableText"/>
              <w:widowControl w:val="0"/>
              <w:rPr>
                <w:rFonts w:ascii="Tahoma" w:hAnsi="Tahoma" w:cs="Tahoma"/>
                <w:color w:val="000000"/>
                <w:sz w:val="13"/>
              </w:rPr>
            </w:pPr>
          </w:p>
        </w:tc>
        <w:tc>
          <w:tcPr>
            <w:tcW w:w="655" w:type="dxa"/>
            <w:tcBorders>
              <w:bottom w:val="single" w:sz="4" w:space="0" w:color="auto"/>
            </w:tcBorders>
            <w:shd w:val="clear" w:color="auto" w:fill="FABF8F"/>
          </w:tcPr>
          <w:p w14:paraId="345D02B6"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rPr>
              <w:t>AO, ST</w:t>
            </w:r>
          </w:p>
        </w:tc>
        <w:tc>
          <w:tcPr>
            <w:tcW w:w="504" w:type="dxa"/>
            <w:tcBorders>
              <w:bottom w:val="single" w:sz="4" w:space="0" w:color="auto"/>
            </w:tcBorders>
            <w:shd w:val="clear" w:color="auto" w:fill="FABF8F"/>
            <w:vAlign w:val="center"/>
          </w:tcPr>
          <w:p w14:paraId="6F3DC7AC" w14:textId="77777777" w:rsidR="00913A0A" w:rsidRPr="0058047D" w:rsidRDefault="00913A0A" w:rsidP="001A63C6">
            <w:pPr>
              <w:pStyle w:val="TableText"/>
              <w:widowControl w:val="0"/>
              <w:rPr>
                <w:rFonts w:ascii="Tahoma" w:hAnsi="Tahoma" w:cs="Tahoma"/>
                <w:color w:val="000000"/>
                <w:sz w:val="13"/>
              </w:rPr>
            </w:pPr>
          </w:p>
        </w:tc>
        <w:tc>
          <w:tcPr>
            <w:tcW w:w="405" w:type="dxa"/>
            <w:tcBorders>
              <w:bottom w:val="single" w:sz="4" w:space="0" w:color="auto"/>
            </w:tcBorders>
            <w:shd w:val="clear" w:color="auto" w:fill="FABF8F"/>
          </w:tcPr>
          <w:p w14:paraId="3021FD3C" w14:textId="77777777" w:rsidR="00913A0A" w:rsidRPr="0058047D" w:rsidRDefault="00913A0A" w:rsidP="001A63C6">
            <w:pPr>
              <w:pStyle w:val="TableText"/>
              <w:widowControl w:val="0"/>
              <w:rPr>
                <w:rFonts w:ascii="Tahoma" w:hAnsi="Tahoma" w:cs="Tahoma"/>
                <w:color w:val="000000"/>
                <w:sz w:val="13"/>
              </w:rPr>
            </w:pPr>
          </w:p>
        </w:tc>
      </w:tr>
      <w:tr w:rsidR="009323A0" w:rsidRPr="0058047D" w14:paraId="548F5FCA" w14:textId="77777777" w:rsidTr="00C86F50">
        <w:trPr>
          <w:trHeight w:val="145"/>
        </w:trPr>
        <w:tc>
          <w:tcPr>
            <w:tcW w:w="2619" w:type="dxa"/>
            <w:gridSpan w:val="2"/>
            <w:tcBorders>
              <w:bottom w:val="single" w:sz="4" w:space="0" w:color="auto"/>
            </w:tcBorders>
            <w:shd w:val="clear" w:color="auto" w:fill="auto"/>
            <w:vAlign w:val="center"/>
          </w:tcPr>
          <w:p w14:paraId="50E233A7" w14:textId="77777777" w:rsidR="00913A0A" w:rsidRPr="0058047D" w:rsidRDefault="00913A0A" w:rsidP="00E077BC">
            <w:pPr>
              <w:pStyle w:val="ProductNames"/>
              <w:spacing w:beforeLines="20" w:before="48" w:afterLines="20" w:after="48"/>
              <w:rPr>
                <w:rFonts w:ascii="Tahoma" w:hAnsi="Tahoma" w:cs="Tahoma"/>
                <w:sz w:val="14"/>
              </w:rPr>
            </w:pPr>
            <w:bookmarkStart w:id="397" w:name="_Toc336338069"/>
            <w:bookmarkStart w:id="398" w:name="_Toc371663475"/>
            <w:bookmarkStart w:id="399" w:name="_Toc257333905"/>
            <w:r w:rsidRPr="0058047D">
              <w:rPr>
                <w:rFonts w:ascii="Tahoma" w:hAnsi="Tahoma" w:cs="Tahoma"/>
                <w:sz w:val="14"/>
              </w:rPr>
              <w:t>System Center Essentials 2010</w:t>
            </w:r>
            <w:bookmarkEnd w:id="397"/>
            <w:bookmarkEnd w:id="398"/>
            <w:r w:rsidRPr="0058047D">
              <w:rPr>
                <w:rFonts w:ascii="Tahoma" w:hAnsi="Tahoma" w:cs="Tahoma"/>
                <w:sz w:val="14"/>
              </w:rPr>
              <w:t xml:space="preserve"> </w:t>
            </w:r>
            <w:bookmarkEnd w:id="399"/>
          </w:p>
        </w:tc>
        <w:tc>
          <w:tcPr>
            <w:tcW w:w="554" w:type="dxa"/>
            <w:tcBorders>
              <w:bottom w:val="single" w:sz="4" w:space="0" w:color="auto"/>
            </w:tcBorders>
            <w:shd w:val="clear" w:color="auto" w:fill="auto"/>
            <w:vAlign w:val="center"/>
          </w:tcPr>
          <w:p w14:paraId="10E46078" w14:textId="77777777" w:rsidR="00913A0A" w:rsidRPr="0058047D" w:rsidRDefault="00C86F50" w:rsidP="00907139">
            <w:pPr>
              <w:pStyle w:val="TableText"/>
              <w:widowControl w:val="0"/>
              <w:rPr>
                <w:rStyle w:val="EndnoteReference"/>
                <w:b w:val="0"/>
                <w:color w:val="0000FF"/>
                <w:sz w:val="13"/>
                <w:szCs w:val="13"/>
                <w:u w:val="single"/>
              </w:rPr>
            </w:pPr>
            <w:hyperlink w:anchor="_79_System_Center" w:history="1">
              <w:r w:rsidR="00BF5FC6" w:rsidRPr="0058047D">
                <w:rPr>
                  <w:rStyle w:val="Hyperlink"/>
                  <w:b/>
                  <w:sz w:val="13"/>
                  <w:szCs w:val="13"/>
                </w:rPr>
                <w:t>90</w:t>
              </w:r>
            </w:hyperlink>
          </w:p>
        </w:tc>
        <w:tc>
          <w:tcPr>
            <w:tcW w:w="516" w:type="dxa"/>
            <w:tcBorders>
              <w:bottom w:val="single" w:sz="4" w:space="0" w:color="auto"/>
            </w:tcBorders>
            <w:shd w:val="clear" w:color="auto" w:fill="auto"/>
          </w:tcPr>
          <w:p w14:paraId="2455840F" w14:textId="77777777" w:rsidR="00913A0A" w:rsidRPr="0058047D" w:rsidRDefault="00913A0A" w:rsidP="001A63C6">
            <w:pPr>
              <w:pStyle w:val="TableText"/>
              <w:widowControl w:val="0"/>
              <w:spacing w:before="120"/>
              <w:rPr>
                <w:rFonts w:ascii="Tahoma" w:hAnsi="Tahoma" w:cs="Tahoma"/>
                <w:color w:val="000000"/>
                <w:sz w:val="13"/>
              </w:rPr>
            </w:pPr>
          </w:p>
        </w:tc>
        <w:tc>
          <w:tcPr>
            <w:tcW w:w="358" w:type="dxa"/>
            <w:tcBorders>
              <w:bottom w:val="single" w:sz="4" w:space="0" w:color="auto"/>
              <w:right w:val="single" w:sz="18" w:space="0" w:color="auto"/>
            </w:tcBorders>
            <w:shd w:val="clear" w:color="auto" w:fill="auto"/>
            <w:vAlign w:val="center"/>
          </w:tcPr>
          <w:p w14:paraId="7FB7EA38" w14:textId="77777777" w:rsidR="00913A0A" w:rsidRPr="0058047D" w:rsidRDefault="00913A0A" w:rsidP="001A63C6">
            <w:pPr>
              <w:pStyle w:val="TableText"/>
              <w:widowControl w:val="0"/>
              <w:rPr>
                <w:rFonts w:ascii="Tahoma" w:hAnsi="Tahoma" w:cs="Tahoma"/>
                <w:color w:val="000000"/>
                <w:sz w:val="13"/>
              </w:rPr>
            </w:pPr>
          </w:p>
        </w:tc>
        <w:tc>
          <w:tcPr>
            <w:tcW w:w="330" w:type="dxa"/>
            <w:tcBorders>
              <w:left w:val="single" w:sz="18" w:space="0" w:color="auto"/>
              <w:bottom w:val="single" w:sz="4" w:space="0" w:color="auto"/>
            </w:tcBorders>
            <w:shd w:val="clear" w:color="auto" w:fill="auto"/>
            <w:vAlign w:val="center"/>
          </w:tcPr>
          <w:p w14:paraId="4DA15E14" w14:textId="77777777" w:rsidR="00913A0A" w:rsidRPr="0058047D" w:rsidRDefault="00913A0A" w:rsidP="001A63C6">
            <w:pPr>
              <w:pStyle w:val="TableText"/>
              <w:widowControl w:val="0"/>
              <w:rPr>
                <w:rFonts w:ascii="Tahoma" w:hAnsi="Tahoma" w:cs="Tahoma"/>
                <w:color w:val="000000"/>
                <w:sz w:val="13"/>
              </w:rPr>
            </w:pPr>
          </w:p>
        </w:tc>
        <w:tc>
          <w:tcPr>
            <w:tcW w:w="324" w:type="dxa"/>
            <w:tcBorders>
              <w:bottom w:val="single" w:sz="4" w:space="0" w:color="auto"/>
            </w:tcBorders>
            <w:shd w:val="clear" w:color="auto" w:fill="auto"/>
            <w:vAlign w:val="center"/>
          </w:tcPr>
          <w:p w14:paraId="42A3094C" w14:textId="77777777" w:rsidR="00913A0A" w:rsidRPr="0058047D" w:rsidRDefault="00913A0A" w:rsidP="001A63C6">
            <w:pPr>
              <w:pStyle w:val="TableText"/>
              <w:widowControl w:val="0"/>
              <w:rPr>
                <w:rFonts w:ascii="Tahoma" w:hAnsi="Tahoma" w:cs="Tahoma"/>
                <w:color w:val="000000"/>
                <w:sz w:val="13"/>
              </w:rPr>
            </w:pPr>
          </w:p>
        </w:tc>
        <w:tc>
          <w:tcPr>
            <w:tcW w:w="366" w:type="dxa"/>
            <w:tcBorders>
              <w:bottom w:val="single" w:sz="4" w:space="0" w:color="auto"/>
            </w:tcBorders>
            <w:shd w:val="clear" w:color="auto" w:fill="auto"/>
            <w:vAlign w:val="center"/>
          </w:tcPr>
          <w:p w14:paraId="03A86EE5" w14:textId="77777777" w:rsidR="00913A0A" w:rsidRPr="0058047D" w:rsidRDefault="00913A0A" w:rsidP="001A63C6">
            <w:pPr>
              <w:pStyle w:val="TableText"/>
              <w:widowControl w:val="0"/>
              <w:rPr>
                <w:rFonts w:ascii="Tahoma" w:hAnsi="Tahoma" w:cs="Tahoma"/>
                <w:color w:val="000000"/>
                <w:sz w:val="13"/>
              </w:rPr>
            </w:pPr>
          </w:p>
        </w:tc>
        <w:tc>
          <w:tcPr>
            <w:tcW w:w="456" w:type="dxa"/>
            <w:gridSpan w:val="2"/>
            <w:tcBorders>
              <w:bottom w:val="single" w:sz="4" w:space="0" w:color="auto"/>
            </w:tcBorders>
            <w:shd w:val="clear" w:color="auto" w:fill="auto"/>
            <w:vAlign w:val="center"/>
          </w:tcPr>
          <w:p w14:paraId="6FB30933"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274EAB4"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A5CDAED" w14:textId="77777777" w:rsidR="00913A0A" w:rsidRPr="0058047D" w:rsidRDefault="00913A0A" w:rsidP="001A63C6">
            <w:pPr>
              <w:pStyle w:val="TableText"/>
              <w:widowControl w:val="0"/>
              <w:rPr>
                <w:rFonts w:ascii="Tahoma" w:hAnsi="Tahoma" w:cs="Tahoma"/>
                <w:color w:val="000000"/>
                <w:sz w:val="13"/>
              </w:rPr>
            </w:pPr>
          </w:p>
        </w:tc>
        <w:tc>
          <w:tcPr>
            <w:tcW w:w="336" w:type="dxa"/>
            <w:tcBorders>
              <w:bottom w:val="single" w:sz="4" w:space="0" w:color="auto"/>
              <w:right w:val="single" w:sz="18" w:space="0" w:color="auto"/>
            </w:tcBorders>
            <w:shd w:val="clear" w:color="auto" w:fill="auto"/>
            <w:vAlign w:val="center"/>
          </w:tcPr>
          <w:p w14:paraId="77478046" w14:textId="77777777" w:rsidR="00913A0A" w:rsidRPr="0058047D" w:rsidRDefault="00913A0A" w:rsidP="001A63C6">
            <w:pPr>
              <w:pStyle w:val="TableText"/>
              <w:widowControl w:val="0"/>
              <w:rPr>
                <w:rFonts w:ascii="Tahoma" w:hAnsi="Tahoma" w:cs="Tahoma"/>
                <w:color w:val="000000"/>
                <w:sz w:val="13"/>
              </w:rPr>
            </w:pPr>
          </w:p>
        </w:tc>
        <w:tc>
          <w:tcPr>
            <w:tcW w:w="477" w:type="dxa"/>
            <w:tcBorders>
              <w:left w:val="single" w:sz="18" w:space="0" w:color="auto"/>
              <w:bottom w:val="single" w:sz="4" w:space="0" w:color="auto"/>
            </w:tcBorders>
            <w:shd w:val="clear" w:color="auto" w:fill="auto"/>
            <w:vAlign w:val="center"/>
          </w:tcPr>
          <w:p w14:paraId="0D10F6E4"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EDC4D3C" w14:textId="77777777" w:rsidR="00913A0A" w:rsidRPr="0058047D" w:rsidRDefault="00913A0A" w:rsidP="001A63C6">
            <w:pPr>
              <w:pStyle w:val="TableText"/>
              <w:widowControl w:val="0"/>
              <w:rPr>
                <w:rFonts w:ascii="Tahoma" w:hAnsi="Tahoma" w:cs="Tahoma"/>
                <w:color w:val="000000"/>
                <w:sz w:val="13"/>
              </w:rPr>
            </w:pPr>
          </w:p>
        </w:tc>
        <w:tc>
          <w:tcPr>
            <w:tcW w:w="414" w:type="dxa"/>
            <w:tcBorders>
              <w:bottom w:val="single" w:sz="4" w:space="0" w:color="auto"/>
              <w:right w:val="single" w:sz="18" w:space="0" w:color="auto"/>
            </w:tcBorders>
            <w:shd w:val="clear" w:color="auto" w:fill="auto"/>
            <w:vAlign w:val="center"/>
          </w:tcPr>
          <w:p w14:paraId="448BF0C8" w14:textId="77777777" w:rsidR="00913A0A" w:rsidRPr="0058047D" w:rsidRDefault="00913A0A" w:rsidP="001A63C6">
            <w:pPr>
              <w:pStyle w:val="TableText"/>
              <w:widowControl w:val="0"/>
              <w:rPr>
                <w:rFonts w:ascii="Tahoma" w:hAnsi="Tahoma" w:cs="Tahoma"/>
                <w:color w:val="000000"/>
                <w:sz w:val="13"/>
              </w:rPr>
            </w:pPr>
          </w:p>
        </w:tc>
        <w:tc>
          <w:tcPr>
            <w:tcW w:w="468" w:type="dxa"/>
            <w:tcBorders>
              <w:left w:val="single" w:sz="18" w:space="0" w:color="auto"/>
              <w:bottom w:val="single" w:sz="4" w:space="0" w:color="auto"/>
            </w:tcBorders>
            <w:shd w:val="clear" w:color="auto" w:fill="auto"/>
            <w:vAlign w:val="center"/>
          </w:tcPr>
          <w:p w14:paraId="47A0F768" w14:textId="77777777" w:rsidR="00913A0A" w:rsidRPr="0058047D" w:rsidRDefault="00913A0A" w:rsidP="001A63C6">
            <w:pPr>
              <w:pStyle w:val="TableText"/>
              <w:widowControl w:val="0"/>
              <w:rPr>
                <w:rFonts w:ascii="Tahoma" w:hAnsi="Tahoma" w:cs="Tahoma"/>
                <w:color w:val="000000"/>
                <w:sz w:val="13"/>
              </w:rPr>
            </w:pPr>
          </w:p>
        </w:tc>
        <w:tc>
          <w:tcPr>
            <w:tcW w:w="477" w:type="dxa"/>
            <w:tcBorders>
              <w:bottom w:val="single" w:sz="4" w:space="0" w:color="auto"/>
              <w:right w:val="single" w:sz="18" w:space="0" w:color="auto"/>
            </w:tcBorders>
            <w:shd w:val="clear" w:color="auto" w:fill="auto"/>
            <w:vAlign w:val="center"/>
          </w:tcPr>
          <w:p w14:paraId="054026F4" w14:textId="77777777" w:rsidR="00913A0A" w:rsidRPr="0058047D" w:rsidRDefault="00913A0A" w:rsidP="001A63C6">
            <w:pPr>
              <w:pStyle w:val="TableText"/>
              <w:widowControl w:val="0"/>
              <w:rPr>
                <w:rFonts w:ascii="Tahoma" w:hAnsi="Tahoma" w:cs="Tahoma"/>
                <w:color w:val="000000"/>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09230DC6" w14:textId="77777777" w:rsidR="00913A0A" w:rsidRPr="0058047D" w:rsidRDefault="00913A0A" w:rsidP="001A63C6">
            <w:pPr>
              <w:pStyle w:val="TableText"/>
              <w:widowControl w:val="0"/>
              <w:rPr>
                <w:rFonts w:ascii="Tahoma" w:hAnsi="Tahoma" w:cs="Tahoma"/>
                <w:color w:val="000000"/>
                <w:sz w:val="13"/>
              </w:rPr>
            </w:pPr>
          </w:p>
        </w:tc>
        <w:tc>
          <w:tcPr>
            <w:tcW w:w="655" w:type="dxa"/>
            <w:tcBorders>
              <w:bottom w:val="single" w:sz="4" w:space="0" w:color="auto"/>
            </w:tcBorders>
            <w:shd w:val="clear" w:color="auto" w:fill="auto"/>
          </w:tcPr>
          <w:p w14:paraId="20D42213" w14:textId="77777777" w:rsidR="00913A0A" w:rsidRPr="0058047D" w:rsidRDefault="00913A0A" w:rsidP="001A63C6">
            <w:pPr>
              <w:pStyle w:val="TableText"/>
              <w:widowControl w:val="0"/>
              <w:rPr>
                <w:rFonts w:ascii="Tahoma" w:hAnsi="Tahoma" w:cs="Tahoma"/>
                <w:color w:val="000000"/>
                <w:sz w:val="13"/>
              </w:rPr>
            </w:pPr>
          </w:p>
        </w:tc>
        <w:tc>
          <w:tcPr>
            <w:tcW w:w="504" w:type="dxa"/>
            <w:tcBorders>
              <w:bottom w:val="single" w:sz="4" w:space="0" w:color="auto"/>
            </w:tcBorders>
            <w:shd w:val="clear" w:color="auto" w:fill="auto"/>
            <w:vAlign w:val="center"/>
          </w:tcPr>
          <w:p w14:paraId="052BEEC6" w14:textId="77777777" w:rsidR="00913A0A" w:rsidRPr="0058047D" w:rsidRDefault="00913A0A" w:rsidP="001A63C6">
            <w:pPr>
              <w:pStyle w:val="TableText"/>
              <w:widowControl w:val="0"/>
              <w:rPr>
                <w:rFonts w:ascii="Tahoma" w:hAnsi="Tahoma" w:cs="Tahoma"/>
                <w:color w:val="000000"/>
                <w:sz w:val="13"/>
              </w:rPr>
            </w:pPr>
          </w:p>
        </w:tc>
        <w:tc>
          <w:tcPr>
            <w:tcW w:w="405" w:type="dxa"/>
            <w:tcBorders>
              <w:bottom w:val="single" w:sz="4" w:space="0" w:color="auto"/>
            </w:tcBorders>
          </w:tcPr>
          <w:p w14:paraId="0173DA6E" w14:textId="77777777" w:rsidR="00913A0A" w:rsidRPr="0058047D" w:rsidRDefault="00913A0A" w:rsidP="001A63C6">
            <w:pPr>
              <w:pStyle w:val="TableText"/>
              <w:widowControl w:val="0"/>
              <w:rPr>
                <w:rFonts w:ascii="Tahoma" w:hAnsi="Tahoma" w:cs="Tahoma"/>
                <w:color w:val="000000"/>
                <w:sz w:val="13"/>
              </w:rPr>
            </w:pPr>
          </w:p>
        </w:tc>
      </w:tr>
      <w:tr w:rsidR="009323A0" w:rsidRPr="0058047D" w14:paraId="726A30DB" w14:textId="77777777" w:rsidTr="00C86F50">
        <w:trPr>
          <w:trHeight w:val="145"/>
        </w:trPr>
        <w:tc>
          <w:tcPr>
            <w:tcW w:w="2619" w:type="dxa"/>
            <w:gridSpan w:val="2"/>
            <w:tcBorders>
              <w:bottom w:val="single" w:sz="4" w:space="0" w:color="auto"/>
            </w:tcBorders>
            <w:shd w:val="clear" w:color="auto" w:fill="FABF8F"/>
            <w:vAlign w:val="center"/>
          </w:tcPr>
          <w:p w14:paraId="1B5A9A35" w14:textId="77777777" w:rsidR="00913A0A" w:rsidRPr="0058047D" w:rsidRDefault="00913A0A" w:rsidP="00E077BC">
            <w:pPr>
              <w:pStyle w:val="ProductNames"/>
              <w:spacing w:beforeLines="20" w:before="48" w:afterLines="20" w:after="48"/>
              <w:rPr>
                <w:rFonts w:ascii="Tahoma" w:hAnsi="Tahoma" w:cs="Tahoma"/>
                <w:sz w:val="14"/>
              </w:rPr>
            </w:pPr>
            <w:bookmarkStart w:id="400" w:name="_Toc257333906"/>
            <w:bookmarkStart w:id="401" w:name="_Toc336338070"/>
            <w:bookmarkStart w:id="402" w:name="_Toc371663476"/>
            <w:r w:rsidRPr="0058047D">
              <w:rPr>
                <w:rFonts w:ascii="Tahoma" w:hAnsi="Tahoma" w:cs="Tahoma"/>
                <w:sz w:val="14"/>
              </w:rPr>
              <w:t>Client ML per System Center Essentials 2010</w:t>
            </w:r>
            <w:bookmarkEnd w:id="400"/>
            <w:bookmarkEnd w:id="401"/>
            <w:bookmarkEnd w:id="402"/>
          </w:p>
        </w:tc>
        <w:tc>
          <w:tcPr>
            <w:tcW w:w="554" w:type="dxa"/>
            <w:tcBorders>
              <w:bottom w:val="single" w:sz="4" w:space="0" w:color="auto"/>
            </w:tcBorders>
            <w:shd w:val="clear" w:color="auto" w:fill="FABF8F"/>
            <w:vAlign w:val="center"/>
          </w:tcPr>
          <w:p w14:paraId="7DDAAFAD" w14:textId="77777777" w:rsidR="00913A0A" w:rsidRPr="0058047D" w:rsidRDefault="00913A0A" w:rsidP="001A63C6">
            <w:pPr>
              <w:pStyle w:val="TableText"/>
              <w:widowControl w:val="0"/>
              <w:rPr>
                <w:rStyle w:val="EndnoteReference"/>
                <w:sz w:val="13"/>
                <w:szCs w:val="13"/>
                <w:u w:val="single"/>
              </w:rPr>
            </w:pPr>
          </w:p>
        </w:tc>
        <w:tc>
          <w:tcPr>
            <w:tcW w:w="516" w:type="dxa"/>
            <w:tcBorders>
              <w:bottom w:val="single" w:sz="4" w:space="0" w:color="auto"/>
            </w:tcBorders>
            <w:shd w:val="clear" w:color="auto" w:fill="FABF8F"/>
          </w:tcPr>
          <w:p w14:paraId="49928A8A" w14:textId="77777777" w:rsidR="00913A0A" w:rsidRPr="0058047D" w:rsidRDefault="00913A0A" w:rsidP="001A63C6">
            <w:pPr>
              <w:pStyle w:val="TableText"/>
              <w:widowControl w:val="0"/>
              <w:spacing w:before="100"/>
              <w:rPr>
                <w:rFonts w:ascii="Tahoma" w:hAnsi="Tahoma" w:cs="Tahoma"/>
                <w:color w:val="000000"/>
                <w:sz w:val="13"/>
              </w:rPr>
            </w:pPr>
          </w:p>
        </w:tc>
        <w:tc>
          <w:tcPr>
            <w:tcW w:w="358" w:type="dxa"/>
            <w:tcBorders>
              <w:bottom w:val="single" w:sz="4" w:space="0" w:color="auto"/>
              <w:right w:val="single" w:sz="18" w:space="0" w:color="auto"/>
            </w:tcBorders>
            <w:shd w:val="clear" w:color="auto" w:fill="FABF8F"/>
            <w:vAlign w:val="center"/>
          </w:tcPr>
          <w:p w14:paraId="15D9B25E"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center"/>
          </w:tcPr>
          <w:p w14:paraId="5B9C78A5" w14:textId="77777777" w:rsidR="00913A0A" w:rsidRPr="0058047D" w:rsidRDefault="00913A0A" w:rsidP="001A63C6">
            <w:pPr>
              <w:pStyle w:val="TableText"/>
              <w:widowControl w:val="0"/>
              <w:rPr>
                <w:rFonts w:ascii="Tahoma" w:hAnsi="Tahoma" w:cs="Tahoma"/>
                <w:color w:val="000000"/>
                <w:sz w:val="13"/>
              </w:rPr>
            </w:pPr>
          </w:p>
        </w:tc>
        <w:tc>
          <w:tcPr>
            <w:tcW w:w="324" w:type="dxa"/>
            <w:tcBorders>
              <w:bottom w:val="single" w:sz="4" w:space="0" w:color="auto"/>
            </w:tcBorders>
            <w:shd w:val="clear" w:color="auto" w:fill="FABF8F"/>
            <w:vAlign w:val="center"/>
          </w:tcPr>
          <w:p w14:paraId="1CCD2A22" w14:textId="77777777" w:rsidR="00913A0A" w:rsidRPr="0058047D" w:rsidRDefault="00913A0A" w:rsidP="001A63C6">
            <w:pPr>
              <w:pStyle w:val="TableText"/>
              <w:widowControl w:val="0"/>
              <w:rPr>
                <w:rFonts w:ascii="Tahoma" w:hAnsi="Tahoma" w:cs="Tahoma"/>
                <w:color w:val="000000"/>
                <w:sz w:val="13"/>
              </w:rPr>
            </w:pPr>
          </w:p>
        </w:tc>
        <w:tc>
          <w:tcPr>
            <w:tcW w:w="366" w:type="dxa"/>
            <w:tcBorders>
              <w:bottom w:val="single" w:sz="4" w:space="0" w:color="auto"/>
            </w:tcBorders>
            <w:shd w:val="clear" w:color="auto" w:fill="FABF8F"/>
            <w:vAlign w:val="center"/>
          </w:tcPr>
          <w:p w14:paraId="05D62C2D" w14:textId="77777777" w:rsidR="00913A0A" w:rsidRPr="0058047D" w:rsidRDefault="00913A0A" w:rsidP="001A63C6">
            <w:pPr>
              <w:pStyle w:val="TableText"/>
              <w:widowControl w:val="0"/>
              <w:rPr>
                <w:rFonts w:ascii="Tahoma" w:hAnsi="Tahoma" w:cs="Tahoma"/>
                <w:color w:val="000000"/>
                <w:sz w:val="13"/>
              </w:rPr>
            </w:pPr>
          </w:p>
        </w:tc>
        <w:tc>
          <w:tcPr>
            <w:tcW w:w="456" w:type="dxa"/>
            <w:gridSpan w:val="2"/>
            <w:tcBorders>
              <w:bottom w:val="single" w:sz="4" w:space="0" w:color="auto"/>
            </w:tcBorders>
            <w:shd w:val="clear" w:color="auto" w:fill="FABF8F"/>
            <w:vAlign w:val="center"/>
          </w:tcPr>
          <w:p w14:paraId="04697B50"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DAC720B"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3BA002DD" w14:textId="77777777" w:rsidR="00913A0A" w:rsidRPr="0058047D" w:rsidRDefault="00913A0A" w:rsidP="001A63C6">
            <w:pPr>
              <w:pStyle w:val="TableText"/>
              <w:widowControl w:val="0"/>
              <w:rPr>
                <w:rFonts w:ascii="Tahoma" w:hAnsi="Tahoma" w:cs="Tahoma"/>
                <w:color w:val="000000"/>
                <w:sz w:val="13"/>
              </w:rPr>
            </w:pPr>
          </w:p>
        </w:tc>
        <w:tc>
          <w:tcPr>
            <w:tcW w:w="336" w:type="dxa"/>
            <w:tcBorders>
              <w:bottom w:val="single" w:sz="4" w:space="0" w:color="auto"/>
              <w:right w:val="single" w:sz="18" w:space="0" w:color="auto"/>
            </w:tcBorders>
            <w:shd w:val="clear" w:color="auto" w:fill="FABF8F"/>
            <w:vAlign w:val="center"/>
          </w:tcPr>
          <w:p w14:paraId="049A9D39" w14:textId="77777777" w:rsidR="00913A0A" w:rsidRPr="0058047D" w:rsidRDefault="00913A0A" w:rsidP="001A63C6">
            <w:pPr>
              <w:pStyle w:val="TableText"/>
              <w:widowControl w:val="0"/>
              <w:rPr>
                <w:rFonts w:ascii="Tahoma" w:hAnsi="Tahoma" w:cs="Tahoma"/>
                <w:color w:val="000000"/>
                <w:sz w:val="13"/>
              </w:rPr>
            </w:pPr>
          </w:p>
        </w:tc>
        <w:tc>
          <w:tcPr>
            <w:tcW w:w="477" w:type="dxa"/>
            <w:tcBorders>
              <w:left w:val="single" w:sz="18" w:space="0" w:color="auto"/>
              <w:bottom w:val="single" w:sz="4" w:space="0" w:color="auto"/>
            </w:tcBorders>
            <w:shd w:val="clear" w:color="auto" w:fill="FABF8F"/>
            <w:vAlign w:val="center"/>
          </w:tcPr>
          <w:p w14:paraId="3A8E4B61"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FEEA080" w14:textId="77777777" w:rsidR="00913A0A" w:rsidRPr="0058047D" w:rsidRDefault="00913A0A" w:rsidP="001A63C6">
            <w:pPr>
              <w:pStyle w:val="TableText"/>
              <w:widowControl w:val="0"/>
              <w:rPr>
                <w:rFonts w:ascii="Tahoma" w:hAnsi="Tahoma" w:cs="Tahoma"/>
                <w:color w:val="000000"/>
                <w:sz w:val="13"/>
              </w:rPr>
            </w:pPr>
          </w:p>
        </w:tc>
        <w:tc>
          <w:tcPr>
            <w:tcW w:w="414" w:type="dxa"/>
            <w:tcBorders>
              <w:bottom w:val="single" w:sz="4" w:space="0" w:color="auto"/>
              <w:right w:val="single" w:sz="18" w:space="0" w:color="auto"/>
            </w:tcBorders>
            <w:shd w:val="clear" w:color="auto" w:fill="FABF8F"/>
            <w:vAlign w:val="center"/>
          </w:tcPr>
          <w:p w14:paraId="00904DA8" w14:textId="77777777" w:rsidR="00913A0A" w:rsidRPr="0058047D" w:rsidRDefault="00913A0A" w:rsidP="001A63C6">
            <w:pPr>
              <w:pStyle w:val="TableText"/>
              <w:widowControl w:val="0"/>
              <w:rPr>
                <w:rFonts w:ascii="Tahoma" w:hAnsi="Tahoma" w:cs="Tahoma"/>
                <w:color w:val="000000"/>
                <w:sz w:val="13"/>
              </w:rPr>
            </w:pPr>
          </w:p>
        </w:tc>
        <w:tc>
          <w:tcPr>
            <w:tcW w:w="468" w:type="dxa"/>
            <w:tcBorders>
              <w:left w:val="single" w:sz="18" w:space="0" w:color="auto"/>
              <w:bottom w:val="single" w:sz="4" w:space="0" w:color="auto"/>
            </w:tcBorders>
            <w:shd w:val="clear" w:color="auto" w:fill="FABF8F"/>
            <w:vAlign w:val="center"/>
          </w:tcPr>
          <w:p w14:paraId="3AFFE2F3" w14:textId="77777777" w:rsidR="00913A0A" w:rsidRPr="0058047D" w:rsidRDefault="00913A0A" w:rsidP="001A63C6">
            <w:pPr>
              <w:pStyle w:val="TableText"/>
              <w:widowControl w:val="0"/>
              <w:rPr>
                <w:rFonts w:ascii="Tahoma" w:hAnsi="Tahoma" w:cs="Tahoma"/>
                <w:color w:val="000000"/>
                <w:sz w:val="13"/>
              </w:rPr>
            </w:pPr>
          </w:p>
        </w:tc>
        <w:tc>
          <w:tcPr>
            <w:tcW w:w="477" w:type="dxa"/>
            <w:tcBorders>
              <w:bottom w:val="single" w:sz="4" w:space="0" w:color="auto"/>
              <w:right w:val="single" w:sz="18" w:space="0" w:color="auto"/>
            </w:tcBorders>
            <w:shd w:val="clear" w:color="auto" w:fill="FABF8F"/>
            <w:vAlign w:val="center"/>
          </w:tcPr>
          <w:p w14:paraId="05B2519C" w14:textId="77777777" w:rsidR="00913A0A" w:rsidRPr="0058047D" w:rsidRDefault="00913A0A" w:rsidP="001A63C6">
            <w:pPr>
              <w:pStyle w:val="TableText"/>
              <w:widowControl w:val="0"/>
              <w:rPr>
                <w:rFonts w:ascii="Tahoma" w:hAnsi="Tahoma" w:cs="Tahoma"/>
                <w:color w:val="000000"/>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24F177A2" w14:textId="77777777" w:rsidR="00913A0A" w:rsidRPr="0058047D" w:rsidRDefault="00913A0A" w:rsidP="001A63C6">
            <w:pPr>
              <w:pStyle w:val="TableText"/>
              <w:widowControl w:val="0"/>
              <w:rPr>
                <w:rFonts w:ascii="Tahoma" w:hAnsi="Tahoma" w:cs="Tahoma"/>
                <w:color w:val="000000"/>
                <w:sz w:val="13"/>
              </w:rPr>
            </w:pPr>
          </w:p>
        </w:tc>
        <w:tc>
          <w:tcPr>
            <w:tcW w:w="655" w:type="dxa"/>
            <w:tcBorders>
              <w:bottom w:val="single" w:sz="4" w:space="0" w:color="auto"/>
            </w:tcBorders>
            <w:shd w:val="clear" w:color="auto" w:fill="FABF8F"/>
          </w:tcPr>
          <w:p w14:paraId="5E8750E6" w14:textId="77777777" w:rsidR="00913A0A" w:rsidRPr="0058047D" w:rsidRDefault="00913A0A" w:rsidP="001A63C6">
            <w:pPr>
              <w:pStyle w:val="TableText"/>
              <w:widowControl w:val="0"/>
              <w:rPr>
                <w:rFonts w:ascii="Tahoma" w:hAnsi="Tahoma" w:cs="Tahoma"/>
                <w:color w:val="000000"/>
                <w:sz w:val="13"/>
              </w:rPr>
            </w:pPr>
          </w:p>
        </w:tc>
        <w:tc>
          <w:tcPr>
            <w:tcW w:w="504" w:type="dxa"/>
            <w:tcBorders>
              <w:bottom w:val="single" w:sz="4" w:space="0" w:color="auto"/>
            </w:tcBorders>
            <w:shd w:val="clear" w:color="auto" w:fill="FABF8F"/>
            <w:vAlign w:val="center"/>
          </w:tcPr>
          <w:p w14:paraId="08377999" w14:textId="77777777" w:rsidR="00913A0A" w:rsidRPr="0058047D" w:rsidRDefault="00913A0A" w:rsidP="001A63C6">
            <w:pPr>
              <w:pStyle w:val="TableText"/>
              <w:widowControl w:val="0"/>
              <w:rPr>
                <w:rFonts w:ascii="Tahoma" w:hAnsi="Tahoma" w:cs="Tahoma"/>
                <w:color w:val="000000"/>
                <w:sz w:val="13"/>
              </w:rPr>
            </w:pPr>
          </w:p>
        </w:tc>
        <w:tc>
          <w:tcPr>
            <w:tcW w:w="405" w:type="dxa"/>
            <w:tcBorders>
              <w:bottom w:val="single" w:sz="4" w:space="0" w:color="auto"/>
            </w:tcBorders>
            <w:shd w:val="clear" w:color="auto" w:fill="FABF8F"/>
          </w:tcPr>
          <w:p w14:paraId="5340A797" w14:textId="77777777" w:rsidR="00913A0A" w:rsidRPr="0058047D" w:rsidRDefault="00913A0A" w:rsidP="001A63C6">
            <w:pPr>
              <w:pStyle w:val="TableText"/>
              <w:widowControl w:val="0"/>
              <w:rPr>
                <w:rFonts w:ascii="Tahoma" w:hAnsi="Tahoma" w:cs="Tahoma"/>
                <w:color w:val="000000"/>
                <w:sz w:val="13"/>
              </w:rPr>
            </w:pPr>
          </w:p>
        </w:tc>
      </w:tr>
      <w:tr w:rsidR="009323A0" w:rsidRPr="0058047D" w14:paraId="6A0362B9" w14:textId="77777777" w:rsidTr="00C86F50">
        <w:trPr>
          <w:trHeight w:val="145"/>
        </w:trPr>
        <w:tc>
          <w:tcPr>
            <w:tcW w:w="2619" w:type="dxa"/>
            <w:gridSpan w:val="2"/>
            <w:tcBorders>
              <w:bottom w:val="single" w:sz="4" w:space="0" w:color="auto"/>
            </w:tcBorders>
            <w:shd w:val="clear" w:color="auto" w:fill="auto"/>
            <w:vAlign w:val="center"/>
          </w:tcPr>
          <w:p w14:paraId="6EE13C10" w14:textId="77777777" w:rsidR="00913A0A" w:rsidRPr="0058047D" w:rsidRDefault="00913A0A" w:rsidP="00E077BC">
            <w:pPr>
              <w:pStyle w:val="ProductNames"/>
              <w:spacing w:beforeLines="20" w:before="48" w:afterLines="20" w:after="48"/>
              <w:rPr>
                <w:rFonts w:ascii="Tahoma" w:hAnsi="Tahoma" w:cs="Tahoma"/>
                <w:sz w:val="14"/>
              </w:rPr>
            </w:pPr>
            <w:bookmarkStart w:id="403" w:name="_Toc257333908"/>
            <w:bookmarkStart w:id="404" w:name="_Toc336338071"/>
            <w:bookmarkStart w:id="405" w:name="_Toc371663477"/>
            <w:r w:rsidRPr="0058047D">
              <w:rPr>
                <w:rFonts w:ascii="Tahoma" w:hAnsi="Tahoma" w:cs="Tahoma"/>
                <w:sz w:val="14"/>
              </w:rPr>
              <w:t>Server ML per System Center Essentials 2010</w:t>
            </w:r>
            <w:bookmarkEnd w:id="403"/>
            <w:bookmarkEnd w:id="404"/>
            <w:bookmarkEnd w:id="405"/>
          </w:p>
        </w:tc>
        <w:tc>
          <w:tcPr>
            <w:tcW w:w="554" w:type="dxa"/>
            <w:tcBorders>
              <w:bottom w:val="single" w:sz="4" w:space="0" w:color="auto"/>
            </w:tcBorders>
            <w:shd w:val="clear" w:color="auto" w:fill="auto"/>
            <w:vAlign w:val="center"/>
          </w:tcPr>
          <w:p w14:paraId="51CA316A" w14:textId="77777777" w:rsidR="00913A0A" w:rsidRPr="0058047D" w:rsidRDefault="00913A0A" w:rsidP="001A63C6">
            <w:pPr>
              <w:pStyle w:val="TableText"/>
              <w:widowControl w:val="0"/>
              <w:rPr>
                <w:rStyle w:val="EndnoteReference"/>
                <w:sz w:val="13"/>
                <w:szCs w:val="13"/>
                <w:u w:val="single"/>
              </w:rPr>
            </w:pPr>
          </w:p>
        </w:tc>
        <w:tc>
          <w:tcPr>
            <w:tcW w:w="516" w:type="dxa"/>
            <w:tcBorders>
              <w:bottom w:val="single" w:sz="4" w:space="0" w:color="auto"/>
            </w:tcBorders>
            <w:shd w:val="clear" w:color="auto" w:fill="auto"/>
          </w:tcPr>
          <w:p w14:paraId="54D6963C" w14:textId="77777777" w:rsidR="00913A0A" w:rsidRPr="0058047D" w:rsidRDefault="00913A0A" w:rsidP="001A63C6">
            <w:pPr>
              <w:pStyle w:val="TableText"/>
              <w:widowControl w:val="0"/>
              <w:spacing w:before="80"/>
              <w:rPr>
                <w:rFonts w:ascii="Tahoma" w:hAnsi="Tahoma" w:cs="Tahoma"/>
                <w:color w:val="000000"/>
                <w:sz w:val="13"/>
              </w:rPr>
            </w:pPr>
          </w:p>
        </w:tc>
        <w:tc>
          <w:tcPr>
            <w:tcW w:w="358" w:type="dxa"/>
            <w:tcBorders>
              <w:bottom w:val="single" w:sz="4" w:space="0" w:color="auto"/>
              <w:right w:val="single" w:sz="18" w:space="0" w:color="auto"/>
            </w:tcBorders>
            <w:shd w:val="clear" w:color="auto" w:fill="auto"/>
            <w:vAlign w:val="center"/>
          </w:tcPr>
          <w:p w14:paraId="474E56C2" w14:textId="77777777" w:rsidR="00913A0A" w:rsidRPr="0058047D" w:rsidRDefault="00913A0A" w:rsidP="001A63C6">
            <w:pPr>
              <w:pStyle w:val="TableText"/>
              <w:widowControl w:val="0"/>
              <w:rPr>
                <w:rFonts w:ascii="Tahoma" w:hAnsi="Tahoma" w:cs="Tahoma"/>
                <w:color w:val="000000"/>
                <w:sz w:val="13"/>
              </w:rPr>
            </w:pPr>
          </w:p>
        </w:tc>
        <w:tc>
          <w:tcPr>
            <w:tcW w:w="330" w:type="dxa"/>
            <w:tcBorders>
              <w:left w:val="single" w:sz="18" w:space="0" w:color="auto"/>
              <w:bottom w:val="single" w:sz="4" w:space="0" w:color="auto"/>
            </w:tcBorders>
            <w:shd w:val="clear" w:color="auto" w:fill="auto"/>
            <w:vAlign w:val="center"/>
          </w:tcPr>
          <w:p w14:paraId="23633DF3" w14:textId="77777777" w:rsidR="00913A0A" w:rsidRPr="0058047D" w:rsidRDefault="00913A0A" w:rsidP="001A63C6">
            <w:pPr>
              <w:pStyle w:val="TableText"/>
              <w:widowControl w:val="0"/>
              <w:rPr>
                <w:rFonts w:ascii="Tahoma" w:hAnsi="Tahoma" w:cs="Tahoma"/>
                <w:color w:val="000000"/>
                <w:sz w:val="13"/>
              </w:rPr>
            </w:pPr>
          </w:p>
        </w:tc>
        <w:tc>
          <w:tcPr>
            <w:tcW w:w="324" w:type="dxa"/>
            <w:tcBorders>
              <w:bottom w:val="single" w:sz="4" w:space="0" w:color="auto"/>
            </w:tcBorders>
            <w:shd w:val="clear" w:color="auto" w:fill="auto"/>
            <w:vAlign w:val="center"/>
          </w:tcPr>
          <w:p w14:paraId="314C5537" w14:textId="77777777" w:rsidR="00913A0A" w:rsidRPr="0058047D" w:rsidRDefault="00913A0A" w:rsidP="001A63C6">
            <w:pPr>
              <w:pStyle w:val="TableText"/>
              <w:widowControl w:val="0"/>
              <w:rPr>
                <w:rFonts w:ascii="Tahoma" w:hAnsi="Tahoma" w:cs="Tahoma"/>
                <w:color w:val="000000"/>
                <w:sz w:val="13"/>
              </w:rPr>
            </w:pPr>
          </w:p>
        </w:tc>
        <w:tc>
          <w:tcPr>
            <w:tcW w:w="366" w:type="dxa"/>
            <w:tcBorders>
              <w:bottom w:val="single" w:sz="4" w:space="0" w:color="auto"/>
            </w:tcBorders>
            <w:shd w:val="clear" w:color="auto" w:fill="auto"/>
            <w:vAlign w:val="center"/>
          </w:tcPr>
          <w:p w14:paraId="586DF2D3" w14:textId="77777777" w:rsidR="00913A0A" w:rsidRPr="0058047D" w:rsidRDefault="00913A0A" w:rsidP="001A63C6">
            <w:pPr>
              <w:pStyle w:val="TableText"/>
              <w:widowControl w:val="0"/>
              <w:rPr>
                <w:rFonts w:ascii="Tahoma" w:hAnsi="Tahoma" w:cs="Tahoma"/>
                <w:color w:val="000000"/>
                <w:sz w:val="13"/>
              </w:rPr>
            </w:pPr>
          </w:p>
        </w:tc>
        <w:tc>
          <w:tcPr>
            <w:tcW w:w="456" w:type="dxa"/>
            <w:gridSpan w:val="2"/>
            <w:tcBorders>
              <w:bottom w:val="single" w:sz="4" w:space="0" w:color="auto"/>
            </w:tcBorders>
            <w:shd w:val="clear" w:color="auto" w:fill="auto"/>
            <w:vAlign w:val="center"/>
          </w:tcPr>
          <w:p w14:paraId="0D096C4F"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3D8CDC81"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FF4177B" w14:textId="77777777" w:rsidR="00913A0A" w:rsidRPr="0058047D" w:rsidRDefault="00913A0A" w:rsidP="001A63C6">
            <w:pPr>
              <w:pStyle w:val="TableText"/>
              <w:widowControl w:val="0"/>
              <w:rPr>
                <w:rFonts w:ascii="Tahoma" w:hAnsi="Tahoma" w:cs="Tahoma"/>
                <w:color w:val="000000"/>
                <w:sz w:val="13"/>
              </w:rPr>
            </w:pPr>
          </w:p>
        </w:tc>
        <w:tc>
          <w:tcPr>
            <w:tcW w:w="336" w:type="dxa"/>
            <w:tcBorders>
              <w:bottom w:val="single" w:sz="4" w:space="0" w:color="auto"/>
              <w:right w:val="single" w:sz="18" w:space="0" w:color="auto"/>
            </w:tcBorders>
            <w:shd w:val="clear" w:color="auto" w:fill="auto"/>
            <w:vAlign w:val="center"/>
          </w:tcPr>
          <w:p w14:paraId="3235A2A0" w14:textId="77777777" w:rsidR="00913A0A" w:rsidRPr="0058047D" w:rsidRDefault="00913A0A" w:rsidP="001A63C6">
            <w:pPr>
              <w:pStyle w:val="TableText"/>
              <w:widowControl w:val="0"/>
              <w:rPr>
                <w:rFonts w:ascii="Tahoma" w:hAnsi="Tahoma" w:cs="Tahoma"/>
                <w:color w:val="000000"/>
                <w:sz w:val="13"/>
              </w:rPr>
            </w:pPr>
          </w:p>
        </w:tc>
        <w:tc>
          <w:tcPr>
            <w:tcW w:w="477" w:type="dxa"/>
            <w:tcBorders>
              <w:left w:val="single" w:sz="18" w:space="0" w:color="auto"/>
              <w:bottom w:val="single" w:sz="4" w:space="0" w:color="auto"/>
            </w:tcBorders>
            <w:shd w:val="clear" w:color="auto" w:fill="auto"/>
            <w:vAlign w:val="center"/>
          </w:tcPr>
          <w:p w14:paraId="4EAC9EE7"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F58E865" w14:textId="77777777" w:rsidR="00913A0A" w:rsidRPr="0058047D" w:rsidRDefault="00913A0A" w:rsidP="001A63C6">
            <w:pPr>
              <w:pStyle w:val="TableText"/>
              <w:widowControl w:val="0"/>
              <w:rPr>
                <w:rFonts w:ascii="Tahoma" w:hAnsi="Tahoma" w:cs="Tahoma"/>
                <w:color w:val="000000"/>
                <w:sz w:val="13"/>
              </w:rPr>
            </w:pPr>
          </w:p>
        </w:tc>
        <w:tc>
          <w:tcPr>
            <w:tcW w:w="414" w:type="dxa"/>
            <w:tcBorders>
              <w:bottom w:val="single" w:sz="4" w:space="0" w:color="auto"/>
              <w:right w:val="single" w:sz="18" w:space="0" w:color="auto"/>
            </w:tcBorders>
            <w:shd w:val="clear" w:color="auto" w:fill="auto"/>
            <w:vAlign w:val="center"/>
          </w:tcPr>
          <w:p w14:paraId="20D85AC9" w14:textId="77777777" w:rsidR="00913A0A" w:rsidRPr="0058047D" w:rsidRDefault="00913A0A" w:rsidP="001A63C6">
            <w:pPr>
              <w:pStyle w:val="TableText"/>
              <w:widowControl w:val="0"/>
              <w:rPr>
                <w:rFonts w:ascii="Tahoma" w:hAnsi="Tahoma" w:cs="Tahoma"/>
                <w:color w:val="000000"/>
                <w:sz w:val="13"/>
              </w:rPr>
            </w:pPr>
          </w:p>
        </w:tc>
        <w:tc>
          <w:tcPr>
            <w:tcW w:w="468" w:type="dxa"/>
            <w:tcBorders>
              <w:left w:val="single" w:sz="18" w:space="0" w:color="auto"/>
              <w:bottom w:val="single" w:sz="4" w:space="0" w:color="auto"/>
            </w:tcBorders>
            <w:shd w:val="clear" w:color="auto" w:fill="auto"/>
            <w:vAlign w:val="center"/>
          </w:tcPr>
          <w:p w14:paraId="271FA0AC" w14:textId="77777777" w:rsidR="00913A0A" w:rsidRPr="0058047D" w:rsidRDefault="00913A0A" w:rsidP="001A63C6">
            <w:pPr>
              <w:pStyle w:val="TableText"/>
              <w:widowControl w:val="0"/>
              <w:rPr>
                <w:rFonts w:ascii="Tahoma" w:hAnsi="Tahoma" w:cs="Tahoma"/>
                <w:color w:val="000000"/>
                <w:sz w:val="13"/>
              </w:rPr>
            </w:pPr>
          </w:p>
        </w:tc>
        <w:tc>
          <w:tcPr>
            <w:tcW w:w="477" w:type="dxa"/>
            <w:tcBorders>
              <w:bottom w:val="single" w:sz="4" w:space="0" w:color="auto"/>
              <w:right w:val="single" w:sz="18" w:space="0" w:color="auto"/>
            </w:tcBorders>
            <w:shd w:val="clear" w:color="auto" w:fill="auto"/>
            <w:vAlign w:val="center"/>
          </w:tcPr>
          <w:p w14:paraId="03639D30" w14:textId="77777777" w:rsidR="00913A0A" w:rsidRPr="0058047D" w:rsidRDefault="00913A0A" w:rsidP="001A63C6">
            <w:pPr>
              <w:pStyle w:val="TableText"/>
              <w:widowControl w:val="0"/>
              <w:rPr>
                <w:rFonts w:ascii="Tahoma" w:hAnsi="Tahoma" w:cs="Tahoma"/>
                <w:color w:val="000000"/>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1F91DE7B" w14:textId="77777777" w:rsidR="00913A0A" w:rsidRPr="0058047D" w:rsidRDefault="00913A0A" w:rsidP="001A63C6">
            <w:pPr>
              <w:pStyle w:val="TableText"/>
              <w:widowControl w:val="0"/>
              <w:rPr>
                <w:rFonts w:ascii="Tahoma" w:hAnsi="Tahoma" w:cs="Tahoma"/>
                <w:color w:val="000000"/>
                <w:sz w:val="13"/>
              </w:rPr>
            </w:pPr>
          </w:p>
        </w:tc>
        <w:tc>
          <w:tcPr>
            <w:tcW w:w="655" w:type="dxa"/>
            <w:tcBorders>
              <w:bottom w:val="single" w:sz="4" w:space="0" w:color="auto"/>
            </w:tcBorders>
            <w:shd w:val="clear" w:color="auto" w:fill="auto"/>
          </w:tcPr>
          <w:p w14:paraId="3A10D652" w14:textId="77777777" w:rsidR="00913A0A" w:rsidRPr="0058047D" w:rsidRDefault="00913A0A" w:rsidP="001A63C6">
            <w:pPr>
              <w:pStyle w:val="TableText"/>
              <w:widowControl w:val="0"/>
              <w:rPr>
                <w:rFonts w:ascii="Tahoma" w:hAnsi="Tahoma" w:cs="Tahoma"/>
                <w:color w:val="000000"/>
                <w:sz w:val="13"/>
              </w:rPr>
            </w:pPr>
          </w:p>
        </w:tc>
        <w:tc>
          <w:tcPr>
            <w:tcW w:w="504" w:type="dxa"/>
            <w:tcBorders>
              <w:bottom w:val="single" w:sz="4" w:space="0" w:color="auto"/>
            </w:tcBorders>
            <w:shd w:val="clear" w:color="auto" w:fill="auto"/>
            <w:vAlign w:val="center"/>
          </w:tcPr>
          <w:p w14:paraId="32FAE620" w14:textId="77777777" w:rsidR="00913A0A" w:rsidRPr="0058047D" w:rsidRDefault="00913A0A" w:rsidP="001A63C6">
            <w:pPr>
              <w:pStyle w:val="TableText"/>
              <w:widowControl w:val="0"/>
              <w:rPr>
                <w:rFonts w:ascii="Tahoma" w:hAnsi="Tahoma" w:cs="Tahoma"/>
                <w:color w:val="000000"/>
                <w:sz w:val="13"/>
              </w:rPr>
            </w:pPr>
          </w:p>
        </w:tc>
        <w:tc>
          <w:tcPr>
            <w:tcW w:w="405" w:type="dxa"/>
            <w:tcBorders>
              <w:bottom w:val="single" w:sz="4" w:space="0" w:color="auto"/>
            </w:tcBorders>
          </w:tcPr>
          <w:p w14:paraId="5E5B2766" w14:textId="77777777" w:rsidR="00913A0A" w:rsidRPr="0058047D" w:rsidRDefault="00913A0A" w:rsidP="001A63C6">
            <w:pPr>
              <w:pStyle w:val="TableText"/>
              <w:widowControl w:val="0"/>
              <w:rPr>
                <w:rFonts w:ascii="Tahoma" w:hAnsi="Tahoma" w:cs="Tahoma"/>
                <w:color w:val="000000"/>
                <w:sz w:val="13"/>
              </w:rPr>
            </w:pPr>
          </w:p>
        </w:tc>
      </w:tr>
      <w:tr w:rsidR="009323A0" w:rsidRPr="0058047D" w14:paraId="588F9C23" w14:textId="77777777" w:rsidTr="00C86F50">
        <w:trPr>
          <w:trHeight w:val="145"/>
        </w:trPr>
        <w:tc>
          <w:tcPr>
            <w:tcW w:w="2619" w:type="dxa"/>
            <w:gridSpan w:val="2"/>
            <w:tcBorders>
              <w:bottom w:val="single" w:sz="4" w:space="0" w:color="auto"/>
            </w:tcBorders>
            <w:shd w:val="clear" w:color="auto" w:fill="FABF8F"/>
            <w:vAlign w:val="center"/>
          </w:tcPr>
          <w:p w14:paraId="1EEF37EA" w14:textId="77777777" w:rsidR="00913A0A" w:rsidRPr="0058047D" w:rsidRDefault="00913A0A" w:rsidP="00E077BC">
            <w:pPr>
              <w:pStyle w:val="ProductNames"/>
              <w:spacing w:beforeLines="20" w:before="48" w:afterLines="20" w:after="48"/>
              <w:rPr>
                <w:rFonts w:ascii="Tahoma" w:hAnsi="Tahoma" w:cs="Tahoma"/>
                <w:sz w:val="14"/>
              </w:rPr>
            </w:pPr>
            <w:bookmarkStart w:id="406" w:name="_Toc336338072"/>
            <w:bookmarkStart w:id="407" w:name="_Toc371663478"/>
            <w:bookmarkStart w:id="408" w:name="_Toc257333910"/>
            <w:r w:rsidRPr="0058047D">
              <w:rPr>
                <w:rFonts w:ascii="Tahoma" w:hAnsi="Tahoma" w:cs="Tahoma"/>
                <w:sz w:val="14"/>
              </w:rPr>
              <w:t>System Center Essentials 2010 con Tecnologia SQL Server 2008</w:t>
            </w:r>
            <w:bookmarkEnd w:id="406"/>
            <w:bookmarkEnd w:id="407"/>
            <w:r w:rsidRPr="0058047D">
              <w:rPr>
                <w:rFonts w:ascii="Tahoma" w:hAnsi="Tahoma" w:cs="Tahoma"/>
                <w:sz w:val="14"/>
              </w:rPr>
              <w:t xml:space="preserve"> </w:t>
            </w:r>
            <w:bookmarkEnd w:id="408"/>
          </w:p>
        </w:tc>
        <w:tc>
          <w:tcPr>
            <w:tcW w:w="554" w:type="dxa"/>
            <w:tcBorders>
              <w:bottom w:val="single" w:sz="4" w:space="0" w:color="auto"/>
            </w:tcBorders>
            <w:shd w:val="clear" w:color="auto" w:fill="FABF8F"/>
            <w:vAlign w:val="center"/>
          </w:tcPr>
          <w:p w14:paraId="5A40C447" w14:textId="77777777" w:rsidR="00913A0A" w:rsidRPr="0058047D" w:rsidRDefault="00913A0A" w:rsidP="001A63C6">
            <w:pPr>
              <w:pStyle w:val="TableText"/>
              <w:widowControl w:val="0"/>
              <w:rPr>
                <w:rStyle w:val="EndnoteReference"/>
                <w:sz w:val="13"/>
                <w:szCs w:val="13"/>
                <w:u w:val="single"/>
              </w:rPr>
            </w:pPr>
          </w:p>
        </w:tc>
        <w:tc>
          <w:tcPr>
            <w:tcW w:w="516" w:type="dxa"/>
            <w:tcBorders>
              <w:bottom w:val="single" w:sz="4" w:space="0" w:color="auto"/>
            </w:tcBorders>
            <w:shd w:val="clear" w:color="auto" w:fill="FABF8F"/>
          </w:tcPr>
          <w:p w14:paraId="01B6C172" w14:textId="77777777" w:rsidR="00913A0A" w:rsidRPr="0058047D" w:rsidRDefault="00913A0A" w:rsidP="001A63C6">
            <w:pPr>
              <w:pStyle w:val="TableText"/>
              <w:widowControl w:val="0"/>
              <w:spacing w:before="200"/>
              <w:rPr>
                <w:rFonts w:ascii="Tahoma" w:hAnsi="Tahoma" w:cs="Tahoma"/>
                <w:color w:val="000000"/>
                <w:sz w:val="13"/>
              </w:rPr>
            </w:pPr>
          </w:p>
        </w:tc>
        <w:tc>
          <w:tcPr>
            <w:tcW w:w="358" w:type="dxa"/>
            <w:tcBorders>
              <w:bottom w:val="single" w:sz="4" w:space="0" w:color="auto"/>
              <w:right w:val="single" w:sz="18" w:space="0" w:color="auto"/>
            </w:tcBorders>
            <w:shd w:val="clear" w:color="auto" w:fill="FABF8F"/>
            <w:vAlign w:val="center"/>
          </w:tcPr>
          <w:p w14:paraId="5B27EA3C" w14:textId="77777777" w:rsidR="00913A0A" w:rsidRPr="0058047D" w:rsidRDefault="00913A0A" w:rsidP="001A63C6">
            <w:pPr>
              <w:pStyle w:val="TableText"/>
              <w:widowControl w:val="0"/>
              <w:rPr>
                <w:rFonts w:ascii="Tahoma" w:hAnsi="Tahoma" w:cs="Tahoma"/>
                <w:color w:val="000000"/>
                <w:sz w:val="13"/>
              </w:rPr>
            </w:pPr>
          </w:p>
        </w:tc>
        <w:tc>
          <w:tcPr>
            <w:tcW w:w="330" w:type="dxa"/>
            <w:tcBorders>
              <w:left w:val="single" w:sz="18" w:space="0" w:color="auto"/>
              <w:bottom w:val="single" w:sz="4" w:space="0" w:color="auto"/>
            </w:tcBorders>
            <w:shd w:val="clear" w:color="auto" w:fill="FABF8F"/>
            <w:vAlign w:val="center"/>
          </w:tcPr>
          <w:p w14:paraId="2551E601" w14:textId="77777777" w:rsidR="00913A0A" w:rsidRPr="0058047D" w:rsidRDefault="00913A0A" w:rsidP="001A63C6">
            <w:pPr>
              <w:pStyle w:val="TableText"/>
              <w:widowControl w:val="0"/>
              <w:rPr>
                <w:rFonts w:ascii="Tahoma" w:hAnsi="Tahoma" w:cs="Tahoma"/>
                <w:color w:val="000000"/>
                <w:sz w:val="13"/>
              </w:rPr>
            </w:pPr>
          </w:p>
        </w:tc>
        <w:tc>
          <w:tcPr>
            <w:tcW w:w="324" w:type="dxa"/>
            <w:tcBorders>
              <w:bottom w:val="single" w:sz="4" w:space="0" w:color="auto"/>
            </w:tcBorders>
            <w:shd w:val="clear" w:color="auto" w:fill="FABF8F"/>
            <w:vAlign w:val="center"/>
          </w:tcPr>
          <w:p w14:paraId="51F1758D" w14:textId="77777777" w:rsidR="00913A0A" w:rsidRPr="0058047D" w:rsidRDefault="00913A0A" w:rsidP="001A63C6">
            <w:pPr>
              <w:pStyle w:val="TableText"/>
              <w:widowControl w:val="0"/>
              <w:rPr>
                <w:rFonts w:ascii="Tahoma" w:hAnsi="Tahoma" w:cs="Tahoma"/>
                <w:color w:val="000000"/>
                <w:sz w:val="13"/>
              </w:rPr>
            </w:pPr>
          </w:p>
        </w:tc>
        <w:tc>
          <w:tcPr>
            <w:tcW w:w="366" w:type="dxa"/>
            <w:tcBorders>
              <w:bottom w:val="single" w:sz="4" w:space="0" w:color="auto"/>
            </w:tcBorders>
            <w:shd w:val="clear" w:color="auto" w:fill="FABF8F"/>
            <w:vAlign w:val="center"/>
          </w:tcPr>
          <w:p w14:paraId="37377D1D" w14:textId="77777777" w:rsidR="00913A0A" w:rsidRPr="0058047D" w:rsidRDefault="00913A0A" w:rsidP="001A63C6">
            <w:pPr>
              <w:pStyle w:val="TableText"/>
              <w:widowControl w:val="0"/>
              <w:rPr>
                <w:rFonts w:ascii="Tahoma" w:hAnsi="Tahoma" w:cs="Tahoma"/>
                <w:color w:val="000000"/>
                <w:sz w:val="13"/>
              </w:rPr>
            </w:pPr>
          </w:p>
        </w:tc>
        <w:tc>
          <w:tcPr>
            <w:tcW w:w="456" w:type="dxa"/>
            <w:gridSpan w:val="2"/>
            <w:tcBorders>
              <w:bottom w:val="single" w:sz="4" w:space="0" w:color="auto"/>
            </w:tcBorders>
            <w:shd w:val="clear" w:color="auto" w:fill="FABF8F"/>
            <w:vAlign w:val="center"/>
          </w:tcPr>
          <w:p w14:paraId="66C781AC"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EC68FE9"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28B8AC0" w14:textId="77777777" w:rsidR="00913A0A" w:rsidRPr="0058047D" w:rsidRDefault="00913A0A" w:rsidP="001A63C6">
            <w:pPr>
              <w:pStyle w:val="TableText"/>
              <w:widowControl w:val="0"/>
              <w:rPr>
                <w:rFonts w:ascii="Tahoma" w:hAnsi="Tahoma" w:cs="Tahoma"/>
                <w:color w:val="000000"/>
                <w:sz w:val="13"/>
              </w:rPr>
            </w:pPr>
          </w:p>
        </w:tc>
        <w:tc>
          <w:tcPr>
            <w:tcW w:w="336" w:type="dxa"/>
            <w:tcBorders>
              <w:bottom w:val="single" w:sz="4" w:space="0" w:color="auto"/>
              <w:right w:val="single" w:sz="18" w:space="0" w:color="auto"/>
            </w:tcBorders>
            <w:shd w:val="clear" w:color="auto" w:fill="FABF8F"/>
            <w:vAlign w:val="center"/>
          </w:tcPr>
          <w:p w14:paraId="6E56CEEC" w14:textId="77777777" w:rsidR="00913A0A" w:rsidRPr="0058047D" w:rsidRDefault="00913A0A" w:rsidP="001A63C6">
            <w:pPr>
              <w:pStyle w:val="TableText"/>
              <w:widowControl w:val="0"/>
              <w:rPr>
                <w:rFonts w:ascii="Tahoma" w:hAnsi="Tahoma" w:cs="Tahoma"/>
                <w:color w:val="000000"/>
                <w:sz w:val="13"/>
              </w:rPr>
            </w:pPr>
          </w:p>
        </w:tc>
        <w:tc>
          <w:tcPr>
            <w:tcW w:w="477" w:type="dxa"/>
            <w:tcBorders>
              <w:left w:val="single" w:sz="18" w:space="0" w:color="auto"/>
              <w:bottom w:val="single" w:sz="4" w:space="0" w:color="auto"/>
            </w:tcBorders>
            <w:shd w:val="clear" w:color="auto" w:fill="FABF8F"/>
            <w:vAlign w:val="center"/>
          </w:tcPr>
          <w:p w14:paraId="134D3896"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48087EB" w14:textId="77777777" w:rsidR="00913A0A" w:rsidRPr="0058047D" w:rsidRDefault="00913A0A" w:rsidP="001A63C6">
            <w:pPr>
              <w:pStyle w:val="TableText"/>
              <w:widowControl w:val="0"/>
              <w:rPr>
                <w:rFonts w:ascii="Tahoma" w:hAnsi="Tahoma" w:cs="Tahoma"/>
                <w:color w:val="000000"/>
                <w:sz w:val="13"/>
              </w:rPr>
            </w:pPr>
          </w:p>
        </w:tc>
        <w:tc>
          <w:tcPr>
            <w:tcW w:w="414" w:type="dxa"/>
            <w:tcBorders>
              <w:bottom w:val="single" w:sz="4" w:space="0" w:color="auto"/>
              <w:right w:val="single" w:sz="18" w:space="0" w:color="auto"/>
            </w:tcBorders>
            <w:shd w:val="clear" w:color="auto" w:fill="FABF8F"/>
            <w:vAlign w:val="center"/>
          </w:tcPr>
          <w:p w14:paraId="21EB0968" w14:textId="77777777" w:rsidR="00913A0A" w:rsidRPr="0058047D" w:rsidRDefault="00913A0A" w:rsidP="001A63C6">
            <w:pPr>
              <w:pStyle w:val="TableText"/>
              <w:widowControl w:val="0"/>
              <w:rPr>
                <w:rFonts w:ascii="Tahoma" w:hAnsi="Tahoma" w:cs="Tahoma"/>
                <w:color w:val="000000"/>
                <w:sz w:val="13"/>
              </w:rPr>
            </w:pPr>
          </w:p>
        </w:tc>
        <w:tc>
          <w:tcPr>
            <w:tcW w:w="468" w:type="dxa"/>
            <w:tcBorders>
              <w:left w:val="single" w:sz="18" w:space="0" w:color="auto"/>
              <w:bottom w:val="single" w:sz="4" w:space="0" w:color="auto"/>
            </w:tcBorders>
            <w:shd w:val="clear" w:color="auto" w:fill="FABF8F"/>
            <w:vAlign w:val="center"/>
          </w:tcPr>
          <w:p w14:paraId="50D495C0" w14:textId="77777777" w:rsidR="00913A0A" w:rsidRPr="0058047D" w:rsidRDefault="00913A0A" w:rsidP="001A63C6">
            <w:pPr>
              <w:pStyle w:val="TableText"/>
              <w:widowControl w:val="0"/>
              <w:rPr>
                <w:rFonts w:ascii="Tahoma" w:hAnsi="Tahoma" w:cs="Tahoma"/>
                <w:color w:val="000000"/>
                <w:sz w:val="13"/>
              </w:rPr>
            </w:pPr>
          </w:p>
        </w:tc>
        <w:tc>
          <w:tcPr>
            <w:tcW w:w="477" w:type="dxa"/>
            <w:tcBorders>
              <w:bottom w:val="single" w:sz="4" w:space="0" w:color="auto"/>
              <w:right w:val="single" w:sz="18" w:space="0" w:color="auto"/>
            </w:tcBorders>
            <w:shd w:val="clear" w:color="auto" w:fill="FABF8F"/>
            <w:vAlign w:val="center"/>
          </w:tcPr>
          <w:p w14:paraId="0681BEB8" w14:textId="77777777" w:rsidR="00913A0A" w:rsidRPr="0058047D" w:rsidRDefault="00913A0A" w:rsidP="001A63C6">
            <w:pPr>
              <w:pStyle w:val="TableText"/>
              <w:widowControl w:val="0"/>
              <w:rPr>
                <w:rFonts w:ascii="Tahoma" w:hAnsi="Tahoma" w:cs="Tahoma"/>
                <w:color w:val="000000"/>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3A7E55C3" w14:textId="77777777" w:rsidR="00913A0A" w:rsidRPr="0058047D" w:rsidRDefault="00913A0A" w:rsidP="001A63C6">
            <w:pPr>
              <w:pStyle w:val="TableText"/>
              <w:widowControl w:val="0"/>
              <w:rPr>
                <w:rFonts w:ascii="Tahoma" w:hAnsi="Tahoma" w:cs="Tahoma"/>
                <w:color w:val="000000"/>
                <w:sz w:val="13"/>
              </w:rPr>
            </w:pPr>
          </w:p>
        </w:tc>
        <w:tc>
          <w:tcPr>
            <w:tcW w:w="655" w:type="dxa"/>
            <w:tcBorders>
              <w:bottom w:val="single" w:sz="4" w:space="0" w:color="auto"/>
            </w:tcBorders>
            <w:shd w:val="clear" w:color="auto" w:fill="FABF8F"/>
          </w:tcPr>
          <w:p w14:paraId="1BACE72B" w14:textId="77777777" w:rsidR="00913A0A" w:rsidRPr="0058047D" w:rsidRDefault="00913A0A" w:rsidP="001A63C6">
            <w:pPr>
              <w:pStyle w:val="TableText"/>
              <w:widowControl w:val="0"/>
              <w:rPr>
                <w:rFonts w:ascii="Tahoma" w:hAnsi="Tahoma" w:cs="Tahoma"/>
                <w:color w:val="000000"/>
                <w:sz w:val="13"/>
              </w:rPr>
            </w:pPr>
          </w:p>
        </w:tc>
        <w:tc>
          <w:tcPr>
            <w:tcW w:w="504" w:type="dxa"/>
            <w:tcBorders>
              <w:bottom w:val="single" w:sz="4" w:space="0" w:color="auto"/>
            </w:tcBorders>
            <w:shd w:val="clear" w:color="auto" w:fill="FABF8F"/>
            <w:vAlign w:val="center"/>
          </w:tcPr>
          <w:p w14:paraId="532D217B" w14:textId="77777777" w:rsidR="00913A0A" w:rsidRPr="0058047D" w:rsidRDefault="00913A0A" w:rsidP="001A63C6">
            <w:pPr>
              <w:pStyle w:val="TableText"/>
              <w:widowControl w:val="0"/>
              <w:rPr>
                <w:rFonts w:ascii="Tahoma" w:hAnsi="Tahoma" w:cs="Tahoma"/>
                <w:color w:val="000000"/>
                <w:sz w:val="13"/>
              </w:rPr>
            </w:pPr>
          </w:p>
        </w:tc>
        <w:tc>
          <w:tcPr>
            <w:tcW w:w="405" w:type="dxa"/>
            <w:tcBorders>
              <w:bottom w:val="single" w:sz="4" w:space="0" w:color="auto"/>
            </w:tcBorders>
            <w:shd w:val="clear" w:color="auto" w:fill="FABF8F"/>
          </w:tcPr>
          <w:p w14:paraId="056A42C1" w14:textId="77777777" w:rsidR="00913A0A" w:rsidRPr="0058047D" w:rsidRDefault="00913A0A" w:rsidP="001A63C6">
            <w:pPr>
              <w:pStyle w:val="TableText"/>
              <w:widowControl w:val="0"/>
              <w:rPr>
                <w:rFonts w:ascii="Tahoma" w:hAnsi="Tahoma" w:cs="Tahoma"/>
                <w:color w:val="000000"/>
                <w:sz w:val="13"/>
              </w:rPr>
            </w:pPr>
          </w:p>
        </w:tc>
      </w:tr>
      <w:tr w:rsidR="009323A0" w:rsidRPr="003F471F" w14:paraId="48788A08" w14:textId="77777777" w:rsidTr="00C86F50">
        <w:trPr>
          <w:trHeight w:val="145"/>
        </w:trPr>
        <w:tc>
          <w:tcPr>
            <w:tcW w:w="2619" w:type="dxa"/>
            <w:gridSpan w:val="2"/>
            <w:tcBorders>
              <w:bottom w:val="single" w:sz="4" w:space="0" w:color="auto"/>
            </w:tcBorders>
            <w:shd w:val="clear" w:color="auto" w:fill="auto"/>
            <w:vAlign w:val="center"/>
          </w:tcPr>
          <w:p w14:paraId="1865C322" w14:textId="77777777" w:rsidR="00913A0A" w:rsidRPr="003F471F" w:rsidRDefault="00913A0A" w:rsidP="00E077BC">
            <w:pPr>
              <w:pStyle w:val="ProductNames"/>
              <w:spacing w:beforeLines="20" w:before="48" w:afterLines="20" w:after="48"/>
              <w:rPr>
                <w:rFonts w:ascii="Tahoma" w:hAnsi="Tahoma" w:cs="Tahoma"/>
                <w:sz w:val="14"/>
                <w:lang w:val="it-IT"/>
              </w:rPr>
            </w:pPr>
            <w:bookmarkStart w:id="409" w:name="_Toc336338073"/>
            <w:bookmarkStart w:id="410" w:name="_Toc371663479"/>
            <w:r w:rsidRPr="003F471F">
              <w:rPr>
                <w:rFonts w:ascii="Tahoma" w:hAnsi="Tahoma" w:cs="Tahoma"/>
                <w:sz w:val="14"/>
                <w:lang w:val="it-IT"/>
              </w:rPr>
              <w:t>Suite di Licenza di Gestione Client per System Center Essentials Plus 2010</w:t>
            </w:r>
            <w:bookmarkEnd w:id="409"/>
            <w:bookmarkEnd w:id="410"/>
          </w:p>
        </w:tc>
        <w:tc>
          <w:tcPr>
            <w:tcW w:w="554" w:type="dxa"/>
            <w:tcBorders>
              <w:bottom w:val="single" w:sz="4" w:space="0" w:color="auto"/>
            </w:tcBorders>
            <w:shd w:val="clear" w:color="auto" w:fill="auto"/>
            <w:vAlign w:val="center"/>
          </w:tcPr>
          <w:p w14:paraId="12FBAFB8" w14:textId="77777777" w:rsidR="00913A0A" w:rsidRPr="003F471F" w:rsidRDefault="00913A0A" w:rsidP="001A63C6">
            <w:pPr>
              <w:pStyle w:val="TableText"/>
              <w:widowControl w:val="0"/>
              <w:rPr>
                <w:rStyle w:val="EndnoteReference"/>
                <w:sz w:val="13"/>
                <w:szCs w:val="13"/>
                <w:u w:val="single"/>
                <w:lang w:val="it-IT"/>
              </w:rPr>
            </w:pPr>
          </w:p>
        </w:tc>
        <w:tc>
          <w:tcPr>
            <w:tcW w:w="516" w:type="dxa"/>
            <w:tcBorders>
              <w:bottom w:val="single" w:sz="4" w:space="0" w:color="auto"/>
            </w:tcBorders>
            <w:shd w:val="clear" w:color="auto" w:fill="auto"/>
          </w:tcPr>
          <w:p w14:paraId="5C90DA71" w14:textId="77777777" w:rsidR="00913A0A" w:rsidRPr="003F471F" w:rsidRDefault="00913A0A" w:rsidP="001A63C6">
            <w:pPr>
              <w:pStyle w:val="TableText"/>
              <w:widowControl w:val="0"/>
              <w:spacing w:before="80"/>
              <w:rPr>
                <w:rFonts w:ascii="Tahoma" w:hAnsi="Tahoma" w:cs="Tahoma"/>
                <w:color w:val="000000"/>
                <w:sz w:val="13"/>
                <w:lang w:val="it-IT"/>
              </w:rPr>
            </w:pPr>
          </w:p>
        </w:tc>
        <w:tc>
          <w:tcPr>
            <w:tcW w:w="358" w:type="dxa"/>
            <w:tcBorders>
              <w:bottom w:val="single" w:sz="4" w:space="0" w:color="auto"/>
              <w:right w:val="single" w:sz="18" w:space="0" w:color="auto"/>
            </w:tcBorders>
            <w:shd w:val="clear" w:color="auto" w:fill="auto"/>
            <w:vAlign w:val="center"/>
          </w:tcPr>
          <w:p w14:paraId="3C190E86" w14:textId="77777777" w:rsidR="00913A0A" w:rsidRPr="003F471F" w:rsidRDefault="00913A0A" w:rsidP="001A63C6">
            <w:pPr>
              <w:pStyle w:val="TableText"/>
              <w:widowControl w:val="0"/>
              <w:rPr>
                <w:rFonts w:ascii="Tahoma" w:hAnsi="Tahoma" w:cs="Tahoma"/>
                <w:color w:val="000000"/>
                <w:sz w:val="13"/>
                <w:lang w:val="it-IT"/>
              </w:rPr>
            </w:pPr>
          </w:p>
        </w:tc>
        <w:tc>
          <w:tcPr>
            <w:tcW w:w="330" w:type="dxa"/>
            <w:tcBorders>
              <w:left w:val="single" w:sz="18" w:space="0" w:color="auto"/>
              <w:bottom w:val="single" w:sz="4" w:space="0" w:color="auto"/>
            </w:tcBorders>
            <w:shd w:val="clear" w:color="auto" w:fill="auto"/>
            <w:vAlign w:val="center"/>
          </w:tcPr>
          <w:p w14:paraId="284EEC9E" w14:textId="77777777" w:rsidR="00913A0A" w:rsidRPr="003F471F" w:rsidRDefault="00913A0A" w:rsidP="001A63C6">
            <w:pPr>
              <w:pStyle w:val="TableText"/>
              <w:widowControl w:val="0"/>
              <w:rPr>
                <w:rFonts w:ascii="Tahoma" w:hAnsi="Tahoma" w:cs="Tahoma"/>
                <w:color w:val="000000"/>
                <w:sz w:val="13"/>
                <w:lang w:val="it-IT"/>
              </w:rPr>
            </w:pPr>
          </w:p>
        </w:tc>
        <w:tc>
          <w:tcPr>
            <w:tcW w:w="324" w:type="dxa"/>
            <w:tcBorders>
              <w:bottom w:val="single" w:sz="4" w:space="0" w:color="auto"/>
            </w:tcBorders>
            <w:shd w:val="clear" w:color="auto" w:fill="auto"/>
            <w:vAlign w:val="center"/>
          </w:tcPr>
          <w:p w14:paraId="76D83D3D" w14:textId="77777777" w:rsidR="00913A0A" w:rsidRPr="003F471F" w:rsidRDefault="00913A0A" w:rsidP="001A63C6">
            <w:pPr>
              <w:pStyle w:val="TableText"/>
              <w:widowControl w:val="0"/>
              <w:rPr>
                <w:rFonts w:ascii="Tahoma" w:hAnsi="Tahoma" w:cs="Tahoma"/>
                <w:color w:val="000000"/>
                <w:sz w:val="13"/>
                <w:lang w:val="it-IT"/>
              </w:rPr>
            </w:pPr>
          </w:p>
        </w:tc>
        <w:tc>
          <w:tcPr>
            <w:tcW w:w="366" w:type="dxa"/>
            <w:tcBorders>
              <w:bottom w:val="single" w:sz="4" w:space="0" w:color="auto"/>
            </w:tcBorders>
            <w:shd w:val="clear" w:color="auto" w:fill="auto"/>
            <w:vAlign w:val="center"/>
          </w:tcPr>
          <w:p w14:paraId="60B2572D" w14:textId="77777777" w:rsidR="00913A0A" w:rsidRPr="003F471F" w:rsidRDefault="00913A0A" w:rsidP="001A63C6">
            <w:pPr>
              <w:pStyle w:val="TableText"/>
              <w:widowControl w:val="0"/>
              <w:rPr>
                <w:rFonts w:ascii="Tahoma" w:hAnsi="Tahoma" w:cs="Tahoma"/>
                <w:color w:val="000000"/>
                <w:sz w:val="13"/>
                <w:lang w:val="it-IT"/>
              </w:rPr>
            </w:pPr>
          </w:p>
        </w:tc>
        <w:tc>
          <w:tcPr>
            <w:tcW w:w="456" w:type="dxa"/>
            <w:gridSpan w:val="2"/>
            <w:tcBorders>
              <w:bottom w:val="single" w:sz="4" w:space="0" w:color="auto"/>
            </w:tcBorders>
            <w:shd w:val="clear" w:color="auto" w:fill="auto"/>
            <w:vAlign w:val="center"/>
          </w:tcPr>
          <w:p w14:paraId="34C749AB" w14:textId="77777777" w:rsidR="00913A0A" w:rsidRPr="003F471F" w:rsidRDefault="00913A0A" w:rsidP="001A63C6">
            <w:pPr>
              <w:pStyle w:val="TableText"/>
              <w:widowControl w:val="0"/>
              <w:rPr>
                <w:rFonts w:ascii="Tahoma" w:hAnsi="Tahoma" w:cs="Tahoma"/>
                <w:color w:val="000000"/>
                <w:sz w:val="13"/>
                <w:lang w:val="it-IT"/>
              </w:rPr>
            </w:pPr>
          </w:p>
        </w:tc>
        <w:tc>
          <w:tcPr>
            <w:tcW w:w="450" w:type="dxa"/>
            <w:tcBorders>
              <w:bottom w:val="single" w:sz="4" w:space="0" w:color="auto"/>
            </w:tcBorders>
            <w:shd w:val="clear" w:color="auto" w:fill="auto"/>
            <w:vAlign w:val="center"/>
          </w:tcPr>
          <w:p w14:paraId="5C61E34F" w14:textId="77777777" w:rsidR="00913A0A" w:rsidRPr="003F471F" w:rsidRDefault="00913A0A" w:rsidP="001A63C6">
            <w:pPr>
              <w:pStyle w:val="TableText"/>
              <w:widowControl w:val="0"/>
              <w:rPr>
                <w:rFonts w:ascii="Tahoma" w:hAnsi="Tahoma" w:cs="Tahoma"/>
                <w:color w:val="000000"/>
                <w:sz w:val="13"/>
                <w:lang w:val="it-IT"/>
              </w:rPr>
            </w:pPr>
          </w:p>
        </w:tc>
        <w:tc>
          <w:tcPr>
            <w:tcW w:w="450" w:type="dxa"/>
            <w:tcBorders>
              <w:bottom w:val="single" w:sz="4" w:space="0" w:color="auto"/>
            </w:tcBorders>
            <w:shd w:val="clear" w:color="auto" w:fill="auto"/>
            <w:vAlign w:val="center"/>
          </w:tcPr>
          <w:p w14:paraId="325A44C3" w14:textId="77777777" w:rsidR="00913A0A" w:rsidRPr="003F471F" w:rsidRDefault="00913A0A" w:rsidP="001A63C6">
            <w:pPr>
              <w:pStyle w:val="TableText"/>
              <w:widowControl w:val="0"/>
              <w:rPr>
                <w:rFonts w:ascii="Tahoma" w:hAnsi="Tahoma" w:cs="Tahoma"/>
                <w:color w:val="000000"/>
                <w:sz w:val="13"/>
                <w:lang w:val="it-IT"/>
              </w:rPr>
            </w:pPr>
          </w:p>
        </w:tc>
        <w:tc>
          <w:tcPr>
            <w:tcW w:w="336" w:type="dxa"/>
            <w:tcBorders>
              <w:bottom w:val="single" w:sz="4" w:space="0" w:color="auto"/>
              <w:right w:val="single" w:sz="18" w:space="0" w:color="auto"/>
            </w:tcBorders>
            <w:shd w:val="clear" w:color="auto" w:fill="auto"/>
            <w:vAlign w:val="center"/>
          </w:tcPr>
          <w:p w14:paraId="4C0CB85E" w14:textId="77777777" w:rsidR="00913A0A" w:rsidRPr="003F471F" w:rsidRDefault="00913A0A" w:rsidP="001A63C6">
            <w:pPr>
              <w:pStyle w:val="TableText"/>
              <w:widowControl w:val="0"/>
              <w:rPr>
                <w:rFonts w:ascii="Tahoma" w:hAnsi="Tahoma" w:cs="Tahoma"/>
                <w:color w:val="000000"/>
                <w:sz w:val="13"/>
                <w:lang w:val="it-IT"/>
              </w:rPr>
            </w:pPr>
          </w:p>
        </w:tc>
        <w:tc>
          <w:tcPr>
            <w:tcW w:w="477" w:type="dxa"/>
            <w:tcBorders>
              <w:left w:val="single" w:sz="18" w:space="0" w:color="auto"/>
              <w:bottom w:val="single" w:sz="4" w:space="0" w:color="auto"/>
            </w:tcBorders>
            <w:shd w:val="clear" w:color="auto" w:fill="auto"/>
            <w:vAlign w:val="center"/>
          </w:tcPr>
          <w:p w14:paraId="1F09CB96" w14:textId="77777777" w:rsidR="00913A0A" w:rsidRPr="003F471F" w:rsidRDefault="00913A0A" w:rsidP="001A63C6">
            <w:pPr>
              <w:pStyle w:val="TableText"/>
              <w:widowControl w:val="0"/>
              <w:rPr>
                <w:rFonts w:ascii="Tahoma" w:hAnsi="Tahoma" w:cs="Tahoma"/>
                <w:color w:val="000000"/>
                <w:sz w:val="13"/>
                <w:lang w:val="it-IT"/>
              </w:rPr>
            </w:pPr>
          </w:p>
        </w:tc>
        <w:tc>
          <w:tcPr>
            <w:tcW w:w="450" w:type="dxa"/>
            <w:tcBorders>
              <w:bottom w:val="single" w:sz="4" w:space="0" w:color="auto"/>
            </w:tcBorders>
            <w:shd w:val="clear" w:color="auto" w:fill="auto"/>
            <w:vAlign w:val="center"/>
          </w:tcPr>
          <w:p w14:paraId="55D40060" w14:textId="77777777" w:rsidR="00913A0A" w:rsidRPr="003F471F" w:rsidRDefault="00913A0A" w:rsidP="001A63C6">
            <w:pPr>
              <w:pStyle w:val="TableText"/>
              <w:widowControl w:val="0"/>
              <w:rPr>
                <w:rFonts w:ascii="Tahoma" w:hAnsi="Tahoma" w:cs="Tahoma"/>
                <w:color w:val="000000"/>
                <w:sz w:val="13"/>
                <w:lang w:val="it-IT"/>
              </w:rPr>
            </w:pPr>
          </w:p>
        </w:tc>
        <w:tc>
          <w:tcPr>
            <w:tcW w:w="414" w:type="dxa"/>
            <w:tcBorders>
              <w:bottom w:val="single" w:sz="4" w:space="0" w:color="auto"/>
              <w:right w:val="single" w:sz="18" w:space="0" w:color="auto"/>
            </w:tcBorders>
            <w:shd w:val="clear" w:color="auto" w:fill="auto"/>
            <w:vAlign w:val="center"/>
          </w:tcPr>
          <w:p w14:paraId="411F3645" w14:textId="77777777" w:rsidR="00913A0A" w:rsidRPr="003F471F" w:rsidRDefault="00913A0A" w:rsidP="001A63C6">
            <w:pPr>
              <w:pStyle w:val="TableText"/>
              <w:widowControl w:val="0"/>
              <w:rPr>
                <w:rFonts w:ascii="Tahoma" w:hAnsi="Tahoma" w:cs="Tahoma"/>
                <w:color w:val="000000"/>
                <w:sz w:val="13"/>
                <w:lang w:val="it-IT"/>
              </w:rPr>
            </w:pPr>
          </w:p>
        </w:tc>
        <w:tc>
          <w:tcPr>
            <w:tcW w:w="468" w:type="dxa"/>
            <w:tcBorders>
              <w:left w:val="single" w:sz="18" w:space="0" w:color="auto"/>
              <w:bottom w:val="single" w:sz="4" w:space="0" w:color="auto"/>
            </w:tcBorders>
            <w:shd w:val="clear" w:color="auto" w:fill="auto"/>
            <w:vAlign w:val="center"/>
          </w:tcPr>
          <w:p w14:paraId="6571D546" w14:textId="77777777" w:rsidR="00913A0A" w:rsidRPr="003F471F" w:rsidRDefault="00913A0A" w:rsidP="001A63C6">
            <w:pPr>
              <w:pStyle w:val="TableText"/>
              <w:widowControl w:val="0"/>
              <w:rPr>
                <w:rFonts w:ascii="Tahoma" w:hAnsi="Tahoma" w:cs="Tahoma"/>
                <w:color w:val="000000"/>
                <w:sz w:val="13"/>
                <w:lang w:val="it-IT"/>
              </w:rPr>
            </w:pPr>
          </w:p>
        </w:tc>
        <w:tc>
          <w:tcPr>
            <w:tcW w:w="477" w:type="dxa"/>
            <w:tcBorders>
              <w:bottom w:val="single" w:sz="4" w:space="0" w:color="auto"/>
              <w:right w:val="single" w:sz="18" w:space="0" w:color="auto"/>
            </w:tcBorders>
            <w:shd w:val="clear" w:color="auto" w:fill="auto"/>
            <w:vAlign w:val="center"/>
          </w:tcPr>
          <w:p w14:paraId="5B0FC0F6" w14:textId="77777777" w:rsidR="00913A0A" w:rsidRPr="003F471F" w:rsidRDefault="00913A0A" w:rsidP="001A63C6">
            <w:pPr>
              <w:pStyle w:val="TableText"/>
              <w:widowControl w:val="0"/>
              <w:rPr>
                <w:rFonts w:ascii="Tahoma" w:hAnsi="Tahoma" w:cs="Tahoma"/>
                <w:color w:val="000000"/>
                <w:sz w:val="13"/>
                <w:lang w:val="it-IT"/>
              </w:rPr>
            </w:pPr>
          </w:p>
        </w:tc>
        <w:tc>
          <w:tcPr>
            <w:tcW w:w="324" w:type="dxa"/>
            <w:tcBorders>
              <w:left w:val="single" w:sz="18" w:space="0" w:color="auto"/>
              <w:bottom w:val="single" w:sz="4" w:space="0" w:color="auto"/>
              <w:right w:val="single" w:sz="18" w:space="0" w:color="auto"/>
            </w:tcBorders>
            <w:shd w:val="clear" w:color="auto" w:fill="auto"/>
            <w:vAlign w:val="center"/>
          </w:tcPr>
          <w:p w14:paraId="066A71BE" w14:textId="77777777" w:rsidR="00913A0A" w:rsidRPr="003F471F" w:rsidRDefault="00913A0A" w:rsidP="001A63C6">
            <w:pPr>
              <w:pStyle w:val="TableText"/>
              <w:widowControl w:val="0"/>
              <w:rPr>
                <w:rFonts w:ascii="Tahoma" w:hAnsi="Tahoma" w:cs="Tahoma"/>
                <w:color w:val="000000"/>
                <w:sz w:val="13"/>
                <w:lang w:val="it-IT"/>
              </w:rPr>
            </w:pPr>
          </w:p>
        </w:tc>
        <w:tc>
          <w:tcPr>
            <w:tcW w:w="655" w:type="dxa"/>
            <w:tcBorders>
              <w:bottom w:val="single" w:sz="4" w:space="0" w:color="auto"/>
            </w:tcBorders>
            <w:shd w:val="clear" w:color="auto" w:fill="auto"/>
            <w:vAlign w:val="center"/>
          </w:tcPr>
          <w:p w14:paraId="3C9A275E" w14:textId="77777777" w:rsidR="00913A0A" w:rsidRPr="003F471F" w:rsidRDefault="00913A0A" w:rsidP="001A63C6">
            <w:pPr>
              <w:pStyle w:val="TableText"/>
              <w:widowControl w:val="0"/>
              <w:rPr>
                <w:rFonts w:ascii="Tahoma" w:hAnsi="Tahoma" w:cs="Tahoma"/>
                <w:color w:val="000000"/>
                <w:sz w:val="13"/>
                <w:lang w:val="it-IT"/>
              </w:rPr>
            </w:pPr>
          </w:p>
        </w:tc>
        <w:tc>
          <w:tcPr>
            <w:tcW w:w="504" w:type="dxa"/>
            <w:tcBorders>
              <w:bottom w:val="single" w:sz="4" w:space="0" w:color="auto"/>
            </w:tcBorders>
            <w:shd w:val="clear" w:color="auto" w:fill="auto"/>
            <w:vAlign w:val="center"/>
          </w:tcPr>
          <w:p w14:paraId="00E51479" w14:textId="77777777" w:rsidR="00913A0A" w:rsidRPr="003F471F" w:rsidRDefault="00913A0A" w:rsidP="001A63C6">
            <w:pPr>
              <w:pStyle w:val="TableText"/>
              <w:widowControl w:val="0"/>
              <w:rPr>
                <w:rFonts w:ascii="Tahoma" w:hAnsi="Tahoma" w:cs="Tahoma"/>
                <w:color w:val="000000"/>
                <w:sz w:val="13"/>
                <w:lang w:val="it-IT"/>
              </w:rPr>
            </w:pPr>
          </w:p>
        </w:tc>
        <w:tc>
          <w:tcPr>
            <w:tcW w:w="405" w:type="dxa"/>
            <w:tcBorders>
              <w:bottom w:val="single" w:sz="4" w:space="0" w:color="auto"/>
            </w:tcBorders>
          </w:tcPr>
          <w:p w14:paraId="6F4F18D5" w14:textId="77777777" w:rsidR="00913A0A" w:rsidRPr="003F471F" w:rsidRDefault="00913A0A" w:rsidP="001A63C6">
            <w:pPr>
              <w:pStyle w:val="TableText"/>
              <w:widowControl w:val="0"/>
              <w:rPr>
                <w:rFonts w:ascii="Tahoma" w:hAnsi="Tahoma" w:cs="Tahoma"/>
                <w:color w:val="000000"/>
                <w:sz w:val="13"/>
                <w:lang w:val="it-IT"/>
              </w:rPr>
            </w:pPr>
          </w:p>
        </w:tc>
      </w:tr>
      <w:tr w:rsidR="009323A0" w:rsidRPr="0058047D" w14:paraId="57DBECB7" w14:textId="77777777" w:rsidTr="00C86F50">
        <w:trPr>
          <w:trHeight w:val="145"/>
        </w:trPr>
        <w:tc>
          <w:tcPr>
            <w:tcW w:w="2619" w:type="dxa"/>
            <w:gridSpan w:val="2"/>
            <w:tcBorders>
              <w:bottom w:val="single" w:sz="4" w:space="0" w:color="auto"/>
            </w:tcBorders>
            <w:shd w:val="clear" w:color="auto" w:fill="FABF8F"/>
            <w:vAlign w:val="center"/>
          </w:tcPr>
          <w:p w14:paraId="53543470" w14:textId="77777777" w:rsidR="00913A0A" w:rsidRPr="003F471F" w:rsidRDefault="00913A0A" w:rsidP="001F5E7D">
            <w:pPr>
              <w:pStyle w:val="ProductNames"/>
              <w:spacing w:beforeLines="20" w:before="48" w:afterLines="20" w:after="48"/>
              <w:rPr>
                <w:rFonts w:ascii="Tahoma" w:hAnsi="Tahoma" w:cs="Tahoma"/>
                <w:sz w:val="14"/>
                <w:lang w:val="it-IT"/>
              </w:rPr>
            </w:pPr>
            <w:bookmarkStart w:id="411" w:name="_Toc336338077"/>
            <w:bookmarkStart w:id="412" w:name="_Toc371663480"/>
            <w:r w:rsidRPr="003F471F">
              <w:rPr>
                <w:rFonts w:ascii="Tahoma" w:hAnsi="Tahoma" w:cs="Tahoma"/>
                <w:sz w:val="14"/>
                <w:lang w:val="it-IT"/>
              </w:rPr>
              <w:t>Licenza di Gestione Server Standard per</w:t>
            </w:r>
            <w:r w:rsidR="001F5E7D" w:rsidRPr="003F471F">
              <w:rPr>
                <w:rFonts w:ascii="Tahoma" w:hAnsi="Tahoma" w:cs="Tahoma"/>
                <w:sz w:val="14"/>
                <w:lang w:val="it-IT"/>
              </w:rPr>
              <w:t> </w:t>
            </w:r>
            <w:r w:rsidRPr="003F471F">
              <w:rPr>
                <w:rFonts w:ascii="Tahoma" w:hAnsi="Tahoma" w:cs="Tahoma"/>
                <w:sz w:val="14"/>
                <w:lang w:val="it-IT"/>
              </w:rPr>
              <w:t>System Center Operations Manager</w:t>
            </w:r>
            <w:r w:rsidR="001F5E7D" w:rsidRPr="003F471F">
              <w:rPr>
                <w:rFonts w:ascii="Tahoma" w:hAnsi="Tahoma" w:cs="Tahoma"/>
                <w:sz w:val="14"/>
                <w:lang w:val="it-IT"/>
              </w:rPr>
              <w:t> </w:t>
            </w:r>
            <w:r w:rsidRPr="003F471F">
              <w:rPr>
                <w:rFonts w:ascii="Tahoma" w:hAnsi="Tahoma" w:cs="Tahoma"/>
                <w:sz w:val="14"/>
                <w:lang w:val="it-IT"/>
              </w:rPr>
              <w:t>2007 R2</w:t>
            </w:r>
            <w:bookmarkEnd w:id="411"/>
            <w:bookmarkEnd w:id="412"/>
            <w:r w:rsidRPr="003F471F">
              <w:rPr>
                <w:rFonts w:ascii="Tahoma" w:hAnsi="Tahoma" w:cs="Tahoma"/>
                <w:sz w:val="14"/>
                <w:lang w:val="it-IT"/>
              </w:rPr>
              <w:t xml:space="preserve"> </w:t>
            </w:r>
          </w:p>
        </w:tc>
        <w:tc>
          <w:tcPr>
            <w:tcW w:w="554" w:type="dxa"/>
            <w:tcBorders>
              <w:bottom w:val="single" w:sz="4" w:space="0" w:color="auto"/>
            </w:tcBorders>
            <w:shd w:val="clear" w:color="auto" w:fill="FABF8F"/>
            <w:vAlign w:val="center"/>
          </w:tcPr>
          <w:p w14:paraId="606C9D3A" w14:textId="77777777" w:rsidR="00913A0A" w:rsidRPr="003F471F" w:rsidRDefault="00913A0A" w:rsidP="001A63C6">
            <w:pPr>
              <w:pStyle w:val="TableText"/>
              <w:widowControl w:val="0"/>
              <w:rPr>
                <w:rStyle w:val="EndnoteReference"/>
                <w:color w:val="000000"/>
                <w:sz w:val="13"/>
                <w:szCs w:val="13"/>
                <w:u w:val="single"/>
                <w:lang w:val="it-IT"/>
              </w:rPr>
            </w:pPr>
          </w:p>
        </w:tc>
        <w:tc>
          <w:tcPr>
            <w:tcW w:w="516" w:type="dxa"/>
            <w:tcBorders>
              <w:bottom w:val="single" w:sz="4" w:space="0" w:color="auto"/>
            </w:tcBorders>
            <w:shd w:val="clear" w:color="auto" w:fill="FABF8F"/>
          </w:tcPr>
          <w:p w14:paraId="41D8B387" w14:textId="77777777" w:rsidR="00913A0A" w:rsidRPr="0058047D" w:rsidRDefault="00913A0A" w:rsidP="001A63C6">
            <w:pPr>
              <w:pStyle w:val="TableText"/>
              <w:widowControl w:val="0"/>
              <w:spacing w:before="200"/>
              <w:rPr>
                <w:rFonts w:ascii="Tahoma" w:hAnsi="Tahoma" w:cs="Tahoma"/>
                <w:color w:val="000000"/>
                <w:sz w:val="13"/>
              </w:rPr>
            </w:pPr>
            <w:r w:rsidRPr="0058047D">
              <w:rPr>
                <w:rFonts w:ascii="Tahoma" w:hAnsi="Tahoma" w:cs="Tahoma"/>
                <w:color w:val="000000"/>
                <w:sz w:val="13"/>
              </w:rPr>
              <w:t>07/09</w:t>
            </w:r>
          </w:p>
        </w:tc>
        <w:tc>
          <w:tcPr>
            <w:tcW w:w="358" w:type="dxa"/>
            <w:tcBorders>
              <w:bottom w:val="single" w:sz="4" w:space="0" w:color="auto"/>
              <w:right w:val="single" w:sz="18" w:space="0" w:color="auto"/>
            </w:tcBorders>
            <w:shd w:val="clear" w:color="auto" w:fill="FABF8F"/>
            <w:vAlign w:val="center"/>
          </w:tcPr>
          <w:p w14:paraId="316C2CBE"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FABF8F"/>
            <w:vAlign w:val="center"/>
          </w:tcPr>
          <w:p w14:paraId="1DFD41AD" w14:textId="77777777" w:rsidR="00913A0A" w:rsidRPr="0058047D" w:rsidRDefault="00913A0A" w:rsidP="001A63C6">
            <w:pPr>
              <w:pStyle w:val="TableText"/>
              <w:widowControl w:val="0"/>
              <w:rPr>
                <w:rFonts w:ascii="Tahoma" w:hAnsi="Tahoma" w:cs="Tahoma"/>
                <w:color w:val="000000"/>
                <w:sz w:val="13"/>
              </w:rPr>
            </w:pPr>
          </w:p>
        </w:tc>
        <w:tc>
          <w:tcPr>
            <w:tcW w:w="324" w:type="dxa"/>
            <w:tcBorders>
              <w:bottom w:val="single" w:sz="4" w:space="0" w:color="auto"/>
            </w:tcBorders>
            <w:shd w:val="clear" w:color="auto" w:fill="FABF8F"/>
            <w:vAlign w:val="center"/>
          </w:tcPr>
          <w:p w14:paraId="17CD5CB9" w14:textId="77777777" w:rsidR="00913A0A" w:rsidRPr="0058047D" w:rsidRDefault="00913A0A" w:rsidP="001A63C6">
            <w:pPr>
              <w:pStyle w:val="TableText"/>
              <w:widowControl w:val="0"/>
              <w:rPr>
                <w:rFonts w:ascii="Tahoma" w:hAnsi="Tahoma" w:cs="Tahoma"/>
                <w:color w:val="000000"/>
                <w:sz w:val="13"/>
              </w:rPr>
            </w:pPr>
          </w:p>
        </w:tc>
        <w:tc>
          <w:tcPr>
            <w:tcW w:w="366" w:type="dxa"/>
            <w:tcBorders>
              <w:bottom w:val="single" w:sz="4" w:space="0" w:color="auto"/>
            </w:tcBorders>
            <w:shd w:val="clear" w:color="auto" w:fill="FABF8F"/>
            <w:vAlign w:val="center"/>
          </w:tcPr>
          <w:p w14:paraId="3C6AD4A3" w14:textId="77777777" w:rsidR="00913A0A" w:rsidRPr="0058047D" w:rsidRDefault="00913A0A" w:rsidP="001A63C6">
            <w:pPr>
              <w:pStyle w:val="TableText"/>
              <w:widowControl w:val="0"/>
              <w:rPr>
                <w:rFonts w:ascii="Tahoma" w:hAnsi="Tahoma" w:cs="Tahoma"/>
                <w:color w:val="000000"/>
                <w:sz w:val="13"/>
              </w:rPr>
            </w:pPr>
          </w:p>
        </w:tc>
        <w:tc>
          <w:tcPr>
            <w:tcW w:w="456" w:type="dxa"/>
            <w:gridSpan w:val="2"/>
            <w:tcBorders>
              <w:bottom w:val="single" w:sz="4" w:space="0" w:color="auto"/>
            </w:tcBorders>
            <w:shd w:val="clear" w:color="auto" w:fill="FABF8F"/>
            <w:vAlign w:val="center"/>
          </w:tcPr>
          <w:p w14:paraId="696C4A3A"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A688B2D"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7B04412" w14:textId="77777777" w:rsidR="00913A0A" w:rsidRPr="0058047D" w:rsidRDefault="00913A0A" w:rsidP="001A63C6">
            <w:pPr>
              <w:pStyle w:val="TableText"/>
              <w:widowControl w:val="0"/>
              <w:rPr>
                <w:rFonts w:ascii="Tahoma" w:hAnsi="Tahoma" w:cs="Tahoma"/>
                <w:color w:val="000000"/>
                <w:sz w:val="13"/>
              </w:rPr>
            </w:pPr>
          </w:p>
        </w:tc>
        <w:tc>
          <w:tcPr>
            <w:tcW w:w="336" w:type="dxa"/>
            <w:tcBorders>
              <w:bottom w:val="single" w:sz="4" w:space="0" w:color="auto"/>
              <w:right w:val="single" w:sz="18" w:space="0" w:color="auto"/>
            </w:tcBorders>
            <w:shd w:val="clear" w:color="auto" w:fill="FABF8F"/>
            <w:vAlign w:val="center"/>
          </w:tcPr>
          <w:p w14:paraId="603030CB" w14:textId="77777777" w:rsidR="00913A0A" w:rsidRPr="0058047D" w:rsidRDefault="00913A0A" w:rsidP="001A63C6">
            <w:pPr>
              <w:pStyle w:val="TableText"/>
              <w:widowControl w:val="0"/>
              <w:rPr>
                <w:rFonts w:ascii="Tahoma" w:hAnsi="Tahoma" w:cs="Tahoma"/>
                <w:color w:val="000000"/>
                <w:sz w:val="13"/>
              </w:rPr>
            </w:pPr>
          </w:p>
        </w:tc>
        <w:tc>
          <w:tcPr>
            <w:tcW w:w="477" w:type="dxa"/>
            <w:tcBorders>
              <w:left w:val="single" w:sz="18" w:space="0" w:color="auto"/>
              <w:bottom w:val="single" w:sz="4" w:space="0" w:color="auto"/>
            </w:tcBorders>
            <w:shd w:val="clear" w:color="auto" w:fill="FABF8F"/>
            <w:vAlign w:val="center"/>
          </w:tcPr>
          <w:p w14:paraId="33CCB5D0"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F67ACC7" w14:textId="77777777" w:rsidR="00913A0A" w:rsidRPr="0058047D" w:rsidRDefault="00913A0A" w:rsidP="001A63C6">
            <w:pPr>
              <w:pStyle w:val="TableText"/>
              <w:widowControl w:val="0"/>
              <w:rPr>
                <w:rFonts w:ascii="Tahoma" w:hAnsi="Tahoma" w:cs="Tahoma"/>
                <w:color w:val="000000"/>
                <w:sz w:val="13"/>
              </w:rPr>
            </w:pPr>
          </w:p>
        </w:tc>
        <w:tc>
          <w:tcPr>
            <w:tcW w:w="414" w:type="dxa"/>
            <w:tcBorders>
              <w:bottom w:val="single" w:sz="4" w:space="0" w:color="auto"/>
              <w:right w:val="single" w:sz="18" w:space="0" w:color="auto"/>
            </w:tcBorders>
            <w:shd w:val="clear" w:color="auto" w:fill="FABF8F"/>
            <w:vAlign w:val="center"/>
          </w:tcPr>
          <w:p w14:paraId="575C1B51" w14:textId="77777777" w:rsidR="00913A0A" w:rsidRPr="0058047D" w:rsidRDefault="00913A0A" w:rsidP="001A63C6">
            <w:pPr>
              <w:pStyle w:val="TableText"/>
              <w:widowControl w:val="0"/>
              <w:rPr>
                <w:rFonts w:ascii="Tahoma" w:hAnsi="Tahoma" w:cs="Tahoma"/>
                <w:color w:val="000000"/>
                <w:sz w:val="13"/>
              </w:rPr>
            </w:pPr>
          </w:p>
        </w:tc>
        <w:tc>
          <w:tcPr>
            <w:tcW w:w="468" w:type="dxa"/>
            <w:tcBorders>
              <w:left w:val="single" w:sz="18" w:space="0" w:color="auto"/>
              <w:bottom w:val="single" w:sz="4" w:space="0" w:color="auto"/>
            </w:tcBorders>
            <w:shd w:val="clear" w:color="auto" w:fill="FABF8F"/>
            <w:vAlign w:val="center"/>
          </w:tcPr>
          <w:p w14:paraId="0390E824"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1</w:t>
            </w:r>
          </w:p>
        </w:tc>
        <w:tc>
          <w:tcPr>
            <w:tcW w:w="477" w:type="dxa"/>
            <w:tcBorders>
              <w:bottom w:val="single" w:sz="4" w:space="0" w:color="auto"/>
              <w:right w:val="single" w:sz="18" w:space="0" w:color="auto"/>
            </w:tcBorders>
            <w:shd w:val="clear" w:color="auto" w:fill="FABF8F"/>
            <w:vAlign w:val="center"/>
          </w:tcPr>
          <w:p w14:paraId="69266E43" w14:textId="77777777" w:rsidR="00913A0A" w:rsidRPr="0058047D" w:rsidRDefault="00913A0A" w:rsidP="001A63C6">
            <w:pPr>
              <w:pStyle w:val="TableText"/>
              <w:widowControl w:val="0"/>
              <w:rPr>
                <w:rFonts w:ascii="Tahoma" w:hAnsi="Tahoma" w:cs="Tahoma"/>
                <w:color w:val="000000"/>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02610198" w14:textId="77777777" w:rsidR="00913A0A" w:rsidRPr="0058047D" w:rsidRDefault="00913A0A" w:rsidP="001A63C6">
            <w:pPr>
              <w:pStyle w:val="TableText"/>
              <w:widowControl w:val="0"/>
              <w:rPr>
                <w:rFonts w:ascii="Tahoma" w:hAnsi="Tahoma" w:cs="Tahoma"/>
                <w:color w:val="000000"/>
                <w:sz w:val="13"/>
              </w:rPr>
            </w:pPr>
          </w:p>
        </w:tc>
        <w:tc>
          <w:tcPr>
            <w:tcW w:w="655" w:type="dxa"/>
            <w:tcBorders>
              <w:bottom w:val="single" w:sz="4" w:space="0" w:color="auto"/>
            </w:tcBorders>
            <w:shd w:val="clear" w:color="auto" w:fill="FABF8F"/>
          </w:tcPr>
          <w:p w14:paraId="5E86E45B" w14:textId="77777777" w:rsidR="00913A0A" w:rsidRPr="0058047D" w:rsidRDefault="00913A0A" w:rsidP="001A63C6">
            <w:pPr>
              <w:pStyle w:val="TableText"/>
              <w:widowControl w:val="0"/>
              <w:spacing w:before="120"/>
              <w:rPr>
                <w:rFonts w:ascii="Tahoma" w:hAnsi="Tahoma" w:cs="Tahoma"/>
                <w:color w:val="000000"/>
                <w:sz w:val="13"/>
              </w:rPr>
            </w:pPr>
            <w:r w:rsidRPr="0058047D">
              <w:rPr>
                <w:rFonts w:ascii="Tahoma" w:hAnsi="Tahoma" w:cs="Tahoma"/>
                <w:sz w:val="13"/>
              </w:rPr>
              <w:t>A</w:t>
            </w:r>
          </w:p>
        </w:tc>
        <w:tc>
          <w:tcPr>
            <w:tcW w:w="504" w:type="dxa"/>
            <w:tcBorders>
              <w:bottom w:val="single" w:sz="4" w:space="0" w:color="auto"/>
            </w:tcBorders>
            <w:shd w:val="clear" w:color="auto" w:fill="FABF8F"/>
            <w:vAlign w:val="center"/>
          </w:tcPr>
          <w:p w14:paraId="77F3637B" w14:textId="77777777" w:rsidR="00913A0A" w:rsidRPr="0058047D" w:rsidRDefault="00913A0A" w:rsidP="001A63C6">
            <w:pPr>
              <w:pStyle w:val="TableText"/>
              <w:widowControl w:val="0"/>
              <w:rPr>
                <w:rFonts w:ascii="Tahoma" w:hAnsi="Tahoma" w:cs="Tahoma"/>
                <w:color w:val="000000"/>
                <w:sz w:val="13"/>
              </w:rPr>
            </w:pPr>
          </w:p>
        </w:tc>
        <w:tc>
          <w:tcPr>
            <w:tcW w:w="405" w:type="dxa"/>
            <w:tcBorders>
              <w:bottom w:val="single" w:sz="4" w:space="0" w:color="auto"/>
            </w:tcBorders>
            <w:shd w:val="clear" w:color="auto" w:fill="FABF8F"/>
          </w:tcPr>
          <w:p w14:paraId="4F3C5028" w14:textId="77777777" w:rsidR="00913A0A" w:rsidRPr="0058047D" w:rsidRDefault="00913A0A" w:rsidP="001A63C6">
            <w:pPr>
              <w:pStyle w:val="TableText"/>
              <w:widowControl w:val="0"/>
              <w:rPr>
                <w:rFonts w:ascii="Tahoma" w:hAnsi="Tahoma" w:cs="Tahoma"/>
                <w:color w:val="000000"/>
                <w:sz w:val="13"/>
              </w:rPr>
            </w:pPr>
          </w:p>
        </w:tc>
      </w:tr>
      <w:tr w:rsidR="009323A0" w:rsidRPr="0058047D" w14:paraId="2CD62DA4" w14:textId="77777777" w:rsidTr="00C86F50">
        <w:trPr>
          <w:trHeight w:val="145"/>
        </w:trPr>
        <w:tc>
          <w:tcPr>
            <w:tcW w:w="2619" w:type="dxa"/>
            <w:gridSpan w:val="2"/>
            <w:tcBorders>
              <w:bottom w:val="single" w:sz="4" w:space="0" w:color="auto"/>
            </w:tcBorders>
            <w:shd w:val="clear" w:color="auto" w:fill="auto"/>
            <w:vAlign w:val="center"/>
          </w:tcPr>
          <w:p w14:paraId="2B150EAF" w14:textId="77777777" w:rsidR="00913A0A" w:rsidRPr="003F471F" w:rsidRDefault="00913A0A" w:rsidP="001B5647">
            <w:pPr>
              <w:pStyle w:val="ProductNames"/>
              <w:spacing w:beforeLines="20" w:before="48" w:afterLines="20" w:after="48"/>
              <w:rPr>
                <w:rFonts w:ascii="Tahoma" w:hAnsi="Tahoma" w:cs="Tahoma"/>
                <w:sz w:val="14"/>
                <w:lang w:val="it-IT"/>
              </w:rPr>
            </w:pPr>
            <w:bookmarkStart w:id="413" w:name="_Toc336338078"/>
            <w:bookmarkStart w:id="414" w:name="_Toc371663481"/>
            <w:r w:rsidRPr="003F471F">
              <w:rPr>
                <w:rFonts w:ascii="Tahoma" w:hAnsi="Tahoma" w:cs="Tahoma"/>
                <w:sz w:val="14"/>
                <w:lang w:val="it-IT"/>
              </w:rPr>
              <w:t>Licenza di Gestione Server Enterprise per</w:t>
            </w:r>
            <w:r w:rsidR="001B5647" w:rsidRPr="003F471F">
              <w:rPr>
                <w:rFonts w:ascii="Tahoma" w:hAnsi="Tahoma" w:cs="Tahoma"/>
                <w:sz w:val="14"/>
                <w:lang w:val="it-IT"/>
              </w:rPr>
              <w:t> </w:t>
            </w:r>
            <w:r w:rsidRPr="003F471F">
              <w:rPr>
                <w:rFonts w:ascii="Tahoma" w:hAnsi="Tahoma" w:cs="Tahoma"/>
                <w:sz w:val="14"/>
                <w:lang w:val="it-IT"/>
              </w:rPr>
              <w:t>System Center Operations Manager</w:t>
            </w:r>
            <w:r w:rsidR="001B5647" w:rsidRPr="003F471F">
              <w:rPr>
                <w:rFonts w:ascii="Tahoma" w:hAnsi="Tahoma" w:cs="Tahoma"/>
                <w:sz w:val="14"/>
                <w:lang w:val="it-IT"/>
              </w:rPr>
              <w:t> </w:t>
            </w:r>
            <w:r w:rsidRPr="003F471F">
              <w:rPr>
                <w:rFonts w:ascii="Tahoma" w:hAnsi="Tahoma" w:cs="Tahoma"/>
                <w:sz w:val="14"/>
                <w:lang w:val="it-IT"/>
              </w:rPr>
              <w:t>2007 R2</w:t>
            </w:r>
            <w:bookmarkEnd w:id="413"/>
            <w:bookmarkEnd w:id="414"/>
            <w:r w:rsidRPr="003F471F">
              <w:rPr>
                <w:rFonts w:ascii="Tahoma" w:hAnsi="Tahoma" w:cs="Tahoma"/>
                <w:sz w:val="14"/>
                <w:lang w:val="it-IT"/>
              </w:rPr>
              <w:t xml:space="preserve"> </w:t>
            </w:r>
          </w:p>
        </w:tc>
        <w:tc>
          <w:tcPr>
            <w:tcW w:w="554" w:type="dxa"/>
            <w:tcBorders>
              <w:bottom w:val="single" w:sz="4" w:space="0" w:color="auto"/>
            </w:tcBorders>
            <w:shd w:val="clear" w:color="auto" w:fill="auto"/>
            <w:vAlign w:val="center"/>
          </w:tcPr>
          <w:p w14:paraId="61E1201F" w14:textId="77777777" w:rsidR="00913A0A" w:rsidRPr="003F471F" w:rsidRDefault="00913A0A" w:rsidP="001A63C6">
            <w:pPr>
              <w:pStyle w:val="TableText"/>
              <w:widowControl w:val="0"/>
              <w:rPr>
                <w:rStyle w:val="EndnoteReference"/>
                <w:color w:val="000000"/>
                <w:sz w:val="13"/>
                <w:szCs w:val="13"/>
                <w:u w:val="single"/>
                <w:lang w:val="it-IT"/>
              </w:rPr>
            </w:pPr>
          </w:p>
        </w:tc>
        <w:tc>
          <w:tcPr>
            <w:tcW w:w="516" w:type="dxa"/>
            <w:tcBorders>
              <w:bottom w:val="single" w:sz="4" w:space="0" w:color="auto"/>
            </w:tcBorders>
            <w:shd w:val="clear" w:color="auto" w:fill="auto"/>
          </w:tcPr>
          <w:p w14:paraId="149A2938" w14:textId="77777777" w:rsidR="00913A0A" w:rsidRPr="0058047D" w:rsidRDefault="00913A0A" w:rsidP="001A63C6">
            <w:pPr>
              <w:pStyle w:val="TableText"/>
              <w:widowControl w:val="0"/>
              <w:spacing w:before="200"/>
              <w:rPr>
                <w:rFonts w:ascii="Tahoma" w:hAnsi="Tahoma" w:cs="Tahoma"/>
                <w:color w:val="000000"/>
                <w:sz w:val="13"/>
              </w:rPr>
            </w:pPr>
            <w:r w:rsidRPr="0058047D">
              <w:rPr>
                <w:rFonts w:ascii="Tahoma" w:hAnsi="Tahoma" w:cs="Tahoma"/>
                <w:color w:val="000000"/>
                <w:sz w:val="13"/>
              </w:rPr>
              <w:t>07/09</w:t>
            </w:r>
          </w:p>
        </w:tc>
        <w:tc>
          <w:tcPr>
            <w:tcW w:w="358" w:type="dxa"/>
            <w:tcBorders>
              <w:bottom w:val="single" w:sz="4" w:space="0" w:color="auto"/>
              <w:right w:val="single" w:sz="18" w:space="0" w:color="auto"/>
            </w:tcBorders>
            <w:shd w:val="clear" w:color="auto" w:fill="auto"/>
            <w:vAlign w:val="center"/>
          </w:tcPr>
          <w:p w14:paraId="792C08A8"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auto"/>
            <w:vAlign w:val="center"/>
          </w:tcPr>
          <w:p w14:paraId="29550187" w14:textId="77777777" w:rsidR="00913A0A" w:rsidRPr="0058047D" w:rsidRDefault="00913A0A" w:rsidP="001A63C6">
            <w:pPr>
              <w:pStyle w:val="TableText"/>
              <w:widowControl w:val="0"/>
              <w:rPr>
                <w:rFonts w:ascii="Tahoma" w:hAnsi="Tahoma" w:cs="Tahoma"/>
                <w:color w:val="000000"/>
                <w:sz w:val="13"/>
              </w:rPr>
            </w:pPr>
          </w:p>
        </w:tc>
        <w:tc>
          <w:tcPr>
            <w:tcW w:w="324" w:type="dxa"/>
            <w:tcBorders>
              <w:bottom w:val="single" w:sz="4" w:space="0" w:color="auto"/>
            </w:tcBorders>
            <w:shd w:val="clear" w:color="auto" w:fill="auto"/>
            <w:vAlign w:val="center"/>
          </w:tcPr>
          <w:p w14:paraId="3D28727B" w14:textId="77777777" w:rsidR="00913A0A" w:rsidRPr="0058047D" w:rsidRDefault="00913A0A" w:rsidP="001A63C6">
            <w:pPr>
              <w:pStyle w:val="TableText"/>
              <w:widowControl w:val="0"/>
              <w:rPr>
                <w:rFonts w:ascii="Tahoma" w:hAnsi="Tahoma" w:cs="Tahoma"/>
                <w:color w:val="000000"/>
                <w:sz w:val="13"/>
              </w:rPr>
            </w:pPr>
          </w:p>
        </w:tc>
        <w:tc>
          <w:tcPr>
            <w:tcW w:w="366" w:type="dxa"/>
            <w:tcBorders>
              <w:bottom w:val="single" w:sz="4" w:space="0" w:color="auto"/>
            </w:tcBorders>
            <w:shd w:val="clear" w:color="auto" w:fill="auto"/>
            <w:vAlign w:val="center"/>
          </w:tcPr>
          <w:p w14:paraId="53BCBBBD" w14:textId="77777777" w:rsidR="00913A0A" w:rsidRPr="0058047D" w:rsidRDefault="00913A0A" w:rsidP="001A63C6">
            <w:pPr>
              <w:pStyle w:val="TableText"/>
              <w:widowControl w:val="0"/>
              <w:rPr>
                <w:rFonts w:ascii="Tahoma" w:hAnsi="Tahoma" w:cs="Tahoma"/>
                <w:color w:val="000000"/>
                <w:sz w:val="13"/>
              </w:rPr>
            </w:pPr>
          </w:p>
        </w:tc>
        <w:tc>
          <w:tcPr>
            <w:tcW w:w="456" w:type="dxa"/>
            <w:gridSpan w:val="2"/>
            <w:tcBorders>
              <w:bottom w:val="single" w:sz="4" w:space="0" w:color="auto"/>
            </w:tcBorders>
            <w:shd w:val="clear" w:color="auto" w:fill="auto"/>
            <w:vAlign w:val="center"/>
          </w:tcPr>
          <w:p w14:paraId="0A7B2073"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309886A3"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671F128" w14:textId="77777777" w:rsidR="00913A0A" w:rsidRPr="0058047D" w:rsidRDefault="00913A0A" w:rsidP="001A63C6">
            <w:pPr>
              <w:pStyle w:val="TableText"/>
              <w:widowControl w:val="0"/>
              <w:rPr>
                <w:rFonts w:ascii="Tahoma" w:hAnsi="Tahoma" w:cs="Tahoma"/>
                <w:color w:val="000000"/>
                <w:sz w:val="13"/>
              </w:rPr>
            </w:pPr>
          </w:p>
        </w:tc>
        <w:tc>
          <w:tcPr>
            <w:tcW w:w="336" w:type="dxa"/>
            <w:tcBorders>
              <w:bottom w:val="single" w:sz="4" w:space="0" w:color="auto"/>
              <w:right w:val="single" w:sz="18" w:space="0" w:color="auto"/>
            </w:tcBorders>
            <w:shd w:val="clear" w:color="auto" w:fill="auto"/>
            <w:vAlign w:val="center"/>
          </w:tcPr>
          <w:p w14:paraId="3C3D727C" w14:textId="77777777" w:rsidR="00913A0A" w:rsidRPr="0058047D" w:rsidRDefault="00913A0A" w:rsidP="001A63C6">
            <w:pPr>
              <w:pStyle w:val="TableText"/>
              <w:widowControl w:val="0"/>
              <w:rPr>
                <w:rFonts w:ascii="Tahoma" w:hAnsi="Tahoma" w:cs="Tahoma"/>
                <w:color w:val="000000"/>
                <w:sz w:val="13"/>
              </w:rPr>
            </w:pPr>
          </w:p>
        </w:tc>
        <w:tc>
          <w:tcPr>
            <w:tcW w:w="477" w:type="dxa"/>
            <w:tcBorders>
              <w:left w:val="single" w:sz="18" w:space="0" w:color="auto"/>
              <w:bottom w:val="single" w:sz="4" w:space="0" w:color="auto"/>
            </w:tcBorders>
            <w:shd w:val="clear" w:color="auto" w:fill="auto"/>
            <w:vAlign w:val="center"/>
          </w:tcPr>
          <w:p w14:paraId="1C5DC88E"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4E3AA54" w14:textId="77777777" w:rsidR="00913A0A" w:rsidRPr="0058047D" w:rsidRDefault="00913A0A" w:rsidP="001A63C6">
            <w:pPr>
              <w:pStyle w:val="TableText"/>
              <w:widowControl w:val="0"/>
              <w:rPr>
                <w:rFonts w:ascii="Tahoma" w:hAnsi="Tahoma" w:cs="Tahoma"/>
                <w:color w:val="000000"/>
                <w:sz w:val="13"/>
              </w:rPr>
            </w:pPr>
          </w:p>
        </w:tc>
        <w:tc>
          <w:tcPr>
            <w:tcW w:w="414" w:type="dxa"/>
            <w:tcBorders>
              <w:bottom w:val="single" w:sz="4" w:space="0" w:color="auto"/>
              <w:right w:val="single" w:sz="18" w:space="0" w:color="auto"/>
            </w:tcBorders>
            <w:shd w:val="clear" w:color="auto" w:fill="auto"/>
            <w:vAlign w:val="center"/>
          </w:tcPr>
          <w:p w14:paraId="3D0A41F1" w14:textId="77777777" w:rsidR="00913A0A" w:rsidRPr="0058047D" w:rsidRDefault="00913A0A" w:rsidP="001A63C6">
            <w:pPr>
              <w:pStyle w:val="TableText"/>
              <w:widowControl w:val="0"/>
              <w:rPr>
                <w:rFonts w:ascii="Tahoma" w:hAnsi="Tahoma" w:cs="Tahoma"/>
                <w:color w:val="000000"/>
                <w:sz w:val="13"/>
              </w:rPr>
            </w:pPr>
          </w:p>
        </w:tc>
        <w:tc>
          <w:tcPr>
            <w:tcW w:w="468" w:type="dxa"/>
            <w:tcBorders>
              <w:left w:val="single" w:sz="18" w:space="0" w:color="auto"/>
              <w:bottom w:val="single" w:sz="4" w:space="0" w:color="auto"/>
            </w:tcBorders>
            <w:shd w:val="clear" w:color="auto" w:fill="auto"/>
            <w:vAlign w:val="center"/>
          </w:tcPr>
          <w:p w14:paraId="4D9083D5"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5</w:t>
            </w:r>
          </w:p>
        </w:tc>
        <w:tc>
          <w:tcPr>
            <w:tcW w:w="477" w:type="dxa"/>
            <w:tcBorders>
              <w:bottom w:val="single" w:sz="4" w:space="0" w:color="auto"/>
              <w:right w:val="single" w:sz="18" w:space="0" w:color="auto"/>
            </w:tcBorders>
            <w:shd w:val="clear" w:color="auto" w:fill="auto"/>
            <w:vAlign w:val="center"/>
          </w:tcPr>
          <w:p w14:paraId="3C1E4E95" w14:textId="77777777" w:rsidR="00913A0A" w:rsidRPr="0058047D" w:rsidRDefault="00913A0A" w:rsidP="001A63C6">
            <w:pPr>
              <w:pStyle w:val="TableText"/>
              <w:widowControl w:val="0"/>
              <w:rPr>
                <w:rFonts w:ascii="Tahoma" w:hAnsi="Tahoma" w:cs="Tahoma"/>
                <w:color w:val="000000"/>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71B9798D" w14:textId="77777777" w:rsidR="00913A0A" w:rsidRPr="0058047D" w:rsidRDefault="00913A0A" w:rsidP="001A63C6">
            <w:pPr>
              <w:pStyle w:val="TableText"/>
              <w:widowControl w:val="0"/>
              <w:rPr>
                <w:rFonts w:ascii="Tahoma" w:hAnsi="Tahoma" w:cs="Tahoma"/>
                <w:color w:val="000000"/>
                <w:sz w:val="13"/>
              </w:rPr>
            </w:pPr>
          </w:p>
        </w:tc>
        <w:tc>
          <w:tcPr>
            <w:tcW w:w="655" w:type="dxa"/>
            <w:tcBorders>
              <w:bottom w:val="single" w:sz="4" w:space="0" w:color="auto"/>
            </w:tcBorders>
            <w:shd w:val="clear" w:color="auto" w:fill="auto"/>
          </w:tcPr>
          <w:p w14:paraId="737904BD" w14:textId="77777777" w:rsidR="00913A0A" w:rsidRPr="0058047D" w:rsidRDefault="00913A0A" w:rsidP="001A63C6">
            <w:pPr>
              <w:pStyle w:val="TableText"/>
              <w:widowControl w:val="0"/>
              <w:spacing w:before="120"/>
              <w:rPr>
                <w:rFonts w:ascii="Tahoma" w:hAnsi="Tahoma" w:cs="Tahoma"/>
                <w:color w:val="000000"/>
                <w:sz w:val="13"/>
              </w:rPr>
            </w:pPr>
            <w:r w:rsidRPr="0058047D">
              <w:rPr>
                <w:rFonts w:ascii="Tahoma" w:hAnsi="Tahoma" w:cs="Tahoma"/>
                <w:sz w:val="13"/>
              </w:rPr>
              <w:t>A</w:t>
            </w:r>
          </w:p>
        </w:tc>
        <w:tc>
          <w:tcPr>
            <w:tcW w:w="504" w:type="dxa"/>
            <w:tcBorders>
              <w:bottom w:val="single" w:sz="4" w:space="0" w:color="auto"/>
            </w:tcBorders>
            <w:shd w:val="clear" w:color="auto" w:fill="auto"/>
            <w:vAlign w:val="center"/>
          </w:tcPr>
          <w:p w14:paraId="04B7C3DF" w14:textId="77777777" w:rsidR="00913A0A" w:rsidRPr="0058047D" w:rsidRDefault="00913A0A" w:rsidP="001A63C6">
            <w:pPr>
              <w:pStyle w:val="TableText"/>
              <w:widowControl w:val="0"/>
              <w:rPr>
                <w:rFonts w:ascii="Tahoma" w:hAnsi="Tahoma" w:cs="Tahoma"/>
                <w:color w:val="000000"/>
                <w:sz w:val="13"/>
              </w:rPr>
            </w:pPr>
          </w:p>
        </w:tc>
        <w:tc>
          <w:tcPr>
            <w:tcW w:w="405" w:type="dxa"/>
            <w:tcBorders>
              <w:bottom w:val="single" w:sz="4" w:space="0" w:color="auto"/>
            </w:tcBorders>
          </w:tcPr>
          <w:p w14:paraId="18E1E335" w14:textId="77777777" w:rsidR="00913A0A" w:rsidRPr="0058047D" w:rsidRDefault="00913A0A" w:rsidP="001A63C6">
            <w:pPr>
              <w:pStyle w:val="TableText"/>
              <w:widowControl w:val="0"/>
              <w:rPr>
                <w:rFonts w:ascii="Tahoma" w:hAnsi="Tahoma" w:cs="Tahoma"/>
                <w:color w:val="000000"/>
                <w:sz w:val="13"/>
              </w:rPr>
            </w:pPr>
          </w:p>
        </w:tc>
      </w:tr>
      <w:tr w:rsidR="009323A0" w:rsidRPr="0058047D" w14:paraId="4B2F21DA" w14:textId="77777777" w:rsidTr="00C86F50">
        <w:trPr>
          <w:trHeight w:val="145"/>
        </w:trPr>
        <w:tc>
          <w:tcPr>
            <w:tcW w:w="2619" w:type="dxa"/>
            <w:gridSpan w:val="2"/>
            <w:tcBorders>
              <w:bottom w:val="single" w:sz="4" w:space="0" w:color="auto"/>
            </w:tcBorders>
            <w:shd w:val="clear" w:color="auto" w:fill="FABF8F"/>
            <w:vAlign w:val="center"/>
          </w:tcPr>
          <w:p w14:paraId="2FA1A7B3" w14:textId="77777777" w:rsidR="00913A0A" w:rsidRPr="003F471F" w:rsidRDefault="00913A0A" w:rsidP="001F5E7D">
            <w:pPr>
              <w:pStyle w:val="ProductNames"/>
              <w:spacing w:beforeLines="20" w:before="48" w:afterLines="20" w:after="48"/>
              <w:rPr>
                <w:rFonts w:ascii="Tahoma" w:hAnsi="Tahoma" w:cs="Tahoma"/>
                <w:sz w:val="14"/>
                <w:lang w:val="it-IT"/>
              </w:rPr>
            </w:pPr>
            <w:bookmarkStart w:id="415" w:name="_Toc336338079"/>
            <w:bookmarkStart w:id="416" w:name="_Toc371663482"/>
            <w:r w:rsidRPr="003F471F">
              <w:rPr>
                <w:rFonts w:ascii="Tahoma" w:hAnsi="Tahoma" w:cs="Tahoma"/>
                <w:sz w:val="14"/>
                <w:lang w:val="it-IT"/>
              </w:rPr>
              <w:t>Licenza di Gestione Client per OSE per</w:t>
            </w:r>
            <w:r w:rsidR="001F5E7D" w:rsidRPr="003F471F">
              <w:rPr>
                <w:rFonts w:ascii="Tahoma" w:hAnsi="Tahoma" w:cs="Tahoma"/>
                <w:sz w:val="14"/>
                <w:lang w:val="it-IT"/>
              </w:rPr>
              <w:t> </w:t>
            </w:r>
            <w:r w:rsidRPr="003F471F">
              <w:rPr>
                <w:rFonts w:ascii="Tahoma" w:hAnsi="Tahoma" w:cs="Tahoma"/>
                <w:sz w:val="14"/>
                <w:lang w:val="it-IT"/>
              </w:rPr>
              <w:t>System Center Operations Manager 2007</w:t>
            </w:r>
            <w:r w:rsidR="001B5647" w:rsidRPr="003F471F">
              <w:rPr>
                <w:rFonts w:ascii="Tahoma" w:hAnsi="Tahoma" w:cs="Tahoma"/>
                <w:sz w:val="14"/>
                <w:lang w:val="it-IT"/>
              </w:rPr>
              <w:t> </w:t>
            </w:r>
            <w:r w:rsidRPr="003F471F">
              <w:rPr>
                <w:rFonts w:ascii="Tahoma" w:hAnsi="Tahoma" w:cs="Tahoma"/>
                <w:sz w:val="14"/>
                <w:lang w:val="it-IT"/>
              </w:rPr>
              <w:t>R2</w:t>
            </w:r>
            <w:bookmarkEnd w:id="415"/>
            <w:bookmarkEnd w:id="416"/>
          </w:p>
        </w:tc>
        <w:tc>
          <w:tcPr>
            <w:tcW w:w="554" w:type="dxa"/>
            <w:tcBorders>
              <w:bottom w:val="single" w:sz="4" w:space="0" w:color="auto"/>
            </w:tcBorders>
            <w:shd w:val="clear" w:color="auto" w:fill="FABF8F"/>
            <w:vAlign w:val="center"/>
          </w:tcPr>
          <w:p w14:paraId="67AB3D90" w14:textId="77777777" w:rsidR="00913A0A" w:rsidRPr="003F471F" w:rsidRDefault="00913A0A" w:rsidP="001A63C6">
            <w:pPr>
              <w:pStyle w:val="TableText"/>
              <w:widowControl w:val="0"/>
              <w:rPr>
                <w:rStyle w:val="EndnoteReference"/>
                <w:color w:val="000000"/>
                <w:sz w:val="13"/>
                <w:szCs w:val="13"/>
                <w:u w:val="single"/>
                <w:lang w:val="it-IT"/>
              </w:rPr>
            </w:pPr>
          </w:p>
        </w:tc>
        <w:tc>
          <w:tcPr>
            <w:tcW w:w="516" w:type="dxa"/>
            <w:tcBorders>
              <w:bottom w:val="single" w:sz="4" w:space="0" w:color="auto"/>
            </w:tcBorders>
            <w:shd w:val="clear" w:color="auto" w:fill="FABF8F"/>
          </w:tcPr>
          <w:p w14:paraId="2F65BEB7" w14:textId="77777777" w:rsidR="00913A0A" w:rsidRPr="0058047D" w:rsidRDefault="00913A0A" w:rsidP="001A63C6">
            <w:pPr>
              <w:pStyle w:val="TableText"/>
              <w:widowControl w:val="0"/>
              <w:spacing w:before="200"/>
              <w:rPr>
                <w:rFonts w:ascii="Tahoma" w:hAnsi="Tahoma" w:cs="Tahoma"/>
                <w:color w:val="000000"/>
                <w:sz w:val="13"/>
              </w:rPr>
            </w:pPr>
            <w:r w:rsidRPr="0058047D">
              <w:rPr>
                <w:rFonts w:ascii="Tahoma" w:hAnsi="Tahoma" w:cs="Tahoma"/>
                <w:color w:val="000000"/>
                <w:sz w:val="13"/>
              </w:rPr>
              <w:t>07/09</w:t>
            </w:r>
          </w:p>
        </w:tc>
        <w:tc>
          <w:tcPr>
            <w:tcW w:w="358" w:type="dxa"/>
            <w:tcBorders>
              <w:bottom w:val="single" w:sz="4" w:space="0" w:color="auto"/>
              <w:right w:val="single" w:sz="18" w:space="0" w:color="auto"/>
            </w:tcBorders>
            <w:shd w:val="clear" w:color="auto" w:fill="FABF8F"/>
            <w:vAlign w:val="center"/>
          </w:tcPr>
          <w:p w14:paraId="6D52408E"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FABF8F"/>
            <w:vAlign w:val="center"/>
          </w:tcPr>
          <w:p w14:paraId="07836BC5" w14:textId="77777777" w:rsidR="00913A0A" w:rsidRPr="0058047D" w:rsidRDefault="00913A0A" w:rsidP="001A63C6">
            <w:pPr>
              <w:pStyle w:val="TableText"/>
              <w:widowControl w:val="0"/>
              <w:rPr>
                <w:rFonts w:ascii="Tahoma" w:hAnsi="Tahoma" w:cs="Tahoma"/>
                <w:color w:val="000000"/>
                <w:sz w:val="13"/>
              </w:rPr>
            </w:pPr>
          </w:p>
        </w:tc>
        <w:tc>
          <w:tcPr>
            <w:tcW w:w="324" w:type="dxa"/>
            <w:tcBorders>
              <w:bottom w:val="single" w:sz="4" w:space="0" w:color="auto"/>
            </w:tcBorders>
            <w:shd w:val="clear" w:color="auto" w:fill="FABF8F"/>
            <w:vAlign w:val="center"/>
          </w:tcPr>
          <w:p w14:paraId="57CA127F" w14:textId="77777777" w:rsidR="00913A0A" w:rsidRPr="0058047D" w:rsidRDefault="00913A0A" w:rsidP="001A63C6">
            <w:pPr>
              <w:pStyle w:val="TableText"/>
              <w:widowControl w:val="0"/>
              <w:rPr>
                <w:rFonts w:ascii="Tahoma" w:hAnsi="Tahoma" w:cs="Tahoma"/>
                <w:color w:val="000000"/>
                <w:sz w:val="13"/>
              </w:rPr>
            </w:pPr>
          </w:p>
        </w:tc>
        <w:tc>
          <w:tcPr>
            <w:tcW w:w="366" w:type="dxa"/>
            <w:tcBorders>
              <w:bottom w:val="single" w:sz="4" w:space="0" w:color="auto"/>
            </w:tcBorders>
            <w:shd w:val="clear" w:color="auto" w:fill="FABF8F"/>
            <w:vAlign w:val="center"/>
          </w:tcPr>
          <w:p w14:paraId="7E34793C" w14:textId="77777777" w:rsidR="00913A0A" w:rsidRPr="0058047D" w:rsidRDefault="00913A0A" w:rsidP="001A63C6">
            <w:pPr>
              <w:pStyle w:val="TableText"/>
              <w:widowControl w:val="0"/>
              <w:rPr>
                <w:rFonts w:ascii="Tahoma" w:hAnsi="Tahoma" w:cs="Tahoma"/>
                <w:color w:val="000000"/>
                <w:sz w:val="13"/>
              </w:rPr>
            </w:pPr>
          </w:p>
        </w:tc>
        <w:tc>
          <w:tcPr>
            <w:tcW w:w="456" w:type="dxa"/>
            <w:gridSpan w:val="2"/>
            <w:tcBorders>
              <w:bottom w:val="single" w:sz="4" w:space="0" w:color="auto"/>
            </w:tcBorders>
            <w:shd w:val="clear" w:color="auto" w:fill="FABF8F"/>
            <w:vAlign w:val="center"/>
          </w:tcPr>
          <w:p w14:paraId="3E1BF09A"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0EA1CE2"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062FB3E" w14:textId="77777777" w:rsidR="00913A0A" w:rsidRPr="0058047D" w:rsidRDefault="00913A0A" w:rsidP="001A63C6">
            <w:pPr>
              <w:pStyle w:val="TableText"/>
              <w:widowControl w:val="0"/>
              <w:rPr>
                <w:rFonts w:ascii="Tahoma" w:hAnsi="Tahoma" w:cs="Tahoma"/>
                <w:color w:val="000000"/>
                <w:sz w:val="13"/>
              </w:rPr>
            </w:pPr>
          </w:p>
        </w:tc>
        <w:tc>
          <w:tcPr>
            <w:tcW w:w="336" w:type="dxa"/>
            <w:tcBorders>
              <w:bottom w:val="single" w:sz="4" w:space="0" w:color="auto"/>
              <w:right w:val="single" w:sz="18" w:space="0" w:color="auto"/>
            </w:tcBorders>
            <w:shd w:val="clear" w:color="auto" w:fill="FABF8F"/>
            <w:vAlign w:val="center"/>
          </w:tcPr>
          <w:p w14:paraId="304D5E01" w14:textId="77777777" w:rsidR="00913A0A" w:rsidRPr="0058047D" w:rsidRDefault="00913A0A" w:rsidP="001A63C6">
            <w:pPr>
              <w:pStyle w:val="TableText"/>
              <w:widowControl w:val="0"/>
              <w:rPr>
                <w:rFonts w:ascii="Tahoma" w:hAnsi="Tahoma" w:cs="Tahoma"/>
                <w:color w:val="000000"/>
                <w:sz w:val="13"/>
              </w:rPr>
            </w:pPr>
          </w:p>
        </w:tc>
        <w:tc>
          <w:tcPr>
            <w:tcW w:w="477" w:type="dxa"/>
            <w:tcBorders>
              <w:left w:val="single" w:sz="18" w:space="0" w:color="auto"/>
              <w:bottom w:val="single" w:sz="4" w:space="0" w:color="auto"/>
            </w:tcBorders>
            <w:shd w:val="clear" w:color="auto" w:fill="FABF8F"/>
            <w:vAlign w:val="center"/>
          </w:tcPr>
          <w:p w14:paraId="231C1618" w14:textId="77777777" w:rsidR="00913A0A" w:rsidRPr="0058047D"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788665F" w14:textId="77777777" w:rsidR="00913A0A" w:rsidRPr="0058047D" w:rsidRDefault="00913A0A" w:rsidP="001A63C6">
            <w:pPr>
              <w:pStyle w:val="TableText"/>
              <w:widowControl w:val="0"/>
              <w:rPr>
                <w:rFonts w:ascii="Tahoma" w:hAnsi="Tahoma" w:cs="Tahoma"/>
                <w:color w:val="000000"/>
                <w:sz w:val="13"/>
              </w:rPr>
            </w:pPr>
          </w:p>
        </w:tc>
        <w:tc>
          <w:tcPr>
            <w:tcW w:w="414" w:type="dxa"/>
            <w:tcBorders>
              <w:bottom w:val="single" w:sz="4" w:space="0" w:color="auto"/>
              <w:right w:val="single" w:sz="18" w:space="0" w:color="auto"/>
            </w:tcBorders>
            <w:shd w:val="clear" w:color="auto" w:fill="FABF8F"/>
            <w:vAlign w:val="center"/>
          </w:tcPr>
          <w:p w14:paraId="16CC0136" w14:textId="77777777" w:rsidR="00913A0A" w:rsidRPr="0058047D" w:rsidRDefault="00913A0A" w:rsidP="001A63C6">
            <w:pPr>
              <w:pStyle w:val="TableText"/>
              <w:widowControl w:val="0"/>
              <w:rPr>
                <w:rFonts w:ascii="Tahoma" w:hAnsi="Tahoma" w:cs="Tahoma"/>
                <w:color w:val="000000"/>
                <w:sz w:val="13"/>
              </w:rPr>
            </w:pPr>
          </w:p>
        </w:tc>
        <w:tc>
          <w:tcPr>
            <w:tcW w:w="468" w:type="dxa"/>
            <w:tcBorders>
              <w:left w:val="single" w:sz="18" w:space="0" w:color="auto"/>
              <w:bottom w:val="single" w:sz="4" w:space="0" w:color="auto"/>
            </w:tcBorders>
            <w:shd w:val="clear" w:color="auto" w:fill="FABF8F"/>
            <w:vAlign w:val="center"/>
          </w:tcPr>
          <w:p w14:paraId="2B573F06"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1</w:t>
            </w:r>
          </w:p>
        </w:tc>
        <w:tc>
          <w:tcPr>
            <w:tcW w:w="477" w:type="dxa"/>
            <w:tcBorders>
              <w:bottom w:val="single" w:sz="4" w:space="0" w:color="auto"/>
              <w:right w:val="single" w:sz="18" w:space="0" w:color="auto"/>
            </w:tcBorders>
            <w:shd w:val="clear" w:color="auto" w:fill="FABF8F"/>
            <w:vAlign w:val="center"/>
          </w:tcPr>
          <w:p w14:paraId="4D198AD1" w14:textId="77777777" w:rsidR="00913A0A" w:rsidRPr="0058047D" w:rsidRDefault="00913A0A" w:rsidP="001A63C6">
            <w:pPr>
              <w:pStyle w:val="TableText"/>
              <w:widowControl w:val="0"/>
              <w:rPr>
                <w:rFonts w:ascii="Tahoma" w:hAnsi="Tahoma" w:cs="Tahoma"/>
                <w:color w:val="000000"/>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67EF5242" w14:textId="77777777" w:rsidR="00913A0A" w:rsidRPr="0058047D" w:rsidRDefault="00913A0A" w:rsidP="001A63C6">
            <w:pPr>
              <w:pStyle w:val="TableText"/>
              <w:widowControl w:val="0"/>
              <w:rPr>
                <w:rFonts w:ascii="Tahoma" w:hAnsi="Tahoma" w:cs="Tahoma"/>
                <w:color w:val="000000"/>
                <w:sz w:val="13"/>
              </w:rPr>
            </w:pPr>
          </w:p>
        </w:tc>
        <w:tc>
          <w:tcPr>
            <w:tcW w:w="655" w:type="dxa"/>
            <w:tcBorders>
              <w:bottom w:val="single" w:sz="4" w:space="0" w:color="auto"/>
            </w:tcBorders>
            <w:shd w:val="clear" w:color="auto" w:fill="FABF8F"/>
          </w:tcPr>
          <w:p w14:paraId="6333A21D" w14:textId="77777777" w:rsidR="00913A0A" w:rsidRPr="0058047D" w:rsidRDefault="00913A0A" w:rsidP="001A63C6">
            <w:pPr>
              <w:pStyle w:val="TableText"/>
              <w:widowControl w:val="0"/>
              <w:spacing w:before="120"/>
              <w:rPr>
                <w:rFonts w:ascii="Tahoma" w:hAnsi="Tahoma" w:cs="Tahoma"/>
                <w:color w:val="000000"/>
                <w:sz w:val="13"/>
              </w:rPr>
            </w:pPr>
            <w:r w:rsidRPr="0058047D">
              <w:rPr>
                <w:rFonts w:ascii="Tahoma" w:hAnsi="Tahoma" w:cs="Tahoma"/>
                <w:sz w:val="13"/>
              </w:rPr>
              <w:t>AO, ST</w:t>
            </w:r>
          </w:p>
        </w:tc>
        <w:tc>
          <w:tcPr>
            <w:tcW w:w="504" w:type="dxa"/>
            <w:tcBorders>
              <w:bottom w:val="single" w:sz="4" w:space="0" w:color="auto"/>
            </w:tcBorders>
            <w:shd w:val="clear" w:color="auto" w:fill="FABF8F"/>
            <w:vAlign w:val="center"/>
          </w:tcPr>
          <w:p w14:paraId="4EDF2134" w14:textId="77777777" w:rsidR="00913A0A" w:rsidRPr="0058047D" w:rsidRDefault="00913A0A" w:rsidP="001A63C6">
            <w:pPr>
              <w:pStyle w:val="TableText"/>
              <w:widowControl w:val="0"/>
              <w:rPr>
                <w:rFonts w:ascii="Tahoma" w:hAnsi="Tahoma" w:cs="Tahoma"/>
                <w:color w:val="000000"/>
                <w:sz w:val="13"/>
              </w:rPr>
            </w:pPr>
          </w:p>
        </w:tc>
        <w:tc>
          <w:tcPr>
            <w:tcW w:w="405" w:type="dxa"/>
            <w:tcBorders>
              <w:bottom w:val="single" w:sz="4" w:space="0" w:color="auto"/>
            </w:tcBorders>
            <w:shd w:val="clear" w:color="auto" w:fill="FABF8F"/>
          </w:tcPr>
          <w:p w14:paraId="6109AC98" w14:textId="77777777" w:rsidR="00913A0A" w:rsidRPr="0058047D" w:rsidRDefault="00913A0A" w:rsidP="001A63C6">
            <w:pPr>
              <w:pStyle w:val="TableText"/>
              <w:widowControl w:val="0"/>
              <w:rPr>
                <w:rFonts w:ascii="Tahoma" w:hAnsi="Tahoma" w:cs="Tahoma"/>
                <w:color w:val="000000"/>
                <w:sz w:val="13"/>
              </w:rPr>
            </w:pPr>
          </w:p>
        </w:tc>
      </w:tr>
      <w:tr w:rsidR="009323A0" w:rsidRPr="0058047D" w14:paraId="780970FB" w14:textId="77777777" w:rsidTr="00C86F50">
        <w:trPr>
          <w:trHeight w:val="145"/>
        </w:trPr>
        <w:tc>
          <w:tcPr>
            <w:tcW w:w="2619" w:type="dxa"/>
            <w:gridSpan w:val="2"/>
            <w:tcBorders>
              <w:bottom w:val="single" w:sz="4" w:space="0" w:color="auto"/>
            </w:tcBorders>
            <w:shd w:val="clear" w:color="auto" w:fill="auto"/>
            <w:vAlign w:val="center"/>
          </w:tcPr>
          <w:p w14:paraId="6A3291D8" w14:textId="77777777" w:rsidR="00913A0A" w:rsidRPr="003F471F" w:rsidRDefault="00913A0A" w:rsidP="001F5E7D">
            <w:pPr>
              <w:pStyle w:val="ProductNames"/>
              <w:spacing w:beforeLines="20" w:before="48" w:afterLines="20" w:after="48"/>
              <w:rPr>
                <w:rFonts w:ascii="Tahoma" w:hAnsi="Tahoma" w:cs="Tahoma"/>
                <w:sz w:val="14"/>
                <w:lang w:val="it-IT"/>
              </w:rPr>
            </w:pPr>
            <w:bookmarkStart w:id="417" w:name="_Toc336338080"/>
            <w:bookmarkStart w:id="418" w:name="_Toc371663483"/>
            <w:r w:rsidRPr="003F471F">
              <w:rPr>
                <w:rFonts w:ascii="Tahoma" w:hAnsi="Tahoma" w:cs="Tahoma"/>
                <w:sz w:val="14"/>
                <w:lang w:val="it-IT"/>
              </w:rPr>
              <w:t>Licenza di Gestione Client per Utente per</w:t>
            </w:r>
            <w:r w:rsidR="001F5E7D" w:rsidRPr="003F471F">
              <w:rPr>
                <w:rFonts w:ascii="Tahoma" w:hAnsi="Tahoma" w:cs="Tahoma"/>
                <w:sz w:val="14"/>
                <w:lang w:val="it-IT"/>
              </w:rPr>
              <w:t> </w:t>
            </w:r>
            <w:r w:rsidRPr="003F471F">
              <w:rPr>
                <w:rFonts w:ascii="Tahoma" w:hAnsi="Tahoma" w:cs="Tahoma"/>
                <w:sz w:val="14"/>
                <w:lang w:val="it-IT"/>
              </w:rPr>
              <w:t>System Center Operations Manager 2007</w:t>
            </w:r>
            <w:r w:rsidR="001B5647" w:rsidRPr="003F471F">
              <w:rPr>
                <w:rFonts w:ascii="Tahoma" w:hAnsi="Tahoma" w:cs="Tahoma"/>
                <w:sz w:val="14"/>
                <w:lang w:val="it-IT"/>
              </w:rPr>
              <w:t> </w:t>
            </w:r>
            <w:r w:rsidRPr="003F471F">
              <w:rPr>
                <w:rFonts w:ascii="Tahoma" w:hAnsi="Tahoma" w:cs="Tahoma"/>
                <w:sz w:val="14"/>
                <w:lang w:val="it-IT"/>
              </w:rPr>
              <w:t>R2</w:t>
            </w:r>
            <w:bookmarkEnd w:id="417"/>
            <w:bookmarkEnd w:id="418"/>
          </w:p>
        </w:tc>
        <w:tc>
          <w:tcPr>
            <w:tcW w:w="554" w:type="dxa"/>
            <w:tcBorders>
              <w:bottom w:val="single" w:sz="4" w:space="0" w:color="auto"/>
            </w:tcBorders>
            <w:shd w:val="clear" w:color="auto" w:fill="auto"/>
            <w:vAlign w:val="center"/>
          </w:tcPr>
          <w:p w14:paraId="3111E9A8" w14:textId="77777777" w:rsidR="00913A0A" w:rsidRPr="003F471F" w:rsidRDefault="00913A0A" w:rsidP="001A63C6">
            <w:pPr>
              <w:pStyle w:val="TableText"/>
              <w:widowControl w:val="0"/>
              <w:rPr>
                <w:rStyle w:val="EndnoteReference"/>
                <w:color w:val="000000"/>
                <w:sz w:val="13"/>
                <w:szCs w:val="13"/>
                <w:u w:val="single"/>
                <w:lang w:val="it-IT"/>
              </w:rPr>
            </w:pPr>
          </w:p>
        </w:tc>
        <w:tc>
          <w:tcPr>
            <w:tcW w:w="516" w:type="dxa"/>
            <w:tcBorders>
              <w:bottom w:val="single" w:sz="4" w:space="0" w:color="auto"/>
            </w:tcBorders>
            <w:shd w:val="clear" w:color="auto" w:fill="auto"/>
          </w:tcPr>
          <w:p w14:paraId="173D91DF" w14:textId="77777777" w:rsidR="00913A0A" w:rsidRPr="0058047D" w:rsidRDefault="00913A0A" w:rsidP="001A63C6">
            <w:pPr>
              <w:pStyle w:val="TableText"/>
              <w:widowControl w:val="0"/>
              <w:spacing w:before="200"/>
              <w:rPr>
                <w:rFonts w:ascii="Tahoma" w:hAnsi="Tahoma" w:cs="Tahoma"/>
                <w:sz w:val="13"/>
              </w:rPr>
            </w:pPr>
            <w:r w:rsidRPr="0058047D">
              <w:rPr>
                <w:rFonts w:ascii="Tahoma" w:hAnsi="Tahoma" w:cs="Tahoma"/>
                <w:sz w:val="13"/>
              </w:rPr>
              <w:t>07/09</w:t>
            </w:r>
          </w:p>
        </w:tc>
        <w:tc>
          <w:tcPr>
            <w:tcW w:w="358" w:type="dxa"/>
            <w:tcBorders>
              <w:bottom w:val="single" w:sz="4" w:space="0" w:color="auto"/>
              <w:right w:val="single" w:sz="18" w:space="0" w:color="auto"/>
            </w:tcBorders>
            <w:shd w:val="clear" w:color="auto" w:fill="auto"/>
            <w:vAlign w:val="center"/>
          </w:tcPr>
          <w:p w14:paraId="3011E890"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3A1399E7"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1D041899"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41306BB7"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79A125EA"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6388B6D"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249B388"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50794791"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57BB5360"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87A7193"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1C63FD3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68" w:type="dxa"/>
            <w:tcBorders>
              <w:left w:val="single" w:sz="18" w:space="0" w:color="auto"/>
              <w:bottom w:val="single" w:sz="4" w:space="0" w:color="auto"/>
            </w:tcBorders>
            <w:shd w:val="clear" w:color="auto" w:fill="auto"/>
            <w:vAlign w:val="center"/>
          </w:tcPr>
          <w:p w14:paraId="42F67855"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auto"/>
            <w:vAlign w:val="center"/>
          </w:tcPr>
          <w:p w14:paraId="04731BB1"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4EF9FB5D" w14:textId="77777777" w:rsidR="00913A0A" w:rsidRPr="0058047D" w:rsidRDefault="00913A0A" w:rsidP="001A63C6">
            <w:pPr>
              <w:pStyle w:val="TableText"/>
              <w:widowControl w:val="0"/>
              <w:spacing w:before="120"/>
            </w:pPr>
          </w:p>
          <w:p w14:paraId="672D031D"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tcPr>
          <w:p w14:paraId="44DD51B1" w14:textId="77777777" w:rsidR="00913A0A" w:rsidRPr="0058047D" w:rsidRDefault="00913A0A" w:rsidP="001A63C6">
            <w:pPr>
              <w:pStyle w:val="TableText"/>
              <w:widowControl w:val="0"/>
              <w:spacing w:before="120"/>
              <w:rPr>
                <w:rFonts w:ascii="Tahoma" w:hAnsi="Tahoma" w:cs="Tahoma"/>
                <w:sz w:val="13"/>
              </w:rPr>
            </w:pPr>
            <w:r w:rsidRPr="0058047D">
              <w:rPr>
                <w:rFonts w:ascii="Tahoma" w:hAnsi="Tahoma" w:cs="Tahoma"/>
                <w:sz w:val="13"/>
              </w:rPr>
              <w:t>AO, ST</w:t>
            </w:r>
          </w:p>
        </w:tc>
        <w:tc>
          <w:tcPr>
            <w:tcW w:w="504" w:type="dxa"/>
            <w:tcBorders>
              <w:bottom w:val="single" w:sz="4" w:space="0" w:color="auto"/>
            </w:tcBorders>
            <w:shd w:val="clear" w:color="auto" w:fill="auto"/>
            <w:vAlign w:val="center"/>
          </w:tcPr>
          <w:p w14:paraId="7993CB30"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tcPr>
          <w:p w14:paraId="35E6F31D" w14:textId="77777777" w:rsidR="00913A0A" w:rsidRPr="0058047D" w:rsidRDefault="00913A0A" w:rsidP="001A63C6">
            <w:pPr>
              <w:pStyle w:val="TableText"/>
              <w:widowControl w:val="0"/>
              <w:rPr>
                <w:rFonts w:ascii="Tahoma" w:hAnsi="Tahoma" w:cs="Tahoma"/>
                <w:sz w:val="13"/>
              </w:rPr>
            </w:pPr>
          </w:p>
        </w:tc>
      </w:tr>
      <w:tr w:rsidR="009323A0" w:rsidRPr="0058047D" w14:paraId="2C647714" w14:textId="77777777" w:rsidTr="00C86F50">
        <w:trPr>
          <w:trHeight w:val="145"/>
        </w:trPr>
        <w:tc>
          <w:tcPr>
            <w:tcW w:w="2619" w:type="dxa"/>
            <w:gridSpan w:val="2"/>
            <w:tcBorders>
              <w:bottom w:val="single" w:sz="4" w:space="0" w:color="auto"/>
            </w:tcBorders>
            <w:shd w:val="clear" w:color="auto" w:fill="FABF8F"/>
            <w:vAlign w:val="center"/>
          </w:tcPr>
          <w:p w14:paraId="1D403809" w14:textId="77777777" w:rsidR="00913A0A" w:rsidRPr="0058047D" w:rsidRDefault="00913A0A" w:rsidP="00E077BC">
            <w:pPr>
              <w:pStyle w:val="ProductNames"/>
              <w:spacing w:beforeLines="20" w:before="48" w:afterLines="20" w:after="48"/>
              <w:rPr>
                <w:rFonts w:ascii="Tahoma" w:hAnsi="Tahoma" w:cs="Tahoma"/>
                <w:sz w:val="14"/>
              </w:rPr>
            </w:pPr>
            <w:bookmarkStart w:id="419" w:name="_Toc336338081"/>
            <w:bookmarkStart w:id="420" w:name="_Toc371663484"/>
            <w:r w:rsidRPr="0058047D">
              <w:rPr>
                <w:rFonts w:ascii="Tahoma" w:hAnsi="Tahoma" w:cs="Tahoma"/>
                <w:sz w:val="14"/>
              </w:rPr>
              <w:t>System Center Reporting Manager 2006</w:t>
            </w:r>
            <w:bookmarkEnd w:id="419"/>
            <w:bookmarkEnd w:id="420"/>
            <w:r w:rsidRPr="0058047D">
              <w:rPr>
                <w:rFonts w:ascii="Tahoma" w:hAnsi="Tahoma" w:cs="Tahoma"/>
                <w:sz w:val="14"/>
              </w:rPr>
              <w:t xml:space="preserve"> </w:t>
            </w:r>
          </w:p>
        </w:tc>
        <w:tc>
          <w:tcPr>
            <w:tcW w:w="554" w:type="dxa"/>
            <w:tcBorders>
              <w:bottom w:val="single" w:sz="4" w:space="0" w:color="auto"/>
            </w:tcBorders>
            <w:shd w:val="clear" w:color="auto" w:fill="FABF8F"/>
            <w:vAlign w:val="center"/>
          </w:tcPr>
          <w:p w14:paraId="43B265A5" w14:textId="77777777" w:rsidR="00913A0A" w:rsidRPr="0058047D" w:rsidRDefault="00C86F50" w:rsidP="00907139">
            <w:pPr>
              <w:pStyle w:val="TableText"/>
              <w:widowControl w:val="0"/>
              <w:rPr>
                <w:rStyle w:val="EndnoteReference"/>
                <w:b w:val="0"/>
                <w:color w:val="0000FF"/>
                <w:sz w:val="13"/>
                <w:szCs w:val="13"/>
                <w:u w:val="single"/>
              </w:rPr>
            </w:pPr>
            <w:hyperlink w:anchor="_80_System_Center" w:history="1">
              <w:r w:rsidR="00BF5FC6" w:rsidRPr="0058047D">
                <w:rPr>
                  <w:rStyle w:val="Hyperlink"/>
                  <w:b/>
                  <w:sz w:val="13"/>
                  <w:szCs w:val="13"/>
                </w:rPr>
                <w:t>91</w:t>
              </w:r>
            </w:hyperlink>
          </w:p>
        </w:tc>
        <w:tc>
          <w:tcPr>
            <w:tcW w:w="516" w:type="dxa"/>
            <w:tcBorders>
              <w:bottom w:val="single" w:sz="4" w:space="0" w:color="auto"/>
            </w:tcBorders>
            <w:shd w:val="clear" w:color="auto" w:fill="FABF8F"/>
          </w:tcPr>
          <w:p w14:paraId="2DF24382" w14:textId="77777777" w:rsidR="00913A0A" w:rsidRPr="0058047D" w:rsidRDefault="00913A0A" w:rsidP="001A63C6">
            <w:pPr>
              <w:pStyle w:val="TableText"/>
              <w:widowControl w:val="0"/>
              <w:spacing w:before="80"/>
              <w:rPr>
                <w:rFonts w:ascii="Tahoma" w:hAnsi="Tahoma" w:cs="Tahoma"/>
                <w:sz w:val="13"/>
              </w:rPr>
            </w:pPr>
          </w:p>
        </w:tc>
        <w:tc>
          <w:tcPr>
            <w:tcW w:w="358" w:type="dxa"/>
            <w:tcBorders>
              <w:bottom w:val="single" w:sz="4" w:space="0" w:color="auto"/>
              <w:right w:val="single" w:sz="18" w:space="0" w:color="auto"/>
            </w:tcBorders>
            <w:shd w:val="clear" w:color="auto" w:fill="FABF8F"/>
            <w:vAlign w:val="center"/>
          </w:tcPr>
          <w:p w14:paraId="4214A087"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center"/>
          </w:tcPr>
          <w:p w14:paraId="2C5F2DC4"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5A6B800F"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691CA0B4"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0A4E10C1"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FE57D26"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1FF0E1E"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40CD83B8"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2742F61F"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EE8D9A7"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55F2C611"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5DA55151"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2A2D73C8"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2CBF93F4"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4C9BB861" w14:textId="77777777" w:rsidR="00913A0A" w:rsidRPr="0058047D"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FABF8F"/>
            <w:vAlign w:val="center"/>
          </w:tcPr>
          <w:p w14:paraId="0CFD38AF"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69744413" w14:textId="77777777" w:rsidR="00913A0A" w:rsidRPr="0058047D" w:rsidRDefault="00913A0A" w:rsidP="001A63C6">
            <w:pPr>
              <w:pStyle w:val="TableText"/>
              <w:widowControl w:val="0"/>
              <w:rPr>
                <w:rFonts w:ascii="Tahoma" w:hAnsi="Tahoma" w:cs="Tahoma"/>
                <w:sz w:val="13"/>
              </w:rPr>
            </w:pPr>
          </w:p>
        </w:tc>
      </w:tr>
      <w:tr w:rsidR="009323A0" w:rsidRPr="0058047D" w14:paraId="0AE8DED1" w14:textId="77777777" w:rsidTr="00C86F50">
        <w:trPr>
          <w:trHeight w:val="145"/>
        </w:trPr>
        <w:tc>
          <w:tcPr>
            <w:tcW w:w="2619" w:type="dxa"/>
            <w:gridSpan w:val="2"/>
            <w:tcBorders>
              <w:bottom w:val="single" w:sz="4" w:space="0" w:color="auto"/>
            </w:tcBorders>
            <w:shd w:val="clear" w:color="auto" w:fill="auto"/>
            <w:vAlign w:val="center"/>
          </w:tcPr>
          <w:p w14:paraId="2538FC81" w14:textId="77777777" w:rsidR="00913A0A" w:rsidRPr="0058047D" w:rsidRDefault="00913A0A" w:rsidP="00E077BC">
            <w:pPr>
              <w:pStyle w:val="ProductNames"/>
              <w:spacing w:beforeLines="20" w:before="48" w:afterLines="20" w:after="48"/>
              <w:rPr>
                <w:rFonts w:ascii="Tahoma" w:hAnsi="Tahoma" w:cs="Tahoma"/>
                <w:sz w:val="14"/>
              </w:rPr>
            </w:pPr>
            <w:bookmarkStart w:id="421" w:name="_Toc336338082"/>
            <w:bookmarkStart w:id="422" w:name="_Toc371663485"/>
            <w:r w:rsidRPr="0058047D">
              <w:rPr>
                <w:rFonts w:ascii="Tahoma" w:hAnsi="Tahoma" w:cs="Tahoma"/>
                <w:sz w:val="14"/>
              </w:rPr>
              <w:t>System Center Server Management Suite Enterprise</w:t>
            </w:r>
            <w:bookmarkEnd w:id="421"/>
            <w:bookmarkEnd w:id="422"/>
            <w:r w:rsidRPr="0058047D">
              <w:rPr>
                <w:rFonts w:ascii="Tahoma" w:hAnsi="Tahoma" w:cs="Tahoma"/>
                <w:sz w:val="14"/>
              </w:rPr>
              <w:t xml:space="preserve"> </w:t>
            </w:r>
          </w:p>
        </w:tc>
        <w:tc>
          <w:tcPr>
            <w:tcW w:w="554" w:type="dxa"/>
            <w:tcBorders>
              <w:bottom w:val="single" w:sz="4" w:space="0" w:color="auto"/>
            </w:tcBorders>
            <w:shd w:val="clear" w:color="auto" w:fill="auto"/>
            <w:vAlign w:val="center"/>
          </w:tcPr>
          <w:p w14:paraId="163BAA39" w14:textId="77777777" w:rsidR="00913A0A" w:rsidRPr="0058047D" w:rsidRDefault="00C86F50" w:rsidP="00907139">
            <w:pPr>
              <w:pStyle w:val="TableText"/>
              <w:widowControl w:val="0"/>
              <w:rPr>
                <w:rStyle w:val="EndnoteReference"/>
                <w:b w:val="0"/>
                <w:color w:val="0000FF"/>
                <w:sz w:val="13"/>
                <w:szCs w:val="13"/>
                <w:u w:val="single"/>
              </w:rPr>
            </w:pPr>
            <w:hyperlink w:anchor="_93_System_Center" w:history="1">
              <w:r w:rsidR="00BF5FC6" w:rsidRPr="0058047D">
                <w:rPr>
                  <w:rStyle w:val="Hyperlink"/>
                  <w:b/>
                  <w:sz w:val="13"/>
                  <w:szCs w:val="13"/>
                </w:rPr>
                <w:t>92</w:t>
              </w:r>
            </w:hyperlink>
          </w:p>
        </w:tc>
        <w:tc>
          <w:tcPr>
            <w:tcW w:w="516" w:type="dxa"/>
            <w:tcBorders>
              <w:bottom w:val="single" w:sz="4" w:space="0" w:color="auto"/>
            </w:tcBorders>
            <w:shd w:val="clear" w:color="auto" w:fill="auto"/>
          </w:tcPr>
          <w:p w14:paraId="09FDF985"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10/07</w:t>
            </w:r>
          </w:p>
        </w:tc>
        <w:tc>
          <w:tcPr>
            <w:tcW w:w="358" w:type="dxa"/>
            <w:tcBorders>
              <w:bottom w:val="single" w:sz="4" w:space="0" w:color="auto"/>
              <w:right w:val="single" w:sz="18" w:space="0" w:color="auto"/>
            </w:tcBorders>
            <w:shd w:val="clear" w:color="auto" w:fill="auto"/>
            <w:vAlign w:val="center"/>
          </w:tcPr>
          <w:p w14:paraId="6F5A084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6BFB9481"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bottom"/>
          </w:tcPr>
          <w:p w14:paraId="2D7D1279" w14:textId="77777777" w:rsidR="00913A0A" w:rsidRPr="0058047D" w:rsidRDefault="00913A0A" w:rsidP="001A63C6">
            <w:pPr>
              <w:pStyle w:val="TableText"/>
              <w:widowControl w:val="0"/>
              <w:spacing w:after="60"/>
              <w:rPr>
                <w:rFonts w:ascii="Tahoma" w:hAnsi="Tahoma" w:cs="Tahoma"/>
                <w:sz w:val="13"/>
                <w:szCs w:val="13"/>
              </w:rPr>
            </w:pPr>
          </w:p>
        </w:tc>
        <w:tc>
          <w:tcPr>
            <w:tcW w:w="366" w:type="dxa"/>
            <w:tcBorders>
              <w:bottom w:val="single" w:sz="4" w:space="0" w:color="auto"/>
            </w:tcBorders>
            <w:shd w:val="clear" w:color="auto" w:fill="auto"/>
            <w:vAlign w:val="bottom"/>
          </w:tcPr>
          <w:p w14:paraId="323A7E4E" w14:textId="77777777" w:rsidR="00913A0A" w:rsidRPr="0058047D" w:rsidRDefault="00913A0A" w:rsidP="001A63C6">
            <w:pPr>
              <w:pStyle w:val="TableText"/>
              <w:widowControl w:val="0"/>
              <w:spacing w:after="60"/>
              <w:rPr>
                <w:rFonts w:ascii="Tahoma" w:hAnsi="Tahoma" w:cs="Tahoma"/>
                <w:sz w:val="13"/>
                <w:szCs w:val="13"/>
              </w:rPr>
            </w:pPr>
          </w:p>
        </w:tc>
        <w:tc>
          <w:tcPr>
            <w:tcW w:w="456" w:type="dxa"/>
            <w:gridSpan w:val="2"/>
            <w:tcBorders>
              <w:bottom w:val="single" w:sz="4" w:space="0" w:color="auto"/>
            </w:tcBorders>
            <w:shd w:val="clear" w:color="auto" w:fill="auto"/>
            <w:vAlign w:val="bottom"/>
          </w:tcPr>
          <w:p w14:paraId="090C41B8" w14:textId="77777777" w:rsidR="00913A0A" w:rsidRPr="0058047D" w:rsidRDefault="00913A0A"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14:paraId="3641D8FB" w14:textId="77777777" w:rsidR="00913A0A" w:rsidRPr="0058047D" w:rsidRDefault="00913A0A"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14:paraId="172DE450" w14:textId="77777777" w:rsidR="00913A0A" w:rsidRPr="0058047D" w:rsidRDefault="00913A0A" w:rsidP="001A63C6">
            <w:pPr>
              <w:pStyle w:val="TableText"/>
              <w:widowControl w:val="0"/>
              <w:spacing w:after="60"/>
              <w:rPr>
                <w:rFonts w:ascii="Tahoma" w:hAnsi="Tahoma" w:cs="Tahoma"/>
                <w:sz w:val="13"/>
                <w:szCs w:val="13"/>
              </w:rPr>
            </w:pPr>
          </w:p>
        </w:tc>
        <w:tc>
          <w:tcPr>
            <w:tcW w:w="336" w:type="dxa"/>
            <w:tcBorders>
              <w:bottom w:val="single" w:sz="4" w:space="0" w:color="auto"/>
              <w:right w:val="single" w:sz="18" w:space="0" w:color="auto"/>
            </w:tcBorders>
            <w:shd w:val="clear" w:color="auto" w:fill="auto"/>
            <w:vAlign w:val="bottom"/>
          </w:tcPr>
          <w:p w14:paraId="569C7D58" w14:textId="77777777" w:rsidR="00913A0A" w:rsidRPr="0058047D" w:rsidRDefault="00913A0A" w:rsidP="001A63C6">
            <w:pPr>
              <w:pStyle w:val="TableText"/>
              <w:widowControl w:val="0"/>
              <w:spacing w:after="60"/>
              <w:rPr>
                <w:rFonts w:ascii="Tahoma" w:hAnsi="Tahoma" w:cs="Tahoma"/>
                <w:sz w:val="13"/>
                <w:szCs w:val="13"/>
              </w:rPr>
            </w:pPr>
          </w:p>
        </w:tc>
        <w:tc>
          <w:tcPr>
            <w:tcW w:w="477" w:type="dxa"/>
            <w:tcBorders>
              <w:left w:val="single" w:sz="18" w:space="0" w:color="auto"/>
              <w:bottom w:val="single" w:sz="4" w:space="0" w:color="auto"/>
            </w:tcBorders>
            <w:shd w:val="clear" w:color="auto" w:fill="auto"/>
            <w:vAlign w:val="center"/>
          </w:tcPr>
          <w:p w14:paraId="4C818038"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F20C9B9"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47E78ED4"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195F45F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15</w:t>
            </w:r>
          </w:p>
        </w:tc>
        <w:tc>
          <w:tcPr>
            <w:tcW w:w="477" w:type="dxa"/>
            <w:tcBorders>
              <w:bottom w:val="single" w:sz="4" w:space="0" w:color="auto"/>
              <w:right w:val="single" w:sz="18" w:space="0" w:color="auto"/>
            </w:tcBorders>
            <w:shd w:val="clear" w:color="auto" w:fill="auto"/>
            <w:vAlign w:val="center"/>
          </w:tcPr>
          <w:p w14:paraId="770AE9BE"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78B60AE4"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tcPr>
          <w:p w14:paraId="7ACCCA2E" w14:textId="77777777" w:rsidR="00913A0A" w:rsidRPr="0058047D" w:rsidRDefault="00913A0A" w:rsidP="001A63C6">
            <w:pPr>
              <w:pStyle w:val="TableText"/>
              <w:widowControl w:val="0"/>
              <w:spacing w:before="12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auto"/>
            <w:vAlign w:val="center"/>
          </w:tcPr>
          <w:p w14:paraId="1D754292"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tcPr>
          <w:p w14:paraId="36879842" w14:textId="77777777" w:rsidR="00913A0A" w:rsidRPr="0058047D" w:rsidRDefault="00913A0A" w:rsidP="001A63C6">
            <w:pPr>
              <w:pStyle w:val="TableText"/>
              <w:widowControl w:val="0"/>
              <w:rPr>
                <w:rFonts w:ascii="Tahoma" w:hAnsi="Tahoma" w:cs="Tahoma"/>
                <w:sz w:val="13"/>
              </w:rPr>
            </w:pPr>
          </w:p>
        </w:tc>
      </w:tr>
      <w:tr w:rsidR="009323A0" w:rsidRPr="0058047D" w14:paraId="6885DA24" w14:textId="77777777" w:rsidTr="00C86F50">
        <w:trPr>
          <w:trHeight w:val="145"/>
        </w:trPr>
        <w:tc>
          <w:tcPr>
            <w:tcW w:w="2619" w:type="dxa"/>
            <w:gridSpan w:val="2"/>
            <w:tcBorders>
              <w:bottom w:val="single" w:sz="4" w:space="0" w:color="auto"/>
            </w:tcBorders>
            <w:shd w:val="clear" w:color="auto" w:fill="FABF8F"/>
          </w:tcPr>
          <w:p w14:paraId="22B8AC4E" w14:textId="77777777" w:rsidR="00913A0A" w:rsidRPr="0058047D" w:rsidRDefault="00913A0A" w:rsidP="00E077BC">
            <w:pPr>
              <w:pStyle w:val="Heading4"/>
              <w:spacing w:beforeLines="20" w:before="48" w:afterLines="20" w:after="48"/>
              <w:ind w:left="0" w:firstLine="0"/>
              <w:rPr>
                <w:rFonts w:ascii="Tahoma" w:hAnsi="Tahoma" w:cs="Tahoma"/>
                <w:b w:val="0"/>
                <w:sz w:val="18"/>
                <w:szCs w:val="18"/>
              </w:rPr>
            </w:pPr>
            <w:bookmarkStart w:id="423" w:name="_Toc336338083"/>
            <w:bookmarkStart w:id="424" w:name="_Toc371663486"/>
            <w:r w:rsidRPr="0058047D">
              <w:rPr>
                <w:rFonts w:ascii="Tahoma" w:hAnsi="Tahoma" w:cs="Tahoma"/>
                <w:b w:val="0"/>
                <w:sz w:val="14"/>
                <w:szCs w:val="18"/>
              </w:rPr>
              <w:t>System Center Server Management Suite Datacenter</w:t>
            </w:r>
            <w:bookmarkEnd w:id="423"/>
            <w:bookmarkEnd w:id="424"/>
          </w:p>
        </w:tc>
        <w:tc>
          <w:tcPr>
            <w:tcW w:w="554" w:type="dxa"/>
            <w:tcBorders>
              <w:bottom w:val="single" w:sz="4" w:space="0" w:color="auto"/>
            </w:tcBorders>
            <w:shd w:val="clear" w:color="auto" w:fill="FABF8F"/>
          </w:tcPr>
          <w:p w14:paraId="21B6DE8A" w14:textId="77777777" w:rsidR="00913A0A" w:rsidRPr="0058047D" w:rsidRDefault="00C86F50" w:rsidP="00907139">
            <w:pPr>
              <w:pStyle w:val="TableText"/>
              <w:widowControl w:val="0"/>
              <w:spacing w:before="120"/>
              <w:rPr>
                <w:rStyle w:val="EndnoteReference"/>
                <w:b w:val="0"/>
                <w:sz w:val="13"/>
                <w:szCs w:val="13"/>
                <w:u w:val="single"/>
              </w:rPr>
            </w:pPr>
            <w:hyperlink w:anchor="_94_System_Center" w:history="1">
              <w:r w:rsidR="00BF5FC6" w:rsidRPr="0058047D">
                <w:rPr>
                  <w:rStyle w:val="Hyperlink"/>
                  <w:b/>
                  <w:sz w:val="13"/>
                  <w:szCs w:val="13"/>
                </w:rPr>
                <w:t>93</w:t>
              </w:r>
            </w:hyperlink>
          </w:p>
        </w:tc>
        <w:tc>
          <w:tcPr>
            <w:tcW w:w="516" w:type="dxa"/>
            <w:tcBorders>
              <w:bottom w:val="single" w:sz="4" w:space="0" w:color="auto"/>
            </w:tcBorders>
            <w:shd w:val="clear" w:color="auto" w:fill="FABF8F"/>
          </w:tcPr>
          <w:p w14:paraId="7F84226E" w14:textId="77777777" w:rsidR="00913A0A" w:rsidRPr="0058047D" w:rsidRDefault="00913A0A" w:rsidP="001A63C6">
            <w:pPr>
              <w:pStyle w:val="TableText"/>
              <w:widowControl w:val="0"/>
              <w:spacing w:before="120"/>
              <w:rPr>
                <w:rFonts w:ascii="Tahoma" w:hAnsi="Tahoma" w:cs="Tahoma"/>
                <w:sz w:val="13"/>
              </w:rPr>
            </w:pPr>
            <w:r w:rsidRPr="0058047D">
              <w:rPr>
                <w:rFonts w:ascii="Tahoma" w:hAnsi="Tahoma" w:cs="Tahoma"/>
                <w:sz w:val="13"/>
              </w:rPr>
              <w:t>07/09</w:t>
            </w:r>
          </w:p>
        </w:tc>
        <w:tc>
          <w:tcPr>
            <w:tcW w:w="358" w:type="dxa"/>
            <w:tcBorders>
              <w:bottom w:val="single" w:sz="4" w:space="0" w:color="auto"/>
              <w:right w:val="single" w:sz="18" w:space="0" w:color="auto"/>
            </w:tcBorders>
            <w:shd w:val="clear" w:color="auto" w:fill="FABF8F"/>
          </w:tcPr>
          <w:p w14:paraId="0B29CF0C" w14:textId="77777777" w:rsidR="00913A0A" w:rsidRPr="0058047D" w:rsidRDefault="00913A0A" w:rsidP="001A63C6">
            <w:pPr>
              <w:pStyle w:val="TableText"/>
              <w:widowControl w:val="0"/>
              <w:spacing w:before="12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tcPr>
          <w:p w14:paraId="5DF8C737" w14:textId="77777777" w:rsidR="00913A0A" w:rsidRPr="0058047D" w:rsidRDefault="00913A0A" w:rsidP="001A63C6">
            <w:pPr>
              <w:pStyle w:val="TableText"/>
              <w:widowControl w:val="0"/>
              <w:spacing w:before="120"/>
              <w:rPr>
                <w:rFonts w:ascii="Tahoma" w:hAnsi="Tahoma" w:cs="Tahoma"/>
                <w:sz w:val="13"/>
              </w:rPr>
            </w:pPr>
          </w:p>
        </w:tc>
        <w:tc>
          <w:tcPr>
            <w:tcW w:w="324" w:type="dxa"/>
            <w:tcBorders>
              <w:bottom w:val="single" w:sz="4" w:space="0" w:color="auto"/>
            </w:tcBorders>
            <w:shd w:val="clear" w:color="auto" w:fill="FABF8F"/>
          </w:tcPr>
          <w:p w14:paraId="2BFF6A3D" w14:textId="77777777" w:rsidR="00913A0A" w:rsidRPr="0058047D" w:rsidRDefault="00913A0A" w:rsidP="001A63C6">
            <w:pPr>
              <w:pStyle w:val="TableText"/>
              <w:widowControl w:val="0"/>
              <w:spacing w:before="120"/>
              <w:rPr>
                <w:rFonts w:ascii="Tahoma" w:hAnsi="Tahoma" w:cs="Tahoma"/>
                <w:sz w:val="13"/>
              </w:rPr>
            </w:pPr>
          </w:p>
        </w:tc>
        <w:tc>
          <w:tcPr>
            <w:tcW w:w="366" w:type="dxa"/>
            <w:tcBorders>
              <w:bottom w:val="single" w:sz="4" w:space="0" w:color="auto"/>
            </w:tcBorders>
            <w:shd w:val="clear" w:color="auto" w:fill="FABF8F"/>
          </w:tcPr>
          <w:p w14:paraId="009B7729" w14:textId="77777777" w:rsidR="00913A0A" w:rsidRPr="0058047D" w:rsidRDefault="00913A0A" w:rsidP="001A63C6">
            <w:pPr>
              <w:pStyle w:val="TableText"/>
              <w:widowControl w:val="0"/>
              <w:spacing w:before="120"/>
              <w:rPr>
                <w:rFonts w:ascii="Tahoma" w:hAnsi="Tahoma" w:cs="Tahoma"/>
                <w:sz w:val="13"/>
              </w:rPr>
            </w:pPr>
          </w:p>
        </w:tc>
        <w:tc>
          <w:tcPr>
            <w:tcW w:w="456" w:type="dxa"/>
            <w:gridSpan w:val="2"/>
            <w:tcBorders>
              <w:bottom w:val="single" w:sz="4" w:space="0" w:color="auto"/>
            </w:tcBorders>
            <w:shd w:val="clear" w:color="auto" w:fill="FABF8F"/>
          </w:tcPr>
          <w:p w14:paraId="673720EE" w14:textId="77777777" w:rsidR="00913A0A" w:rsidRPr="0058047D"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48F73DC7" w14:textId="77777777" w:rsidR="00913A0A" w:rsidRPr="0058047D"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5009CF23" w14:textId="77777777" w:rsidR="00913A0A" w:rsidRPr="0058047D" w:rsidRDefault="00913A0A" w:rsidP="001A63C6">
            <w:pPr>
              <w:pStyle w:val="TableText"/>
              <w:widowControl w:val="0"/>
              <w:spacing w:before="120"/>
              <w:rPr>
                <w:rFonts w:ascii="Tahoma" w:hAnsi="Tahoma" w:cs="Tahoma"/>
                <w:sz w:val="13"/>
              </w:rPr>
            </w:pPr>
          </w:p>
        </w:tc>
        <w:tc>
          <w:tcPr>
            <w:tcW w:w="336" w:type="dxa"/>
            <w:tcBorders>
              <w:bottom w:val="single" w:sz="4" w:space="0" w:color="auto"/>
              <w:right w:val="single" w:sz="18" w:space="0" w:color="auto"/>
            </w:tcBorders>
            <w:shd w:val="clear" w:color="auto" w:fill="FABF8F"/>
          </w:tcPr>
          <w:p w14:paraId="235C555F" w14:textId="77777777" w:rsidR="00913A0A" w:rsidRPr="0058047D" w:rsidRDefault="00913A0A" w:rsidP="001A63C6">
            <w:pPr>
              <w:pStyle w:val="TableText"/>
              <w:widowControl w:val="0"/>
              <w:spacing w:before="120"/>
              <w:rPr>
                <w:rFonts w:ascii="Tahoma" w:hAnsi="Tahoma" w:cs="Tahoma"/>
                <w:sz w:val="13"/>
              </w:rPr>
            </w:pPr>
          </w:p>
        </w:tc>
        <w:tc>
          <w:tcPr>
            <w:tcW w:w="477" w:type="dxa"/>
            <w:tcBorders>
              <w:left w:val="single" w:sz="18" w:space="0" w:color="auto"/>
              <w:bottom w:val="single" w:sz="4" w:space="0" w:color="auto"/>
            </w:tcBorders>
            <w:shd w:val="clear" w:color="auto" w:fill="FABF8F"/>
          </w:tcPr>
          <w:p w14:paraId="2843E751" w14:textId="77777777" w:rsidR="00913A0A" w:rsidRPr="0058047D"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500DE50B" w14:textId="77777777" w:rsidR="00913A0A" w:rsidRPr="0058047D" w:rsidRDefault="00913A0A" w:rsidP="001A63C6">
            <w:pPr>
              <w:pStyle w:val="TableText"/>
              <w:widowControl w:val="0"/>
              <w:spacing w:before="120"/>
              <w:rPr>
                <w:rFonts w:ascii="Tahoma" w:hAnsi="Tahoma" w:cs="Tahoma"/>
                <w:sz w:val="13"/>
              </w:rPr>
            </w:pPr>
          </w:p>
        </w:tc>
        <w:tc>
          <w:tcPr>
            <w:tcW w:w="414" w:type="dxa"/>
            <w:tcBorders>
              <w:bottom w:val="single" w:sz="4" w:space="0" w:color="auto"/>
              <w:right w:val="single" w:sz="18" w:space="0" w:color="auto"/>
            </w:tcBorders>
            <w:shd w:val="clear" w:color="auto" w:fill="FABF8F"/>
          </w:tcPr>
          <w:p w14:paraId="4018AFF0" w14:textId="77777777" w:rsidR="00913A0A" w:rsidRPr="0058047D" w:rsidRDefault="00913A0A" w:rsidP="001A63C6">
            <w:pPr>
              <w:pStyle w:val="TableText"/>
              <w:widowControl w:val="0"/>
              <w:spacing w:before="120"/>
              <w:rPr>
                <w:rFonts w:ascii="Tahoma" w:hAnsi="Tahoma" w:cs="Tahoma"/>
                <w:sz w:val="13"/>
              </w:rPr>
            </w:pPr>
          </w:p>
        </w:tc>
        <w:tc>
          <w:tcPr>
            <w:tcW w:w="468" w:type="dxa"/>
            <w:tcBorders>
              <w:left w:val="single" w:sz="18" w:space="0" w:color="auto"/>
              <w:bottom w:val="single" w:sz="4" w:space="0" w:color="auto"/>
            </w:tcBorders>
            <w:shd w:val="clear" w:color="auto" w:fill="FABF8F"/>
          </w:tcPr>
          <w:p w14:paraId="0E2254F8" w14:textId="77777777" w:rsidR="00913A0A" w:rsidRPr="0058047D" w:rsidRDefault="00913A0A" w:rsidP="001A63C6">
            <w:pPr>
              <w:pStyle w:val="TableText"/>
              <w:widowControl w:val="0"/>
              <w:spacing w:before="120"/>
              <w:rPr>
                <w:rFonts w:ascii="Tahoma" w:hAnsi="Tahoma" w:cs="Tahoma"/>
                <w:sz w:val="13"/>
              </w:rPr>
            </w:pPr>
            <w:r w:rsidRPr="0058047D">
              <w:rPr>
                <w:rFonts w:ascii="Tahoma" w:hAnsi="Tahoma" w:cs="Tahoma"/>
                <w:sz w:val="13"/>
              </w:rPr>
              <w:t>10</w:t>
            </w:r>
          </w:p>
        </w:tc>
        <w:tc>
          <w:tcPr>
            <w:tcW w:w="477" w:type="dxa"/>
            <w:tcBorders>
              <w:bottom w:val="single" w:sz="4" w:space="0" w:color="auto"/>
              <w:right w:val="single" w:sz="18" w:space="0" w:color="auto"/>
            </w:tcBorders>
            <w:shd w:val="clear" w:color="auto" w:fill="FABF8F"/>
          </w:tcPr>
          <w:p w14:paraId="56226C35" w14:textId="77777777" w:rsidR="00913A0A" w:rsidRPr="0058047D" w:rsidRDefault="00913A0A" w:rsidP="001A63C6">
            <w:pPr>
              <w:pStyle w:val="TableText"/>
              <w:widowControl w:val="0"/>
              <w:spacing w:before="12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tcPr>
          <w:p w14:paraId="019E1D5A" w14:textId="77777777" w:rsidR="00913A0A" w:rsidRPr="0058047D" w:rsidRDefault="00913A0A" w:rsidP="001A63C6">
            <w:pPr>
              <w:pStyle w:val="TableText"/>
              <w:widowControl w:val="0"/>
              <w:spacing w:before="120"/>
              <w:rPr>
                <w:rFonts w:ascii="Tahoma" w:hAnsi="Tahoma" w:cs="Tahoma"/>
                <w:sz w:val="13"/>
              </w:rPr>
            </w:pPr>
          </w:p>
        </w:tc>
        <w:tc>
          <w:tcPr>
            <w:tcW w:w="655" w:type="dxa"/>
            <w:tcBorders>
              <w:bottom w:val="single" w:sz="4" w:space="0" w:color="auto"/>
            </w:tcBorders>
            <w:shd w:val="clear" w:color="auto" w:fill="FABF8F"/>
          </w:tcPr>
          <w:p w14:paraId="29D8AEFC" w14:textId="77777777" w:rsidR="00913A0A" w:rsidRPr="0058047D" w:rsidRDefault="00913A0A" w:rsidP="001A63C6">
            <w:pPr>
              <w:pStyle w:val="TableText"/>
              <w:widowControl w:val="0"/>
              <w:spacing w:before="12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FABF8F"/>
          </w:tcPr>
          <w:p w14:paraId="78BDB03E"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201F36CB" w14:textId="77777777" w:rsidR="00913A0A" w:rsidRPr="0058047D" w:rsidRDefault="00913A0A" w:rsidP="001A63C6">
            <w:pPr>
              <w:pStyle w:val="TableText"/>
              <w:widowControl w:val="0"/>
              <w:rPr>
                <w:rFonts w:ascii="Tahoma" w:hAnsi="Tahoma" w:cs="Tahoma"/>
                <w:sz w:val="13"/>
              </w:rPr>
            </w:pPr>
          </w:p>
        </w:tc>
      </w:tr>
      <w:tr w:rsidR="009323A0" w:rsidRPr="0058047D" w14:paraId="13A31348" w14:textId="77777777" w:rsidTr="00C86F50">
        <w:trPr>
          <w:trHeight w:val="145"/>
        </w:trPr>
        <w:tc>
          <w:tcPr>
            <w:tcW w:w="2619" w:type="dxa"/>
            <w:gridSpan w:val="2"/>
            <w:tcBorders>
              <w:bottom w:val="single" w:sz="4" w:space="0" w:color="auto"/>
            </w:tcBorders>
            <w:shd w:val="clear" w:color="auto" w:fill="auto"/>
          </w:tcPr>
          <w:p w14:paraId="720E9375" w14:textId="77777777" w:rsidR="00913A0A" w:rsidRPr="003F471F" w:rsidRDefault="00913A0A" w:rsidP="001F5E7D">
            <w:pPr>
              <w:pStyle w:val="ProductNames"/>
              <w:spacing w:beforeLines="10" w:before="24" w:afterLines="10" w:after="24"/>
              <w:rPr>
                <w:rFonts w:ascii="Tahoma" w:hAnsi="Tahoma" w:cs="Tahoma"/>
                <w:b/>
                <w:sz w:val="14"/>
                <w:lang w:val="it-IT"/>
              </w:rPr>
            </w:pPr>
            <w:bookmarkStart w:id="425" w:name="_Toc336338086"/>
            <w:bookmarkStart w:id="426" w:name="_Toc371663487"/>
            <w:r w:rsidRPr="003F471F">
              <w:rPr>
                <w:rFonts w:ascii="Tahoma" w:hAnsi="Tahoma" w:cs="Tahoma"/>
                <w:sz w:val="14"/>
                <w:lang w:val="it-IT"/>
              </w:rPr>
              <w:t>Licenza di Gestione Client (Client ML) per</w:t>
            </w:r>
            <w:r w:rsidR="001F5E7D" w:rsidRPr="003F471F">
              <w:rPr>
                <w:rFonts w:ascii="Tahoma" w:hAnsi="Tahoma" w:cs="Tahoma"/>
                <w:sz w:val="14"/>
                <w:lang w:val="it-IT"/>
              </w:rPr>
              <w:t> </w:t>
            </w:r>
            <w:r w:rsidRPr="003F471F">
              <w:rPr>
                <w:rFonts w:ascii="Tahoma" w:hAnsi="Tahoma" w:cs="Tahoma"/>
                <w:sz w:val="14"/>
                <w:lang w:val="it-IT"/>
              </w:rPr>
              <w:t>OSE per System Center Service Manager 2010</w:t>
            </w:r>
            <w:bookmarkEnd w:id="425"/>
            <w:bookmarkEnd w:id="426"/>
          </w:p>
        </w:tc>
        <w:tc>
          <w:tcPr>
            <w:tcW w:w="554" w:type="dxa"/>
            <w:tcBorders>
              <w:bottom w:val="single" w:sz="4" w:space="0" w:color="auto"/>
            </w:tcBorders>
            <w:shd w:val="clear" w:color="auto" w:fill="auto"/>
          </w:tcPr>
          <w:p w14:paraId="343BDD6D" w14:textId="77777777" w:rsidR="00913A0A" w:rsidRPr="003F471F" w:rsidRDefault="00913A0A" w:rsidP="001A63C6">
            <w:pPr>
              <w:pStyle w:val="TableText"/>
              <w:widowControl w:val="0"/>
              <w:rPr>
                <w:rStyle w:val="EndnoteReference"/>
                <w:sz w:val="13"/>
                <w:szCs w:val="13"/>
                <w:u w:val="single"/>
                <w:lang w:val="it-IT"/>
              </w:rPr>
            </w:pPr>
          </w:p>
        </w:tc>
        <w:tc>
          <w:tcPr>
            <w:tcW w:w="516" w:type="dxa"/>
            <w:tcBorders>
              <w:bottom w:val="single" w:sz="4" w:space="0" w:color="auto"/>
            </w:tcBorders>
            <w:shd w:val="clear" w:color="auto" w:fill="auto"/>
          </w:tcPr>
          <w:p w14:paraId="77AA640E" w14:textId="77777777" w:rsidR="00913A0A" w:rsidRPr="0058047D" w:rsidRDefault="00913A0A" w:rsidP="001A63C6">
            <w:pPr>
              <w:pStyle w:val="TableText"/>
              <w:widowControl w:val="0"/>
              <w:spacing w:before="120"/>
              <w:rPr>
                <w:rFonts w:ascii="Tahoma" w:hAnsi="Tahoma" w:cs="Tahoma"/>
                <w:sz w:val="13"/>
              </w:rPr>
            </w:pPr>
            <w:r w:rsidRPr="0058047D">
              <w:rPr>
                <w:rFonts w:ascii="Tahoma" w:hAnsi="Tahoma" w:cs="Tahoma"/>
                <w:sz w:val="13"/>
              </w:rPr>
              <w:t>04/10</w:t>
            </w:r>
          </w:p>
        </w:tc>
        <w:tc>
          <w:tcPr>
            <w:tcW w:w="358" w:type="dxa"/>
            <w:tcBorders>
              <w:bottom w:val="single" w:sz="4" w:space="0" w:color="auto"/>
              <w:right w:val="single" w:sz="18" w:space="0" w:color="auto"/>
            </w:tcBorders>
            <w:shd w:val="clear" w:color="auto" w:fill="auto"/>
          </w:tcPr>
          <w:p w14:paraId="5ECD5589" w14:textId="77777777" w:rsidR="00913A0A" w:rsidRPr="0058047D" w:rsidRDefault="00913A0A" w:rsidP="001A63C6">
            <w:pPr>
              <w:pStyle w:val="TableText"/>
              <w:widowControl w:val="0"/>
              <w:spacing w:before="12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06574AB4" w14:textId="77777777" w:rsidR="00913A0A" w:rsidRPr="0058047D" w:rsidRDefault="00913A0A" w:rsidP="001A63C6">
            <w:pPr>
              <w:pStyle w:val="TableText"/>
              <w:widowControl w:val="0"/>
              <w:spacing w:before="120"/>
              <w:rPr>
                <w:rFonts w:ascii="Tahoma" w:hAnsi="Tahoma" w:cs="Tahoma"/>
                <w:sz w:val="13"/>
              </w:rPr>
            </w:pPr>
          </w:p>
        </w:tc>
        <w:tc>
          <w:tcPr>
            <w:tcW w:w="324" w:type="dxa"/>
            <w:tcBorders>
              <w:bottom w:val="single" w:sz="4" w:space="0" w:color="auto"/>
            </w:tcBorders>
            <w:shd w:val="clear" w:color="auto" w:fill="auto"/>
            <w:vAlign w:val="center"/>
          </w:tcPr>
          <w:p w14:paraId="5DD99E60" w14:textId="77777777" w:rsidR="00913A0A" w:rsidRPr="0058047D" w:rsidRDefault="00913A0A" w:rsidP="001A63C6">
            <w:pPr>
              <w:pStyle w:val="TableText"/>
              <w:widowControl w:val="0"/>
              <w:spacing w:before="120"/>
              <w:rPr>
                <w:rFonts w:ascii="Tahoma" w:hAnsi="Tahoma" w:cs="Tahoma"/>
                <w:sz w:val="13"/>
              </w:rPr>
            </w:pPr>
          </w:p>
        </w:tc>
        <w:tc>
          <w:tcPr>
            <w:tcW w:w="366" w:type="dxa"/>
            <w:tcBorders>
              <w:bottom w:val="single" w:sz="4" w:space="0" w:color="auto"/>
            </w:tcBorders>
            <w:shd w:val="clear" w:color="auto" w:fill="auto"/>
            <w:vAlign w:val="center"/>
          </w:tcPr>
          <w:p w14:paraId="009DB18E" w14:textId="77777777" w:rsidR="00913A0A" w:rsidRPr="0058047D" w:rsidRDefault="00913A0A" w:rsidP="001A63C6">
            <w:pPr>
              <w:pStyle w:val="TableText"/>
              <w:widowControl w:val="0"/>
              <w:spacing w:before="120"/>
              <w:rPr>
                <w:rFonts w:ascii="Tahoma" w:hAnsi="Tahoma" w:cs="Tahoma"/>
                <w:sz w:val="13"/>
              </w:rPr>
            </w:pPr>
          </w:p>
        </w:tc>
        <w:tc>
          <w:tcPr>
            <w:tcW w:w="456" w:type="dxa"/>
            <w:gridSpan w:val="2"/>
            <w:tcBorders>
              <w:bottom w:val="single" w:sz="4" w:space="0" w:color="auto"/>
            </w:tcBorders>
            <w:shd w:val="clear" w:color="auto" w:fill="auto"/>
            <w:vAlign w:val="center"/>
          </w:tcPr>
          <w:p w14:paraId="3CB13E8C" w14:textId="77777777" w:rsidR="00913A0A" w:rsidRPr="0058047D"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76B94FE8" w14:textId="77777777" w:rsidR="00913A0A" w:rsidRPr="0058047D"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3E3B74C9" w14:textId="77777777" w:rsidR="00913A0A" w:rsidRPr="0058047D" w:rsidRDefault="00913A0A" w:rsidP="001A63C6">
            <w:pPr>
              <w:pStyle w:val="TableText"/>
              <w:widowControl w:val="0"/>
              <w:spacing w:before="12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09FC2674" w14:textId="77777777" w:rsidR="00913A0A" w:rsidRPr="0058047D" w:rsidRDefault="00913A0A" w:rsidP="001A63C6">
            <w:pPr>
              <w:pStyle w:val="TableText"/>
              <w:widowControl w:val="0"/>
              <w:spacing w:before="12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295BE50B" w14:textId="77777777" w:rsidR="00913A0A" w:rsidRPr="0058047D"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456E939D" w14:textId="77777777" w:rsidR="00913A0A" w:rsidRPr="0058047D" w:rsidRDefault="00913A0A" w:rsidP="001A63C6">
            <w:pPr>
              <w:pStyle w:val="TableText"/>
              <w:widowControl w:val="0"/>
              <w:spacing w:before="120"/>
              <w:jc w:val="left"/>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3E21C5DA" w14:textId="77777777" w:rsidR="00913A0A" w:rsidRPr="0058047D" w:rsidRDefault="00913A0A" w:rsidP="001A63C6">
            <w:pPr>
              <w:pStyle w:val="TableText"/>
              <w:widowControl w:val="0"/>
              <w:spacing w:before="12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30B0118A" w14:textId="77777777" w:rsidR="00913A0A" w:rsidRPr="0058047D" w:rsidRDefault="00913A0A" w:rsidP="001A63C6">
            <w:pPr>
              <w:pStyle w:val="TableText"/>
              <w:widowControl w:val="0"/>
              <w:spacing w:before="12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auto"/>
            <w:vAlign w:val="center"/>
          </w:tcPr>
          <w:p w14:paraId="6D9DB0B3" w14:textId="77777777" w:rsidR="00913A0A" w:rsidRPr="0058047D" w:rsidRDefault="00913A0A" w:rsidP="001A63C6">
            <w:pPr>
              <w:pStyle w:val="TableText"/>
              <w:widowControl w:val="0"/>
              <w:spacing w:before="12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5590AD80" w14:textId="77777777" w:rsidR="00913A0A" w:rsidRPr="0058047D" w:rsidRDefault="00913A0A" w:rsidP="001A63C6">
            <w:pPr>
              <w:pStyle w:val="TableText"/>
              <w:widowControl w:val="0"/>
              <w:spacing w:before="120"/>
            </w:pPr>
          </w:p>
          <w:p w14:paraId="2A5CE5B0" w14:textId="77777777" w:rsidR="00913A0A" w:rsidRPr="0058047D" w:rsidRDefault="00913A0A" w:rsidP="001A63C6">
            <w:pPr>
              <w:pStyle w:val="TableText"/>
              <w:widowControl w:val="0"/>
              <w:spacing w:before="120"/>
              <w:rPr>
                <w:rFonts w:ascii="Tahoma" w:hAnsi="Tahoma" w:cs="Tahoma"/>
                <w:sz w:val="13"/>
              </w:rPr>
            </w:pPr>
          </w:p>
        </w:tc>
        <w:tc>
          <w:tcPr>
            <w:tcW w:w="655" w:type="dxa"/>
            <w:tcBorders>
              <w:bottom w:val="single" w:sz="4" w:space="0" w:color="auto"/>
            </w:tcBorders>
            <w:shd w:val="clear" w:color="auto" w:fill="auto"/>
          </w:tcPr>
          <w:p w14:paraId="48E450C7" w14:textId="77777777" w:rsidR="00913A0A" w:rsidRPr="0058047D" w:rsidRDefault="00913A0A" w:rsidP="001A63C6">
            <w:pPr>
              <w:pStyle w:val="TableText"/>
              <w:widowControl w:val="0"/>
              <w:spacing w:before="120"/>
              <w:rPr>
                <w:rFonts w:ascii="Tahoma" w:hAnsi="Tahoma" w:cs="Tahoma"/>
                <w:sz w:val="13"/>
              </w:rPr>
            </w:pPr>
            <w:r w:rsidRPr="0058047D">
              <w:rPr>
                <w:rFonts w:ascii="Tahoma" w:hAnsi="Tahoma" w:cs="Tahoma"/>
                <w:sz w:val="13"/>
              </w:rPr>
              <w:t>AO, ST</w:t>
            </w:r>
          </w:p>
        </w:tc>
        <w:tc>
          <w:tcPr>
            <w:tcW w:w="504" w:type="dxa"/>
            <w:tcBorders>
              <w:bottom w:val="single" w:sz="4" w:space="0" w:color="auto"/>
            </w:tcBorders>
            <w:shd w:val="clear" w:color="auto" w:fill="auto"/>
          </w:tcPr>
          <w:p w14:paraId="79FBB2D6"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tcPr>
          <w:p w14:paraId="4808C60F" w14:textId="77777777" w:rsidR="00913A0A" w:rsidRPr="0058047D" w:rsidRDefault="00913A0A" w:rsidP="001A63C6">
            <w:pPr>
              <w:pStyle w:val="TableText"/>
              <w:widowControl w:val="0"/>
              <w:rPr>
                <w:rFonts w:ascii="Tahoma" w:hAnsi="Tahoma" w:cs="Tahoma"/>
                <w:sz w:val="13"/>
              </w:rPr>
            </w:pPr>
          </w:p>
        </w:tc>
      </w:tr>
      <w:tr w:rsidR="009323A0" w:rsidRPr="0058047D" w14:paraId="485C9043" w14:textId="77777777" w:rsidTr="00C86F50">
        <w:trPr>
          <w:trHeight w:val="145"/>
        </w:trPr>
        <w:tc>
          <w:tcPr>
            <w:tcW w:w="2619" w:type="dxa"/>
            <w:gridSpan w:val="2"/>
            <w:tcBorders>
              <w:bottom w:val="single" w:sz="4" w:space="0" w:color="auto"/>
            </w:tcBorders>
            <w:shd w:val="clear" w:color="auto" w:fill="FABF8F"/>
          </w:tcPr>
          <w:p w14:paraId="72275EDC" w14:textId="77777777" w:rsidR="00913A0A" w:rsidRPr="003F471F" w:rsidRDefault="00913A0A" w:rsidP="001B5647">
            <w:pPr>
              <w:pStyle w:val="ProductNames"/>
              <w:spacing w:beforeLines="10" w:before="24" w:afterLines="10" w:after="24"/>
              <w:rPr>
                <w:rFonts w:ascii="Tahoma" w:hAnsi="Tahoma" w:cs="Tahoma"/>
                <w:b/>
                <w:sz w:val="14"/>
                <w:lang w:val="it-IT"/>
              </w:rPr>
            </w:pPr>
            <w:bookmarkStart w:id="427" w:name="_Toc336338087"/>
            <w:bookmarkStart w:id="428" w:name="_Toc371663488"/>
            <w:r w:rsidRPr="003F471F">
              <w:rPr>
                <w:rFonts w:ascii="Tahoma" w:hAnsi="Tahoma" w:cs="Tahoma"/>
                <w:sz w:val="14"/>
                <w:lang w:val="it-IT"/>
              </w:rPr>
              <w:t>Licenza di Gestione Client (Client ML) per</w:t>
            </w:r>
            <w:r w:rsidR="001B5647" w:rsidRPr="003F471F">
              <w:rPr>
                <w:rFonts w:ascii="Tahoma" w:hAnsi="Tahoma" w:cs="Tahoma"/>
                <w:sz w:val="14"/>
                <w:lang w:val="it-IT"/>
              </w:rPr>
              <w:t> </w:t>
            </w:r>
            <w:r w:rsidRPr="003F471F">
              <w:rPr>
                <w:rFonts w:ascii="Tahoma" w:hAnsi="Tahoma" w:cs="Tahoma"/>
                <w:sz w:val="14"/>
                <w:lang w:val="it-IT"/>
              </w:rPr>
              <w:t>Utente per System Center Service Manager 2010</w:t>
            </w:r>
            <w:bookmarkEnd w:id="427"/>
            <w:bookmarkEnd w:id="428"/>
          </w:p>
        </w:tc>
        <w:tc>
          <w:tcPr>
            <w:tcW w:w="554" w:type="dxa"/>
            <w:tcBorders>
              <w:bottom w:val="single" w:sz="4" w:space="0" w:color="auto"/>
            </w:tcBorders>
            <w:shd w:val="clear" w:color="auto" w:fill="FABF8F"/>
          </w:tcPr>
          <w:p w14:paraId="6B6F167B" w14:textId="77777777" w:rsidR="00913A0A" w:rsidRPr="003F471F" w:rsidRDefault="00913A0A" w:rsidP="001A63C6">
            <w:pPr>
              <w:pStyle w:val="TableText"/>
              <w:widowControl w:val="0"/>
              <w:rPr>
                <w:rStyle w:val="EndnoteReference"/>
                <w:sz w:val="13"/>
                <w:szCs w:val="13"/>
                <w:u w:val="single"/>
                <w:lang w:val="it-IT"/>
              </w:rPr>
            </w:pPr>
          </w:p>
        </w:tc>
        <w:tc>
          <w:tcPr>
            <w:tcW w:w="516" w:type="dxa"/>
            <w:tcBorders>
              <w:bottom w:val="single" w:sz="4" w:space="0" w:color="auto"/>
            </w:tcBorders>
            <w:shd w:val="clear" w:color="auto" w:fill="FABF8F"/>
          </w:tcPr>
          <w:p w14:paraId="1FBE5091" w14:textId="77777777" w:rsidR="00913A0A" w:rsidRPr="0058047D" w:rsidRDefault="00913A0A" w:rsidP="001A63C6">
            <w:pPr>
              <w:pStyle w:val="TableText"/>
              <w:widowControl w:val="0"/>
              <w:spacing w:before="120"/>
              <w:rPr>
                <w:rFonts w:ascii="Tahoma" w:hAnsi="Tahoma" w:cs="Tahoma"/>
                <w:sz w:val="13"/>
              </w:rPr>
            </w:pPr>
            <w:r w:rsidRPr="0058047D">
              <w:rPr>
                <w:rFonts w:ascii="Tahoma" w:hAnsi="Tahoma" w:cs="Tahoma"/>
                <w:sz w:val="13"/>
              </w:rPr>
              <w:t>04/10</w:t>
            </w:r>
          </w:p>
        </w:tc>
        <w:tc>
          <w:tcPr>
            <w:tcW w:w="358" w:type="dxa"/>
            <w:tcBorders>
              <w:bottom w:val="single" w:sz="4" w:space="0" w:color="auto"/>
              <w:right w:val="single" w:sz="18" w:space="0" w:color="auto"/>
            </w:tcBorders>
            <w:shd w:val="clear" w:color="auto" w:fill="FABF8F"/>
          </w:tcPr>
          <w:p w14:paraId="63258318" w14:textId="77777777" w:rsidR="00913A0A" w:rsidRPr="0058047D" w:rsidRDefault="00913A0A" w:rsidP="001A63C6">
            <w:pPr>
              <w:pStyle w:val="TableText"/>
              <w:widowControl w:val="0"/>
              <w:spacing w:before="12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center"/>
          </w:tcPr>
          <w:p w14:paraId="3123274E" w14:textId="77777777" w:rsidR="00913A0A" w:rsidRPr="0058047D" w:rsidRDefault="00913A0A" w:rsidP="001A63C6">
            <w:pPr>
              <w:pStyle w:val="TableText"/>
              <w:widowControl w:val="0"/>
              <w:spacing w:before="120"/>
              <w:rPr>
                <w:rFonts w:ascii="Tahoma" w:hAnsi="Tahoma" w:cs="Tahoma"/>
                <w:sz w:val="13"/>
              </w:rPr>
            </w:pPr>
          </w:p>
        </w:tc>
        <w:tc>
          <w:tcPr>
            <w:tcW w:w="324" w:type="dxa"/>
            <w:tcBorders>
              <w:bottom w:val="single" w:sz="4" w:space="0" w:color="auto"/>
            </w:tcBorders>
            <w:shd w:val="clear" w:color="auto" w:fill="FABF8F"/>
            <w:vAlign w:val="center"/>
          </w:tcPr>
          <w:p w14:paraId="2CA7B148" w14:textId="77777777" w:rsidR="00913A0A" w:rsidRPr="0058047D" w:rsidRDefault="00913A0A" w:rsidP="001A63C6">
            <w:pPr>
              <w:pStyle w:val="TableText"/>
              <w:widowControl w:val="0"/>
              <w:spacing w:before="120"/>
              <w:rPr>
                <w:rFonts w:ascii="Tahoma" w:hAnsi="Tahoma" w:cs="Tahoma"/>
                <w:sz w:val="13"/>
              </w:rPr>
            </w:pPr>
          </w:p>
        </w:tc>
        <w:tc>
          <w:tcPr>
            <w:tcW w:w="366" w:type="dxa"/>
            <w:tcBorders>
              <w:bottom w:val="single" w:sz="4" w:space="0" w:color="auto"/>
            </w:tcBorders>
            <w:shd w:val="clear" w:color="auto" w:fill="FABF8F"/>
            <w:vAlign w:val="center"/>
          </w:tcPr>
          <w:p w14:paraId="3848D7BF" w14:textId="77777777" w:rsidR="00913A0A" w:rsidRPr="0058047D" w:rsidRDefault="00913A0A" w:rsidP="001A63C6">
            <w:pPr>
              <w:pStyle w:val="TableText"/>
              <w:widowControl w:val="0"/>
              <w:spacing w:before="120"/>
              <w:rPr>
                <w:rFonts w:ascii="Tahoma" w:hAnsi="Tahoma" w:cs="Tahoma"/>
                <w:sz w:val="13"/>
              </w:rPr>
            </w:pPr>
          </w:p>
        </w:tc>
        <w:tc>
          <w:tcPr>
            <w:tcW w:w="456" w:type="dxa"/>
            <w:gridSpan w:val="2"/>
            <w:tcBorders>
              <w:bottom w:val="single" w:sz="4" w:space="0" w:color="auto"/>
            </w:tcBorders>
            <w:shd w:val="clear" w:color="auto" w:fill="FABF8F"/>
            <w:vAlign w:val="center"/>
          </w:tcPr>
          <w:p w14:paraId="5D8983E4" w14:textId="77777777" w:rsidR="00913A0A" w:rsidRPr="0058047D"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7F95A2EE" w14:textId="77777777" w:rsidR="00913A0A" w:rsidRPr="0058047D"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2A989440" w14:textId="77777777" w:rsidR="00913A0A" w:rsidRPr="0058047D" w:rsidRDefault="00913A0A" w:rsidP="001A63C6">
            <w:pPr>
              <w:pStyle w:val="TableText"/>
              <w:widowControl w:val="0"/>
              <w:spacing w:before="12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3A7C249B" w14:textId="77777777" w:rsidR="00913A0A" w:rsidRPr="0058047D" w:rsidRDefault="00913A0A" w:rsidP="001A63C6">
            <w:pPr>
              <w:pStyle w:val="TableText"/>
              <w:widowControl w:val="0"/>
              <w:spacing w:before="12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4795217B" w14:textId="77777777" w:rsidR="00913A0A" w:rsidRPr="0058047D"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3F3236FD" w14:textId="77777777" w:rsidR="00913A0A" w:rsidRPr="0058047D" w:rsidRDefault="00913A0A" w:rsidP="001A63C6">
            <w:pPr>
              <w:pStyle w:val="TableText"/>
              <w:widowControl w:val="0"/>
              <w:spacing w:before="12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04745072" w14:textId="77777777" w:rsidR="00913A0A" w:rsidRPr="0058047D" w:rsidRDefault="00913A0A" w:rsidP="001A63C6">
            <w:pPr>
              <w:pStyle w:val="TableText"/>
              <w:widowControl w:val="0"/>
              <w:spacing w:before="12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7D3ED24B" w14:textId="77777777" w:rsidR="00913A0A" w:rsidRPr="0058047D" w:rsidRDefault="00913A0A" w:rsidP="001A63C6">
            <w:pPr>
              <w:pStyle w:val="TableText"/>
              <w:widowControl w:val="0"/>
              <w:spacing w:before="12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FABF8F"/>
            <w:vAlign w:val="center"/>
          </w:tcPr>
          <w:p w14:paraId="6E167FE1" w14:textId="77777777" w:rsidR="00913A0A" w:rsidRPr="0058047D" w:rsidRDefault="00913A0A" w:rsidP="001A63C6">
            <w:pPr>
              <w:pStyle w:val="TableText"/>
              <w:widowControl w:val="0"/>
              <w:spacing w:before="12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7034C5A9" w14:textId="77777777" w:rsidR="00913A0A" w:rsidRPr="0058047D" w:rsidRDefault="00913A0A" w:rsidP="001A63C6">
            <w:pPr>
              <w:pStyle w:val="TableText"/>
              <w:widowControl w:val="0"/>
              <w:spacing w:before="120"/>
            </w:pPr>
          </w:p>
          <w:p w14:paraId="338FC607" w14:textId="77777777" w:rsidR="00913A0A" w:rsidRPr="0058047D" w:rsidRDefault="00913A0A" w:rsidP="001A63C6">
            <w:pPr>
              <w:pStyle w:val="TableText"/>
              <w:widowControl w:val="0"/>
              <w:spacing w:before="120"/>
              <w:rPr>
                <w:rFonts w:ascii="Tahoma" w:hAnsi="Tahoma" w:cs="Tahoma"/>
                <w:sz w:val="13"/>
              </w:rPr>
            </w:pPr>
          </w:p>
        </w:tc>
        <w:tc>
          <w:tcPr>
            <w:tcW w:w="655" w:type="dxa"/>
            <w:tcBorders>
              <w:bottom w:val="single" w:sz="4" w:space="0" w:color="auto"/>
            </w:tcBorders>
            <w:shd w:val="clear" w:color="auto" w:fill="FABF8F"/>
          </w:tcPr>
          <w:p w14:paraId="2DACC818" w14:textId="77777777" w:rsidR="00913A0A" w:rsidRPr="0058047D" w:rsidRDefault="00913A0A" w:rsidP="001A63C6">
            <w:pPr>
              <w:pStyle w:val="TableText"/>
              <w:widowControl w:val="0"/>
              <w:spacing w:before="120"/>
              <w:rPr>
                <w:rFonts w:ascii="Tahoma" w:hAnsi="Tahoma" w:cs="Tahoma"/>
                <w:sz w:val="13"/>
              </w:rPr>
            </w:pPr>
            <w:r w:rsidRPr="0058047D">
              <w:rPr>
                <w:rFonts w:ascii="Tahoma" w:hAnsi="Tahoma" w:cs="Tahoma"/>
                <w:sz w:val="13"/>
              </w:rPr>
              <w:t>AO, ST</w:t>
            </w:r>
          </w:p>
        </w:tc>
        <w:tc>
          <w:tcPr>
            <w:tcW w:w="504" w:type="dxa"/>
            <w:tcBorders>
              <w:bottom w:val="single" w:sz="4" w:space="0" w:color="auto"/>
            </w:tcBorders>
            <w:shd w:val="clear" w:color="auto" w:fill="FABF8F"/>
          </w:tcPr>
          <w:p w14:paraId="58851A7B"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0555D1C1" w14:textId="77777777" w:rsidR="00913A0A" w:rsidRPr="0058047D" w:rsidRDefault="00913A0A" w:rsidP="001A63C6">
            <w:pPr>
              <w:pStyle w:val="TableText"/>
              <w:widowControl w:val="0"/>
              <w:rPr>
                <w:rFonts w:ascii="Tahoma" w:hAnsi="Tahoma" w:cs="Tahoma"/>
                <w:sz w:val="13"/>
              </w:rPr>
            </w:pPr>
          </w:p>
        </w:tc>
      </w:tr>
      <w:tr w:rsidR="009323A0" w:rsidRPr="0058047D" w14:paraId="3F034090" w14:textId="77777777" w:rsidTr="00C86F50">
        <w:trPr>
          <w:trHeight w:val="145"/>
        </w:trPr>
        <w:tc>
          <w:tcPr>
            <w:tcW w:w="2619" w:type="dxa"/>
            <w:gridSpan w:val="2"/>
            <w:tcBorders>
              <w:bottom w:val="single" w:sz="4" w:space="0" w:color="auto"/>
            </w:tcBorders>
            <w:shd w:val="clear" w:color="auto" w:fill="auto"/>
          </w:tcPr>
          <w:p w14:paraId="22172831" w14:textId="77777777" w:rsidR="00913A0A" w:rsidRPr="003F471F" w:rsidRDefault="00913A0A" w:rsidP="00E077BC">
            <w:pPr>
              <w:pStyle w:val="Heading3"/>
              <w:spacing w:beforeLines="20" w:before="48" w:afterLines="20" w:after="48"/>
              <w:rPr>
                <w:rFonts w:ascii="Tahoma" w:hAnsi="Tahoma" w:cs="Tahoma"/>
                <w:b w:val="0"/>
                <w:sz w:val="14"/>
                <w:szCs w:val="16"/>
                <w:lang w:val="it-IT"/>
              </w:rPr>
            </w:pPr>
            <w:bookmarkStart w:id="429" w:name="_Toc336338088"/>
            <w:bookmarkStart w:id="430" w:name="_Toc371663489"/>
            <w:r w:rsidRPr="003F471F">
              <w:rPr>
                <w:rFonts w:ascii="Tahoma" w:hAnsi="Tahoma" w:cs="Tahoma"/>
                <w:b w:val="0"/>
                <w:sz w:val="14"/>
                <w:szCs w:val="16"/>
                <w:lang w:val="it-IT"/>
              </w:rPr>
              <w:t>Licenza di Gestione Server (Server ML) per OSE per System Center Service Manager 2010</w:t>
            </w:r>
            <w:bookmarkEnd w:id="429"/>
            <w:bookmarkEnd w:id="430"/>
          </w:p>
        </w:tc>
        <w:tc>
          <w:tcPr>
            <w:tcW w:w="554" w:type="dxa"/>
            <w:tcBorders>
              <w:bottom w:val="single" w:sz="4" w:space="0" w:color="auto"/>
            </w:tcBorders>
            <w:shd w:val="clear" w:color="auto" w:fill="auto"/>
          </w:tcPr>
          <w:p w14:paraId="6D6DAF13" w14:textId="77777777" w:rsidR="00913A0A" w:rsidRPr="003F471F" w:rsidRDefault="00913A0A" w:rsidP="001A63C6">
            <w:pPr>
              <w:pStyle w:val="TableText"/>
              <w:widowControl w:val="0"/>
              <w:spacing w:before="20" w:after="20"/>
              <w:rPr>
                <w:rStyle w:val="EndnoteReference"/>
                <w:sz w:val="13"/>
                <w:szCs w:val="13"/>
                <w:u w:val="single"/>
                <w:lang w:val="it-IT"/>
              </w:rPr>
            </w:pPr>
          </w:p>
        </w:tc>
        <w:tc>
          <w:tcPr>
            <w:tcW w:w="516" w:type="dxa"/>
            <w:tcBorders>
              <w:bottom w:val="single" w:sz="4" w:space="0" w:color="auto"/>
            </w:tcBorders>
            <w:shd w:val="clear" w:color="auto" w:fill="auto"/>
          </w:tcPr>
          <w:p w14:paraId="23E24C7D" w14:textId="77777777" w:rsidR="00913A0A" w:rsidRPr="0058047D" w:rsidRDefault="00913A0A" w:rsidP="001A63C6">
            <w:pPr>
              <w:pStyle w:val="TableText"/>
              <w:widowControl w:val="0"/>
              <w:spacing w:before="20" w:after="20"/>
              <w:rPr>
                <w:rFonts w:ascii="Tahoma" w:hAnsi="Tahoma" w:cs="Tahoma"/>
                <w:sz w:val="13"/>
              </w:rPr>
            </w:pPr>
            <w:r w:rsidRPr="0058047D">
              <w:rPr>
                <w:rFonts w:ascii="Tahoma" w:hAnsi="Tahoma" w:cs="Tahoma"/>
                <w:sz w:val="13"/>
              </w:rPr>
              <w:t>04/10</w:t>
            </w:r>
          </w:p>
        </w:tc>
        <w:tc>
          <w:tcPr>
            <w:tcW w:w="358" w:type="dxa"/>
            <w:tcBorders>
              <w:bottom w:val="single" w:sz="4" w:space="0" w:color="auto"/>
              <w:right w:val="single" w:sz="18" w:space="0" w:color="auto"/>
            </w:tcBorders>
            <w:shd w:val="clear" w:color="auto" w:fill="auto"/>
          </w:tcPr>
          <w:p w14:paraId="3B9D1022" w14:textId="77777777" w:rsidR="00913A0A" w:rsidRPr="0058047D" w:rsidRDefault="00913A0A" w:rsidP="001A63C6">
            <w:pPr>
              <w:pStyle w:val="TableText"/>
              <w:widowControl w:val="0"/>
              <w:spacing w:before="20" w:after="2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1380AF16" w14:textId="77777777" w:rsidR="00913A0A" w:rsidRPr="0058047D" w:rsidRDefault="00913A0A" w:rsidP="001A63C6">
            <w:pPr>
              <w:pStyle w:val="TableText"/>
              <w:widowControl w:val="0"/>
              <w:spacing w:before="20" w:after="20"/>
              <w:rPr>
                <w:rFonts w:ascii="Tahoma" w:hAnsi="Tahoma" w:cs="Tahoma"/>
                <w:sz w:val="13"/>
              </w:rPr>
            </w:pPr>
          </w:p>
        </w:tc>
        <w:tc>
          <w:tcPr>
            <w:tcW w:w="324" w:type="dxa"/>
            <w:tcBorders>
              <w:bottom w:val="single" w:sz="4" w:space="0" w:color="auto"/>
            </w:tcBorders>
            <w:shd w:val="clear" w:color="auto" w:fill="auto"/>
            <w:vAlign w:val="center"/>
          </w:tcPr>
          <w:p w14:paraId="4AC9A473" w14:textId="77777777" w:rsidR="00913A0A" w:rsidRPr="0058047D" w:rsidRDefault="00913A0A" w:rsidP="001A63C6">
            <w:pPr>
              <w:pStyle w:val="TableText"/>
              <w:widowControl w:val="0"/>
              <w:spacing w:before="20" w:after="20"/>
              <w:rPr>
                <w:rFonts w:ascii="Tahoma" w:hAnsi="Tahoma" w:cs="Tahoma"/>
                <w:sz w:val="13"/>
              </w:rPr>
            </w:pPr>
          </w:p>
        </w:tc>
        <w:tc>
          <w:tcPr>
            <w:tcW w:w="366" w:type="dxa"/>
            <w:tcBorders>
              <w:bottom w:val="single" w:sz="4" w:space="0" w:color="auto"/>
            </w:tcBorders>
            <w:shd w:val="clear" w:color="auto" w:fill="auto"/>
            <w:vAlign w:val="center"/>
          </w:tcPr>
          <w:p w14:paraId="34B6B83A" w14:textId="77777777" w:rsidR="00913A0A" w:rsidRPr="0058047D" w:rsidRDefault="00913A0A" w:rsidP="001A63C6">
            <w:pPr>
              <w:pStyle w:val="TableText"/>
              <w:widowControl w:val="0"/>
              <w:spacing w:before="20" w:after="20"/>
              <w:rPr>
                <w:rFonts w:ascii="Tahoma" w:hAnsi="Tahoma" w:cs="Tahoma"/>
                <w:sz w:val="13"/>
              </w:rPr>
            </w:pPr>
          </w:p>
        </w:tc>
        <w:tc>
          <w:tcPr>
            <w:tcW w:w="456" w:type="dxa"/>
            <w:gridSpan w:val="2"/>
            <w:tcBorders>
              <w:bottom w:val="single" w:sz="4" w:space="0" w:color="auto"/>
            </w:tcBorders>
            <w:shd w:val="clear" w:color="auto" w:fill="auto"/>
            <w:vAlign w:val="center"/>
          </w:tcPr>
          <w:p w14:paraId="60C66ADA" w14:textId="77777777" w:rsidR="00913A0A" w:rsidRPr="0058047D" w:rsidRDefault="00913A0A"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36FE089C" w14:textId="77777777" w:rsidR="00913A0A" w:rsidRPr="0058047D" w:rsidRDefault="00913A0A"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4A9D133A" w14:textId="77777777" w:rsidR="00913A0A" w:rsidRPr="0058047D" w:rsidRDefault="00913A0A" w:rsidP="001A63C6">
            <w:pPr>
              <w:pStyle w:val="TableText"/>
              <w:widowControl w:val="0"/>
              <w:spacing w:before="20" w:after="2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06F767A6" w14:textId="77777777" w:rsidR="00913A0A" w:rsidRPr="0058047D" w:rsidRDefault="00913A0A" w:rsidP="001A63C6">
            <w:pPr>
              <w:pStyle w:val="TableText"/>
              <w:widowControl w:val="0"/>
              <w:spacing w:before="20" w:after="2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5C4FFB08" w14:textId="77777777" w:rsidR="00913A0A" w:rsidRPr="0058047D" w:rsidRDefault="00913A0A"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035E56CC" w14:textId="77777777" w:rsidR="00913A0A" w:rsidRPr="0058047D" w:rsidRDefault="00913A0A" w:rsidP="001A63C6">
            <w:pPr>
              <w:pStyle w:val="TableText"/>
              <w:widowControl w:val="0"/>
              <w:spacing w:before="20" w:after="2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5534915F" w14:textId="77777777" w:rsidR="00913A0A" w:rsidRPr="0058047D" w:rsidRDefault="00913A0A" w:rsidP="001A63C6">
            <w:pPr>
              <w:pStyle w:val="TableText"/>
              <w:widowControl w:val="0"/>
              <w:spacing w:before="20" w:after="2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5CB9CB5E" w14:textId="77777777" w:rsidR="00913A0A" w:rsidRPr="0058047D" w:rsidRDefault="00913A0A" w:rsidP="001A63C6">
            <w:pPr>
              <w:pStyle w:val="TableText"/>
              <w:widowControl w:val="0"/>
              <w:spacing w:before="20" w:after="2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auto"/>
            <w:vAlign w:val="center"/>
          </w:tcPr>
          <w:p w14:paraId="5EBBB787" w14:textId="77777777" w:rsidR="00913A0A" w:rsidRPr="0058047D" w:rsidRDefault="00913A0A" w:rsidP="001A63C6">
            <w:pPr>
              <w:pStyle w:val="TableText"/>
              <w:widowControl w:val="0"/>
              <w:spacing w:before="20" w:after="2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627CA2D6" w14:textId="77777777" w:rsidR="00913A0A" w:rsidRPr="0058047D" w:rsidRDefault="00913A0A" w:rsidP="001A63C6">
            <w:pPr>
              <w:pStyle w:val="TableText"/>
              <w:widowControl w:val="0"/>
              <w:spacing w:before="20" w:after="20"/>
            </w:pPr>
          </w:p>
          <w:p w14:paraId="627FE20D" w14:textId="77777777" w:rsidR="00913A0A" w:rsidRPr="0058047D" w:rsidRDefault="00913A0A" w:rsidP="001A63C6">
            <w:pPr>
              <w:pStyle w:val="TableText"/>
              <w:widowControl w:val="0"/>
              <w:spacing w:before="20" w:after="20"/>
              <w:rPr>
                <w:rFonts w:ascii="Tahoma" w:hAnsi="Tahoma" w:cs="Tahoma"/>
                <w:sz w:val="13"/>
              </w:rPr>
            </w:pPr>
          </w:p>
        </w:tc>
        <w:tc>
          <w:tcPr>
            <w:tcW w:w="655" w:type="dxa"/>
            <w:tcBorders>
              <w:bottom w:val="single" w:sz="4" w:space="0" w:color="auto"/>
            </w:tcBorders>
            <w:shd w:val="clear" w:color="auto" w:fill="auto"/>
            <w:vAlign w:val="center"/>
          </w:tcPr>
          <w:p w14:paraId="5F1005A8" w14:textId="77777777" w:rsidR="00913A0A" w:rsidRPr="0058047D" w:rsidRDefault="00913A0A" w:rsidP="001A63C6">
            <w:pPr>
              <w:pStyle w:val="TableText"/>
              <w:widowControl w:val="0"/>
              <w:spacing w:before="20" w:after="20"/>
              <w:rPr>
                <w:rFonts w:ascii="Tahoma" w:hAnsi="Tahoma" w:cs="Tahoma"/>
                <w:sz w:val="13"/>
              </w:rPr>
            </w:pPr>
            <w:r w:rsidRPr="0058047D">
              <w:rPr>
                <w:rFonts w:ascii="Tahoma" w:hAnsi="Tahoma" w:cs="Tahoma"/>
                <w:sz w:val="13"/>
              </w:rPr>
              <w:t>A, ST</w:t>
            </w:r>
          </w:p>
        </w:tc>
        <w:tc>
          <w:tcPr>
            <w:tcW w:w="504" w:type="dxa"/>
            <w:tcBorders>
              <w:bottom w:val="single" w:sz="4" w:space="0" w:color="auto"/>
            </w:tcBorders>
            <w:shd w:val="clear" w:color="auto" w:fill="auto"/>
          </w:tcPr>
          <w:p w14:paraId="04B5DE51" w14:textId="77777777" w:rsidR="00913A0A" w:rsidRPr="0058047D" w:rsidRDefault="00913A0A" w:rsidP="001A63C6">
            <w:pPr>
              <w:pStyle w:val="TableText"/>
              <w:widowControl w:val="0"/>
              <w:spacing w:before="20" w:after="20"/>
              <w:rPr>
                <w:rFonts w:ascii="Tahoma" w:hAnsi="Tahoma" w:cs="Tahoma"/>
                <w:sz w:val="13"/>
              </w:rPr>
            </w:pPr>
          </w:p>
        </w:tc>
        <w:tc>
          <w:tcPr>
            <w:tcW w:w="405" w:type="dxa"/>
            <w:tcBorders>
              <w:bottom w:val="single" w:sz="4" w:space="0" w:color="auto"/>
            </w:tcBorders>
          </w:tcPr>
          <w:p w14:paraId="501E8C90" w14:textId="77777777" w:rsidR="00913A0A" w:rsidRPr="0058047D" w:rsidRDefault="00913A0A" w:rsidP="001A63C6">
            <w:pPr>
              <w:pStyle w:val="TableText"/>
              <w:widowControl w:val="0"/>
              <w:spacing w:before="20" w:after="20"/>
              <w:rPr>
                <w:rFonts w:ascii="Tahoma" w:hAnsi="Tahoma" w:cs="Tahoma"/>
                <w:sz w:val="13"/>
              </w:rPr>
            </w:pPr>
          </w:p>
        </w:tc>
      </w:tr>
      <w:tr w:rsidR="009323A0" w:rsidRPr="0058047D" w14:paraId="1B47CB0D" w14:textId="77777777" w:rsidTr="00C86F50">
        <w:trPr>
          <w:trHeight w:val="368"/>
        </w:trPr>
        <w:tc>
          <w:tcPr>
            <w:tcW w:w="2619" w:type="dxa"/>
            <w:gridSpan w:val="2"/>
            <w:tcBorders>
              <w:bottom w:val="single" w:sz="4" w:space="0" w:color="auto"/>
            </w:tcBorders>
            <w:shd w:val="clear" w:color="auto" w:fill="FABF8F"/>
            <w:vAlign w:val="center"/>
          </w:tcPr>
          <w:p w14:paraId="7AD09C64" w14:textId="77777777" w:rsidR="00913A0A" w:rsidRPr="003F471F" w:rsidRDefault="00913A0A" w:rsidP="00E077BC">
            <w:pPr>
              <w:pStyle w:val="ProductNames"/>
              <w:spacing w:beforeLines="20" w:before="48" w:afterLines="20" w:after="48"/>
              <w:rPr>
                <w:rFonts w:ascii="Tahoma" w:hAnsi="Tahoma" w:cs="Tahoma"/>
                <w:sz w:val="14"/>
                <w:lang w:val="fr-FR"/>
              </w:rPr>
            </w:pPr>
            <w:bookmarkStart w:id="431" w:name="_Toc336338093"/>
            <w:bookmarkStart w:id="432" w:name="_Toc371663490"/>
            <w:r w:rsidRPr="003F471F">
              <w:rPr>
                <w:rFonts w:ascii="Tahoma" w:hAnsi="Tahoma" w:cs="Tahoma"/>
                <w:sz w:val="14"/>
                <w:szCs w:val="18"/>
                <w:lang w:val="fr-FR"/>
              </w:rPr>
              <w:t>System Center 2012 R2 Client Management Suite (Client ML) per OSE</w:t>
            </w:r>
            <w:bookmarkEnd w:id="431"/>
            <w:bookmarkEnd w:id="432"/>
          </w:p>
        </w:tc>
        <w:tc>
          <w:tcPr>
            <w:tcW w:w="554" w:type="dxa"/>
            <w:tcBorders>
              <w:bottom w:val="single" w:sz="4" w:space="0" w:color="auto"/>
            </w:tcBorders>
            <w:shd w:val="clear" w:color="auto" w:fill="FABF8F"/>
            <w:vAlign w:val="center"/>
          </w:tcPr>
          <w:p w14:paraId="300C9E7E" w14:textId="77777777" w:rsidR="00913A0A" w:rsidRPr="0058047D" w:rsidRDefault="00C86F50" w:rsidP="00FC0808">
            <w:pPr>
              <w:pStyle w:val="TableText"/>
              <w:widowControl w:val="0"/>
              <w:rPr>
                <w:b/>
                <w:color w:val="000000"/>
                <w:sz w:val="13"/>
                <w:szCs w:val="13"/>
                <w:u w:val="single"/>
              </w:rPr>
            </w:pPr>
            <w:hyperlink w:anchor="_96_System_Center_1" w:history="1">
              <w:r w:rsidR="00BF5FC6" w:rsidRPr="0058047D">
                <w:rPr>
                  <w:rStyle w:val="Hyperlink"/>
                  <w:rFonts w:cs="Tahoma"/>
                  <w:b/>
                  <w:sz w:val="13"/>
                  <w:szCs w:val="13"/>
                </w:rPr>
                <w:t>96</w:t>
              </w:r>
            </w:hyperlink>
            <w:hyperlink w:anchor="_91_89_System" w:history="1"/>
            <w:hyperlink w:anchor="Srv_101SystemCenter2012" w:history="1"/>
          </w:p>
        </w:tc>
        <w:tc>
          <w:tcPr>
            <w:tcW w:w="516" w:type="dxa"/>
            <w:tcBorders>
              <w:bottom w:val="single" w:sz="4" w:space="0" w:color="auto"/>
            </w:tcBorders>
            <w:shd w:val="clear" w:color="auto" w:fill="FABF8F"/>
          </w:tcPr>
          <w:p w14:paraId="6F290C7B" w14:textId="77777777" w:rsidR="00913A0A" w:rsidRPr="0058047D" w:rsidRDefault="00C86F50" w:rsidP="001A63C6">
            <w:pPr>
              <w:pStyle w:val="TableText"/>
              <w:widowControl w:val="0"/>
              <w:spacing w:before="240"/>
              <w:rPr>
                <w:rFonts w:ascii="Tahoma" w:hAnsi="Tahoma" w:cs="Tahoma"/>
                <w:sz w:val="13"/>
              </w:rPr>
            </w:pPr>
            <w:r>
              <w:rPr>
                <w:rFonts w:ascii="Tahoma" w:hAnsi="Tahoma" w:cs="Tahoma"/>
                <w:sz w:val="13"/>
              </w:rPr>
              <w:t>10/13</w:t>
            </w:r>
          </w:p>
        </w:tc>
        <w:tc>
          <w:tcPr>
            <w:tcW w:w="358" w:type="dxa"/>
            <w:tcBorders>
              <w:bottom w:val="single" w:sz="4" w:space="0" w:color="auto"/>
              <w:right w:val="single" w:sz="18" w:space="0" w:color="auto"/>
            </w:tcBorders>
            <w:shd w:val="clear" w:color="auto" w:fill="FABF8F"/>
            <w:vAlign w:val="center"/>
          </w:tcPr>
          <w:p w14:paraId="14D0BA2E" w14:textId="77777777" w:rsidR="00913A0A" w:rsidRPr="0058047D" w:rsidRDefault="00913A0A" w:rsidP="001A63C6">
            <w:pPr>
              <w:pStyle w:val="TableText"/>
              <w:widowControl w:val="0"/>
              <w:rPr>
                <w:rFonts w:ascii="Tahoma" w:hAnsi="Tahoma" w:cs="Tahoma"/>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FABF8F"/>
            <w:vAlign w:val="bottom"/>
          </w:tcPr>
          <w:p w14:paraId="268334FA" w14:textId="77777777" w:rsidR="00913A0A" w:rsidRPr="0058047D" w:rsidRDefault="00913A0A" w:rsidP="001A63C6">
            <w:pPr>
              <w:pStyle w:val="TableText"/>
              <w:widowControl w:val="0"/>
              <w:spacing w:after="120"/>
              <w:rPr>
                <w:rFonts w:ascii="Tahoma" w:hAnsi="Tahoma" w:cs="Tahoma"/>
                <w:sz w:val="13"/>
                <w:szCs w:val="13"/>
              </w:rPr>
            </w:pPr>
          </w:p>
        </w:tc>
        <w:tc>
          <w:tcPr>
            <w:tcW w:w="324" w:type="dxa"/>
            <w:tcBorders>
              <w:bottom w:val="single" w:sz="4" w:space="0" w:color="auto"/>
            </w:tcBorders>
            <w:shd w:val="clear" w:color="auto" w:fill="FABF8F"/>
            <w:vAlign w:val="bottom"/>
          </w:tcPr>
          <w:p w14:paraId="1294327D"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2</w:t>
            </w:r>
          </w:p>
        </w:tc>
        <w:tc>
          <w:tcPr>
            <w:tcW w:w="366" w:type="dxa"/>
            <w:tcBorders>
              <w:bottom w:val="single" w:sz="4" w:space="0" w:color="auto"/>
            </w:tcBorders>
            <w:shd w:val="clear" w:color="auto" w:fill="FABF8F"/>
            <w:vAlign w:val="bottom"/>
          </w:tcPr>
          <w:p w14:paraId="5A61ACD1"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2</w:t>
            </w:r>
          </w:p>
        </w:tc>
        <w:tc>
          <w:tcPr>
            <w:tcW w:w="456" w:type="dxa"/>
            <w:gridSpan w:val="2"/>
            <w:tcBorders>
              <w:bottom w:val="single" w:sz="4" w:space="0" w:color="auto"/>
            </w:tcBorders>
            <w:shd w:val="clear" w:color="auto" w:fill="FABF8F"/>
            <w:vAlign w:val="bottom"/>
          </w:tcPr>
          <w:p w14:paraId="702FABBC"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2</w:t>
            </w:r>
          </w:p>
        </w:tc>
        <w:tc>
          <w:tcPr>
            <w:tcW w:w="450" w:type="dxa"/>
            <w:tcBorders>
              <w:bottom w:val="single" w:sz="4" w:space="0" w:color="auto"/>
            </w:tcBorders>
            <w:shd w:val="clear" w:color="auto" w:fill="FABF8F"/>
            <w:vAlign w:val="bottom"/>
          </w:tcPr>
          <w:p w14:paraId="6FDC3505"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1</w:t>
            </w:r>
          </w:p>
        </w:tc>
        <w:tc>
          <w:tcPr>
            <w:tcW w:w="450" w:type="dxa"/>
            <w:tcBorders>
              <w:bottom w:val="single" w:sz="4" w:space="0" w:color="auto"/>
            </w:tcBorders>
            <w:shd w:val="clear" w:color="auto" w:fill="FABF8F"/>
            <w:vAlign w:val="bottom"/>
          </w:tcPr>
          <w:p w14:paraId="6DEAE60B"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1</w:t>
            </w:r>
          </w:p>
        </w:tc>
        <w:tc>
          <w:tcPr>
            <w:tcW w:w="336" w:type="dxa"/>
            <w:tcBorders>
              <w:bottom w:val="single" w:sz="4" w:space="0" w:color="auto"/>
              <w:right w:val="single" w:sz="18" w:space="0" w:color="auto"/>
            </w:tcBorders>
            <w:shd w:val="clear" w:color="auto" w:fill="FABF8F"/>
            <w:vAlign w:val="bottom"/>
          </w:tcPr>
          <w:p w14:paraId="67881D1E"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 </w:t>
            </w:r>
          </w:p>
        </w:tc>
        <w:tc>
          <w:tcPr>
            <w:tcW w:w="477" w:type="dxa"/>
            <w:tcBorders>
              <w:left w:val="single" w:sz="18" w:space="0" w:color="auto"/>
              <w:bottom w:val="single" w:sz="4" w:space="0" w:color="auto"/>
            </w:tcBorders>
            <w:shd w:val="clear" w:color="auto" w:fill="FABF8F"/>
            <w:vAlign w:val="bottom"/>
          </w:tcPr>
          <w:p w14:paraId="6BD2021B" w14:textId="77777777" w:rsidR="00913A0A" w:rsidRPr="0058047D"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72A7A976"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1</w:t>
            </w:r>
          </w:p>
        </w:tc>
        <w:tc>
          <w:tcPr>
            <w:tcW w:w="414" w:type="dxa"/>
            <w:tcBorders>
              <w:bottom w:val="single" w:sz="4" w:space="0" w:color="auto"/>
              <w:right w:val="single" w:sz="18" w:space="0" w:color="auto"/>
            </w:tcBorders>
            <w:shd w:val="clear" w:color="auto" w:fill="FABF8F"/>
            <w:vAlign w:val="bottom"/>
          </w:tcPr>
          <w:p w14:paraId="251D0430"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1</w:t>
            </w:r>
          </w:p>
        </w:tc>
        <w:tc>
          <w:tcPr>
            <w:tcW w:w="468" w:type="dxa"/>
            <w:tcBorders>
              <w:left w:val="single" w:sz="18" w:space="0" w:color="auto"/>
              <w:bottom w:val="single" w:sz="4" w:space="0" w:color="auto"/>
            </w:tcBorders>
            <w:shd w:val="clear" w:color="auto" w:fill="FABF8F"/>
            <w:vAlign w:val="bottom"/>
          </w:tcPr>
          <w:p w14:paraId="653663B3"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1</w:t>
            </w:r>
          </w:p>
        </w:tc>
        <w:tc>
          <w:tcPr>
            <w:tcW w:w="477" w:type="dxa"/>
            <w:tcBorders>
              <w:bottom w:val="single" w:sz="4" w:space="0" w:color="auto"/>
              <w:right w:val="single" w:sz="18" w:space="0" w:color="auto"/>
            </w:tcBorders>
            <w:shd w:val="clear" w:color="auto" w:fill="FABF8F"/>
            <w:vAlign w:val="bottom"/>
          </w:tcPr>
          <w:p w14:paraId="729BC80E" w14:textId="77777777" w:rsidR="00913A0A" w:rsidRPr="0058047D" w:rsidRDefault="00913A0A" w:rsidP="001A63C6">
            <w:pPr>
              <w:pStyle w:val="TableText"/>
              <w:widowControl w:val="0"/>
              <w:spacing w:after="120"/>
              <w:rPr>
                <w:rFonts w:ascii="Tahoma" w:hAnsi="Tahoma" w:cs="Tahoma"/>
                <w:sz w:val="13"/>
                <w:szCs w:val="13"/>
              </w:rPr>
            </w:pPr>
            <w:r w:rsidRPr="0058047D">
              <w:rPr>
                <w:rFonts w:ascii="Arial" w:hAnsi="Arial" w:cs="Arial"/>
                <w:sz w:val="13"/>
                <w:szCs w:val="13"/>
              </w:rPr>
              <w:t>A, E</w:t>
            </w:r>
          </w:p>
        </w:tc>
        <w:tc>
          <w:tcPr>
            <w:tcW w:w="324" w:type="dxa"/>
            <w:tcBorders>
              <w:left w:val="single" w:sz="18" w:space="0" w:color="auto"/>
              <w:bottom w:val="single" w:sz="4" w:space="0" w:color="auto"/>
              <w:right w:val="single" w:sz="18" w:space="0" w:color="auto"/>
            </w:tcBorders>
            <w:shd w:val="clear" w:color="auto" w:fill="FABF8F"/>
            <w:vAlign w:val="bottom"/>
          </w:tcPr>
          <w:p w14:paraId="5D56AEDB" w14:textId="77777777" w:rsidR="00913A0A" w:rsidRPr="0058047D" w:rsidRDefault="00913A0A" w:rsidP="001A63C6">
            <w:pPr>
              <w:pStyle w:val="TableText"/>
              <w:widowControl w:val="0"/>
              <w:spacing w:after="120"/>
              <w:rPr>
                <w:rFonts w:ascii="Tahoma" w:hAnsi="Tahoma" w:cs="Tahoma"/>
                <w:sz w:val="13"/>
                <w:szCs w:val="13"/>
              </w:rPr>
            </w:pPr>
            <w:r w:rsidRPr="0058047D">
              <w:rPr>
                <w:rFonts w:ascii="Arial" w:hAnsi="Arial" w:cs="Arial"/>
                <w:sz w:val="13"/>
                <w:szCs w:val="13"/>
              </w:rPr>
              <w:t>P</w:t>
            </w:r>
          </w:p>
        </w:tc>
        <w:tc>
          <w:tcPr>
            <w:tcW w:w="655" w:type="dxa"/>
            <w:tcBorders>
              <w:bottom w:val="single" w:sz="4" w:space="0" w:color="auto"/>
            </w:tcBorders>
            <w:shd w:val="clear" w:color="auto" w:fill="FABF8F"/>
          </w:tcPr>
          <w:p w14:paraId="617EE571" w14:textId="77777777" w:rsidR="00913A0A" w:rsidRPr="0058047D" w:rsidRDefault="00913A0A" w:rsidP="001A63C6">
            <w:pPr>
              <w:spacing w:before="240"/>
              <w:jc w:val="center"/>
            </w:pPr>
            <w:r w:rsidRPr="0058047D">
              <w:rPr>
                <w:rFonts w:ascii="Arial" w:hAnsi="Arial" w:cs="Arial"/>
                <w:sz w:val="13"/>
                <w:szCs w:val="13"/>
              </w:rPr>
              <w:t>AO, ST</w:t>
            </w:r>
          </w:p>
          <w:p w14:paraId="5C3510BE" w14:textId="77777777" w:rsidR="00913A0A" w:rsidRPr="0058047D" w:rsidRDefault="00913A0A" w:rsidP="001A63C6">
            <w:pPr>
              <w:pStyle w:val="TableText"/>
              <w:widowControl w:val="0"/>
              <w:rPr>
                <w:rFonts w:ascii="Tahoma" w:hAnsi="Tahoma" w:cs="Tahoma"/>
                <w:sz w:val="13"/>
                <w:szCs w:val="13"/>
              </w:rPr>
            </w:pPr>
          </w:p>
        </w:tc>
        <w:tc>
          <w:tcPr>
            <w:tcW w:w="504" w:type="dxa"/>
            <w:tcBorders>
              <w:bottom w:val="single" w:sz="4" w:space="0" w:color="auto"/>
            </w:tcBorders>
            <w:shd w:val="clear" w:color="auto" w:fill="FABF8F"/>
            <w:vAlign w:val="center"/>
          </w:tcPr>
          <w:p w14:paraId="7AD02A0D"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1EEA3D8B"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0BAE9EB9" w14:textId="77777777" w:rsidTr="00C86F50">
        <w:trPr>
          <w:trHeight w:val="134"/>
        </w:trPr>
        <w:tc>
          <w:tcPr>
            <w:tcW w:w="2619" w:type="dxa"/>
            <w:gridSpan w:val="2"/>
            <w:tcBorders>
              <w:bottom w:val="single" w:sz="4" w:space="0" w:color="auto"/>
            </w:tcBorders>
            <w:shd w:val="clear" w:color="auto" w:fill="auto"/>
            <w:vAlign w:val="center"/>
          </w:tcPr>
          <w:p w14:paraId="2C456520" w14:textId="77777777" w:rsidR="00913A0A" w:rsidRPr="003F471F" w:rsidRDefault="00913A0A" w:rsidP="00E077BC">
            <w:pPr>
              <w:pStyle w:val="ProductNames"/>
              <w:spacing w:beforeLines="20" w:before="48" w:afterLines="20" w:after="48"/>
              <w:rPr>
                <w:rFonts w:ascii="Tahoma" w:hAnsi="Tahoma" w:cs="Tahoma"/>
                <w:sz w:val="14"/>
                <w:lang w:val="fr-FR"/>
              </w:rPr>
            </w:pPr>
            <w:bookmarkStart w:id="433" w:name="_Toc336338094"/>
            <w:bookmarkStart w:id="434" w:name="_Toc371663491"/>
            <w:r w:rsidRPr="003F471F">
              <w:rPr>
                <w:rFonts w:ascii="Tahoma" w:hAnsi="Tahoma" w:cs="Tahoma"/>
                <w:sz w:val="14"/>
                <w:szCs w:val="18"/>
                <w:lang w:val="fr-FR"/>
              </w:rPr>
              <w:t>System Center 2012 R2 Client Management Suite (Client ML) per Utente</w:t>
            </w:r>
            <w:bookmarkEnd w:id="433"/>
            <w:bookmarkEnd w:id="434"/>
          </w:p>
        </w:tc>
        <w:tc>
          <w:tcPr>
            <w:tcW w:w="554" w:type="dxa"/>
            <w:tcBorders>
              <w:bottom w:val="single" w:sz="4" w:space="0" w:color="auto"/>
            </w:tcBorders>
            <w:shd w:val="clear" w:color="auto" w:fill="auto"/>
            <w:vAlign w:val="center"/>
          </w:tcPr>
          <w:p w14:paraId="7D454753" w14:textId="77777777" w:rsidR="00913A0A" w:rsidRPr="0058047D" w:rsidRDefault="00C86F50" w:rsidP="00FC0808">
            <w:pPr>
              <w:pStyle w:val="TableText"/>
              <w:widowControl w:val="0"/>
              <w:rPr>
                <w:b/>
                <w:color w:val="000000"/>
                <w:sz w:val="13"/>
                <w:szCs w:val="13"/>
                <w:u w:val="single"/>
              </w:rPr>
            </w:pPr>
            <w:hyperlink w:anchor="_96_System_Center_1" w:history="1">
              <w:r w:rsidR="00A66459" w:rsidRPr="0058047D">
                <w:rPr>
                  <w:rStyle w:val="Hyperlink"/>
                  <w:rFonts w:cs="Tahoma"/>
                  <w:b/>
                  <w:sz w:val="13"/>
                  <w:szCs w:val="13"/>
                </w:rPr>
                <w:t>96</w:t>
              </w:r>
            </w:hyperlink>
          </w:p>
        </w:tc>
        <w:tc>
          <w:tcPr>
            <w:tcW w:w="516" w:type="dxa"/>
            <w:tcBorders>
              <w:bottom w:val="single" w:sz="4" w:space="0" w:color="auto"/>
            </w:tcBorders>
            <w:shd w:val="clear" w:color="auto" w:fill="auto"/>
          </w:tcPr>
          <w:p w14:paraId="65CE3F06" w14:textId="77777777" w:rsidR="00913A0A" w:rsidRPr="0058047D" w:rsidRDefault="00C86F50" w:rsidP="001A63C6">
            <w:pPr>
              <w:pStyle w:val="TableText"/>
              <w:widowControl w:val="0"/>
              <w:spacing w:before="240"/>
              <w:rPr>
                <w:rFonts w:ascii="Tahoma" w:hAnsi="Tahoma" w:cs="Tahoma"/>
                <w:sz w:val="13"/>
              </w:rPr>
            </w:pPr>
            <w:r>
              <w:rPr>
                <w:rFonts w:ascii="Tahoma" w:hAnsi="Tahoma" w:cs="Tahoma"/>
                <w:sz w:val="13"/>
              </w:rPr>
              <w:t>10/13</w:t>
            </w:r>
          </w:p>
        </w:tc>
        <w:tc>
          <w:tcPr>
            <w:tcW w:w="358" w:type="dxa"/>
            <w:tcBorders>
              <w:bottom w:val="single" w:sz="4" w:space="0" w:color="auto"/>
              <w:right w:val="single" w:sz="18" w:space="0" w:color="auto"/>
            </w:tcBorders>
            <w:shd w:val="clear" w:color="auto" w:fill="auto"/>
            <w:vAlign w:val="center"/>
          </w:tcPr>
          <w:p w14:paraId="3454BD65" w14:textId="77777777" w:rsidR="00913A0A" w:rsidRPr="0058047D" w:rsidRDefault="00913A0A" w:rsidP="001A63C6">
            <w:pPr>
              <w:pStyle w:val="TableText"/>
              <w:widowControl w:val="0"/>
              <w:rPr>
                <w:rFonts w:ascii="Tahoma" w:hAnsi="Tahoma" w:cs="Tahoma"/>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auto"/>
            <w:vAlign w:val="bottom"/>
          </w:tcPr>
          <w:p w14:paraId="31F29AF7" w14:textId="77777777" w:rsidR="00913A0A" w:rsidRPr="0058047D" w:rsidRDefault="00913A0A" w:rsidP="001A63C6">
            <w:pPr>
              <w:pStyle w:val="TableText"/>
              <w:widowControl w:val="0"/>
              <w:spacing w:after="120"/>
              <w:rPr>
                <w:rFonts w:ascii="Tahoma" w:hAnsi="Tahoma" w:cs="Tahoma"/>
                <w:sz w:val="13"/>
                <w:szCs w:val="13"/>
              </w:rPr>
            </w:pPr>
          </w:p>
        </w:tc>
        <w:tc>
          <w:tcPr>
            <w:tcW w:w="324" w:type="dxa"/>
            <w:tcBorders>
              <w:bottom w:val="single" w:sz="4" w:space="0" w:color="auto"/>
            </w:tcBorders>
            <w:shd w:val="clear" w:color="auto" w:fill="auto"/>
            <w:vAlign w:val="bottom"/>
          </w:tcPr>
          <w:p w14:paraId="432FD650"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2</w:t>
            </w:r>
          </w:p>
        </w:tc>
        <w:tc>
          <w:tcPr>
            <w:tcW w:w="366" w:type="dxa"/>
            <w:tcBorders>
              <w:bottom w:val="single" w:sz="4" w:space="0" w:color="auto"/>
            </w:tcBorders>
            <w:shd w:val="clear" w:color="auto" w:fill="auto"/>
            <w:vAlign w:val="bottom"/>
          </w:tcPr>
          <w:p w14:paraId="1D3D9A13"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2</w:t>
            </w:r>
          </w:p>
        </w:tc>
        <w:tc>
          <w:tcPr>
            <w:tcW w:w="456" w:type="dxa"/>
            <w:gridSpan w:val="2"/>
            <w:tcBorders>
              <w:bottom w:val="single" w:sz="4" w:space="0" w:color="auto"/>
            </w:tcBorders>
            <w:shd w:val="clear" w:color="auto" w:fill="auto"/>
            <w:vAlign w:val="bottom"/>
          </w:tcPr>
          <w:p w14:paraId="5F4C8AAA"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2</w:t>
            </w:r>
          </w:p>
        </w:tc>
        <w:tc>
          <w:tcPr>
            <w:tcW w:w="450" w:type="dxa"/>
            <w:tcBorders>
              <w:bottom w:val="single" w:sz="4" w:space="0" w:color="auto"/>
            </w:tcBorders>
            <w:shd w:val="clear" w:color="auto" w:fill="auto"/>
            <w:vAlign w:val="bottom"/>
          </w:tcPr>
          <w:p w14:paraId="16708BB4"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1</w:t>
            </w:r>
          </w:p>
        </w:tc>
        <w:tc>
          <w:tcPr>
            <w:tcW w:w="450" w:type="dxa"/>
            <w:tcBorders>
              <w:bottom w:val="single" w:sz="4" w:space="0" w:color="auto"/>
            </w:tcBorders>
            <w:shd w:val="clear" w:color="auto" w:fill="auto"/>
            <w:vAlign w:val="bottom"/>
          </w:tcPr>
          <w:p w14:paraId="76AC3A1A"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1</w:t>
            </w:r>
          </w:p>
        </w:tc>
        <w:tc>
          <w:tcPr>
            <w:tcW w:w="336" w:type="dxa"/>
            <w:tcBorders>
              <w:bottom w:val="single" w:sz="4" w:space="0" w:color="auto"/>
              <w:right w:val="single" w:sz="18" w:space="0" w:color="auto"/>
            </w:tcBorders>
            <w:shd w:val="clear" w:color="auto" w:fill="auto"/>
            <w:vAlign w:val="bottom"/>
          </w:tcPr>
          <w:p w14:paraId="483DDCC0"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 </w:t>
            </w:r>
          </w:p>
        </w:tc>
        <w:tc>
          <w:tcPr>
            <w:tcW w:w="477" w:type="dxa"/>
            <w:tcBorders>
              <w:left w:val="single" w:sz="18" w:space="0" w:color="auto"/>
              <w:bottom w:val="single" w:sz="4" w:space="0" w:color="auto"/>
            </w:tcBorders>
            <w:shd w:val="clear" w:color="auto" w:fill="auto"/>
            <w:vAlign w:val="bottom"/>
          </w:tcPr>
          <w:p w14:paraId="084A7B69" w14:textId="77777777" w:rsidR="00913A0A" w:rsidRPr="0058047D"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2C6D0D77"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1</w:t>
            </w:r>
          </w:p>
        </w:tc>
        <w:tc>
          <w:tcPr>
            <w:tcW w:w="414" w:type="dxa"/>
            <w:tcBorders>
              <w:bottom w:val="single" w:sz="4" w:space="0" w:color="auto"/>
              <w:right w:val="single" w:sz="18" w:space="0" w:color="auto"/>
            </w:tcBorders>
            <w:shd w:val="clear" w:color="auto" w:fill="auto"/>
            <w:vAlign w:val="bottom"/>
          </w:tcPr>
          <w:p w14:paraId="6EAA490C"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1</w:t>
            </w:r>
          </w:p>
        </w:tc>
        <w:tc>
          <w:tcPr>
            <w:tcW w:w="468" w:type="dxa"/>
            <w:tcBorders>
              <w:left w:val="single" w:sz="18" w:space="0" w:color="auto"/>
              <w:bottom w:val="single" w:sz="4" w:space="0" w:color="auto"/>
            </w:tcBorders>
            <w:shd w:val="clear" w:color="auto" w:fill="auto"/>
            <w:vAlign w:val="bottom"/>
          </w:tcPr>
          <w:p w14:paraId="15C141C1"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1</w:t>
            </w:r>
          </w:p>
        </w:tc>
        <w:tc>
          <w:tcPr>
            <w:tcW w:w="477" w:type="dxa"/>
            <w:tcBorders>
              <w:bottom w:val="single" w:sz="4" w:space="0" w:color="auto"/>
              <w:right w:val="single" w:sz="18" w:space="0" w:color="auto"/>
            </w:tcBorders>
            <w:shd w:val="clear" w:color="auto" w:fill="auto"/>
            <w:vAlign w:val="center"/>
          </w:tcPr>
          <w:p w14:paraId="32044E46"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6A3BA001"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tcPr>
          <w:p w14:paraId="0C7638A2"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14:paraId="2E675267"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tcPr>
          <w:p w14:paraId="4CD1120F" w14:textId="77777777" w:rsidR="00913A0A" w:rsidRPr="0058047D" w:rsidRDefault="00913A0A" w:rsidP="001A63C6">
            <w:pPr>
              <w:pStyle w:val="TableText"/>
              <w:widowControl w:val="0"/>
              <w:rPr>
                <w:rFonts w:ascii="Tahoma" w:hAnsi="Tahoma" w:cs="Tahoma"/>
                <w:sz w:val="13"/>
              </w:rPr>
            </w:pPr>
          </w:p>
        </w:tc>
      </w:tr>
      <w:tr w:rsidR="009323A0" w:rsidRPr="0058047D" w14:paraId="625477AE" w14:textId="77777777" w:rsidTr="00C86F50">
        <w:trPr>
          <w:trHeight w:val="134"/>
        </w:trPr>
        <w:tc>
          <w:tcPr>
            <w:tcW w:w="2619" w:type="dxa"/>
            <w:gridSpan w:val="2"/>
            <w:tcBorders>
              <w:bottom w:val="single" w:sz="4" w:space="0" w:color="auto"/>
            </w:tcBorders>
            <w:shd w:val="clear" w:color="auto" w:fill="FABF8F"/>
            <w:vAlign w:val="center"/>
          </w:tcPr>
          <w:p w14:paraId="450BC772" w14:textId="77777777" w:rsidR="00913A0A" w:rsidRPr="003F471F" w:rsidRDefault="00913A0A" w:rsidP="001F5E7D">
            <w:pPr>
              <w:pStyle w:val="ProductNames"/>
              <w:spacing w:beforeLines="20" w:before="48" w:afterLines="20" w:after="48"/>
              <w:rPr>
                <w:rFonts w:ascii="Tahoma" w:hAnsi="Tahoma" w:cs="Tahoma"/>
                <w:sz w:val="14"/>
                <w:lang w:val="it-IT"/>
              </w:rPr>
            </w:pPr>
            <w:bookmarkStart w:id="435" w:name="_Toc336338095"/>
            <w:bookmarkStart w:id="436" w:name="_Toc371663492"/>
            <w:r w:rsidRPr="003F471F">
              <w:rPr>
                <w:rFonts w:ascii="Tahoma" w:hAnsi="Tahoma" w:cs="Tahoma"/>
                <w:sz w:val="14"/>
                <w:szCs w:val="14"/>
                <w:lang w:val="it-IT"/>
              </w:rPr>
              <w:t>Licenza di Gestione Client (Client ML) per</w:t>
            </w:r>
            <w:r w:rsidR="001F5E7D" w:rsidRPr="003F471F">
              <w:rPr>
                <w:rFonts w:ascii="Tahoma" w:hAnsi="Tahoma" w:cs="Tahoma"/>
                <w:sz w:val="14"/>
                <w:szCs w:val="14"/>
                <w:lang w:val="it-IT"/>
              </w:rPr>
              <w:t> </w:t>
            </w:r>
            <w:r w:rsidRPr="003F471F">
              <w:rPr>
                <w:rFonts w:ascii="Tahoma" w:hAnsi="Tahoma" w:cs="Tahoma"/>
                <w:sz w:val="14"/>
                <w:szCs w:val="14"/>
                <w:lang w:val="it-IT"/>
              </w:rPr>
              <w:t>System Center 2012 R2 Configuration Manager (Solo Studenti)</w:t>
            </w:r>
            <w:bookmarkEnd w:id="435"/>
            <w:bookmarkEnd w:id="436"/>
          </w:p>
        </w:tc>
        <w:tc>
          <w:tcPr>
            <w:tcW w:w="554" w:type="dxa"/>
            <w:tcBorders>
              <w:bottom w:val="single" w:sz="4" w:space="0" w:color="auto"/>
            </w:tcBorders>
            <w:shd w:val="clear" w:color="auto" w:fill="FABF8F"/>
            <w:vAlign w:val="center"/>
          </w:tcPr>
          <w:p w14:paraId="6FEF28A4" w14:textId="77777777" w:rsidR="00913A0A" w:rsidRPr="0058047D" w:rsidRDefault="00C86F50" w:rsidP="0054317D">
            <w:pPr>
              <w:pStyle w:val="TableText"/>
              <w:widowControl w:val="0"/>
              <w:rPr>
                <w:b/>
                <w:color w:val="000000"/>
                <w:sz w:val="13"/>
                <w:szCs w:val="13"/>
                <w:u w:val="single"/>
              </w:rPr>
            </w:pPr>
            <w:hyperlink w:anchor="_97_System_Center_1" w:history="1">
              <w:r w:rsidR="00BF5FC6" w:rsidRPr="0058047D">
                <w:rPr>
                  <w:rStyle w:val="Hyperlink"/>
                  <w:rFonts w:cs="Tahoma"/>
                  <w:b/>
                  <w:sz w:val="13"/>
                  <w:szCs w:val="13"/>
                </w:rPr>
                <w:t>97</w:t>
              </w:r>
            </w:hyperlink>
            <w:hyperlink w:anchor="_91_89_System" w:history="1"/>
            <w:hyperlink w:anchor="Srv_101SystemCenter2012" w:history="1"/>
          </w:p>
        </w:tc>
        <w:tc>
          <w:tcPr>
            <w:tcW w:w="516" w:type="dxa"/>
            <w:tcBorders>
              <w:bottom w:val="single" w:sz="4" w:space="0" w:color="auto"/>
            </w:tcBorders>
            <w:shd w:val="clear" w:color="auto" w:fill="FABF8F"/>
          </w:tcPr>
          <w:p w14:paraId="44F71FAD" w14:textId="77777777" w:rsidR="00913A0A" w:rsidRPr="0058047D" w:rsidRDefault="00C86F50" w:rsidP="001A63C6">
            <w:pPr>
              <w:pStyle w:val="TableText"/>
              <w:widowControl w:val="0"/>
              <w:spacing w:before="240"/>
              <w:rPr>
                <w:rFonts w:ascii="Tahoma" w:hAnsi="Tahoma" w:cs="Tahoma"/>
                <w:sz w:val="13"/>
              </w:rPr>
            </w:pPr>
            <w:r>
              <w:rPr>
                <w:rFonts w:ascii="Tahoma" w:hAnsi="Tahoma" w:cs="Tahoma"/>
                <w:sz w:val="13"/>
              </w:rPr>
              <w:t>10/13</w:t>
            </w:r>
          </w:p>
        </w:tc>
        <w:tc>
          <w:tcPr>
            <w:tcW w:w="358" w:type="dxa"/>
            <w:tcBorders>
              <w:bottom w:val="single" w:sz="4" w:space="0" w:color="auto"/>
              <w:right w:val="single" w:sz="18" w:space="0" w:color="auto"/>
            </w:tcBorders>
            <w:shd w:val="clear" w:color="auto" w:fill="FABF8F"/>
            <w:vAlign w:val="center"/>
          </w:tcPr>
          <w:p w14:paraId="578712AD" w14:textId="77777777" w:rsidR="00913A0A" w:rsidRPr="0058047D" w:rsidRDefault="00913A0A" w:rsidP="001A63C6">
            <w:pPr>
              <w:pStyle w:val="TableText"/>
              <w:widowControl w:val="0"/>
              <w:rPr>
                <w:rFonts w:ascii="Tahoma" w:hAnsi="Tahoma" w:cs="Tahoma"/>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FABF8F"/>
            <w:vAlign w:val="bottom"/>
          </w:tcPr>
          <w:p w14:paraId="73E46716" w14:textId="77777777" w:rsidR="00913A0A" w:rsidRPr="0058047D" w:rsidRDefault="00913A0A" w:rsidP="001A63C6">
            <w:pPr>
              <w:pStyle w:val="TableText"/>
              <w:widowControl w:val="0"/>
              <w:spacing w:after="120"/>
              <w:rPr>
                <w:rFonts w:ascii="Tahoma" w:hAnsi="Tahoma" w:cs="Tahoma"/>
                <w:sz w:val="13"/>
                <w:szCs w:val="13"/>
              </w:rPr>
            </w:pPr>
          </w:p>
        </w:tc>
        <w:tc>
          <w:tcPr>
            <w:tcW w:w="324" w:type="dxa"/>
            <w:tcBorders>
              <w:bottom w:val="single" w:sz="4" w:space="0" w:color="auto"/>
            </w:tcBorders>
            <w:shd w:val="clear" w:color="auto" w:fill="FABF8F"/>
            <w:vAlign w:val="bottom"/>
          </w:tcPr>
          <w:p w14:paraId="1C53BAF2"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2</w:t>
            </w:r>
          </w:p>
        </w:tc>
        <w:tc>
          <w:tcPr>
            <w:tcW w:w="366" w:type="dxa"/>
            <w:tcBorders>
              <w:bottom w:val="single" w:sz="4" w:space="0" w:color="auto"/>
            </w:tcBorders>
            <w:shd w:val="clear" w:color="auto" w:fill="FABF8F"/>
            <w:vAlign w:val="bottom"/>
          </w:tcPr>
          <w:p w14:paraId="53378472"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2</w:t>
            </w:r>
          </w:p>
        </w:tc>
        <w:tc>
          <w:tcPr>
            <w:tcW w:w="456" w:type="dxa"/>
            <w:gridSpan w:val="2"/>
            <w:tcBorders>
              <w:bottom w:val="single" w:sz="4" w:space="0" w:color="auto"/>
            </w:tcBorders>
            <w:shd w:val="clear" w:color="auto" w:fill="FABF8F"/>
            <w:vAlign w:val="bottom"/>
          </w:tcPr>
          <w:p w14:paraId="13E0DB8A"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2</w:t>
            </w:r>
          </w:p>
        </w:tc>
        <w:tc>
          <w:tcPr>
            <w:tcW w:w="450" w:type="dxa"/>
            <w:tcBorders>
              <w:bottom w:val="single" w:sz="4" w:space="0" w:color="auto"/>
            </w:tcBorders>
            <w:shd w:val="clear" w:color="auto" w:fill="FABF8F"/>
            <w:vAlign w:val="bottom"/>
          </w:tcPr>
          <w:p w14:paraId="3452F39B"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1</w:t>
            </w:r>
          </w:p>
        </w:tc>
        <w:tc>
          <w:tcPr>
            <w:tcW w:w="450" w:type="dxa"/>
            <w:tcBorders>
              <w:bottom w:val="single" w:sz="4" w:space="0" w:color="auto"/>
            </w:tcBorders>
            <w:shd w:val="clear" w:color="auto" w:fill="FABF8F"/>
            <w:vAlign w:val="bottom"/>
          </w:tcPr>
          <w:p w14:paraId="6D585D2B"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1</w:t>
            </w:r>
          </w:p>
        </w:tc>
        <w:tc>
          <w:tcPr>
            <w:tcW w:w="336" w:type="dxa"/>
            <w:tcBorders>
              <w:bottom w:val="single" w:sz="4" w:space="0" w:color="auto"/>
              <w:right w:val="single" w:sz="18" w:space="0" w:color="auto"/>
            </w:tcBorders>
            <w:shd w:val="clear" w:color="auto" w:fill="FABF8F"/>
            <w:vAlign w:val="bottom"/>
          </w:tcPr>
          <w:p w14:paraId="71FB2EFB"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 </w:t>
            </w:r>
          </w:p>
        </w:tc>
        <w:tc>
          <w:tcPr>
            <w:tcW w:w="477" w:type="dxa"/>
            <w:tcBorders>
              <w:left w:val="single" w:sz="18" w:space="0" w:color="auto"/>
              <w:bottom w:val="single" w:sz="4" w:space="0" w:color="auto"/>
            </w:tcBorders>
            <w:shd w:val="clear" w:color="auto" w:fill="FABF8F"/>
            <w:vAlign w:val="bottom"/>
          </w:tcPr>
          <w:p w14:paraId="4C4656D5" w14:textId="77777777" w:rsidR="00913A0A" w:rsidRPr="0058047D"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417E08C3"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1</w:t>
            </w:r>
          </w:p>
        </w:tc>
        <w:tc>
          <w:tcPr>
            <w:tcW w:w="414" w:type="dxa"/>
            <w:tcBorders>
              <w:bottom w:val="single" w:sz="4" w:space="0" w:color="auto"/>
              <w:right w:val="single" w:sz="18" w:space="0" w:color="auto"/>
            </w:tcBorders>
            <w:shd w:val="clear" w:color="auto" w:fill="FABF8F"/>
            <w:vAlign w:val="bottom"/>
          </w:tcPr>
          <w:p w14:paraId="1B230373"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3</w:t>
            </w:r>
          </w:p>
        </w:tc>
        <w:tc>
          <w:tcPr>
            <w:tcW w:w="468" w:type="dxa"/>
            <w:tcBorders>
              <w:left w:val="single" w:sz="18" w:space="0" w:color="auto"/>
              <w:bottom w:val="single" w:sz="4" w:space="0" w:color="auto"/>
            </w:tcBorders>
            <w:shd w:val="clear" w:color="auto" w:fill="FABF8F"/>
            <w:vAlign w:val="bottom"/>
          </w:tcPr>
          <w:p w14:paraId="294807C1" w14:textId="77777777" w:rsidR="00913A0A" w:rsidRPr="0058047D" w:rsidRDefault="00913A0A" w:rsidP="001A63C6">
            <w:pPr>
              <w:pStyle w:val="TableText"/>
              <w:widowControl w:val="0"/>
              <w:rPr>
                <w:rFonts w:ascii="Tahoma" w:hAnsi="Tahoma" w:cs="Tahoma"/>
                <w:sz w:val="13"/>
                <w:szCs w:val="13"/>
              </w:rPr>
            </w:pPr>
          </w:p>
        </w:tc>
        <w:tc>
          <w:tcPr>
            <w:tcW w:w="477" w:type="dxa"/>
            <w:tcBorders>
              <w:bottom w:val="single" w:sz="4" w:space="0" w:color="auto"/>
              <w:right w:val="single" w:sz="18" w:space="0" w:color="auto"/>
            </w:tcBorders>
            <w:shd w:val="clear" w:color="auto" w:fill="FABF8F"/>
            <w:vAlign w:val="center"/>
          </w:tcPr>
          <w:p w14:paraId="4B5E3AB3"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78FEB8B8"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5F0166EC"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53D66425"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62CCB54F" w14:textId="77777777" w:rsidR="00913A0A" w:rsidRPr="0058047D" w:rsidRDefault="00913A0A" w:rsidP="001A63C6">
            <w:pPr>
              <w:pStyle w:val="TableText"/>
              <w:widowControl w:val="0"/>
              <w:rPr>
                <w:rFonts w:ascii="Tahoma" w:hAnsi="Tahoma" w:cs="Tahoma"/>
                <w:sz w:val="13"/>
              </w:rPr>
            </w:pPr>
          </w:p>
        </w:tc>
      </w:tr>
      <w:tr w:rsidR="009323A0" w:rsidRPr="0058047D" w14:paraId="761859BB" w14:textId="77777777" w:rsidTr="00C86F50">
        <w:trPr>
          <w:trHeight w:val="134"/>
        </w:trPr>
        <w:tc>
          <w:tcPr>
            <w:tcW w:w="2619" w:type="dxa"/>
            <w:gridSpan w:val="2"/>
            <w:tcBorders>
              <w:bottom w:val="single" w:sz="4" w:space="0" w:color="auto"/>
            </w:tcBorders>
            <w:shd w:val="clear" w:color="auto" w:fill="auto"/>
            <w:vAlign w:val="center"/>
          </w:tcPr>
          <w:p w14:paraId="5D804233" w14:textId="77777777" w:rsidR="00913A0A" w:rsidRPr="003F471F" w:rsidRDefault="00913A0A" w:rsidP="00E077BC">
            <w:pPr>
              <w:pStyle w:val="ProductNames"/>
              <w:spacing w:beforeLines="20" w:before="48" w:afterLines="20" w:after="48"/>
              <w:rPr>
                <w:rFonts w:ascii="Tahoma" w:hAnsi="Tahoma" w:cs="Tahoma"/>
                <w:sz w:val="14"/>
                <w:lang w:val="it-IT"/>
              </w:rPr>
            </w:pPr>
            <w:bookmarkStart w:id="437" w:name="_Toc336338096"/>
            <w:bookmarkStart w:id="438" w:name="_Toc371663493"/>
            <w:r w:rsidRPr="003F471F">
              <w:rPr>
                <w:rFonts w:ascii="Tahoma" w:hAnsi="Tahoma" w:cs="Tahoma"/>
                <w:sz w:val="14"/>
                <w:lang w:val="it-IT"/>
              </w:rPr>
              <w:t>Licenza di Gestione Client per OSE per System Center 2012 R2 Configuration Manager</w:t>
            </w:r>
            <w:bookmarkEnd w:id="437"/>
            <w:bookmarkEnd w:id="438"/>
          </w:p>
        </w:tc>
        <w:tc>
          <w:tcPr>
            <w:tcW w:w="554" w:type="dxa"/>
            <w:tcBorders>
              <w:bottom w:val="single" w:sz="4" w:space="0" w:color="auto"/>
            </w:tcBorders>
            <w:shd w:val="clear" w:color="auto" w:fill="auto"/>
            <w:vAlign w:val="center"/>
          </w:tcPr>
          <w:p w14:paraId="1C787F43" w14:textId="77777777" w:rsidR="00913A0A" w:rsidRPr="0058047D" w:rsidRDefault="00C86F50" w:rsidP="0054317D">
            <w:pPr>
              <w:pStyle w:val="TableText"/>
              <w:widowControl w:val="0"/>
              <w:rPr>
                <w:b/>
                <w:color w:val="000000"/>
                <w:sz w:val="13"/>
                <w:szCs w:val="13"/>
                <w:u w:val="single"/>
              </w:rPr>
            </w:pPr>
            <w:hyperlink w:anchor="_97_System_Center_1" w:history="1">
              <w:r w:rsidR="00A66459" w:rsidRPr="0058047D">
                <w:rPr>
                  <w:rStyle w:val="Hyperlink"/>
                  <w:rFonts w:cs="Tahoma"/>
                  <w:b/>
                  <w:sz w:val="13"/>
                  <w:szCs w:val="13"/>
                </w:rPr>
                <w:t>97</w:t>
              </w:r>
            </w:hyperlink>
            <w:hyperlink w:anchor="_91_89_System" w:history="1"/>
          </w:p>
        </w:tc>
        <w:tc>
          <w:tcPr>
            <w:tcW w:w="516" w:type="dxa"/>
            <w:tcBorders>
              <w:bottom w:val="single" w:sz="4" w:space="0" w:color="auto"/>
            </w:tcBorders>
            <w:shd w:val="clear" w:color="auto" w:fill="auto"/>
          </w:tcPr>
          <w:p w14:paraId="55B6F3EC" w14:textId="77777777" w:rsidR="00913A0A" w:rsidRPr="0058047D" w:rsidRDefault="00C86F50" w:rsidP="001A63C6">
            <w:pPr>
              <w:pStyle w:val="TableText"/>
              <w:widowControl w:val="0"/>
              <w:spacing w:before="240"/>
              <w:rPr>
                <w:rFonts w:ascii="Tahoma" w:hAnsi="Tahoma" w:cs="Tahoma"/>
                <w:sz w:val="13"/>
              </w:rPr>
            </w:pPr>
            <w:r>
              <w:rPr>
                <w:rFonts w:ascii="Tahoma" w:hAnsi="Tahoma" w:cs="Tahoma"/>
                <w:sz w:val="13"/>
              </w:rPr>
              <w:t>10/13</w:t>
            </w:r>
          </w:p>
        </w:tc>
        <w:tc>
          <w:tcPr>
            <w:tcW w:w="358" w:type="dxa"/>
            <w:tcBorders>
              <w:bottom w:val="single" w:sz="4" w:space="0" w:color="auto"/>
              <w:right w:val="single" w:sz="18" w:space="0" w:color="auto"/>
            </w:tcBorders>
            <w:shd w:val="clear" w:color="auto" w:fill="auto"/>
            <w:vAlign w:val="center"/>
          </w:tcPr>
          <w:p w14:paraId="66B8829E" w14:textId="77777777" w:rsidR="00913A0A" w:rsidRPr="0058047D" w:rsidRDefault="00913A0A" w:rsidP="001A63C6">
            <w:pPr>
              <w:pStyle w:val="TableText"/>
              <w:widowControl w:val="0"/>
              <w:rPr>
                <w:rFonts w:ascii="Tahoma" w:hAnsi="Tahoma" w:cs="Tahoma"/>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auto"/>
            <w:vAlign w:val="bottom"/>
          </w:tcPr>
          <w:p w14:paraId="4F77D817" w14:textId="77777777" w:rsidR="00913A0A" w:rsidRPr="0058047D" w:rsidRDefault="00913A0A" w:rsidP="001A63C6">
            <w:pPr>
              <w:pStyle w:val="TableText"/>
              <w:widowControl w:val="0"/>
              <w:spacing w:after="120"/>
              <w:rPr>
                <w:rFonts w:ascii="Tahoma" w:hAnsi="Tahoma" w:cs="Tahoma"/>
                <w:sz w:val="13"/>
                <w:szCs w:val="13"/>
              </w:rPr>
            </w:pPr>
          </w:p>
        </w:tc>
        <w:tc>
          <w:tcPr>
            <w:tcW w:w="324" w:type="dxa"/>
            <w:tcBorders>
              <w:bottom w:val="single" w:sz="4" w:space="0" w:color="auto"/>
            </w:tcBorders>
            <w:shd w:val="clear" w:color="auto" w:fill="auto"/>
            <w:vAlign w:val="bottom"/>
          </w:tcPr>
          <w:p w14:paraId="43A9CB63" w14:textId="77777777" w:rsidR="00913A0A" w:rsidRPr="0058047D" w:rsidRDefault="00913A0A" w:rsidP="001A63C6">
            <w:pPr>
              <w:pStyle w:val="TableText"/>
              <w:widowControl w:val="0"/>
              <w:spacing w:after="120"/>
              <w:rPr>
                <w:rFonts w:ascii="Tahoma" w:hAnsi="Tahoma" w:cs="Tahoma"/>
                <w:sz w:val="13"/>
                <w:szCs w:val="13"/>
              </w:rPr>
            </w:pPr>
            <w:r w:rsidRPr="0058047D">
              <w:rPr>
                <w:rFonts w:ascii="Arial" w:hAnsi="Arial" w:cs="Arial"/>
                <w:sz w:val="13"/>
                <w:szCs w:val="13"/>
              </w:rPr>
              <w:t>3</w:t>
            </w:r>
          </w:p>
        </w:tc>
        <w:tc>
          <w:tcPr>
            <w:tcW w:w="366" w:type="dxa"/>
            <w:tcBorders>
              <w:bottom w:val="single" w:sz="4" w:space="0" w:color="auto"/>
            </w:tcBorders>
            <w:shd w:val="clear" w:color="auto" w:fill="auto"/>
            <w:vAlign w:val="bottom"/>
          </w:tcPr>
          <w:p w14:paraId="63EC776B" w14:textId="77777777" w:rsidR="00913A0A" w:rsidRPr="0058047D" w:rsidRDefault="00913A0A" w:rsidP="001A63C6">
            <w:pPr>
              <w:pStyle w:val="TableText"/>
              <w:widowControl w:val="0"/>
              <w:spacing w:after="120"/>
              <w:rPr>
                <w:rFonts w:ascii="Tahoma" w:hAnsi="Tahoma" w:cs="Tahoma"/>
                <w:sz w:val="13"/>
                <w:szCs w:val="13"/>
              </w:rPr>
            </w:pPr>
            <w:r w:rsidRPr="0058047D">
              <w:rPr>
                <w:rFonts w:ascii="Arial" w:hAnsi="Arial" w:cs="Arial"/>
                <w:sz w:val="13"/>
                <w:szCs w:val="13"/>
              </w:rPr>
              <w:t>2</w:t>
            </w:r>
          </w:p>
        </w:tc>
        <w:tc>
          <w:tcPr>
            <w:tcW w:w="456" w:type="dxa"/>
            <w:gridSpan w:val="2"/>
            <w:tcBorders>
              <w:bottom w:val="single" w:sz="4" w:space="0" w:color="auto"/>
            </w:tcBorders>
            <w:shd w:val="clear" w:color="auto" w:fill="auto"/>
            <w:vAlign w:val="bottom"/>
          </w:tcPr>
          <w:p w14:paraId="01AE37A4" w14:textId="77777777" w:rsidR="00913A0A" w:rsidRPr="0058047D" w:rsidRDefault="00913A0A" w:rsidP="001A63C6">
            <w:pPr>
              <w:pStyle w:val="TableText"/>
              <w:widowControl w:val="0"/>
              <w:spacing w:after="120"/>
              <w:rPr>
                <w:rFonts w:ascii="Tahoma" w:hAnsi="Tahoma" w:cs="Tahoma"/>
                <w:sz w:val="13"/>
                <w:szCs w:val="13"/>
              </w:rPr>
            </w:pPr>
            <w:r w:rsidRPr="0058047D">
              <w:rPr>
                <w:rFonts w:ascii="Arial" w:hAnsi="Arial" w:cs="Arial"/>
                <w:sz w:val="13"/>
                <w:szCs w:val="13"/>
              </w:rPr>
              <w:t>2</w:t>
            </w:r>
          </w:p>
        </w:tc>
        <w:tc>
          <w:tcPr>
            <w:tcW w:w="450" w:type="dxa"/>
            <w:tcBorders>
              <w:bottom w:val="single" w:sz="4" w:space="0" w:color="auto"/>
            </w:tcBorders>
            <w:shd w:val="clear" w:color="auto" w:fill="auto"/>
            <w:vAlign w:val="bottom"/>
          </w:tcPr>
          <w:p w14:paraId="1399340C" w14:textId="77777777" w:rsidR="00913A0A" w:rsidRPr="0058047D" w:rsidRDefault="00913A0A" w:rsidP="001A63C6">
            <w:pPr>
              <w:pStyle w:val="TableText"/>
              <w:widowControl w:val="0"/>
              <w:spacing w:after="120"/>
              <w:rPr>
                <w:rFonts w:ascii="Tahoma" w:hAnsi="Tahoma" w:cs="Tahoma"/>
                <w:sz w:val="13"/>
                <w:szCs w:val="13"/>
              </w:rPr>
            </w:pPr>
            <w:r w:rsidRPr="0058047D">
              <w:rPr>
                <w:rFonts w:ascii="Arial" w:hAnsi="Arial" w:cs="Arial"/>
                <w:sz w:val="13"/>
                <w:szCs w:val="13"/>
              </w:rPr>
              <w:t>2</w:t>
            </w:r>
          </w:p>
        </w:tc>
        <w:tc>
          <w:tcPr>
            <w:tcW w:w="450" w:type="dxa"/>
            <w:tcBorders>
              <w:bottom w:val="single" w:sz="4" w:space="0" w:color="auto"/>
            </w:tcBorders>
            <w:shd w:val="clear" w:color="auto" w:fill="auto"/>
            <w:vAlign w:val="bottom"/>
          </w:tcPr>
          <w:p w14:paraId="776E5CF1" w14:textId="77777777" w:rsidR="00913A0A" w:rsidRPr="0058047D" w:rsidRDefault="00913A0A" w:rsidP="001A63C6">
            <w:pPr>
              <w:pStyle w:val="TableText"/>
              <w:widowControl w:val="0"/>
              <w:spacing w:after="120"/>
              <w:rPr>
                <w:rFonts w:ascii="Tahoma" w:hAnsi="Tahoma" w:cs="Tahoma"/>
                <w:sz w:val="13"/>
                <w:szCs w:val="13"/>
              </w:rPr>
            </w:pPr>
            <w:r w:rsidRPr="0058047D">
              <w:rPr>
                <w:rFonts w:ascii="Arial" w:hAnsi="Arial" w:cs="Arial"/>
                <w:sz w:val="13"/>
                <w:szCs w:val="13"/>
              </w:rPr>
              <w:t>1</w:t>
            </w:r>
          </w:p>
        </w:tc>
        <w:tc>
          <w:tcPr>
            <w:tcW w:w="336" w:type="dxa"/>
            <w:tcBorders>
              <w:bottom w:val="single" w:sz="4" w:space="0" w:color="auto"/>
              <w:right w:val="single" w:sz="18" w:space="0" w:color="auto"/>
            </w:tcBorders>
            <w:shd w:val="clear" w:color="auto" w:fill="auto"/>
            <w:vAlign w:val="bottom"/>
          </w:tcPr>
          <w:p w14:paraId="5FF07D50" w14:textId="77777777" w:rsidR="00913A0A" w:rsidRPr="0058047D" w:rsidRDefault="00913A0A" w:rsidP="001A63C6">
            <w:pPr>
              <w:pStyle w:val="TableText"/>
              <w:widowControl w:val="0"/>
              <w:spacing w:after="120"/>
              <w:rPr>
                <w:rFonts w:ascii="Tahoma" w:hAnsi="Tahoma" w:cs="Tahoma"/>
                <w:sz w:val="13"/>
                <w:szCs w:val="13"/>
              </w:rPr>
            </w:pPr>
            <w:r w:rsidRPr="0058047D">
              <w:rPr>
                <w:rFonts w:ascii="Arial" w:hAnsi="Arial" w:cs="Arial"/>
                <w:sz w:val="13"/>
                <w:szCs w:val="13"/>
              </w:rPr>
              <w:t>1</w:t>
            </w:r>
          </w:p>
        </w:tc>
        <w:tc>
          <w:tcPr>
            <w:tcW w:w="477" w:type="dxa"/>
            <w:tcBorders>
              <w:left w:val="single" w:sz="18" w:space="0" w:color="auto"/>
              <w:bottom w:val="single" w:sz="4" w:space="0" w:color="auto"/>
            </w:tcBorders>
            <w:shd w:val="clear" w:color="auto" w:fill="auto"/>
            <w:vAlign w:val="bottom"/>
          </w:tcPr>
          <w:p w14:paraId="28045854" w14:textId="77777777" w:rsidR="00913A0A" w:rsidRPr="0058047D"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49BD686E" w14:textId="77777777" w:rsidR="00913A0A" w:rsidRPr="0058047D" w:rsidRDefault="00913A0A" w:rsidP="001A63C6">
            <w:pPr>
              <w:pStyle w:val="TableText"/>
              <w:widowControl w:val="0"/>
              <w:spacing w:after="120"/>
              <w:rPr>
                <w:rFonts w:ascii="Tahoma" w:hAnsi="Tahoma" w:cs="Tahoma"/>
                <w:sz w:val="13"/>
                <w:szCs w:val="13"/>
              </w:rPr>
            </w:pPr>
            <w:r w:rsidRPr="0058047D">
              <w:rPr>
                <w:rFonts w:ascii="Arial" w:hAnsi="Arial" w:cs="Arial"/>
                <w:sz w:val="13"/>
                <w:szCs w:val="13"/>
              </w:rPr>
              <w:t>2</w:t>
            </w:r>
          </w:p>
        </w:tc>
        <w:tc>
          <w:tcPr>
            <w:tcW w:w="414" w:type="dxa"/>
            <w:tcBorders>
              <w:bottom w:val="single" w:sz="4" w:space="0" w:color="auto"/>
              <w:right w:val="single" w:sz="18" w:space="0" w:color="auto"/>
            </w:tcBorders>
            <w:shd w:val="clear" w:color="auto" w:fill="auto"/>
            <w:vAlign w:val="bottom"/>
          </w:tcPr>
          <w:p w14:paraId="025C1C9B" w14:textId="77777777" w:rsidR="00913A0A" w:rsidRPr="0058047D" w:rsidRDefault="00913A0A" w:rsidP="001A63C6">
            <w:pPr>
              <w:pStyle w:val="TableText"/>
              <w:widowControl w:val="0"/>
              <w:spacing w:after="120"/>
              <w:rPr>
                <w:rFonts w:ascii="Tahoma" w:hAnsi="Tahoma" w:cs="Tahoma"/>
                <w:sz w:val="13"/>
                <w:szCs w:val="13"/>
              </w:rPr>
            </w:pPr>
            <w:r w:rsidRPr="0058047D">
              <w:rPr>
                <w:rFonts w:ascii="Arial" w:hAnsi="Arial" w:cs="Arial"/>
                <w:sz w:val="13"/>
                <w:szCs w:val="13"/>
              </w:rPr>
              <w:t>1</w:t>
            </w:r>
          </w:p>
        </w:tc>
        <w:tc>
          <w:tcPr>
            <w:tcW w:w="468" w:type="dxa"/>
            <w:tcBorders>
              <w:left w:val="single" w:sz="18" w:space="0" w:color="auto"/>
              <w:bottom w:val="single" w:sz="4" w:space="0" w:color="auto"/>
            </w:tcBorders>
            <w:shd w:val="clear" w:color="auto" w:fill="auto"/>
            <w:vAlign w:val="center"/>
          </w:tcPr>
          <w:p w14:paraId="22C2153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auto"/>
            <w:vAlign w:val="center"/>
          </w:tcPr>
          <w:p w14:paraId="0AB4AD96"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50740C5D"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tcPr>
          <w:p w14:paraId="0F0B2075" w14:textId="77777777" w:rsidR="00913A0A" w:rsidRPr="0058047D" w:rsidRDefault="00913A0A" w:rsidP="001A63C6">
            <w:pPr>
              <w:pStyle w:val="TableText"/>
              <w:widowControl w:val="0"/>
              <w:spacing w:before="240"/>
              <w:rPr>
                <w:rFonts w:ascii="Tahoma" w:hAnsi="Tahoma" w:cs="Tahoma"/>
                <w:sz w:val="13"/>
              </w:rPr>
            </w:pPr>
          </w:p>
        </w:tc>
        <w:tc>
          <w:tcPr>
            <w:tcW w:w="504" w:type="dxa"/>
            <w:tcBorders>
              <w:bottom w:val="single" w:sz="4" w:space="0" w:color="auto"/>
            </w:tcBorders>
            <w:shd w:val="clear" w:color="auto" w:fill="auto"/>
            <w:vAlign w:val="center"/>
          </w:tcPr>
          <w:p w14:paraId="38E8E5B9"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tcPr>
          <w:p w14:paraId="59C1AD0B" w14:textId="77777777" w:rsidR="00913A0A" w:rsidRPr="0058047D" w:rsidRDefault="00913A0A" w:rsidP="001A63C6">
            <w:pPr>
              <w:pStyle w:val="TableText"/>
              <w:widowControl w:val="0"/>
              <w:rPr>
                <w:rFonts w:ascii="Tahoma" w:hAnsi="Tahoma" w:cs="Tahoma"/>
                <w:sz w:val="13"/>
              </w:rPr>
            </w:pPr>
          </w:p>
        </w:tc>
      </w:tr>
      <w:tr w:rsidR="009323A0" w:rsidRPr="0058047D" w14:paraId="24036E28" w14:textId="77777777" w:rsidTr="00C86F50">
        <w:trPr>
          <w:trHeight w:val="134"/>
        </w:trPr>
        <w:tc>
          <w:tcPr>
            <w:tcW w:w="2619" w:type="dxa"/>
            <w:gridSpan w:val="2"/>
            <w:tcBorders>
              <w:bottom w:val="single" w:sz="4" w:space="0" w:color="auto"/>
            </w:tcBorders>
            <w:shd w:val="clear" w:color="auto" w:fill="FABF8F"/>
            <w:vAlign w:val="center"/>
          </w:tcPr>
          <w:p w14:paraId="1F3759DD" w14:textId="77777777" w:rsidR="00913A0A" w:rsidRPr="003F471F" w:rsidRDefault="00913A0A" w:rsidP="001B5647">
            <w:pPr>
              <w:pStyle w:val="ProductNames"/>
              <w:spacing w:beforeLines="20" w:before="48" w:afterLines="20" w:after="48"/>
              <w:rPr>
                <w:rFonts w:ascii="Tahoma" w:hAnsi="Tahoma" w:cs="Tahoma"/>
                <w:sz w:val="14"/>
                <w:lang w:val="it-IT"/>
              </w:rPr>
            </w:pPr>
            <w:bookmarkStart w:id="439" w:name="_Toc336338097"/>
            <w:bookmarkStart w:id="440" w:name="_Toc371663494"/>
            <w:r w:rsidRPr="003F471F">
              <w:rPr>
                <w:rFonts w:ascii="Tahoma" w:hAnsi="Tahoma" w:cs="Tahoma"/>
                <w:sz w:val="14"/>
                <w:lang w:val="it-IT"/>
              </w:rPr>
              <w:t>Licenza di Gestione Client per Utente per</w:t>
            </w:r>
            <w:r w:rsidR="001B5647" w:rsidRPr="003F471F">
              <w:rPr>
                <w:rFonts w:ascii="Tahoma" w:hAnsi="Tahoma" w:cs="Tahoma"/>
                <w:sz w:val="14"/>
                <w:lang w:val="it-IT"/>
              </w:rPr>
              <w:t> </w:t>
            </w:r>
            <w:r w:rsidRPr="003F471F">
              <w:rPr>
                <w:rFonts w:ascii="Tahoma" w:hAnsi="Tahoma" w:cs="Tahoma"/>
                <w:sz w:val="14"/>
                <w:lang w:val="it-IT"/>
              </w:rPr>
              <w:t>System Center 2012 R2 Configuration Manager</w:t>
            </w:r>
            <w:bookmarkEnd w:id="439"/>
            <w:bookmarkEnd w:id="440"/>
          </w:p>
        </w:tc>
        <w:tc>
          <w:tcPr>
            <w:tcW w:w="554" w:type="dxa"/>
            <w:tcBorders>
              <w:bottom w:val="single" w:sz="4" w:space="0" w:color="auto"/>
            </w:tcBorders>
            <w:shd w:val="clear" w:color="auto" w:fill="FABF8F"/>
            <w:vAlign w:val="center"/>
          </w:tcPr>
          <w:p w14:paraId="297F41BD" w14:textId="77777777" w:rsidR="00913A0A" w:rsidRPr="0058047D" w:rsidRDefault="00C86F50" w:rsidP="0054317D">
            <w:pPr>
              <w:pStyle w:val="TableText"/>
              <w:widowControl w:val="0"/>
              <w:rPr>
                <w:b/>
                <w:color w:val="000000"/>
                <w:sz w:val="13"/>
                <w:szCs w:val="13"/>
                <w:u w:val="single"/>
              </w:rPr>
            </w:pPr>
            <w:hyperlink w:anchor="_97_System_Center_1" w:history="1">
              <w:r w:rsidR="00A66459" w:rsidRPr="0058047D">
                <w:rPr>
                  <w:rStyle w:val="Hyperlink"/>
                  <w:rFonts w:cs="Tahoma"/>
                  <w:b/>
                  <w:sz w:val="13"/>
                  <w:szCs w:val="13"/>
                </w:rPr>
                <w:t>97</w:t>
              </w:r>
            </w:hyperlink>
            <w:hyperlink w:anchor="_91_89_System" w:history="1"/>
            <w:hyperlink w:anchor="Srv_101SystemCenter2012" w:history="1"/>
          </w:p>
        </w:tc>
        <w:tc>
          <w:tcPr>
            <w:tcW w:w="516" w:type="dxa"/>
            <w:tcBorders>
              <w:bottom w:val="single" w:sz="4" w:space="0" w:color="auto"/>
            </w:tcBorders>
            <w:shd w:val="clear" w:color="auto" w:fill="FABF8F"/>
          </w:tcPr>
          <w:p w14:paraId="1209A9F5" w14:textId="77777777" w:rsidR="00913A0A" w:rsidRPr="0058047D" w:rsidRDefault="00C86F50" w:rsidP="001A63C6">
            <w:pPr>
              <w:pStyle w:val="TableText"/>
              <w:widowControl w:val="0"/>
              <w:spacing w:before="240"/>
              <w:rPr>
                <w:rFonts w:ascii="Tahoma" w:hAnsi="Tahoma" w:cs="Tahoma"/>
                <w:sz w:val="13"/>
              </w:rPr>
            </w:pPr>
            <w:r>
              <w:rPr>
                <w:rFonts w:ascii="Tahoma" w:hAnsi="Tahoma" w:cs="Tahoma"/>
                <w:sz w:val="13"/>
              </w:rPr>
              <w:t>10/13</w:t>
            </w:r>
          </w:p>
        </w:tc>
        <w:tc>
          <w:tcPr>
            <w:tcW w:w="358" w:type="dxa"/>
            <w:tcBorders>
              <w:bottom w:val="single" w:sz="4" w:space="0" w:color="auto"/>
              <w:right w:val="single" w:sz="18" w:space="0" w:color="auto"/>
            </w:tcBorders>
            <w:shd w:val="clear" w:color="auto" w:fill="FABF8F"/>
            <w:vAlign w:val="center"/>
          </w:tcPr>
          <w:p w14:paraId="17C9DB9F" w14:textId="77777777" w:rsidR="00913A0A" w:rsidRPr="0058047D" w:rsidRDefault="00913A0A" w:rsidP="001A63C6">
            <w:pPr>
              <w:pStyle w:val="TableText"/>
              <w:widowControl w:val="0"/>
              <w:rPr>
                <w:rFonts w:ascii="Tahoma" w:hAnsi="Tahoma" w:cs="Tahoma"/>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FABF8F"/>
            <w:vAlign w:val="bottom"/>
          </w:tcPr>
          <w:p w14:paraId="35FB1E68" w14:textId="77777777" w:rsidR="00913A0A" w:rsidRPr="0058047D" w:rsidRDefault="00913A0A" w:rsidP="001A63C6">
            <w:pPr>
              <w:pStyle w:val="TableText"/>
              <w:widowControl w:val="0"/>
              <w:spacing w:after="120"/>
              <w:rPr>
                <w:rFonts w:ascii="Tahoma" w:hAnsi="Tahoma" w:cs="Tahoma"/>
                <w:sz w:val="13"/>
                <w:szCs w:val="13"/>
              </w:rPr>
            </w:pPr>
          </w:p>
        </w:tc>
        <w:tc>
          <w:tcPr>
            <w:tcW w:w="324" w:type="dxa"/>
            <w:tcBorders>
              <w:bottom w:val="single" w:sz="4" w:space="0" w:color="auto"/>
            </w:tcBorders>
            <w:shd w:val="clear" w:color="auto" w:fill="FABF8F"/>
            <w:vAlign w:val="bottom"/>
          </w:tcPr>
          <w:p w14:paraId="7DCA45BB"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3</w:t>
            </w:r>
          </w:p>
        </w:tc>
        <w:tc>
          <w:tcPr>
            <w:tcW w:w="366" w:type="dxa"/>
            <w:tcBorders>
              <w:bottom w:val="single" w:sz="4" w:space="0" w:color="auto"/>
            </w:tcBorders>
            <w:shd w:val="clear" w:color="auto" w:fill="FABF8F"/>
            <w:vAlign w:val="bottom"/>
          </w:tcPr>
          <w:p w14:paraId="53E221DA"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2</w:t>
            </w:r>
          </w:p>
        </w:tc>
        <w:tc>
          <w:tcPr>
            <w:tcW w:w="456" w:type="dxa"/>
            <w:gridSpan w:val="2"/>
            <w:tcBorders>
              <w:bottom w:val="single" w:sz="4" w:space="0" w:color="auto"/>
            </w:tcBorders>
            <w:shd w:val="clear" w:color="auto" w:fill="FABF8F"/>
            <w:vAlign w:val="bottom"/>
          </w:tcPr>
          <w:p w14:paraId="2539790B"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2</w:t>
            </w:r>
          </w:p>
        </w:tc>
        <w:tc>
          <w:tcPr>
            <w:tcW w:w="450" w:type="dxa"/>
            <w:tcBorders>
              <w:bottom w:val="single" w:sz="4" w:space="0" w:color="auto"/>
            </w:tcBorders>
            <w:shd w:val="clear" w:color="auto" w:fill="FABF8F"/>
            <w:vAlign w:val="bottom"/>
          </w:tcPr>
          <w:p w14:paraId="28E57476"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2</w:t>
            </w:r>
          </w:p>
        </w:tc>
        <w:tc>
          <w:tcPr>
            <w:tcW w:w="450" w:type="dxa"/>
            <w:tcBorders>
              <w:bottom w:val="single" w:sz="4" w:space="0" w:color="auto"/>
            </w:tcBorders>
            <w:shd w:val="clear" w:color="auto" w:fill="FABF8F"/>
            <w:vAlign w:val="bottom"/>
          </w:tcPr>
          <w:p w14:paraId="05B1A811"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1</w:t>
            </w:r>
          </w:p>
        </w:tc>
        <w:tc>
          <w:tcPr>
            <w:tcW w:w="336" w:type="dxa"/>
            <w:tcBorders>
              <w:bottom w:val="single" w:sz="4" w:space="0" w:color="auto"/>
              <w:right w:val="single" w:sz="18" w:space="0" w:color="auto"/>
            </w:tcBorders>
            <w:shd w:val="clear" w:color="auto" w:fill="FABF8F"/>
            <w:vAlign w:val="bottom"/>
          </w:tcPr>
          <w:p w14:paraId="0B893573"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1</w:t>
            </w:r>
          </w:p>
        </w:tc>
        <w:tc>
          <w:tcPr>
            <w:tcW w:w="477" w:type="dxa"/>
            <w:tcBorders>
              <w:left w:val="single" w:sz="18" w:space="0" w:color="auto"/>
              <w:bottom w:val="single" w:sz="4" w:space="0" w:color="auto"/>
            </w:tcBorders>
            <w:shd w:val="clear" w:color="auto" w:fill="FABF8F"/>
            <w:vAlign w:val="bottom"/>
          </w:tcPr>
          <w:p w14:paraId="29D422C5" w14:textId="77777777" w:rsidR="00913A0A" w:rsidRPr="0058047D"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4A469690"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2</w:t>
            </w:r>
          </w:p>
        </w:tc>
        <w:tc>
          <w:tcPr>
            <w:tcW w:w="414" w:type="dxa"/>
            <w:tcBorders>
              <w:bottom w:val="single" w:sz="4" w:space="0" w:color="auto"/>
              <w:right w:val="single" w:sz="18" w:space="0" w:color="auto"/>
            </w:tcBorders>
            <w:shd w:val="clear" w:color="auto" w:fill="FABF8F"/>
            <w:vAlign w:val="bottom"/>
          </w:tcPr>
          <w:p w14:paraId="110AF898"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1</w:t>
            </w:r>
          </w:p>
        </w:tc>
        <w:tc>
          <w:tcPr>
            <w:tcW w:w="468" w:type="dxa"/>
            <w:tcBorders>
              <w:left w:val="single" w:sz="18" w:space="0" w:color="auto"/>
              <w:bottom w:val="single" w:sz="4" w:space="0" w:color="auto"/>
            </w:tcBorders>
            <w:shd w:val="clear" w:color="auto" w:fill="FABF8F"/>
            <w:vAlign w:val="center"/>
          </w:tcPr>
          <w:p w14:paraId="6CEF905F"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FABF8F"/>
            <w:vAlign w:val="center"/>
          </w:tcPr>
          <w:p w14:paraId="3D826C58"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 E</w:t>
            </w:r>
          </w:p>
        </w:tc>
        <w:tc>
          <w:tcPr>
            <w:tcW w:w="324" w:type="dxa"/>
            <w:tcBorders>
              <w:left w:val="single" w:sz="18" w:space="0" w:color="auto"/>
              <w:bottom w:val="single" w:sz="4" w:space="0" w:color="auto"/>
              <w:right w:val="single" w:sz="18" w:space="0" w:color="auto"/>
            </w:tcBorders>
            <w:shd w:val="clear" w:color="auto" w:fill="FABF8F"/>
            <w:vAlign w:val="center"/>
          </w:tcPr>
          <w:p w14:paraId="4F835218"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tcPr>
          <w:p w14:paraId="7BF152A9" w14:textId="77777777" w:rsidR="00913A0A" w:rsidRPr="0058047D" w:rsidRDefault="00913A0A" w:rsidP="001A63C6">
            <w:pPr>
              <w:pStyle w:val="TableText"/>
              <w:widowControl w:val="0"/>
              <w:spacing w:before="240"/>
              <w:rPr>
                <w:rFonts w:ascii="Tahoma" w:hAnsi="Tahoma" w:cs="Tahoma"/>
                <w:sz w:val="13"/>
              </w:rPr>
            </w:pPr>
            <w:r w:rsidRPr="0058047D">
              <w:rPr>
                <w:rFonts w:ascii="Tahoma" w:hAnsi="Tahoma" w:cs="Tahoma"/>
                <w:sz w:val="13"/>
              </w:rPr>
              <w:t>AO, ST</w:t>
            </w:r>
          </w:p>
        </w:tc>
        <w:tc>
          <w:tcPr>
            <w:tcW w:w="504" w:type="dxa"/>
            <w:tcBorders>
              <w:bottom w:val="single" w:sz="4" w:space="0" w:color="auto"/>
            </w:tcBorders>
            <w:shd w:val="clear" w:color="auto" w:fill="FABF8F"/>
            <w:vAlign w:val="center"/>
          </w:tcPr>
          <w:p w14:paraId="73FD0578"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4CC7B1F9"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648231E4" w14:textId="77777777" w:rsidTr="00C86F50">
        <w:trPr>
          <w:trHeight w:val="134"/>
        </w:trPr>
        <w:tc>
          <w:tcPr>
            <w:tcW w:w="2619" w:type="dxa"/>
            <w:gridSpan w:val="2"/>
            <w:tcBorders>
              <w:bottom w:val="single" w:sz="4" w:space="0" w:color="auto"/>
            </w:tcBorders>
            <w:shd w:val="clear" w:color="auto" w:fill="auto"/>
          </w:tcPr>
          <w:p w14:paraId="32A5C00F" w14:textId="77777777" w:rsidR="00913A0A" w:rsidRPr="003F471F" w:rsidRDefault="00913A0A" w:rsidP="00A66459">
            <w:pPr>
              <w:pStyle w:val="ProductNames"/>
              <w:spacing w:beforeLines="20" w:before="48" w:afterLines="20" w:after="48"/>
              <w:rPr>
                <w:rFonts w:ascii="Tahoma" w:hAnsi="Tahoma" w:cs="Tahoma"/>
                <w:sz w:val="14"/>
                <w:lang w:val="it-IT"/>
              </w:rPr>
            </w:pPr>
            <w:bookmarkStart w:id="441" w:name="_Toc336338098"/>
            <w:bookmarkStart w:id="442" w:name="_Toc371663495"/>
            <w:r w:rsidRPr="003F471F">
              <w:rPr>
                <w:rFonts w:ascii="Tahoma" w:hAnsi="Tahoma" w:cs="Tahoma"/>
                <w:sz w:val="14"/>
                <w:lang w:val="it-IT"/>
              </w:rPr>
              <w:t>Licenza di Gestione Server per System Center 2012 R2 Datacenter (2</w:t>
            </w:r>
            <w:r w:rsidR="00A66459" w:rsidRPr="003F471F">
              <w:rPr>
                <w:rFonts w:ascii="Tahoma" w:hAnsi="Tahoma" w:cs="Tahoma"/>
                <w:sz w:val="14"/>
                <w:lang w:val="it-IT"/>
              </w:rPr>
              <w:t> </w:t>
            </w:r>
            <w:r w:rsidRPr="003F471F">
              <w:rPr>
                <w:rFonts w:ascii="Tahoma" w:hAnsi="Tahoma" w:cs="Tahoma"/>
                <w:sz w:val="14"/>
                <w:lang w:val="it-IT"/>
              </w:rPr>
              <w:t>processori)</w:t>
            </w:r>
            <w:bookmarkEnd w:id="441"/>
            <w:bookmarkEnd w:id="442"/>
          </w:p>
        </w:tc>
        <w:tc>
          <w:tcPr>
            <w:tcW w:w="554" w:type="dxa"/>
            <w:tcBorders>
              <w:bottom w:val="single" w:sz="4" w:space="0" w:color="auto"/>
            </w:tcBorders>
            <w:shd w:val="clear" w:color="auto" w:fill="auto"/>
            <w:vAlign w:val="center"/>
          </w:tcPr>
          <w:p w14:paraId="1BC5DCE3" w14:textId="77777777" w:rsidR="00913A0A" w:rsidRPr="0058047D" w:rsidRDefault="00C86F50" w:rsidP="0054317D">
            <w:pPr>
              <w:pStyle w:val="TableText"/>
              <w:widowControl w:val="0"/>
              <w:rPr>
                <w:b/>
                <w:color w:val="000000"/>
                <w:sz w:val="13"/>
                <w:szCs w:val="13"/>
                <w:u w:val="single"/>
              </w:rPr>
            </w:pPr>
            <w:hyperlink w:anchor="_96_System_Center" w:history="1">
              <w:r w:rsidR="00BF5FC6" w:rsidRPr="0058047D">
                <w:rPr>
                  <w:rStyle w:val="Hyperlink"/>
                  <w:rFonts w:cs="Tahoma"/>
                  <w:b/>
                  <w:sz w:val="13"/>
                  <w:szCs w:val="13"/>
                </w:rPr>
                <w:t>94</w:t>
              </w:r>
            </w:hyperlink>
            <w:hyperlink w:anchor="_91_89_System" w:history="1"/>
            <w:hyperlink w:anchor="Srv_101SystemCenter2012" w:history="1"/>
          </w:p>
        </w:tc>
        <w:tc>
          <w:tcPr>
            <w:tcW w:w="516" w:type="dxa"/>
            <w:tcBorders>
              <w:bottom w:val="single" w:sz="4" w:space="0" w:color="auto"/>
            </w:tcBorders>
            <w:shd w:val="clear" w:color="auto" w:fill="auto"/>
          </w:tcPr>
          <w:p w14:paraId="10B7B75A" w14:textId="77777777" w:rsidR="00913A0A" w:rsidRPr="0058047D" w:rsidRDefault="00C86F50" w:rsidP="001A63C6">
            <w:pPr>
              <w:pStyle w:val="TableText"/>
              <w:widowControl w:val="0"/>
              <w:spacing w:before="120"/>
              <w:rPr>
                <w:rFonts w:ascii="Tahoma" w:hAnsi="Tahoma" w:cs="Tahoma"/>
                <w:sz w:val="13"/>
              </w:rPr>
            </w:pPr>
            <w:r>
              <w:rPr>
                <w:rFonts w:ascii="Tahoma" w:hAnsi="Tahoma" w:cs="Tahoma"/>
                <w:sz w:val="13"/>
              </w:rPr>
              <w:t>10/13</w:t>
            </w:r>
          </w:p>
        </w:tc>
        <w:tc>
          <w:tcPr>
            <w:tcW w:w="358" w:type="dxa"/>
            <w:tcBorders>
              <w:bottom w:val="single" w:sz="4" w:space="0" w:color="auto"/>
              <w:right w:val="single" w:sz="18" w:space="0" w:color="auto"/>
            </w:tcBorders>
            <w:shd w:val="clear" w:color="auto" w:fill="auto"/>
            <w:vAlign w:val="center"/>
          </w:tcPr>
          <w:p w14:paraId="7301A4B9" w14:textId="77777777" w:rsidR="00913A0A" w:rsidRPr="0058047D" w:rsidRDefault="00913A0A" w:rsidP="001A63C6">
            <w:pPr>
              <w:pStyle w:val="TableText"/>
              <w:widowControl w:val="0"/>
              <w:rPr>
                <w:rFonts w:ascii="Tahoma" w:hAnsi="Tahoma" w:cs="Tahoma"/>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auto"/>
            <w:vAlign w:val="bottom"/>
          </w:tcPr>
          <w:p w14:paraId="211953C8" w14:textId="77777777" w:rsidR="00913A0A" w:rsidRPr="0058047D" w:rsidRDefault="00913A0A" w:rsidP="001A63C6">
            <w:pPr>
              <w:pStyle w:val="TableText"/>
              <w:widowControl w:val="0"/>
              <w:spacing w:after="120"/>
              <w:rPr>
                <w:rFonts w:ascii="Tahoma" w:hAnsi="Tahoma" w:cs="Tahoma"/>
                <w:sz w:val="13"/>
                <w:szCs w:val="13"/>
              </w:rPr>
            </w:pPr>
          </w:p>
        </w:tc>
        <w:tc>
          <w:tcPr>
            <w:tcW w:w="324" w:type="dxa"/>
            <w:tcBorders>
              <w:bottom w:val="single" w:sz="4" w:space="0" w:color="auto"/>
            </w:tcBorders>
            <w:shd w:val="clear" w:color="auto" w:fill="auto"/>
            <w:vAlign w:val="bottom"/>
          </w:tcPr>
          <w:p w14:paraId="63AFDBD2"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63</w:t>
            </w:r>
          </w:p>
        </w:tc>
        <w:tc>
          <w:tcPr>
            <w:tcW w:w="366" w:type="dxa"/>
            <w:tcBorders>
              <w:bottom w:val="single" w:sz="4" w:space="0" w:color="auto"/>
            </w:tcBorders>
            <w:shd w:val="clear" w:color="auto" w:fill="auto"/>
            <w:vAlign w:val="bottom"/>
          </w:tcPr>
          <w:p w14:paraId="6C910205"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50</w:t>
            </w:r>
          </w:p>
        </w:tc>
        <w:tc>
          <w:tcPr>
            <w:tcW w:w="456" w:type="dxa"/>
            <w:gridSpan w:val="2"/>
            <w:tcBorders>
              <w:bottom w:val="single" w:sz="4" w:space="0" w:color="auto"/>
            </w:tcBorders>
            <w:shd w:val="clear" w:color="auto" w:fill="auto"/>
            <w:vAlign w:val="bottom"/>
          </w:tcPr>
          <w:p w14:paraId="120767E4"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38</w:t>
            </w:r>
          </w:p>
        </w:tc>
        <w:tc>
          <w:tcPr>
            <w:tcW w:w="450" w:type="dxa"/>
            <w:tcBorders>
              <w:bottom w:val="single" w:sz="4" w:space="0" w:color="auto"/>
            </w:tcBorders>
            <w:shd w:val="clear" w:color="auto" w:fill="auto"/>
            <w:vAlign w:val="bottom"/>
          </w:tcPr>
          <w:p w14:paraId="412942DC"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38</w:t>
            </w:r>
          </w:p>
        </w:tc>
        <w:tc>
          <w:tcPr>
            <w:tcW w:w="450" w:type="dxa"/>
            <w:tcBorders>
              <w:bottom w:val="single" w:sz="4" w:space="0" w:color="auto"/>
            </w:tcBorders>
            <w:shd w:val="clear" w:color="auto" w:fill="auto"/>
            <w:vAlign w:val="bottom"/>
          </w:tcPr>
          <w:p w14:paraId="66F6D221"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25</w:t>
            </w:r>
          </w:p>
        </w:tc>
        <w:tc>
          <w:tcPr>
            <w:tcW w:w="336" w:type="dxa"/>
            <w:tcBorders>
              <w:bottom w:val="single" w:sz="4" w:space="0" w:color="auto"/>
              <w:right w:val="single" w:sz="18" w:space="0" w:color="auto"/>
            </w:tcBorders>
            <w:shd w:val="clear" w:color="auto" w:fill="auto"/>
            <w:vAlign w:val="bottom"/>
          </w:tcPr>
          <w:p w14:paraId="25E81E85"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13</w:t>
            </w:r>
          </w:p>
        </w:tc>
        <w:tc>
          <w:tcPr>
            <w:tcW w:w="477" w:type="dxa"/>
            <w:tcBorders>
              <w:left w:val="single" w:sz="18" w:space="0" w:color="auto"/>
              <w:bottom w:val="single" w:sz="4" w:space="0" w:color="auto"/>
            </w:tcBorders>
            <w:shd w:val="clear" w:color="auto" w:fill="auto"/>
            <w:vAlign w:val="bottom"/>
          </w:tcPr>
          <w:p w14:paraId="54E7A8AF" w14:textId="77777777" w:rsidR="00913A0A" w:rsidRPr="0058047D"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563F2FA5"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50</w:t>
            </w:r>
          </w:p>
        </w:tc>
        <w:tc>
          <w:tcPr>
            <w:tcW w:w="414" w:type="dxa"/>
            <w:tcBorders>
              <w:bottom w:val="single" w:sz="4" w:space="0" w:color="auto"/>
              <w:right w:val="single" w:sz="18" w:space="0" w:color="auto"/>
            </w:tcBorders>
            <w:shd w:val="clear" w:color="auto" w:fill="auto"/>
            <w:vAlign w:val="bottom"/>
          </w:tcPr>
          <w:p w14:paraId="5113A043"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25</w:t>
            </w:r>
          </w:p>
        </w:tc>
        <w:tc>
          <w:tcPr>
            <w:tcW w:w="468" w:type="dxa"/>
            <w:tcBorders>
              <w:left w:val="single" w:sz="18" w:space="0" w:color="auto"/>
              <w:bottom w:val="single" w:sz="4" w:space="0" w:color="auto"/>
            </w:tcBorders>
            <w:shd w:val="clear" w:color="auto" w:fill="auto"/>
            <w:vAlign w:val="bottom"/>
          </w:tcPr>
          <w:p w14:paraId="78F80394"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25</w:t>
            </w:r>
          </w:p>
        </w:tc>
        <w:tc>
          <w:tcPr>
            <w:tcW w:w="477" w:type="dxa"/>
            <w:tcBorders>
              <w:bottom w:val="single" w:sz="4" w:space="0" w:color="auto"/>
              <w:right w:val="single" w:sz="18" w:space="0" w:color="auto"/>
            </w:tcBorders>
            <w:shd w:val="clear" w:color="auto" w:fill="auto"/>
            <w:vAlign w:val="center"/>
          </w:tcPr>
          <w:p w14:paraId="5DAE2B6A"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7DC47C0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auto"/>
          </w:tcPr>
          <w:p w14:paraId="75D67E9D" w14:textId="77777777" w:rsidR="00913A0A" w:rsidRPr="0058047D" w:rsidRDefault="00913A0A" w:rsidP="001A63C6">
            <w:pPr>
              <w:pStyle w:val="TableText"/>
              <w:widowControl w:val="0"/>
              <w:spacing w:before="12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auto"/>
            <w:vAlign w:val="center"/>
          </w:tcPr>
          <w:p w14:paraId="40C4533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OL/OV</w:t>
            </w:r>
          </w:p>
        </w:tc>
        <w:tc>
          <w:tcPr>
            <w:tcW w:w="405" w:type="dxa"/>
            <w:tcBorders>
              <w:bottom w:val="single" w:sz="4" w:space="0" w:color="auto"/>
            </w:tcBorders>
          </w:tcPr>
          <w:p w14:paraId="46B9E490"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A, C</w:t>
            </w:r>
          </w:p>
        </w:tc>
      </w:tr>
      <w:tr w:rsidR="009323A0" w:rsidRPr="0058047D" w14:paraId="55154873" w14:textId="77777777" w:rsidTr="00C86F50">
        <w:trPr>
          <w:trHeight w:val="134"/>
        </w:trPr>
        <w:tc>
          <w:tcPr>
            <w:tcW w:w="2619" w:type="dxa"/>
            <w:gridSpan w:val="2"/>
            <w:tcBorders>
              <w:bottom w:val="single" w:sz="4" w:space="0" w:color="auto"/>
            </w:tcBorders>
            <w:shd w:val="clear" w:color="auto" w:fill="FABF8F"/>
            <w:vAlign w:val="center"/>
          </w:tcPr>
          <w:p w14:paraId="71C0DFE7" w14:textId="77777777" w:rsidR="00913A0A" w:rsidRPr="0058047D" w:rsidRDefault="00913A0A" w:rsidP="007E466C">
            <w:pPr>
              <w:pStyle w:val="ProductNames"/>
              <w:spacing w:before="60" w:after="60"/>
              <w:rPr>
                <w:rFonts w:ascii="Tahoma" w:hAnsi="Tahoma" w:cs="Tahoma"/>
                <w:sz w:val="14"/>
              </w:rPr>
            </w:pPr>
            <w:bookmarkStart w:id="443" w:name="_Toc371663496"/>
            <w:r w:rsidRPr="0058047D">
              <w:rPr>
                <w:rFonts w:ascii="Tahoma" w:hAnsi="Tahoma" w:cs="Tahoma"/>
                <w:sz w:val="14"/>
              </w:rPr>
              <w:t>System Center 2012 R2 Endpoint Protection</w:t>
            </w:r>
            <w:bookmarkEnd w:id="443"/>
          </w:p>
        </w:tc>
        <w:tc>
          <w:tcPr>
            <w:tcW w:w="554" w:type="dxa"/>
            <w:tcBorders>
              <w:bottom w:val="single" w:sz="4" w:space="0" w:color="auto"/>
            </w:tcBorders>
            <w:shd w:val="clear" w:color="auto" w:fill="FABF8F"/>
            <w:vAlign w:val="center"/>
          </w:tcPr>
          <w:p w14:paraId="0F5A8639" w14:textId="77777777" w:rsidR="00913A0A" w:rsidRPr="0058047D" w:rsidRDefault="00C86F50" w:rsidP="0054317D">
            <w:pPr>
              <w:pStyle w:val="TableText"/>
              <w:widowControl w:val="0"/>
              <w:rPr>
                <w:b/>
                <w:color w:val="000000"/>
                <w:sz w:val="13"/>
                <w:szCs w:val="13"/>
                <w:u w:val="single"/>
              </w:rPr>
            </w:pPr>
            <w:hyperlink w:anchor="_97_System_Center" w:history="1">
              <w:r w:rsidR="00BF5FC6" w:rsidRPr="0058047D">
                <w:rPr>
                  <w:rStyle w:val="Hyperlink"/>
                  <w:b/>
                  <w:sz w:val="13"/>
                  <w:szCs w:val="13"/>
                </w:rPr>
                <w:t>98</w:t>
              </w:r>
            </w:hyperlink>
            <w:hyperlink w:anchor="Srv_102SysCtr2012EndpointProt" w:history="1"/>
          </w:p>
        </w:tc>
        <w:tc>
          <w:tcPr>
            <w:tcW w:w="516" w:type="dxa"/>
            <w:tcBorders>
              <w:bottom w:val="single" w:sz="4" w:space="0" w:color="auto"/>
            </w:tcBorders>
            <w:shd w:val="clear" w:color="auto" w:fill="FABF8F"/>
            <w:vAlign w:val="center"/>
          </w:tcPr>
          <w:p w14:paraId="1EDC025D" w14:textId="77777777" w:rsidR="00913A0A" w:rsidRPr="0058047D" w:rsidRDefault="00C86F50" w:rsidP="001A63C6">
            <w:pPr>
              <w:pStyle w:val="TableText"/>
              <w:widowControl w:val="0"/>
              <w:rPr>
                <w:rFonts w:ascii="Tahoma" w:hAnsi="Tahoma" w:cs="Tahoma"/>
                <w:sz w:val="13"/>
              </w:rPr>
            </w:pPr>
            <w:r>
              <w:rPr>
                <w:rFonts w:ascii="Tahoma" w:hAnsi="Tahoma" w:cs="Tahoma"/>
                <w:sz w:val="13"/>
              </w:rPr>
              <w:t>10/13</w:t>
            </w:r>
          </w:p>
        </w:tc>
        <w:tc>
          <w:tcPr>
            <w:tcW w:w="358" w:type="dxa"/>
            <w:tcBorders>
              <w:bottom w:val="single" w:sz="4" w:space="0" w:color="auto"/>
              <w:right w:val="single" w:sz="18" w:space="0" w:color="auto"/>
            </w:tcBorders>
            <w:shd w:val="clear" w:color="auto" w:fill="FABF8F"/>
            <w:vAlign w:val="center"/>
          </w:tcPr>
          <w:p w14:paraId="79537276"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SRV</w:t>
            </w:r>
          </w:p>
        </w:tc>
        <w:tc>
          <w:tcPr>
            <w:tcW w:w="2712" w:type="dxa"/>
            <w:gridSpan w:val="8"/>
            <w:tcBorders>
              <w:left w:val="single" w:sz="18" w:space="0" w:color="auto"/>
              <w:bottom w:val="single" w:sz="4" w:space="0" w:color="auto"/>
              <w:right w:val="single" w:sz="18" w:space="0" w:color="auto"/>
            </w:tcBorders>
            <w:shd w:val="clear" w:color="auto" w:fill="FABF8F"/>
            <w:vAlign w:val="center"/>
          </w:tcPr>
          <w:p w14:paraId="115B206A" w14:textId="77777777" w:rsidR="00913A0A" w:rsidRPr="0058047D" w:rsidRDefault="00913A0A" w:rsidP="007E466C">
            <w:pPr>
              <w:pStyle w:val="TableText"/>
              <w:widowControl w:val="0"/>
              <w:rPr>
                <w:rFonts w:ascii="Tahoma" w:hAnsi="Tahoma" w:cs="Tahoma"/>
                <w:sz w:val="13"/>
                <w:szCs w:val="13"/>
              </w:rPr>
            </w:pPr>
            <w:r w:rsidRPr="0058047D">
              <w:rPr>
                <w:rFonts w:ascii="Tahoma" w:hAnsi="Tahoma" w:cs="Tahoma"/>
                <w:sz w:val="13"/>
                <w:szCs w:val="13"/>
              </w:rPr>
              <w:t>1 punto</w:t>
            </w:r>
          </w:p>
        </w:tc>
        <w:tc>
          <w:tcPr>
            <w:tcW w:w="477" w:type="dxa"/>
            <w:tcBorders>
              <w:left w:val="single" w:sz="18" w:space="0" w:color="auto"/>
              <w:bottom w:val="single" w:sz="4" w:space="0" w:color="auto"/>
            </w:tcBorders>
            <w:shd w:val="clear" w:color="auto" w:fill="FABF8F"/>
            <w:vAlign w:val="center"/>
          </w:tcPr>
          <w:p w14:paraId="6FF74C9C" w14:textId="77777777" w:rsidR="00913A0A" w:rsidRPr="0058047D" w:rsidRDefault="00913A0A" w:rsidP="007E466C">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7D42EF29" w14:textId="77777777" w:rsidR="00913A0A" w:rsidRPr="0058047D" w:rsidRDefault="00913A0A" w:rsidP="007E466C">
            <w:pPr>
              <w:pStyle w:val="TableText"/>
              <w:widowControl w:val="0"/>
              <w:rPr>
                <w:rFonts w:ascii="Tahoma" w:hAnsi="Tahoma" w:cs="Tahoma"/>
                <w:sz w:val="13"/>
                <w:szCs w:val="13"/>
              </w:rPr>
            </w:pPr>
          </w:p>
        </w:tc>
        <w:tc>
          <w:tcPr>
            <w:tcW w:w="414" w:type="dxa"/>
            <w:tcBorders>
              <w:bottom w:val="single" w:sz="4" w:space="0" w:color="auto"/>
              <w:right w:val="single" w:sz="18" w:space="0" w:color="auto"/>
            </w:tcBorders>
            <w:shd w:val="clear" w:color="auto" w:fill="FABF8F"/>
            <w:vAlign w:val="center"/>
          </w:tcPr>
          <w:p w14:paraId="0BDDE6B8" w14:textId="77777777" w:rsidR="00913A0A" w:rsidRPr="0058047D" w:rsidRDefault="00913A0A" w:rsidP="007E466C">
            <w:pPr>
              <w:pStyle w:val="TableText"/>
              <w:widowControl w:val="0"/>
              <w:rPr>
                <w:rFonts w:ascii="Tahoma" w:hAnsi="Tahoma" w:cs="Tahoma"/>
                <w:sz w:val="13"/>
                <w:szCs w:val="13"/>
              </w:rPr>
            </w:pPr>
          </w:p>
        </w:tc>
        <w:tc>
          <w:tcPr>
            <w:tcW w:w="468" w:type="dxa"/>
            <w:tcBorders>
              <w:left w:val="single" w:sz="18" w:space="0" w:color="auto"/>
              <w:bottom w:val="single" w:sz="4" w:space="0" w:color="auto"/>
            </w:tcBorders>
            <w:shd w:val="clear" w:color="auto" w:fill="FABF8F"/>
            <w:vAlign w:val="center"/>
          </w:tcPr>
          <w:p w14:paraId="5AE8C6D5" w14:textId="77777777" w:rsidR="00913A0A" w:rsidRPr="0058047D" w:rsidRDefault="00913A0A" w:rsidP="007E466C">
            <w:pPr>
              <w:pStyle w:val="TableText"/>
              <w:widowControl w:val="0"/>
              <w:rPr>
                <w:rFonts w:ascii="Tahoma" w:hAnsi="Tahoma" w:cs="Tahoma"/>
                <w:sz w:val="13"/>
                <w:szCs w:val="13"/>
              </w:rPr>
            </w:pPr>
            <w:r w:rsidRPr="0058047D">
              <w:rPr>
                <w:rFonts w:ascii="Tahoma" w:hAnsi="Tahoma" w:cs="Tahoma"/>
                <w:sz w:val="13"/>
                <w:szCs w:val="13"/>
              </w:rPr>
              <w:t>1</w:t>
            </w:r>
          </w:p>
        </w:tc>
        <w:tc>
          <w:tcPr>
            <w:tcW w:w="477" w:type="dxa"/>
            <w:tcBorders>
              <w:bottom w:val="single" w:sz="4" w:space="0" w:color="auto"/>
              <w:right w:val="single" w:sz="18" w:space="0" w:color="auto"/>
            </w:tcBorders>
            <w:shd w:val="clear" w:color="auto" w:fill="FABF8F"/>
            <w:vAlign w:val="center"/>
          </w:tcPr>
          <w:p w14:paraId="2F20B6BE"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150F56F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vAlign w:val="center"/>
          </w:tcPr>
          <w:p w14:paraId="08870CB5" w14:textId="77777777" w:rsidR="00913A0A" w:rsidRPr="0058047D" w:rsidRDefault="00913A0A" w:rsidP="007E466C">
            <w:pPr>
              <w:pStyle w:val="TableText"/>
              <w:widowControl w:val="0"/>
              <w:rPr>
                <w:rFonts w:ascii="Tahoma" w:hAnsi="Tahoma" w:cs="Tahoma"/>
                <w:sz w:val="13"/>
              </w:rPr>
            </w:pPr>
            <w:r w:rsidRPr="0058047D">
              <w:rPr>
                <w:rFonts w:ascii="Tahoma" w:hAnsi="Tahoma" w:cs="Tahoma"/>
                <w:sz w:val="13"/>
              </w:rPr>
              <w:t>AO, ST</w:t>
            </w:r>
          </w:p>
        </w:tc>
        <w:tc>
          <w:tcPr>
            <w:tcW w:w="504" w:type="dxa"/>
            <w:tcBorders>
              <w:bottom w:val="single" w:sz="4" w:space="0" w:color="auto"/>
            </w:tcBorders>
            <w:shd w:val="clear" w:color="auto" w:fill="FABF8F"/>
            <w:vAlign w:val="center"/>
          </w:tcPr>
          <w:p w14:paraId="3FFF3539"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3CA9B1C3" w14:textId="77777777" w:rsidR="00913A0A" w:rsidRPr="0058047D" w:rsidRDefault="00913A0A" w:rsidP="001A63C6">
            <w:pPr>
              <w:pStyle w:val="TableText"/>
              <w:widowControl w:val="0"/>
              <w:rPr>
                <w:rFonts w:ascii="Tahoma" w:hAnsi="Tahoma" w:cs="Tahoma"/>
                <w:sz w:val="13"/>
              </w:rPr>
            </w:pPr>
          </w:p>
        </w:tc>
      </w:tr>
      <w:tr w:rsidR="009323A0" w:rsidRPr="0058047D" w14:paraId="78AB5CE4" w14:textId="77777777" w:rsidTr="00C86F50">
        <w:trPr>
          <w:trHeight w:val="134"/>
        </w:trPr>
        <w:tc>
          <w:tcPr>
            <w:tcW w:w="2619" w:type="dxa"/>
            <w:gridSpan w:val="2"/>
            <w:tcBorders>
              <w:bottom w:val="single" w:sz="4" w:space="0" w:color="auto"/>
            </w:tcBorders>
            <w:shd w:val="clear" w:color="auto" w:fill="auto"/>
          </w:tcPr>
          <w:p w14:paraId="2C894FFA" w14:textId="77777777" w:rsidR="00913A0A" w:rsidRPr="003F471F" w:rsidRDefault="00913A0A" w:rsidP="00E077BC">
            <w:pPr>
              <w:pStyle w:val="ProductNames"/>
              <w:spacing w:beforeLines="20" w:before="48" w:afterLines="20" w:after="48"/>
              <w:rPr>
                <w:rFonts w:ascii="Tahoma" w:hAnsi="Tahoma" w:cs="Tahoma"/>
                <w:sz w:val="14"/>
                <w:lang w:val="it-IT"/>
              </w:rPr>
            </w:pPr>
            <w:bookmarkStart w:id="444" w:name="_Toc336338100"/>
            <w:bookmarkStart w:id="445" w:name="_Toc371663497"/>
            <w:r w:rsidRPr="003F471F">
              <w:rPr>
                <w:rFonts w:ascii="Tahoma" w:hAnsi="Tahoma" w:cs="Tahoma"/>
                <w:sz w:val="14"/>
                <w:lang w:val="it-IT"/>
              </w:rPr>
              <w:t>Licenza di Gestione Server per System Center 2012 R2 Standard (2 processori)</w:t>
            </w:r>
            <w:bookmarkEnd w:id="444"/>
            <w:bookmarkEnd w:id="445"/>
          </w:p>
        </w:tc>
        <w:tc>
          <w:tcPr>
            <w:tcW w:w="554" w:type="dxa"/>
            <w:tcBorders>
              <w:bottom w:val="single" w:sz="4" w:space="0" w:color="auto"/>
            </w:tcBorders>
            <w:shd w:val="clear" w:color="auto" w:fill="auto"/>
            <w:vAlign w:val="center"/>
          </w:tcPr>
          <w:p w14:paraId="2ACDE863" w14:textId="77777777" w:rsidR="00913A0A" w:rsidRPr="003F471F" w:rsidRDefault="00913A0A" w:rsidP="001A63C6">
            <w:pPr>
              <w:pStyle w:val="TableText"/>
              <w:widowControl w:val="0"/>
              <w:spacing w:before="240"/>
              <w:rPr>
                <w:b/>
                <w:color w:val="000000"/>
                <w:sz w:val="13"/>
                <w:szCs w:val="13"/>
                <w:u w:val="single"/>
                <w:lang w:val="it-IT"/>
              </w:rPr>
            </w:pPr>
          </w:p>
        </w:tc>
        <w:tc>
          <w:tcPr>
            <w:tcW w:w="516" w:type="dxa"/>
            <w:tcBorders>
              <w:bottom w:val="single" w:sz="4" w:space="0" w:color="auto"/>
            </w:tcBorders>
            <w:shd w:val="clear" w:color="auto" w:fill="auto"/>
          </w:tcPr>
          <w:p w14:paraId="3858EB24" w14:textId="77777777" w:rsidR="00913A0A" w:rsidRPr="0058047D" w:rsidRDefault="00C86F50" w:rsidP="001A63C6">
            <w:pPr>
              <w:pStyle w:val="TableText"/>
              <w:widowControl w:val="0"/>
              <w:spacing w:before="120"/>
              <w:rPr>
                <w:rFonts w:ascii="Tahoma" w:hAnsi="Tahoma" w:cs="Tahoma"/>
                <w:sz w:val="13"/>
              </w:rPr>
            </w:pPr>
            <w:r>
              <w:rPr>
                <w:rFonts w:ascii="Tahoma" w:hAnsi="Tahoma" w:cs="Tahoma"/>
                <w:sz w:val="13"/>
              </w:rPr>
              <w:t>10/13</w:t>
            </w:r>
          </w:p>
        </w:tc>
        <w:tc>
          <w:tcPr>
            <w:tcW w:w="358" w:type="dxa"/>
            <w:tcBorders>
              <w:bottom w:val="single" w:sz="4" w:space="0" w:color="auto"/>
              <w:right w:val="single" w:sz="18" w:space="0" w:color="auto"/>
            </w:tcBorders>
            <w:shd w:val="clear" w:color="auto" w:fill="auto"/>
            <w:vAlign w:val="center"/>
          </w:tcPr>
          <w:p w14:paraId="4641A15D" w14:textId="77777777" w:rsidR="00913A0A" w:rsidRPr="0058047D" w:rsidRDefault="00913A0A" w:rsidP="001A63C6">
            <w:pPr>
              <w:pStyle w:val="TableText"/>
              <w:widowControl w:val="0"/>
              <w:rPr>
                <w:rFonts w:ascii="Tahoma" w:hAnsi="Tahoma" w:cs="Tahoma"/>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auto"/>
            <w:vAlign w:val="bottom"/>
          </w:tcPr>
          <w:p w14:paraId="5ED84C18" w14:textId="77777777" w:rsidR="00913A0A" w:rsidRPr="0058047D" w:rsidRDefault="00913A0A" w:rsidP="001A63C6">
            <w:pPr>
              <w:pStyle w:val="TableText"/>
              <w:widowControl w:val="0"/>
              <w:spacing w:after="120"/>
              <w:rPr>
                <w:rFonts w:ascii="Tahoma" w:hAnsi="Tahoma" w:cs="Tahoma"/>
                <w:sz w:val="13"/>
                <w:szCs w:val="13"/>
              </w:rPr>
            </w:pPr>
          </w:p>
        </w:tc>
        <w:tc>
          <w:tcPr>
            <w:tcW w:w="324" w:type="dxa"/>
            <w:tcBorders>
              <w:bottom w:val="single" w:sz="4" w:space="0" w:color="auto"/>
            </w:tcBorders>
            <w:shd w:val="clear" w:color="auto" w:fill="auto"/>
            <w:vAlign w:val="bottom"/>
          </w:tcPr>
          <w:p w14:paraId="2AEC105C"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38</w:t>
            </w:r>
          </w:p>
        </w:tc>
        <w:tc>
          <w:tcPr>
            <w:tcW w:w="366" w:type="dxa"/>
            <w:tcBorders>
              <w:bottom w:val="single" w:sz="4" w:space="0" w:color="auto"/>
            </w:tcBorders>
            <w:shd w:val="clear" w:color="auto" w:fill="auto"/>
            <w:vAlign w:val="bottom"/>
          </w:tcPr>
          <w:p w14:paraId="3D3C5285"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30</w:t>
            </w:r>
          </w:p>
        </w:tc>
        <w:tc>
          <w:tcPr>
            <w:tcW w:w="456" w:type="dxa"/>
            <w:gridSpan w:val="2"/>
            <w:tcBorders>
              <w:bottom w:val="single" w:sz="4" w:space="0" w:color="auto"/>
            </w:tcBorders>
            <w:shd w:val="clear" w:color="auto" w:fill="auto"/>
            <w:vAlign w:val="bottom"/>
          </w:tcPr>
          <w:p w14:paraId="4E367B87"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23</w:t>
            </w:r>
          </w:p>
        </w:tc>
        <w:tc>
          <w:tcPr>
            <w:tcW w:w="450" w:type="dxa"/>
            <w:tcBorders>
              <w:bottom w:val="single" w:sz="4" w:space="0" w:color="auto"/>
            </w:tcBorders>
            <w:shd w:val="clear" w:color="auto" w:fill="auto"/>
            <w:vAlign w:val="bottom"/>
          </w:tcPr>
          <w:p w14:paraId="1B2DC143"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23</w:t>
            </w:r>
          </w:p>
        </w:tc>
        <w:tc>
          <w:tcPr>
            <w:tcW w:w="450" w:type="dxa"/>
            <w:tcBorders>
              <w:bottom w:val="single" w:sz="4" w:space="0" w:color="auto"/>
            </w:tcBorders>
            <w:shd w:val="clear" w:color="auto" w:fill="auto"/>
            <w:vAlign w:val="bottom"/>
          </w:tcPr>
          <w:p w14:paraId="455BEB4D"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15</w:t>
            </w:r>
          </w:p>
        </w:tc>
        <w:tc>
          <w:tcPr>
            <w:tcW w:w="336" w:type="dxa"/>
            <w:tcBorders>
              <w:bottom w:val="single" w:sz="4" w:space="0" w:color="auto"/>
              <w:right w:val="single" w:sz="18" w:space="0" w:color="auto"/>
            </w:tcBorders>
            <w:shd w:val="clear" w:color="auto" w:fill="auto"/>
            <w:vAlign w:val="bottom"/>
          </w:tcPr>
          <w:p w14:paraId="725EB925"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8</w:t>
            </w:r>
          </w:p>
        </w:tc>
        <w:tc>
          <w:tcPr>
            <w:tcW w:w="477" w:type="dxa"/>
            <w:tcBorders>
              <w:left w:val="single" w:sz="18" w:space="0" w:color="auto"/>
              <w:bottom w:val="single" w:sz="4" w:space="0" w:color="auto"/>
            </w:tcBorders>
            <w:shd w:val="clear" w:color="auto" w:fill="auto"/>
            <w:vAlign w:val="bottom"/>
          </w:tcPr>
          <w:p w14:paraId="36F1A7EB" w14:textId="77777777" w:rsidR="00913A0A" w:rsidRPr="0058047D"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6FC3B65D"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30</w:t>
            </w:r>
          </w:p>
        </w:tc>
        <w:tc>
          <w:tcPr>
            <w:tcW w:w="414" w:type="dxa"/>
            <w:tcBorders>
              <w:bottom w:val="single" w:sz="4" w:space="0" w:color="auto"/>
              <w:right w:val="single" w:sz="18" w:space="0" w:color="auto"/>
            </w:tcBorders>
            <w:shd w:val="clear" w:color="auto" w:fill="auto"/>
            <w:vAlign w:val="bottom"/>
          </w:tcPr>
          <w:p w14:paraId="4237FF60"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15</w:t>
            </w:r>
          </w:p>
        </w:tc>
        <w:tc>
          <w:tcPr>
            <w:tcW w:w="468" w:type="dxa"/>
            <w:tcBorders>
              <w:left w:val="single" w:sz="18" w:space="0" w:color="auto"/>
              <w:bottom w:val="single" w:sz="4" w:space="0" w:color="auto"/>
            </w:tcBorders>
            <w:shd w:val="clear" w:color="auto" w:fill="auto"/>
            <w:vAlign w:val="bottom"/>
          </w:tcPr>
          <w:p w14:paraId="794CEDCC"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15</w:t>
            </w:r>
          </w:p>
        </w:tc>
        <w:tc>
          <w:tcPr>
            <w:tcW w:w="477" w:type="dxa"/>
            <w:tcBorders>
              <w:bottom w:val="single" w:sz="4" w:space="0" w:color="auto"/>
              <w:right w:val="single" w:sz="18" w:space="0" w:color="auto"/>
            </w:tcBorders>
            <w:shd w:val="clear" w:color="auto" w:fill="auto"/>
            <w:vAlign w:val="center"/>
          </w:tcPr>
          <w:p w14:paraId="174BA8D8"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4C99122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auto"/>
          </w:tcPr>
          <w:p w14:paraId="275A380A" w14:textId="77777777" w:rsidR="00913A0A" w:rsidRPr="0058047D" w:rsidRDefault="00913A0A" w:rsidP="001A63C6">
            <w:pPr>
              <w:pStyle w:val="TableText"/>
              <w:widowControl w:val="0"/>
              <w:spacing w:before="12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auto"/>
            <w:vAlign w:val="center"/>
          </w:tcPr>
          <w:p w14:paraId="4B24914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OL/OV</w:t>
            </w:r>
          </w:p>
        </w:tc>
        <w:tc>
          <w:tcPr>
            <w:tcW w:w="405" w:type="dxa"/>
            <w:tcBorders>
              <w:bottom w:val="single" w:sz="4" w:space="0" w:color="auto"/>
            </w:tcBorders>
          </w:tcPr>
          <w:p w14:paraId="54E5383D"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A, C</w:t>
            </w:r>
          </w:p>
        </w:tc>
      </w:tr>
      <w:tr w:rsidR="009323A0" w:rsidRPr="0058047D" w14:paraId="4E18D2E9" w14:textId="77777777" w:rsidTr="00C86F50">
        <w:trPr>
          <w:trHeight w:val="145"/>
        </w:trPr>
        <w:tc>
          <w:tcPr>
            <w:tcW w:w="2619" w:type="dxa"/>
            <w:gridSpan w:val="2"/>
            <w:tcBorders>
              <w:bottom w:val="single" w:sz="4" w:space="0" w:color="auto"/>
            </w:tcBorders>
            <w:shd w:val="clear" w:color="auto" w:fill="FABF8F"/>
          </w:tcPr>
          <w:p w14:paraId="611783C6" w14:textId="77777777" w:rsidR="00913A0A" w:rsidRPr="0058047D" w:rsidRDefault="00913A0A" w:rsidP="00E077BC">
            <w:pPr>
              <w:pStyle w:val="Heading2"/>
              <w:spacing w:beforeLines="20" w:before="48" w:afterLines="20" w:after="48"/>
              <w:ind w:left="0"/>
              <w:rPr>
                <w:rFonts w:ascii="Tahoma" w:hAnsi="Tahoma" w:cs="Tahoma"/>
                <w:b w:val="0"/>
                <w:sz w:val="14"/>
                <w:szCs w:val="14"/>
              </w:rPr>
            </w:pPr>
            <w:bookmarkStart w:id="446" w:name="_Toc336338102"/>
            <w:bookmarkStart w:id="447" w:name="_Toc371663498"/>
            <w:r w:rsidRPr="0058047D">
              <w:rPr>
                <w:rFonts w:ascii="Tahoma" w:hAnsi="Tahoma" w:cs="Tahoma"/>
                <w:b w:val="0"/>
                <w:sz w:val="14"/>
                <w:szCs w:val="14"/>
              </w:rPr>
              <w:t>VDI Suite</w:t>
            </w:r>
            <w:bookmarkEnd w:id="446"/>
            <w:bookmarkEnd w:id="447"/>
          </w:p>
        </w:tc>
        <w:tc>
          <w:tcPr>
            <w:tcW w:w="554" w:type="dxa"/>
            <w:tcBorders>
              <w:bottom w:val="single" w:sz="4" w:space="0" w:color="auto"/>
            </w:tcBorders>
            <w:shd w:val="clear" w:color="auto" w:fill="FABF8F"/>
            <w:vAlign w:val="center"/>
          </w:tcPr>
          <w:p w14:paraId="5E2720F7" w14:textId="77777777" w:rsidR="00913A0A" w:rsidRPr="0058047D" w:rsidRDefault="00913A0A" w:rsidP="001A63C6">
            <w:pPr>
              <w:pStyle w:val="TableText"/>
              <w:widowControl w:val="0"/>
              <w:rPr>
                <w:b/>
                <w:sz w:val="13"/>
                <w:szCs w:val="13"/>
                <w:u w:val="single"/>
              </w:rPr>
            </w:pPr>
          </w:p>
        </w:tc>
        <w:tc>
          <w:tcPr>
            <w:tcW w:w="516" w:type="dxa"/>
            <w:tcBorders>
              <w:bottom w:val="single" w:sz="4" w:space="0" w:color="auto"/>
            </w:tcBorders>
            <w:shd w:val="clear" w:color="auto" w:fill="FABF8F"/>
          </w:tcPr>
          <w:p w14:paraId="1E287C00"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04/12</w:t>
            </w:r>
          </w:p>
        </w:tc>
        <w:tc>
          <w:tcPr>
            <w:tcW w:w="358" w:type="dxa"/>
            <w:tcBorders>
              <w:bottom w:val="single" w:sz="4" w:space="0" w:color="auto"/>
              <w:right w:val="single" w:sz="18" w:space="0" w:color="auto"/>
            </w:tcBorders>
            <w:shd w:val="clear" w:color="auto" w:fill="FABF8F"/>
            <w:vAlign w:val="center"/>
          </w:tcPr>
          <w:p w14:paraId="1229BE6E"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2712" w:type="dxa"/>
            <w:gridSpan w:val="8"/>
            <w:tcBorders>
              <w:left w:val="single" w:sz="18" w:space="0" w:color="auto"/>
              <w:bottom w:val="single" w:sz="4" w:space="0" w:color="auto"/>
              <w:right w:val="single" w:sz="18" w:space="0" w:color="auto"/>
            </w:tcBorders>
            <w:shd w:val="clear" w:color="auto" w:fill="FABF8F"/>
            <w:vAlign w:val="center"/>
          </w:tcPr>
          <w:p w14:paraId="667B3ECD" w14:textId="77777777" w:rsidR="00913A0A" w:rsidRPr="0058047D" w:rsidRDefault="00913A0A" w:rsidP="001A63C6">
            <w:pPr>
              <w:pStyle w:val="TableText"/>
              <w:rPr>
                <w:rFonts w:ascii="Tahoma" w:hAnsi="Tahoma" w:cs="Tahoma"/>
                <w:sz w:val="13"/>
                <w:szCs w:val="13"/>
              </w:rPr>
            </w:pPr>
            <w:r w:rsidRPr="0058047D">
              <w:rPr>
                <w:rFonts w:ascii="Tahoma" w:hAnsi="Tahoma" w:cs="Tahoma"/>
                <w:sz w:val="13"/>
                <w:szCs w:val="13"/>
              </w:rPr>
              <w:t>1 punto</w:t>
            </w:r>
          </w:p>
        </w:tc>
        <w:tc>
          <w:tcPr>
            <w:tcW w:w="477" w:type="dxa"/>
            <w:tcBorders>
              <w:left w:val="single" w:sz="18" w:space="0" w:color="auto"/>
              <w:bottom w:val="single" w:sz="4" w:space="0" w:color="auto"/>
            </w:tcBorders>
            <w:shd w:val="clear" w:color="auto" w:fill="FABF8F"/>
            <w:vAlign w:val="center"/>
          </w:tcPr>
          <w:p w14:paraId="21252B32" w14:textId="77777777" w:rsidR="00913A0A" w:rsidRPr="0058047D" w:rsidRDefault="00913A0A"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14:paraId="29F6E625" w14:textId="77777777" w:rsidR="00913A0A" w:rsidRPr="0058047D" w:rsidRDefault="00913A0A" w:rsidP="001A63C6">
            <w:pPr>
              <w:pStyle w:val="TableText"/>
              <w:rPr>
                <w:rFonts w:ascii="Tahoma" w:hAnsi="Tahoma" w:cs="Tahoma"/>
                <w:sz w:val="13"/>
                <w:szCs w:val="13"/>
              </w:rPr>
            </w:pPr>
          </w:p>
        </w:tc>
        <w:tc>
          <w:tcPr>
            <w:tcW w:w="414" w:type="dxa"/>
            <w:tcBorders>
              <w:bottom w:val="single" w:sz="4" w:space="0" w:color="auto"/>
              <w:right w:val="single" w:sz="18" w:space="0" w:color="auto"/>
            </w:tcBorders>
            <w:shd w:val="clear" w:color="auto" w:fill="FABF8F"/>
            <w:vAlign w:val="center"/>
          </w:tcPr>
          <w:p w14:paraId="7FE7F021" w14:textId="77777777" w:rsidR="00913A0A" w:rsidRPr="0058047D" w:rsidRDefault="00913A0A" w:rsidP="001A63C6">
            <w:pPr>
              <w:pStyle w:val="TableText"/>
              <w:rPr>
                <w:rFonts w:ascii="Tahoma" w:hAnsi="Tahoma" w:cs="Tahoma"/>
                <w:sz w:val="13"/>
                <w:szCs w:val="13"/>
              </w:rPr>
            </w:pPr>
          </w:p>
        </w:tc>
        <w:tc>
          <w:tcPr>
            <w:tcW w:w="468" w:type="dxa"/>
            <w:tcBorders>
              <w:left w:val="single" w:sz="18" w:space="0" w:color="auto"/>
              <w:bottom w:val="single" w:sz="4" w:space="0" w:color="auto"/>
            </w:tcBorders>
            <w:shd w:val="clear" w:color="auto" w:fill="FABF8F"/>
            <w:vAlign w:val="center"/>
          </w:tcPr>
          <w:p w14:paraId="7FF42842" w14:textId="77777777" w:rsidR="00913A0A" w:rsidRPr="0058047D" w:rsidRDefault="00913A0A" w:rsidP="001A63C6">
            <w:pPr>
              <w:pStyle w:val="TableText"/>
              <w:rPr>
                <w:rFonts w:ascii="Tahoma" w:hAnsi="Tahoma" w:cs="Tahoma"/>
                <w:sz w:val="13"/>
                <w:szCs w:val="13"/>
              </w:rPr>
            </w:pPr>
            <w:r w:rsidRPr="0058047D">
              <w:rPr>
                <w:rFonts w:ascii="Tahoma" w:hAnsi="Tahoma" w:cs="Tahoma"/>
                <w:sz w:val="13"/>
                <w:szCs w:val="13"/>
              </w:rPr>
              <w:t>1</w:t>
            </w:r>
          </w:p>
        </w:tc>
        <w:tc>
          <w:tcPr>
            <w:tcW w:w="477" w:type="dxa"/>
            <w:tcBorders>
              <w:bottom w:val="single" w:sz="4" w:space="0" w:color="auto"/>
              <w:right w:val="single" w:sz="18" w:space="0" w:color="auto"/>
            </w:tcBorders>
            <w:shd w:val="clear" w:color="auto" w:fill="FABF8F"/>
            <w:vAlign w:val="center"/>
          </w:tcPr>
          <w:p w14:paraId="54B958FF" w14:textId="77777777" w:rsidR="00913A0A" w:rsidRPr="0058047D" w:rsidRDefault="00913A0A" w:rsidP="001A63C6">
            <w:pPr>
              <w:pStyle w:val="TableText"/>
              <w:rPr>
                <w:rFonts w:ascii="Tahoma" w:hAnsi="Tahoma" w:cs="Tahoma"/>
                <w:sz w:val="13"/>
                <w:szCs w:val="13"/>
              </w:rPr>
            </w:pPr>
            <w:r w:rsidRPr="0058047D">
              <w:rPr>
                <w:rFonts w:ascii="Tahoma" w:hAnsi="Tahoma" w:cs="Tahoma"/>
                <w:sz w:val="13"/>
                <w:szCs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65981390" w14:textId="77777777" w:rsidR="00913A0A" w:rsidRPr="0058047D" w:rsidRDefault="00913A0A" w:rsidP="001A63C6">
            <w:pPr>
              <w:pStyle w:val="TableText"/>
              <w:rPr>
                <w:rFonts w:ascii="Tahoma" w:hAnsi="Tahoma" w:cs="Tahoma"/>
                <w:sz w:val="13"/>
                <w:szCs w:val="13"/>
              </w:rPr>
            </w:pPr>
            <w:r w:rsidRPr="0058047D">
              <w:rPr>
                <w:rFonts w:ascii="Tahoma" w:hAnsi="Tahoma" w:cs="Tahoma"/>
                <w:sz w:val="13"/>
                <w:szCs w:val="13"/>
              </w:rPr>
              <w:t>P</w:t>
            </w:r>
          </w:p>
        </w:tc>
        <w:tc>
          <w:tcPr>
            <w:tcW w:w="655" w:type="dxa"/>
            <w:tcBorders>
              <w:bottom w:val="single" w:sz="4" w:space="0" w:color="auto"/>
            </w:tcBorders>
            <w:shd w:val="clear" w:color="auto" w:fill="FABF8F"/>
          </w:tcPr>
          <w:p w14:paraId="16336EDB" w14:textId="77777777" w:rsidR="00913A0A" w:rsidRPr="0058047D" w:rsidRDefault="00913A0A" w:rsidP="001A63C6">
            <w:pPr>
              <w:pStyle w:val="TableText"/>
              <w:rPr>
                <w:rFonts w:ascii="Tahoma" w:hAnsi="Tahoma" w:cs="Tahoma"/>
                <w:sz w:val="13"/>
                <w:szCs w:val="13"/>
              </w:rPr>
            </w:pPr>
            <w:r w:rsidRPr="0058047D">
              <w:rPr>
                <w:rFonts w:ascii="Tahoma" w:hAnsi="Tahoma" w:cs="Tahoma"/>
                <w:sz w:val="13"/>
                <w:szCs w:val="13"/>
              </w:rPr>
              <w:t>A, ST</w:t>
            </w:r>
          </w:p>
        </w:tc>
        <w:tc>
          <w:tcPr>
            <w:tcW w:w="504" w:type="dxa"/>
            <w:tcBorders>
              <w:bottom w:val="single" w:sz="4" w:space="0" w:color="auto"/>
            </w:tcBorders>
            <w:shd w:val="clear" w:color="auto" w:fill="FABF8F"/>
            <w:vAlign w:val="center"/>
          </w:tcPr>
          <w:p w14:paraId="4E307E7B"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357113FE" w14:textId="77777777" w:rsidR="00913A0A" w:rsidRPr="0058047D" w:rsidRDefault="00913A0A" w:rsidP="001A63C6">
            <w:pPr>
              <w:pStyle w:val="TableText"/>
              <w:widowControl w:val="0"/>
              <w:rPr>
                <w:rFonts w:ascii="Tahoma" w:hAnsi="Tahoma" w:cs="Tahoma"/>
                <w:sz w:val="13"/>
              </w:rPr>
            </w:pPr>
          </w:p>
        </w:tc>
      </w:tr>
      <w:tr w:rsidR="009323A0" w:rsidRPr="0058047D" w14:paraId="5055ED91" w14:textId="77777777" w:rsidTr="00C86F50">
        <w:trPr>
          <w:trHeight w:val="215"/>
        </w:trPr>
        <w:tc>
          <w:tcPr>
            <w:tcW w:w="2619" w:type="dxa"/>
            <w:gridSpan w:val="2"/>
            <w:tcBorders>
              <w:bottom w:val="single" w:sz="4" w:space="0" w:color="auto"/>
            </w:tcBorders>
            <w:shd w:val="clear" w:color="auto" w:fill="auto"/>
          </w:tcPr>
          <w:p w14:paraId="2960141B" w14:textId="77777777" w:rsidR="00913A0A" w:rsidRPr="0058047D" w:rsidRDefault="00913A0A" w:rsidP="00E077BC">
            <w:pPr>
              <w:pStyle w:val="Heading2"/>
              <w:spacing w:beforeLines="20" w:before="48" w:afterLines="20" w:after="48"/>
              <w:ind w:left="0"/>
              <w:rPr>
                <w:rFonts w:ascii="Tahoma" w:hAnsi="Tahoma" w:cs="Tahoma"/>
                <w:b w:val="0"/>
                <w:sz w:val="14"/>
                <w:szCs w:val="14"/>
              </w:rPr>
            </w:pPr>
            <w:bookmarkStart w:id="448" w:name="_Toc336338103"/>
            <w:bookmarkStart w:id="449" w:name="_Toc371663499"/>
            <w:r w:rsidRPr="0058047D">
              <w:rPr>
                <w:rFonts w:ascii="Tahoma" w:hAnsi="Tahoma" w:cs="Tahoma"/>
                <w:b w:val="0"/>
                <w:sz w:val="14"/>
                <w:szCs w:val="14"/>
              </w:rPr>
              <w:t>VDI Suite con MDOP</w:t>
            </w:r>
            <w:bookmarkEnd w:id="448"/>
            <w:bookmarkEnd w:id="449"/>
          </w:p>
        </w:tc>
        <w:tc>
          <w:tcPr>
            <w:tcW w:w="554" w:type="dxa"/>
            <w:tcBorders>
              <w:bottom w:val="single" w:sz="4" w:space="0" w:color="auto"/>
            </w:tcBorders>
            <w:shd w:val="clear" w:color="auto" w:fill="auto"/>
            <w:vAlign w:val="center"/>
          </w:tcPr>
          <w:p w14:paraId="65F01304" w14:textId="77777777" w:rsidR="00913A0A" w:rsidRPr="0058047D" w:rsidRDefault="00913A0A" w:rsidP="001A63C6">
            <w:pPr>
              <w:pStyle w:val="TableText"/>
              <w:widowControl w:val="0"/>
              <w:rPr>
                <w:b/>
                <w:sz w:val="13"/>
                <w:szCs w:val="13"/>
                <w:u w:val="single"/>
              </w:rPr>
            </w:pPr>
          </w:p>
        </w:tc>
        <w:tc>
          <w:tcPr>
            <w:tcW w:w="516" w:type="dxa"/>
            <w:tcBorders>
              <w:bottom w:val="single" w:sz="4" w:space="0" w:color="auto"/>
            </w:tcBorders>
            <w:shd w:val="clear" w:color="auto" w:fill="auto"/>
          </w:tcPr>
          <w:p w14:paraId="46167E08"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04/12</w:t>
            </w:r>
          </w:p>
        </w:tc>
        <w:tc>
          <w:tcPr>
            <w:tcW w:w="358" w:type="dxa"/>
            <w:tcBorders>
              <w:bottom w:val="single" w:sz="4" w:space="0" w:color="auto"/>
              <w:right w:val="single" w:sz="18" w:space="0" w:color="auto"/>
            </w:tcBorders>
            <w:shd w:val="clear" w:color="auto" w:fill="auto"/>
            <w:vAlign w:val="center"/>
          </w:tcPr>
          <w:p w14:paraId="67EDE33A"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2712" w:type="dxa"/>
            <w:gridSpan w:val="8"/>
            <w:tcBorders>
              <w:left w:val="single" w:sz="18" w:space="0" w:color="auto"/>
              <w:bottom w:val="single" w:sz="4" w:space="0" w:color="auto"/>
              <w:right w:val="single" w:sz="18" w:space="0" w:color="auto"/>
            </w:tcBorders>
            <w:shd w:val="clear" w:color="auto" w:fill="auto"/>
            <w:vAlign w:val="center"/>
          </w:tcPr>
          <w:p w14:paraId="2C331E9C" w14:textId="77777777" w:rsidR="00913A0A" w:rsidRPr="0058047D" w:rsidRDefault="00913A0A" w:rsidP="001A63C6">
            <w:pPr>
              <w:pStyle w:val="TableText"/>
              <w:rPr>
                <w:rFonts w:ascii="Tahoma" w:hAnsi="Tahoma" w:cs="Tahoma"/>
                <w:sz w:val="13"/>
                <w:szCs w:val="13"/>
              </w:rPr>
            </w:pPr>
            <w:r w:rsidRPr="0058047D">
              <w:rPr>
                <w:rFonts w:ascii="Tahoma" w:hAnsi="Tahoma" w:cs="Tahoma"/>
                <w:sz w:val="13"/>
                <w:szCs w:val="13"/>
              </w:rPr>
              <w:t>1 punto</w:t>
            </w:r>
          </w:p>
        </w:tc>
        <w:tc>
          <w:tcPr>
            <w:tcW w:w="477" w:type="dxa"/>
            <w:tcBorders>
              <w:left w:val="single" w:sz="18" w:space="0" w:color="auto"/>
              <w:bottom w:val="single" w:sz="4" w:space="0" w:color="auto"/>
            </w:tcBorders>
            <w:shd w:val="clear" w:color="auto" w:fill="auto"/>
            <w:vAlign w:val="center"/>
          </w:tcPr>
          <w:p w14:paraId="402A07C9" w14:textId="77777777" w:rsidR="00913A0A" w:rsidRPr="0058047D" w:rsidRDefault="00913A0A"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14:paraId="27797DF1" w14:textId="77777777" w:rsidR="00913A0A" w:rsidRPr="0058047D" w:rsidRDefault="00913A0A" w:rsidP="001A63C6">
            <w:pPr>
              <w:pStyle w:val="TableText"/>
              <w:rPr>
                <w:rFonts w:ascii="Tahoma" w:hAnsi="Tahoma" w:cs="Tahoma"/>
                <w:sz w:val="13"/>
                <w:szCs w:val="13"/>
              </w:rPr>
            </w:pPr>
          </w:p>
        </w:tc>
        <w:tc>
          <w:tcPr>
            <w:tcW w:w="414" w:type="dxa"/>
            <w:tcBorders>
              <w:bottom w:val="single" w:sz="4" w:space="0" w:color="auto"/>
              <w:right w:val="single" w:sz="18" w:space="0" w:color="auto"/>
            </w:tcBorders>
            <w:shd w:val="clear" w:color="auto" w:fill="auto"/>
            <w:vAlign w:val="center"/>
          </w:tcPr>
          <w:p w14:paraId="7AE14ACF" w14:textId="77777777" w:rsidR="00913A0A" w:rsidRPr="0058047D" w:rsidRDefault="00913A0A" w:rsidP="001A63C6">
            <w:pPr>
              <w:pStyle w:val="TableText"/>
              <w:rPr>
                <w:rFonts w:ascii="Tahoma" w:hAnsi="Tahoma" w:cs="Tahoma"/>
                <w:sz w:val="13"/>
                <w:szCs w:val="13"/>
              </w:rPr>
            </w:pPr>
          </w:p>
        </w:tc>
        <w:tc>
          <w:tcPr>
            <w:tcW w:w="468" w:type="dxa"/>
            <w:tcBorders>
              <w:left w:val="single" w:sz="18" w:space="0" w:color="auto"/>
              <w:bottom w:val="single" w:sz="4" w:space="0" w:color="auto"/>
            </w:tcBorders>
            <w:shd w:val="clear" w:color="auto" w:fill="auto"/>
            <w:vAlign w:val="center"/>
          </w:tcPr>
          <w:p w14:paraId="2FFFD33F" w14:textId="77777777" w:rsidR="00913A0A" w:rsidRPr="0058047D" w:rsidRDefault="00913A0A" w:rsidP="001A63C6">
            <w:pPr>
              <w:pStyle w:val="TableText"/>
              <w:rPr>
                <w:rFonts w:ascii="Tahoma" w:hAnsi="Tahoma" w:cs="Tahoma"/>
                <w:sz w:val="13"/>
                <w:szCs w:val="13"/>
              </w:rPr>
            </w:pPr>
            <w:r w:rsidRPr="0058047D">
              <w:rPr>
                <w:rFonts w:ascii="Tahoma" w:hAnsi="Tahoma" w:cs="Tahoma"/>
                <w:sz w:val="13"/>
                <w:szCs w:val="13"/>
              </w:rPr>
              <w:t>1</w:t>
            </w:r>
          </w:p>
        </w:tc>
        <w:tc>
          <w:tcPr>
            <w:tcW w:w="477" w:type="dxa"/>
            <w:tcBorders>
              <w:bottom w:val="single" w:sz="4" w:space="0" w:color="auto"/>
              <w:right w:val="single" w:sz="18" w:space="0" w:color="auto"/>
            </w:tcBorders>
            <w:shd w:val="clear" w:color="auto" w:fill="auto"/>
            <w:vAlign w:val="center"/>
          </w:tcPr>
          <w:p w14:paraId="0457EF08" w14:textId="77777777" w:rsidR="00913A0A" w:rsidRPr="0058047D" w:rsidRDefault="00913A0A" w:rsidP="001A63C6">
            <w:pPr>
              <w:pStyle w:val="TableText"/>
              <w:rPr>
                <w:rFonts w:ascii="Tahoma" w:hAnsi="Tahoma" w:cs="Tahoma"/>
                <w:sz w:val="13"/>
                <w:szCs w:val="13"/>
              </w:rPr>
            </w:pPr>
            <w:r w:rsidRPr="0058047D">
              <w:rPr>
                <w:rFonts w:ascii="Tahoma" w:hAnsi="Tahoma" w:cs="Tahoma"/>
                <w:sz w:val="13"/>
                <w:szCs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3C79C2E6" w14:textId="77777777" w:rsidR="00913A0A" w:rsidRPr="0058047D" w:rsidRDefault="00913A0A" w:rsidP="001A63C6">
            <w:pPr>
              <w:pStyle w:val="TableText"/>
              <w:rPr>
                <w:rFonts w:ascii="Tahoma" w:hAnsi="Tahoma" w:cs="Tahoma"/>
                <w:sz w:val="13"/>
                <w:szCs w:val="13"/>
              </w:rPr>
            </w:pPr>
            <w:r w:rsidRPr="0058047D">
              <w:rPr>
                <w:rFonts w:ascii="Tahoma" w:hAnsi="Tahoma" w:cs="Tahoma"/>
                <w:sz w:val="13"/>
                <w:szCs w:val="13"/>
              </w:rPr>
              <w:t>E, P</w:t>
            </w:r>
          </w:p>
        </w:tc>
        <w:tc>
          <w:tcPr>
            <w:tcW w:w="655" w:type="dxa"/>
            <w:tcBorders>
              <w:bottom w:val="single" w:sz="4" w:space="0" w:color="auto"/>
            </w:tcBorders>
            <w:shd w:val="clear" w:color="auto" w:fill="auto"/>
          </w:tcPr>
          <w:p w14:paraId="2636C5DA" w14:textId="77777777" w:rsidR="00913A0A" w:rsidRPr="0058047D" w:rsidRDefault="00913A0A" w:rsidP="001A63C6">
            <w:pPr>
              <w:pStyle w:val="TableText"/>
              <w:rPr>
                <w:rFonts w:ascii="Tahoma" w:hAnsi="Tahoma" w:cs="Tahoma"/>
                <w:sz w:val="13"/>
                <w:szCs w:val="13"/>
              </w:rPr>
            </w:pPr>
            <w:r w:rsidRPr="0058047D">
              <w:rPr>
                <w:rFonts w:ascii="Tahoma" w:hAnsi="Tahoma" w:cs="Tahoma"/>
                <w:sz w:val="13"/>
                <w:szCs w:val="13"/>
              </w:rPr>
              <w:t>A, ST</w:t>
            </w:r>
          </w:p>
        </w:tc>
        <w:tc>
          <w:tcPr>
            <w:tcW w:w="504" w:type="dxa"/>
            <w:tcBorders>
              <w:bottom w:val="single" w:sz="4" w:space="0" w:color="auto"/>
            </w:tcBorders>
            <w:shd w:val="clear" w:color="auto" w:fill="auto"/>
            <w:vAlign w:val="center"/>
          </w:tcPr>
          <w:p w14:paraId="1E50FCF0"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tcPr>
          <w:p w14:paraId="24043444" w14:textId="77777777" w:rsidR="00913A0A" w:rsidRPr="0058047D" w:rsidRDefault="00913A0A" w:rsidP="001A63C6">
            <w:pPr>
              <w:pStyle w:val="TableText"/>
              <w:widowControl w:val="0"/>
              <w:rPr>
                <w:rFonts w:ascii="Tahoma" w:hAnsi="Tahoma" w:cs="Tahoma"/>
                <w:sz w:val="13"/>
              </w:rPr>
            </w:pPr>
          </w:p>
        </w:tc>
      </w:tr>
      <w:tr w:rsidR="009323A0" w:rsidRPr="0058047D" w14:paraId="7D1542C5" w14:textId="77777777" w:rsidTr="00C86F50">
        <w:trPr>
          <w:trHeight w:val="145"/>
        </w:trPr>
        <w:tc>
          <w:tcPr>
            <w:tcW w:w="2619" w:type="dxa"/>
            <w:gridSpan w:val="2"/>
            <w:tcBorders>
              <w:bottom w:val="single" w:sz="4" w:space="0" w:color="auto"/>
            </w:tcBorders>
            <w:shd w:val="clear" w:color="auto" w:fill="FABF8F"/>
          </w:tcPr>
          <w:p w14:paraId="0B87BDDA" w14:textId="77777777" w:rsidR="00913A0A" w:rsidRPr="003F471F" w:rsidRDefault="00913A0A" w:rsidP="00E077BC">
            <w:pPr>
              <w:pStyle w:val="Heading2"/>
              <w:spacing w:beforeLines="20" w:before="48" w:afterLines="20" w:after="48"/>
              <w:ind w:left="0"/>
              <w:rPr>
                <w:rFonts w:ascii="Tahoma" w:hAnsi="Tahoma" w:cs="Tahoma"/>
                <w:b w:val="0"/>
                <w:sz w:val="14"/>
                <w:szCs w:val="14"/>
                <w:lang w:val="pt-BR"/>
              </w:rPr>
            </w:pPr>
            <w:bookmarkStart w:id="450" w:name="_Toc336338108"/>
            <w:bookmarkStart w:id="451" w:name="_Toc371663500"/>
            <w:r w:rsidRPr="003F471F">
              <w:rPr>
                <w:rFonts w:ascii="Tahoma" w:hAnsi="Tahoma" w:cs="Tahoma"/>
                <w:b w:val="0"/>
                <w:sz w:val="14"/>
                <w:szCs w:val="14"/>
                <w:lang w:val="pt-BR"/>
              </w:rPr>
              <w:t>Virtual Server 2005 R2 Enterprise Edition</w:t>
            </w:r>
            <w:bookmarkEnd w:id="450"/>
            <w:bookmarkEnd w:id="451"/>
          </w:p>
        </w:tc>
        <w:tc>
          <w:tcPr>
            <w:tcW w:w="554" w:type="dxa"/>
            <w:tcBorders>
              <w:bottom w:val="single" w:sz="4" w:space="0" w:color="auto"/>
            </w:tcBorders>
            <w:shd w:val="clear" w:color="auto" w:fill="FABF8F"/>
            <w:vAlign w:val="center"/>
          </w:tcPr>
          <w:p w14:paraId="718B166E" w14:textId="77777777" w:rsidR="00913A0A" w:rsidRPr="003F471F" w:rsidRDefault="00913A0A" w:rsidP="001A63C6">
            <w:pPr>
              <w:pStyle w:val="TableText"/>
              <w:widowControl w:val="0"/>
              <w:rPr>
                <w:rStyle w:val="EndnoteReference"/>
                <w:sz w:val="13"/>
                <w:szCs w:val="13"/>
                <w:u w:val="single"/>
                <w:lang w:val="pt-BR"/>
              </w:rPr>
            </w:pPr>
          </w:p>
        </w:tc>
        <w:tc>
          <w:tcPr>
            <w:tcW w:w="516" w:type="dxa"/>
            <w:tcBorders>
              <w:bottom w:val="single" w:sz="4" w:space="0" w:color="auto"/>
            </w:tcBorders>
            <w:shd w:val="clear" w:color="auto" w:fill="FABF8F"/>
            <w:vAlign w:val="center"/>
          </w:tcPr>
          <w:p w14:paraId="7FE869AD"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12/05</w:t>
            </w:r>
          </w:p>
        </w:tc>
        <w:tc>
          <w:tcPr>
            <w:tcW w:w="358" w:type="dxa"/>
            <w:tcBorders>
              <w:bottom w:val="single" w:sz="4" w:space="0" w:color="auto"/>
              <w:right w:val="single" w:sz="18" w:space="0" w:color="auto"/>
            </w:tcBorders>
            <w:shd w:val="clear" w:color="auto" w:fill="FABF8F"/>
            <w:vAlign w:val="center"/>
          </w:tcPr>
          <w:p w14:paraId="122B0B76"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center"/>
          </w:tcPr>
          <w:p w14:paraId="186359DA"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367ACB93"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1FE095E7"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05E38E0C"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5CD0EA5"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6B790D5"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6B3BFA64"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7701C550"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9FB78FD"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5F5D3D2D"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1700DB31"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16E5933C"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004E33A0"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531F37E6"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6FB043ED"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582ACD5D" w14:textId="77777777" w:rsidR="00913A0A" w:rsidRPr="0058047D" w:rsidRDefault="00913A0A" w:rsidP="001A63C6">
            <w:pPr>
              <w:pStyle w:val="TableText"/>
              <w:widowControl w:val="0"/>
              <w:rPr>
                <w:rFonts w:ascii="Tahoma" w:hAnsi="Tahoma" w:cs="Tahoma"/>
                <w:sz w:val="13"/>
              </w:rPr>
            </w:pPr>
          </w:p>
        </w:tc>
      </w:tr>
      <w:tr w:rsidR="009323A0" w:rsidRPr="0058047D" w14:paraId="438BFA32" w14:textId="77777777" w:rsidTr="00C86F50">
        <w:trPr>
          <w:trHeight w:val="145"/>
        </w:trPr>
        <w:tc>
          <w:tcPr>
            <w:tcW w:w="2619" w:type="dxa"/>
            <w:gridSpan w:val="2"/>
            <w:tcBorders>
              <w:bottom w:val="single" w:sz="4" w:space="0" w:color="auto"/>
            </w:tcBorders>
            <w:shd w:val="clear" w:color="auto" w:fill="auto"/>
            <w:vAlign w:val="center"/>
          </w:tcPr>
          <w:p w14:paraId="33AF858A" w14:textId="77777777" w:rsidR="00713260" w:rsidRPr="0058047D" w:rsidRDefault="00713260" w:rsidP="00E077BC">
            <w:pPr>
              <w:pStyle w:val="Heading2"/>
              <w:spacing w:beforeLines="20" w:before="48" w:afterLines="20" w:after="48"/>
              <w:ind w:left="0"/>
              <w:rPr>
                <w:rFonts w:ascii="Tahoma" w:hAnsi="Tahoma" w:cs="Tahoma"/>
                <w:b w:val="0"/>
                <w:sz w:val="14"/>
                <w:szCs w:val="14"/>
              </w:rPr>
            </w:pPr>
            <w:bookmarkStart w:id="452" w:name="_Toc371663501"/>
            <w:r w:rsidRPr="0058047D">
              <w:rPr>
                <w:rFonts w:ascii="Tahoma" w:hAnsi="Tahoma" w:cs="Tahoma"/>
                <w:b w:val="0"/>
                <w:sz w:val="14"/>
                <w:szCs w:val="14"/>
              </w:rPr>
              <w:t>Visual Studio Deployment 2013 Datacenter</w:t>
            </w:r>
            <w:bookmarkEnd w:id="452"/>
          </w:p>
        </w:tc>
        <w:tc>
          <w:tcPr>
            <w:tcW w:w="554" w:type="dxa"/>
            <w:tcBorders>
              <w:bottom w:val="single" w:sz="4" w:space="0" w:color="auto"/>
            </w:tcBorders>
            <w:shd w:val="clear" w:color="auto" w:fill="auto"/>
            <w:vAlign w:val="center"/>
          </w:tcPr>
          <w:p w14:paraId="6FA2D047" w14:textId="77777777" w:rsidR="00713260" w:rsidRPr="0058047D" w:rsidRDefault="00C86F50" w:rsidP="00713260">
            <w:pPr>
              <w:pStyle w:val="TableText"/>
              <w:widowControl w:val="0"/>
              <w:rPr>
                <w:rStyle w:val="EndnoteReference"/>
                <w:rFonts w:ascii="Tahoma" w:hAnsi="Tahoma"/>
                <w:sz w:val="13"/>
                <w:szCs w:val="13"/>
              </w:rPr>
            </w:pPr>
            <w:hyperlink w:anchor="_99_Visual_Studio" w:history="1">
              <w:r w:rsidR="00BF5FC6" w:rsidRPr="0058047D">
                <w:rPr>
                  <w:rStyle w:val="Hyperlink"/>
                  <w:b/>
                  <w:sz w:val="13"/>
                  <w:szCs w:val="13"/>
                </w:rPr>
                <w:t>99</w:t>
              </w:r>
            </w:hyperlink>
          </w:p>
        </w:tc>
        <w:tc>
          <w:tcPr>
            <w:tcW w:w="516" w:type="dxa"/>
            <w:tcBorders>
              <w:bottom w:val="single" w:sz="4" w:space="0" w:color="auto"/>
            </w:tcBorders>
            <w:shd w:val="clear" w:color="auto" w:fill="auto"/>
            <w:vAlign w:val="center"/>
          </w:tcPr>
          <w:p w14:paraId="541D2921" w14:textId="77777777" w:rsidR="00713260" w:rsidRPr="0058047D" w:rsidRDefault="00713260" w:rsidP="00713260">
            <w:pPr>
              <w:pStyle w:val="TableText"/>
              <w:widowControl w:val="0"/>
              <w:spacing w:before="80"/>
              <w:rPr>
                <w:rFonts w:ascii="Tahoma" w:hAnsi="Tahoma" w:cs="Tahoma"/>
                <w:sz w:val="13"/>
              </w:rPr>
            </w:pPr>
            <w:r w:rsidRPr="0058047D">
              <w:rPr>
                <w:rFonts w:ascii="Tahoma" w:hAnsi="Tahoma" w:cs="Tahoma"/>
                <w:sz w:val="13"/>
              </w:rPr>
              <w:t>12/13</w:t>
            </w:r>
          </w:p>
        </w:tc>
        <w:tc>
          <w:tcPr>
            <w:tcW w:w="358" w:type="dxa"/>
            <w:tcBorders>
              <w:bottom w:val="single" w:sz="4" w:space="0" w:color="auto"/>
              <w:right w:val="single" w:sz="18" w:space="0" w:color="auto"/>
            </w:tcBorders>
            <w:shd w:val="clear" w:color="auto" w:fill="auto"/>
            <w:vAlign w:val="center"/>
          </w:tcPr>
          <w:p w14:paraId="7DBFC235" w14:textId="77777777" w:rsidR="00713260" w:rsidRPr="0058047D" w:rsidRDefault="00713260" w:rsidP="00713260">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408A68AF" w14:textId="77777777" w:rsidR="00713260" w:rsidRPr="0058047D" w:rsidRDefault="00713260" w:rsidP="00713260">
            <w:pPr>
              <w:pStyle w:val="TableText"/>
              <w:widowControl w:val="0"/>
              <w:spacing w:after="120"/>
              <w:rPr>
                <w:rFonts w:ascii="Tahoma" w:hAnsi="Tahoma" w:cs="Tahoma"/>
                <w:sz w:val="13"/>
                <w:szCs w:val="13"/>
              </w:rPr>
            </w:pPr>
            <w:r w:rsidRPr="0058047D">
              <w:rPr>
                <w:rFonts w:ascii="Tahoma" w:hAnsi="Tahoma" w:cs="Tahoma"/>
                <w:sz w:val="13"/>
                <w:szCs w:val="13"/>
              </w:rPr>
              <w:t>5</w:t>
            </w:r>
          </w:p>
        </w:tc>
        <w:tc>
          <w:tcPr>
            <w:tcW w:w="324" w:type="dxa"/>
            <w:tcBorders>
              <w:bottom w:val="single" w:sz="4" w:space="0" w:color="auto"/>
            </w:tcBorders>
            <w:shd w:val="clear" w:color="auto" w:fill="auto"/>
            <w:vAlign w:val="center"/>
          </w:tcPr>
          <w:p w14:paraId="18DEDE1D" w14:textId="77777777" w:rsidR="00713260" w:rsidRPr="0058047D" w:rsidRDefault="00713260" w:rsidP="00713260">
            <w:pPr>
              <w:pStyle w:val="TableText"/>
              <w:widowControl w:val="0"/>
              <w:spacing w:after="120"/>
              <w:rPr>
                <w:rFonts w:ascii="Tahoma" w:hAnsi="Tahoma" w:cs="Tahoma"/>
                <w:sz w:val="13"/>
                <w:szCs w:val="13"/>
              </w:rPr>
            </w:pPr>
            <w:r w:rsidRPr="0058047D">
              <w:rPr>
                <w:rFonts w:ascii="Tahoma" w:hAnsi="Tahoma" w:cs="Tahoma"/>
                <w:sz w:val="13"/>
                <w:szCs w:val="13"/>
              </w:rPr>
              <w:t>13</w:t>
            </w:r>
          </w:p>
        </w:tc>
        <w:tc>
          <w:tcPr>
            <w:tcW w:w="366" w:type="dxa"/>
            <w:tcBorders>
              <w:bottom w:val="single" w:sz="4" w:space="0" w:color="auto"/>
            </w:tcBorders>
            <w:shd w:val="clear" w:color="auto" w:fill="auto"/>
            <w:vAlign w:val="center"/>
          </w:tcPr>
          <w:p w14:paraId="38FBBE86" w14:textId="77777777" w:rsidR="00713260" w:rsidRPr="0058047D" w:rsidRDefault="00713260" w:rsidP="00713260">
            <w:pPr>
              <w:pStyle w:val="TableText"/>
              <w:widowControl w:val="0"/>
              <w:spacing w:after="120"/>
              <w:rPr>
                <w:rFonts w:ascii="Tahoma" w:hAnsi="Tahoma" w:cs="Tahoma"/>
                <w:sz w:val="13"/>
                <w:szCs w:val="13"/>
              </w:rPr>
            </w:pPr>
            <w:r w:rsidRPr="0058047D">
              <w:rPr>
                <w:rFonts w:ascii="Tahoma" w:hAnsi="Tahoma" w:cs="Tahoma"/>
                <w:sz w:val="13"/>
                <w:szCs w:val="13"/>
              </w:rPr>
              <w:t>10</w:t>
            </w:r>
          </w:p>
        </w:tc>
        <w:tc>
          <w:tcPr>
            <w:tcW w:w="456" w:type="dxa"/>
            <w:gridSpan w:val="2"/>
            <w:tcBorders>
              <w:bottom w:val="single" w:sz="4" w:space="0" w:color="auto"/>
            </w:tcBorders>
            <w:shd w:val="clear" w:color="auto" w:fill="auto"/>
            <w:vAlign w:val="center"/>
          </w:tcPr>
          <w:p w14:paraId="2CC8F92A" w14:textId="77777777" w:rsidR="00713260" w:rsidRPr="0058047D" w:rsidRDefault="00713260" w:rsidP="00713260">
            <w:pPr>
              <w:pStyle w:val="TableText"/>
              <w:widowControl w:val="0"/>
              <w:spacing w:after="120"/>
              <w:rPr>
                <w:rFonts w:ascii="Tahoma" w:hAnsi="Tahoma" w:cs="Tahoma"/>
                <w:sz w:val="13"/>
                <w:szCs w:val="13"/>
              </w:rPr>
            </w:pPr>
            <w:r w:rsidRPr="0058047D">
              <w:rPr>
                <w:rFonts w:ascii="Tahoma" w:hAnsi="Tahoma" w:cs="Tahoma"/>
                <w:sz w:val="13"/>
                <w:szCs w:val="13"/>
              </w:rPr>
              <w:t>8</w:t>
            </w:r>
          </w:p>
        </w:tc>
        <w:tc>
          <w:tcPr>
            <w:tcW w:w="450" w:type="dxa"/>
            <w:tcBorders>
              <w:bottom w:val="single" w:sz="4" w:space="0" w:color="auto"/>
            </w:tcBorders>
            <w:shd w:val="clear" w:color="auto" w:fill="auto"/>
            <w:vAlign w:val="center"/>
          </w:tcPr>
          <w:p w14:paraId="350B9BF9" w14:textId="77777777" w:rsidR="00713260" w:rsidRPr="0058047D" w:rsidRDefault="00713260" w:rsidP="00713260">
            <w:pPr>
              <w:pStyle w:val="TableText"/>
              <w:widowControl w:val="0"/>
              <w:spacing w:after="120"/>
              <w:rPr>
                <w:rFonts w:ascii="Tahoma" w:hAnsi="Tahoma" w:cs="Tahoma"/>
                <w:sz w:val="13"/>
                <w:szCs w:val="13"/>
              </w:rPr>
            </w:pPr>
            <w:r w:rsidRPr="0058047D">
              <w:rPr>
                <w:rFonts w:ascii="Tahoma" w:hAnsi="Tahoma" w:cs="Tahoma"/>
                <w:sz w:val="13"/>
                <w:szCs w:val="13"/>
              </w:rPr>
              <w:t>8</w:t>
            </w:r>
          </w:p>
        </w:tc>
        <w:tc>
          <w:tcPr>
            <w:tcW w:w="450" w:type="dxa"/>
            <w:tcBorders>
              <w:bottom w:val="single" w:sz="4" w:space="0" w:color="auto"/>
            </w:tcBorders>
            <w:shd w:val="clear" w:color="auto" w:fill="auto"/>
            <w:vAlign w:val="center"/>
          </w:tcPr>
          <w:p w14:paraId="196B5F86" w14:textId="77777777" w:rsidR="00713260" w:rsidRPr="0058047D" w:rsidRDefault="00713260" w:rsidP="00713260">
            <w:pPr>
              <w:pStyle w:val="TableText"/>
              <w:widowControl w:val="0"/>
              <w:spacing w:after="120"/>
              <w:rPr>
                <w:rFonts w:ascii="Tahoma" w:hAnsi="Tahoma" w:cs="Tahoma"/>
                <w:sz w:val="13"/>
                <w:szCs w:val="13"/>
              </w:rPr>
            </w:pPr>
            <w:r w:rsidRPr="0058047D">
              <w:rPr>
                <w:rFonts w:ascii="Tahoma" w:hAnsi="Tahoma" w:cs="Tahoma"/>
                <w:sz w:val="13"/>
                <w:szCs w:val="13"/>
              </w:rPr>
              <w:t>5</w:t>
            </w:r>
          </w:p>
        </w:tc>
        <w:tc>
          <w:tcPr>
            <w:tcW w:w="336" w:type="dxa"/>
            <w:tcBorders>
              <w:bottom w:val="single" w:sz="4" w:space="0" w:color="auto"/>
              <w:right w:val="single" w:sz="18" w:space="0" w:color="auto"/>
            </w:tcBorders>
            <w:shd w:val="clear" w:color="auto" w:fill="auto"/>
            <w:vAlign w:val="center"/>
          </w:tcPr>
          <w:p w14:paraId="473C56C5" w14:textId="77777777" w:rsidR="00713260" w:rsidRPr="0058047D" w:rsidRDefault="00713260" w:rsidP="00713260">
            <w:pPr>
              <w:pStyle w:val="TableText"/>
              <w:widowControl w:val="0"/>
              <w:spacing w:after="120"/>
              <w:rPr>
                <w:rFonts w:ascii="Tahoma" w:hAnsi="Tahoma" w:cs="Tahoma"/>
                <w:sz w:val="13"/>
                <w:szCs w:val="13"/>
              </w:rPr>
            </w:pPr>
            <w:r w:rsidRPr="0058047D">
              <w:rPr>
                <w:rFonts w:ascii="Tahoma" w:hAnsi="Tahoma" w:cs="Tahoma"/>
                <w:sz w:val="13"/>
                <w:szCs w:val="13"/>
              </w:rPr>
              <w:t>3</w:t>
            </w:r>
          </w:p>
        </w:tc>
        <w:tc>
          <w:tcPr>
            <w:tcW w:w="477" w:type="dxa"/>
            <w:tcBorders>
              <w:left w:val="single" w:sz="18" w:space="0" w:color="auto"/>
              <w:bottom w:val="single" w:sz="4" w:space="0" w:color="auto"/>
            </w:tcBorders>
            <w:shd w:val="clear" w:color="auto" w:fill="auto"/>
            <w:vAlign w:val="center"/>
          </w:tcPr>
          <w:p w14:paraId="70D99B28" w14:textId="77777777" w:rsidR="00713260" w:rsidRPr="0058047D" w:rsidRDefault="00713260" w:rsidP="00713260">
            <w:pPr>
              <w:pStyle w:val="TableText"/>
              <w:widowControl w:val="0"/>
              <w:spacing w:after="120"/>
              <w:rPr>
                <w:rFonts w:ascii="Tahoma" w:hAnsi="Tahoma" w:cs="Tahoma"/>
                <w:sz w:val="13"/>
                <w:szCs w:val="13"/>
              </w:rPr>
            </w:pPr>
            <w:r w:rsidRPr="0058047D">
              <w:rPr>
                <w:rFonts w:ascii="Tahoma" w:hAnsi="Tahoma" w:cs="Tahoma"/>
                <w:sz w:val="13"/>
                <w:szCs w:val="13"/>
              </w:rPr>
              <w:t>5</w:t>
            </w:r>
          </w:p>
        </w:tc>
        <w:tc>
          <w:tcPr>
            <w:tcW w:w="450" w:type="dxa"/>
            <w:tcBorders>
              <w:bottom w:val="single" w:sz="4" w:space="0" w:color="auto"/>
            </w:tcBorders>
            <w:shd w:val="clear" w:color="auto" w:fill="auto"/>
            <w:vAlign w:val="center"/>
          </w:tcPr>
          <w:p w14:paraId="67223455" w14:textId="77777777" w:rsidR="00713260" w:rsidRPr="0058047D" w:rsidRDefault="00713260" w:rsidP="00713260">
            <w:pPr>
              <w:pStyle w:val="TableText"/>
              <w:widowControl w:val="0"/>
              <w:spacing w:after="120"/>
              <w:rPr>
                <w:rFonts w:ascii="Tahoma" w:hAnsi="Tahoma" w:cs="Tahoma"/>
                <w:sz w:val="13"/>
                <w:szCs w:val="13"/>
              </w:rPr>
            </w:pPr>
            <w:r w:rsidRPr="0058047D">
              <w:rPr>
                <w:rFonts w:ascii="Tahoma" w:hAnsi="Tahoma" w:cs="Tahoma"/>
                <w:sz w:val="13"/>
                <w:szCs w:val="13"/>
              </w:rPr>
              <w:t>10</w:t>
            </w:r>
          </w:p>
        </w:tc>
        <w:tc>
          <w:tcPr>
            <w:tcW w:w="414" w:type="dxa"/>
            <w:tcBorders>
              <w:bottom w:val="single" w:sz="4" w:space="0" w:color="auto"/>
              <w:right w:val="single" w:sz="18" w:space="0" w:color="auto"/>
            </w:tcBorders>
            <w:shd w:val="clear" w:color="auto" w:fill="auto"/>
            <w:vAlign w:val="center"/>
          </w:tcPr>
          <w:p w14:paraId="263E82D0" w14:textId="77777777" w:rsidR="00713260" w:rsidRPr="0058047D" w:rsidRDefault="00713260" w:rsidP="00713260">
            <w:pPr>
              <w:pStyle w:val="TableText"/>
              <w:widowControl w:val="0"/>
              <w:spacing w:after="120"/>
              <w:rPr>
                <w:rFonts w:ascii="Tahoma" w:hAnsi="Tahoma" w:cs="Tahoma"/>
                <w:sz w:val="13"/>
                <w:szCs w:val="13"/>
              </w:rPr>
            </w:pPr>
            <w:r w:rsidRPr="0058047D">
              <w:rPr>
                <w:rFonts w:ascii="Tahoma" w:hAnsi="Tahoma" w:cs="Tahoma"/>
                <w:sz w:val="13"/>
                <w:szCs w:val="13"/>
              </w:rPr>
              <w:t>5</w:t>
            </w:r>
          </w:p>
        </w:tc>
        <w:tc>
          <w:tcPr>
            <w:tcW w:w="468" w:type="dxa"/>
            <w:tcBorders>
              <w:left w:val="single" w:sz="18" w:space="0" w:color="auto"/>
              <w:bottom w:val="single" w:sz="4" w:space="0" w:color="auto"/>
            </w:tcBorders>
            <w:shd w:val="clear" w:color="auto" w:fill="auto"/>
            <w:vAlign w:val="center"/>
          </w:tcPr>
          <w:p w14:paraId="472D288C" w14:textId="77777777" w:rsidR="00713260" w:rsidRPr="0058047D" w:rsidRDefault="00713260" w:rsidP="00713260">
            <w:pPr>
              <w:pStyle w:val="TableText"/>
              <w:widowControl w:val="0"/>
              <w:rPr>
                <w:rFonts w:ascii="Tahoma" w:hAnsi="Tahoma" w:cs="Tahoma"/>
                <w:sz w:val="13"/>
              </w:rPr>
            </w:pPr>
            <w:r w:rsidRPr="0058047D">
              <w:rPr>
                <w:rFonts w:ascii="Tahoma" w:hAnsi="Tahoma" w:cs="Tahoma"/>
                <w:sz w:val="13"/>
              </w:rPr>
              <w:t>5</w:t>
            </w:r>
          </w:p>
        </w:tc>
        <w:tc>
          <w:tcPr>
            <w:tcW w:w="477" w:type="dxa"/>
            <w:tcBorders>
              <w:bottom w:val="single" w:sz="4" w:space="0" w:color="auto"/>
              <w:right w:val="single" w:sz="18" w:space="0" w:color="auto"/>
            </w:tcBorders>
            <w:shd w:val="clear" w:color="auto" w:fill="auto"/>
            <w:vAlign w:val="center"/>
          </w:tcPr>
          <w:p w14:paraId="2A796B89" w14:textId="77777777" w:rsidR="00713260" w:rsidRPr="0058047D" w:rsidRDefault="00713260" w:rsidP="00713260">
            <w:pPr>
              <w:pStyle w:val="TableText"/>
              <w:widowControl w:val="0"/>
              <w:rPr>
                <w:rFonts w:ascii="Tahoma" w:hAnsi="Tahoma" w:cs="Tahoma"/>
                <w:sz w:val="13"/>
              </w:rPr>
            </w:pPr>
            <w:r w:rsidRPr="0058047D">
              <w:rPr>
                <w:rFonts w:ascii="Tahoma" w:hAnsi="Tahoma" w:cs="Tahoma"/>
                <w:sz w:val="13"/>
              </w:rPr>
              <w:t>A,S</w:t>
            </w:r>
          </w:p>
        </w:tc>
        <w:tc>
          <w:tcPr>
            <w:tcW w:w="324" w:type="dxa"/>
            <w:tcBorders>
              <w:left w:val="single" w:sz="18" w:space="0" w:color="auto"/>
              <w:bottom w:val="single" w:sz="4" w:space="0" w:color="auto"/>
              <w:right w:val="single" w:sz="18" w:space="0" w:color="auto"/>
            </w:tcBorders>
            <w:shd w:val="clear" w:color="auto" w:fill="auto"/>
            <w:vAlign w:val="center"/>
          </w:tcPr>
          <w:p w14:paraId="0F1F3719" w14:textId="77777777" w:rsidR="00713260" w:rsidRPr="0058047D" w:rsidRDefault="00713260" w:rsidP="00713260">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auto"/>
            <w:vAlign w:val="center"/>
          </w:tcPr>
          <w:p w14:paraId="3B9162C5" w14:textId="77777777" w:rsidR="00713260" w:rsidRPr="0058047D" w:rsidRDefault="00713260" w:rsidP="00713260">
            <w:pPr>
              <w:pStyle w:val="TableText"/>
              <w:widowControl w:val="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auto"/>
            <w:vAlign w:val="center"/>
          </w:tcPr>
          <w:p w14:paraId="5386EB3E" w14:textId="77777777" w:rsidR="00713260" w:rsidRPr="0058047D" w:rsidRDefault="00713260" w:rsidP="00713260">
            <w:pPr>
              <w:pStyle w:val="TableText"/>
              <w:widowControl w:val="0"/>
              <w:rPr>
                <w:rFonts w:ascii="Tahoma" w:hAnsi="Tahoma" w:cs="Tahoma"/>
                <w:sz w:val="13"/>
              </w:rPr>
            </w:pPr>
          </w:p>
        </w:tc>
        <w:tc>
          <w:tcPr>
            <w:tcW w:w="405" w:type="dxa"/>
            <w:tcBorders>
              <w:bottom w:val="single" w:sz="4" w:space="0" w:color="auto"/>
            </w:tcBorders>
            <w:vAlign w:val="center"/>
          </w:tcPr>
          <w:p w14:paraId="79FB94E4" w14:textId="77777777" w:rsidR="00713260" w:rsidRPr="0058047D" w:rsidRDefault="00713260" w:rsidP="00713260">
            <w:pPr>
              <w:pStyle w:val="TableText"/>
              <w:widowControl w:val="0"/>
              <w:rPr>
                <w:rFonts w:ascii="Tahoma" w:hAnsi="Tahoma" w:cs="Tahoma"/>
                <w:sz w:val="13"/>
              </w:rPr>
            </w:pPr>
            <w:r w:rsidRPr="0058047D">
              <w:rPr>
                <w:rFonts w:ascii="Tahoma" w:hAnsi="Tahoma" w:cs="Tahoma"/>
                <w:sz w:val="13"/>
              </w:rPr>
              <w:t>A</w:t>
            </w:r>
          </w:p>
        </w:tc>
      </w:tr>
      <w:tr w:rsidR="009323A0" w:rsidRPr="0058047D" w14:paraId="020290A1" w14:textId="77777777" w:rsidTr="00C86F50">
        <w:trPr>
          <w:trHeight w:val="145"/>
        </w:trPr>
        <w:tc>
          <w:tcPr>
            <w:tcW w:w="2619" w:type="dxa"/>
            <w:gridSpan w:val="2"/>
            <w:tcBorders>
              <w:bottom w:val="single" w:sz="4" w:space="0" w:color="auto"/>
            </w:tcBorders>
            <w:shd w:val="clear" w:color="auto" w:fill="FABF8F"/>
            <w:vAlign w:val="center"/>
          </w:tcPr>
          <w:p w14:paraId="6C0A244E" w14:textId="77777777" w:rsidR="00713260" w:rsidRPr="0058047D" w:rsidRDefault="00713260" w:rsidP="00E077BC">
            <w:pPr>
              <w:pStyle w:val="Heading2"/>
              <w:spacing w:beforeLines="20" w:before="48" w:afterLines="20" w:after="48"/>
              <w:ind w:left="0"/>
              <w:rPr>
                <w:rFonts w:ascii="Tahoma" w:hAnsi="Tahoma" w:cs="Tahoma"/>
                <w:b w:val="0"/>
                <w:sz w:val="14"/>
                <w:szCs w:val="14"/>
              </w:rPr>
            </w:pPr>
            <w:bookmarkStart w:id="453" w:name="_Toc371663502"/>
            <w:r w:rsidRPr="0058047D">
              <w:rPr>
                <w:rFonts w:ascii="Tahoma" w:hAnsi="Tahoma" w:cs="Tahoma"/>
                <w:b w:val="0"/>
                <w:sz w:val="14"/>
                <w:szCs w:val="14"/>
              </w:rPr>
              <w:t>Visual Studio Deployment 2013 Datacenter</w:t>
            </w:r>
            <w:bookmarkEnd w:id="453"/>
          </w:p>
        </w:tc>
        <w:tc>
          <w:tcPr>
            <w:tcW w:w="554" w:type="dxa"/>
            <w:tcBorders>
              <w:bottom w:val="single" w:sz="4" w:space="0" w:color="auto"/>
            </w:tcBorders>
            <w:shd w:val="clear" w:color="auto" w:fill="FABF8F"/>
            <w:vAlign w:val="center"/>
          </w:tcPr>
          <w:p w14:paraId="5C1FC3DD" w14:textId="77777777" w:rsidR="00713260" w:rsidRPr="0058047D" w:rsidRDefault="00C86F50" w:rsidP="00713260">
            <w:pPr>
              <w:pStyle w:val="TableText"/>
              <w:widowControl w:val="0"/>
              <w:rPr>
                <w:rStyle w:val="EndnoteReference"/>
                <w:rFonts w:ascii="Tahoma" w:hAnsi="Tahoma"/>
                <w:sz w:val="13"/>
                <w:szCs w:val="13"/>
              </w:rPr>
            </w:pPr>
            <w:hyperlink w:anchor="_100_Visual_Studio" w:history="1">
              <w:r w:rsidR="00BF5FC6" w:rsidRPr="0058047D">
                <w:rPr>
                  <w:rStyle w:val="Hyperlink"/>
                  <w:b/>
                  <w:sz w:val="13"/>
                  <w:szCs w:val="13"/>
                </w:rPr>
                <w:t>100</w:t>
              </w:r>
            </w:hyperlink>
          </w:p>
        </w:tc>
        <w:tc>
          <w:tcPr>
            <w:tcW w:w="516" w:type="dxa"/>
            <w:tcBorders>
              <w:bottom w:val="single" w:sz="4" w:space="0" w:color="auto"/>
            </w:tcBorders>
            <w:shd w:val="clear" w:color="auto" w:fill="FABF8F"/>
            <w:vAlign w:val="center"/>
          </w:tcPr>
          <w:p w14:paraId="49A9D51E" w14:textId="77777777" w:rsidR="00713260" w:rsidRPr="0058047D" w:rsidRDefault="00713260" w:rsidP="00713260">
            <w:pPr>
              <w:pStyle w:val="TableText"/>
              <w:widowControl w:val="0"/>
              <w:spacing w:before="80"/>
              <w:rPr>
                <w:rFonts w:ascii="Tahoma" w:hAnsi="Tahoma" w:cs="Tahoma"/>
                <w:sz w:val="13"/>
              </w:rPr>
            </w:pPr>
            <w:r w:rsidRPr="0058047D">
              <w:rPr>
                <w:rFonts w:ascii="Tahoma" w:hAnsi="Tahoma" w:cs="Tahoma"/>
                <w:sz w:val="13"/>
              </w:rPr>
              <w:t>12/13</w:t>
            </w:r>
          </w:p>
        </w:tc>
        <w:tc>
          <w:tcPr>
            <w:tcW w:w="358" w:type="dxa"/>
            <w:tcBorders>
              <w:bottom w:val="single" w:sz="4" w:space="0" w:color="auto"/>
              <w:right w:val="single" w:sz="18" w:space="0" w:color="auto"/>
            </w:tcBorders>
            <w:shd w:val="clear" w:color="auto" w:fill="FABF8F"/>
            <w:vAlign w:val="center"/>
          </w:tcPr>
          <w:p w14:paraId="1361C5F4" w14:textId="77777777" w:rsidR="00713260" w:rsidRPr="0058047D" w:rsidRDefault="00713260" w:rsidP="00713260">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center"/>
          </w:tcPr>
          <w:p w14:paraId="28F3E441" w14:textId="77777777" w:rsidR="00713260" w:rsidRPr="0058047D" w:rsidRDefault="00713260" w:rsidP="00713260">
            <w:pPr>
              <w:pStyle w:val="TableText"/>
              <w:widowControl w:val="0"/>
              <w:spacing w:after="120"/>
              <w:rPr>
                <w:rFonts w:ascii="Tahoma" w:hAnsi="Tahoma" w:cs="Tahoma"/>
                <w:sz w:val="13"/>
                <w:szCs w:val="13"/>
              </w:rPr>
            </w:pPr>
            <w:r w:rsidRPr="0058047D">
              <w:rPr>
                <w:rFonts w:ascii="Tahoma" w:hAnsi="Tahoma" w:cs="Tahoma"/>
                <w:sz w:val="13"/>
                <w:szCs w:val="13"/>
              </w:rPr>
              <w:t>5</w:t>
            </w:r>
          </w:p>
        </w:tc>
        <w:tc>
          <w:tcPr>
            <w:tcW w:w="324" w:type="dxa"/>
            <w:tcBorders>
              <w:bottom w:val="single" w:sz="4" w:space="0" w:color="auto"/>
            </w:tcBorders>
            <w:shd w:val="clear" w:color="auto" w:fill="FABF8F"/>
            <w:vAlign w:val="center"/>
          </w:tcPr>
          <w:p w14:paraId="2F885773" w14:textId="77777777" w:rsidR="00713260" w:rsidRPr="0058047D" w:rsidRDefault="00713260" w:rsidP="00713260">
            <w:pPr>
              <w:pStyle w:val="TableText"/>
              <w:widowControl w:val="0"/>
              <w:spacing w:after="120"/>
              <w:rPr>
                <w:rFonts w:ascii="Tahoma" w:hAnsi="Tahoma" w:cs="Tahoma"/>
                <w:sz w:val="13"/>
                <w:szCs w:val="13"/>
              </w:rPr>
            </w:pPr>
            <w:r w:rsidRPr="0058047D">
              <w:rPr>
                <w:rFonts w:ascii="Tahoma" w:hAnsi="Tahoma" w:cs="Tahoma"/>
                <w:sz w:val="13"/>
                <w:szCs w:val="13"/>
              </w:rPr>
              <w:t>13</w:t>
            </w:r>
          </w:p>
        </w:tc>
        <w:tc>
          <w:tcPr>
            <w:tcW w:w="366" w:type="dxa"/>
            <w:tcBorders>
              <w:bottom w:val="single" w:sz="4" w:space="0" w:color="auto"/>
            </w:tcBorders>
            <w:shd w:val="clear" w:color="auto" w:fill="FABF8F"/>
            <w:vAlign w:val="center"/>
          </w:tcPr>
          <w:p w14:paraId="1C8F9558" w14:textId="77777777" w:rsidR="00713260" w:rsidRPr="0058047D" w:rsidRDefault="00713260" w:rsidP="00713260">
            <w:pPr>
              <w:pStyle w:val="TableText"/>
              <w:widowControl w:val="0"/>
              <w:spacing w:after="120"/>
              <w:rPr>
                <w:rFonts w:ascii="Tahoma" w:hAnsi="Tahoma" w:cs="Tahoma"/>
                <w:sz w:val="13"/>
                <w:szCs w:val="13"/>
              </w:rPr>
            </w:pPr>
            <w:r w:rsidRPr="0058047D">
              <w:rPr>
                <w:rFonts w:ascii="Tahoma" w:hAnsi="Tahoma" w:cs="Tahoma"/>
                <w:sz w:val="13"/>
                <w:szCs w:val="13"/>
              </w:rPr>
              <w:t>10</w:t>
            </w:r>
          </w:p>
        </w:tc>
        <w:tc>
          <w:tcPr>
            <w:tcW w:w="456" w:type="dxa"/>
            <w:gridSpan w:val="2"/>
            <w:tcBorders>
              <w:bottom w:val="single" w:sz="4" w:space="0" w:color="auto"/>
            </w:tcBorders>
            <w:shd w:val="clear" w:color="auto" w:fill="FABF8F"/>
            <w:vAlign w:val="center"/>
          </w:tcPr>
          <w:p w14:paraId="4B611E25" w14:textId="77777777" w:rsidR="00713260" w:rsidRPr="0058047D" w:rsidRDefault="00713260" w:rsidP="00713260">
            <w:pPr>
              <w:pStyle w:val="TableText"/>
              <w:widowControl w:val="0"/>
              <w:spacing w:after="120"/>
              <w:rPr>
                <w:rFonts w:ascii="Tahoma" w:hAnsi="Tahoma" w:cs="Tahoma"/>
                <w:sz w:val="13"/>
                <w:szCs w:val="13"/>
              </w:rPr>
            </w:pPr>
            <w:r w:rsidRPr="0058047D">
              <w:rPr>
                <w:rFonts w:ascii="Tahoma" w:hAnsi="Tahoma" w:cs="Tahoma"/>
                <w:sz w:val="13"/>
                <w:szCs w:val="13"/>
              </w:rPr>
              <w:t>8</w:t>
            </w:r>
          </w:p>
        </w:tc>
        <w:tc>
          <w:tcPr>
            <w:tcW w:w="450" w:type="dxa"/>
            <w:tcBorders>
              <w:bottom w:val="single" w:sz="4" w:space="0" w:color="auto"/>
            </w:tcBorders>
            <w:shd w:val="clear" w:color="auto" w:fill="FABF8F"/>
            <w:vAlign w:val="center"/>
          </w:tcPr>
          <w:p w14:paraId="67CE4EBA" w14:textId="77777777" w:rsidR="00713260" w:rsidRPr="0058047D" w:rsidRDefault="00713260" w:rsidP="00713260">
            <w:pPr>
              <w:pStyle w:val="TableText"/>
              <w:widowControl w:val="0"/>
              <w:spacing w:after="120"/>
              <w:rPr>
                <w:rFonts w:ascii="Tahoma" w:hAnsi="Tahoma" w:cs="Tahoma"/>
                <w:sz w:val="13"/>
                <w:szCs w:val="13"/>
              </w:rPr>
            </w:pPr>
            <w:r w:rsidRPr="0058047D">
              <w:rPr>
                <w:rFonts w:ascii="Tahoma" w:hAnsi="Tahoma" w:cs="Tahoma"/>
                <w:sz w:val="13"/>
                <w:szCs w:val="13"/>
              </w:rPr>
              <w:t>8</w:t>
            </w:r>
          </w:p>
        </w:tc>
        <w:tc>
          <w:tcPr>
            <w:tcW w:w="450" w:type="dxa"/>
            <w:tcBorders>
              <w:bottom w:val="single" w:sz="4" w:space="0" w:color="auto"/>
            </w:tcBorders>
            <w:shd w:val="clear" w:color="auto" w:fill="FABF8F"/>
            <w:vAlign w:val="center"/>
          </w:tcPr>
          <w:p w14:paraId="70AF14E0" w14:textId="77777777" w:rsidR="00713260" w:rsidRPr="0058047D" w:rsidRDefault="00713260" w:rsidP="00713260">
            <w:pPr>
              <w:pStyle w:val="TableText"/>
              <w:widowControl w:val="0"/>
              <w:spacing w:after="120"/>
              <w:rPr>
                <w:rFonts w:ascii="Tahoma" w:hAnsi="Tahoma" w:cs="Tahoma"/>
                <w:sz w:val="13"/>
                <w:szCs w:val="13"/>
              </w:rPr>
            </w:pPr>
            <w:r w:rsidRPr="0058047D">
              <w:rPr>
                <w:rFonts w:ascii="Tahoma" w:hAnsi="Tahoma" w:cs="Tahoma"/>
                <w:sz w:val="13"/>
                <w:szCs w:val="13"/>
              </w:rPr>
              <w:t>5</w:t>
            </w:r>
          </w:p>
        </w:tc>
        <w:tc>
          <w:tcPr>
            <w:tcW w:w="336" w:type="dxa"/>
            <w:tcBorders>
              <w:bottom w:val="single" w:sz="4" w:space="0" w:color="auto"/>
              <w:right w:val="single" w:sz="18" w:space="0" w:color="auto"/>
            </w:tcBorders>
            <w:shd w:val="clear" w:color="auto" w:fill="FABF8F"/>
            <w:vAlign w:val="center"/>
          </w:tcPr>
          <w:p w14:paraId="07C0D761" w14:textId="77777777" w:rsidR="00713260" w:rsidRPr="0058047D" w:rsidRDefault="00713260" w:rsidP="00713260">
            <w:pPr>
              <w:pStyle w:val="TableText"/>
              <w:widowControl w:val="0"/>
              <w:spacing w:after="120"/>
              <w:rPr>
                <w:rFonts w:ascii="Tahoma" w:hAnsi="Tahoma" w:cs="Tahoma"/>
                <w:sz w:val="13"/>
                <w:szCs w:val="13"/>
              </w:rPr>
            </w:pPr>
            <w:r w:rsidRPr="0058047D">
              <w:rPr>
                <w:rFonts w:ascii="Tahoma" w:hAnsi="Tahoma" w:cs="Tahoma"/>
                <w:sz w:val="13"/>
                <w:szCs w:val="13"/>
              </w:rPr>
              <w:t>3</w:t>
            </w:r>
          </w:p>
        </w:tc>
        <w:tc>
          <w:tcPr>
            <w:tcW w:w="477" w:type="dxa"/>
            <w:tcBorders>
              <w:left w:val="single" w:sz="18" w:space="0" w:color="auto"/>
              <w:bottom w:val="single" w:sz="4" w:space="0" w:color="auto"/>
            </w:tcBorders>
            <w:shd w:val="clear" w:color="auto" w:fill="FABF8F"/>
            <w:vAlign w:val="center"/>
          </w:tcPr>
          <w:p w14:paraId="0C135D69" w14:textId="77777777" w:rsidR="00713260" w:rsidRPr="0058047D" w:rsidRDefault="00713260" w:rsidP="00713260">
            <w:pPr>
              <w:pStyle w:val="TableText"/>
              <w:widowControl w:val="0"/>
              <w:spacing w:after="120"/>
              <w:rPr>
                <w:rFonts w:ascii="Tahoma" w:hAnsi="Tahoma" w:cs="Tahoma"/>
                <w:sz w:val="13"/>
                <w:szCs w:val="13"/>
              </w:rPr>
            </w:pPr>
            <w:r w:rsidRPr="0058047D">
              <w:rPr>
                <w:rFonts w:ascii="Tahoma" w:hAnsi="Tahoma" w:cs="Tahoma"/>
                <w:sz w:val="13"/>
                <w:szCs w:val="13"/>
              </w:rPr>
              <w:t>5</w:t>
            </w:r>
          </w:p>
        </w:tc>
        <w:tc>
          <w:tcPr>
            <w:tcW w:w="450" w:type="dxa"/>
            <w:tcBorders>
              <w:bottom w:val="single" w:sz="4" w:space="0" w:color="auto"/>
            </w:tcBorders>
            <w:shd w:val="clear" w:color="auto" w:fill="FABF8F"/>
            <w:vAlign w:val="center"/>
          </w:tcPr>
          <w:p w14:paraId="5DF34F52" w14:textId="77777777" w:rsidR="00713260" w:rsidRPr="0058047D" w:rsidRDefault="00713260" w:rsidP="00713260">
            <w:pPr>
              <w:pStyle w:val="TableText"/>
              <w:widowControl w:val="0"/>
              <w:spacing w:after="120"/>
              <w:rPr>
                <w:rFonts w:ascii="Tahoma" w:hAnsi="Tahoma" w:cs="Tahoma"/>
                <w:sz w:val="13"/>
                <w:szCs w:val="13"/>
              </w:rPr>
            </w:pPr>
            <w:r w:rsidRPr="0058047D">
              <w:rPr>
                <w:rFonts w:ascii="Tahoma" w:hAnsi="Tahoma" w:cs="Tahoma"/>
                <w:sz w:val="13"/>
                <w:szCs w:val="13"/>
              </w:rPr>
              <w:t>10</w:t>
            </w:r>
          </w:p>
        </w:tc>
        <w:tc>
          <w:tcPr>
            <w:tcW w:w="414" w:type="dxa"/>
            <w:tcBorders>
              <w:bottom w:val="single" w:sz="4" w:space="0" w:color="auto"/>
              <w:right w:val="single" w:sz="18" w:space="0" w:color="auto"/>
            </w:tcBorders>
            <w:shd w:val="clear" w:color="auto" w:fill="FABF8F"/>
            <w:vAlign w:val="center"/>
          </w:tcPr>
          <w:p w14:paraId="5A36F63F" w14:textId="77777777" w:rsidR="00713260" w:rsidRPr="0058047D" w:rsidRDefault="00713260" w:rsidP="00713260">
            <w:pPr>
              <w:pStyle w:val="TableText"/>
              <w:widowControl w:val="0"/>
              <w:spacing w:after="120"/>
              <w:rPr>
                <w:rFonts w:ascii="Tahoma" w:hAnsi="Tahoma" w:cs="Tahoma"/>
                <w:sz w:val="13"/>
                <w:szCs w:val="13"/>
              </w:rPr>
            </w:pPr>
            <w:r w:rsidRPr="0058047D">
              <w:rPr>
                <w:rFonts w:ascii="Tahoma" w:hAnsi="Tahoma" w:cs="Tahoma"/>
                <w:sz w:val="13"/>
                <w:szCs w:val="13"/>
              </w:rPr>
              <w:t>5</w:t>
            </w:r>
          </w:p>
        </w:tc>
        <w:tc>
          <w:tcPr>
            <w:tcW w:w="468" w:type="dxa"/>
            <w:tcBorders>
              <w:left w:val="single" w:sz="18" w:space="0" w:color="auto"/>
              <w:bottom w:val="single" w:sz="4" w:space="0" w:color="auto"/>
            </w:tcBorders>
            <w:shd w:val="clear" w:color="auto" w:fill="FABF8F"/>
            <w:vAlign w:val="center"/>
          </w:tcPr>
          <w:p w14:paraId="0991B997" w14:textId="77777777" w:rsidR="00713260" w:rsidRPr="0058047D" w:rsidRDefault="00713260" w:rsidP="00713260">
            <w:pPr>
              <w:pStyle w:val="TableText"/>
              <w:widowControl w:val="0"/>
              <w:rPr>
                <w:rFonts w:ascii="Tahoma" w:hAnsi="Tahoma" w:cs="Tahoma"/>
                <w:sz w:val="13"/>
              </w:rPr>
            </w:pPr>
            <w:r w:rsidRPr="0058047D">
              <w:rPr>
                <w:rFonts w:ascii="Tahoma" w:hAnsi="Tahoma" w:cs="Tahoma"/>
                <w:sz w:val="13"/>
              </w:rPr>
              <w:t>5</w:t>
            </w:r>
          </w:p>
        </w:tc>
        <w:tc>
          <w:tcPr>
            <w:tcW w:w="477" w:type="dxa"/>
            <w:tcBorders>
              <w:bottom w:val="single" w:sz="4" w:space="0" w:color="auto"/>
              <w:right w:val="single" w:sz="18" w:space="0" w:color="auto"/>
            </w:tcBorders>
            <w:shd w:val="clear" w:color="auto" w:fill="FABF8F"/>
            <w:vAlign w:val="center"/>
          </w:tcPr>
          <w:p w14:paraId="36897C25" w14:textId="77777777" w:rsidR="00713260" w:rsidRPr="0058047D" w:rsidRDefault="00713260" w:rsidP="00713260">
            <w:pPr>
              <w:pStyle w:val="TableText"/>
              <w:widowControl w:val="0"/>
              <w:rPr>
                <w:rFonts w:ascii="Tahoma" w:hAnsi="Tahoma" w:cs="Tahoma"/>
                <w:sz w:val="13"/>
              </w:rPr>
            </w:pPr>
            <w:r w:rsidRPr="0058047D">
              <w:rPr>
                <w:rFonts w:ascii="Tahoma" w:hAnsi="Tahoma" w:cs="Tahoma"/>
                <w:sz w:val="13"/>
              </w:rPr>
              <w:t>A,S</w:t>
            </w:r>
          </w:p>
        </w:tc>
        <w:tc>
          <w:tcPr>
            <w:tcW w:w="324" w:type="dxa"/>
            <w:tcBorders>
              <w:left w:val="single" w:sz="18" w:space="0" w:color="auto"/>
              <w:bottom w:val="single" w:sz="4" w:space="0" w:color="auto"/>
              <w:right w:val="single" w:sz="18" w:space="0" w:color="auto"/>
            </w:tcBorders>
            <w:shd w:val="clear" w:color="auto" w:fill="FABF8F"/>
            <w:vAlign w:val="center"/>
          </w:tcPr>
          <w:p w14:paraId="536C6A50" w14:textId="77777777" w:rsidR="00713260" w:rsidRPr="0058047D" w:rsidRDefault="00713260" w:rsidP="00713260">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vAlign w:val="center"/>
          </w:tcPr>
          <w:p w14:paraId="013754DC" w14:textId="77777777" w:rsidR="00713260" w:rsidRPr="0058047D" w:rsidRDefault="00713260" w:rsidP="00713260">
            <w:pPr>
              <w:pStyle w:val="TableText"/>
              <w:widowControl w:val="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FABF8F"/>
            <w:vAlign w:val="center"/>
          </w:tcPr>
          <w:p w14:paraId="42BF2E93" w14:textId="77777777" w:rsidR="00713260" w:rsidRPr="0058047D" w:rsidRDefault="00713260" w:rsidP="00713260">
            <w:pPr>
              <w:pStyle w:val="TableText"/>
              <w:widowControl w:val="0"/>
              <w:rPr>
                <w:rFonts w:ascii="Tahoma" w:hAnsi="Tahoma" w:cs="Tahoma"/>
                <w:sz w:val="13"/>
              </w:rPr>
            </w:pPr>
          </w:p>
        </w:tc>
        <w:tc>
          <w:tcPr>
            <w:tcW w:w="405" w:type="dxa"/>
            <w:tcBorders>
              <w:bottom w:val="single" w:sz="4" w:space="0" w:color="auto"/>
            </w:tcBorders>
            <w:shd w:val="clear" w:color="auto" w:fill="FABF8F"/>
            <w:vAlign w:val="center"/>
          </w:tcPr>
          <w:p w14:paraId="3B6A8F27" w14:textId="77777777" w:rsidR="00713260" w:rsidRPr="0058047D" w:rsidRDefault="00713260" w:rsidP="00713260">
            <w:pPr>
              <w:pStyle w:val="TableText"/>
              <w:widowControl w:val="0"/>
              <w:rPr>
                <w:rFonts w:ascii="Tahoma" w:hAnsi="Tahoma" w:cs="Tahoma"/>
                <w:sz w:val="13"/>
              </w:rPr>
            </w:pPr>
            <w:r w:rsidRPr="0058047D">
              <w:rPr>
                <w:rFonts w:ascii="Tahoma" w:hAnsi="Tahoma" w:cs="Tahoma"/>
                <w:sz w:val="13"/>
              </w:rPr>
              <w:t>A</w:t>
            </w:r>
          </w:p>
        </w:tc>
      </w:tr>
      <w:tr w:rsidR="009323A0" w:rsidRPr="0058047D" w14:paraId="19DD414E" w14:textId="77777777" w:rsidTr="00C86F50">
        <w:trPr>
          <w:trHeight w:val="145"/>
        </w:trPr>
        <w:tc>
          <w:tcPr>
            <w:tcW w:w="2619" w:type="dxa"/>
            <w:gridSpan w:val="2"/>
            <w:tcBorders>
              <w:bottom w:val="single" w:sz="4" w:space="0" w:color="auto"/>
            </w:tcBorders>
            <w:shd w:val="clear" w:color="auto" w:fill="auto"/>
            <w:vAlign w:val="center"/>
          </w:tcPr>
          <w:p w14:paraId="37733293" w14:textId="77777777" w:rsidR="00913A0A" w:rsidRPr="0058047D" w:rsidRDefault="00913A0A" w:rsidP="00E077BC">
            <w:pPr>
              <w:pStyle w:val="Heading2"/>
              <w:spacing w:beforeLines="20" w:before="48" w:afterLines="20" w:after="48"/>
              <w:ind w:left="0"/>
              <w:rPr>
                <w:rFonts w:ascii="Tahoma" w:hAnsi="Tahoma" w:cs="Tahoma"/>
                <w:b w:val="0"/>
                <w:sz w:val="14"/>
                <w:szCs w:val="14"/>
              </w:rPr>
            </w:pPr>
            <w:bookmarkStart w:id="454" w:name="_Toc336338109"/>
            <w:bookmarkStart w:id="455" w:name="_Toc371663503"/>
            <w:r w:rsidRPr="0058047D">
              <w:rPr>
                <w:rFonts w:ascii="Tahoma" w:hAnsi="Tahoma" w:cs="Tahoma"/>
                <w:b w:val="0"/>
                <w:sz w:val="14"/>
                <w:szCs w:val="14"/>
              </w:rPr>
              <w:t>Visual Studio</w:t>
            </w:r>
            <w:r w:rsidR="00E53A46" w:rsidRPr="0058047D">
              <w:rPr>
                <w:rFonts w:ascii="Tahoma" w:eastAsia="Times New Roman" w:hAnsi="Tahoma" w:cs="Tahoma"/>
                <w:b w:val="0"/>
                <w:color w:val="000000"/>
                <w:sz w:val="14"/>
                <w:szCs w:val="14"/>
                <w:vertAlign w:val="superscript"/>
              </w:rPr>
              <w:t>®</w:t>
            </w:r>
            <w:r w:rsidRPr="0058047D">
              <w:rPr>
                <w:rFonts w:ascii="Tahoma" w:hAnsi="Tahoma" w:cs="Tahoma"/>
                <w:b w:val="0"/>
                <w:sz w:val="14"/>
                <w:szCs w:val="14"/>
              </w:rPr>
              <w:t xml:space="preserve"> Team Foundation Server 2013 con Tecnologia SQL Server 2012</w:t>
            </w:r>
            <w:bookmarkEnd w:id="454"/>
            <w:bookmarkEnd w:id="455"/>
          </w:p>
        </w:tc>
        <w:tc>
          <w:tcPr>
            <w:tcW w:w="554" w:type="dxa"/>
            <w:tcBorders>
              <w:bottom w:val="single" w:sz="4" w:space="0" w:color="auto"/>
            </w:tcBorders>
            <w:shd w:val="clear" w:color="auto" w:fill="auto"/>
            <w:vAlign w:val="center"/>
          </w:tcPr>
          <w:p w14:paraId="5968132F" w14:textId="77777777" w:rsidR="00913A0A" w:rsidRPr="0058047D" w:rsidRDefault="00913A0A" w:rsidP="001A63C6">
            <w:pPr>
              <w:pStyle w:val="TableText"/>
              <w:widowControl w:val="0"/>
              <w:rPr>
                <w:rStyle w:val="EndnoteReference"/>
                <w:rFonts w:ascii="Tahoma" w:hAnsi="Tahoma"/>
                <w:sz w:val="13"/>
                <w:szCs w:val="13"/>
              </w:rPr>
            </w:pPr>
          </w:p>
        </w:tc>
        <w:tc>
          <w:tcPr>
            <w:tcW w:w="516" w:type="dxa"/>
            <w:tcBorders>
              <w:bottom w:val="single" w:sz="4" w:space="0" w:color="auto"/>
            </w:tcBorders>
            <w:shd w:val="clear" w:color="auto" w:fill="auto"/>
            <w:vAlign w:val="center"/>
          </w:tcPr>
          <w:p w14:paraId="08B4E47E"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09/12</w:t>
            </w:r>
          </w:p>
        </w:tc>
        <w:tc>
          <w:tcPr>
            <w:tcW w:w="358" w:type="dxa"/>
            <w:tcBorders>
              <w:bottom w:val="single" w:sz="4" w:space="0" w:color="auto"/>
              <w:right w:val="single" w:sz="18" w:space="0" w:color="auto"/>
            </w:tcBorders>
            <w:shd w:val="clear" w:color="auto" w:fill="auto"/>
            <w:vAlign w:val="center"/>
          </w:tcPr>
          <w:p w14:paraId="1EAE774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262215BD"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5</w:t>
            </w:r>
          </w:p>
        </w:tc>
        <w:tc>
          <w:tcPr>
            <w:tcW w:w="324" w:type="dxa"/>
            <w:tcBorders>
              <w:bottom w:val="single" w:sz="4" w:space="0" w:color="auto"/>
            </w:tcBorders>
            <w:shd w:val="clear" w:color="auto" w:fill="auto"/>
            <w:vAlign w:val="center"/>
          </w:tcPr>
          <w:p w14:paraId="04A8C9AF"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13</w:t>
            </w:r>
          </w:p>
        </w:tc>
        <w:tc>
          <w:tcPr>
            <w:tcW w:w="366" w:type="dxa"/>
            <w:tcBorders>
              <w:bottom w:val="single" w:sz="4" w:space="0" w:color="auto"/>
            </w:tcBorders>
            <w:shd w:val="clear" w:color="auto" w:fill="auto"/>
            <w:vAlign w:val="center"/>
          </w:tcPr>
          <w:p w14:paraId="5A4DDFC4"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10</w:t>
            </w:r>
          </w:p>
        </w:tc>
        <w:tc>
          <w:tcPr>
            <w:tcW w:w="456" w:type="dxa"/>
            <w:gridSpan w:val="2"/>
            <w:tcBorders>
              <w:bottom w:val="single" w:sz="4" w:space="0" w:color="auto"/>
            </w:tcBorders>
            <w:shd w:val="clear" w:color="auto" w:fill="auto"/>
            <w:vAlign w:val="center"/>
          </w:tcPr>
          <w:p w14:paraId="788E4DF2"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8</w:t>
            </w:r>
          </w:p>
        </w:tc>
        <w:tc>
          <w:tcPr>
            <w:tcW w:w="450" w:type="dxa"/>
            <w:tcBorders>
              <w:bottom w:val="single" w:sz="4" w:space="0" w:color="auto"/>
            </w:tcBorders>
            <w:shd w:val="clear" w:color="auto" w:fill="auto"/>
            <w:vAlign w:val="center"/>
          </w:tcPr>
          <w:p w14:paraId="065144C3"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8</w:t>
            </w:r>
          </w:p>
        </w:tc>
        <w:tc>
          <w:tcPr>
            <w:tcW w:w="450" w:type="dxa"/>
            <w:tcBorders>
              <w:bottom w:val="single" w:sz="4" w:space="0" w:color="auto"/>
            </w:tcBorders>
            <w:shd w:val="clear" w:color="auto" w:fill="auto"/>
            <w:vAlign w:val="center"/>
          </w:tcPr>
          <w:p w14:paraId="76C7AC73"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5</w:t>
            </w:r>
          </w:p>
        </w:tc>
        <w:tc>
          <w:tcPr>
            <w:tcW w:w="336" w:type="dxa"/>
            <w:tcBorders>
              <w:bottom w:val="single" w:sz="4" w:space="0" w:color="auto"/>
              <w:right w:val="single" w:sz="18" w:space="0" w:color="auto"/>
            </w:tcBorders>
            <w:shd w:val="clear" w:color="auto" w:fill="auto"/>
            <w:vAlign w:val="center"/>
          </w:tcPr>
          <w:p w14:paraId="652FC025"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3</w:t>
            </w:r>
          </w:p>
        </w:tc>
        <w:tc>
          <w:tcPr>
            <w:tcW w:w="477" w:type="dxa"/>
            <w:tcBorders>
              <w:left w:val="single" w:sz="18" w:space="0" w:color="auto"/>
              <w:bottom w:val="single" w:sz="4" w:space="0" w:color="auto"/>
            </w:tcBorders>
            <w:shd w:val="clear" w:color="auto" w:fill="auto"/>
            <w:vAlign w:val="center"/>
          </w:tcPr>
          <w:p w14:paraId="73EB3BC2"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5</w:t>
            </w:r>
          </w:p>
        </w:tc>
        <w:tc>
          <w:tcPr>
            <w:tcW w:w="450" w:type="dxa"/>
            <w:tcBorders>
              <w:bottom w:val="single" w:sz="4" w:space="0" w:color="auto"/>
            </w:tcBorders>
            <w:shd w:val="clear" w:color="auto" w:fill="auto"/>
            <w:vAlign w:val="center"/>
          </w:tcPr>
          <w:p w14:paraId="22606608"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10</w:t>
            </w:r>
          </w:p>
        </w:tc>
        <w:tc>
          <w:tcPr>
            <w:tcW w:w="414" w:type="dxa"/>
            <w:tcBorders>
              <w:bottom w:val="single" w:sz="4" w:space="0" w:color="auto"/>
              <w:right w:val="single" w:sz="18" w:space="0" w:color="auto"/>
            </w:tcBorders>
            <w:shd w:val="clear" w:color="auto" w:fill="auto"/>
            <w:vAlign w:val="center"/>
          </w:tcPr>
          <w:p w14:paraId="673711C0"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5</w:t>
            </w:r>
          </w:p>
        </w:tc>
        <w:tc>
          <w:tcPr>
            <w:tcW w:w="468" w:type="dxa"/>
            <w:tcBorders>
              <w:left w:val="single" w:sz="18" w:space="0" w:color="auto"/>
              <w:bottom w:val="single" w:sz="4" w:space="0" w:color="auto"/>
            </w:tcBorders>
            <w:shd w:val="clear" w:color="auto" w:fill="auto"/>
            <w:vAlign w:val="center"/>
          </w:tcPr>
          <w:p w14:paraId="46B0F29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w:t>
            </w:r>
          </w:p>
        </w:tc>
        <w:tc>
          <w:tcPr>
            <w:tcW w:w="477" w:type="dxa"/>
            <w:tcBorders>
              <w:bottom w:val="single" w:sz="4" w:space="0" w:color="auto"/>
              <w:right w:val="single" w:sz="18" w:space="0" w:color="auto"/>
            </w:tcBorders>
            <w:shd w:val="clear" w:color="auto" w:fill="auto"/>
            <w:vAlign w:val="center"/>
          </w:tcPr>
          <w:p w14:paraId="0D56ECF6"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A,S</w:t>
            </w:r>
          </w:p>
        </w:tc>
        <w:tc>
          <w:tcPr>
            <w:tcW w:w="324" w:type="dxa"/>
            <w:tcBorders>
              <w:left w:val="single" w:sz="18" w:space="0" w:color="auto"/>
              <w:bottom w:val="single" w:sz="4" w:space="0" w:color="auto"/>
              <w:right w:val="single" w:sz="18" w:space="0" w:color="auto"/>
            </w:tcBorders>
            <w:shd w:val="clear" w:color="auto" w:fill="auto"/>
            <w:vAlign w:val="center"/>
          </w:tcPr>
          <w:p w14:paraId="5ACD60FF"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auto"/>
            <w:vAlign w:val="center"/>
          </w:tcPr>
          <w:p w14:paraId="140F095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auto"/>
            <w:vAlign w:val="center"/>
          </w:tcPr>
          <w:p w14:paraId="1FE69F0F"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tcPr>
          <w:p w14:paraId="6D70C25C"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STP</w:t>
            </w:r>
          </w:p>
        </w:tc>
      </w:tr>
      <w:tr w:rsidR="009323A0" w:rsidRPr="0058047D" w14:paraId="0AD6E8F0" w14:textId="77777777" w:rsidTr="00C86F50">
        <w:trPr>
          <w:trHeight w:val="145"/>
        </w:trPr>
        <w:tc>
          <w:tcPr>
            <w:tcW w:w="2619" w:type="dxa"/>
            <w:gridSpan w:val="2"/>
            <w:tcBorders>
              <w:bottom w:val="single" w:sz="4" w:space="0" w:color="auto"/>
            </w:tcBorders>
            <w:shd w:val="clear" w:color="auto" w:fill="FABF8F"/>
            <w:vAlign w:val="center"/>
          </w:tcPr>
          <w:p w14:paraId="581F06CE" w14:textId="77777777" w:rsidR="00913A0A" w:rsidRPr="003F471F" w:rsidRDefault="00913A0A" w:rsidP="00E077BC">
            <w:pPr>
              <w:pStyle w:val="Heading2"/>
              <w:spacing w:beforeLines="20" w:before="48" w:afterLines="20" w:after="48"/>
              <w:ind w:left="0"/>
              <w:rPr>
                <w:rFonts w:ascii="Tahoma" w:hAnsi="Tahoma" w:cs="Tahoma"/>
                <w:b w:val="0"/>
                <w:sz w:val="14"/>
                <w:szCs w:val="14"/>
                <w:lang w:val="it-IT"/>
              </w:rPr>
            </w:pPr>
            <w:bookmarkStart w:id="456" w:name="_Toc254805933"/>
            <w:bookmarkStart w:id="457" w:name="_Toc336338110"/>
            <w:bookmarkStart w:id="458" w:name="_Toc371663504"/>
            <w:r w:rsidRPr="003F471F">
              <w:rPr>
                <w:rFonts w:ascii="Tahoma" w:hAnsi="Tahoma" w:cs="Tahoma"/>
                <w:b w:val="0"/>
                <w:sz w:val="14"/>
                <w:szCs w:val="14"/>
                <w:lang w:val="it-IT"/>
              </w:rPr>
              <w:t>CAL per Dispositivo per Visual Studio</w:t>
            </w:r>
            <w:r w:rsidR="00E53A46" w:rsidRPr="003F471F">
              <w:rPr>
                <w:rFonts w:ascii="Tahoma" w:hAnsi="Tahoma" w:cs="Tahoma"/>
                <w:b w:val="0"/>
                <w:sz w:val="14"/>
                <w:szCs w:val="14"/>
                <w:vertAlign w:val="superscript"/>
                <w:lang w:val="it-IT"/>
              </w:rPr>
              <w:t>®</w:t>
            </w:r>
            <w:r w:rsidRPr="003F471F">
              <w:rPr>
                <w:rFonts w:ascii="Tahoma" w:hAnsi="Tahoma" w:cs="Tahoma"/>
                <w:b w:val="0"/>
                <w:sz w:val="14"/>
                <w:szCs w:val="14"/>
                <w:lang w:val="it-IT"/>
              </w:rPr>
              <w:t xml:space="preserve"> Team Foundation Server 2013</w:t>
            </w:r>
            <w:bookmarkEnd w:id="456"/>
            <w:bookmarkEnd w:id="457"/>
            <w:bookmarkEnd w:id="458"/>
          </w:p>
        </w:tc>
        <w:tc>
          <w:tcPr>
            <w:tcW w:w="554" w:type="dxa"/>
            <w:tcBorders>
              <w:bottom w:val="single" w:sz="4" w:space="0" w:color="auto"/>
            </w:tcBorders>
            <w:shd w:val="clear" w:color="auto" w:fill="FABF8F"/>
            <w:vAlign w:val="center"/>
          </w:tcPr>
          <w:p w14:paraId="3954F2E4" w14:textId="77777777" w:rsidR="00913A0A" w:rsidRPr="003F471F" w:rsidRDefault="00913A0A" w:rsidP="001A63C6">
            <w:pPr>
              <w:pStyle w:val="TableText"/>
              <w:widowControl w:val="0"/>
              <w:rPr>
                <w:rStyle w:val="EndnoteReference"/>
                <w:rFonts w:ascii="Tahoma" w:hAnsi="Tahoma"/>
                <w:sz w:val="13"/>
                <w:szCs w:val="13"/>
                <w:lang w:val="it-IT"/>
              </w:rPr>
            </w:pPr>
          </w:p>
        </w:tc>
        <w:tc>
          <w:tcPr>
            <w:tcW w:w="516" w:type="dxa"/>
            <w:tcBorders>
              <w:bottom w:val="single" w:sz="4" w:space="0" w:color="auto"/>
            </w:tcBorders>
            <w:shd w:val="clear" w:color="auto" w:fill="FABF8F"/>
            <w:vAlign w:val="center"/>
          </w:tcPr>
          <w:p w14:paraId="0AF6D771"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09/12</w:t>
            </w:r>
          </w:p>
        </w:tc>
        <w:tc>
          <w:tcPr>
            <w:tcW w:w="358" w:type="dxa"/>
            <w:tcBorders>
              <w:bottom w:val="single" w:sz="4" w:space="0" w:color="auto"/>
              <w:right w:val="single" w:sz="18" w:space="0" w:color="auto"/>
            </w:tcBorders>
            <w:shd w:val="clear" w:color="auto" w:fill="FABF8F"/>
            <w:vAlign w:val="center"/>
          </w:tcPr>
          <w:p w14:paraId="3AB3CFE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center"/>
          </w:tcPr>
          <w:p w14:paraId="1F3AF608"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5</w:t>
            </w:r>
          </w:p>
        </w:tc>
        <w:tc>
          <w:tcPr>
            <w:tcW w:w="324" w:type="dxa"/>
            <w:tcBorders>
              <w:bottom w:val="single" w:sz="4" w:space="0" w:color="auto"/>
            </w:tcBorders>
            <w:shd w:val="clear" w:color="auto" w:fill="FABF8F"/>
            <w:vAlign w:val="center"/>
          </w:tcPr>
          <w:p w14:paraId="33FD5E15"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13</w:t>
            </w:r>
          </w:p>
        </w:tc>
        <w:tc>
          <w:tcPr>
            <w:tcW w:w="366" w:type="dxa"/>
            <w:tcBorders>
              <w:bottom w:val="single" w:sz="4" w:space="0" w:color="auto"/>
            </w:tcBorders>
            <w:shd w:val="clear" w:color="auto" w:fill="FABF8F"/>
            <w:vAlign w:val="center"/>
          </w:tcPr>
          <w:p w14:paraId="1A0F28EB"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10</w:t>
            </w:r>
          </w:p>
        </w:tc>
        <w:tc>
          <w:tcPr>
            <w:tcW w:w="456" w:type="dxa"/>
            <w:gridSpan w:val="2"/>
            <w:tcBorders>
              <w:bottom w:val="single" w:sz="4" w:space="0" w:color="auto"/>
            </w:tcBorders>
            <w:shd w:val="clear" w:color="auto" w:fill="FABF8F"/>
            <w:vAlign w:val="center"/>
          </w:tcPr>
          <w:p w14:paraId="52A17851"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8</w:t>
            </w:r>
          </w:p>
        </w:tc>
        <w:tc>
          <w:tcPr>
            <w:tcW w:w="450" w:type="dxa"/>
            <w:tcBorders>
              <w:bottom w:val="single" w:sz="4" w:space="0" w:color="auto"/>
            </w:tcBorders>
            <w:shd w:val="clear" w:color="auto" w:fill="FABF8F"/>
            <w:vAlign w:val="center"/>
          </w:tcPr>
          <w:p w14:paraId="17919711"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8</w:t>
            </w:r>
          </w:p>
        </w:tc>
        <w:tc>
          <w:tcPr>
            <w:tcW w:w="450" w:type="dxa"/>
            <w:tcBorders>
              <w:bottom w:val="single" w:sz="4" w:space="0" w:color="auto"/>
            </w:tcBorders>
            <w:shd w:val="clear" w:color="auto" w:fill="FABF8F"/>
            <w:vAlign w:val="center"/>
          </w:tcPr>
          <w:p w14:paraId="475D2045"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5</w:t>
            </w:r>
          </w:p>
        </w:tc>
        <w:tc>
          <w:tcPr>
            <w:tcW w:w="336" w:type="dxa"/>
            <w:tcBorders>
              <w:bottom w:val="single" w:sz="4" w:space="0" w:color="auto"/>
              <w:right w:val="single" w:sz="18" w:space="0" w:color="auto"/>
            </w:tcBorders>
            <w:shd w:val="clear" w:color="auto" w:fill="FABF8F"/>
            <w:vAlign w:val="center"/>
          </w:tcPr>
          <w:p w14:paraId="5AABE0A4"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3</w:t>
            </w:r>
          </w:p>
        </w:tc>
        <w:tc>
          <w:tcPr>
            <w:tcW w:w="477" w:type="dxa"/>
            <w:tcBorders>
              <w:left w:val="single" w:sz="18" w:space="0" w:color="auto"/>
              <w:bottom w:val="single" w:sz="4" w:space="0" w:color="auto"/>
            </w:tcBorders>
            <w:shd w:val="clear" w:color="auto" w:fill="FABF8F"/>
            <w:vAlign w:val="center"/>
          </w:tcPr>
          <w:p w14:paraId="0ED5CACC"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5</w:t>
            </w:r>
          </w:p>
        </w:tc>
        <w:tc>
          <w:tcPr>
            <w:tcW w:w="450" w:type="dxa"/>
            <w:tcBorders>
              <w:bottom w:val="single" w:sz="4" w:space="0" w:color="auto"/>
            </w:tcBorders>
            <w:shd w:val="clear" w:color="auto" w:fill="FABF8F"/>
            <w:vAlign w:val="center"/>
          </w:tcPr>
          <w:p w14:paraId="3AD1B812"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10</w:t>
            </w:r>
          </w:p>
        </w:tc>
        <w:tc>
          <w:tcPr>
            <w:tcW w:w="414" w:type="dxa"/>
            <w:tcBorders>
              <w:bottom w:val="single" w:sz="4" w:space="0" w:color="auto"/>
              <w:right w:val="single" w:sz="18" w:space="0" w:color="auto"/>
            </w:tcBorders>
            <w:shd w:val="clear" w:color="auto" w:fill="FABF8F"/>
            <w:vAlign w:val="center"/>
          </w:tcPr>
          <w:p w14:paraId="1A8F5AB7"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5</w:t>
            </w:r>
          </w:p>
        </w:tc>
        <w:tc>
          <w:tcPr>
            <w:tcW w:w="468" w:type="dxa"/>
            <w:tcBorders>
              <w:left w:val="single" w:sz="18" w:space="0" w:color="auto"/>
              <w:bottom w:val="single" w:sz="4" w:space="0" w:color="auto"/>
            </w:tcBorders>
            <w:shd w:val="clear" w:color="auto" w:fill="FABF8F"/>
            <w:vAlign w:val="center"/>
          </w:tcPr>
          <w:p w14:paraId="0897DF9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w:t>
            </w:r>
          </w:p>
        </w:tc>
        <w:tc>
          <w:tcPr>
            <w:tcW w:w="477" w:type="dxa"/>
            <w:tcBorders>
              <w:bottom w:val="single" w:sz="4" w:space="0" w:color="auto"/>
              <w:right w:val="single" w:sz="18" w:space="0" w:color="auto"/>
            </w:tcBorders>
            <w:shd w:val="clear" w:color="auto" w:fill="FABF8F"/>
            <w:vAlign w:val="center"/>
          </w:tcPr>
          <w:p w14:paraId="45699E2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A,S</w:t>
            </w:r>
          </w:p>
        </w:tc>
        <w:tc>
          <w:tcPr>
            <w:tcW w:w="324" w:type="dxa"/>
            <w:tcBorders>
              <w:left w:val="single" w:sz="18" w:space="0" w:color="auto"/>
              <w:bottom w:val="single" w:sz="4" w:space="0" w:color="auto"/>
              <w:right w:val="single" w:sz="18" w:space="0" w:color="auto"/>
            </w:tcBorders>
            <w:shd w:val="clear" w:color="auto" w:fill="FABF8F"/>
            <w:vAlign w:val="center"/>
          </w:tcPr>
          <w:p w14:paraId="7FE48F56"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vAlign w:val="center"/>
          </w:tcPr>
          <w:p w14:paraId="7E5BC24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FABF8F"/>
            <w:vAlign w:val="center"/>
          </w:tcPr>
          <w:p w14:paraId="21396807"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3258919C"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STP</w:t>
            </w:r>
          </w:p>
        </w:tc>
      </w:tr>
      <w:tr w:rsidR="009323A0" w:rsidRPr="0058047D" w14:paraId="5922B964" w14:textId="77777777" w:rsidTr="00C86F50">
        <w:trPr>
          <w:trHeight w:val="145"/>
        </w:trPr>
        <w:tc>
          <w:tcPr>
            <w:tcW w:w="2619" w:type="dxa"/>
            <w:gridSpan w:val="2"/>
            <w:tcBorders>
              <w:bottom w:val="single" w:sz="4" w:space="0" w:color="auto"/>
            </w:tcBorders>
            <w:shd w:val="clear" w:color="auto" w:fill="auto"/>
            <w:vAlign w:val="center"/>
          </w:tcPr>
          <w:p w14:paraId="71B2FBCD" w14:textId="77777777" w:rsidR="00913A0A" w:rsidRPr="0058047D" w:rsidRDefault="00913A0A" w:rsidP="00E077BC">
            <w:pPr>
              <w:pStyle w:val="Heading2"/>
              <w:spacing w:beforeLines="20" w:before="48" w:afterLines="20" w:after="48"/>
              <w:ind w:left="0"/>
              <w:rPr>
                <w:rFonts w:ascii="Tahoma" w:hAnsi="Tahoma" w:cs="Tahoma"/>
                <w:b w:val="0"/>
                <w:sz w:val="14"/>
                <w:szCs w:val="14"/>
              </w:rPr>
            </w:pPr>
            <w:bookmarkStart w:id="459" w:name="_Toc254805934"/>
            <w:bookmarkStart w:id="460" w:name="_Toc336338111"/>
            <w:bookmarkStart w:id="461" w:name="_Toc371663505"/>
            <w:r w:rsidRPr="0058047D">
              <w:rPr>
                <w:rFonts w:ascii="Tahoma" w:hAnsi="Tahoma" w:cs="Tahoma"/>
                <w:b w:val="0"/>
                <w:sz w:val="14"/>
                <w:szCs w:val="14"/>
              </w:rPr>
              <w:t>User CAL per Visual Studio</w:t>
            </w:r>
            <w:r w:rsidR="00E53A46" w:rsidRPr="0058047D">
              <w:rPr>
                <w:rFonts w:ascii="Tahoma" w:hAnsi="Tahoma" w:cs="Tahoma"/>
                <w:b w:val="0"/>
                <w:sz w:val="14"/>
                <w:szCs w:val="14"/>
                <w:vertAlign w:val="superscript"/>
              </w:rPr>
              <w:t>®</w:t>
            </w:r>
            <w:r w:rsidRPr="0058047D">
              <w:rPr>
                <w:rFonts w:ascii="Tahoma" w:hAnsi="Tahoma" w:cs="Tahoma"/>
                <w:b w:val="0"/>
                <w:sz w:val="14"/>
                <w:szCs w:val="14"/>
              </w:rPr>
              <w:t xml:space="preserve"> Team Foundation Server 2013</w:t>
            </w:r>
            <w:bookmarkEnd w:id="459"/>
            <w:bookmarkEnd w:id="460"/>
            <w:bookmarkEnd w:id="461"/>
          </w:p>
        </w:tc>
        <w:tc>
          <w:tcPr>
            <w:tcW w:w="554" w:type="dxa"/>
            <w:tcBorders>
              <w:bottom w:val="single" w:sz="4" w:space="0" w:color="auto"/>
            </w:tcBorders>
            <w:shd w:val="clear" w:color="auto" w:fill="auto"/>
            <w:vAlign w:val="center"/>
          </w:tcPr>
          <w:p w14:paraId="7A72E5A6" w14:textId="77777777" w:rsidR="00913A0A" w:rsidRPr="0058047D" w:rsidRDefault="00913A0A" w:rsidP="001A63C6">
            <w:pPr>
              <w:pStyle w:val="TableText"/>
              <w:widowControl w:val="0"/>
              <w:rPr>
                <w:rStyle w:val="EndnoteReference"/>
                <w:rFonts w:ascii="Tahoma" w:hAnsi="Tahoma"/>
                <w:sz w:val="13"/>
                <w:szCs w:val="13"/>
              </w:rPr>
            </w:pPr>
          </w:p>
        </w:tc>
        <w:tc>
          <w:tcPr>
            <w:tcW w:w="516" w:type="dxa"/>
            <w:tcBorders>
              <w:bottom w:val="single" w:sz="4" w:space="0" w:color="auto"/>
            </w:tcBorders>
            <w:shd w:val="clear" w:color="auto" w:fill="auto"/>
            <w:vAlign w:val="center"/>
          </w:tcPr>
          <w:p w14:paraId="24E10D03"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09/12</w:t>
            </w:r>
          </w:p>
        </w:tc>
        <w:tc>
          <w:tcPr>
            <w:tcW w:w="358" w:type="dxa"/>
            <w:tcBorders>
              <w:bottom w:val="single" w:sz="4" w:space="0" w:color="auto"/>
              <w:right w:val="single" w:sz="18" w:space="0" w:color="auto"/>
            </w:tcBorders>
            <w:shd w:val="clear" w:color="auto" w:fill="auto"/>
            <w:vAlign w:val="center"/>
          </w:tcPr>
          <w:p w14:paraId="68BD01B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35F85460"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5</w:t>
            </w:r>
          </w:p>
        </w:tc>
        <w:tc>
          <w:tcPr>
            <w:tcW w:w="324" w:type="dxa"/>
            <w:tcBorders>
              <w:bottom w:val="single" w:sz="4" w:space="0" w:color="auto"/>
            </w:tcBorders>
            <w:shd w:val="clear" w:color="auto" w:fill="auto"/>
            <w:vAlign w:val="center"/>
          </w:tcPr>
          <w:p w14:paraId="12C9C0DE"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13</w:t>
            </w:r>
          </w:p>
        </w:tc>
        <w:tc>
          <w:tcPr>
            <w:tcW w:w="366" w:type="dxa"/>
            <w:tcBorders>
              <w:bottom w:val="single" w:sz="4" w:space="0" w:color="auto"/>
            </w:tcBorders>
            <w:shd w:val="clear" w:color="auto" w:fill="auto"/>
            <w:vAlign w:val="center"/>
          </w:tcPr>
          <w:p w14:paraId="60F8BDE4"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10</w:t>
            </w:r>
          </w:p>
        </w:tc>
        <w:tc>
          <w:tcPr>
            <w:tcW w:w="456" w:type="dxa"/>
            <w:gridSpan w:val="2"/>
            <w:tcBorders>
              <w:bottom w:val="single" w:sz="4" w:space="0" w:color="auto"/>
            </w:tcBorders>
            <w:shd w:val="clear" w:color="auto" w:fill="auto"/>
            <w:vAlign w:val="center"/>
          </w:tcPr>
          <w:p w14:paraId="4199CB57"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8</w:t>
            </w:r>
          </w:p>
        </w:tc>
        <w:tc>
          <w:tcPr>
            <w:tcW w:w="450" w:type="dxa"/>
            <w:tcBorders>
              <w:bottom w:val="single" w:sz="4" w:space="0" w:color="auto"/>
            </w:tcBorders>
            <w:shd w:val="clear" w:color="auto" w:fill="auto"/>
            <w:vAlign w:val="center"/>
          </w:tcPr>
          <w:p w14:paraId="441A9794"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8</w:t>
            </w:r>
          </w:p>
        </w:tc>
        <w:tc>
          <w:tcPr>
            <w:tcW w:w="450" w:type="dxa"/>
            <w:tcBorders>
              <w:bottom w:val="single" w:sz="4" w:space="0" w:color="auto"/>
            </w:tcBorders>
            <w:shd w:val="clear" w:color="auto" w:fill="auto"/>
            <w:vAlign w:val="center"/>
          </w:tcPr>
          <w:p w14:paraId="4B35F3D6"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5</w:t>
            </w:r>
          </w:p>
        </w:tc>
        <w:tc>
          <w:tcPr>
            <w:tcW w:w="336" w:type="dxa"/>
            <w:tcBorders>
              <w:bottom w:val="single" w:sz="4" w:space="0" w:color="auto"/>
              <w:right w:val="single" w:sz="18" w:space="0" w:color="auto"/>
            </w:tcBorders>
            <w:shd w:val="clear" w:color="auto" w:fill="auto"/>
            <w:vAlign w:val="center"/>
          </w:tcPr>
          <w:p w14:paraId="6FD8483C"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3</w:t>
            </w:r>
          </w:p>
        </w:tc>
        <w:tc>
          <w:tcPr>
            <w:tcW w:w="477" w:type="dxa"/>
            <w:tcBorders>
              <w:left w:val="single" w:sz="18" w:space="0" w:color="auto"/>
              <w:bottom w:val="single" w:sz="4" w:space="0" w:color="auto"/>
            </w:tcBorders>
            <w:shd w:val="clear" w:color="auto" w:fill="auto"/>
            <w:vAlign w:val="center"/>
          </w:tcPr>
          <w:p w14:paraId="57580A6D"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5</w:t>
            </w:r>
          </w:p>
        </w:tc>
        <w:tc>
          <w:tcPr>
            <w:tcW w:w="450" w:type="dxa"/>
            <w:tcBorders>
              <w:bottom w:val="single" w:sz="4" w:space="0" w:color="auto"/>
            </w:tcBorders>
            <w:shd w:val="clear" w:color="auto" w:fill="auto"/>
            <w:vAlign w:val="center"/>
          </w:tcPr>
          <w:p w14:paraId="6794CF56"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10</w:t>
            </w:r>
          </w:p>
        </w:tc>
        <w:tc>
          <w:tcPr>
            <w:tcW w:w="414" w:type="dxa"/>
            <w:tcBorders>
              <w:bottom w:val="single" w:sz="4" w:space="0" w:color="auto"/>
              <w:right w:val="single" w:sz="18" w:space="0" w:color="auto"/>
            </w:tcBorders>
            <w:shd w:val="clear" w:color="auto" w:fill="auto"/>
            <w:vAlign w:val="center"/>
          </w:tcPr>
          <w:p w14:paraId="52E30AFB" w14:textId="77777777" w:rsidR="00913A0A" w:rsidRPr="0058047D" w:rsidRDefault="00913A0A" w:rsidP="001A63C6">
            <w:pPr>
              <w:pStyle w:val="TableText"/>
              <w:widowControl w:val="0"/>
              <w:spacing w:after="120"/>
              <w:rPr>
                <w:rFonts w:ascii="Tahoma" w:hAnsi="Tahoma" w:cs="Tahoma"/>
                <w:sz w:val="13"/>
                <w:szCs w:val="13"/>
              </w:rPr>
            </w:pPr>
            <w:r w:rsidRPr="0058047D">
              <w:rPr>
                <w:rFonts w:ascii="Tahoma" w:hAnsi="Tahoma" w:cs="Tahoma"/>
                <w:sz w:val="13"/>
                <w:szCs w:val="13"/>
              </w:rPr>
              <w:t>5</w:t>
            </w:r>
          </w:p>
        </w:tc>
        <w:tc>
          <w:tcPr>
            <w:tcW w:w="468" w:type="dxa"/>
            <w:tcBorders>
              <w:left w:val="single" w:sz="18" w:space="0" w:color="auto"/>
              <w:bottom w:val="single" w:sz="4" w:space="0" w:color="auto"/>
            </w:tcBorders>
            <w:shd w:val="clear" w:color="auto" w:fill="auto"/>
            <w:vAlign w:val="center"/>
          </w:tcPr>
          <w:p w14:paraId="6B2918DF"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w:t>
            </w:r>
          </w:p>
        </w:tc>
        <w:tc>
          <w:tcPr>
            <w:tcW w:w="477" w:type="dxa"/>
            <w:tcBorders>
              <w:bottom w:val="single" w:sz="4" w:space="0" w:color="auto"/>
              <w:right w:val="single" w:sz="18" w:space="0" w:color="auto"/>
            </w:tcBorders>
            <w:shd w:val="clear" w:color="auto" w:fill="auto"/>
            <w:vAlign w:val="center"/>
          </w:tcPr>
          <w:p w14:paraId="22AC0D1D"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A,S</w:t>
            </w:r>
          </w:p>
        </w:tc>
        <w:tc>
          <w:tcPr>
            <w:tcW w:w="324" w:type="dxa"/>
            <w:tcBorders>
              <w:left w:val="single" w:sz="18" w:space="0" w:color="auto"/>
              <w:bottom w:val="single" w:sz="4" w:space="0" w:color="auto"/>
              <w:right w:val="single" w:sz="18" w:space="0" w:color="auto"/>
            </w:tcBorders>
            <w:shd w:val="clear" w:color="auto" w:fill="auto"/>
            <w:vAlign w:val="center"/>
          </w:tcPr>
          <w:p w14:paraId="3D7FCCCE"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auto"/>
            <w:vAlign w:val="center"/>
          </w:tcPr>
          <w:p w14:paraId="6AE0C84F"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auto"/>
            <w:vAlign w:val="center"/>
          </w:tcPr>
          <w:p w14:paraId="4C7177DC"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tcPr>
          <w:p w14:paraId="381001D2"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STP</w:t>
            </w:r>
          </w:p>
        </w:tc>
      </w:tr>
      <w:tr w:rsidR="009323A0" w:rsidRPr="0058047D" w14:paraId="5127E418" w14:textId="77777777" w:rsidTr="00C86F50">
        <w:trPr>
          <w:trHeight w:val="287"/>
        </w:trPr>
        <w:tc>
          <w:tcPr>
            <w:tcW w:w="2619" w:type="dxa"/>
            <w:gridSpan w:val="2"/>
            <w:tcBorders>
              <w:bottom w:val="single" w:sz="4" w:space="0" w:color="auto"/>
            </w:tcBorders>
            <w:shd w:val="clear" w:color="auto" w:fill="FABF8F"/>
            <w:vAlign w:val="center"/>
          </w:tcPr>
          <w:p w14:paraId="242F24F2" w14:textId="77777777" w:rsidR="00913A0A" w:rsidRPr="0058047D" w:rsidRDefault="00913A0A" w:rsidP="00E077BC">
            <w:pPr>
              <w:pStyle w:val="Heading2"/>
              <w:spacing w:beforeLines="20" w:before="48" w:afterLines="20" w:after="48"/>
              <w:ind w:left="0"/>
              <w:rPr>
                <w:rFonts w:ascii="Tahoma" w:hAnsi="Tahoma" w:cs="Tahoma"/>
                <w:b w:val="0"/>
                <w:sz w:val="14"/>
              </w:rPr>
            </w:pPr>
            <w:bookmarkStart w:id="462" w:name="_Toc371663506"/>
            <w:r w:rsidRPr="0058047D">
              <w:rPr>
                <w:rFonts w:ascii="Tahoma" w:hAnsi="Tahoma" w:cs="Tahoma"/>
                <w:b w:val="0"/>
                <w:sz w:val="14"/>
              </w:rPr>
              <w:t>Windows Azure Active Directory Rights Management (SL per Utente)</w:t>
            </w:r>
            <w:bookmarkEnd w:id="462"/>
          </w:p>
        </w:tc>
        <w:tc>
          <w:tcPr>
            <w:tcW w:w="554" w:type="dxa"/>
            <w:tcBorders>
              <w:bottom w:val="single" w:sz="4" w:space="0" w:color="auto"/>
            </w:tcBorders>
            <w:shd w:val="clear" w:color="auto" w:fill="FABF8F"/>
            <w:vAlign w:val="center"/>
          </w:tcPr>
          <w:p w14:paraId="3FA915CE" w14:textId="77777777" w:rsidR="00913A0A" w:rsidRPr="0058047D" w:rsidRDefault="00913A0A" w:rsidP="00FC4741">
            <w:pPr>
              <w:pStyle w:val="TableText"/>
              <w:widowControl w:val="0"/>
              <w:spacing w:before="100" w:beforeAutospacing="1"/>
            </w:pPr>
          </w:p>
        </w:tc>
        <w:tc>
          <w:tcPr>
            <w:tcW w:w="516" w:type="dxa"/>
            <w:tcBorders>
              <w:bottom w:val="single" w:sz="4" w:space="0" w:color="auto"/>
            </w:tcBorders>
            <w:shd w:val="clear" w:color="auto" w:fill="FABF8F"/>
            <w:vAlign w:val="center"/>
          </w:tcPr>
          <w:p w14:paraId="54B65B06"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9/13</w:t>
            </w:r>
          </w:p>
        </w:tc>
        <w:tc>
          <w:tcPr>
            <w:tcW w:w="358" w:type="dxa"/>
            <w:tcBorders>
              <w:bottom w:val="single" w:sz="4" w:space="0" w:color="auto"/>
              <w:right w:val="single" w:sz="18" w:space="0" w:color="auto"/>
            </w:tcBorders>
            <w:shd w:val="clear" w:color="auto" w:fill="FABF8F"/>
            <w:vAlign w:val="center"/>
          </w:tcPr>
          <w:p w14:paraId="72CED130"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center"/>
          </w:tcPr>
          <w:p w14:paraId="033C20BE"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34C0C7B4"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62BA2473"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1A153B61"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B93A56C"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A3DE804"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23FABBBE"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65013D24"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B93751A"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63005D48"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2007704B"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586BBE9E"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387C9747"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1EC45D81"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6E43E81D"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3E2CA0F6"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26C53031" w14:textId="77777777" w:rsidTr="00C86F50">
        <w:trPr>
          <w:trHeight w:val="287"/>
        </w:trPr>
        <w:tc>
          <w:tcPr>
            <w:tcW w:w="2619" w:type="dxa"/>
            <w:gridSpan w:val="2"/>
            <w:tcBorders>
              <w:bottom w:val="single" w:sz="4" w:space="0" w:color="auto"/>
            </w:tcBorders>
            <w:shd w:val="clear" w:color="auto" w:fill="auto"/>
            <w:vAlign w:val="center"/>
          </w:tcPr>
          <w:p w14:paraId="026647B0" w14:textId="77777777" w:rsidR="00ED3095" w:rsidRPr="0058047D" w:rsidRDefault="00ED3095" w:rsidP="00E077BC">
            <w:pPr>
              <w:pStyle w:val="Heading2"/>
              <w:spacing w:beforeLines="20" w:before="48" w:afterLines="20" w:after="48"/>
              <w:ind w:left="0"/>
              <w:rPr>
                <w:rFonts w:ascii="Tahoma" w:hAnsi="Tahoma" w:cs="Tahoma"/>
                <w:b w:val="0"/>
                <w:sz w:val="14"/>
              </w:rPr>
            </w:pPr>
            <w:bookmarkStart w:id="463" w:name="_Toc371663507"/>
            <w:r w:rsidRPr="0058047D">
              <w:rPr>
                <w:rFonts w:ascii="Tahoma" w:hAnsi="Tahoma" w:cs="Tahoma"/>
                <w:b w:val="0"/>
                <w:sz w:val="14"/>
              </w:rPr>
              <w:t>Windows Azure Active Directory Rights Management Academic (SL per Utente)</w:t>
            </w:r>
            <w:bookmarkEnd w:id="463"/>
          </w:p>
        </w:tc>
        <w:tc>
          <w:tcPr>
            <w:tcW w:w="554" w:type="dxa"/>
            <w:tcBorders>
              <w:bottom w:val="single" w:sz="4" w:space="0" w:color="auto"/>
            </w:tcBorders>
            <w:shd w:val="clear" w:color="auto" w:fill="auto"/>
            <w:vAlign w:val="center"/>
          </w:tcPr>
          <w:p w14:paraId="28D8CBAF" w14:textId="77777777" w:rsidR="00ED3095" w:rsidRPr="0058047D" w:rsidRDefault="00ED3095" w:rsidP="00FC4741">
            <w:pPr>
              <w:pStyle w:val="TableText"/>
              <w:widowControl w:val="0"/>
              <w:spacing w:before="100" w:beforeAutospacing="1"/>
            </w:pPr>
          </w:p>
        </w:tc>
        <w:tc>
          <w:tcPr>
            <w:tcW w:w="516" w:type="dxa"/>
            <w:tcBorders>
              <w:bottom w:val="single" w:sz="4" w:space="0" w:color="auto"/>
            </w:tcBorders>
            <w:shd w:val="clear" w:color="auto" w:fill="auto"/>
            <w:vAlign w:val="center"/>
          </w:tcPr>
          <w:p w14:paraId="200ABA84" w14:textId="77777777" w:rsidR="00ED3095" w:rsidRPr="0058047D" w:rsidRDefault="00ED3095" w:rsidP="001A63C6">
            <w:pPr>
              <w:pStyle w:val="TableText"/>
              <w:widowControl w:val="0"/>
              <w:spacing w:before="80"/>
              <w:rPr>
                <w:rFonts w:ascii="Tahoma" w:hAnsi="Tahoma" w:cs="Tahoma"/>
                <w:sz w:val="13"/>
              </w:rPr>
            </w:pPr>
            <w:r w:rsidRPr="0058047D">
              <w:rPr>
                <w:rFonts w:ascii="Tahoma" w:hAnsi="Tahoma" w:cs="Tahoma"/>
                <w:sz w:val="13"/>
              </w:rPr>
              <w:t>11/13</w:t>
            </w:r>
          </w:p>
        </w:tc>
        <w:tc>
          <w:tcPr>
            <w:tcW w:w="358" w:type="dxa"/>
            <w:tcBorders>
              <w:bottom w:val="single" w:sz="4" w:space="0" w:color="auto"/>
              <w:right w:val="single" w:sz="18" w:space="0" w:color="auto"/>
            </w:tcBorders>
            <w:shd w:val="clear" w:color="auto" w:fill="auto"/>
            <w:vAlign w:val="center"/>
          </w:tcPr>
          <w:p w14:paraId="56A21E70" w14:textId="77777777" w:rsidR="00ED3095" w:rsidRPr="0058047D" w:rsidRDefault="00ED3095"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24768947" w14:textId="77777777" w:rsidR="00ED3095" w:rsidRPr="0058047D" w:rsidRDefault="00ED3095"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727D336B" w14:textId="77777777" w:rsidR="00ED3095" w:rsidRPr="0058047D" w:rsidRDefault="00ED3095"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482A8CC7" w14:textId="77777777" w:rsidR="00ED3095" w:rsidRPr="0058047D" w:rsidRDefault="00ED3095"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23678057" w14:textId="77777777" w:rsidR="00ED3095" w:rsidRPr="0058047D" w:rsidRDefault="00ED3095"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4B35F79" w14:textId="77777777" w:rsidR="00ED3095" w:rsidRPr="0058047D" w:rsidRDefault="00ED3095"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06284F2" w14:textId="77777777" w:rsidR="00ED3095" w:rsidRPr="0058047D" w:rsidRDefault="00ED3095"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5E92DF2D" w14:textId="77777777" w:rsidR="00ED3095" w:rsidRPr="0058047D" w:rsidRDefault="00ED3095"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4388A215" w14:textId="77777777" w:rsidR="00ED3095" w:rsidRPr="0058047D" w:rsidRDefault="00ED3095"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BBED498" w14:textId="77777777" w:rsidR="00ED3095" w:rsidRPr="0058047D" w:rsidRDefault="00ED3095"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12EECAAD" w14:textId="77777777" w:rsidR="00ED3095" w:rsidRPr="0058047D" w:rsidRDefault="00ED3095"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6DE20146" w14:textId="77777777" w:rsidR="00ED3095" w:rsidRPr="0058047D" w:rsidRDefault="00ED3095" w:rsidP="001A63C6">
            <w:pPr>
              <w:pStyle w:val="TableText"/>
              <w:widowControl w:val="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auto"/>
            <w:vAlign w:val="center"/>
          </w:tcPr>
          <w:p w14:paraId="1257BDA3" w14:textId="77777777" w:rsidR="00ED3095" w:rsidRPr="0058047D" w:rsidRDefault="00ED3095"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4B12DC92" w14:textId="77777777" w:rsidR="00ED3095" w:rsidRPr="0058047D" w:rsidRDefault="00ED3095" w:rsidP="001A63C6">
            <w:pPr>
              <w:pStyle w:val="TableText"/>
              <w:widowControl w:val="0"/>
              <w:rPr>
                <w:rFonts w:ascii="Tahoma" w:hAnsi="Tahoma" w:cs="Tahoma"/>
                <w:sz w:val="13"/>
              </w:rPr>
            </w:pPr>
          </w:p>
        </w:tc>
        <w:tc>
          <w:tcPr>
            <w:tcW w:w="655" w:type="dxa"/>
            <w:tcBorders>
              <w:bottom w:val="single" w:sz="4" w:space="0" w:color="auto"/>
            </w:tcBorders>
            <w:shd w:val="clear" w:color="auto" w:fill="auto"/>
          </w:tcPr>
          <w:p w14:paraId="2DA4BC62" w14:textId="77777777" w:rsidR="00ED3095" w:rsidRPr="0058047D" w:rsidRDefault="00ED3095" w:rsidP="001A63C6">
            <w:pPr>
              <w:pStyle w:val="TableText"/>
              <w:widowControl w:val="0"/>
              <w:rPr>
                <w:rFonts w:ascii="Tahoma" w:hAnsi="Tahoma" w:cs="Tahoma"/>
                <w:sz w:val="13"/>
              </w:rPr>
            </w:pPr>
            <w:r w:rsidRPr="0058047D">
              <w:rPr>
                <w:rFonts w:ascii="Tahoma" w:hAnsi="Tahoma" w:cs="Tahoma"/>
                <w:sz w:val="13"/>
              </w:rPr>
              <w:t>A, ST (solo EES)</w:t>
            </w:r>
          </w:p>
        </w:tc>
        <w:tc>
          <w:tcPr>
            <w:tcW w:w="504" w:type="dxa"/>
            <w:tcBorders>
              <w:bottom w:val="single" w:sz="4" w:space="0" w:color="auto"/>
            </w:tcBorders>
            <w:shd w:val="clear" w:color="auto" w:fill="auto"/>
            <w:vAlign w:val="center"/>
          </w:tcPr>
          <w:p w14:paraId="23DBD24C" w14:textId="77777777" w:rsidR="00ED3095" w:rsidRPr="0058047D" w:rsidRDefault="00ED3095" w:rsidP="001A63C6">
            <w:pPr>
              <w:pStyle w:val="TableText"/>
              <w:widowControl w:val="0"/>
              <w:rPr>
                <w:rFonts w:ascii="Tahoma" w:hAnsi="Tahoma" w:cs="Tahoma"/>
                <w:sz w:val="13"/>
              </w:rPr>
            </w:pPr>
          </w:p>
        </w:tc>
        <w:tc>
          <w:tcPr>
            <w:tcW w:w="405" w:type="dxa"/>
            <w:tcBorders>
              <w:bottom w:val="single" w:sz="4" w:space="0" w:color="auto"/>
            </w:tcBorders>
            <w:shd w:val="clear" w:color="auto" w:fill="auto"/>
          </w:tcPr>
          <w:p w14:paraId="431F6728" w14:textId="77777777" w:rsidR="00ED3095" w:rsidRPr="0058047D" w:rsidRDefault="00ED3095" w:rsidP="001A63C6">
            <w:pPr>
              <w:pStyle w:val="TableText"/>
              <w:widowControl w:val="0"/>
              <w:rPr>
                <w:rFonts w:ascii="Tahoma" w:hAnsi="Tahoma" w:cs="Tahoma"/>
                <w:sz w:val="13"/>
              </w:rPr>
            </w:pPr>
          </w:p>
        </w:tc>
      </w:tr>
      <w:tr w:rsidR="009323A0" w:rsidRPr="0058047D" w14:paraId="3B5D1CB6" w14:textId="77777777" w:rsidTr="00C86F50">
        <w:trPr>
          <w:trHeight w:val="287"/>
        </w:trPr>
        <w:tc>
          <w:tcPr>
            <w:tcW w:w="2619" w:type="dxa"/>
            <w:gridSpan w:val="2"/>
            <w:tcBorders>
              <w:bottom w:val="single" w:sz="4" w:space="0" w:color="auto"/>
            </w:tcBorders>
            <w:shd w:val="clear" w:color="auto" w:fill="FABF8F"/>
            <w:vAlign w:val="center"/>
          </w:tcPr>
          <w:p w14:paraId="75D6864A" w14:textId="77777777" w:rsidR="00913A0A" w:rsidRPr="0058047D" w:rsidRDefault="00913A0A" w:rsidP="00E077BC">
            <w:pPr>
              <w:pStyle w:val="Heading2"/>
              <w:spacing w:beforeLines="20" w:before="48" w:afterLines="20" w:after="48"/>
              <w:ind w:left="0"/>
              <w:rPr>
                <w:rFonts w:ascii="Tahoma" w:hAnsi="Tahoma" w:cs="Tahoma"/>
                <w:b w:val="0"/>
                <w:sz w:val="14"/>
              </w:rPr>
            </w:pPr>
            <w:bookmarkStart w:id="464" w:name="_Toc371663508"/>
            <w:r w:rsidRPr="0058047D">
              <w:rPr>
                <w:rFonts w:ascii="Tahoma" w:hAnsi="Tahoma" w:cs="Tahoma"/>
                <w:b w:val="0"/>
                <w:sz w:val="14"/>
              </w:rPr>
              <w:t>Windows Azure Active Directory Rights Management Add-on (SL per Utente)</w:t>
            </w:r>
            <w:bookmarkEnd w:id="464"/>
          </w:p>
        </w:tc>
        <w:tc>
          <w:tcPr>
            <w:tcW w:w="554" w:type="dxa"/>
            <w:tcBorders>
              <w:bottom w:val="single" w:sz="4" w:space="0" w:color="auto"/>
            </w:tcBorders>
            <w:shd w:val="clear" w:color="auto" w:fill="FABF8F"/>
            <w:vAlign w:val="center"/>
          </w:tcPr>
          <w:p w14:paraId="41EAB174" w14:textId="77777777" w:rsidR="00913A0A" w:rsidRPr="0058047D" w:rsidRDefault="00C86F50" w:rsidP="00FC4741">
            <w:pPr>
              <w:pStyle w:val="TableText"/>
              <w:widowControl w:val="0"/>
              <w:spacing w:before="100" w:beforeAutospacing="1"/>
              <w:rPr>
                <w:b/>
                <w:sz w:val="13"/>
                <w:szCs w:val="13"/>
              </w:rPr>
            </w:pPr>
            <w:hyperlink w:anchor="_7_Add-on_User" w:history="1">
              <w:r w:rsidR="00BF5FC6" w:rsidRPr="0058047D">
                <w:rPr>
                  <w:rStyle w:val="Hyperlink"/>
                  <w:b/>
                  <w:sz w:val="13"/>
                  <w:szCs w:val="13"/>
                </w:rPr>
                <w:t>7</w:t>
              </w:r>
            </w:hyperlink>
          </w:p>
        </w:tc>
        <w:tc>
          <w:tcPr>
            <w:tcW w:w="516" w:type="dxa"/>
            <w:tcBorders>
              <w:bottom w:val="single" w:sz="4" w:space="0" w:color="auto"/>
            </w:tcBorders>
            <w:shd w:val="clear" w:color="auto" w:fill="FABF8F"/>
            <w:vAlign w:val="center"/>
          </w:tcPr>
          <w:p w14:paraId="63A6909F"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10/13</w:t>
            </w:r>
          </w:p>
        </w:tc>
        <w:tc>
          <w:tcPr>
            <w:tcW w:w="358" w:type="dxa"/>
            <w:tcBorders>
              <w:bottom w:val="single" w:sz="4" w:space="0" w:color="auto"/>
              <w:right w:val="single" w:sz="18" w:space="0" w:color="auto"/>
            </w:tcBorders>
            <w:shd w:val="clear" w:color="auto" w:fill="FABF8F"/>
            <w:vAlign w:val="center"/>
          </w:tcPr>
          <w:p w14:paraId="080709AB"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center"/>
          </w:tcPr>
          <w:p w14:paraId="110A99CD"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5EBAF52F"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455CF041"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1979C1D6"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F0DE882"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39DC528"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56A141CF"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03667779"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D020532"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218E1766"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63245B6D"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04D4475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5EC230F8"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5ADD7BCD"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7DE33BEA"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117E750D" w14:textId="77777777" w:rsidR="00913A0A" w:rsidRPr="0058047D" w:rsidRDefault="00913A0A" w:rsidP="001A63C6">
            <w:pPr>
              <w:pStyle w:val="TableText"/>
              <w:widowControl w:val="0"/>
              <w:rPr>
                <w:rFonts w:ascii="Tahoma" w:hAnsi="Tahoma" w:cs="Tahoma"/>
                <w:sz w:val="13"/>
              </w:rPr>
            </w:pPr>
          </w:p>
        </w:tc>
      </w:tr>
      <w:tr w:rsidR="009323A0" w:rsidRPr="0058047D" w14:paraId="3D64D044" w14:textId="77777777" w:rsidTr="00C86F50">
        <w:trPr>
          <w:trHeight w:val="287"/>
        </w:trPr>
        <w:tc>
          <w:tcPr>
            <w:tcW w:w="2619" w:type="dxa"/>
            <w:gridSpan w:val="2"/>
            <w:tcBorders>
              <w:bottom w:val="single" w:sz="4" w:space="0" w:color="auto"/>
            </w:tcBorders>
            <w:shd w:val="clear" w:color="auto" w:fill="auto"/>
            <w:vAlign w:val="center"/>
          </w:tcPr>
          <w:p w14:paraId="7E23334D" w14:textId="77777777" w:rsidR="00913A0A" w:rsidRPr="0058047D" w:rsidRDefault="00913A0A" w:rsidP="00E077BC">
            <w:pPr>
              <w:pStyle w:val="Heading2"/>
              <w:spacing w:beforeLines="20" w:before="48" w:afterLines="20" w:after="48"/>
              <w:ind w:left="0"/>
              <w:rPr>
                <w:rFonts w:ascii="Tahoma" w:hAnsi="Tahoma" w:cs="Tahoma"/>
                <w:b w:val="0"/>
                <w:sz w:val="14"/>
              </w:rPr>
            </w:pPr>
            <w:bookmarkStart w:id="465" w:name="_Toc336338114"/>
            <w:bookmarkStart w:id="466" w:name="_Toc371663509"/>
            <w:r w:rsidRPr="0058047D">
              <w:rPr>
                <w:rFonts w:ascii="Tahoma" w:hAnsi="Tahoma" w:cs="Tahoma"/>
                <w:b w:val="0"/>
                <w:sz w:val="14"/>
              </w:rPr>
              <w:t>Servizi di Windows Azure</w:t>
            </w:r>
            <w:bookmarkEnd w:id="465"/>
            <w:bookmarkEnd w:id="466"/>
          </w:p>
        </w:tc>
        <w:tc>
          <w:tcPr>
            <w:tcW w:w="554" w:type="dxa"/>
            <w:tcBorders>
              <w:bottom w:val="single" w:sz="4" w:space="0" w:color="auto"/>
            </w:tcBorders>
            <w:shd w:val="clear" w:color="auto" w:fill="auto"/>
            <w:vAlign w:val="center"/>
          </w:tcPr>
          <w:p w14:paraId="2774123A" w14:textId="77777777" w:rsidR="00913A0A" w:rsidRPr="0058047D" w:rsidRDefault="00C86F50" w:rsidP="00913588">
            <w:pPr>
              <w:pStyle w:val="TableText"/>
              <w:widowControl w:val="0"/>
              <w:spacing w:before="100" w:beforeAutospacing="1"/>
              <w:rPr>
                <w:rFonts w:cs="Tahoma"/>
                <w:b/>
                <w:color w:val="0000FF"/>
                <w:sz w:val="13"/>
                <w:szCs w:val="13"/>
                <w:u w:val="single"/>
              </w:rPr>
            </w:pPr>
            <w:hyperlink w:anchor="_101_Servizi_di" w:history="1">
              <w:r w:rsidR="00BF5FC6" w:rsidRPr="0058047D">
                <w:rPr>
                  <w:rStyle w:val="Hyperlink"/>
                  <w:rFonts w:cs="Tahoma"/>
                  <w:b/>
                  <w:sz w:val="13"/>
                  <w:szCs w:val="13"/>
                </w:rPr>
                <w:t>101</w:t>
              </w:r>
            </w:hyperlink>
          </w:p>
        </w:tc>
        <w:tc>
          <w:tcPr>
            <w:tcW w:w="516" w:type="dxa"/>
            <w:tcBorders>
              <w:bottom w:val="single" w:sz="4" w:space="0" w:color="auto"/>
            </w:tcBorders>
            <w:shd w:val="clear" w:color="auto" w:fill="auto"/>
            <w:vAlign w:val="center"/>
          </w:tcPr>
          <w:p w14:paraId="2AEBFB49"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11/11</w:t>
            </w:r>
          </w:p>
        </w:tc>
        <w:tc>
          <w:tcPr>
            <w:tcW w:w="358" w:type="dxa"/>
            <w:tcBorders>
              <w:bottom w:val="single" w:sz="4" w:space="0" w:color="auto"/>
              <w:right w:val="single" w:sz="18" w:space="0" w:color="auto"/>
            </w:tcBorders>
            <w:shd w:val="clear" w:color="auto" w:fill="auto"/>
            <w:vAlign w:val="center"/>
          </w:tcPr>
          <w:p w14:paraId="3A13EC8C"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auto"/>
            <w:vAlign w:val="center"/>
          </w:tcPr>
          <w:p w14:paraId="29668636"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5D3786CE"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363B67BA"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20070AB6"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932AE2D"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850C7D2"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0E0E841B"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5DEEB7DA"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A10214E"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47DA7185"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2241E066"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544A5DCE"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43FD7CE1"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tcPr>
          <w:p w14:paraId="6EACA3C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auto"/>
            <w:vAlign w:val="center"/>
          </w:tcPr>
          <w:p w14:paraId="70149DB3"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auto"/>
          </w:tcPr>
          <w:p w14:paraId="61F2DF13" w14:textId="77777777" w:rsidR="00913A0A" w:rsidRPr="0058047D" w:rsidRDefault="002C4BA9" w:rsidP="001A63C6">
            <w:pPr>
              <w:pStyle w:val="TableText"/>
              <w:widowControl w:val="0"/>
              <w:rPr>
                <w:rFonts w:ascii="Tahoma" w:hAnsi="Tahoma" w:cs="Tahoma"/>
                <w:sz w:val="13"/>
              </w:rPr>
            </w:pPr>
            <w:r w:rsidRPr="0058047D">
              <w:rPr>
                <w:rFonts w:ascii="Tahoma" w:hAnsi="Tahoma" w:cs="Tahoma"/>
                <w:sz w:val="13"/>
              </w:rPr>
              <w:t>A</w:t>
            </w:r>
          </w:p>
        </w:tc>
      </w:tr>
      <w:tr w:rsidR="009323A0" w:rsidRPr="0058047D" w14:paraId="16CD347F" w14:textId="77777777" w:rsidTr="00C86F50">
        <w:trPr>
          <w:trHeight w:val="152"/>
        </w:trPr>
        <w:tc>
          <w:tcPr>
            <w:tcW w:w="2619" w:type="dxa"/>
            <w:gridSpan w:val="2"/>
            <w:tcBorders>
              <w:bottom w:val="single" w:sz="4" w:space="0" w:color="auto"/>
            </w:tcBorders>
            <w:shd w:val="clear" w:color="auto" w:fill="FABF8F"/>
            <w:vAlign w:val="center"/>
          </w:tcPr>
          <w:p w14:paraId="5F969DEA" w14:textId="77777777" w:rsidR="00913A0A" w:rsidRPr="0058047D" w:rsidRDefault="00913A0A" w:rsidP="005A2369">
            <w:pPr>
              <w:pStyle w:val="Heading2"/>
              <w:spacing w:before="20" w:after="20"/>
              <w:ind w:left="0"/>
              <w:rPr>
                <w:rFonts w:ascii="Tahoma" w:hAnsi="Tahoma" w:cs="Tahoma"/>
                <w:b w:val="0"/>
                <w:sz w:val="14"/>
                <w:szCs w:val="14"/>
              </w:rPr>
            </w:pPr>
            <w:bookmarkStart w:id="467" w:name="_Toc336338115"/>
            <w:bookmarkStart w:id="468" w:name="_Toc371663510"/>
            <w:r w:rsidRPr="0058047D">
              <w:rPr>
                <w:rFonts w:ascii="Tahoma" w:hAnsi="Tahoma" w:cs="Tahoma"/>
                <w:b w:val="0"/>
                <w:sz w:val="14"/>
              </w:rPr>
              <w:t>Windows</w:t>
            </w:r>
            <w:r w:rsidR="00E53A46" w:rsidRPr="0058047D">
              <w:rPr>
                <w:rFonts w:ascii="Tahoma" w:hAnsi="Tahoma" w:cs="Tahoma"/>
                <w:b w:val="0"/>
                <w:sz w:val="14"/>
                <w:vertAlign w:val="superscript"/>
              </w:rPr>
              <w:t>®</w:t>
            </w:r>
            <w:r w:rsidRPr="0058047D">
              <w:rPr>
                <w:rFonts w:ascii="Tahoma" w:hAnsi="Tahoma" w:cs="Tahoma"/>
                <w:b w:val="0"/>
                <w:sz w:val="14"/>
              </w:rPr>
              <w:t xml:space="preserve"> Embedded Device Manager</w:t>
            </w:r>
            <w:r w:rsidR="005A2369">
              <w:rPr>
                <w:rFonts w:ascii="Tahoma" w:hAnsi="Tahoma" w:cs="Tahoma"/>
                <w:b w:val="0"/>
                <w:sz w:val="14"/>
              </w:rPr>
              <w:t> </w:t>
            </w:r>
            <w:r w:rsidRPr="0058047D">
              <w:rPr>
                <w:rFonts w:ascii="Tahoma" w:hAnsi="Tahoma" w:cs="Tahoma"/>
                <w:b w:val="0"/>
                <w:sz w:val="14"/>
              </w:rPr>
              <w:t>2011</w:t>
            </w:r>
            <w:bookmarkEnd w:id="467"/>
            <w:bookmarkEnd w:id="468"/>
          </w:p>
        </w:tc>
        <w:tc>
          <w:tcPr>
            <w:tcW w:w="554" w:type="dxa"/>
            <w:tcBorders>
              <w:bottom w:val="single" w:sz="4" w:space="0" w:color="auto"/>
            </w:tcBorders>
            <w:shd w:val="clear" w:color="auto" w:fill="FABF8F"/>
            <w:vAlign w:val="center"/>
          </w:tcPr>
          <w:p w14:paraId="3034F259" w14:textId="77777777" w:rsidR="00913A0A" w:rsidRPr="0058047D" w:rsidRDefault="00C86F50" w:rsidP="00913588">
            <w:pPr>
              <w:pStyle w:val="TableText"/>
              <w:widowControl w:val="0"/>
              <w:spacing w:before="100" w:beforeAutospacing="1"/>
              <w:rPr>
                <w:rFonts w:cs="Tahoma"/>
                <w:b/>
                <w:color w:val="0000FF"/>
                <w:sz w:val="13"/>
                <w:szCs w:val="13"/>
                <w:u w:val="single"/>
              </w:rPr>
            </w:pPr>
            <w:hyperlink w:anchor="_98_Windows_Embedded" w:history="1">
              <w:r w:rsidR="00BF5FC6" w:rsidRPr="0058047D">
                <w:rPr>
                  <w:rStyle w:val="Hyperlink"/>
                  <w:b/>
                  <w:sz w:val="13"/>
                  <w:szCs w:val="13"/>
                </w:rPr>
                <w:t>102</w:t>
              </w:r>
            </w:hyperlink>
          </w:p>
        </w:tc>
        <w:tc>
          <w:tcPr>
            <w:tcW w:w="516" w:type="dxa"/>
            <w:tcBorders>
              <w:bottom w:val="single" w:sz="4" w:space="0" w:color="auto"/>
            </w:tcBorders>
            <w:shd w:val="clear" w:color="auto" w:fill="FABF8F"/>
            <w:vAlign w:val="center"/>
          </w:tcPr>
          <w:p w14:paraId="7A422016" w14:textId="77777777" w:rsidR="00913A0A" w:rsidRPr="0058047D" w:rsidRDefault="00913A0A" w:rsidP="001A63C6">
            <w:pPr>
              <w:pStyle w:val="TableText"/>
              <w:widowControl w:val="0"/>
              <w:spacing w:before="80"/>
              <w:rPr>
                <w:rFonts w:ascii="Tahoma" w:hAnsi="Tahoma" w:cs="Tahoma"/>
                <w:sz w:val="13"/>
              </w:rPr>
            </w:pPr>
          </w:p>
        </w:tc>
        <w:tc>
          <w:tcPr>
            <w:tcW w:w="358" w:type="dxa"/>
            <w:tcBorders>
              <w:bottom w:val="single" w:sz="4" w:space="0" w:color="auto"/>
              <w:right w:val="single" w:sz="18" w:space="0" w:color="auto"/>
            </w:tcBorders>
            <w:shd w:val="clear" w:color="auto" w:fill="FABF8F"/>
            <w:vAlign w:val="center"/>
          </w:tcPr>
          <w:p w14:paraId="55D5F170"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center"/>
          </w:tcPr>
          <w:p w14:paraId="0B9C42DD"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04BDBE5A"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7E3C40A8"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6889758C"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C6F7A43"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B24696"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614AD835"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0F5562CA"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9BBAAAF"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0F8FEA79"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1F22D0D7"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15B29A61"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7FD93FA5"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4C6B96ED"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5689D0D9"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001DEB01" w14:textId="77777777" w:rsidR="00913A0A" w:rsidRPr="0058047D" w:rsidRDefault="00913A0A" w:rsidP="001A63C6">
            <w:pPr>
              <w:pStyle w:val="TableText"/>
              <w:widowControl w:val="0"/>
              <w:rPr>
                <w:rFonts w:ascii="Tahoma" w:hAnsi="Tahoma" w:cs="Tahoma"/>
                <w:sz w:val="13"/>
              </w:rPr>
            </w:pPr>
          </w:p>
        </w:tc>
      </w:tr>
      <w:tr w:rsidR="009323A0" w:rsidRPr="003F471F" w14:paraId="33BEF34A" w14:textId="77777777" w:rsidTr="00C86F50">
        <w:trPr>
          <w:trHeight w:val="287"/>
        </w:trPr>
        <w:tc>
          <w:tcPr>
            <w:tcW w:w="2619" w:type="dxa"/>
            <w:gridSpan w:val="2"/>
            <w:tcBorders>
              <w:bottom w:val="single" w:sz="4" w:space="0" w:color="auto"/>
            </w:tcBorders>
            <w:shd w:val="clear" w:color="auto" w:fill="auto"/>
            <w:vAlign w:val="center"/>
          </w:tcPr>
          <w:p w14:paraId="5963A947" w14:textId="77777777" w:rsidR="00913A0A" w:rsidRPr="003F471F" w:rsidRDefault="00913A0A" w:rsidP="005A2369">
            <w:pPr>
              <w:pStyle w:val="Heading2"/>
              <w:spacing w:before="20" w:after="20"/>
              <w:ind w:left="0"/>
              <w:rPr>
                <w:rFonts w:ascii="Tahoma" w:hAnsi="Tahoma" w:cs="Tahoma"/>
                <w:b w:val="0"/>
                <w:sz w:val="14"/>
                <w:szCs w:val="14"/>
                <w:lang w:val="it-IT"/>
              </w:rPr>
            </w:pPr>
            <w:bookmarkStart w:id="469" w:name="_Toc336338116"/>
            <w:bookmarkStart w:id="470" w:name="_Toc371663511"/>
            <w:r w:rsidRPr="003F471F">
              <w:rPr>
                <w:rFonts w:ascii="Tahoma" w:hAnsi="Tahoma" w:cs="Tahoma"/>
                <w:b w:val="0"/>
                <w:sz w:val="14"/>
                <w:lang w:val="it-IT"/>
              </w:rPr>
              <w:t>Licenza di Gestione Client per OSE per</w:t>
            </w:r>
            <w:r w:rsidR="005A2369" w:rsidRPr="003F471F">
              <w:rPr>
                <w:rFonts w:ascii="Tahoma" w:hAnsi="Tahoma" w:cs="Tahoma"/>
                <w:b w:val="0"/>
                <w:sz w:val="14"/>
                <w:lang w:val="it-IT"/>
              </w:rPr>
              <w:t> </w:t>
            </w:r>
            <w:r w:rsidRPr="003F471F">
              <w:rPr>
                <w:rFonts w:ascii="Tahoma" w:hAnsi="Tahoma" w:cs="Tahoma"/>
                <w:b w:val="0"/>
                <w:sz w:val="14"/>
                <w:lang w:val="it-IT"/>
              </w:rPr>
              <w:t>Windows</w:t>
            </w:r>
            <w:r w:rsidR="00E53A46" w:rsidRPr="003F471F">
              <w:rPr>
                <w:rFonts w:ascii="Tahoma" w:hAnsi="Tahoma" w:cs="Tahoma"/>
                <w:b w:val="0"/>
                <w:sz w:val="14"/>
                <w:vertAlign w:val="superscript"/>
                <w:lang w:val="it-IT"/>
              </w:rPr>
              <w:t>®</w:t>
            </w:r>
            <w:r w:rsidRPr="003F471F">
              <w:rPr>
                <w:rFonts w:ascii="Tahoma" w:hAnsi="Tahoma" w:cs="Tahoma"/>
                <w:b w:val="0"/>
                <w:sz w:val="14"/>
                <w:lang w:val="it-IT"/>
              </w:rPr>
              <w:t xml:space="preserve"> Embedded Device Manager 2011</w:t>
            </w:r>
            <w:bookmarkEnd w:id="469"/>
            <w:bookmarkEnd w:id="470"/>
          </w:p>
        </w:tc>
        <w:tc>
          <w:tcPr>
            <w:tcW w:w="554" w:type="dxa"/>
            <w:tcBorders>
              <w:bottom w:val="single" w:sz="4" w:space="0" w:color="auto"/>
            </w:tcBorders>
            <w:shd w:val="clear" w:color="auto" w:fill="auto"/>
            <w:vAlign w:val="center"/>
          </w:tcPr>
          <w:p w14:paraId="5F61F964" w14:textId="77777777" w:rsidR="00913A0A" w:rsidRPr="003F471F" w:rsidRDefault="00913A0A" w:rsidP="001A63C6">
            <w:pPr>
              <w:pStyle w:val="TableText"/>
              <w:widowControl w:val="0"/>
              <w:spacing w:before="100" w:beforeAutospacing="1"/>
              <w:rPr>
                <w:rFonts w:ascii="Tahoma" w:hAnsi="Tahoma" w:cs="Tahoma"/>
                <w:b/>
                <w:color w:val="0000FF"/>
                <w:sz w:val="13"/>
                <w:szCs w:val="13"/>
                <w:lang w:val="it-IT"/>
              </w:rPr>
            </w:pPr>
          </w:p>
        </w:tc>
        <w:tc>
          <w:tcPr>
            <w:tcW w:w="516" w:type="dxa"/>
            <w:tcBorders>
              <w:bottom w:val="single" w:sz="4" w:space="0" w:color="auto"/>
            </w:tcBorders>
            <w:shd w:val="clear" w:color="auto" w:fill="auto"/>
            <w:vAlign w:val="center"/>
          </w:tcPr>
          <w:p w14:paraId="4CA95342" w14:textId="77777777" w:rsidR="00913A0A" w:rsidRPr="003F471F" w:rsidRDefault="00913A0A" w:rsidP="001A63C6">
            <w:pPr>
              <w:pStyle w:val="TableText"/>
              <w:widowControl w:val="0"/>
              <w:spacing w:before="80"/>
              <w:rPr>
                <w:rFonts w:ascii="Tahoma" w:hAnsi="Tahoma" w:cs="Tahoma"/>
                <w:sz w:val="13"/>
                <w:lang w:val="it-IT"/>
              </w:rPr>
            </w:pPr>
          </w:p>
        </w:tc>
        <w:tc>
          <w:tcPr>
            <w:tcW w:w="358" w:type="dxa"/>
            <w:tcBorders>
              <w:bottom w:val="single" w:sz="4" w:space="0" w:color="auto"/>
              <w:right w:val="single" w:sz="18" w:space="0" w:color="auto"/>
            </w:tcBorders>
            <w:shd w:val="clear" w:color="auto" w:fill="auto"/>
            <w:vAlign w:val="center"/>
          </w:tcPr>
          <w:p w14:paraId="16EBF454" w14:textId="77777777" w:rsidR="00913A0A" w:rsidRPr="003F471F" w:rsidRDefault="00913A0A" w:rsidP="001A63C6">
            <w:pPr>
              <w:pStyle w:val="TableText"/>
              <w:widowControl w:val="0"/>
              <w:rPr>
                <w:rFonts w:ascii="Tahoma" w:hAnsi="Tahoma" w:cs="Tahoma"/>
                <w:sz w:val="13"/>
                <w:lang w:val="it-IT"/>
              </w:rPr>
            </w:pPr>
          </w:p>
        </w:tc>
        <w:tc>
          <w:tcPr>
            <w:tcW w:w="330" w:type="dxa"/>
            <w:tcBorders>
              <w:left w:val="single" w:sz="18" w:space="0" w:color="auto"/>
              <w:bottom w:val="single" w:sz="4" w:space="0" w:color="auto"/>
            </w:tcBorders>
            <w:shd w:val="clear" w:color="auto" w:fill="auto"/>
            <w:vAlign w:val="center"/>
          </w:tcPr>
          <w:p w14:paraId="7508FCD3" w14:textId="77777777" w:rsidR="00913A0A" w:rsidRPr="003F471F" w:rsidRDefault="00913A0A" w:rsidP="001A63C6">
            <w:pPr>
              <w:pStyle w:val="TableText"/>
              <w:widowControl w:val="0"/>
              <w:rPr>
                <w:rFonts w:ascii="Tahoma" w:hAnsi="Tahoma" w:cs="Tahoma"/>
                <w:sz w:val="13"/>
                <w:lang w:val="it-IT"/>
              </w:rPr>
            </w:pPr>
          </w:p>
        </w:tc>
        <w:tc>
          <w:tcPr>
            <w:tcW w:w="324" w:type="dxa"/>
            <w:tcBorders>
              <w:bottom w:val="single" w:sz="4" w:space="0" w:color="auto"/>
            </w:tcBorders>
            <w:shd w:val="clear" w:color="auto" w:fill="auto"/>
            <w:vAlign w:val="center"/>
          </w:tcPr>
          <w:p w14:paraId="74D82156" w14:textId="77777777" w:rsidR="00913A0A" w:rsidRPr="003F471F" w:rsidRDefault="00913A0A" w:rsidP="001A63C6">
            <w:pPr>
              <w:pStyle w:val="TableText"/>
              <w:widowControl w:val="0"/>
              <w:rPr>
                <w:rFonts w:ascii="Tahoma" w:hAnsi="Tahoma" w:cs="Tahoma"/>
                <w:sz w:val="13"/>
                <w:lang w:val="it-IT"/>
              </w:rPr>
            </w:pPr>
          </w:p>
        </w:tc>
        <w:tc>
          <w:tcPr>
            <w:tcW w:w="366" w:type="dxa"/>
            <w:tcBorders>
              <w:bottom w:val="single" w:sz="4" w:space="0" w:color="auto"/>
            </w:tcBorders>
            <w:shd w:val="clear" w:color="auto" w:fill="auto"/>
            <w:vAlign w:val="center"/>
          </w:tcPr>
          <w:p w14:paraId="2283D5A8" w14:textId="77777777" w:rsidR="00913A0A" w:rsidRPr="003F471F" w:rsidRDefault="00913A0A" w:rsidP="001A63C6">
            <w:pPr>
              <w:pStyle w:val="TableText"/>
              <w:widowControl w:val="0"/>
              <w:rPr>
                <w:rFonts w:ascii="Tahoma" w:hAnsi="Tahoma" w:cs="Tahoma"/>
                <w:sz w:val="13"/>
                <w:lang w:val="it-IT"/>
              </w:rPr>
            </w:pPr>
          </w:p>
        </w:tc>
        <w:tc>
          <w:tcPr>
            <w:tcW w:w="456" w:type="dxa"/>
            <w:gridSpan w:val="2"/>
            <w:tcBorders>
              <w:bottom w:val="single" w:sz="4" w:space="0" w:color="auto"/>
            </w:tcBorders>
            <w:shd w:val="clear" w:color="auto" w:fill="auto"/>
            <w:vAlign w:val="center"/>
          </w:tcPr>
          <w:p w14:paraId="36A859C9" w14:textId="77777777" w:rsidR="00913A0A" w:rsidRPr="003F471F" w:rsidRDefault="00913A0A"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auto"/>
            <w:vAlign w:val="center"/>
          </w:tcPr>
          <w:p w14:paraId="73893FFE" w14:textId="77777777" w:rsidR="00913A0A" w:rsidRPr="003F471F" w:rsidRDefault="00913A0A"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auto"/>
            <w:vAlign w:val="center"/>
          </w:tcPr>
          <w:p w14:paraId="7368FA84" w14:textId="77777777" w:rsidR="00913A0A" w:rsidRPr="003F471F" w:rsidRDefault="00913A0A" w:rsidP="001A63C6">
            <w:pPr>
              <w:pStyle w:val="TableText"/>
              <w:widowControl w:val="0"/>
              <w:rPr>
                <w:rFonts w:ascii="Tahoma" w:hAnsi="Tahoma" w:cs="Tahoma"/>
                <w:sz w:val="13"/>
                <w:lang w:val="it-IT"/>
              </w:rPr>
            </w:pPr>
          </w:p>
        </w:tc>
        <w:tc>
          <w:tcPr>
            <w:tcW w:w="336" w:type="dxa"/>
            <w:tcBorders>
              <w:bottom w:val="single" w:sz="4" w:space="0" w:color="auto"/>
              <w:right w:val="single" w:sz="18" w:space="0" w:color="auto"/>
            </w:tcBorders>
            <w:shd w:val="clear" w:color="auto" w:fill="auto"/>
            <w:vAlign w:val="center"/>
          </w:tcPr>
          <w:p w14:paraId="1D5F94EA" w14:textId="77777777" w:rsidR="00913A0A" w:rsidRPr="003F471F" w:rsidRDefault="00913A0A" w:rsidP="001A63C6">
            <w:pPr>
              <w:pStyle w:val="TableText"/>
              <w:widowControl w:val="0"/>
              <w:rPr>
                <w:rFonts w:ascii="Tahoma" w:hAnsi="Tahoma" w:cs="Tahoma"/>
                <w:sz w:val="13"/>
                <w:lang w:val="it-IT"/>
              </w:rPr>
            </w:pPr>
          </w:p>
        </w:tc>
        <w:tc>
          <w:tcPr>
            <w:tcW w:w="477" w:type="dxa"/>
            <w:tcBorders>
              <w:left w:val="single" w:sz="18" w:space="0" w:color="auto"/>
              <w:bottom w:val="single" w:sz="4" w:space="0" w:color="auto"/>
            </w:tcBorders>
            <w:shd w:val="clear" w:color="auto" w:fill="auto"/>
            <w:vAlign w:val="center"/>
          </w:tcPr>
          <w:p w14:paraId="76E08B54" w14:textId="77777777" w:rsidR="00913A0A" w:rsidRPr="003F471F" w:rsidRDefault="00913A0A"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auto"/>
            <w:vAlign w:val="center"/>
          </w:tcPr>
          <w:p w14:paraId="1F4E09CF" w14:textId="77777777" w:rsidR="00913A0A" w:rsidRPr="003F471F" w:rsidRDefault="00913A0A" w:rsidP="001A63C6">
            <w:pPr>
              <w:pStyle w:val="TableText"/>
              <w:widowControl w:val="0"/>
              <w:rPr>
                <w:rFonts w:ascii="Tahoma" w:hAnsi="Tahoma" w:cs="Tahoma"/>
                <w:sz w:val="13"/>
                <w:lang w:val="it-IT"/>
              </w:rPr>
            </w:pPr>
          </w:p>
        </w:tc>
        <w:tc>
          <w:tcPr>
            <w:tcW w:w="414" w:type="dxa"/>
            <w:tcBorders>
              <w:bottom w:val="single" w:sz="4" w:space="0" w:color="auto"/>
              <w:right w:val="single" w:sz="18" w:space="0" w:color="auto"/>
            </w:tcBorders>
            <w:shd w:val="clear" w:color="auto" w:fill="auto"/>
            <w:vAlign w:val="center"/>
          </w:tcPr>
          <w:p w14:paraId="0FDAFA15" w14:textId="77777777" w:rsidR="00913A0A" w:rsidRPr="003F471F" w:rsidRDefault="00913A0A" w:rsidP="001A63C6">
            <w:pPr>
              <w:pStyle w:val="TableText"/>
              <w:widowControl w:val="0"/>
              <w:rPr>
                <w:rFonts w:ascii="Tahoma" w:hAnsi="Tahoma" w:cs="Tahoma"/>
                <w:sz w:val="13"/>
                <w:lang w:val="it-IT"/>
              </w:rPr>
            </w:pPr>
          </w:p>
        </w:tc>
        <w:tc>
          <w:tcPr>
            <w:tcW w:w="468" w:type="dxa"/>
            <w:tcBorders>
              <w:left w:val="single" w:sz="18" w:space="0" w:color="auto"/>
              <w:bottom w:val="single" w:sz="4" w:space="0" w:color="auto"/>
            </w:tcBorders>
            <w:shd w:val="clear" w:color="auto" w:fill="auto"/>
            <w:vAlign w:val="center"/>
          </w:tcPr>
          <w:p w14:paraId="5EB8ADBA" w14:textId="77777777" w:rsidR="00913A0A" w:rsidRPr="003F471F" w:rsidRDefault="00913A0A" w:rsidP="001A63C6">
            <w:pPr>
              <w:pStyle w:val="TableText"/>
              <w:widowControl w:val="0"/>
              <w:rPr>
                <w:rFonts w:ascii="Tahoma" w:hAnsi="Tahoma" w:cs="Tahoma"/>
                <w:sz w:val="13"/>
                <w:lang w:val="it-IT"/>
              </w:rPr>
            </w:pPr>
          </w:p>
        </w:tc>
        <w:tc>
          <w:tcPr>
            <w:tcW w:w="477" w:type="dxa"/>
            <w:tcBorders>
              <w:bottom w:val="single" w:sz="4" w:space="0" w:color="auto"/>
              <w:right w:val="single" w:sz="18" w:space="0" w:color="auto"/>
            </w:tcBorders>
            <w:shd w:val="clear" w:color="auto" w:fill="auto"/>
            <w:vAlign w:val="center"/>
          </w:tcPr>
          <w:p w14:paraId="6DED97F4" w14:textId="77777777" w:rsidR="00913A0A" w:rsidRPr="003F471F" w:rsidRDefault="00913A0A" w:rsidP="001A63C6">
            <w:pPr>
              <w:pStyle w:val="TableText"/>
              <w:widowControl w:val="0"/>
              <w:rPr>
                <w:rFonts w:ascii="Tahoma" w:hAnsi="Tahoma" w:cs="Tahoma"/>
                <w:sz w:val="13"/>
                <w:lang w:val="it-IT"/>
              </w:rPr>
            </w:pPr>
          </w:p>
        </w:tc>
        <w:tc>
          <w:tcPr>
            <w:tcW w:w="324" w:type="dxa"/>
            <w:tcBorders>
              <w:left w:val="single" w:sz="18" w:space="0" w:color="auto"/>
              <w:bottom w:val="single" w:sz="4" w:space="0" w:color="auto"/>
              <w:right w:val="single" w:sz="18" w:space="0" w:color="auto"/>
            </w:tcBorders>
            <w:shd w:val="clear" w:color="auto" w:fill="auto"/>
            <w:vAlign w:val="center"/>
          </w:tcPr>
          <w:p w14:paraId="4EEB4E3F" w14:textId="77777777" w:rsidR="00913A0A" w:rsidRPr="003F471F" w:rsidRDefault="00913A0A" w:rsidP="001A63C6">
            <w:pPr>
              <w:pStyle w:val="TableText"/>
              <w:widowControl w:val="0"/>
              <w:rPr>
                <w:rFonts w:ascii="Tahoma" w:hAnsi="Tahoma" w:cs="Tahoma"/>
                <w:sz w:val="13"/>
                <w:lang w:val="it-IT"/>
              </w:rPr>
            </w:pPr>
          </w:p>
        </w:tc>
        <w:tc>
          <w:tcPr>
            <w:tcW w:w="655" w:type="dxa"/>
            <w:tcBorders>
              <w:bottom w:val="single" w:sz="4" w:space="0" w:color="auto"/>
            </w:tcBorders>
            <w:shd w:val="clear" w:color="auto" w:fill="auto"/>
          </w:tcPr>
          <w:p w14:paraId="3425A23A" w14:textId="77777777" w:rsidR="00913A0A" w:rsidRPr="003F471F" w:rsidRDefault="00913A0A" w:rsidP="001A63C6">
            <w:pPr>
              <w:pStyle w:val="TableText"/>
              <w:widowControl w:val="0"/>
              <w:rPr>
                <w:rFonts w:ascii="Tahoma" w:hAnsi="Tahoma" w:cs="Tahoma"/>
                <w:sz w:val="13"/>
                <w:lang w:val="it-IT"/>
              </w:rPr>
            </w:pPr>
          </w:p>
        </w:tc>
        <w:tc>
          <w:tcPr>
            <w:tcW w:w="504" w:type="dxa"/>
            <w:tcBorders>
              <w:bottom w:val="single" w:sz="4" w:space="0" w:color="auto"/>
            </w:tcBorders>
            <w:shd w:val="clear" w:color="auto" w:fill="auto"/>
            <w:vAlign w:val="center"/>
          </w:tcPr>
          <w:p w14:paraId="22CD4EA8" w14:textId="77777777" w:rsidR="00913A0A" w:rsidRPr="003F471F" w:rsidRDefault="00913A0A" w:rsidP="001A63C6">
            <w:pPr>
              <w:pStyle w:val="TableText"/>
              <w:widowControl w:val="0"/>
              <w:rPr>
                <w:rFonts w:ascii="Tahoma" w:hAnsi="Tahoma" w:cs="Tahoma"/>
                <w:sz w:val="13"/>
                <w:lang w:val="it-IT"/>
              </w:rPr>
            </w:pPr>
          </w:p>
        </w:tc>
        <w:tc>
          <w:tcPr>
            <w:tcW w:w="405" w:type="dxa"/>
            <w:tcBorders>
              <w:bottom w:val="single" w:sz="4" w:space="0" w:color="auto"/>
            </w:tcBorders>
            <w:shd w:val="clear" w:color="auto" w:fill="auto"/>
          </w:tcPr>
          <w:p w14:paraId="394F56BA" w14:textId="77777777" w:rsidR="00913A0A" w:rsidRPr="003F471F" w:rsidRDefault="00913A0A" w:rsidP="001A63C6">
            <w:pPr>
              <w:pStyle w:val="TableText"/>
              <w:widowControl w:val="0"/>
              <w:rPr>
                <w:rFonts w:ascii="Tahoma" w:hAnsi="Tahoma" w:cs="Tahoma"/>
                <w:sz w:val="13"/>
                <w:lang w:val="it-IT"/>
              </w:rPr>
            </w:pPr>
          </w:p>
        </w:tc>
      </w:tr>
      <w:tr w:rsidR="009323A0" w:rsidRPr="0058047D" w14:paraId="75BD3196" w14:textId="77777777" w:rsidTr="00C86F50">
        <w:trPr>
          <w:trHeight w:val="287"/>
        </w:trPr>
        <w:tc>
          <w:tcPr>
            <w:tcW w:w="2619" w:type="dxa"/>
            <w:gridSpan w:val="2"/>
            <w:tcBorders>
              <w:bottom w:val="single" w:sz="4" w:space="0" w:color="auto"/>
            </w:tcBorders>
            <w:shd w:val="clear" w:color="auto" w:fill="FABF8F"/>
            <w:vAlign w:val="center"/>
          </w:tcPr>
          <w:p w14:paraId="3F882FEE" w14:textId="77777777" w:rsidR="00913A0A" w:rsidRPr="003F471F" w:rsidRDefault="00913A0A" w:rsidP="005A2369">
            <w:pPr>
              <w:pStyle w:val="Heading2"/>
              <w:spacing w:before="20" w:after="20"/>
              <w:ind w:left="0"/>
              <w:rPr>
                <w:rFonts w:ascii="Tahoma" w:hAnsi="Tahoma" w:cs="Tahoma"/>
                <w:b w:val="0"/>
                <w:sz w:val="14"/>
                <w:szCs w:val="14"/>
                <w:lang w:val="it-IT"/>
              </w:rPr>
            </w:pPr>
            <w:bookmarkStart w:id="471" w:name="_Toc336338117"/>
            <w:bookmarkStart w:id="472" w:name="_Toc371663512"/>
            <w:r w:rsidRPr="003F471F">
              <w:rPr>
                <w:rFonts w:ascii="Tahoma" w:hAnsi="Tahoma" w:cs="Tahoma"/>
                <w:b w:val="0"/>
                <w:sz w:val="14"/>
                <w:lang w:val="it-IT"/>
              </w:rPr>
              <w:t>Licenza di Gestione Client per Utente per</w:t>
            </w:r>
            <w:r w:rsidR="005A2369" w:rsidRPr="003F471F">
              <w:rPr>
                <w:rFonts w:ascii="Tahoma" w:hAnsi="Tahoma" w:cs="Tahoma"/>
                <w:b w:val="0"/>
                <w:sz w:val="14"/>
                <w:lang w:val="it-IT"/>
              </w:rPr>
              <w:t> </w:t>
            </w:r>
            <w:r w:rsidRPr="003F471F">
              <w:rPr>
                <w:rFonts w:ascii="Tahoma" w:hAnsi="Tahoma" w:cs="Tahoma"/>
                <w:b w:val="0"/>
                <w:sz w:val="14"/>
                <w:lang w:val="it-IT"/>
              </w:rPr>
              <w:t>Windows</w:t>
            </w:r>
            <w:r w:rsidR="00E53A46" w:rsidRPr="003F471F">
              <w:rPr>
                <w:rFonts w:ascii="Tahoma" w:hAnsi="Tahoma" w:cs="Tahoma"/>
                <w:b w:val="0"/>
                <w:sz w:val="14"/>
                <w:vertAlign w:val="superscript"/>
                <w:lang w:val="it-IT"/>
              </w:rPr>
              <w:t>®</w:t>
            </w:r>
            <w:r w:rsidRPr="003F471F">
              <w:rPr>
                <w:rFonts w:ascii="Tahoma" w:hAnsi="Tahoma" w:cs="Tahoma"/>
                <w:b w:val="0"/>
                <w:sz w:val="14"/>
                <w:lang w:val="it-IT"/>
              </w:rPr>
              <w:t xml:space="preserve"> Embedded Device Manager 2011</w:t>
            </w:r>
            <w:bookmarkEnd w:id="471"/>
            <w:bookmarkEnd w:id="472"/>
          </w:p>
        </w:tc>
        <w:tc>
          <w:tcPr>
            <w:tcW w:w="554" w:type="dxa"/>
            <w:tcBorders>
              <w:bottom w:val="single" w:sz="4" w:space="0" w:color="auto"/>
            </w:tcBorders>
            <w:shd w:val="clear" w:color="auto" w:fill="FABF8F"/>
            <w:vAlign w:val="center"/>
          </w:tcPr>
          <w:p w14:paraId="66A39354" w14:textId="77777777" w:rsidR="00913A0A" w:rsidRPr="0058047D" w:rsidRDefault="00C86F50" w:rsidP="00913588">
            <w:pPr>
              <w:pStyle w:val="TableText"/>
              <w:widowControl w:val="0"/>
              <w:spacing w:before="100" w:beforeAutospacing="1"/>
              <w:rPr>
                <w:rFonts w:cs="Tahoma"/>
                <w:b/>
                <w:color w:val="0000FF"/>
                <w:sz w:val="13"/>
                <w:szCs w:val="13"/>
              </w:rPr>
            </w:pPr>
            <w:hyperlink w:anchor="_96_Windows_Embedded" w:history="1">
              <w:r w:rsidR="00BF5FC6" w:rsidRPr="0058047D">
                <w:rPr>
                  <w:rStyle w:val="Hyperlink"/>
                  <w:b/>
                  <w:sz w:val="13"/>
                  <w:szCs w:val="13"/>
                </w:rPr>
                <w:t>103</w:t>
              </w:r>
            </w:hyperlink>
          </w:p>
        </w:tc>
        <w:tc>
          <w:tcPr>
            <w:tcW w:w="516" w:type="dxa"/>
            <w:tcBorders>
              <w:bottom w:val="single" w:sz="4" w:space="0" w:color="auto"/>
            </w:tcBorders>
            <w:shd w:val="clear" w:color="auto" w:fill="FABF8F"/>
            <w:vAlign w:val="center"/>
          </w:tcPr>
          <w:p w14:paraId="2C57DD80" w14:textId="77777777" w:rsidR="00913A0A" w:rsidRPr="0058047D" w:rsidRDefault="00913A0A" w:rsidP="001A63C6">
            <w:pPr>
              <w:pStyle w:val="TableText"/>
              <w:widowControl w:val="0"/>
              <w:spacing w:before="80"/>
              <w:rPr>
                <w:rFonts w:ascii="Tahoma" w:hAnsi="Tahoma" w:cs="Tahoma"/>
                <w:sz w:val="13"/>
              </w:rPr>
            </w:pPr>
          </w:p>
        </w:tc>
        <w:tc>
          <w:tcPr>
            <w:tcW w:w="358" w:type="dxa"/>
            <w:tcBorders>
              <w:bottom w:val="single" w:sz="4" w:space="0" w:color="auto"/>
              <w:right w:val="single" w:sz="18" w:space="0" w:color="auto"/>
            </w:tcBorders>
            <w:shd w:val="clear" w:color="auto" w:fill="FABF8F"/>
            <w:vAlign w:val="center"/>
          </w:tcPr>
          <w:p w14:paraId="41D94520"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center"/>
          </w:tcPr>
          <w:p w14:paraId="473DBD5B"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26963902"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6C15B93F"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18709695"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24D8CCD"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41F5090"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20629814"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01710319"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79082AA"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2DF19086"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27421EAD"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2E9F9CF4"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3C5508C5"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253E3606"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5EAB5075"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6D3A6EE5" w14:textId="77777777" w:rsidR="00913A0A" w:rsidRPr="0058047D" w:rsidRDefault="00913A0A" w:rsidP="001A63C6">
            <w:pPr>
              <w:pStyle w:val="TableText"/>
              <w:widowControl w:val="0"/>
              <w:rPr>
                <w:rFonts w:ascii="Tahoma" w:hAnsi="Tahoma" w:cs="Tahoma"/>
                <w:sz w:val="13"/>
              </w:rPr>
            </w:pPr>
          </w:p>
        </w:tc>
      </w:tr>
      <w:tr w:rsidR="009323A0" w:rsidRPr="0058047D" w14:paraId="1AEE6272" w14:textId="77777777" w:rsidTr="00C86F50">
        <w:trPr>
          <w:trHeight w:val="287"/>
        </w:trPr>
        <w:tc>
          <w:tcPr>
            <w:tcW w:w="2619" w:type="dxa"/>
            <w:gridSpan w:val="2"/>
            <w:tcBorders>
              <w:bottom w:val="single" w:sz="4" w:space="0" w:color="auto"/>
            </w:tcBorders>
            <w:shd w:val="clear" w:color="auto" w:fill="auto"/>
            <w:vAlign w:val="center"/>
          </w:tcPr>
          <w:p w14:paraId="762444FE" w14:textId="77777777" w:rsidR="00913A0A" w:rsidRPr="0058047D" w:rsidRDefault="00913A0A" w:rsidP="001A63C6">
            <w:pPr>
              <w:pStyle w:val="Heading2"/>
              <w:spacing w:before="20" w:after="20"/>
              <w:ind w:left="0"/>
              <w:rPr>
                <w:rFonts w:ascii="Tahoma" w:hAnsi="Tahoma" w:cs="Tahoma"/>
                <w:b w:val="0"/>
                <w:sz w:val="14"/>
                <w:szCs w:val="14"/>
              </w:rPr>
            </w:pPr>
            <w:bookmarkStart w:id="473" w:name="_Toc336338118"/>
            <w:bookmarkStart w:id="474" w:name="_Toc371663513"/>
            <w:r w:rsidRPr="0058047D">
              <w:rPr>
                <w:rFonts w:ascii="Tahoma" w:hAnsi="Tahoma" w:cs="Tahoma"/>
                <w:b w:val="0"/>
                <w:sz w:val="14"/>
              </w:rPr>
              <w:t>Windows</w:t>
            </w:r>
            <w:r w:rsidR="00E53A46" w:rsidRPr="0058047D">
              <w:rPr>
                <w:rFonts w:ascii="Tahoma" w:hAnsi="Tahoma" w:cs="Tahoma"/>
                <w:b w:val="0"/>
                <w:sz w:val="14"/>
                <w:vertAlign w:val="superscript"/>
              </w:rPr>
              <w:t>®</w:t>
            </w:r>
            <w:r w:rsidRPr="0058047D">
              <w:rPr>
                <w:rFonts w:ascii="Tahoma" w:hAnsi="Tahoma" w:cs="Tahoma"/>
                <w:b w:val="0"/>
                <w:sz w:val="14"/>
              </w:rPr>
              <w:t xml:space="preserve"> Embedded Device Manager 2011 con Tecnologia SQL Server</w:t>
            </w:r>
            <w:r w:rsidR="00E53A46" w:rsidRPr="0058047D">
              <w:rPr>
                <w:rFonts w:ascii="Tahoma" w:hAnsi="Tahoma" w:cs="Tahoma"/>
                <w:b w:val="0"/>
                <w:sz w:val="14"/>
                <w:vertAlign w:val="superscript"/>
              </w:rPr>
              <w:t>®</w:t>
            </w:r>
            <w:r w:rsidRPr="0058047D">
              <w:rPr>
                <w:rFonts w:ascii="Tahoma" w:hAnsi="Tahoma" w:cs="Tahoma"/>
                <w:b w:val="0"/>
                <w:sz w:val="14"/>
              </w:rPr>
              <w:t xml:space="preserve"> 2008</w:t>
            </w:r>
            <w:bookmarkEnd w:id="473"/>
            <w:bookmarkEnd w:id="474"/>
          </w:p>
        </w:tc>
        <w:tc>
          <w:tcPr>
            <w:tcW w:w="554" w:type="dxa"/>
            <w:tcBorders>
              <w:bottom w:val="single" w:sz="4" w:space="0" w:color="auto"/>
            </w:tcBorders>
            <w:shd w:val="clear" w:color="auto" w:fill="auto"/>
            <w:vAlign w:val="center"/>
          </w:tcPr>
          <w:p w14:paraId="6877CE10" w14:textId="77777777" w:rsidR="00913A0A" w:rsidRPr="0058047D" w:rsidRDefault="00C86F50" w:rsidP="00913588">
            <w:pPr>
              <w:pStyle w:val="TableText"/>
              <w:widowControl w:val="0"/>
              <w:spacing w:before="100" w:beforeAutospacing="1"/>
              <w:rPr>
                <w:rFonts w:cs="Tahoma"/>
                <w:b/>
                <w:color w:val="0000FF"/>
                <w:sz w:val="13"/>
                <w:szCs w:val="13"/>
                <w:u w:val="single"/>
              </w:rPr>
            </w:pPr>
            <w:hyperlink w:anchor="_96_Windows_Embedded" w:history="1">
              <w:r w:rsidR="00BF5FC6" w:rsidRPr="0058047D">
                <w:rPr>
                  <w:rStyle w:val="Hyperlink"/>
                  <w:b/>
                  <w:sz w:val="13"/>
                  <w:szCs w:val="13"/>
                </w:rPr>
                <w:t>103</w:t>
              </w:r>
            </w:hyperlink>
          </w:p>
        </w:tc>
        <w:tc>
          <w:tcPr>
            <w:tcW w:w="516" w:type="dxa"/>
            <w:tcBorders>
              <w:bottom w:val="single" w:sz="4" w:space="0" w:color="auto"/>
            </w:tcBorders>
            <w:shd w:val="clear" w:color="auto" w:fill="auto"/>
            <w:vAlign w:val="center"/>
          </w:tcPr>
          <w:p w14:paraId="57293D83" w14:textId="77777777" w:rsidR="00913A0A" w:rsidRPr="0058047D" w:rsidRDefault="00913A0A" w:rsidP="001A63C6">
            <w:pPr>
              <w:pStyle w:val="TableText"/>
              <w:widowControl w:val="0"/>
              <w:spacing w:before="80"/>
              <w:rPr>
                <w:rFonts w:ascii="Tahoma" w:hAnsi="Tahoma" w:cs="Tahoma"/>
                <w:sz w:val="13"/>
              </w:rPr>
            </w:pPr>
          </w:p>
        </w:tc>
        <w:tc>
          <w:tcPr>
            <w:tcW w:w="358" w:type="dxa"/>
            <w:tcBorders>
              <w:bottom w:val="single" w:sz="4" w:space="0" w:color="auto"/>
              <w:right w:val="single" w:sz="18" w:space="0" w:color="auto"/>
            </w:tcBorders>
            <w:shd w:val="clear" w:color="auto" w:fill="auto"/>
            <w:vAlign w:val="center"/>
          </w:tcPr>
          <w:p w14:paraId="6429B489"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auto"/>
            <w:vAlign w:val="center"/>
          </w:tcPr>
          <w:p w14:paraId="2EFFE5D4"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2A20CBBC"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4734BD58"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4D50AED6"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B5027BA"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D10D832"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4A42D6E5"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013AFC24"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EE7A899"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283BE647"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1CFDF7EE"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561D1989"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35697FD3"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tcPr>
          <w:p w14:paraId="2B59A070"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14:paraId="286CB9E9"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auto"/>
          </w:tcPr>
          <w:p w14:paraId="6E24F596" w14:textId="77777777" w:rsidR="00913A0A" w:rsidRPr="0058047D" w:rsidRDefault="00913A0A" w:rsidP="001A63C6">
            <w:pPr>
              <w:pStyle w:val="TableText"/>
              <w:widowControl w:val="0"/>
              <w:rPr>
                <w:rFonts w:ascii="Tahoma" w:hAnsi="Tahoma" w:cs="Tahoma"/>
                <w:sz w:val="13"/>
              </w:rPr>
            </w:pPr>
          </w:p>
        </w:tc>
      </w:tr>
      <w:tr w:rsidR="009323A0" w:rsidRPr="0058047D" w14:paraId="01F432C5" w14:textId="77777777" w:rsidTr="00C86F50">
        <w:trPr>
          <w:trHeight w:val="287"/>
        </w:trPr>
        <w:tc>
          <w:tcPr>
            <w:tcW w:w="2619" w:type="dxa"/>
            <w:gridSpan w:val="2"/>
            <w:tcBorders>
              <w:bottom w:val="single" w:sz="4" w:space="0" w:color="auto"/>
            </w:tcBorders>
            <w:shd w:val="clear" w:color="auto" w:fill="FABF8F"/>
            <w:vAlign w:val="center"/>
          </w:tcPr>
          <w:p w14:paraId="46437912" w14:textId="77777777" w:rsidR="00913A0A" w:rsidRPr="0058047D" w:rsidRDefault="00913A0A" w:rsidP="001A63C6">
            <w:pPr>
              <w:pStyle w:val="Heading2"/>
              <w:spacing w:before="20" w:after="20"/>
              <w:ind w:left="0"/>
              <w:rPr>
                <w:rFonts w:ascii="Tahoma" w:hAnsi="Tahoma" w:cs="Tahoma"/>
                <w:b w:val="0"/>
                <w:sz w:val="14"/>
                <w:szCs w:val="14"/>
              </w:rPr>
            </w:pPr>
            <w:bookmarkStart w:id="475" w:name="_Toc336338119"/>
            <w:bookmarkStart w:id="476" w:name="_Toc371663514"/>
            <w:r w:rsidRPr="0058047D">
              <w:rPr>
                <w:rFonts w:ascii="Tahoma" w:hAnsi="Tahoma" w:cs="Tahoma"/>
                <w:b w:val="0"/>
                <w:sz w:val="14"/>
                <w:szCs w:val="14"/>
              </w:rPr>
              <w:t>Windows Essential Business Server 2008 Standard</w:t>
            </w:r>
            <w:bookmarkEnd w:id="475"/>
            <w:bookmarkEnd w:id="476"/>
          </w:p>
        </w:tc>
        <w:tc>
          <w:tcPr>
            <w:tcW w:w="554" w:type="dxa"/>
            <w:tcBorders>
              <w:bottom w:val="single" w:sz="4" w:space="0" w:color="auto"/>
            </w:tcBorders>
            <w:shd w:val="clear" w:color="auto" w:fill="FABF8F"/>
            <w:vAlign w:val="center"/>
          </w:tcPr>
          <w:p w14:paraId="25887039" w14:textId="77777777" w:rsidR="00913A0A" w:rsidRPr="0058047D" w:rsidRDefault="00C86F50" w:rsidP="00913588">
            <w:pPr>
              <w:pStyle w:val="TableText"/>
              <w:widowControl w:val="0"/>
              <w:spacing w:before="100" w:beforeAutospacing="1"/>
              <w:rPr>
                <w:rStyle w:val="EndnoteReference"/>
                <w:rFonts w:cs="Tahoma"/>
                <w:b w:val="0"/>
                <w:color w:val="0000FF"/>
                <w:sz w:val="13"/>
                <w:szCs w:val="13"/>
                <w:u w:val="single"/>
              </w:rPr>
            </w:pPr>
            <w:hyperlink w:anchor="_103_Windows_EBS" w:history="1">
              <w:r w:rsidR="00BF5FC6" w:rsidRPr="0058047D">
                <w:rPr>
                  <w:rStyle w:val="Hyperlink"/>
                  <w:b/>
                  <w:sz w:val="13"/>
                  <w:szCs w:val="13"/>
                </w:rPr>
                <w:t>104</w:t>
              </w:r>
            </w:hyperlink>
          </w:p>
        </w:tc>
        <w:tc>
          <w:tcPr>
            <w:tcW w:w="516" w:type="dxa"/>
            <w:tcBorders>
              <w:bottom w:val="single" w:sz="4" w:space="0" w:color="auto"/>
            </w:tcBorders>
            <w:shd w:val="clear" w:color="auto" w:fill="FABF8F"/>
            <w:vAlign w:val="center"/>
          </w:tcPr>
          <w:p w14:paraId="7E45F586" w14:textId="77777777" w:rsidR="00913A0A" w:rsidRPr="0058047D" w:rsidRDefault="00913A0A" w:rsidP="001A63C6">
            <w:pPr>
              <w:pStyle w:val="TableText"/>
              <w:widowControl w:val="0"/>
              <w:spacing w:before="80"/>
              <w:rPr>
                <w:rFonts w:ascii="Tahoma" w:hAnsi="Tahoma" w:cs="Tahoma"/>
                <w:sz w:val="13"/>
              </w:rPr>
            </w:pPr>
          </w:p>
        </w:tc>
        <w:tc>
          <w:tcPr>
            <w:tcW w:w="358" w:type="dxa"/>
            <w:tcBorders>
              <w:bottom w:val="single" w:sz="4" w:space="0" w:color="auto"/>
              <w:right w:val="single" w:sz="18" w:space="0" w:color="auto"/>
            </w:tcBorders>
            <w:shd w:val="clear" w:color="auto" w:fill="FABF8F"/>
            <w:vAlign w:val="center"/>
          </w:tcPr>
          <w:p w14:paraId="5CE90612"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center"/>
          </w:tcPr>
          <w:p w14:paraId="729ACC0F"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37934E64"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29331E62"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29215717"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F16DDC0"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B460B22"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3925DEE9"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7CE55606"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5222C07"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0AFFC829"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11AE888A"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6FB8E016"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2279908C"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2CAB1BB5"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3B52C838"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71D7E189" w14:textId="77777777" w:rsidR="00913A0A" w:rsidRPr="0058047D" w:rsidRDefault="00913A0A" w:rsidP="001A63C6">
            <w:pPr>
              <w:pStyle w:val="TableText"/>
              <w:widowControl w:val="0"/>
              <w:rPr>
                <w:rFonts w:ascii="Tahoma" w:hAnsi="Tahoma" w:cs="Tahoma"/>
                <w:sz w:val="13"/>
              </w:rPr>
            </w:pPr>
          </w:p>
        </w:tc>
      </w:tr>
      <w:tr w:rsidR="009323A0" w:rsidRPr="0058047D" w14:paraId="2B4554D5" w14:textId="77777777" w:rsidTr="00C86F50">
        <w:trPr>
          <w:trHeight w:val="287"/>
        </w:trPr>
        <w:tc>
          <w:tcPr>
            <w:tcW w:w="2619" w:type="dxa"/>
            <w:gridSpan w:val="2"/>
            <w:tcBorders>
              <w:bottom w:val="single" w:sz="4" w:space="0" w:color="auto"/>
            </w:tcBorders>
            <w:shd w:val="clear" w:color="auto" w:fill="auto"/>
            <w:vAlign w:val="center"/>
          </w:tcPr>
          <w:p w14:paraId="104C558F" w14:textId="77777777" w:rsidR="00913A0A" w:rsidRPr="0058047D" w:rsidRDefault="00913A0A" w:rsidP="001A63C6">
            <w:pPr>
              <w:pStyle w:val="Heading2"/>
              <w:spacing w:before="20" w:after="20"/>
              <w:ind w:left="0"/>
              <w:rPr>
                <w:rFonts w:ascii="Tahoma" w:hAnsi="Tahoma" w:cs="Tahoma"/>
                <w:b w:val="0"/>
                <w:sz w:val="14"/>
                <w:szCs w:val="14"/>
              </w:rPr>
            </w:pPr>
            <w:bookmarkStart w:id="477" w:name="_Toc336338120"/>
            <w:bookmarkStart w:id="478" w:name="_Toc371663515"/>
            <w:r w:rsidRPr="0058047D">
              <w:rPr>
                <w:rFonts w:ascii="Tahoma" w:hAnsi="Tahoma" w:cs="Tahoma"/>
                <w:b w:val="0"/>
                <w:sz w:val="14"/>
                <w:szCs w:val="14"/>
              </w:rPr>
              <w:t>CAL Suite per Windows Essential Business Server 2008</w:t>
            </w:r>
            <w:bookmarkEnd w:id="477"/>
            <w:bookmarkEnd w:id="478"/>
          </w:p>
        </w:tc>
        <w:tc>
          <w:tcPr>
            <w:tcW w:w="554" w:type="dxa"/>
            <w:tcBorders>
              <w:bottom w:val="single" w:sz="4" w:space="0" w:color="auto"/>
            </w:tcBorders>
            <w:shd w:val="clear" w:color="auto" w:fill="auto"/>
            <w:vAlign w:val="center"/>
          </w:tcPr>
          <w:p w14:paraId="5B7B05F3" w14:textId="77777777" w:rsidR="00913A0A" w:rsidRPr="0058047D" w:rsidRDefault="00913A0A" w:rsidP="001A63C6">
            <w:pPr>
              <w:pStyle w:val="TableText"/>
              <w:widowControl w:val="0"/>
              <w:spacing w:before="100" w:beforeAutospacing="1"/>
              <w:rPr>
                <w:rStyle w:val="EndnoteReference"/>
                <w:rFonts w:ascii="Tahoma" w:hAnsi="Tahoma" w:cs="Tahoma"/>
                <w:color w:val="0000FF"/>
                <w:sz w:val="13"/>
                <w:szCs w:val="13"/>
              </w:rPr>
            </w:pPr>
          </w:p>
        </w:tc>
        <w:tc>
          <w:tcPr>
            <w:tcW w:w="516" w:type="dxa"/>
            <w:tcBorders>
              <w:bottom w:val="single" w:sz="4" w:space="0" w:color="auto"/>
            </w:tcBorders>
            <w:shd w:val="clear" w:color="auto" w:fill="auto"/>
            <w:vAlign w:val="center"/>
          </w:tcPr>
          <w:p w14:paraId="19A01232"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11/08</w:t>
            </w:r>
          </w:p>
        </w:tc>
        <w:tc>
          <w:tcPr>
            <w:tcW w:w="358" w:type="dxa"/>
            <w:tcBorders>
              <w:bottom w:val="single" w:sz="4" w:space="0" w:color="auto"/>
              <w:right w:val="single" w:sz="18" w:space="0" w:color="auto"/>
            </w:tcBorders>
            <w:shd w:val="clear" w:color="auto" w:fill="auto"/>
            <w:vAlign w:val="center"/>
          </w:tcPr>
          <w:p w14:paraId="2CE6D69E"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2EC425B2"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35E6DD47"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74C3CECC"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16E1586E"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E0A323A"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835B2BC"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4F16C411"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376C9DFD"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CF5B645"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595E5A38"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13B7F86E"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13C23E86"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1DE554C0"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tcPr>
          <w:p w14:paraId="01F11AD4"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14:paraId="199ED8A9"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auto"/>
          </w:tcPr>
          <w:p w14:paraId="7DEA9439" w14:textId="77777777" w:rsidR="00913A0A" w:rsidRPr="0058047D" w:rsidRDefault="00913A0A" w:rsidP="001A63C6">
            <w:pPr>
              <w:pStyle w:val="TableText"/>
              <w:widowControl w:val="0"/>
              <w:rPr>
                <w:rFonts w:ascii="Tahoma" w:hAnsi="Tahoma" w:cs="Tahoma"/>
                <w:sz w:val="13"/>
              </w:rPr>
            </w:pPr>
          </w:p>
        </w:tc>
      </w:tr>
      <w:tr w:rsidR="009323A0" w:rsidRPr="0058047D" w14:paraId="3F122F45" w14:textId="77777777" w:rsidTr="00C86F50">
        <w:trPr>
          <w:trHeight w:val="287"/>
        </w:trPr>
        <w:tc>
          <w:tcPr>
            <w:tcW w:w="2619" w:type="dxa"/>
            <w:gridSpan w:val="2"/>
            <w:tcBorders>
              <w:bottom w:val="single" w:sz="4" w:space="0" w:color="auto"/>
            </w:tcBorders>
            <w:shd w:val="clear" w:color="auto" w:fill="FABF8F"/>
            <w:vAlign w:val="center"/>
          </w:tcPr>
          <w:p w14:paraId="1DD42840" w14:textId="77777777" w:rsidR="00913A0A" w:rsidRPr="0058047D" w:rsidRDefault="00913A0A" w:rsidP="001A63C6">
            <w:pPr>
              <w:pStyle w:val="Heading2"/>
              <w:spacing w:before="20" w:after="20"/>
              <w:ind w:left="0"/>
              <w:rPr>
                <w:rFonts w:ascii="Tahoma" w:hAnsi="Tahoma" w:cs="Tahoma"/>
                <w:b w:val="0"/>
                <w:sz w:val="14"/>
                <w:szCs w:val="14"/>
              </w:rPr>
            </w:pPr>
            <w:bookmarkStart w:id="479" w:name="_Toc336338121"/>
            <w:bookmarkStart w:id="480" w:name="_Toc371663516"/>
            <w:r w:rsidRPr="0058047D">
              <w:rPr>
                <w:rFonts w:ascii="Tahoma" w:hAnsi="Tahoma" w:cs="Tahoma"/>
                <w:b w:val="0"/>
                <w:sz w:val="14"/>
                <w:szCs w:val="14"/>
              </w:rPr>
              <w:t>CAL Suite per Windows Essential Business Server 2008 (5 client)</w:t>
            </w:r>
            <w:bookmarkEnd w:id="479"/>
            <w:bookmarkEnd w:id="480"/>
          </w:p>
        </w:tc>
        <w:tc>
          <w:tcPr>
            <w:tcW w:w="554" w:type="dxa"/>
            <w:tcBorders>
              <w:bottom w:val="single" w:sz="4" w:space="0" w:color="auto"/>
            </w:tcBorders>
            <w:shd w:val="clear" w:color="auto" w:fill="FABF8F"/>
            <w:vAlign w:val="center"/>
          </w:tcPr>
          <w:p w14:paraId="6F18F3EB" w14:textId="77777777" w:rsidR="00913A0A" w:rsidRPr="0058047D" w:rsidRDefault="00913A0A" w:rsidP="001A63C6">
            <w:pPr>
              <w:pStyle w:val="TableText"/>
              <w:widowControl w:val="0"/>
              <w:spacing w:before="100" w:beforeAutospacing="1"/>
              <w:rPr>
                <w:rStyle w:val="EndnoteReference"/>
                <w:rFonts w:ascii="Tahoma" w:hAnsi="Tahoma" w:cs="Tahoma"/>
                <w:color w:val="0000FF"/>
                <w:sz w:val="13"/>
                <w:szCs w:val="13"/>
              </w:rPr>
            </w:pPr>
          </w:p>
        </w:tc>
        <w:tc>
          <w:tcPr>
            <w:tcW w:w="516" w:type="dxa"/>
            <w:tcBorders>
              <w:bottom w:val="single" w:sz="4" w:space="0" w:color="auto"/>
            </w:tcBorders>
            <w:shd w:val="clear" w:color="auto" w:fill="FABF8F"/>
            <w:vAlign w:val="center"/>
          </w:tcPr>
          <w:p w14:paraId="2B5261F4"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11/08</w:t>
            </w:r>
          </w:p>
        </w:tc>
        <w:tc>
          <w:tcPr>
            <w:tcW w:w="358" w:type="dxa"/>
            <w:tcBorders>
              <w:bottom w:val="single" w:sz="4" w:space="0" w:color="auto"/>
              <w:right w:val="single" w:sz="18" w:space="0" w:color="auto"/>
            </w:tcBorders>
            <w:shd w:val="clear" w:color="auto" w:fill="FABF8F"/>
            <w:vAlign w:val="center"/>
          </w:tcPr>
          <w:p w14:paraId="1284908E"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center"/>
          </w:tcPr>
          <w:p w14:paraId="02AA52EF"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5B3C48E7"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32C5BAF6"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66A22F34"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6F9D4CC"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965A06D"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7AC85B6C"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736838AA"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w:t>
            </w:r>
          </w:p>
        </w:tc>
        <w:tc>
          <w:tcPr>
            <w:tcW w:w="450" w:type="dxa"/>
            <w:tcBorders>
              <w:bottom w:val="single" w:sz="4" w:space="0" w:color="auto"/>
            </w:tcBorders>
            <w:shd w:val="clear" w:color="auto" w:fill="FABF8F"/>
            <w:vAlign w:val="center"/>
          </w:tcPr>
          <w:p w14:paraId="0052CA79"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032E290D"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1CE987D5"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460CA965"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6ECB560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tcPr>
          <w:p w14:paraId="09B033E5"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47C39AA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OL</w:t>
            </w:r>
          </w:p>
        </w:tc>
        <w:tc>
          <w:tcPr>
            <w:tcW w:w="405" w:type="dxa"/>
            <w:tcBorders>
              <w:bottom w:val="single" w:sz="4" w:space="0" w:color="auto"/>
            </w:tcBorders>
            <w:shd w:val="clear" w:color="auto" w:fill="FABF8F"/>
          </w:tcPr>
          <w:p w14:paraId="3610D6EE" w14:textId="77777777" w:rsidR="00913A0A" w:rsidRPr="0058047D" w:rsidRDefault="00913A0A" w:rsidP="001A63C6">
            <w:pPr>
              <w:pStyle w:val="TableText"/>
              <w:widowControl w:val="0"/>
              <w:rPr>
                <w:rFonts w:ascii="Tahoma" w:hAnsi="Tahoma" w:cs="Tahoma"/>
                <w:sz w:val="13"/>
              </w:rPr>
            </w:pPr>
          </w:p>
        </w:tc>
      </w:tr>
      <w:tr w:rsidR="009323A0" w:rsidRPr="0058047D" w14:paraId="206BF974" w14:textId="77777777" w:rsidTr="00C86F50">
        <w:trPr>
          <w:trHeight w:val="287"/>
        </w:trPr>
        <w:tc>
          <w:tcPr>
            <w:tcW w:w="2619" w:type="dxa"/>
            <w:gridSpan w:val="2"/>
            <w:tcBorders>
              <w:bottom w:val="single" w:sz="4" w:space="0" w:color="auto"/>
            </w:tcBorders>
            <w:shd w:val="clear" w:color="auto" w:fill="auto"/>
            <w:vAlign w:val="center"/>
          </w:tcPr>
          <w:p w14:paraId="37AC367E" w14:textId="77777777" w:rsidR="00913A0A" w:rsidRPr="0058047D" w:rsidRDefault="00913A0A" w:rsidP="001A63C6">
            <w:pPr>
              <w:pStyle w:val="Heading2"/>
              <w:spacing w:before="20" w:after="20"/>
              <w:ind w:left="0"/>
              <w:rPr>
                <w:rFonts w:ascii="Tahoma" w:hAnsi="Tahoma" w:cs="Tahoma"/>
                <w:b w:val="0"/>
                <w:sz w:val="14"/>
                <w:szCs w:val="14"/>
              </w:rPr>
            </w:pPr>
            <w:bookmarkStart w:id="481" w:name="_Toc336338122"/>
            <w:bookmarkStart w:id="482" w:name="_Toc371663517"/>
            <w:r w:rsidRPr="0058047D">
              <w:rPr>
                <w:rFonts w:ascii="Tahoma" w:hAnsi="Tahoma" w:cs="Tahoma"/>
                <w:b w:val="0"/>
                <w:color w:val="000000"/>
                <w:sz w:val="14"/>
                <w:szCs w:val="14"/>
              </w:rPr>
              <w:t>CAL Suite per Windows Essential Business Server 2008 (20 client)</w:t>
            </w:r>
            <w:bookmarkEnd w:id="481"/>
            <w:bookmarkEnd w:id="482"/>
          </w:p>
        </w:tc>
        <w:tc>
          <w:tcPr>
            <w:tcW w:w="554" w:type="dxa"/>
            <w:tcBorders>
              <w:bottom w:val="single" w:sz="4" w:space="0" w:color="auto"/>
            </w:tcBorders>
            <w:shd w:val="clear" w:color="auto" w:fill="auto"/>
            <w:vAlign w:val="center"/>
          </w:tcPr>
          <w:p w14:paraId="64B3641A" w14:textId="77777777" w:rsidR="00913A0A" w:rsidRPr="0058047D" w:rsidRDefault="00913A0A" w:rsidP="001A63C6">
            <w:pPr>
              <w:pStyle w:val="TableText"/>
              <w:widowControl w:val="0"/>
              <w:spacing w:before="100" w:beforeAutospacing="1"/>
              <w:rPr>
                <w:rStyle w:val="EndnoteReference"/>
                <w:rFonts w:ascii="Tahoma" w:hAnsi="Tahoma" w:cs="Tahoma"/>
                <w:color w:val="0000FF"/>
                <w:sz w:val="13"/>
                <w:szCs w:val="13"/>
              </w:rPr>
            </w:pPr>
          </w:p>
        </w:tc>
        <w:tc>
          <w:tcPr>
            <w:tcW w:w="516" w:type="dxa"/>
            <w:tcBorders>
              <w:bottom w:val="single" w:sz="4" w:space="0" w:color="auto"/>
            </w:tcBorders>
            <w:shd w:val="clear" w:color="auto" w:fill="auto"/>
            <w:vAlign w:val="center"/>
          </w:tcPr>
          <w:p w14:paraId="51141B9A"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11/08</w:t>
            </w:r>
          </w:p>
        </w:tc>
        <w:tc>
          <w:tcPr>
            <w:tcW w:w="358" w:type="dxa"/>
            <w:tcBorders>
              <w:bottom w:val="single" w:sz="4" w:space="0" w:color="auto"/>
              <w:right w:val="single" w:sz="18" w:space="0" w:color="auto"/>
            </w:tcBorders>
            <w:shd w:val="clear" w:color="auto" w:fill="auto"/>
            <w:vAlign w:val="center"/>
          </w:tcPr>
          <w:p w14:paraId="0B73BAD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71D3800D"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59E46A88"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2AD7CE55"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34134E13"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3A6F568"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7219410"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7E39F842"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10F60300"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25</w:t>
            </w:r>
          </w:p>
        </w:tc>
        <w:tc>
          <w:tcPr>
            <w:tcW w:w="450" w:type="dxa"/>
            <w:tcBorders>
              <w:bottom w:val="single" w:sz="4" w:space="0" w:color="auto"/>
            </w:tcBorders>
            <w:shd w:val="clear" w:color="auto" w:fill="auto"/>
            <w:vAlign w:val="center"/>
          </w:tcPr>
          <w:p w14:paraId="48DDD6C4"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0184E6C9"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62966EBB"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4022E13D"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1527B648"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auto"/>
          </w:tcPr>
          <w:p w14:paraId="2F88A8D2"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14:paraId="28C150C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OL</w:t>
            </w:r>
          </w:p>
        </w:tc>
        <w:tc>
          <w:tcPr>
            <w:tcW w:w="405" w:type="dxa"/>
            <w:tcBorders>
              <w:bottom w:val="single" w:sz="4" w:space="0" w:color="auto"/>
            </w:tcBorders>
            <w:shd w:val="clear" w:color="auto" w:fill="auto"/>
          </w:tcPr>
          <w:p w14:paraId="1B4425D4" w14:textId="77777777" w:rsidR="00913A0A" w:rsidRPr="0058047D" w:rsidRDefault="00913A0A" w:rsidP="001A63C6">
            <w:pPr>
              <w:pStyle w:val="TableText"/>
              <w:widowControl w:val="0"/>
              <w:rPr>
                <w:rFonts w:ascii="Tahoma" w:hAnsi="Tahoma" w:cs="Tahoma"/>
                <w:sz w:val="13"/>
              </w:rPr>
            </w:pPr>
          </w:p>
        </w:tc>
      </w:tr>
      <w:tr w:rsidR="009323A0" w:rsidRPr="0058047D" w14:paraId="4CE1CDE3" w14:textId="77777777" w:rsidTr="00C86F50">
        <w:trPr>
          <w:trHeight w:val="287"/>
        </w:trPr>
        <w:tc>
          <w:tcPr>
            <w:tcW w:w="2619" w:type="dxa"/>
            <w:gridSpan w:val="2"/>
            <w:tcBorders>
              <w:bottom w:val="single" w:sz="4" w:space="0" w:color="auto"/>
            </w:tcBorders>
            <w:shd w:val="clear" w:color="auto" w:fill="FABF8F"/>
            <w:vAlign w:val="center"/>
          </w:tcPr>
          <w:p w14:paraId="694D9CE6" w14:textId="77777777" w:rsidR="00913A0A" w:rsidRPr="0058047D" w:rsidRDefault="00913A0A" w:rsidP="001A63C6">
            <w:pPr>
              <w:pStyle w:val="Heading2"/>
              <w:spacing w:before="20" w:after="20"/>
              <w:ind w:left="0"/>
              <w:rPr>
                <w:rFonts w:ascii="Tahoma" w:hAnsi="Tahoma" w:cs="Tahoma"/>
                <w:b w:val="0"/>
                <w:sz w:val="14"/>
                <w:szCs w:val="14"/>
              </w:rPr>
            </w:pPr>
            <w:bookmarkStart w:id="483" w:name="_Toc336338123"/>
            <w:bookmarkStart w:id="484" w:name="_Toc371663518"/>
            <w:r w:rsidRPr="0058047D">
              <w:rPr>
                <w:rFonts w:ascii="Tahoma" w:hAnsi="Tahoma" w:cs="Tahoma"/>
                <w:b w:val="0"/>
                <w:sz w:val="14"/>
                <w:szCs w:val="14"/>
              </w:rPr>
              <w:t>CAL Suite per Windows Essential Business Server 2008 (50 client)</w:t>
            </w:r>
            <w:bookmarkEnd w:id="483"/>
            <w:bookmarkEnd w:id="484"/>
          </w:p>
        </w:tc>
        <w:tc>
          <w:tcPr>
            <w:tcW w:w="554" w:type="dxa"/>
            <w:tcBorders>
              <w:bottom w:val="single" w:sz="4" w:space="0" w:color="auto"/>
            </w:tcBorders>
            <w:shd w:val="clear" w:color="auto" w:fill="FABF8F"/>
            <w:vAlign w:val="center"/>
          </w:tcPr>
          <w:p w14:paraId="61890183" w14:textId="77777777" w:rsidR="00913A0A" w:rsidRPr="0058047D" w:rsidRDefault="00913A0A" w:rsidP="001A63C6">
            <w:pPr>
              <w:pStyle w:val="TableText"/>
              <w:widowControl w:val="0"/>
              <w:spacing w:before="100" w:beforeAutospacing="1"/>
              <w:rPr>
                <w:rStyle w:val="EndnoteReference"/>
                <w:rFonts w:ascii="Tahoma" w:hAnsi="Tahoma" w:cs="Tahoma"/>
                <w:color w:val="0000FF"/>
                <w:sz w:val="13"/>
                <w:szCs w:val="13"/>
              </w:rPr>
            </w:pPr>
          </w:p>
        </w:tc>
        <w:tc>
          <w:tcPr>
            <w:tcW w:w="516" w:type="dxa"/>
            <w:tcBorders>
              <w:bottom w:val="single" w:sz="4" w:space="0" w:color="auto"/>
            </w:tcBorders>
            <w:shd w:val="clear" w:color="auto" w:fill="FABF8F"/>
            <w:vAlign w:val="center"/>
          </w:tcPr>
          <w:p w14:paraId="600BF640"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11/08</w:t>
            </w:r>
          </w:p>
        </w:tc>
        <w:tc>
          <w:tcPr>
            <w:tcW w:w="358" w:type="dxa"/>
            <w:tcBorders>
              <w:bottom w:val="single" w:sz="4" w:space="0" w:color="auto"/>
              <w:right w:val="single" w:sz="18" w:space="0" w:color="auto"/>
            </w:tcBorders>
            <w:shd w:val="clear" w:color="auto" w:fill="FABF8F"/>
            <w:vAlign w:val="center"/>
          </w:tcPr>
          <w:p w14:paraId="45F2D22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center"/>
          </w:tcPr>
          <w:p w14:paraId="0F7551BA"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22CD1674"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30E3175D"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13041F9B"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03D4877"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A11B7D2"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44C5F524"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795A379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450" w:type="dxa"/>
            <w:tcBorders>
              <w:bottom w:val="single" w:sz="4" w:space="0" w:color="auto"/>
            </w:tcBorders>
            <w:shd w:val="clear" w:color="auto" w:fill="FABF8F"/>
            <w:vAlign w:val="center"/>
          </w:tcPr>
          <w:p w14:paraId="1513DA67"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35AE5199"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7B7D2C8D"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0C23127D"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3889033A"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tcPr>
          <w:p w14:paraId="7B4D9C49"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6B71A30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OL</w:t>
            </w:r>
          </w:p>
        </w:tc>
        <w:tc>
          <w:tcPr>
            <w:tcW w:w="405" w:type="dxa"/>
            <w:tcBorders>
              <w:bottom w:val="single" w:sz="4" w:space="0" w:color="auto"/>
            </w:tcBorders>
            <w:shd w:val="clear" w:color="auto" w:fill="FABF8F"/>
          </w:tcPr>
          <w:p w14:paraId="0187AC18" w14:textId="77777777" w:rsidR="00913A0A" w:rsidRPr="0058047D" w:rsidRDefault="00913A0A" w:rsidP="001A63C6">
            <w:pPr>
              <w:pStyle w:val="TableText"/>
              <w:widowControl w:val="0"/>
              <w:rPr>
                <w:rFonts w:ascii="Tahoma" w:hAnsi="Tahoma" w:cs="Tahoma"/>
                <w:sz w:val="13"/>
              </w:rPr>
            </w:pPr>
          </w:p>
        </w:tc>
      </w:tr>
      <w:tr w:rsidR="009323A0" w:rsidRPr="0058047D" w14:paraId="02EFF141" w14:textId="77777777" w:rsidTr="00C86F50">
        <w:trPr>
          <w:trHeight w:val="287"/>
        </w:trPr>
        <w:tc>
          <w:tcPr>
            <w:tcW w:w="2619" w:type="dxa"/>
            <w:gridSpan w:val="2"/>
            <w:tcBorders>
              <w:bottom w:val="single" w:sz="4" w:space="0" w:color="auto"/>
            </w:tcBorders>
            <w:shd w:val="clear" w:color="auto" w:fill="auto"/>
            <w:vAlign w:val="center"/>
          </w:tcPr>
          <w:p w14:paraId="0DA46E03" w14:textId="77777777" w:rsidR="00913A0A" w:rsidRPr="0058047D" w:rsidRDefault="00913A0A" w:rsidP="001A63C6">
            <w:pPr>
              <w:pStyle w:val="Heading2"/>
              <w:spacing w:before="20" w:after="20"/>
              <w:ind w:left="0"/>
              <w:rPr>
                <w:rFonts w:ascii="Tahoma" w:hAnsi="Tahoma" w:cs="Tahoma"/>
                <w:b w:val="0"/>
                <w:sz w:val="14"/>
                <w:szCs w:val="14"/>
              </w:rPr>
            </w:pPr>
            <w:bookmarkStart w:id="485" w:name="_Toc336338124"/>
            <w:bookmarkStart w:id="486" w:name="_Toc371663519"/>
            <w:r w:rsidRPr="0058047D">
              <w:rPr>
                <w:rFonts w:ascii="Tahoma" w:hAnsi="Tahoma" w:cs="Tahoma"/>
                <w:b w:val="0"/>
                <w:sz w:val="14"/>
                <w:szCs w:val="14"/>
              </w:rPr>
              <w:t>Windows Essential Business Server 2008 Premium</w:t>
            </w:r>
            <w:bookmarkEnd w:id="485"/>
            <w:bookmarkEnd w:id="486"/>
            <w:r w:rsidRPr="0058047D">
              <w:rPr>
                <w:rFonts w:ascii="Tahoma" w:hAnsi="Tahoma" w:cs="Tahoma"/>
                <w:b w:val="0"/>
                <w:sz w:val="14"/>
                <w:szCs w:val="14"/>
              </w:rPr>
              <w:t xml:space="preserve"> </w:t>
            </w:r>
          </w:p>
        </w:tc>
        <w:tc>
          <w:tcPr>
            <w:tcW w:w="554" w:type="dxa"/>
            <w:tcBorders>
              <w:bottom w:val="single" w:sz="4" w:space="0" w:color="auto"/>
            </w:tcBorders>
            <w:shd w:val="clear" w:color="auto" w:fill="auto"/>
            <w:vAlign w:val="center"/>
          </w:tcPr>
          <w:p w14:paraId="781D2148" w14:textId="77777777" w:rsidR="00913A0A" w:rsidRPr="0058047D" w:rsidRDefault="00C86F50" w:rsidP="00913588">
            <w:pPr>
              <w:pStyle w:val="TableText"/>
              <w:widowControl w:val="0"/>
              <w:spacing w:before="100" w:beforeAutospacing="1"/>
              <w:rPr>
                <w:rStyle w:val="EndnoteReference"/>
                <w:rFonts w:cs="Tahoma"/>
                <w:b w:val="0"/>
                <w:color w:val="0000FF"/>
                <w:sz w:val="13"/>
                <w:szCs w:val="13"/>
                <w:u w:val="single"/>
              </w:rPr>
            </w:pPr>
            <w:hyperlink w:anchor="_100_Windows_EBS" w:history="1">
              <w:r w:rsidR="00BF5FC6" w:rsidRPr="0058047D">
                <w:rPr>
                  <w:rStyle w:val="Hyperlink"/>
                  <w:b/>
                  <w:sz w:val="13"/>
                  <w:szCs w:val="13"/>
                </w:rPr>
                <w:t>104</w:t>
              </w:r>
            </w:hyperlink>
          </w:p>
        </w:tc>
        <w:tc>
          <w:tcPr>
            <w:tcW w:w="516" w:type="dxa"/>
            <w:tcBorders>
              <w:bottom w:val="single" w:sz="4" w:space="0" w:color="auto"/>
            </w:tcBorders>
            <w:shd w:val="clear" w:color="auto" w:fill="auto"/>
            <w:vAlign w:val="center"/>
          </w:tcPr>
          <w:p w14:paraId="1092D034" w14:textId="77777777" w:rsidR="00913A0A" w:rsidRPr="0058047D" w:rsidRDefault="00913A0A" w:rsidP="001A63C6">
            <w:pPr>
              <w:pStyle w:val="TableText"/>
              <w:widowControl w:val="0"/>
              <w:spacing w:before="80"/>
              <w:rPr>
                <w:rFonts w:ascii="Tahoma" w:hAnsi="Tahoma" w:cs="Tahoma"/>
                <w:sz w:val="13"/>
              </w:rPr>
            </w:pPr>
          </w:p>
        </w:tc>
        <w:tc>
          <w:tcPr>
            <w:tcW w:w="358" w:type="dxa"/>
            <w:tcBorders>
              <w:bottom w:val="single" w:sz="4" w:space="0" w:color="auto"/>
              <w:right w:val="single" w:sz="18" w:space="0" w:color="auto"/>
            </w:tcBorders>
            <w:shd w:val="clear" w:color="auto" w:fill="auto"/>
            <w:vAlign w:val="center"/>
          </w:tcPr>
          <w:p w14:paraId="6B4A16E8" w14:textId="77777777" w:rsidR="00913A0A" w:rsidRPr="0058047D" w:rsidRDefault="00913A0A" w:rsidP="001A63C6">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auto"/>
            <w:vAlign w:val="center"/>
          </w:tcPr>
          <w:p w14:paraId="145DAF15"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69126236"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014EAA8E"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41F1C381"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2E6155C"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FCE6C7E"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2D252A91"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05DEBBD8"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CD905AA"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3CBB2D70"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73CB03FE"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4E650D1A"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15B47298"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tcPr>
          <w:p w14:paraId="469CE405"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14:paraId="0BE47381"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tcPr>
          <w:p w14:paraId="562FCD9D" w14:textId="77777777" w:rsidR="00913A0A" w:rsidRPr="0058047D" w:rsidRDefault="00913A0A" w:rsidP="001A63C6">
            <w:pPr>
              <w:pStyle w:val="TableText"/>
              <w:widowControl w:val="0"/>
              <w:rPr>
                <w:rFonts w:ascii="Tahoma" w:hAnsi="Tahoma" w:cs="Tahoma"/>
                <w:sz w:val="13"/>
              </w:rPr>
            </w:pPr>
          </w:p>
        </w:tc>
      </w:tr>
      <w:tr w:rsidR="009323A0" w:rsidRPr="0058047D" w14:paraId="0BC0CCE3" w14:textId="77777777" w:rsidTr="00C86F50">
        <w:trPr>
          <w:trHeight w:val="287"/>
        </w:trPr>
        <w:tc>
          <w:tcPr>
            <w:tcW w:w="2619" w:type="dxa"/>
            <w:gridSpan w:val="2"/>
            <w:tcBorders>
              <w:bottom w:val="single" w:sz="4" w:space="0" w:color="auto"/>
            </w:tcBorders>
            <w:shd w:val="clear" w:color="auto" w:fill="FABF8F"/>
            <w:vAlign w:val="center"/>
          </w:tcPr>
          <w:p w14:paraId="4A070FB2" w14:textId="77777777" w:rsidR="00913A0A" w:rsidRPr="003F471F" w:rsidRDefault="00913A0A" w:rsidP="006878A4">
            <w:pPr>
              <w:pStyle w:val="Heading2"/>
              <w:spacing w:before="20" w:after="20"/>
              <w:ind w:left="0"/>
              <w:rPr>
                <w:rFonts w:ascii="Tahoma" w:hAnsi="Tahoma" w:cs="Tahoma"/>
                <w:b w:val="0"/>
                <w:sz w:val="14"/>
                <w:szCs w:val="14"/>
                <w:lang w:val="it-IT"/>
              </w:rPr>
            </w:pPr>
            <w:bookmarkStart w:id="487" w:name="_Toc336338125"/>
            <w:bookmarkStart w:id="488" w:name="_Toc371663520"/>
            <w:r w:rsidRPr="003F471F">
              <w:rPr>
                <w:rFonts w:ascii="Tahoma" w:hAnsi="Tahoma" w:cs="Tahoma"/>
                <w:b w:val="0"/>
                <w:sz w:val="14"/>
                <w:szCs w:val="14"/>
                <w:lang w:val="it-IT"/>
              </w:rPr>
              <w:t>CAL Suite per Windows Essential Business Server 2008 per Utenti o</w:t>
            </w:r>
            <w:r w:rsidR="006878A4" w:rsidRPr="003F471F">
              <w:rPr>
                <w:rFonts w:ascii="Tahoma" w:hAnsi="Tahoma" w:cs="Tahoma"/>
                <w:b w:val="0"/>
                <w:sz w:val="14"/>
                <w:szCs w:val="14"/>
                <w:lang w:val="it-IT"/>
              </w:rPr>
              <w:t> </w:t>
            </w:r>
            <w:r w:rsidRPr="003F471F">
              <w:rPr>
                <w:rFonts w:ascii="Tahoma" w:hAnsi="Tahoma" w:cs="Tahoma"/>
                <w:b w:val="0"/>
                <w:sz w:val="14"/>
                <w:szCs w:val="14"/>
                <w:lang w:val="it-IT"/>
              </w:rPr>
              <w:t>Dispositivi Premium</w:t>
            </w:r>
            <w:bookmarkEnd w:id="487"/>
            <w:bookmarkEnd w:id="488"/>
            <w:r w:rsidRPr="003F471F">
              <w:rPr>
                <w:rFonts w:ascii="Tahoma" w:hAnsi="Tahoma" w:cs="Tahoma"/>
                <w:b w:val="0"/>
                <w:sz w:val="14"/>
                <w:szCs w:val="14"/>
                <w:lang w:val="it-IT"/>
              </w:rPr>
              <w:t xml:space="preserve"> </w:t>
            </w:r>
          </w:p>
        </w:tc>
        <w:tc>
          <w:tcPr>
            <w:tcW w:w="554" w:type="dxa"/>
            <w:tcBorders>
              <w:bottom w:val="single" w:sz="4" w:space="0" w:color="auto"/>
            </w:tcBorders>
            <w:shd w:val="clear" w:color="auto" w:fill="FABF8F"/>
            <w:vAlign w:val="center"/>
          </w:tcPr>
          <w:p w14:paraId="0BF20BA4" w14:textId="77777777" w:rsidR="00913A0A" w:rsidRPr="003F471F" w:rsidRDefault="00913A0A" w:rsidP="001A63C6">
            <w:pPr>
              <w:pStyle w:val="TableText"/>
              <w:widowControl w:val="0"/>
              <w:spacing w:before="100" w:beforeAutospacing="1"/>
              <w:rPr>
                <w:rStyle w:val="EndnoteReference"/>
                <w:rFonts w:ascii="Tahoma" w:hAnsi="Tahoma" w:cs="Tahoma"/>
                <w:sz w:val="13"/>
                <w:lang w:val="it-IT"/>
              </w:rPr>
            </w:pPr>
          </w:p>
        </w:tc>
        <w:tc>
          <w:tcPr>
            <w:tcW w:w="516" w:type="dxa"/>
            <w:tcBorders>
              <w:bottom w:val="single" w:sz="4" w:space="0" w:color="auto"/>
            </w:tcBorders>
            <w:shd w:val="clear" w:color="auto" w:fill="FABF8F"/>
            <w:vAlign w:val="center"/>
          </w:tcPr>
          <w:p w14:paraId="5FB5533D" w14:textId="77777777" w:rsidR="00913A0A" w:rsidRPr="0058047D" w:rsidRDefault="00913A0A" w:rsidP="001A63C6">
            <w:pPr>
              <w:pStyle w:val="TableText"/>
              <w:widowControl w:val="0"/>
              <w:spacing w:before="80"/>
              <w:rPr>
                <w:rFonts w:ascii="Tahoma" w:hAnsi="Tahoma" w:cs="Tahoma"/>
                <w:sz w:val="13"/>
              </w:rPr>
            </w:pPr>
            <w:r w:rsidRPr="0058047D">
              <w:rPr>
                <w:rFonts w:ascii="Tahoma" w:hAnsi="Tahoma" w:cs="Tahoma"/>
                <w:sz w:val="13"/>
              </w:rPr>
              <w:t>11/08</w:t>
            </w:r>
          </w:p>
        </w:tc>
        <w:tc>
          <w:tcPr>
            <w:tcW w:w="358" w:type="dxa"/>
            <w:tcBorders>
              <w:bottom w:val="single" w:sz="4" w:space="0" w:color="auto"/>
              <w:right w:val="single" w:sz="18" w:space="0" w:color="auto"/>
            </w:tcBorders>
            <w:shd w:val="clear" w:color="auto" w:fill="FABF8F"/>
            <w:vAlign w:val="center"/>
          </w:tcPr>
          <w:p w14:paraId="4A4741FF"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center"/>
          </w:tcPr>
          <w:p w14:paraId="2ABBB0A0"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7D73AD8F"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59D63312"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09721794"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8FF3AAA"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27A8AE9"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622FEFEC"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6414247F"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3C90E53"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03377F77"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0321AEB5"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3E380B41"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0714A19E"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3D88D08A"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44B50311" w14:textId="77777777" w:rsidR="00913A0A" w:rsidRPr="0058047D" w:rsidRDefault="00913A0A" w:rsidP="001A63C6">
            <w:pPr>
              <w:pStyle w:val="TableText"/>
              <w:widowControl w:val="0"/>
              <w:rPr>
                <w:rFonts w:ascii="Tahoma" w:hAnsi="Tahoma" w:cs="Tahoma"/>
                <w:sz w:val="13"/>
              </w:rPr>
            </w:pPr>
          </w:p>
        </w:tc>
        <w:tc>
          <w:tcPr>
            <w:tcW w:w="405" w:type="dxa"/>
            <w:tcBorders>
              <w:bottom w:val="single" w:sz="4" w:space="0" w:color="auto"/>
            </w:tcBorders>
            <w:shd w:val="clear" w:color="auto" w:fill="FABF8F"/>
          </w:tcPr>
          <w:p w14:paraId="6F438135" w14:textId="77777777" w:rsidR="00913A0A" w:rsidRPr="0058047D" w:rsidRDefault="00913A0A" w:rsidP="001A63C6">
            <w:pPr>
              <w:pStyle w:val="TableText"/>
              <w:widowControl w:val="0"/>
              <w:rPr>
                <w:rFonts w:ascii="Tahoma" w:hAnsi="Tahoma" w:cs="Tahoma"/>
                <w:sz w:val="13"/>
              </w:rPr>
            </w:pPr>
          </w:p>
        </w:tc>
      </w:tr>
      <w:tr w:rsidR="009323A0" w:rsidRPr="0058047D" w14:paraId="5DE5B628" w14:textId="77777777" w:rsidTr="00C86F50">
        <w:trPr>
          <w:trHeight w:val="287"/>
        </w:trPr>
        <w:tc>
          <w:tcPr>
            <w:tcW w:w="2619" w:type="dxa"/>
            <w:gridSpan w:val="2"/>
            <w:tcBorders>
              <w:bottom w:val="single" w:sz="4" w:space="0" w:color="auto"/>
            </w:tcBorders>
            <w:shd w:val="clear" w:color="auto" w:fill="auto"/>
            <w:vAlign w:val="center"/>
          </w:tcPr>
          <w:p w14:paraId="7E80D30A" w14:textId="77777777" w:rsidR="00913A0A" w:rsidRPr="003F471F" w:rsidRDefault="00913A0A" w:rsidP="006878A4">
            <w:pPr>
              <w:pStyle w:val="Heading2"/>
              <w:spacing w:before="20" w:after="20"/>
              <w:ind w:left="0"/>
              <w:rPr>
                <w:rFonts w:ascii="Tahoma" w:hAnsi="Tahoma" w:cs="Tahoma"/>
                <w:b w:val="0"/>
                <w:sz w:val="14"/>
                <w:szCs w:val="14"/>
                <w:lang w:val="it-IT"/>
              </w:rPr>
            </w:pPr>
            <w:bookmarkStart w:id="489" w:name="_Toc336338126"/>
            <w:bookmarkStart w:id="490" w:name="_Toc371663521"/>
            <w:r w:rsidRPr="003F471F">
              <w:rPr>
                <w:rFonts w:ascii="Tahoma" w:hAnsi="Tahoma" w:cs="Tahoma"/>
                <w:b w:val="0"/>
                <w:sz w:val="14"/>
                <w:szCs w:val="14"/>
                <w:lang w:val="it-IT"/>
              </w:rPr>
              <w:t>CAL Suite per Windows Essential Business Server 2008 per Utenti o</w:t>
            </w:r>
            <w:r w:rsidR="006878A4" w:rsidRPr="003F471F">
              <w:rPr>
                <w:rFonts w:ascii="Tahoma" w:hAnsi="Tahoma" w:cs="Tahoma"/>
                <w:b w:val="0"/>
                <w:sz w:val="14"/>
                <w:szCs w:val="14"/>
                <w:lang w:val="it-IT"/>
              </w:rPr>
              <w:t> </w:t>
            </w:r>
            <w:r w:rsidRPr="003F471F">
              <w:rPr>
                <w:rFonts w:ascii="Tahoma" w:hAnsi="Tahoma" w:cs="Tahoma"/>
                <w:b w:val="0"/>
                <w:sz w:val="14"/>
                <w:szCs w:val="14"/>
                <w:lang w:val="it-IT"/>
              </w:rPr>
              <w:t>Dispositivi Premium (5 client)</w:t>
            </w:r>
            <w:bookmarkEnd w:id="489"/>
            <w:bookmarkEnd w:id="490"/>
          </w:p>
        </w:tc>
        <w:tc>
          <w:tcPr>
            <w:tcW w:w="554" w:type="dxa"/>
            <w:tcBorders>
              <w:bottom w:val="single" w:sz="4" w:space="0" w:color="auto"/>
            </w:tcBorders>
            <w:shd w:val="clear" w:color="auto" w:fill="auto"/>
            <w:vAlign w:val="center"/>
          </w:tcPr>
          <w:p w14:paraId="2F2D17C7" w14:textId="77777777" w:rsidR="00913A0A" w:rsidRPr="003F471F" w:rsidRDefault="00913A0A" w:rsidP="001A63C6">
            <w:pPr>
              <w:pStyle w:val="TableText"/>
              <w:widowControl w:val="0"/>
              <w:spacing w:before="100" w:beforeAutospacing="1"/>
              <w:rPr>
                <w:rStyle w:val="EndnoteReference"/>
                <w:rFonts w:ascii="Tahoma" w:hAnsi="Tahoma" w:cs="Tahoma"/>
                <w:sz w:val="13"/>
                <w:lang w:val="it-IT"/>
              </w:rPr>
            </w:pPr>
          </w:p>
        </w:tc>
        <w:tc>
          <w:tcPr>
            <w:tcW w:w="516" w:type="dxa"/>
            <w:tcBorders>
              <w:bottom w:val="single" w:sz="4" w:space="0" w:color="auto"/>
            </w:tcBorders>
            <w:shd w:val="clear" w:color="auto" w:fill="auto"/>
            <w:vAlign w:val="center"/>
          </w:tcPr>
          <w:p w14:paraId="6FF5EB8E" w14:textId="77777777" w:rsidR="00913A0A" w:rsidRPr="0058047D" w:rsidRDefault="00913A0A" w:rsidP="001A63C6">
            <w:pPr>
              <w:pStyle w:val="TableText"/>
              <w:widowControl w:val="0"/>
              <w:spacing w:before="200"/>
              <w:rPr>
                <w:rFonts w:ascii="Tahoma" w:hAnsi="Tahoma" w:cs="Tahoma"/>
                <w:sz w:val="13"/>
              </w:rPr>
            </w:pPr>
            <w:r w:rsidRPr="0058047D">
              <w:rPr>
                <w:rFonts w:ascii="Tahoma" w:hAnsi="Tahoma" w:cs="Tahoma"/>
                <w:sz w:val="13"/>
              </w:rPr>
              <w:t>11/08</w:t>
            </w:r>
          </w:p>
        </w:tc>
        <w:tc>
          <w:tcPr>
            <w:tcW w:w="358" w:type="dxa"/>
            <w:tcBorders>
              <w:bottom w:val="single" w:sz="4" w:space="0" w:color="auto"/>
              <w:right w:val="single" w:sz="18" w:space="0" w:color="auto"/>
            </w:tcBorders>
            <w:shd w:val="clear" w:color="auto" w:fill="auto"/>
            <w:vAlign w:val="center"/>
          </w:tcPr>
          <w:p w14:paraId="485AA49D"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586A08F4"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76E66462"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7FA60B71"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2011FA65"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CBFB068"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0DF7D12"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68CDD59B"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3B8892BF"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15</w:t>
            </w:r>
          </w:p>
        </w:tc>
        <w:tc>
          <w:tcPr>
            <w:tcW w:w="450" w:type="dxa"/>
            <w:tcBorders>
              <w:bottom w:val="single" w:sz="4" w:space="0" w:color="auto"/>
            </w:tcBorders>
            <w:shd w:val="clear" w:color="auto" w:fill="auto"/>
            <w:vAlign w:val="center"/>
          </w:tcPr>
          <w:p w14:paraId="01727166"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1E74F886"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086EF571"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23CA96FA"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2E0EC96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auto"/>
          </w:tcPr>
          <w:p w14:paraId="08505430"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14:paraId="0CBA6B4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OL</w:t>
            </w:r>
          </w:p>
        </w:tc>
        <w:tc>
          <w:tcPr>
            <w:tcW w:w="405" w:type="dxa"/>
            <w:tcBorders>
              <w:bottom w:val="single" w:sz="4" w:space="0" w:color="auto"/>
            </w:tcBorders>
          </w:tcPr>
          <w:p w14:paraId="66B2369B" w14:textId="77777777" w:rsidR="00913A0A" w:rsidRPr="0058047D" w:rsidRDefault="00913A0A" w:rsidP="001A63C6">
            <w:pPr>
              <w:pStyle w:val="TableText"/>
              <w:widowControl w:val="0"/>
              <w:rPr>
                <w:rFonts w:ascii="Tahoma" w:hAnsi="Tahoma" w:cs="Tahoma"/>
                <w:sz w:val="13"/>
              </w:rPr>
            </w:pPr>
          </w:p>
        </w:tc>
      </w:tr>
      <w:tr w:rsidR="009323A0" w:rsidRPr="0058047D" w14:paraId="5F07FD7C" w14:textId="77777777" w:rsidTr="00C86F50">
        <w:trPr>
          <w:trHeight w:val="287"/>
        </w:trPr>
        <w:tc>
          <w:tcPr>
            <w:tcW w:w="2619" w:type="dxa"/>
            <w:gridSpan w:val="2"/>
            <w:tcBorders>
              <w:bottom w:val="single" w:sz="4" w:space="0" w:color="auto"/>
            </w:tcBorders>
            <w:shd w:val="clear" w:color="auto" w:fill="FABF8F"/>
            <w:vAlign w:val="center"/>
          </w:tcPr>
          <w:p w14:paraId="5089F698" w14:textId="77777777" w:rsidR="00913A0A" w:rsidRPr="003F471F" w:rsidRDefault="00913A0A" w:rsidP="006878A4">
            <w:pPr>
              <w:pStyle w:val="Heading2"/>
              <w:spacing w:before="20" w:after="20"/>
              <w:ind w:left="0"/>
              <w:rPr>
                <w:rFonts w:ascii="Tahoma" w:hAnsi="Tahoma" w:cs="Tahoma"/>
                <w:b w:val="0"/>
                <w:sz w:val="14"/>
                <w:szCs w:val="14"/>
                <w:lang w:val="it-IT"/>
              </w:rPr>
            </w:pPr>
            <w:bookmarkStart w:id="491" w:name="_Toc336338127"/>
            <w:bookmarkStart w:id="492" w:name="_Toc371663522"/>
            <w:r w:rsidRPr="003F471F">
              <w:rPr>
                <w:rFonts w:ascii="Tahoma" w:hAnsi="Tahoma" w:cs="Tahoma"/>
                <w:b w:val="0"/>
                <w:sz w:val="14"/>
                <w:szCs w:val="14"/>
                <w:lang w:val="it-IT"/>
              </w:rPr>
              <w:t>CAL Suite per Windows Essential Business Server 2008 per Utenti o</w:t>
            </w:r>
            <w:r w:rsidR="006878A4" w:rsidRPr="003F471F">
              <w:rPr>
                <w:rFonts w:ascii="Tahoma" w:hAnsi="Tahoma" w:cs="Tahoma"/>
                <w:b w:val="0"/>
                <w:sz w:val="14"/>
                <w:szCs w:val="14"/>
                <w:lang w:val="it-IT"/>
              </w:rPr>
              <w:t> </w:t>
            </w:r>
            <w:r w:rsidRPr="003F471F">
              <w:rPr>
                <w:rFonts w:ascii="Tahoma" w:hAnsi="Tahoma" w:cs="Tahoma"/>
                <w:b w:val="0"/>
                <w:sz w:val="14"/>
                <w:szCs w:val="14"/>
                <w:lang w:val="it-IT"/>
              </w:rPr>
              <w:t>Dispositivi Premium (20 client)</w:t>
            </w:r>
            <w:bookmarkEnd w:id="491"/>
            <w:bookmarkEnd w:id="492"/>
          </w:p>
        </w:tc>
        <w:tc>
          <w:tcPr>
            <w:tcW w:w="554" w:type="dxa"/>
            <w:tcBorders>
              <w:bottom w:val="single" w:sz="4" w:space="0" w:color="auto"/>
            </w:tcBorders>
            <w:shd w:val="clear" w:color="auto" w:fill="FABF8F"/>
            <w:vAlign w:val="center"/>
          </w:tcPr>
          <w:p w14:paraId="57C60BCB" w14:textId="77777777" w:rsidR="00913A0A" w:rsidRPr="003F471F" w:rsidRDefault="00913A0A" w:rsidP="001A63C6">
            <w:pPr>
              <w:pStyle w:val="TableText"/>
              <w:widowControl w:val="0"/>
              <w:spacing w:before="100" w:beforeAutospacing="1"/>
              <w:rPr>
                <w:rStyle w:val="EndnoteReference"/>
                <w:rFonts w:ascii="Tahoma" w:hAnsi="Tahoma" w:cs="Tahoma"/>
                <w:sz w:val="13"/>
                <w:lang w:val="it-IT"/>
              </w:rPr>
            </w:pPr>
          </w:p>
        </w:tc>
        <w:tc>
          <w:tcPr>
            <w:tcW w:w="516" w:type="dxa"/>
            <w:tcBorders>
              <w:bottom w:val="single" w:sz="4" w:space="0" w:color="auto"/>
            </w:tcBorders>
            <w:shd w:val="clear" w:color="auto" w:fill="FABF8F"/>
            <w:vAlign w:val="center"/>
          </w:tcPr>
          <w:p w14:paraId="63BF5E22" w14:textId="77777777" w:rsidR="00913A0A" w:rsidRPr="0058047D" w:rsidRDefault="00913A0A" w:rsidP="001A63C6">
            <w:pPr>
              <w:pStyle w:val="TableText"/>
              <w:widowControl w:val="0"/>
              <w:spacing w:before="160"/>
              <w:rPr>
                <w:rFonts w:ascii="Tahoma" w:hAnsi="Tahoma" w:cs="Tahoma"/>
                <w:sz w:val="13"/>
              </w:rPr>
            </w:pPr>
            <w:r w:rsidRPr="0058047D">
              <w:rPr>
                <w:rFonts w:ascii="Tahoma" w:hAnsi="Tahoma" w:cs="Tahoma"/>
                <w:sz w:val="13"/>
              </w:rPr>
              <w:t>11/08</w:t>
            </w:r>
          </w:p>
        </w:tc>
        <w:tc>
          <w:tcPr>
            <w:tcW w:w="358" w:type="dxa"/>
            <w:tcBorders>
              <w:bottom w:val="single" w:sz="4" w:space="0" w:color="auto"/>
              <w:right w:val="single" w:sz="18" w:space="0" w:color="auto"/>
            </w:tcBorders>
            <w:shd w:val="clear" w:color="auto" w:fill="FABF8F"/>
            <w:vAlign w:val="center"/>
          </w:tcPr>
          <w:p w14:paraId="3F8B3410"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center"/>
          </w:tcPr>
          <w:p w14:paraId="5A59315D"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2AC797AD"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461287FC"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4FF7BAF8"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DCC8F90"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AC6E7D"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01178FE6"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7FF81FE6"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450" w:type="dxa"/>
            <w:tcBorders>
              <w:bottom w:val="single" w:sz="4" w:space="0" w:color="auto"/>
            </w:tcBorders>
            <w:shd w:val="clear" w:color="auto" w:fill="FABF8F"/>
            <w:vAlign w:val="center"/>
          </w:tcPr>
          <w:p w14:paraId="6CECC758"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52A86C09"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224572DB"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5D541060"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7D05246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tcPr>
          <w:p w14:paraId="4951F149"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67A25928"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OL</w:t>
            </w:r>
          </w:p>
        </w:tc>
        <w:tc>
          <w:tcPr>
            <w:tcW w:w="405" w:type="dxa"/>
            <w:tcBorders>
              <w:bottom w:val="single" w:sz="4" w:space="0" w:color="auto"/>
            </w:tcBorders>
            <w:shd w:val="clear" w:color="auto" w:fill="FABF8F"/>
          </w:tcPr>
          <w:p w14:paraId="5A4332FD" w14:textId="77777777" w:rsidR="00913A0A" w:rsidRPr="0058047D" w:rsidRDefault="00913A0A" w:rsidP="001A63C6">
            <w:pPr>
              <w:pStyle w:val="TableText"/>
              <w:widowControl w:val="0"/>
              <w:rPr>
                <w:rFonts w:ascii="Tahoma" w:hAnsi="Tahoma" w:cs="Tahoma"/>
                <w:sz w:val="13"/>
              </w:rPr>
            </w:pPr>
          </w:p>
        </w:tc>
      </w:tr>
      <w:tr w:rsidR="009323A0" w:rsidRPr="0058047D" w14:paraId="704E23FA" w14:textId="77777777" w:rsidTr="00C86F50">
        <w:trPr>
          <w:trHeight w:val="287"/>
        </w:trPr>
        <w:tc>
          <w:tcPr>
            <w:tcW w:w="2619" w:type="dxa"/>
            <w:gridSpan w:val="2"/>
            <w:tcBorders>
              <w:bottom w:val="single" w:sz="4" w:space="0" w:color="auto"/>
            </w:tcBorders>
            <w:shd w:val="clear" w:color="auto" w:fill="auto"/>
            <w:vAlign w:val="center"/>
          </w:tcPr>
          <w:p w14:paraId="50945543" w14:textId="77777777" w:rsidR="00913A0A" w:rsidRPr="003F471F" w:rsidRDefault="00913A0A" w:rsidP="006878A4">
            <w:pPr>
              <w:pStyle w:val="Heading2"/>
              <w:spacing w:before="20" w:after="20"/>
              <w:ind w:left="0"/>
              <w:rPr>
                <w:rFonts w:ascii="Tahoma" w:hAnsi="Tahoma" w:cs="Tahoma"/>
                <w:b w:val="0"/>
                <w:sz w:val="14"/>
                <w:szCs w:val="14"/>
                <w:lang w:val="it-IT"/>
              </w:rPr>
            </w:pPr>
            <w:bookmarkStart w:id="493" w:name="_Toc336338128"/>
            <w:bookmarkStart w:id="494" w:name="_Toc371663523"/>
            <w:r w:rsidRPr="003F471F">
              <w:rPr>
                <w:rFonts w:ascii="Tahoma" w:hAnsi="Tahoma" w:cs="Tahoma"/>
                <w:b w:val="0"/>
                <w:sz w:val="14"/>
                <w:szCs w:val="14"/>
                <w:lang w:val="it-IT"/>
              </w:rPr>
              <w:t>CAL Suite per Windows Essential Business Server 2008 per Utenti o</w:t>
            </w:r>
            <w:r w:rsidR="006878A4" w:rsidRPr="003F471F">
              <w:rPr>
                <w:rFonts w:ascii="Tahoma" w:hAnsi="Tahoma" w:cs="Tahoma"/>
                <w:b w:val="0"/>
                <w:sz w:val="14"/>
                <w:szCs w:val="14"/>
                <w:lang w:val="it-IT"/>
              </w:rPr>
              <w:t> </w:t>
            </w:r>
            <w:r w:rsidRPr="003F471F">
              <w:rPr>
                <w:rFonts w:ascii="Tahoma" w:hAnsi="Tahoma" w:cs="Tahoma"/>
                <w:b w:val="0"/>
                <w:sz w:val="14"/>
                <w:szCs w:val="14"/>
                <w:lang w:val="it-IT"/>
              </w:rPr>
              <w:t>Dispositivi Premium (50 client)</w:t>
            </w:r>
            <w:bookmarkEnd w:id="493"/>
            <w:bookmarkEnd w:id="494"/>
          </w:p>
        </w:tc>
        <w:tc>
          <w:tcPr>
            <w:tcW w:w="554" w:type="dxa"/>
            <w:tcBorders>
              <w:bottom w:val="single" w:sz="4" w:space="0" w:color="auto"/>
            </w:tcBorders>
            <w:shd w:val="clear" w:color="auto" w:fill="auto"/>
            <w:vAlign w:val="center"/>
          </w:tcPr>
          <w:p w14:paraId="6597D5A9" w14:textId="77777777" w:rsidR="00913A0A" w:rsidRPr="003F471F" w:rsidRDefault="00913A0A" w:rsidP="001A63C6">
            <w:pPr>
              <w:pStyle w:val="TableText"/>
              <w:widowControl w:val="0"/>
              <w:spacing w:before="100" w:beforeAutospacing="1"/>
              <w:rPr>
                <w:rStyle w:val="EndnoteReference"/>
                <w:rFonts w:cs="Tahoma"/>
                <w:color w:val="0000FF"/>
                <w:sz w:val="13"/>
                <w:lang w:val="it-IT"/>
              </w:rPr>
            </w:pPr>
          </w:p>
        </w:tc>
        <w:tc>
          <w:tcPr>
            <w:tcW w:w="516" w:type="dxa"/>
            <w:tcBorders>
              <w:bottom w:val="single" w:sz="4" w:space="0" w:color="auto"/>
            </w:tcBorders>
            <w:shd w:val="clear" w:color="auto" w:fill="auto"/>
            <w:vAlign w:val="center"/>
          </w:tcPr>
          <w:p w14:paraId="0CECAAEF" w14:textId="77777777" w:rsidR="00913A0A" w:rsidRPr="0058047D" w:rsidRDefault="00913A0A" w:rsidP="001A63C6">
            <w:pPr>
              <w:pStyle w:val="TableText"/>
              <w:widowControl w:val="0"/>
              <w:spacing w:before="180"/>
              <w:rPr>
                <w:rFonts w:ascii="Tahoma" w:hAnsi="Tahoma" w:cs="Tahoma"/>
                <w:sz w:val="13"/>
              </w:rPr>
            </w:pPr>
            <w:r w:rsidRPr="0058047D">
              <w:rPr>
                <w:rFonts w:ascii="Tahoma" w:hAnsi="Tahoma" w:cs="Tahoma"/>
                <w:sz w:val="13"/>
              </w:rPr>
              <w:t>11/08</w:t>
            </w:r>
          </w:p>
        </w:tc>
        <w:tc>
          <w:tcPr>
            <w:tcW w:w="358" w:type="dxa"/>
            <w:tcBorders>
              <w:bottom w:val="single" w:sz="4" w:space="0" w:color="auto"/>
              <w:right w:val="single" w:sz="18" w:space="0" w:color="auto"/>
            </w:tcBorders>
            <w:shd w:val="clear" w:color="auto" w:fill="auto"/>
            <w:vAlign w:val="center"/>
          </w:tcPr>
          <w:p w14:paraId="6E6653EF"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66AEF21B"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608AE06E"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4AD0C802"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4695CBB8"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BB52742"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FB011E0"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50AAA4CD"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3D813200"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75</w:t>
            </w:r>
          </w:p>
        </w:tc>
        <w:tc>
          <w:tcPr>
            <w:tcW w:w="450" w:type="dxa"/>
            <w:tcBorders>
              <w:bottom w:val="single" w:sz="4" w:space="0" w:color="auto"/>
            </w:tcBorders>
            <w:shd w:val="clear" w:color="auto" w:fill="auto"/>
            <w:vAlign w:val="center"/>
          </w:tcPr>
          <w:p w14:paraId="20680890"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521D38A1"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46125ACB"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49320393"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1EBFF27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auto"/>
          </w:tcPr>
          <w:p w14:paraId="44C5DE27"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14:paraId="75E861F8"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OL</w:t>
            </w:r>
          </w:p>
        </w:tc>
        <w:tc>
          <w:tcPr>
            <w:tcW w:w="405" w:type="dxa"/>
            <w:tcBorders>
              <w:bottom w:val="single" w:sz="4" w:space="0" w:color="auto"/>
            </w:tcBorders>
          </w:tcPr>
          <w:p w14:paraId="6F036532" w14:textId="77777777" w:rsidR="00913A0A" w:rsidRPr="0058047D" w:rsidRDefault="00913A0A" w:rsidP="001A63C6">
            <w:pPr>
              <w:pStyle w:val="TableText"/>
              <w:widowControl w:val="0"/>
              <w:rPr>
                <w:rFonts w:ascii="Tahoma" w:hAnsi="Tahoma" w:cs="Tahoma"/>
                <w:sz w:val="13"/>
              </w:rPr>
            </w:pPr>
          </w:p>
        </w:tc>
      </w:tr>
      <w:tr w:rsidR="009323A0" w:rsidRPr="0058047D" w14:paraId="6B667D74" w14:textId="77777777" w:rsidTr="00C86F50">
        <w:trPr>
          <w:trHeight w:val="145"/>
        </w:trPr>
        <w:tc>
          <w:tcPr>
            <w:tcW w:w="2619" w:type="dxa"/>
            <w:gridSpan w:val="2"/>
            <w:tcBorders>
              <w:bottom w:val="single" w:sz="4" w:space="0" w:color="auto"/>
            </w:tcBorders>
            <w:shd w:val="clear" w:color="auto" w:fill="FABF8F"/>
            <w:vAlign w:val="center"/>
          </w:tcPr>
          <w:p w14:paraId="00C70E8F" w14:textId="77777777" w:rsidR="00913A0A" w:rsidRPr="0058047D" w:rsidRDefault="00913A0A" w:rsidP="0044693F">
            <w:pPr>
              <w:pStyle w:val="Heading2"/>
              <w:keepNext/>
              <w:spacing w:before="20" w:after="20"/>
              <w:ind w:left="0"/>
              <w:rPr>
                <w:rFonts w:ascii="Tahoma" w:hAnsi="Tahoma" w:cs="Tahoma"/>
                <w:b w:val="0"/>
                <w:sz w:val="14"/>
                <w:szCs w:val="14"/>
              </w:rPr>
            </w:pPr>
            <w:bookmarkStart w:id="495" w:name="_Toc336338129"/>
            <w:bookmarkStart w:id="496" w:name="_Toc371663524"/>
            <w:r w:rsidRPr="0058047D">
              <w:rPr>
                <w:rFonts w:ascii="Tahoma" w:hAnsi="Tahoma" w:cs="Tahoma"/>
                <w:b w:val="0"/>
                <w:sz w:val="14"/>
                <w:szCs w:val="14"/>
              </w:rPr>
              <w:t>Windows HPC Server 2008 R2 Suite</w:t>
            </w:r>
            <w:bookmarkEnd w:id="495"/>
            <w:bookmarkEnd w:id="496"/>
            <w:r w:rsidRPr="0058047D">
              <w:rPr>
                <w:rFonts w:ascii="Tahoma" w:hAnsi="Tahoma" w:cs="Tahoma"/>
                <w:b w:val="0"/>
                <w:sz w:val="14"/>
                <w:szCs w:val="14"/>
              </w:rPr>
              <w:t xml:space="preserve"> </w:t>
            </w:r>
          </w:p>
        </w:tc>
        <w:tc>
          <w:tcPr>
            <w:tcW w:w="554" w:type="dxa"/>
            <w:tcBorders>
              <w:bottom w:val="single" w:sz="4" w:space="0" w:color="auto"/>
            </w:tcBorders>
            <w:shd w:val="clear" w:color="auto" w:fill="FABF8F"/>
            <w:vAlign w:val="center"/>
          </w:tcPr>
          <w:p w14:paraId="6F86243E" w14:textId="77777777" w:rsidR="00913A0A" w:rsidRPr="0058047D" w:rsidRDefault="00C86F50" w:rsidP="00913588">
            <w:pPr>
              <w:pStyle w:val="TableText"/>
              <w:widowControl w:val="0"/>
              <w:rPr>
                <w:b/>
                <w:sz w:val="13"/>
                <w:szCs w:val="13"/>
                <w:u w:val="single"/>
              </w:rPr>
            </w:pPr>
            <w:hyperlink w:anchor="_105_Windows_HPC" w:history="1">
              <w:r w:rsidR="00BF5FC6" w:rsidRPr="0058047D">
                <w:rPr>
                  <w:rStyle w:val="Hyperlink"/>
                  <w:b/>
                  <w:sz w:val="13"/>
                  <w:szCs w:val="13"/>
                </w:rPr>
                <w:t>105</w:t>
              </w:r>
            </w:hyperlink>
          </w:p>
        </w:tc>
        <w:tc>
          <w:tcPr>
            <w:tcW w:w="516" w:type="dxa"/>
            <w:tcBorders>
              <w:bottom w:val="single" w:sz="4" w:space="0" w:color="auto"/>
            </w:tcBorders>
            <w:shd w:val="clear" w:color="auto" w:fill="FABF8F"/>
            <w:vAlign w:val="center"/>
          </w:tcPr>
          <w:p w14:paraId="08294362" w14:textId="77777777" w:rsidR="00913A0A" w:rsidRPr="0058047D" w:rsidRDefault="00913A0A" w:rsidP="007E466C">
            <w:pPr>
              <w:pStyle w:val="TableText"/>
              <w:widowControl w:val="0"/>
              <w:rPr>
                <w:rFonts w:ascii="Tahoma" w:hAnsi="Tahoma" w:cs="Tahoma"/>
                <w:color w:val="000000"/>
                <w:sz w:val="13"/>
              </w:rPr>
            </w:pPr>
            <w:r w:rsidRPr="0058047D">
              <w:rPr>
                <w:rFonts w:ascii="Tahoma" w:hAnsi="Tahoma" w:cs="Tahoma"/>
                <w:color w:val="000000"/>
                <w:sz w:val="13"/>
              </w:rPr>
              <w:t>09/10</w:t>
            </w:r>
          </w:p>
        </w:tc>
        <w:tc>
          <w:tcPr>
            <w:tcW w:w="358" w:type="dxa"/>
            <w:tcBorders>
              <w:bottom w:val="single" w:sz="4" w:space="0" w:color="auto"/>
              <w:right w:val="single" w:sz="18" w:space="0" w:color="auto"/>
            </w:tcBorders>
            <w:shd w:val="clear" w:color="auto" w:fill="FABF8F"/>
            <w:vAlign w:val="center"/>
          </w:tcPr>
          <w:p w14:paraId="320AB1FC"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FABF8F"/>
            <w:vAlign w:val="center"/>
          </w:tcPr>
          <w:p w14:paraId="5F5AF0E7"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3ED8BE63"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1C0CA818"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2C99692D"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464AFA1"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5B26384"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57A0A95A"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498DB8D6"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CF8CD18"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4FE10C60"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07A4A5FB"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52803F43"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1D07C635"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4E4BA310" w14:textId="77777777" w:rsidR="00913A0A" w:rsidRPr="0058047D" w:rsidRDefault="00913A0A" w:rsidP="001A63C6">
            <w:pPr>
              <w:pStyle w:val="TableText"/>
              <w:widowControl w:val="0"/>
              <w:rPr>
                <w:rFonts w:ascii="Tahoma" w:hAnsi="Tahoma" w:cs="Tahoma"/>
                <w:color w:val="000000"/>
                <w:sz w:val="13"/>
              </w:rPr>
            </w:pPr>
          </w:p>
        </w:tc>
        <w:tc>
          <w:tcPr>
            <w:tcW w:w="504" w:type="dxa"/>
            <w:tcBorders>
              <w:bottom w:val="single" w:sz="4" w:space="0" w:color="auto"/>
            </w:tcBorders>
            <w:shd w:val="clear" w:color="auto" w:fill="FABF8F"/>
            <w:vAlign w:val="center"/>
          </w:tcPr>
          <w:p w14:paraId="46BB856A" w14:textId="77777777" w:rsidR="00913A0A" w:rsidRPr="0058047D" w:rsidRDefault="00913A0A" w:rsidP="001A63C6">
            <w:pPr>
              <w:pStyle w:val="TableText"/>
              <w:widowControl w:val="0"/>
              <w:rPr>
                <w:rFonts w:ascii="Tahoma" w:hAnsi="Tahoma" w:cs="Tahoma"/>
                <w:color w:val="000000"/>
                <w:sz w:val="13"/>
              </w:rPr>
            </w:pPr>
          </w:p>
        </w:tc>
        <w:tc>
          <w:tcPr>
            <w:tcW w:w="405" w:type="dxa"/>
            <w:tcBorders>
              <w:bottom w:val="single" w:sz="4" w:space="0" w:color="auto"/>
            </w:tcBorders>
            <w:shd w:val="clear" w:color="auto" w:fill="FABF8F"/>
          </w:tcPr>
          <w:p w14:paraId="22F9FCDD" w14:textId="77777777" w:rsidR="00913A0A" w:rsidRPr="0058047D" w:rsidRDefault="00913A0A" w:rsidP="001A63C6">
            <w:pPr>
              <w:pStyle w:val="TableText"/>
              <w:widowControl w:val="0"/>
              <w:rPr>
                <w:rFonts w:ascii="Tahoma" w:hAnsi="Tahoma" w:cs="Tahoma"/>
                <w:color w:val="000000"/>
                <w:sz w:val="13"/>
              </w:rPr>
            </w:pPr>
          </w:p>
        </w:tc>
      </w:tr>
      <w:tr w:rsidR="009323A0" w:rsidRPr="0058047D" w14:paraId="272079B0" w14:textId="77777777" w:rsidTr="00C86F50">
        <w:trPr>
          <w:trHeight w:val="145"/>
        </w:trPr>
        <w:tc>
          <w:tcPr>
            <w:tcW w:w="2619" w:type="dxa"/>
            <w:gridSpan w:val="2"/>
            <w:tcBorders>
              <w:bottom w:val="single" w:sz="4" w:space="0" w:color="auto"/>
            </w:tcBorders>
            <w:shd w:val="clear" w:color="auto" w:fill="auto"/>
            <w:vAlign w:val="center"/>
          </w:tcPr>
          <w:p w14:paraId="55E7BCCE" w14:textId="77777777" w:rsidR="00913A0A" w:rsidRPr="0058047D" w:rsidRDefault="00913A0A" w:rsidP="001A63C6">
            <w:pPr>
              <w:pStyle w:val="Heading2"/>
              <w:spacing w:before="20" w:after="20"/>
              <w:ind w:left="0"/>
              <w:rPr>
                <w:rFonts w:ascii="Tahoma" w:hAnsi="Tahoma" w:cs="Tahoma"/>
                <w:b w:val="0"/>
                <w:sz w:val="14"/>
                <w:szCs w:val="14"/>
              </w:rPr>
            </w:pPr>
            <w:bookmarkStart w:id="497" w:name="_Toc371663525"/>
            <w:r w:rsidRPr="0058047D">
              <w:rPr>
                <w:rFonts w:ascii="Tahoma" w:hAnsi="Tahoma" w:cs="Tahoma"/>
                <w:b w:val="0"/>
                <w:sz w:val="14"/>
              </w:rPr>
              <w:t>Componente Aggiuntivo per Windows Intune per System Center Configuration Manager e System Center EndPoint Protection (Per Utente)</w:t>
            </w:r>
            <w:bookmarkEnd w:id="497"/>
          </w:p>
        </w:tc>
        <w:tc>
          <w:tcPr>
            <w:tcW w:w="554" w:type="dxa"/>
            <w:tcBorders>
              <w:bottom w:val="single" w:sz="4" w:space="0" w:color="auto"/>
            </w:tcBorders>
            <w:shd w:val="clear" w:color="auto" w:fill="auto"/>
            <w:vAlign w:val="center"/>
          </w:tcPr>
          <w:p w14:paraId="364319CE" w14:textId="77777777" w:rsidR="00913A0A" w:rsidRPr="0058047D" w:rsidRDefault="00913A0A" w:rsidP="001A63C6">
            <w:pPr>
              <w:pStyle w:val="TableText"/>
              <w:widowControl w:val="0"/>
              <w:rPr>
                <w:b/>
                <w:sz w:val="13"/>
                <w:szCs w:val="13"/>
              </w:rPr>
            </w:pPr>
          </w:p>
        </w:tc>
        <w:tc>
          <w:tcPr>
            <w:tcW w:w="516" w:type="dxa"/>
            <w:tcBorders>
              <w:bottom w:val="single" w:sz="4" w:space="0" w:color="auto"/>
            </w:tcBorders>
            <w:shd w:val="clear" w:color="auto" w:fill="auto"/>
            <w:vAlign w:val="center"/>
          </w:tcPr>
          <w:p w14:paraId="4741CE0D" w14:textId="77777777" w:rsidR="00913A0A" w:rsidRPr="0058047D" w:rsidRDefault="00913A0A" w:rsidP="001A63C6">
            <w:pPr>
              <w:pStyle w:val="TableText"/>
              <w:widowControl w:val="0"/>
              <w:spacing w:before="80"/>
              <w:rPr>
                <w:rFonts w:ascii="Tahoma" w:hAnsi="Tahoma" w:cs="Tahoma"/>
                <w:color w:val="000000"/>
                <w:sz w:val="13"/>
              </w:rPr>
            </w:pPr>
            <w:r w:rsidRPr="0058047D">
              <w:rPr>
                <w:rFonts w:ascii="Tahoma" w:hAnsi="Tahoma" w:cs="Tahoma"/>
                <w:color w:val="000000"/>
                <w:sz w:val="13"/>
              </w:rPr>
              <w:t>12/12</w:t>
            </w:r>
          </w:p>
        </w:tc>
        <w:tc>
          <w:tcPr>
            <w:tcW w:w="358" w:type="dxa"/>
            <w:tcBorders>
              <w:bottom w:val="single" w:sz="4" w:space="0" w:color="auto"/>
              <w:right w:val="single" w:sz="18" w:space="0" w:color="auto"/>
            </w:tcBorders>
            <w:shd w:val="clear" w:color="auto" w:fill="auto"/>
            <w:vAlign w:val="center"/>
          </w:tcPr>
          <w:p w14:paraId="428A96DF"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OSB</w:t>
            </w:r>
          </w:p>
        </w:tc>
        <w:tc>
          <w:tcPr>
            <w:tcW w:w="330" w:type="dxa"/>
            <w:tcBorders>
              <w:left w:val="single" w:sz="18" w:space="0" w:color="auto"/>
              <w:bottom w:val="single" w:sz="4" w:space="0" w:color="auto"/>
            </w:tcBorders>
            <w:shd w:val="clear" w:color="auto" w:fill="auto"/>
            <w:vAlign w:val="center"/>
          </w:tcPr>
          <w:p w14:paraId="59CAD428"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5539F8FE"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2C1208C8"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4AE7B8B2"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6A56EEA"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39CD037"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31EC9337"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5BD87886"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A949AD4"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52046AF1"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0E8774AC"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7D93AB25"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2519A148"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tcPr>
          <w:p w14:paraId="634CFDED"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 ST</w:t>
            </w:r>
          </w:p>
        </w:tc>
        <w:tc>
          <w:tcPr>
            <w:tcW w:w="504" w:type="dxa"/>
            <w:tcBorders>
              <w:bottom w:val="single" w:sz="4" w:space="0" w:color="auto"/>
            </w:tcBorders>
            <w:shd w:val="clear" w:color="auto" w:fill="auto"/>
            <w:vAlign w:val="center"/>
          </w:tcPr>
          <w:p w14:paraId="1BB664D6" w14:textId="77777777" w:rsidR="00913A0A" w:rsidRPr="0058047D" w:rsidRDefault="00913A0A" w:rsidP="001A63C6">
            <w:pPr>
              <w:pStyle w:val="TableText"/>
              <w:widowControl w:val="0"/>
              <w:rPr>
                <w:rFonts w:ascii="Tahoma" w:hAnsi="Tahoma" w:cs="Tahoma"/>
                <w:color w:val="000000"/>
                <w:sz w:val="13"/>
              </w:rPr>
            </w:pPr>
          </w:p>
        </w:tc>
        <w:tc>
          <w:tcPr>
            <w:tcW w:w="405" w:type="dxa"/>
            <w:tcBorders>
              <w:bottom w:val="single" w:sz="4" w:space="0" w:color="auto"/>
            </w:tcBorders>
          </w:tcPr>
          <w:p w14:paraId="3F472342" w14:textId="77777777" w:rsidR="00913A0A" w:rsidRPr="0058047D" w:rsidRDefault="002C4BA9" w:rsidP="001A63C6">
            <w:pPr>
              <w:pStyle w:val="TableText"/>
              <w:widowControl w:val="0"/>
              <w:rPr>
                <w:rFonts w:ascii="Tahoma" w:hAnsi="Tahoma" w:cs="Tahoma"/>
                <w:color w:val="000000"/>
                <w:sz w:val="13"/>
              </w:rPr>
            </w:pPr>
            <w:r w:rsidRPr="0058047D">
              <w:rPr>
                <w:rFonts w:ascii="Tahoma" w:hAnsi="Tahoma" w:cs="Tahoma"/>
                <w:color w:val="000000"/>
                <w:sz w:val="13"/>
              </w:rPr>
              <w:t>A</w:t>
            </w:r>
          </w:p>
        </w:tc>
      </w:tr>
      <w:tr w:rsidR="009323A0" w:rsidRPr="0058047D" w14:paraId="2D8E5B00" w14:textId="77777777" w:rsidTr="00C86F50">
        <w:trPr>
          <w:trHeight w:val="145"/>
        </w:trPr>
        <w:tc>
          <w:tcPr>
            <w:tcW w:w="2619" w:type="dxa"/>
            <w:gridSpan w:val="2"/>
            <w:tcBorders>
              <w:bottom w:val="single" w:sz="4" w:space="0" w:color="auto"/>
            </w:tcBorders>
            <w:shd w:val="clear" w:color="auto" w:fill="FABF8F"/>
            <w:vAlign w:val="center"/>
          </w:tcPr>
          <w:p w14:paraId="23E91F32" w14:textId="77777777" w:rsidR="00913A0A" w:rsidRPr="0058047D" w:rsidRDefault="00913A0A" w:rsidP="001A63C6">
            <w:pPr>
              <w:pStyle w:val="Heading2"/>
              <w:spacing w:before="20" w:after="20"/>
              <w:ind w:left="0"/>
              <w:rPr>
                <w:rFonts w:ascii="Tahoma" w:hAnsi="Tahoma" w:cs="Tahoma"/>
                <w:b w:val="0"/>
                <w:sz w:val="14"/>
                <w:szCs w:val="14"/>
              </w:rPr>
            </w:pPr>
            <w:bookmarkStart w:id="498" w:name="_Toc371663526"/>
            <w:r w:rsidRPr="0058047D">
              <w:rPr>
                <w:rFonts w:ascii="Tahoma" w:hAnsi="Tahoma" w:cs="Tahoma"/>
                <w:b w:val="0"/>
                <w:sz w:val="14"/>
                <w:szCs w:val="14"/>
              </w:rPr>
              <w:t>Windows Intune (Per Utente)</w:t>
            </w:r>
            <w:bookmarkEnd w:id="498"/>
          </w:p>
        </w:tc>
        <w:tc>
          <w:tcPr>
            <w:tcW w:w="554" w:type="dxa"/>
            <w:tcBorders>
              <w:bottom w:val="single" w:sz="4" w:space="0" w:color="auto"/>
            </w:tcBorders>
            <w:shd w:val="clear" w:color="auto" w:fill="FABF8F"/>
            <w:vAlign w:val="center"/>
          </w:tcPr>
          <w:p w14:paraId="415E74DD" w14:textId="77777777" w:rsidR="00913A0A" w:rsidRPr="0058047D" w:rsidRDefault="00913A0A" w:rsidP="001A63C6">
            <w:pPr>
              <w:pStyle w:val="TableText"/>
              <w:widowControl w:val="0"/>
              <w:rPr>
                <w:b/>
                <w:sz w:val="13"/>
                <w:szCs w:val="13"/>
              </w:rPr>
            </w:pPr>
          </w:p>
        </w:tc>
        <w:tc>
          <w:tcPr>
            <w:tcW w:w="516" w:type="dxa"/>
            <w:tcBorders>
              <w:bottom w:val="single" w:sz="4" w:space="0" w:color="auto"/>
            </w:tcBorders>
            <w:shd w:val="clear" w:color="auto" w:fill="FABF8F"/>
            <w:vAlign w:val="center"/>
          </w:tcPr>
          <w:p w14:paraId="5FB628DC" w14:textId="77777777" w:rsidR="00913A0A" w:rsidRPr="0058047D" w:rsidRDefault="00913A0A" w:rsidP="007E466C">
            <w:pPr>
              <w:pStyle w:val="TableText"/>
              <w:widowControl w:val="0"/>
              <w:rPr>
                <w:rFonts w:ascii="Tahoma" w:hAnsi="Tahoma" w:cs="Tahoma"/>
                <w:color w:val="000000"/>
                <w:sz w:val="13"/>
              </w:rPr>
            </w:pPr>
            <w:r w:rsidRPr="0058047D">
              <w:rPr>
                <w:rFonts w:ascii="Tahoma" w:hAnsi="Tahoma" w:cs="Tahoma"/>
                <w:color w:val="000000"/>
                <w:sz w:val="13"/>
              </w:rPr>
              <w:t>12/12</w:t>
            </w:r>
          </w:p>
        </w:tc>
        <w:tc>
          <w:tcPr>
            <w:tcW w:w="358" w:type="dxa"/>
            <w:tcBorders>
              <w:bottom w:val="single" w:sz="4" w:space="0" w:color="auto"/>
              <w:right w:val="single" w:sz="18" w:space="0" w:color="auto"/>
            </w:tcBorders>
            <w:shd w:val="clear" w:color="auto" w:fill="FABF8F"/>
            <w:vAlign w:val="center"/>
          </w:tcPr>
          <w:p w14:paraId="6A4A734F"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OSB</w:t>
            </w:r>
          </w:p>
        </w:tc>
        <w:tc>
          <w:tcPr>
            <w:tcW w:w="330" w:type="dxa"/>
            <w:tcBorders>
              <w:left w:val="single" w:sz="18" w:space="0" w:color="auto"/>
              <w:bottom w:val="single" w:sz="4" w:space="0" w:color="auto"/>
            </w:tcBorders>
            <w:shd w:val="clear" w:color="auto" w:fill="FABF8F"/>
            <w:vAlign w:val="center"/>
          </w:tcPr>
          <w:p w14:paraId="45369369"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59C20AB2"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0421298E"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0743ECBA"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3DD61A1"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EF730F5"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1C1E0E2F"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4812D932"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6232EE1"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5ECA2DCD"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0D4BF6EE"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364CB9B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EOLS</w:t>
            </w:r>
          </w:p>
        </w:tc>
        <w:tc>
          <w:tcPr>
            <w:tcW w:w="324" w:type="dxa"/>
            <w:tcBorders>
              <w:left w:val="single" w:sz="18" w:space="0" w:color="auto"/>
              <w:bottom w:val="single" w:sz="4" w:space="0" w:color="auto"/>
              <w:right w:val="single" w:sz="18" w:space="0" w:color="auto"/>
            </w:tcBorders>
            <w:shd w:val="clear" w:color="auto" w:fill="FABF8F"/>
            <w:vAlign w:val="center"/>
          </w:tcPr>
          <w:p w14:paraId="387C7BBD"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1AA3E398" w14:textId="77777777" w:rsidR="00913A0A" w:rsidRPr="0058047D"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14:paraId="1C5F0135" w14:textId="77777777" w:rsidR="00913A0A" w:rsidRPr="0058047D" w:rsidRDefault="00913A0A" w:rsidP="001A63C6">
            <w:pPr>
              <w:pStyle w:val="TableText"/>
              <w:widowControl w:val="0"/>
              <w:rPr>
                <w:rFonts w:ascii="Tahoma" w:hAnsi="Tahoma" w:cs="Tahoma"/>
                <w:color w:val="000000"/>
                <w:sz w:val="13"/>
              </w:rPr>
            </w:pPr>
          </w:p>
        </w:tc>
        <w:tc>
          <w:tcPr>
            <w:tcW w:w="405" w:type="dxa"/>
            <w:tcBorders>
              <w:bottom w:val="single" w:sz="4" w:space="0" w:color="auto"/>
            </w:tcBorders>
            <w:shd w:val="clear" w:color="auto" w:fill="FABF8F"/>
          </w:tcPr>
          <w:p w14:paraId="03BE1092" w14:textId="77777777" w:rsidR="00913A0A" w:rsidRPr="0058047D" w:rsidRDefault="00913A0A" w:rsidP="001A63C6">
            <w:pPr>
              <w:pStyle w:val="TableText"/>
              <w:widowControl w:val="0"/>
              <w:rPr>
                <w:rFonts w:ascii="Tahoma" w:hAnsi="Tahoma" w:cs="Tahoma"/>
                <w:color w:val="000000"/>
                <w:sz w:val="13"/>
              </w:rPr>
            </w:pPr>
          </w:p>
        </w:tc>
      </w:tr>
      <w:tr w:rsidR="009323A0" w:rsidRPr="0058047D" w14:paraId="0DBBE6BD" w14:textId="77777777" w:rsidTr="00C86F50">
        <w:trPr>
          <w:trHeight w:val="145"/>
        </w:trPr>
        <w:tc>
          <w:tcPr>
            <w:tcW w:w="2619" w:type="dxa"/>
            <w:gridSpan w:val="2"/>
            <w:tcBorders>
              <w:bottom w:val="single" w:sz="4" w:space="0" w:color="auto"/>
            </w:tcBorders>
            <w:shd w:val="clear" w:color="auto" w:fill="auto"/>
            <w:vAlign w:val="center"/>
          </w:tcPr>
          <w:p w14:paraId="4945DE0D" w14:textId="77777777" w:rsidR="00913A0A" w:rsidRPr="0058047D" w:rsidRDefault="00913A0A" w:rsidP="001A63C6">
            <w:pPr>
              <w:pStyle w:val="Heading2"/>
              <w:spacing w:before="20" w:after="20"/>
              <w:ind w:left="0"/>
              <w:rPr>
                <w:rFonts w:ascii="Tahoma" w:hAnsi="Tahoma" w:cs="Tahoma"/>
                <w:b w:val="0"/>
                <w:sz w:val="14"/>
                <w:szCs w:val="14"/>
              </w:rPr>
            </w:pPr>
            <w:bookmarkStart w:id="499" w:name="_Toc336338132"/>
            <w:bookmarkStart w:id="500" w:name="_Toc341193035"/>
            <w:bookmarkStart w:id="501" w:name="_Toc371663527"/>
            <w:r w:rsidRPr="0058047D">
              <w:rPr>
                <w:rFonts w:ascii="Tahoma" w:hAnsi="Tahoma" w:cs="Tahoma"/>
                <w:b w:val="0"/>
                <w:sz w:val="14"/>
                <w:szCs w:val="14"/>
              </w:rPr>
              <w:t>USL Add-On per Windows Intune Extra Storage 1 GB</w:t>
            </w:r>
            <w:bookmarkEnd w:id="499"/>
            <w:bookmarkEnd w:id="500"/>
            <w:bookmarkEnd w:id="501"/>
          </w:p>
        </w:tc>
        <w:tc>
          <w:tcPr>
            <w:tcW w:w="554" w:type="dxa"/>
            <w:tcBorders>
              <w:bottom w:val="single" w:sz="4" w:space="0" w:color="auto"/>
            </w:tcBorders>
            <w:shd w:val="clear" w:color="auto" w:fill="auto"/>
            <w:vAlign w:val="center"/>
          </w:tcPr>
          <w:p w14:paraId="18646467" w14:textId="77777777" w:rsidR="00913A0A" w:rsidRPr="0058047D" w:rsidRDefault="00913A0A" w:rsidP="001A63C6">
            <w:pPr>
              <w:pStyle w:val="TableText"/>
              <w:widowControl w:val="0"/>
              <w:rPr>
                <w:b/>
                <w:sz w:val="13"/>
                <w:szCs w:val="13"/>
              </w:rPr>
            </w:pPr>
          </w:p>
        </w:tc>
        <w:tc>
          <w:tcPr>
            <w:tcW w:w="516" w:type="dxa"/>
            <w:tcBorders>
              <w:bottom w:val="single" w:sz="4" w:space="0" w:color="auto"/>
            </w:tcBorders>
            <w:shd w:val="clear" w:color="auto" w:fill="auto"/>
            <w:vAlign w:val="center"/>
          </w:tcPr>
          <w:p w14:paraId="5E6C886D" w14:textId="77777777" w:rsidR="00913A0A" w:rsidRPr="0058047D" w:rsidRDefault="00913A0A" w:rsidP="001A63C6">
            <w:pPr>
              <w:pStyle w:val="TableText"/>
              <w:widowControl w:val="0"/>
              <w:spacing w:before="80"/>
              <w:rPr>
                <w:rFonts w:ascii="Tahoma" w:hAnsi="Tahoma" w:cs="Tahoma"/>
                <w:color w:val="000000"/>
                <w:sz w:val="13"/>
              </w:rPr>
            </w:pPr>
            <w:r w:rsidRPr="0058047D">
              <w:rPr>
                <w:rFonts w:ascii="Tahoma" w:hAnsi="Tahoma" w:cs="Tahoma"/>
                <w:color w:val="000000"/>
                <w:sz w:val="13"/>
              </w:rPr>
              <w:t>12/12</w:t>
            </w:r>
          </w:p>
        </w:tc>
        <w:tc>
          <w:tcPr>
            <w:tcW w:w="358" w:type="dxa"/>
            <w:tcBorders>
              <w:bottom w:val="single" w:sz="4" w:space="0" w:color="auto"/>
              <w:right w:val="single" w:sz="18" w:space="0" w:color="auto"/>
            </w:tcBorders>
            <w:shd w:val="clear" w:color="auto" w:fill="auto"/>
            <w:vAlign w:val="center"/>
          </w:tcPr>
          <w:p w14:paraId="04BAA29B" w14:textId="77777777" w:rsidR="00913A0A" w:rsidRPr="0058047D" w:rsidRDefault="00913A0A" w:rsidP="001A63C6">
            <w:pPr>
              <w:pStyle w:val="TableText"/>
              <w:widowControl w:val="0"/>
              <w:rPr>
                <w:rFonts w:ascii="Tahoma" w:hAnsi="Tahoma" w:cs="Tahoma"/>
                <w:color w:val="000000"/>
                <w:sz w:val="13"/>
              </w:rPr>
            </w:pPr>
          </w:p>
        </w:tc>
        <w:tc>
          <w:tcPr>
            <w:tcW w:w="330" w:type="dxa"/>
            <w:tcBorders>
              <w:left w:val="single" w:sz="18" w:space="0" w:color="auto"/>
              <w:bottom w:val="single" w:sz="4" w:space="0" w:color="auto"/>
            </w:tcBorders>
            <w:shd w:val="clear" w:color="auto" w:fill="auto"/>
            <w:vAlign w:val="center"/>
          </w:tcPr>
          <w:p w14:paraId="06FCC218"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29AEC586"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30DC5F00"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11355B1E"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6F558C0"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D5AA932"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2A19CF23"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3B2C41BD"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BE2C933"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364D85B1"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570E9ACF"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6655EA4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0909F2BA"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tcPr>
          <w:p w14:paraId="5DB174E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 ST</w:t>
            </w:r>
          </w:p>
        </w:tc>
        <w:tc>
          <w:tcPr>
            <w:tcW w:w="504" w:type="dxa"/>
            <w:tcBorders>
              <w:bottom w:val="single" w:sz="4" w:space="0" w:color="auto"/>
            </w:tcBorders>
            <w:shd w:val="clear" w:color="auto" w:fill="auto"/>
            <w:vAlign w:val="center"/>
          </w:tcPr>
          <w:p w14:paraId="7BDDB520" w14:textId="77777777" w:rsidR="00913A0A" w:rsidRPr="0058047D" w:rsidRDefault="00913A0A" w:rsidP="001A63C6">
            <w:pPr>
              <w:pStyle w:val="TableText"/>
              <w:widowControl w:val="0"/>
              <w:rPr>
                <w:rFonts w:ascii="Tahoma" w:hAnsi="Tahoma" w:cs="Tahoma"/>
                <w:color w:val="000000"/>
                <w:sz w:val="13"/>
              </w:rPr>
            </w:pPr>
          </w:p>
        </w:tc>
        <w:tc>
          <w:tcPr>
            <w:tcW w:w="405" w:type="dxa"/>
            <w:tcBorders>
              <w:bottom w:val="single" w:sz="4" w:space="0" w:color="auto"/>
            </w:tcBorders>
          </w:tcPr>
          <w:p w14:paraId="037A8138" w14:textId="77777777" w:rsidR="00913A0A" w:rsidRPr="0058047D" w:rsidRDefault="00913A0A" w:rsidP="001A63C6">
            <w:pPr>
              <w:pStyle w:val="TableText"/>
              <w:widowControl w:val="0"/>
              <w:rPr>
                <w:rFonts w:ascii="Tahoma" w:hAnsi="Tahoma" w:cs="Tahoma"/>
                <w:color w:val="000000"/>
                <w:sz w:val="13"/>
              </w:rPr>
            </w:pPr>
          </w:p>
        </w:tc>
      </w:tr>
      <w:tr w:rsidR="009323A0" w:rsidRPr="0058047D" w14:paraId="0A377EF6" w14:textId="77777777" w:rsidTr="00C86F50">
        <w:trPr>
          <w:trHeight w:val="145"/>
        </w:trPr>
        <w:tc>
          <w:tcPr>
            <w:tcW w:w="2619" w:type="dxa"/>
            <w:gridSpan w:val="2"/>
            <w:tcBorders>
              <w:bottom w:val="single" w:sz="4" w:space="0" w:color="auto"/>
            </w:tcBorders>
            <w:shd w:val="clear" w:color="auto" w:fill="FABF8F"/>
            <w:vAlign w:val="center"/>
          </w:tcPr>
          <w:p w14:paraId="7C8F8645" w14:textId="77777777" w:rsidR="00913A0A" w:rsidRPr="0058047D" w:rsidRDefault="00913A0A" w:rsidP="001A63C6">
            <w:pPr>
              <w:pStyle w:val="Heading2"/>
              <w:spacing w:before="20" w:after="20"/>
              <w:ind w:left="0"/>
              <w:rPr>
                <w:rFonts w:ascii="Tahoma" w:hAnsi="Tahoma" w:cs="Tahoma"/>
                <w:b w:val="0"/>
                <w:sz w:val="14"/>
                <w:szCs w:val="14"/>
              </w:rPr>
            </w:pPr>
            <w:bookmarkStart w:id="502" w:name="_Toc336338133"/>
            <w:bookmarkStart w:id="503" w:name="_Toc371663528"/>
            <w:r w:rsidRPr="0058047D">
              <w:rPr>
                <w:rFonts w:ascii="Tahoma" w:hAnsi="Tahoma" w:cs="Tahoma"/>
                <w:b w:val="0"/>
                <w:sz w:val="14"/>
                <w:szCs w:val="14"/>
              </w:rPr>
              <w:t>Windows MultiPoint Server 2012 Standard</w:t>
            </w:r>
            <w:bookmarkEnd w:id="502"/>
            <w:bookmarkEnd w:id="503"/>
          </w:p>
        </w:tc>
        <w:tc>
          <w:tcPr>
            <w:tcW w:w="554" w:type="dxa"/>
            <w:tcBorders>
              <w:bottom w:val="single" w:sz="4" w:space="0" w:color="auto"/>
            </w:tcBorders>
            <w:shd w:val="clear" w:color="auto" w:fill="FABF8F"/>
            <w:vAlign w:val="center"/>
          </w:tcPr>
          <w:p w14:paraId="291F0C50" w14:textId="77777777" w:rsidR="00913A0A" w:rsidRPr="0058047D" w:rsidRDefault="00C86F50" w:rsidP="00913588">
            <w:pPr>
              <w:pStyle w:val="TableText"/>
              <w:widowControl w:val="0"/>
              <w:rPr>
                <w:b/>
                <w:sz w:val="13"/>
                <w:szCs w:val="13"/>
                <w:u w:val="single"/>
              </w:rPr>
            </w:pPr>
            <w:hyperlink w:anchor="_105_Windows_Multipoint" w:history="1">
              <w:r w:rsidR="00BF5FC6" w:rsidRPr="0058047D">
                <w:rPr>
                  <w:rStyle w:val="Hyperlink"/>
                  <w:b/>
                  <w:sz w:val="13"/>
                  <w:szCs w:val="13"/>
                </w:rPr>
                <w:t>106</w:t>
              </w:r>
            </w:hyperlink>
            <w:hyperlink w:anchor="_98_Windows_Multipoint" w:history="1"/>
          </w:p>
        </w:tc>
        <w:tc>
          <w:tcPr>
            <w:tcW w:w="516" w:type="dxa"/>
            <w:tcBorders>
              <w:bottom w:val="single" w:sz="4" w:space="0" w:color="auto"/>
            </w:tcBorders>
            <w:shd w:val="clear" w:color="auto" w:fill="FABF8F"/>
            <w:vAlign w:val="center"/>
          </w:tcPr>
          <w:p w14:paraId="27282DA9" w14:textId="77777777" w:rsidR="00913A0A" w:rsidRPr="0058047D" w:rsidRDefault="00913A0A" w:rsidP="001A63C6">
            <w:pPr>
              <w:pStyle w:val="TableText"/>
              <w:widowControl w:val="0"/>
              <w:spacing w:before="80"/>
              <w:rPr>
                <w:rFonts w:ascii="Tahoma" w:hAnsi="Tahoma" w:cs="Tahoma"/>
                <w:color w:val="000000"/>
                <w:sz w:val="13"/>
              </w:rPr>
            </w:pPr>
            <w:r w:rsidRPr="0058047D">
              <w:rPr>
                <w:rFonts w:ascii="Tahoma" w:hAnsi="Tahoma" w:cs="Tahoma"/>
                <w:color w:val="000000"/>
                <w:sz w:val="13"/>
              </w:rPr>
              <w:t>12/12</w:t>
            </w:r>
          </w:p>
        </w:tc>
        <w:tc>
          <w:tcPr>
            <w:tcW w:w="358" w:type="dxa"/>
            <w:tcBorders>
              <w:bottom w:val="single" w:sz="4" w:space="0" w:color="auto"/>
              <w:right w:val="single" w:sz="18" w:space="0" w:color="auto"/>
            </w:tcBorders>
            <w:shd w:val="clear" w:color="auto" w:fill="FABF8F"/>
            <w:vAlign w:val="center"/>
          </w:tcPr>
          <w:p w14:paraId="4B6C62A4"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FABF8F"/>
            <w:vAlign w:val="center"/>
          </w:tcPr>
          <w:p w14:paraId="18111AE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w:t>
            </w:r>
          </w:p>
        </w:tc>
        <w:tc>
          <w:tcPr>
            <w:tcW w:w="324" w:type="dxa"/>
            <w:tcBorders>
              <w:bottom w:val="single" w:sz="4" w:space="0" w:color="auto"/>
            </w:tcBorders>
            <w:shd w:val="clear" w:color="auto" w:fill="FABF8F"/>
            <w:vAlign w:val="center"/>
          </w:tcPr>
          <w:p w14:paraId="6341C3E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13</w:t>
            </w:r>
          </w:p>
        </w:tc>
        <w:tc>
          <w:tcPr>
            <w:tcW w:w="366" w:type="dxa"/>
            <w:tcBorders>
              <w:bottom w:val="single" w:sz="4" w:space="0" w:color="auto"/>
            </w:tcBorders>
            <w:shd w:val="clear" w:color="auto" w:fill="FABF8F"/>
            <w:vAlign w:val="center"/>
          </w:tcPr>
          <w:p w14:paraId="6D05EA75"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10</w:t>
            </w:r>
          </w:p>
        </w:tc>
        <w:tc>
          <w:tcPr>
            <w:tcW w:w="456" w:type="dxa"/>
            <w:gridSpan w:val="2"/>
            <w:tcBorders>
              <w:bottom w:val="single" w:sz="4" w:space="0" w:color="auto"/>
            </w:tcBorders>
            <w:shd w:val="clear" w:color="auto" w:fill="FABF8F"/>
            <w:vAlign w:val="center"/>
          </w:tcPr>
          <w:p w14:paraId="17006D6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8</w:t>
            </w:r>
          </w:p>
        </w:tc>
        <w:tc>
          <w:tcPr>
            <w:tcW w:w="450" w:type="dxa"/>
            <w:tcBorders>
              <w:bottom w:val="single" w:sz="4" w:space="0" w:color="auto"/>
            </w:tcBorders>
            <w:shd w:val="clear" w:color="auto" w:fill="FABF8F"/>
            <w:vAlign w:val="center"/>
          </w:tcPr>
          <w:p w14:paraId="067225FF"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8</w:t>
            </w:r>
          </w:p>
        </w:tc>
        <w:tc>
          <w:tcPr>
            <w:tcW w:w="450" w:type="dxa"/>
            <w:tcBorders>
              <w:bottom w:val="single" w:sz="4" w:space="0" w:color="auto"/>
            </w:tcBorders>
            <w:shd w:val="clear" w:color="auto" w:fill="FABF8F"/>
            <w:vAlign w:val="center"/>
          </w:tcPr>
          <w:p w14:paraId="64285AB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w:t>
            </w:r>
          </w:p>
        </w:tc>
        <w:tc>
          <w:tcPr>
            <w:tcW w:w="336" w:type="dxa"/>
            <w:tcBorders>
              <w:bottom w:val="single" w:sz="4" w:space="0" w:color="auto"/>
              <w:right w:val="single" w:sz="18" w:space="0" w:color="auto"/>
            </w:tcBorders>
            <w:shd w:val="clear" w:color="auto" w:fill="FABF8F"/>
            <w:vAlign w:val="center"/>
          </w:tcPr>
          <w:p w14:paraId="7B2DD9DA"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3</w:t>
            </w:r>
          </w:p>
        </w:tc>
        <w:tc>
          <w:tcPr>
            <w:tcW w:w="477" w:type="dxa"/>
            <w:tcBorders>
              <w:left w:val="single" w:sz="18" w:space="0" w:color="auto"/>
              <w:bottom w:val="single" w:sz="4" w:space="0" w:color="auto"/>
            </w:tcBorders>
            <w:shd w:val="clear" w:color="auto" w:fill="FABF8F"/>
            <w:vAlign w:val="center"/>
          </w:tcPr>
          <w:p w14:paraId="290B6E3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w:t>
            </w:r>
          </w:p>
        </w:tc>
        <w:tc>
          <w:tcPr>
            <w:tcW w:w="450" w:type="dxa"/>
            <w:tcBorders>
              <w:bottom w:val="single" w:sz="4" w:space="0" w:color="auto"/>
            </w:tcBorders>
            <w:shd w:val="clear" w:color="auto" w:fill="FABF8F"/>
            <w:vAlign w:val="center"/>
          </w:tcPr>
          <w:p w14:paraId="368F1A2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10</w:t>
            </w:r>
          </w:p>
        </w:tc>
        <w:tc>
          <w:tcPr>
            <w:tcW w:w="414" w:type="dxa"/>
            <w:tcBorders>
              <w:bottom w:val="single" w:sz="4" w:space="0" w:color="auto"/>
              <w:right w:val="single" w:sz="18" w:space="0" w:color="auto"/>
            </w:tcBorders>
            <w:shd w:val="clear" w:color="auto" w:fill="FABF8F"/>
            <w:vAlign w:val="center"/>
          </w:tcPr>
          <w:p w14:paraId="2AEB2788"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w:t>
            </w:r>
          </w:p>
        </w:tc>
        <w:tc>
          <w:tcPr>
            <w:tcW w:w="468" w:type="dxa"/>
            <w:tcBorders>
              <w:left w:val="single" w:sz="18" w:space="0" w:color="auto"/>
              <w:bottom w:val="single" w:sz="4" w:space="0" w:color="auto"/>
            </w:tcBorders>
            <w:shd w:val="clear" w:color="auto" w:fill="FABF8F"/>
            <w:vAlign w:val="center"/>
          </w:tcPr>
          <w:p w14:paraId="1A584C5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w:t>
            </w:r>
          </w:p>
        </w:tc>
        <w:tc>
          <w:tcPr>
            <w:tcW w:w="477" w:type="dxa"/>
            <w:tcBorders>
              <w:bottom w:val="single" w:sz="4" w:space="0" w:color="auto"/>
              <w:right w:val="single" w:sz="18" w:space="0" w:color="auto"/>
            </w:tcBorders>
            <w:shd w:val="clear" w:color="auto" w:fill="FABF8F"/>
            <w:vAlign w:val="center"/>
          </w:tcPr>
          <w:p w14:paraId="4874BD4E"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418F392B"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2E910CAD"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rPr>
              <w:t>A</w:t>
            </w:r>
          </w:p>
        </w:tc>
        <w:tc>
          <w:tcPr>
            <w:tcW w:w="504" w:type="dxa"/>
            <w:tcBorders>
              <w:bottom w:val="single" w:sz="4" w:space="0" w:color="auto"/>
            </w:tcBorders>
            <w:shd w:val="clear" w:color="auto" w:fill="FABF8F"/>
            <w:vAlign w:val="center"/>
          </w:tcPr>
          <w:p w14:paraId="0DA00B76" w14:textId="77777777" w:rsidR="00913A0A" w:rsidRPr="0058047D" w:rsidRDefault="00913A0A" w:rsidP="001A63C6">
            <w:pPr>
              <w:pStyle w:val="TableText"/>
              <w:widowControl w:val="0"/>
              <w:rPr>
                <w:rFonts w:ascii="Tahoma" w:hAnsi="Tahoma" w:cs="Tahoma"/>
                <w:color w:val="000000"/>
                <w:sz w:val="13"/>
              </w:rPr>
            </w:pPr>
          </w:p>
        </w:tc>
        <w:tc>
          <w:tcPr>
            <w:tcW w:w="405" w:type="dxa"/>
            <w:tcBorders>
              <w:bottom w:val="single" w:sz="4" w:space="0" w:color="auto"/>
            </w:tcBorders>
            <w:shd w:val="clear" w:color="auto" w:fill="FABF8F"/>
          </w:tcPr>
          <w:p w14:paraId="4FE473B3" w14:textId="77777777" w:rsidR="00913A0A" w:rsidRPr="0058047D" w:rsidRDefault="00913A0A" w:rsidP="001A63C6">
            <w:pPr>
              <w:pStyle w:val="TableText"/>
              <w:widowControl w:val="0"/>
              <w:rPr>
                <w:rFonts w:ascii="Tahoma" w:hAnsi="Tahoma" w:cs="Tahoma"/>
                <w:color w:val="000000"/>
                <w:sz w:val="13"/>
              </w:rPr>
            </w:pPr>
          </w:p>
        </w:tc>
      </w:tr>
      <w:tr w:rsidR="009323A0" w:rsidRPr="0058047D" w14:paraId="6BF9A129" w14:textId="77777777" w:rsidTr="00C86F50">
        <w:trPr>
          <w:trHeight w:val="145"/>
        </w:trPr>
        <w:tc>
          <w:tcPr>
            <w:tcW w:w="2619" w:type="dxa"/>
            <w:gridSpan w:val="2"/>
            <w:tcBorders>
              <w:bottom w:val="single" w:sz="4" w:space="0" w:color="auto"/>
            </w:tcBorders>
            <w:shd w:val="clear" w:color="auto" w:fill="auto"/>
            <w:vAlign w:val="center"/>
          </w:tcPr>
          <w:p w14:paraId="0E0E4A2F" w14:textId="77777777" w:rsidR="00913A0A" w:rsidRPr="0058047D" w:rsidRDefault="00913A0A" w:rsidP="001A63C6">
            <w:pPr>
              <w:pStyle w:val="Heading2"/>
              <w:spacing w:before="20" w:after="20"/>
              <w:ind w:left="0"/>
              <w:rPr>
                <w:rFonts w:ascii="Tahoma" w:hAnsi="Tahoma" w:cs="Tahoma"/>
                <w:b w:val="0"/>
                <w:sz w:val="14"/>
                <w:szCs w:val="14"/>
              </w:rPr>
            </w:pPr>
            <w:bookmarkStart w:id="504" w:name="_Toc336338134"/>
            <w:bookmarkStart w:id="505" w:name="_Toc371663529"/>
            <w:r w:rsidRPr="0058047D">
              <w:rPr>
                <w:rFonts w:ascii="Tahoma" w:hAnsi="Tahoma" w:cs="Tahoma"/>
                <w:b w:val="0"/>
                <w:sz w:val="14"/>
                <w:szCs w:val="14"/>
              </w:rPr>
              <w:t>Windows MultiPoint Server 2012 Premium</w:t>
            </w:r>
            <w:bookmarkEnd w:id="504"/>
            <w:bookmarkEnd w:id="505"/>
          </w:p>
        </w:tc>
        <w:tc>
          <w:tcPr>
            <w:tcW w:w="554" w:type="dxa"/>
            <w:tcBorders>
              <w:bottom w:val="single" w:sz="4" w:space="0" w:color="auto"/>
            </w:tcBorders>
            <w:shd w:val="clear" w:color="auto" w:fill="auto"/>
            <w:vAlign w:val="center"/>
          </w:tcPr>
          <w:p w14:paraId="5540A3FF" w14:textId="77777777" w:rsidR="00913A0A" w:rsidRPr="0058047D" w:rsidRDefault="00C86F50" w:rsidP="00913588">
            <w:pPr>
              <w:pStyle w:val="TableText"/>
              <w:widowControl w:val="0"/>
              <w:rPr>
                <w:b/>
                <w:sz w:val="13"/>
                <w:szCs w:val="13"/>
                <w:u w:val="single"/>
              </w:rPr>
            </w:pPr>
            <w:hyperlink w:anchor="_107_Windows_Multipoint" w:history="1">
              <w:hyperlink w:anchor="Srv_107WinMultipointSvr2011Premium" w:history="1">
                <w:r w:rsidR="00BF5FC6" w:rsidRPr="008B78C7">
                  <w:rPr>
                    <w:rStyle w:val="Hyperlink"/>
                    <w:b/>
                    <w:sz w:val="13"/>
                    <w:szCs w:val="13"/>
                  </w:rPr>
                  <w:t>10</w:t>
                </w:r>
              </w:hyperlink>
              <w:r w:rsidR="00BF5FC6" w:rsidRPr="008B78C7">
                <w:rPr>
                  <w:rStyle w:val="Hyperlink"/>
                  <w:b/>
                  <w:sz w:val="13"/>
                  <w:szCs w:val="13"/>
                </w:rPr>
                <w:t>7</w:t>
              </w:r>
            </w:hyperlink>
          </w:p>
        </w:tc>
        <w:tc>
          <w:tcPr>
            <w:tcW w:w="516" w:type="dxa"/>
            <w:tcBorders>
              <w:bottom w:val="single" w:sz="4" w:space="0" w:color="auto"/>
            </w:tcBorders>
            <w:shd w:val="clear" w:color="auto" w:fill="auto"/>
            <w:vAlign w:val="center"/>
          </w:tcPr>
          <w:p w14:paraId="2BE04CF2" w14:textId="77777777" w:rsidR="00913A0A" w:rsidRPr="0058047D" w:rsidRDefault="00913A0A" w:rsidP="001A63C6">
            <w:pPr>
              <w:pStyle w:val="TableText"/>
              <w:widowControl w:val="0"/>
              <w:spacing w:before="80"/>
              <w:rPr>
                <w:rFonts w:ascii="Tahoma" w:hAnsi="Tahoma" w:cs="Tahoma"/>
                <w:color w:val="000000"/>
                <w:sz w:val="13"/>
              </w:rPr>
            </w:pPr>
            <w:r w:rsidRPr="0058047D">
              <w:rPr>
                <w:rFonts w:ascii="Tahoma" w:hAnsi="Tahoma" w:cs="Tahoma"/>
                <w:color w:val="000000"/>
                <w:sz w:val="13"/>
              </w:rPr>
              <w:t>12/12</w:t>
            </w:r>
          </w:p>
        </w:tc>
        <w:tc>
          <w:tcPr>
            <w:tcW w:w="358" w:type="dxa"/>
            <w:tcBorders>
              <w:bottom w:val="single" w:sz="4" w:space="0" w:color="auto"/>
              <w:right w:val="single" w:sz="18" w:space="0" w:color="auto"/>
            </w:tcBorders>
            <w:shd w:val="clear" w:color="auto" w:fill="auto"/>
            <w:vAlign w:val="center"/>
          </w:tcPr>
          <w:p w14:paraId="56F4BB8D"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auto"/>
            <w:vAlign w:val="center"/>
          </w:tcPr>
          <w:p w14:paraId="05CBEFAF"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10</w:t>
            </w:r>
          </w:p>
        </w:tc>
        <w:tc>
          <w:tcPr>
            <w:tcW w:w="324" w:type="dxa"/>
            <w:tcBorders>
              <w:bottom w:val="single" w:sz="4" w:space="0" w:color="auto"/>
            </w:tcBorders>
            <w:shd w:val="clear" w:color="auto" w:fill="auto"/>
            <w:vAlign w:val="center"/>
          </w:tcPr>
          <w:p w14:paraId="7BB6CFC8"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25</w:t>
            </w:r>
          </w:p>
        </w:tc>
        <w:tc>
          <w:tcPr>
            <w:tcW w:w="366" w:type="dxa"/>
            <w:tcBorders>
              <w:bottom w:val="single" w:sz="4" w:space="0" w:color="auto"/>
            </w:tcBorders>
            <w:shd w:val="clear" w:color="auto" w:fill="auto"/>
            <w:vAlign w:val="center"/>
          </w:tcPr>
          <w:p w14:paraId="2F4E293D"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20</w:t>
            </w:r>
          </w:p>
        </w:tc>
        <w:tc>
          <w:tcPr>
            <w:tcW w:w="456" w:type="dxa"/>
            <w:gridSpan w:val="2"/>
            <w:tcBorders>
              <w:bottom w:val="single" w:sz="4" w:space="0" w:color="auto"/>
            </w:tcBorders>
            <w:shd w:val="clear" w:color="auto" w:fill="auto"/>
            <w:vAlign w:val="center"/>
          </w:tcPr>
          <w:p w14:paraId="6490CD1E"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15</w:t>
            </w:r>
          </w:p>
        </w:tc>
        <w:tc>
          <w:tcPr>
            <w:tcW w:w="450" w:type="dxa"/>
            <w:tcBorders>
              <w:bottom w:val="single" w:sz="4" w:space="0" w:color="auto"/>
            </w:tcBorders>
            <w:shd w:val="clear" w:color="auto" w:fill="auto"/>
            <w:vAlign w:val="center"/>
          </w:tcPr>
          <w:p w14:paraId="2219EE70"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15</w:t>
            </w:r>
          </w:p>
        </w:tc>
        <w:tc>
          <w:tcPr>
            <w:tcW w:w="450" w:type="dxa"/>
            <w:tcBorders>
              <w:bottom w:val="single" w:sz="4" w:space="0" w:color="auto"/>
            </w:tcBorders>
            <w:shd w:val="clear" w:color="auto" w:fill="auto"/>
            <w:vAlign w:val="center"/>
          </w:tcPr>
          <w:p w14:paraId="57DCFFCD"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10</w:t>
            </w:r>
          </w:p>
        </w:tc>
        <w:tc>
          <w:tcPr>
            <w:tcW w:w="336" w:type="dxa"/>
            <w:tcBorders>
              <w:bottom w:val="single" w:sz="4" w:space="0" w:color="auto"/>
              <w:right w:val="single" w:sz="18" w:space="0" w:color="auto"/>
            </w:tcBorders>
            <w:shd w:val="clear" w:color="auto" w:fill="auto"/>
            <w:vAlign w:val="center"/>
          </w:tcPr>
          <w:p w14:paraId="544E2F6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w:t>
            </w:r>
          </w:p>
        </w:tc>
        <w:tc>
          <w:tcPr>
            <w:tcW w:w="477" w:type="dxa"/>
            <w:tcBorders>
              <w:left w:val="single" w:sz="18" w:space="0" w:color="auto"/>
              <w:bottom w:val="single" w:sz="4" w:space="0" w:color="auto"/>
            </w:tcBorders>
            <w:shd w:val="clear" w:color="auto" w:fill="auto"/>
            <w:vAlign w:val="center"/>
          </w:tcPr>
          <w:p w14:paraId="567CF9F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10</w:t>
            </w:r>
          </w:p>
        </w:tc>
        <w:tc>
          <w:tcPr>
            <w:tcW w:w="450" w:type="dxa"/>
            <w:tcBorders>
              <w:bottom w:val="single" w:sz="4" w:space="0" w:color="auto"/>
            </w:tcBorders>
            <w:shd w:val="clear" w:color="auto" w:fill="auto"/>
            <w:vAlign w:val="center"/>
          </w:tcPr>
          <w:p w14:paraId="138DCB5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20</w:t>
            </w:r>
          </w:p>
        </w:tc>
        <w:tc>
          <w:tcPr>
            <w:tcW w:w="414" w:type="dxa"/>
            <w:tcBorders>
              <w:bottom w:val="single" w:sz="4" w:space="0" w:color="auto"/>
              <w:right w:val="single" w:sz="18" w:space="0" w:color="auto"/>
            </w:tcBorders>
            <w:shd w:val="clear" w:color="auto" w:fill="auto"/>
            <w:vAlign w:val="center"/>
          </w:tcPr>
          <w:p w14:paraId="41BE0625"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10</w:t>
            </w:r>
          </w:p>
        </w:tc>
        <w:tc>
          <w:tcPr>
            <w:tcW w:w="468" w:type="dxa"/>
            <w:tcBorders>
              <w:left w:val="single" w:sz="18" w:space="0" w:color="auto"/>
              <w:bottom w:val="single" w:sz="4" w:space="0" w:color="auto"/>
            </w:tcBorders>
            <w:shd w:val="clear" w:color="auto" w:fill="auto"/>
            <w:vAlign w:val="center"/>
          </w:tcPr>
          <w:p w14:paraId="31FE8ED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10</w:t>
            </w:r>
          </w:p>
        </w:tc>
        <w:tc>
          <w:tcPr>
            <w:tcW w:w="477" w:type="dxa"/>
            <w:tcBorders>
              <w:bottom w:val="single" w:sz="4" w:space="0" w:color="auto"/>
              <w:right w:val="single" w:sz="18" w:space="0" w:color="auto"/>
            </w:tcBorders>
            <w:shd w:val="clear" w:color="auto" w:fill="auto"/>
            <w:vAlign w:val="center"/>
          </w:tcPr>
          <w:p w14:paraId="0DBB6A76"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69EFF0DB"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tcPr>
          <w:p w14:paraId="34F7E00B"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rPr>
              <w:t>A</w:t>
            </w:r>
          </w:p>
        </w:tc>
        <w:tc>
          <w:tcPr>
            <w:tcW w:w="504" w:type="dxa"/>
            <w:tcBorders>
              <w:bottom w:val="single" w:sz="4" w:space="0" w:color="auto"/>
            </w:tcBorders>
            <w:shd w:val="clear" w:color="auto" w:fill="auto"/>
            <w:vAlign w:val="center"/>
          </w:tcPr>
          <w:p w14:paraId="245AE1B6" w14:textId="77777777" w:rsidR="00913A0A" w:rsidRPr="0058047D" w:rsidRDefault="00913A0A" w:rsidP="001A63C6">
            <w:pPr>
              <w:pStyle w:val="TableText"/>
              <w:widowControl w:val="0"/>
              <w:rPr>
                <w:rFonts w:ascii="Tahoma" w:hAnsi="Tahoma" w:cs="Tahoma"/>
                <w:color w:val="000000"/>
                <w:sz w:val="13"/>
              </w:rPr>
            </w:pPr>
          </w:p>
        </w:tc>
        <w:tc>
          <w:tcPr>
            <w:tcW w:w="405" w:type="dxa"/>
            <w:tcBorders>
              <w:bottom w:val="single" w:sz="4" w:space="0" w:color="auto"/>
            </w:tcBorders>
          </w:tcPr>
          <w:p w14:paraId="4D91C32E" w14:textId="77777777" w:rsidR="00913A0A" w:rsidRPr="0058047D" w:rsidRDefault="00913A0A" w:rsidP="001A63C6">
            <w:pPr>
              <w:pStyle w:val="TableText"/>
              <w:widowControl w:val="0"/>
              <w:rPr>
                <w:rFonts w:ascii="Tahoma" w:hAnsi="Tahoma" w:cs="Tahoma"/>
                <w:color w:val="000000"/>
                <w:sz w:val="13"/>
              </w:rPr>
            </w:pPr>
          </w:p>
        </w:tc>
      </w:tr>
      <w:tr w:rsidR="009323A0" w:rsidRPr="0058047D" w14:paraId="15ED7428" w14:textId="77777777" w:rsidTr="00C86F50">
        <w:trPr>
          <w:trHeight w:val="145"/>
        </w:trPr>
        <w:tc>
          <w:tcPr>
            <w:tcW w:w="2619" w:type="dxa"/>
            <w:gridSpan w:val="2"/>
            <w:tcBorders>
              <w:bottom w:val="single" w:sz="4" w:space="0" w:color="auto"/>
            </w:tcBorders>
            <w:shd w:val="clear" w:color="auto" w:fill="FABF8F"/>
            <w:vAlign w:val="center"/>
          </w:tcPr>
          <w:p w14:paraId="62A89FD9" w14:textId="77777777" w:rsidR="00913A0A" w:rsidRPr="0058047D" w:rsidRDefault="00913A0A" w:rsidP="001A63C6">
            <w:pPr>
              <w:pStyle w:val="Heading2"/>
              <w:spacing w:before="20" w:after="20"/>
              <w:ind w:left="0"/>
              <w:rPr>
                <w:rFonts w:ascii="Tahoma" w:hAnsi="Tahoma" w:cs="Tahoma"/>
                <w:b w:val="0"/>
                <w:sz w:val="14"/>
                <w:szCs w:val="14"/>
              </w:rPr>
            </w:pPr>
            <w:bookmarkStart w:id="506" w:name="_Toc336338135"/>
            <w:bookmarkStart w:id="507" w:name="_Toc371663530"/>
            <w:r w:rsidRPr="0058047D">
              <w:rPr>
                <w:rFonts w:ascii="Tahoma" w:hAnsi="Tahoma" w:cs="Tahoma"/>
                <w:b w:val="0"/>
                <w:sz w:val="14"/>
                <w:szCs w:val="14"/>
              </w:rPr>
              <w:t>CAL per Windows MultiPoint Server 2012</w:t>
            </w:r>
            <w:bookmarkEnd w:id="506"/>
            <w:bookmarkEnd w:id="507"/>
          </w:p>
        </w:tc>
        <w:tc>
          <w:tcPr>
            <w:tcW w:w="554" w:type="dxa"/>
            <w:tcBorders>
              <w:bottom w:val="single" w:sz="4" w:space="0" w:color="auto"/>
            </w:tcBorders>
            <w:shd w:val="clear" w:color="auto" w:fill="FABF8F"/>
            <w:vAlign w:val="center"/>
          </w:tcPr>
          <w:p w14:paraId="7A092EB5" w14:textId="77777777" w:rsidR="00913A0A" w:rsidRPr="0058047D" w:rsidRDefault="00C86F50" w:rsidP="00913588">
            <w:pPr>
              <w:pStyle w:val="TableText"/>
              <w:widowControl w:val="0"/>
              <w:rPr>
                <w:b/>
                <w:sz w:val="13"/>
                <w:szCs w:val="13"/>
                <w:u w:val="single"/>
              </w:rPr>
            </w:pPr>
            <w:hyperlink w:anchor="_108_Licenza_CAL" w:history="1">
              <w:r w:rsidR="00BF5FC6" w:rsidRPr="0058047D">
                <w:rPr>
                  <w:rStyle w:val="Hyperlink"/>
                  <w:b/>
                  <w:sz w:val="13"/>
                  <w:szCs w:val="13"/>
                </w:rPr>
                <w:t>108</w:t>
              </w:r>
            </w:hyperlink>
          </w:p>
        </w:tc>
        <w:tc>
          <w:tcPr>
            <w:tcW w:w="516" w:type="dxa"/>
            <w:tcBorders>
              <w:bottom w:val="single" w:sz="4" w:space="0" w:color="auto"/>
            </w:tcBorders>
            <w:shd w:val="clear" w:color="auto" w:fill="FABF8F"/>
            <w:vAlign w:val="center"/>
          </w:tcPr>
          <w:p w14:paraId="4D51BEA7" w14:textId="77777777" w:rsidR="00913A0A" w:rsidRPr="0058047D" w:rsidRDefault="00913A0A" w:rsidP="001A63C6">
            <w:pPr>
              <w:pStyle w:val="TableText"/>
              <w:widowControl w:val="0"/>
              <w:spacing w:before="80"/>
              <w:rPr>
                <w:rFonts w:ascii="Tahoma" w:hAnsi="Tahoma" w:cs="Tahoma"/>
                <w:color w:val="000000"/>
                <w:sz w:val="13"/>
              </w:rPr>
            </w:pPr>
            <w:r w:rsidRPr="0058047D">
              <w:rPr>
                <w:rFonts w:ascii="Tahoma" w:hAnsi="Tahoma" w:cs="Tahoma"/>
                <w:color w:val="000000"/>
                <w:sz w:val="13"/>
              </w:rPr>
              <w:t>12/12</w:t>
            </w:r>
          </w:p>
        </w:tc>
        <w:tc>
          <w:tcPr>
            <w:tcW w:w="358" w:type="dxa"/>
            <w:tcBorders>
              <w:bottom w:val="single" w:sz="4" w:space="0" w:color="auto"/>
              <w:right w:val="single" w:sz="18" w:space="0" w:color="auto"/>
            </w:tcBorders>
            <w:shd w:val="clear" w:color="auto" w:fill="FABF8F"/>
            <w:vAlign w:val="center"/>
          </w:tcPr>
          <w:p w14:paraId="540BF1E5"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FABF8F"/>
            <w:vAlign w:val="center"/>
          </w:tcPr>
          <w:p w14:paraId="694BC73D"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324" w:type="dxa"/>
            <w:tcBorders>
              <w:bottom w:val="single" w:sz="4" w:space="0" w:color="auto"/>
            </w:tcBorders>
            <w:shd w:val="clear" w:color="auto" w:fill="FABF8F"/>
            <w:vAlign w:val="center"/>
          </w:tcPr>
          <w:p w14:paraId="1B27625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3</w:t>
            </w:r>
          </w:p>
        </w:tc>
        <w:tc>
          <w:tcPr>
            <w:tcW w:w="366" w:type="dxa"/>
            <w:tcBorders>
              <w:bottom w:val="single" w:sz="4" w:space="0" w:color="auto"/>
            </w:tcBorders>
            <w:shd w:val="clear" w:color="auto" w:fill="FABF8F"/>
            <w:vAlign w:val="center"/>
          </w:tcPr>
          <w:p w14:paraId="50F3EAF6"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56" w:type="dxa"/>
            <w:gridSpan w:val="2"/>
            <w:tcBorders>
              <w:bottom w:val="single" w:sz="4" w:space="0" w:color="auto"/>
            </w:tcBorders>
            <w:shd w:val="clear" w:color="auto" w:fill="FABF8F"/>
            <w:vAlign w:val="center"/>
          </w:tcPr>
          <w:p w14:paraId="3889ACE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FABF8F"/>
            <w:vAlign w:val="center"/>
          </w:tcPr>
          <w:p w14:paraId="14BB8D2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FABF8F"/>
            <w:vAlign w:val="center"/>
          </w:tcPr>
          <w:p w14:paraId="7A22426A"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336" w:type="dxa"/>
            <w:tcBorders>
              <w:bottom w:val="single" w:sz="4" w:space="0" w:color="auto"/>
              <w:right w:val="single" w:sz="18" w:space="0" w:color="auto"/>
            </w:tcBorders>
            <w:shd w:val="clear" w:color="auto" w:fill="FABF8F"/>
            <w:vAlign w:val="center"/>
          </w:tcPr>
          <w:p w14:paraId="0F5AE06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left w:val="single" w:sz="18" w:space="0" w:color="auto"/>
              <w:bottom w:val="single" w:sz="4" w:space="0" w:color="auto"/>
            </w:tcBorders>
            <w:shd w:val="clear" w:color="auto" w:fill="FABF8F"/>
            <w:vAlign w:val="center"/>
          </w:tcPr>
          <w:p w14:paraId="2C5EDD7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50" w:type="dxa"/>
            <w:tcBorders>
              <w:bottom w:val="single" w:sz="4" w:space="0" w:color="auto"/>
            </w:tcBorders>
            <w:shd w:val="clear" w:color="auto" w:fill="FABF8F"/>
            <w:vAlign w:val="center"/>
          </w:tcPr>
          <w:p w14:paraId="4E627A6A"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14" w:type="dxa"/>
            <w:tcBorders>
              <w:bottom w:val="single" w:sz="4" w:space="0" w:color="auto"/>
              <w:right w:val="single" w:sz="18" w:space="0" w:color="auto"/>
            </w:tcBorders>
            <w:shd w:val="clear" w:color="auto" w:fill="FABF8F"/>
            <w:vAlign w:val="center"/>
          </w:tcPr>
          <w:p w14:paraId="32FF151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68" w:type="dxa"/>
            <w:tcBorders>
              <w:left w:val="single" w:sz="18" w:space="0" w:color="auto"/>
              <w:bottom w:val="single" w:sz="4" w:space="0" w:color="auto"/>
            </w:tcBorders>
            <w:shd w:val="clear" w:color="auto" w:fill="FABF8F"/>
            <w:vAlign w:val="center"/>
          </w:tcPr>
          <w:p w14:paraId="7ED8F25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FABF8F"/>
            <w:vAlign w:val="center"/>
          </w:tcPr>
          <w:p w14:paraId="63D6BFE9"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408D3DAA"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05836B71"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rPr>
              <w:t>A</w:t>
            </w:r>
          </w:p>
        </w:tc>
        <w:tc>
          <w:tcPr>
            <w:tcW w:w="504" w:type="dxa"/>
            <w:tcBorders>
              <w:bottom w:val="single" w:sz="4" w:space="0" w:color="auto"/>
            </w:tcBorders>
            <w:shd w:val="clear" w:color="auto" w:fill="FABF8F"/>
            <w:vAlign w:val="center"/>
          </w:tcPr>
          <w:p w14:paraId="1DBD88DF" w14:textId="77777777" w:rsidR="00913A0A" w:rsidRPr="0058047D" w:rsidRDefault="00913A0A" w:rsidP="001A63C6">
            <w:pPr>
              <w:pStyle w:val="TableText"/>
              <w:widowControl w:val="0"/>
              <w:rPr>
                <w:rFonts w:ascii="Tahoma" w:hAnsi="Tahoma" w:cs="Tahoma"/>
                <w:color w:val="000000"/>
                <w:sz w:val="13"/>
              </w:rPr>
            </w:pPr>
          </w:p>
        </w:tc>
        <w:tc>
          <w:tcPr>
            <w:tcW w:w="405" w:type="dxa"/>
            <w:tcBorders>
              <w:bottom w:val="single" w:sz="4" w:space="0" w:color="auto"/>
            </w:tcBorders>
            <w:shd w:val="clear" w:color="auto" w:fill="FABF8F"/>
          </w:tcPr>
          <w:p w14:paraId="0B389D0B" w14:textId="77777777" w:rsidR="00913A0A" w:rsidRPr="0058047D" w:rsidRDefault="00913A0A" w:rsidP="001A63C6">
            <w:pPr>
              <w:pStyle w:val="TableText"/>
              <w:widowControl w:val="0"/>
              <w:rPr>
                <w:rFonts w:ascii="Tahoma" w:hAnsi="Tahoma" w:cs="Tahoma"/>
                <w:color w:val="000000"/>
                <w:sz w:val="13"/>
              </w:rPr>
            </w:pPr>
          </w:p>
        </w:tc>
      </w:tr>
      <w:tr w:rsidR="009323A0" w:rsidRPr="0058047D" w14:paraId="324F015D" w14:textId="77777777" w:rsidTr="00C86F50">
        <w:trPr>
          <w:trHeight w:val="145"/>
        </w:trPr>
        <w:tc>
          <w:tcPr>
            <w:tcW w:w="2619" w:type="dxa"/>
            <w:gridSpan w:val="2"/>
            <w:tcBorders>
              <w:bottom w:val="single" w:sz="4" w:space="0" w:color="auto"/>
            </w:tcBorders>
            <w:shd w:val="clear" w:color="auto" w:fill="auto"/>
            <w:vAlign w:val="center"/>
          </w:tcPr>
          <w:p w14:paraId="518DEF1B" w14:textId="77777777" w:rsidR="00913A0A" w:rsidRPr="0058047D" w:rsidRDefault="00913A0A" w:rsidP="001A63C6">
            <w:pPr>
              <w:pStyle w:val="Heading2"/>
              <w:spacing w:before="20" w:after="20"/>
              <w:ind w:left="0"/>
              <w:rPr>
                <w:rFonts w:ascii="Tahoma" w:hAnsi="Tahoma" w:cs="Tahoma"/>
                <w:b w:val="0"/>
                <w:sz w:val="14"/>
                <w:szCs w:val="14"/>
              </w:rPr>
            </w:pPr>
            <w:bookmarkStart w:id="508" w:name="_Toc336338136"/>
            <w:bookmarkStart w:id="509" w:name="_Toc371663531"/>
            <w:r w:rsidRPr="0058047D">
              <w:rPr>
                <w:rFonts w:ascii="Tahoma" w:hAnsi="Tahoma" w:cs="Tahoma"/>
                <w:b w:val="0"/>
                <w:sz w:val="14"/>
                <w:szCs w:val="14"/>
              </w:rPr>
              <w:t>CAL per Windows MultiPoint Server 2012 con CAL per Windows Server 2012</w:t>
            </w:r>
            <w:bookmarkEnd w:id="508"/>
            <w:bookmarkEnd w:id="509"/>
          </w:p>
        </w:tc>
        <w:tc>
          <w:tcPr>
            <w:tcW w:w="554" w:type="dxa"/>
            <w:tcBorders>
              <w:bottom w:val="single" w:sz="4" w:space="0" w:color="auto"/>
            </w:tcBorders>
            <w:shd w:val="clear" w:color="auto" w:fill="auto"/>
            <w:vAlign w:val="center"/>
          </w:tcPr>
          <w:p w14:paraId="4D1AD113" w14:textId="77777777" w:rsidR="00913A0A" w:rsidRPr="0058047D" w:rsidRDefault="00913A0A" w:rsidP="001A63C6">
            <w:pPr>
              <w:pStyle w:val="TableText"/>
              <w:widowControl w:val="0"/>
              <w:rPr>
                <w:b/>
                <w:sz w:val="13"/>
                <w:szCs w:val="13"/>
              </w:rPr>
            </w:pPr>
          </w:p>
        </w:tc>
        <w:tc>
          <w:tcPr>
            <w:tcW w:w="516" w:type="dxa"/>
            <w:tcBorders>
              <w:bottom w:val="single" w:sz="4" w:space="0" w:color="auto"/>
            </w:tcBorders>
            <w:shd w:val="clear" w:color="auto" w:fill="auto"/>
            <w:vAlign w:val="center"/>
          </w:tcPr>
          <w:p w14:paraId="18D39FD2" w14:textId="77777777" w:rsidR="00913A0A" w:rsidRPr="0058047D" w:rsidRDefault="00913A0A" w:rsidP="001A63C6">
            <w:pPr>
              <w:pStyle w:val="TableText"/>
              <w:widowControl w:val="0"/>
              <w:spacing w:before="80"/>
              <w:rPr>
                <w:rFonts w:ascii="Tahoma" w:hAnsi="Tahoma" w:cs="Tahoma"/>
                <w:color w:val="000000"/>
                <w:sz w:val="13"/>
              </w:rPr>
            </w:pPr>
            <w:r w:rsidRPr="0058047D">
              <w:rPr>
                <w:rFonts w:ascii="Tahoma" w:hAnsi="Tahoma" w:cs="Tahoma"/>
                <w:color w:val="000000"/>
                <w:sz w:val="13"/>
              </w:rPr>
              <w:t>12/12</w:t>
            </w:r>
          </w:p>
        </w:tc>
        <w:tc>
          <w:tcPr>
            <w:tcW w:w="358" w:type="dxa"/>
            <w:tcBorders>
              <w:bottom w:val="single" w:sz="4" w:space="0" w:color="auto"/>
              <w:right w:val="single" w:sz="18" w:space="0" w:color="auto"/>
            </w:tcBorders>
            <w:shd w:val="clear" w:color="auto" w:fill="auto"/>
            <w:vAlign w:val="center"/>
          </w:tcPr>
          <w:p w14:paraId="09A6ED92"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auto"/>
            <w:vAlign w:val="center"/>
          </w:tcPr>
          <w:p w14:paraId="63F4A8F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324" w:type="dxa"/>
            <w:tcBorders>
              <w:bottom w:val="single" w:sz="4" w:space="0" w:color="auto"/>
            </w:tcBorders>
            <w:shd w:val="clear" w:color="auto" w:fill="auto"/>
            <w:vAlign w:val="center"/>
          </w:tcPr>
          <w:p w14:paraId="3C021A8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3</w:t>
            </w:r>
          </w:p>
        </w:tc>
        <w:tc>
          <w:tcPr>
            <w:tcW w:w="366" w:type="dxa"/>
            <w:tcBorders>
              <w:bottom w:val="single" w:sz="4" w:space="0" w:color="auto"/>
            </w:tcBorders>
            <w:shd w:val="clear" w:color="auto" w:fill="auto"/>
            <w:vAlign w:val="center"/>
          </w:tcPr>
          <w:p w14:paraId="37C0022F"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56" w:type="dxa"/>
            <w:gridSpan w:val="2"/>
            <w:tcBorders>
              <w:bottom w:val="single" w:sz="4" w:space="0" w:color="auto"/>
            </w:tcBorders>
            <w:shd w:val="clear" w:color="auto" w:fill="auto"/>
            <w:vAlign w:val="center"/>
          </w:tcPr>
          <w:p w14:paraId="5C20A2CF"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auto"/>
            <w:vAlign w:val="center"/>
          </w:tcPr>
          <w:p w14:paraId="6B12C1F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auto"/>
            <w:vAlign w:val="center"/>
          </w:tcPr>
          <w:p w14:paraId="49A796EA"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336" w:type="dxa"/>
            <w:tcBorders>
              <w:bottom w:val="single" w:sz="4" w:space="0" w:color="auto"/>
              <w:right w:val="single" w:sz="18" w:space="0" w:color="auto"/>
            </w:tcBorders>
            <w:shd w:val="clear" w:color="auto" w:fill="auto"/>
            <w:vAlign w:val="center"/>
          </w:tcPr>
          <w:p w14:paraId="3D5570CA"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left w:val="single" w:sz="18" w:space="0" w:color="auto"/>
              <w:bottom w:val="single" w:sz="4" w:space="0" w:color="auto"/>
            </w:tcBorders>
            <w:shd w:val="clear" w:color="auto" w:fill="auto"/>
            <w:vAlign w:val="center"/>
          </w:tcPr>
          <w:p w14:paraId="11D4D0C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50" w:type="dxa"/>
            <w:tcBorders>
              <w:bottom w:val="single" w:sz="4" w:space="0" w:color="auto"/>
            </w:tcBorders>
            <w:shd w:val="clear" w:color="auto" w:fill="auto"/>
            <w:vAlign w:val="center"/>
          </w:tcPr>
          <w:p w14:paraId="2C5AECAA"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14" w:type="dxa"/>
            <w:tcBorders>
              <w:bottom w:val="single" w:sz="4" w:space="0" w:color="auto"/>
              <w:right w:val="single" w:sz="18" w:space="0" w:color="auto"/>
            </w:tcBorders>
            <w:shd w:val="clear" w:color="auto" w:fill="auto"/>
            <w:vAlign w:val="center"/>
          </w:tcPr>
          <w:p w14:paraId="37360555"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68" w:type="dxa"/>
            <w:tcBorders>
              <w:left w:val="single" w:sz="18" w:space="0" w:color="auto"/>
              <w:bottom w:val="single" w:sz="4" w:space="0" w:color="auto"/>
            </w:tcBorders>
            <w:shd w:val="clear" w:color="auto" w:fill="auto"/>
            <w:vAlign w:val="center"/>
          </w:tcPr>
          <w:p w14:paraId="2E7763F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auto"/>
            <w:vAlign w:val="center"/>
          </w:tcPr>
          <w:p w14:paraId="354315FC"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69AF25CF"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tcPr>
          <w:p w14:paraId="7F4A580D"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rPr>
              <w:t>A</w:t>
            </w:r>
          </w:p>
        </w:tc>
        <w:tc>
          <w:tcPr>
            <w:tcW w:w="504" w:type="dxa"/>
            <w:tcBorders>
              <w:bottom w:val="single" w:sz="4" w:space="0" w:color="auto"/>
            </w:tcBorders>
            <w:shd w:val="clear" w:color="auto" w:fill="auto"/>
            <w:vAlign w:val="center"/>
          </w:tcPr>
          <w:p w14:paraId="6220F377" w14:textId="77777777" w:rsidR="00913A0A" w:rsidRPr="0058047D" w:rsidRDefault="00913A0A" w:rsidP="001A63C6">
            <w:pPr>
              <w:pStyle w:val="TableText"/>
              <w:widowControl w:val="0"/>
              <w:rPr>
                <w:rFonts w:ascii="Tahoma" w:hAnsi="Tahoma" w:cs="Tahoma"/>
                <w:color w:val="000000"/>
                <w:sz w:val="13"/>
              </w:rPr>
            </w:pPr>
          </w:p>
        </w:tc>
        <w:tc>
          <w:tcPr>
            <w:tcW w:w="405" w:type="dxa"/>
            <w:tcBorders>
              <w:bottom w:val="single" w:sz="4" w:space="0" w:color="auto"/>
            </w:tcBorders>
          </w:tcPr>
          <w:p w14:paraId="2529091A" w14:textId="77777777" w:rsidR="00913A0A" w:rsidRPr="0058047D" w:rsidRDefault="00913A0A" w:rsidP="001A63C6">
            <w:pPr>
              <w:pStyle w:val="TableText"/>
              <w:widowControl w:val="0"/>
              <w:rPr>
                <w:rFonts w:ascii="Tahoma" w:hAnsi="Tahoma" w:cs="Tahoma"/>
                <w:color w:val="000000"/>
                <w:sz w:val="13"/>
              </w:rPr>
            </w:pPr>
          </w:p>
        </w:tc>
      </w:tr>
      <w:tr w:rsidR="009323A0" w:rsidRPr="0058047D" w14:paraId="2B3A3BC1" w14:textId="77777777" w:rsidTr="00C86F50">
        <w:trPr>
          <w:trHeight w:val="145"/>
        </w:trPr>
        <w:tc>
          <w:tcPr>
            <w:tcW w:w="2619" w:type="dxa"/>
            <w:gridSpan w:val="2"/>
            <w:tcBorders>
              <w:bottom w:val="single" w:sz="4" w:space="0" w:color="auto"/>
            </w:tcBorders>
            <w:shd w:val="clear" w:color="auto" w:fill="FABF8F"/>
            <w:vAlign w:val="center"/>
          </w:tcPr>
          <w:p w14:paraId="1BF41B3D" w14:textId="77777777" w:rsidR="00913A0A" w:rsidRPr="0058047D" w:rsidRDefault="00913A0A" w:rsidP="001F5E7D">
            <w:pPr>
              <w:pStyle w:val="Heading2"/>
              <w:spacing w:before="20" w:after="20"/>
              <w:ind w:left="0"/>
              <w:rPr>
                <w:rFonts w:ascii="Tahoma" w:hAnsi="Tahoma" w:cs="Tahoma"/>
                <w:b w:val="0"/>
                <w:sz w:val="14"/>
                <w:szCs w:val="14"/>
              </w:rPr>
            </w:pPr>
            <w:bookmarkStart w:id="510" w:name="_Toc336338137"/>
            <w:bookmarkStart w:id="511" w:name="_Toc371663532"/>
            <w:r w:rsidRPr="0058047D">
              <w:rPr>
                <w:rFonts w:ascii="Tahoma" w:hAnsi="Tahoma" w:cs="Tahoma"/>
                <w:b w:val="0"/>
                <w:sz w:val="14"/>
                <w:szCs w:val="14"/>
              </w:rPr>
              <w:t>Windows MultiPoint Server 2012 Premium con Windows MultiPoint Server</w:t>
            </w:r>
            <w:r w:rsidR="001F5E7D">
              <w:rPr>
                <w:rFonts w:ascii="Tahoma" w:hAnsi="Tahoma" w:cs="Tahoma"/>
                <w:b w:val="0"/>
                <w:sz w:val="14"/>
                <w:szCs w:val="14"/>
              </w:rPr>
              <w:t> </w:t>
            </w:r>
            <w:r w:rsidRPr="0058047D">
              <w:rPr>
                <w:rFonts w:ascii="Tahoma" w:hAnsi="Tahoma" w:cs="Tahoma"/>
                <w:b w:val="0"/>
                <w:sz w:val="14"/>
                <w:szCs w:val="14"/>
              </w:rPr>
              <w:t>2012 (CAL) (5 Client)</w:t>
            </w:r>
            <w:bookmarkEnd w:id="510"/>
            <w:bookmarkEnd w:id="511"/>
          </w:p>
        </w:tc>
        <w:tc>
          <w:tcPr>
            <w:tcW w:w="554" w:type="dxa"/>
            <w:tcBorders>
              <w:bottom w:val="single" w:sz="4" w:space="0" w:color="auto"/>
            </w:tcBorders>
            <w:shd w:val="clear" w:color="auto" w:fill="FABF8F"/>
            <w:vAlign w:val="center"/>
          </w:tcPr>
          <w:p w14:paraId="7EC5AD73" w14:textId="77777777" w:rsidR="00913A0A" w:rsidRPr="0058047D" w:rsidRDefault="00913A0A" w:rsidP="001A63C6">
            <w:pPr>
              <w:pStyle w:val="TableText"/>
              <w:widowControl w:val="0"/>
              <w:rPr>
                <w:b/>
                <w:sz w:val="13"/>
                <w:szCs w:val="13"/>
              </w:rPr>
            </w:pPr>
          </w:p>
        </w:tc>
        <w:tc>
          <w:tcPr>
            <w:tcW w:w="516" w:type="dxa"/>
            <w:tcBorders>
              <w:bottom w:val="single" w:sz="4" w:space="0" w:color="auto"/>
            </w:tcBorders>
            <w:shd w:val="clear" w:color="auto" w:fill="FABF8F"/>
            <w:vAlign w:val="center"/>
          </w:tcPr>
          <w:p w14:paraId="009C211F" w14:textId="77777777" w:rsidR="00913A0A" w:rsidRPr="0058047D" w:rsidRDefault="00913A0A" w:rsidP="001A63C6">
            <w:pPr>
              <w:pStyle w:val="TableText"/>
              <w:widowControl w:val="0"/>
              <w:spacing w:before="80"/>
              <w:rPr>
                <w:rFonts w:ascii="Tahoma" w:hAnsi="Tahoma" w:cs="Tahoma"/>
                <w:color w:val="000000"/>
                <w:sz w:val="13"/>
              </w:rPr>
            </w:pPr>
            <w:r w:rsidRPr="0058047D">
              <w:rPr>
                <w:rFonts w:ascii="Tahoma" w:hAnsi="Tahoma" w:cs="Tahoma"/>
                <w:color w:val="000000"/>
                <w:sz w:val="13"/>
              </w:rPr>
              <w:t>01/13</w:t>
            </w:r>
          </w:p>
        </w:tc>
        <w:tc>
          <w:tcPr>
            <w:tcW w:w="358" w:type="dxa"/>
            <w:tcBorders>
              <w:bottom w:val="single" w:sz="4" w:space="0" w:color="auto"/>
              <w:right w:val="single" w:sz="18" w:space="0" w:color="auto"/>
            </w:tcBorders>
            <w:shd w:val="clear" w:color="auto" w:fill="FABF8F"/>
            <w:vAlign w:val="center"/>
          </w:tcPr>
          <w:p w14:paraId="00AF5DFC"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FABF8F"/>
            <w:vAlign w:val="center"/>
          </w:tcPr>
          <w:p w14:paraId="62B5371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25</w:t>
            </w:r>
          </w:p>
        </w:tc>
        <w:tc>
          <w:tcPr>
            <w:tcW w:w="324" w:type="dxa"/>
            <w:tcBorders>
              <w:bottom w:val="single" w:sz="4" w:space="0" w:color="auto"/>
            </w:tcBorders>
            <w:shd w:val="clear" w:color="auto" w:fill="FABF8F"/>
            <w:vAlign w:val="center"/>
          </w:tcPr>
          <w:p w14:paraId="5D0FF2BD"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63</w:t>
            </w:r>
          </w:p>
        </w:tc>
        <w:tc>
          <w:tcPr>
            <w:tcW w:w="366" w:type="dxa"/>
            <w:tcBorders>
              <w:bottom w:val="single" w:sz="4" w:space="0" w:color="auto"/>
            </w:tcBorders>
            <w:shd w:val="clear" w:color="auto" w:fill="FABF8F"/>
            <w:vAlign w:val="center"/>
          </w:tcPr>
          <w:p w14:paraId="47E02BC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456" w:type="dxa"/>
            <w:gridSpan w:val="2"/>
            <w:tcBorders>
              <w:bottom w:val="single" w:sz="4" w:space="0" w:color="auto"/>
            </w:tcBorders>
            <w:shd w:val="clear" w:color="auto" w:fill="FABF8F"/>
            <w:vAlign w:val="center"/>
          </w:tcPr>
          <w:p w14:paraId="7DFC597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38</w:t>
            </w:r>
          </w:p>
        </w:tc>
        <w:tc>
          <w:tcPr>
            <w:tcW w:w="450" w:type="dxa"/>
            <w:tcBorders>
              <w:bottom w:val="single" w:sz="4" w:space="0" w:color="auto"/>
            </w:tcBorders>
            <w:shd w:val="clear" w:color="auto" w:fill="FABF8F"/>
            <w:vAlign w:val="center"/>
          </w:tcPr>
          <w:p w14:paraId="5500305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38</w:t>
            </w:r>
          </w:p>
        </w:tc>
        <w:tc>
          <w:tcPr>
            <w:tcW w:w="450" w:type="dxa"/>
            <w:tcBorders>
              <w:bottom w:val="single" w:sz="4" w:space="0" w:color="auto"/>
            </w:tcBorders>
            <w:shd w:val="clear" w:color="auto" w:fill="FABF8F"/>
            <w:vAlign w:val="center"/>
          </w:tcPr>
          <w:p w14:paraId="034AA5C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25</w:t>
            </w:r>
          </w:p>
        </w:tc>
        <w:tc>
          <w:tcPr>
            <w:tcW w:w="336" w:type="dxa"/>
            <w:tcBorders>
              <w:bottom w:val="single" w:sz="4" w:space="0" w:color="auto"/>
              <w:right w:val="single" w:sz="18" w:space="0" w:color="auto"/>
            </w:tcBorders>
            <w:shd w:val="clear" w:color="auto" w:fill="FABF8F"/>
            <w:vAlign w:val="center"/>
          </w:tcPr>
          <w:p w14:paraId="61C5F9DD"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13</w:t>
            </w:r>
          </w:p>
        </w:tc>
        <w:tc>
          <w:tcPr>
            <w:tcW w:w="477" w:type="dxa"/>
            <w:tcBorders>
              <w:left w:val="single" w:sz="18" w:space="0" w:color="auto"/>
              <w:bottom w:val="single" w:sz="4" w:space="0" w:color="auto"/>
            </w:tcBorders>
            <w:shd w:val="clear" w:color="auto" w:fill="FABF8F"/>
            <w:vAlign w:val="center"/>
          </w:tcPr>
          <w:p w14:paraId="030F6CD5"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25</w:t>
            </w:r>
          </w:p>
        </w:tc>
        <w:tc>
          <w:tcPr>
            <w:tcW w:w="450" w:type="dxa"/>
            <w:tcBorders>
              <w:bottom w:val="single" w:sz="4" w:space="0" w:color="auto"/>
            </w:tcBorders>
            <w:shd w:val="clear" w:color="auto" w:fill="FABF8F"/>
            <w:vAlign w:val="center"/>
          </w:tcPr>
          <w:p w14:paraId="01CECDD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414" w:type="dxa"/>
            <w:tcBorders>
              <w:bottom w:val="single" w:sz="4" w:space="0" w:color="auto"/>
              <w:right w:val="single" w:sz="18" w:space="0" w:color="auto"/>
            </w:tcBorders>
            <w:shd w:val="clear" w:color="auto" w:fill="FABF8F"/>
            <w:vAlign w:val="center"/>
          </w:tcPr>
          <w:p w14:paraId="75BAABB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25</w:t>
            </w:r>
          </w:p>
        </w:tc>
        <w:tc>
          <w:tcPr>
            <w:tcW w:w="468" w:type="dxa"/>
            <w:tcBorders>
              <w:left w:val="single" w:sz="18" w:space="0" w:color="auto"/>
              <w:bottom w:val="single" w:sz="4" w:space="0" w:color="auto"/>
            </w:tcBorders>
            <w:shd w:val="clear" w:color="auto" w:fill="FABF8F"/>
            <w:vAlign w:val="center"/>
          </w:tcPr>
          <w:p w14:paraId="155B2FD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25</w:t>
            </w:r>
          </w:p>
        </w:tc>
        <w:tc>
          <w:tcPr>
            <w:tcW w:w="477" w:type="dxa"/>
            <w:tcBorders>
              <w:bottom w:val="single" w:sz="4" w:space="0" w:color="auto"/>
              <w:right w:val="single" w:sz="18" w:space="0" w:color="auto"/>
            </w:tcBorders>
            <w:shd w:val="clear" w:color="auto" w:fill="FABF8F"/>
            <w:vAlign w:val="center"/>
          </w:tcPr>
          <w:p w14:paraId="66476109"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5B6281DD"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6D1CF531"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rPr>
              <w:t>A</w:t>
            </w:r>
          </w:p>
        </w:tc>
        <w:tc>
          <w:tcPr>
            <w:tcW w:w="504" w:type="dxa"/>
            <w:tcBorders>
              <w:bottom w:val="single" w:sz="4" w:space="0" w:color="auto"/>
            </w:tcBorders>
            <w:shd w:val="clear" w:color="auto" w:fill="FABF8F"/>
            <w:vAlign w:val="center"/>
          </w:tcPr>
          <w:p w14:paraId="0AF746F3"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OL/OV</w:t>
            </w:r>
          </w:p>
        </w:tc>
        <w:tc>
          <w:tcPr>
            <w:tcW w:w="405" w:type="dxa"/>
            <w:tcBorders>
              <w:bottom w:val="single" w:sz="4" w:space="0" w:color="auto"/>
            </w:tcBorders>
            <w:shd w:val="clear" w:color="auto" w:fill="FABF8F"/>
          </w:tcPr>
          <w:p w14:paraId="4B698C5A" w14:textId="77777777" w:rsidR="00913A0A" w:rsidRPr="0058047D" w:rsidRDefault="00913A0A" w:rsidP="001A63C6">
            <w:pPr>
              <w:pStyle w:val="TableText"/>
              <w:widowControl w:val="0"/>
              <w:rPr>
                <w:rFonts w:ascii="Tahoma" w:hAnsi="Tahoma" w:cs="Tahoma"/>
                <w:color w:val="000000"/>
                <w:sz w:val="13"/>
              </w:rPr>
            </w:pPr>
          </w:p>
        </w:tc>
      </w:tr>
      <w:tr w:rsidR="009323A0" w:rsidRPr="0058047D" w14:paraId="2D1943BD" w14:textId="77777777" w:rsidTr="00C86F50">
        <w:trPr>
          <w:trHeight w:val="145"/>
        </w:trPr>
        <w:tc>
          <w:tcPr>
            <w:tcW w:w="2619" w:type="dxa"/>
            <w:gridSpan w:val="2"/>
            <w:tcBorders>
              <w:bottom w:val="single" w:sz="4" w:space="0" w:color="auto"/>
            </w:tcBorders>
            <w:shd w:val="clear" w:color="auto" w:fill="auto"/>
            <w:vAlign w:val="center"/>
          </w:tcPr>
          <w:p w14:paraId="74131388" w14:textId="77777777" w:rsidR="00913A0A" w:rsidRPr="0058047D" w:rsidRDefault="00913A0A" w:rsidP="001A63C6">
            <w:pPr>
              <w:pStyle w:val="Heading2"/>
              <w:spacing w:before="20" w:after="20"/>
              <w:ind w:left="0"/>
              <w:rPr>
                <w:rFonts w:ascii="Tahoma" w:hAnsi="Tahoma" w:cs="Tahoma"/>
                <w:b w:val="0"/>
                <w:sz w:val="14"/>
                <w:szCs w:val="14"/>
              </w:rPr>
            </w:pPr>
            <w:bookmarkStart w:id="512" w:name="_Toc336338138"/>
            <w:bookmarkStart w:id="513" w:name="_Toc371663533"/>
            <w:r w:rsidRPr="0058047D">
              <w:rPr>
                <w:rFonts w:ascii="Tahoma" w:hAnsi="Tahoma" w:cs="Tahoma"/>
                <w:b w:val="0"/>
                <w:sz w:val="14"/>
                <w:szCs w:val="14"/>
              </w:rPr>
              <w:t>Windows MultiPoint Server 2012 Premium con Windows MultiPoint Server 2012 (CAL) (5 Client) con Windows Server 2012 (CAL) (5 Client)</w:t>
            </w:r>
            <w:bookmarkEnd w:id="512"/>
            <w:bookmarkEnd w:id="513"/>
          </w:p>
        </w:tc>
        <w:tc>
          <w:tcPr>
            <w:tcW w:w="554" w:type="dxa"/>
            <w:tcBorders>
              <w:bottom w:val="single" w:sz="4" w:space="0" w:color="auto"/>
            </w:tcBorders>
            <w:shd w:val="clear" w:color="auto" w:fill="auto"/>
            <w:vAlign w:val="center"/>
          </w:tcPr>
          <w:p w14:paraId="1AE13FFF" w14:textId="77777777" w:rsidR="00913A0A" w:rsidRPr="0058047D" w:rsidRDefault="00913A0A" w:rsidP="001A63C6">
            <w:pPr>
              <w:pStyle w:val="TableText"/>
              <w:widowControl w:val="0"/>
              <w:rPr>
                <w:b/>
                <w:sz w:val="13"/>
                <w:szCs w:val="13"/>
              </w:rPr>
            </w:pPr>
          </w:p>
        </w:tc>
        <w:tc>
          <w:tcPr>
            <w:tcW w:w="516" w:type="dxa"/>
            <w:tcBorders>
              <w:bottom w:val="single" w:sz="4" w:space="0" w:color="auto"/>
            </w:tcBorders>
            <w:shd w:val="clear" w:color="auto" w:fill="auto"/>
            <w:vAlign w:val="center"/>
          </w:tcPr>
          <w:p w14:paraId="4E60C937" w14:textId="77777777" w:rsidR="00913A0A" w:rsidRPr="0058047D" w:rsidRDefault="00913A0A" w:rsidP="001A63C6">
            <w:pPr>
              <w:pStyle w:val="TableText"/>
              <w:widowControl w:val="0"/>
              <w:spacing w:before="80"/>
              <w:rPr>
                <w:rFonts w:ascii="Tahoma" w:hAnsi="Tahoma" w:cs="Tahoma"/>
                <w:color w:val="000000"/>
                <w:sz w:val="13"/>
              </w:rPr>
            </w:pPr>
            <w:r w:rsidRPr="0058047D">
              <w:rPr>
                <w:rFonts w:ascii="Tahoma" w:hAnsi="Tahoma" w:cs="Tahoma"/>
                <w:color w:val="000000"/>
                <w:sz w:val="13"/>
              </w:rPr>
              <w:t>01/13</w:t>
            </w:r>
          </w:p>
        </w:tc>
        <w:tc>
          <w:tcPr>
            <w:tcW w:w="358" w:type="dxa"/>
            <w:tcBorders>
              <w:bottom w:val="single" w:sz="4" w:space="0" w:color="auto"/>
              <w:right w:val="single" w:sz="18" w:space="0" w:color="auto"/>
            </w:tcBorders>
            <w:shd w:val="clear" w:color="auto" w:fill="auto"/>
            <w:vAlign w:val="center"/>
          </w:tcPr>
          <w:p w14:paraId="721429EE"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auto"/>
            <w:vAlign w:val="center"/>
          </w:tcPr>
          <w:p w14:paraId="0A997F55"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25</w:t>
            </w:r>
          </w:p>
        </w:tc>
        <w:tc>
          <w:tcPr>
            <w:tcW w:w="324" w:type="dxa"/>
            <w:tcBorders>
              <w:bottom w:val="single" w:sz="4" w:space="0" w:color="auto"/>
            </w:tcBorders>
            <w:shd w:val="clear" w:color="auto" w:fill="auto"/>
            <w:vAlign w:val="center"/>
          </w:tcPr>
          <w:p w14:paraId="3DB69AB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63</w:t>
            </w:r>
          </w:p>
        </w:tc>
        <w:tc>
          <w:tcPr>
            <w:tcW w:w="366" w:type="dxa"/>
            <w:tcBorders>
              <w:bottom w:val="single" w:sz="4" w:space="0" w:color="auto"/>
            </w:tcBorders>
            <w:shd w:val="clear" w:color="auto" w:fill="auto"/>
            <w:vAlign w:val="center"/>
          </w:tcPr>
          <w:p w14:paraId="21598F0F"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456" w:type="dxa"/>
            <w:gridSpan w:val="2"/>
            <w:tcBorders>
              <w:bottom w:val="single" w:sz="4" w:space="0" w:color="auto"/>
            </w:tcBorders>
            <w:shd w:val="clear" w:color="auto" w:fill="auto"/>
            <w:vAlign w:val="center"/>
          </w:tcPr>
          <w:p w14:paraId="03D1F79D"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38</w:t>
            </w:r>
          </w:p>
        </w:tc>
        <w:tc>
          <w:tcPr>
            <w:tcW w:w="450" w:type="dxa"/>
            <w:tcBorders>
              <w:bottom w:val="single" w:sz="4" w:space="0" w:color="auto"/>
            </w:tcBorders>
            <w:shd w:val="clear" w:color="auto" w:fill="auto"/>
            <w:vAlign w:val="center"/>
          </w:tcPr>
          <w:p w14:paraId="2914E840"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38</w:t>
            </w:r>
          </w:p>
        </w:tc>
        <w:tc>
          <w:tcPr>
            <w:tcW w:w="450" w:type="dxa"/>
            <w:tcBorders>
              <w:bottom w:val="single" w:sz="4" w:space="0" w:color="auto"/>
            </w:tcBorders>
            <w:shd w:val="clear" w:color="auto" w:fill="auto"/>
            <w:vAlign w:val="center"/>
          </w:tcPr>
          <w:p w14:paraId="221EAB28"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25</w:t>
            </w:r>
          </w:p>
        </w:tc>
        <w:tc>
          <w:tcPr>
            <w:tcW w:w="336" w:type="dxa"/>
            <w:tcBorders>
              <w:bottom w:val="single" w:sz="4" w:space="0" w:color="auto"/>
              <w:right w:val="single" w:sz="18" w:space="0" w:color="auto"/>
            </w:tcBorders>
            <w:shd w:val="clear" w:color="auto" w:fill="auto"/>
            <w:vAlign w:val="center"/>
          </w:tcPr>
          <w:p w14:paraId="0D98D116"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13</w:t>
            </w:r>
          </w:p>
        </w:tc>
        <w:tc>
          <w:tcPr>
            <w:tcW w:w="477" w:type="dxa"/>
            <w:tcBorders>
              <w:left w:val="single" w:sz="18" w:space="0" w:color="auto"/>
              <w:bottom w:val="single" w:sz="4" w:space="0" w:color="auto"/>
            </w:tcBorders>
            <w:shd w:val="clear" w:color="auto" w:fill="auto"/>
            <w:vAlign w:val="center"/>
          </w:tcPr>
          <w:p w14:paraId="3A99EB45"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25</w:t>
            </w:r>
          </w:p>
        </w:tc>
        <w:tc>
          <w:tcPr>
            <w:tcW w:w="450" w:type="dxa"/>
            <w:tcBorders>
              <w:bottom w:val="single" w:sz="4" w:space="0" w:color="auto"/>
            </w:tcBorders>
            <w:shd w:val="clear" w:color="auto" w:fill="auto"/>
            <w:vAlign w:val="center"/>
          </w:tcPr>
          <w:p w14:paraId="3DE38B56"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414" w:type="dxa"/>
            <w:tcBorders>
              <w:bottom w:val="single" w:sz="4" w:space="0" w:color="auto"/>
              <w:right w:val="single" w:sz="18" w:space="0" w:color="auto"/>
            </w:tcBorders>
            <w:shd w:val="clear" w:color="auto" w:fill="auto"/>
            <w:vAlign w:val="center"/>
          </w:tcPr>
          <w:p w14:paraId="5D6530D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25</w:t>
            </w:r>
          </w:p>
        </w:tc>
        <w:tc>
          <w:tcPr>
            <w:tcW w:w="468" w:type="dxa"/>
            <w:tcBorders>
              <w:left w:val="single" w:sz="18" w:space="0" w:color="auto"/>
              <w:bottom w:val="single" w:sz="4" w:space="0" w:color="auto"/>
            </w:tcBorders>
            <w:shd w:val="clear" w:color="auto" w:fill="auto"/>
            <w:vAlign w:val="center"/>
          </w:tcPr>
          <w:p w14:paraId="0E0F96B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25</w:t>
            </w:r>
          </w:p>
        </w:tc>
        <w:tc>
          <w:tcPr>
            <w:tcW w:w="477" w:type="dxa"/>
            <w:tcBorders>
              <w:bottom w:val="single" w:sz="4" w:space="0" w:color="auto"/>
              <w:right w:val="single" w:sz="18" w:space="0" w:color="auto"/>
            </w:tcBorders>
            <w:shd w:val="clear" w:color="auto" w:fill="auto"/>
            <w:vAlign w:val="center"/>
          </w:tcPr>
          <w:p w14:paraId="07152EC4"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52AFD198"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tcPr>
          <w:p w14:paraId="3E089D7E"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sz w:val="13"/>
              </w:rPr>
              <w:t>A</w:t>
            </w:r>
          </w:p>
        </w:tc>
        <w:tc>
          <w:tcPr>
            <w:tcW w:w="504" w:type="dxa"/>
            <w:tcBorders>
              <w:bottom w:val="single" w:sz="4" w:space="0" w:color="auto"/>
            </w:tcBorders>
            <w:shd w:val="clear" w:color="auto" w:fill="auto"/>
            <w:vAlign w:val="center"/>
          </w:tcPr>
          <w:p w14:paraId="6B8ECC7A"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OL/OV</w:t>
            </w:r>
          </w:p>
        </w:tc>
        <w:tc>
          <w:tcPr>
            <w:tcW w:w="405" w:type="dxa"/>
            <w:tcBorders>
              <w:bottom w:val="single" w:sz="4" w:space="0" w:color="auto"/>
            </w:tcBorders>
          </w:tcPr>
          <w:p w14:paraId="60475F20" w14:textId="77777777" w:rsidR="00913A0A" w:rsidRPr="0058047D" w:rsidRDefault="00913A0A" w:rsidP="001A63C6">
            <w:pPr>
              <w:pStyle w:val="TableText"/>
              <w:widowControl w:val="0"/>
              <w:rPr>
                <w:rFonts w:ascii="Tahoma" w:hAnsi="Tahoma" w:cs="Tahoma"/>
                <w:color w:val="000000"/>
                <w:sz w:val="13"/>
              </w:rPr>
            </w:pPr>
          </w:p>
        </w:tc>
      </w:tr>
      <w:tr w:rsidR="009323A0" w:rsidRPr="0058047D" w14:paraId="1020CA12" w14:textId="77777777" w:rsidTr="00C86F50">
        <w:trPr>
          <w:trHeight w:val="145"/>
        </w:trPr>
        <w:tc>
          <w:tcPr>
            <w:tcW w:w="2619" w:type="dxa"/>
            <w:gridSpan w:val="2"/>
            <w:tcBorders>
              <w:bottom w:val="single" w:sz="4" w:space="0" w:color="auto"/>
            </w:tcBorders>
            <w:shd w:val="clear" w:color="auto" w:fill="FABF8F"/>
            <w:vAlign w:val="center"/>
          </w:tcPr>
          <w:p w14:paraId="3D487FD4" w14:textId="77777777" w:rsidR="00913A0A" w:rsidRPr="0058047D" w:rsidRDefault="00913A0A" w:rsidP="001A63C6">
            <w:pPr>
              <w:pStyle w:val="Heading2"/>
              <w:spacing w:before="20" w:after="20"/>
              <w:ind w:left="0"/>
              <w:rPr>
                <w:rFonts w:ascii="Tahoma" w:hAnsi="Tahoma" w:cs="Tahoma"/>
                <w:b w:val="0"/>
                <w:sz w:val="14"/>
                <w:szCs w:val="14"/>
              </w:rPr>
            </w:pPr>
            <w:bookmarkStart w:id="514" w:name="_Toc371663534"/>
            <w:r w:rsidRPr="0058047D">
              <w:rPr>
                <w:rFonts w:ascii="Tahoma" w:hAnsi="Tahoma" w:cs="Tahoma"/>
                <w:b w:val="0"/>
                <w:sz w:val="14"/>
                <w:szCs w:val="14"/>
              </w:rPr>
              <w:t>Windows Server™ 2008 R2 HPC Edition</w:t>
            </w:r>
            <w:bookmarkEnd w:id="514"/>
          </w:p>
        </w:tc>
        <w:tc>
          <w:tcPr>
            <w:tcW w:w="554" w:type="dxa"/>
            <w:tcBorders>
              <w:bottom w:val="single" w:sz="4" w:space="0" w:color="auto"/>
            </w:tcBorders>
            <w:shd w:val="clear" w:color="auto" w:fill="FABF8F"/>
            <w:vAlign w:val="center"/>
          </w:tcPr>
          <w:p w14:paraId="215CBD83" w14:textId="77777777" w:rsidR="00913A0A" w:rsidRPr="0058047D" w:rsidRDefault="00C86F50" w:rsidP="00913588">
            <w:pPr>
              <w:pStyle w:val="TableText"/>
              <w:widowControl w:val="0"/>
            </w:pPr>
            <w:hyperlink w:anchor="_108_Windows_Server" w:history="1">
              <w:hyperlink w:anchor="Srv_110WinSvr08R2HPC" w:history="1">
                <w:r w:rsidR="00BF5FC6" w:rsidRPr="008B78C7">
                  <w:rPr>
                    <w:rStyle w:val="Hyperlink"/>
                    <w:b/>
                    <w:sz w:val="13"/>
                    <w:szCs w:val="13"/>
                  </w:rPr>
                  <w:t>10</w:t>
                </w:r>
              </w:hyperlink>
              <w:r w:rsidR="00BF5FC6" w:rsidRPr="008B78C7">
                <w:rPr>
                  <w:rStyle w:val="Hyperlink"/>
                  <w:b/>
                  <w:sz w:val="13"/>
                  <w:szCs w:val="13"/>
                </w:rPr>
                <w:t>9</w:t>
              </w:r>
            </w:hyperlink>
          </w:p>
        </w:tc>
        <w:tc>
          <w:tcPr>
            <w:tcW w:w="516" w:type="dxa"/>
            <w:tcBorders>
              <w:bottom w:val="single" w:sz="4" w:space="0" w:color="auto"/>
            </w:tcBorders>
            <w:shd w:val="clear" w:color="auto" w:fill="FABF8F"/>
            <w:vAlign w:val="center"/>
          </w:tcPr>
          <w:p w14:paraId="7DDF07BA" w14:textId="77777777" w:rsidR="00913A0A" w:rsidRPr="0058047D" w:rsidRDefault="00913A0A" w:rsidP="001A63C6">
            <w:pPr>
              <w:pStyle w:val="TableText"/>
              <w:widowControl w:val="0"/>
              <w:spacing w:before="80"/>
              <w:rPr>
                <w:rFonts w:ascii="Tahoma" w:hAnsi="Tahoma" w:cs="Tahoma"/>
                <w:color w:val="000000"/>
                <w:sz w:val="13"/>
              </w:rPr>
            </w:pPr>
            <w:r w:rsidRPr="0058047D">
              <w:rPr>
                <w:sz w:val="13"/>
              </w:rPr>
              <w:t>09/10</w:t>
            </w:r>
          </w:p>
        </w:tc>
        <w:tc>
          <w:tcPr>
            <w:tcW w:w="358" w:type="dxa"/>
            <w:tcBorders>
              <w:bottom w:val="single" w:sz="4" w:space="0" w:color="auto"/>
              <w:right w:val="single" w:sz="18" w:space="0" w:color="auto"/>
            </w:tcBorders>
            <w:shd w:val="clear" w:color="auto" w:fill="FABF8F"/>
            <w:vAlign w:val="center"/>
          </w:tcPr>
          <w:p w14:paraId="70387329"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FABF8F"/>
            <w:vAlign w:val="center"/>
          </w:tcPr>
          <w:p w14:paraId="40A6F131"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5F7FC408"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439061F0"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150A17C5"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F3EA367"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0F8128"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2ADAB419"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233BF162"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DA80F52"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4360AB02"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6E8D4CFB"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3DCF308B"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50862BF9"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4651C360" w14:textId="77777777" w:rsidR="00913A0A" w:rsidRPr="0058047D" w:rsidRDefault="00913A0A" w:rsidP="001A63C6">
            <w:pPr>
              <w:pStyle w:val="TableText"/>
              <w:widowControl w:val="0"/>
              <w:rPr>
                <w:rFonts w:ascii="Tahoma" w:hAnsi="Tahoma" w:cs="Tahoma"/>
                <w:color w:val="000000"/>
                <w:sz w:val="13"/>
              </w:rPr>
            </w:pPr>
          </w:p>
        </w:tc>
        <w:tc>
          <w:tcPr>
            <w:tcW w:w="504" w:type="dxa"/>
            <w:tcBorders>
              <w:bottom w:val="single" w:sz="4" w:space="0" w:color="auto"/>
            </w:tcBorders>
            <w:shd w:val="clear" w:color="auto" w:fill="FABF8F"/>
            <w:vAlign w:val="center"/>
          </w:tcPr>
          <w:p w14:paraId="49C1247F" w14:textId="77777777" w:rsidR="00913A0A" w:rsidRPr="0058047D" w:rsidRDefault="00913A0A" w:rsidP="001A63C6">
            <w:pPr>
              <w:pStyle w:val="TableText"/>
              <w:widowControl w:val="0"/>
              <w:rPr>
                <w:rFonts w:ascii="Tahoma" w:hAnsi="Tahoma" w:cs="Tahoma"/>
                <w:color w:val="000000"/>
                <w:sz w:val="13"/>
              </w:rPr>
            </w:pPr>
          </w:p>
        </w:tc>
        <w:tc>
          <w:tcPr>
            <w:tcW w:w="405" w:type="dxa"/>
            <w:tcBorders>
              <w:bottom w:val="single" w:sz="4" w:space="0" w:color="auto"/>
            </w:tcBorders>
            <w:shd w:val="clear" w:color="auto" w:fill="FABF8F"/>
          </w:tcPr>
          <w:p w14:paraId="11A20830" w14:textId="77777777" w:rsidR="00913A0A" w:rsidRPr="0058047D" w:rsidRDefault="00913A0A" w:rsidP="001A63C6">
            <w:pPr>
              <w:pStyle w:val="TableText"/>
              <w:widowControl w:val="0"/>
              <w:rPr>
                <w:rFonts w:ascii="Tahoma" w:hAnsi="Tahoma" w:cs="Tahoma"/>
                <w:color w:val="000000"/>
                <w:sz w:val="13"/>
              </w:rPr>
            </w:pPr>
          </w:p>
        </w:tc>
      </w:tr>
      <w:tr w:rsidR="009323A0" w:rsidRPr="0058047D" w14:paraId="33A1E293" w14:textId="77777777" w:rsidTr="00C86F50">
        <w:trPr>
          <w:trHeight w:val="145"/>
        </w:trPr>
        <w:tc>
          <w:tcPr>
            <w:tcW w:w="2619" w:type="dxa"/>
            <w:gridSpan w:val="2"/>
            <w:tcBorders>
              <w:bottom w:val="single" w:sz="4" w:space="0" w:color="auto"/>
            </w:tcBorders>
            <w:shd w:val="clear" w:color="auto" w:fill="auto"/>
            <w:vAlign w:val="center"/>
          </w:tcPr>
          <w:p w14:paraId="54F4C398" w14:textId="77777777" w:rsidR="00913A0A" w:rsidRPr="0058047D" w:rsidRDefault="00913A0A" w:rsidP="001A63C6">
            <w:pPr>
              <w:pStyle w:val="Heading2"/>
              <w:spacing w:before="20" w:after="20"/>
              <w:ind w:left="0"/>
              <w:rPr>
                <w:rFonts w:ascii="Tahoma" w:hAnsi="Tahoma" w:cs="Tahoma"/>
                <w:b w:val="0"/>
                <w:sz w:val="14"/>
                <w:szCs w:val="14"/>
              </w:rPr>
            </w:pPr>
            <w:bookmarkStart w:id="515" w:name="_Toc336338140"/>
            <w:bookmarkStart w:id="516" w:name="_Toc371663535"/>
            <w:r w:rsidRPr="0058047D">
              <w:rPr>
                <w:rFonts w:ascii="Tahoma" w:hAnsi="Tahoma" w:cs="Tahoma"/>
                <w:b w:val="0"/>
                <w:sz w:val="14"/>
                <w:szCs w:val="14"/>
              </w:rPr>
              <w:t>Windows Server™ 2008 R2 Enterprise</w:t>
            </w:r>
            <w:bookmarkEnd w:id="515"/>
            <w:bookmarkEnd w:id="516"/>
          </w:p>
        </w:tc>
        <w:tc>
          <w:tcPr>
            <w:tcW w:w="554" w:type="dxa"/>
            <w:tcBorders>
              <w:bottom w:val="single" w:sz="4" w:space="0" w:color="auto"/>
            </w:tcBorders>
            <w:shd w:val="clear" w:color="auto" w:fill="auto"/>
            <w:vAlign w:val="center"/>
          </w:tcPr>
          <w:p w14:paraId="4D007AC1" w14:textId="77777777" w:rsidR="00913A0A" w:rsidRPr="0058047D" w:rsidRDefault="00C86F50" w:rsidP="00913588">
            <w:pPr>
              <w:pStyle w:val="TableText"/>
              <w:widowControl w:val="0"/>
              <w:rPr>
                <w:rStyle w:val="EndnoteReference"/>
                <w:rFonts w:cs="Tahoma"/>
                <w:b w:val="0"/>
                <w:color w:val="0000FF"/>
                <w:sz w:val="13"/>
                <w:szCs w:val="13"/>
                <w:u w:val="single"/>
              </w:rPr>
            </w:pPr>
            <w:hyperlink w:anchor="_109_Windows_Server" w:history="1">
              <w:r w:rsidR="00BF5FC6" w:rsidRPr="0058047D">
                <w:rPr>
                  <w:rStyle w:val="Hyperlink"/>
                  <w:b/>
                  <w:sz w:val="13"/>
                  <w:szCs w:val="13"/>
                </w:rPr>
                <w:t>110</w:t>
              </w:r>
            </w:hyperlink>
          </w:p>
        </w:tc>
        <w:tc>
          <w:tcPr>
            <w:tcW w:w="516" w:type="dxa"/>
            <w:tcBorders>
              <w:bottom w:val="single" w:sz="4" w:space="0" w:color="auto"/>
            </w:tcBorders>
            <w:shd w:val="clear" w:color="auto" w:fill="auto"/>
            <w:vAlign w:val="center"/>
          </w:tcPr>
          <w:p w14:paraId="26722478" w14:textId="77777777" w:rsidR="00913A0A" w:rsidRPr="0058047D" w:rsidRDefault="00913A0A" w:rsidP="001A63C6">
            <w:pPr>
              <w:pStyle w:val="TableText"/>
              <w:widowControl w:val="0"/>
              <w:spacing w:before="80"/>
              <w:rPr>
                <w:rFonts w:ascii="Tahoma" w:hAnsi="Tahoma" w:cs="Tahoma"/>
                <w:color w:val="000000"/>
                <w:sz w:val="13"/>
              </w:rPr>
            </w:pPr>
            <w:r w:rsidRPr="0058047D">
              <w:rPr>
                <w:rFonts w:ascii="Tahoma" w:hAnsi="Tahoma" w:cs="Tahoma"/>
                <w:color w:val="000000"/>
                <w:sz w:val="13"/>
              </w:rPr>
              <w:t>08/09</w:t>
            </w:r>
          </w:p>
        </w:tc>
        <w:tc>
          <w:tcPr>
            <w:tcW w:w="358" w:type="dxa"/>
            <w:tcBorders>
              <w:bottom w:val="single" w:sz="4" w:space="0" w:color="auto"/>
              <w:right w:val="single" w:sz="18" w:space="0" w:color="auto"/>
            </w:tcBorders>
            <w:shd w:val="clear" w:color="auto" w:fill="auto"/>
            <w:vAlign w:val="center"/>
          </w:tcPr>
          <w:p w14:paraId="03EDC7B8"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auto"/>
            <w:vAlign w:val="center"/>
          </w:tcPr>
          <w:p w14:paraId="54139331"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0E02A53B"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16898787"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3520F746"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CBAF8DE"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BEA3E95"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246F9D1E"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68EB4A35"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58AC9F1"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5871F199"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264E6CA0"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29A9FB23"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79142C5A"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auto"/>
          </w:tcPr>
          <w:p w14:paraId="15F67335" w14:textId="77777777" w:rsidR="00913A0A" w:rsidRPr="0058047D" w:rsidRDefault="00913A0A" w:rsidP="001A63C6">
            <w:pPr>
              <w:pStyle w:val="TableText"/>
              <w:widowControl w:val="0"/>
              <w:rPr>
                <w:rFonts w:ascii="Tahoma" w:hAnsi="Tahoma" w:cs="Tahoma"/>
                <w:color w:val="000000"/>
                <w:sz w:val="13"/>
              </w:rPr>
            </w:pPr>
          </w:p>
        </w:tc>
        <w:tc>
          <w:tcPr>
            <w:tcW w:w="504" w:type="dxa"/>
            <w:tcBorders>
              <w:bottom w:val="single" w:sz="4" w:space="0" w:color="auto"/>
            </w:tcBorders>
            <w:shd w:val="clear" w:color="auto" w:fill="auto"/>
            <w:vAlign w:val="center"/>
          </w:tcPr>
          <w:p w14:paraId="2AAE6B22" w14:textId="77777777" w:rsidR="00913A0A" w:rsidRPr="0058047D" w:rsidRDefault="00913A0A" w:rsidP="001A63C6">
            <w:pPr>
              <w:pStyle w:val="TableText"/>
              <w:widowControl w:val="0"/>
              <w:rPr>
                <w:rFonts w:ascii="Tahoma" w:hAnsi="Tahoma" w:cs="Tahoma"/>
                <w:color w:val="000000"/>
                <w:sz w:val="13"/>
              </w:rPr>
            </w:pPr>
          </w:p>
        </w:tc>
        <w:tc>
          <w:tcPr>
            <w:tcW w:w="405" w:type="dxa"/>
            <w:tcBorders>
              <w:bottom w:val="single" w:sz="4" w:space="0" w:color="auto"/>
            </w:tcBorders>
          </w:tcPr>
          <w:p w14:paraId="0050B7A5" w14:textId="77777777" w:rsidR="00913A0A" w:rsidRPr="0058047D" w:rsidRDefault="00913A0A" w:rsidP="001A63C6">
            <w:pPr>
              <w:pStyle w:val="TableText"/>
              <w:widowControl w:val="0"/>
              <w:rPr>
                <w:rFonts w:ascii="Tahoma" w:hAnsi="Tahoma" w:cs="Tahoma"/>
                <w:color w:val="000000"/>
                <w:sz w:val="13"/>
              </w:rPr>
            </w:pPr>
          </w:p>
        </w:tc>
      </w:tr>
      <w:tr w:rsidR="009323A0" w:rsidRPr="0058047D" w14:paraId="0E8236BA" w14:textId="77777777" w:rsidTr="00C86F50">
        <w:trPr>
          <w:trHeight w:val="145"/>
        </w:trPr>
        <w:tc>
          <w:tcPr>
            <w:tcW w:w="2619" w:type="dxa"/>
            <w:gridSpan w:val="2"/>
            <w:tcBorders>
              <w:bottom w:val="single" w:sz="4" w:space="0" w:color="auto"/>
            </w:tcBorders>
            <w:shd w:val="clear" w:color="auto" w:fill="FABF8F"/>
            <w:vAlign w:val="center"/>
          </w:tcPr>
          <w:p w14:paraId="647DECA1" w14:textId="77777777" w:rsidR="00913A0A" w:rsidRPr="003F471F" w:rsidRDefault="00913A0A" w:rsidP="001A63C6">
            <w:pPr>
              <w:pStyle w:val="Heading2"/>
              <w:spacing w:before="20" w:after="20"/>
              <w:ind w:left="0"/>
              <w:rPr>
                <w:rFonts w:ascii="Tahoma" w:hAnsi="Tahoma" w:cs="Tahoma"/>
                <w:b w:val="0"/>
                <w:sz w:val="14"/>
                <w:szCs w:val="14"/>
                <w:lang w:val="it-IT"/>
              </w:rPr>
            </w:pPr>
            <w:bookmarkStart w:id="517" w:name="_Toc336338141"/>
            <w:bookmarkStart w:id="518" w:name="_Toc371663536"/>
            <w:r w:rsidRPr="003F471F">
              <w:rPr>
                <w:rFonts w:ascii="Tahoma" w:hAnsi="Tahoma" w:cs="Tahoma"/>
                <w:b w:val="0"/>
                <w:sz w:val="14"/>
                <w:szCs w:val="14"/>
                <w:lang w:val="it-IT"/>
              </w:rPr>
              <w:t>Windows Server™ 2008 R2 per Sistemi Basati su Itanium</w:t>
            </w:r>
            <w:bookmarkEnd w:id="517"/>
            <w:bookmarkEnd w:id="518"/>
          </w:p>
        </w:tc>
        <w:tc>
          <w:tcPr>
            <w:tcW w:w="554" w:type="dxa"/>
            <w:tcBorders>
              <w:bottom w:val="single" w:sz="4" w:space="0" w:color="auto"/>
            </w:tcBorders>
            <w:shd w:val="clear" w:color="auto" w:fill="FABF8F"/>
            <w:vAlign w:val="center"/>
          </w:tcPr>
          <w:p w14:paraId="4DEBD2CD" w14:textId="77777777" w:rsidR="00913A0A" w:rsidRPr="0058047D" w:rsidRDefault="00C86F50" w:rsidP="00913588">
            <w:pPr>
              <w:pStyle w:val="TableText"/>
              <w:widowControl w:val="0"/>
              <w:rPr>
                <w:rStyle w:val="EndnoteReference"/>
                <w:b w:val="0"/>
                <w:sz w:val="13"/>
                <w:szCs w:val="13"/>
                <w:u w:val="single"/>
              </w:rPr>
            </w:pPr>
            <w:hyperlink w:anchor="_110_Windows_Server_1" w:history="1">
              <w:r w:rsidR="00BF5FC6" w:rsidRPr="0058047D">
                <w:rPr>
                  <w:rStyle w:val="Hyperlink"/>
                  <w:b/>
                  <w:sz w:val="13"/>
                  <w:szCs w:val="13"/>
                </w:rPr>
                <w:t>111</w:t>
              </w:r>
            </w:hyperlink>
          </w:p>
        </w:tc>
        <w:tc>
          <w:tcPr>
            <w:tcW w:w="516" w:type="dxa"/>
            <w:tcBorders>
              <w:bottom w:val="single" w:sz="4" w:space="0" w:color="auto"/>
            </w:tcBorders>
            <w:shd w:val="clear" w:color="auto" w:fill="FABF8F"/>
            <w:vAlign w:val="center"/>
          </w:tcPr>
          <w:p w14:paraId="6B02D50B" w14:textId="77777777" w:rsidR="00913A0A" w:rsidRPr="0058047D" w:rsidRDefault="00913A0A" w:rsidP="001A63C6">
            <w:pPr>
              <w:pStyle w:val="TableText"/>
              <w:widowControl w:val="0"/>
              <w:spacing w:before="120"/>
              <w:rPr>
                <w:rFonts w:ascii="Tahoma" w:hAnsi="Tahoma" w:cs="Tahoma"/>
                <w:color w:val="000000"/>
                <w:sz w:val="13"/>
              </w:rPr>
            </w:pPr>
            <w:r w:rsidRPr="0058047D">
              <w:rPr>
                <w:rFonts w:ascii="Tahoma" w:hAnsi="Tahoma" w:cs="Tahoma"/>
                <w:color w:val="000000"/>
                <w:sz w:val="13"/>
              </w:rPr>
              <w:t>08/09</w:t>
            </w:r>
          </w:p>
        </w:tc>
        <w:tc>
          <w:tcPr>
            <w:tcW w:w="358" w:type="dxa"/>
            <w:tcBorders>
              <w:bottom w:val="single" w:sz="4" w:space="0" w:color="auto"/>
              <w:right w:val="single" w:sz="18" w:space="0" w:color="auto"/>
            </w:tcBorders>
            <w:shd w:val="clear" w:color="auto" w:fill="FABF8F"/>
            <w:vAlign w:val="center"/>
          </w:tcPr>
          <w:p w14:paraId="66B3E747"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FABF8F"/>
            <w:vAlign w:val="center"/>
          </w:tcPr>
          <w:p w14:paraId="1EBC785F" w14:textId="77777777" w:rsidR="00913A0A" w:rsidRPr="0058047D" w:rsidRDefault="00913A0A" w:rsidP="001A63C6">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3F62855E" w14:textId="77777777" w:rsidR="00913A0A" w:rsidRPr="0058047D" w:rsidRDefault="00913A0A" w:rsidP="001A63C6">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41A32B1C" w14:textId="77777777" w:rsidR="00913A0A" w:rsidRPr="0058047D" w:rsidRDefault="00913A0A" w:rsidP="001A63C6">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2BB9A159"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B6F9473"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29EAD55" w14:textId="77777777" w:rsidR="00913A0A" w:rsidRPr="0058047D" w:rsidRDefault="00913A0A" w:rsidP="001A63C6">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2C6C8081" w14:textId="77777777" w:rsidR="00913A0A" w:rsidRPr="0058047D" w:rsidRDefault="00913A0A" w:rsidP="001A63C6">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598A9A8C" w14:textId="77777777" w:rsidR="00913A0A" w:rsidRPr="0058047D"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557C3DA" w14:textId="77777777" w:rsidR="00913A0A" w:rsidRPr="0058047D" w:rsidRDefault="00913A0A" w:rsidP="001A63C6">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0301579E" w14:textId="77777777" w:rsidR="00913A0A" w:rsidRPr="0058047D" w:rsidRDefault="00913A0A" w:rsidP="001A63C6">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658AFE92" w14:textId="77777777" w:rsidR="00913A0A" w:rsidRPr="0058047D" w:rsidRDefault="00913A0A" w:rsidP="001A63C6">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20550D65" w14:textId="77777777" w:rsidR="00913A0A" w:rsidRPr="0058047D" w:rsidRDefault="00913A0A" w:rsidP="001A63C6">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79EFAAD0" w14:textId="77777777" w:rsidR="00913A0A" w:rsidRPr="0058047D" w:rsidRDefault="00913A0A" w:rsidP="001A63C6">
            <w:pPr>
              <w:pStyle w:val="TableText"/>
              <w:widowControl w:val="0"/>
              <w:rPr>
                <w:rFonts w:ascii="Tahoma" w:hAnsi="Tahoma" w:cs="Tahoma"/>
                <w:sz w:val="13"/>
              </w:rPr>
            </w:pPr>
          </w:p>
        </w:tc>
        <w:tc>
          <w:tcPr>
            <w:tcW w:w="655" w:type="dxa"/>
            <w:tcBorders>
              <w:bottom w:val="single" w:sz="4" w:space="0" w:color="auto"/>
            </w:tcBorders>
            <w:shd w:val="clear" w:color="auto" w:fill="FABF8F"/>
          </w:tcPr>
          <w:p w14:paraId="7A78E692" w14:textId="77777777" w:rsidR="00913A0A" w:rsidRPr="0058047D" w:rsidRDefault="00913A0A" w:rsidP="001A63C6">
            <w:pPr>
              <w:pStyle w:val="TableText"/>
              <w:widowControl w:val="0"/>
              <w:rPr>
                <w:rFonts w:ascii="Tahoma" w:hAnsi="Tahoma" w:cs="Tahoma"/>
                <w:color w:val="000000"/>
                <w:sz w:val="13"/>
              </w:rPr>
            </w:pPr>
          </w:p>
        </w:tc>
        <w:tc>
          <w:tcPr>
            <w:tcW w:w="504" w:type="dxa"/>
            <w:tcBorders>
              <w:bottom w:val="single" w:sz="4" w:space="0" w:color="auto"/>
            </w:tcBorders>
            <w:shd w:val="clear" w:color="auto" w:fill="FABF8F"/>
            <w:vAlign w:val="center"/>
          </w:tcPr>
          <w:p w14:paraId="0B32565E" w14:textId="77777777" w:rsidR="00913A0A" w:rsidRPr="0058047D" w:rsidRDefault="00913A0A" w:rsidP="001A63C6">
            <w:pPr>
              <w:pStyle w:val="TableText"/>
              <w:widowControl w:val="0"/>
              <w:rPr>
                <w:rFonts w:ascii="Tahoma" w:hAnsi="Tahoma" w:cs="Tahoma"/>
                <w:color w:val="000000"/>
                <w:sz w:val="13"/>
              </w:rPr>
            </w:pPr>
          </w:p>
        </w:tc>
        <w:tc>
          <w:tcPr>
            <w:tcW w:w="405" w:type="dxa"/>
            <w:tcBorders>
              <w:bottom w:val="single" w:sz="4" w:space="0" w:color="auto"/>
            </w:tcBorders>
            <w:shd w:val="clear" w:color="auto" w:fill="FABF8F"/>
          </w:tcPr>
          <w:p w14:paraId="25281A35" w14:textId="77777777" w:rsidR="00913A0A" w:rsidRPr="0058047D" w:rsidRDefault="00913A0A" w:rsidP="001A63C6">
            <w:pPr>
              <w:pStyle w:val="TableText"/>
              <w:widowControl w:val="0"/>
              <w:rPr>
                <w:rFonts w:ascii="Tahoma" w:hAnsi="Tahoma" w:cs="Tahoma"/>
                <w:color w:val="000000"/>
                <w:sz w:val="13"/>
              </w:rPr>
            </w:pPr>
          </w:p>
        </w:tc>
      </w:tr>
      <w:tr w:rsidR="009323A0" w:rsidRPr="0058047D" w14:paraId="424BEAB9" w14:textId="77777777" w:rsidTr="00C86F50">
        <w:trPr>
          <w:trHeight w:val="145"/>
        </w:trPr>
        <w:tc>
          <w:tcPr>
            <w:tcW w:w="2619" w:type="dxa"/>
            <w:gridSpan w:val="2"/>
            <w:tcBorders>
              <w:bottom w:val="single" w:sz="4" w:space="0" w:color="auto"/>
            </w:tcBorders>
            <w:shd w:val="clear" w:color="auto" w:fill="auto"/>
            <w:vAlign w:val="center"/>
          </w:tcPr>
          <w:p w14:paraId="347A3E62" w14:textId="77777777" w:rsidR="00913A0A" w:rsidRPr="003F471F" w:rsidRDefault="00913A0A" w:rsidP="001A63C6">
            <w:pPr>
              <w:pStyle w:val="Heading2"/>
              <w:spacing w:before="20" w:after="20"/>
              <w:ind w:left="0"/>
              <w:rPr>
                <w:rFonts w:ascii="Tahoma" w:hAnsi="Tahoma" w:cs="Tahoma"/>
                <w:b w:val="0"/>
                <w:sz w:val="14"/>
                <w:szCs w:val="14"/>
                <w:lang w:val="it-IT"/>
              </w:rPr>
            </w:pPr>
            <w:bookmarkStart w:id="519" w:name="_Toc336338142"/>
            <w:bookmarkStart w:id="520" w:name="_Toc371663537"/>
            <w:r w:rsidRPr="003F471F">
              <w:rPr>
                <w:rFonts w:ascii="Tahoma" w:hAnsi="Tahoma" w:cs="Tahoma"/>
                <w:b w:val="0"/>
                <w:sz w:val="14"/>
                <w:szCs w:val="14"/>
                <w:lang w:val="it-IT"/>
              </w:rPr>
              <w:t>CAL per Windows Server™ 2012 (Dispositivo e Utente)</w:t>
            </w:r>
            <w:bookmarkEnd w:id="519"/>
            <w:bookmarkEnd w:id="520"/>
          </w:p>
        </w:tc>
        <w:tc>
          <w:tcPr>
            <w:tcW w:w="554" w:type="dxa"/>
            <w:tcBorders>
              <w:bottom w:val="single" w:sz="4" w:space="0" w:color="auto"/>
            </w:tcBorders>
            <w:shd w:val="clear" w:color="auto" w:fill="auto"/>
            <w:vAlign w:val="center"/>
          </w:tcPr>
          <w:p w14:paraId="50B81403" w14:textId="77777777" w:rsidR="00913A0A" w:rsidRPr="0058047D" w:rsidRDefault="00C86F50" w:rsidP="00913588">
            <w:pPr>
              <w:pStyle w:val="TableText"/>
              <w:widowControl w:val="0"/>
              <w:rPr>
                <w:b/>
                <w:sz w:val="13"/>
                <w:szCs w:val="13"/>
                <w:u w:val="single"/>
              </w:rPr>
            </w:pPr>
            <w:hyperlink w:anchor="_116_Windows_Server" w:history="1">
              <w:r w:rsidR="00BF5FC6" w:rsidRPr="0058047D">
                <w:rPr>
                  <w:rStyle w:val="Hyperlink"/>
                  <w:b/>
                  <w:sz w:val="13"/>
                  <w:szCs w:val="13"/>
                </w:rPr>
                <w:t>112</w:t>
              </w:r>
            </w:hyperlink>
          </w:p>
        </w:tc>
        <w:tc>
          <w:tcPr>
            <w:tcW w:w="516" w:type="dxa"/>
            <w:tcBorders>
              <w:bottom w:val="single" w:sz="4" w:space="0" w:color="auto"/>
            </w:tcBorders>
            <w:shd w:val="clear" w:color="auto" w:fill="auto"/>
            <w:vAlign w:val="center"/>
          </w:tcPr>
          <w:p w14:paraId="40E48BD6" w14:textId="77777777" w:rsidR="00913A0A" w:rsidRPr="0058047D" w:rsidRDefault="00913A0A" w:rsidP="001A63C6">
            <w:pPr>
              <w:pStyle w:val="TableText"/>
              <w:widowControl w:val="0"/>
              <w:spacing w:before="120"/>
              <w:rPr>
                <w:rFonts w:ascii="Tahoma" w:hAnsi="Tahoma" w:cs="Tahoma"/>
                <w:color w:val="000000"/>
                <w:sz w:val="13"/>
              </w:rPr>
            </w:pPr>
            <w:r w:rsidRPr="0058047D">
              <w:rPr>
                <w:rFonts w:ascii="Tahoma" w:hAnsi="Tahoma" w:cs="Tahoma"/>
                <w:color w:val="000000"/>
                <w:sz w:val="13"/>
              </w:rPr>
              <w:t>09/12</w:t>
            </w:r>
          </w:p>
        </w:tc>
        <w:tc>
          <w:tcPr>
            <w:tcW w:w="358" w:type="dxa"/>
            <w:tcBorders>
              <w:bottom w:val="single" w:sz="4" w:space="0" w:color="auto"/>
              <w:right w:val="single" w:sz="18" w:space="0" w:color="auto"/>
            </w:tcBorders>
            <w:shd w:val="clear" w:color="auto" w:fill="auto"/>
            <w:vAlign w:val="center"/>
          </w:tcPr>
          <w:p w14:paraId="1AD554EE"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auto"/>
            <w:vAlign w:val="center"/>
          </w:tcPr>
          <w:p w14:paraId="0527ED2E"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324" w:type="dxa"/>
            <w:tcBorders>
              <w:bottom w:val="single" w:sz="4" w:space="0" w:color="auto"/>
            </w:tcBorders>
            <w:shd w:val="clear" w:color="auto" w:fill="auto"/>
            <w:vAlign w:val="center"/>
          </w:tcPr>
          <w:p w14:paraId="67C2B275"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3</w:t>
            </w:r>
          </w:p>
        </w:tc>
        <w:tc>
          <w:tcPr>
            <w:tcW w:w="366" w:type="dxa"/>
            <w:tcBorders>
              <w:bottom w:val="single" w:sz="4" w:space="0" w:color="auto"/>
            </w:tcBorders>
            <w:shd w:val="clear" w:color="auto" w:fill="auto"/>
            <w:vAlign w:val="center"/>
          </w:tcPr>
          <w:p w14:paraId="33452DE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56" w:type="dxa"/>
            <w:gridSpan w:val="2"/>
            <w:tcBorders>
              <w:bottom w:val="single" w:sz="4" w:space="0" w:color="auto"/>
            </w:tcBorders>
            <w:shd w:val="clear" w:color="auto" w:fill="auto"/>
            <w:vAlign w:val="center"/>
          </w:tcPr>
          <w:p w14:paraId="7FFF23B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auto"/>
            <w:vAlign w:val="center"/>
          </w:tcPr>
          <w:p w14:paraId="7A0984F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auto"/>
            <w:vAlign w:val="center"/>
          </w:tcPr>
          <w:p w14:paraId="5A3F943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336" w:type="dxa"/>
            <w:tcBorders>
              <w:bottom w:val="single" w:sz="4" w:space="0" w:color="auto"/>
              <w:right w:val="single" w:sz="18" w:space="0" w:color="auto"/>
            </w:tcBorders>
            <w:shd w:val="clear" w:color="auto" w:fill="auto"/>
            <w:vAlign w:val="center"/>
          </w:tcPr>
          <w:p w14:paraId="54268FC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left w:val="single" w:sz="18" w:space="0" w:color="auto"/>
              <w:bottom w:val="single" w:sz="4" w:space="0" w:color="auto"/>
            </w:tcBorders>
            <w:shd w:val="clear" w:color="auto" w:fill="auto"/>
            <w:vAlign w:val="center"/>
          </w:tcPr>
          <w:p w14:paraId="6667625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50" w:type="dxa"/>
            <w:tcBorders>
              <w:bottom w:val="single" w:sz="4" w:space="0" w:color="auto"/>
            </w:tcBorders>
            <w:shd w:val="clear" w:color="auto" w:fill="auto"/>
            <w:vAlign w:val="center"/>
          </w:tcPr>
          <w:p w14:paraId="2733BC2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14" w:type="dxa"/>
            <w:tcBorders>
              <w:bottom w:val="single" w:sz="4" w:space="0" w:color="auto"/>
              <w:right w:val="single" w:sz="18" w:space="0" w:color="auto"/>
            </w:tcBorders>
            <w:shd w:val="clear" w:color="auto" w:fill="auto"/>
            <w:vAlign w:val="center"/>
          </w:tcPr>
          <w:p w14:paraId="06C51DC0"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68" w:type="dxa"/>
            <w:tcBorders>
              <w:left w:val="single" w:sz="18" w:space="0" w:color="auto"/>
              <w:bottom w:val="single" w:sz="4" w:space="0" w:color="auto"/>
            </w:tcBorders>
            <w:shd w:val="clear" w:color="auto" w:fill="auto"/>
            <w:vAlign w:val="center"/>
          </w:tcPr>
          <w:p w14:paraId="53130778"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auto"/>
            <w:vAlign w:val="center"/>
          </w:tcPr>
          <w:p w14:paraId="1C1273B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D</w:t>
            </w:r>
          </w:p>
        </w:tc>
        <w:tc>
          <w:tcPr>
            <w:tcW w:w="324" w:type="dxa"/>
            <w:tcBorders>
              <w:left w:val="single" w:sz="18" w:space="0" w:color="auto"/>
              <w:bottom w:val="single" w:sz="4" w:space="0" w:color="auto"/>
              <w:right w:val="single" w:sz="18" w:space="0" w:color="auto"/>
            </w:tcBorders>
            <w:shd w:val="clear" w:color="auto" w:fill="auto"/>
            <w:vAlign w:val="center"/>
          </w:tcPr>
          <w:p w14:paraId="0AED12C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auto"/>
          </w:tcPr>
          <w:p w14:paraId="43F584ED"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 ST</w:t>
            </w:r>
          </w:p>
        </w:tc>
        <w:tc>
          <w:tcPr>
            <w:tcW w:w="504" w:type="dxa"/>
            <w:tcBorders>
              <w:bottom w:val="single" w:sz="4" w:space="0" w:color="auto"/>
            </w:tcBorders>
            <w:shd w:val="clear" w:color="auto" w:fill="auto"/>
            <w:vAlign w:val="center"/>
          </w:tcPr>
          <w:p w14:paraId="3CF959E1" w14:textId="77777777" w:rsidR="00913A0A" w:rsidRPr="0058047D" w:rsidRDefault="00913A0A" w:rsidP="001A63C6">
            <w:pPr>
              <w:pStyle w:val="TableText"/>
              <w:widowControl w:val="0"/>
              <w:rPr>
                <w:rFonts w:ascii="Tahoma" w:hAnsi="Tahoma" w:cs="Tahoma"/>
                <w:color w:val="000000"/>
                <w:sz w:val="13"/>
              </w:rPr>
            </w:pPr>
          </w:p>
        </w:tc>
        <w:tc>
          <w:tcPr>
            <w:tcW w:w="405" w:type="dxa"/>
            <w:tcBorders>
              <w:bottom w:val="single" w:sz="4" w:space="0" w:color="auto"/>
            </w:tcBorders>
          </w:tcPr>
          <w:p w14:paraId="44F9E827" w14:textId="77777777" w:rsidR="00913A0A" w:rsidRPr="0058047D" w:rsidRDefault="00913A0A" w:rsidP="001A63C6">
            <w:pPr>
              <w:pStyle w:val="TableText"/>
              <w:widowControl w:val="0"/>
              <w:rPr>
                <w:rFonts w:ascii="Tahoma" w:hAnsi="Tahoma" w:cs="Tahoma"/>
                <w:color w:val="000000"/>
                <w:sz w:val="13"/>
              </w:rPr>
            </w:pPr>
          </w:p>
        </w:tc>
      </w:tr>
      <w:tr w:rsidR="009323A0" w:rsidRPr="0058047D" w14:paraId="1A279000" w14:textId="77777777" w:rsidTr="00C86F50">
        <w:trPr>
          <w:trHeight w:val="145"/>
        </w:trPr>
        <w:tc>
          <w:tcPr>
            <w:tcW w:w="2619" w:type="dxa"/>
            <w:gridSpan w:val="2"/>
            <w:tcBorders>
              <w:bottom w:val="single" w:sz="4" w:space="0" w:color="auto"/>
            </w:tcBorders>
            <w:shd w:val="clear" w:color="auto" w:fill="FABF8F"/>
            <w:vAlign w:val="center"/>
          </w:tcPr>
          <w:p w14:paraId="75788AC7" w14:textId="77777777" w:rsidR="00913A0A" w:rsidRPr="0058047D" w:rsidRDefault="00913A0A" w:rsidP="001A63C6">
            <w:pPr>
              <w:pStyle w:val="Heading2"/>
              <w:spacing w:before="20" w:after="20"/>
              <w:ind w:left="0"/>
              <w:rPr>
                <w:rFonts w:ascii="Tahoma" w:hAnsi="Tahoma" w:cs="Tahoma"/>
                <w:b w:val="0"/>
                <w:sz w:val="14"/>
                <w:szCs w:val="14"/>
              </w:rPr>
            </w:pPr>
            <w:bookmarkStart w:id="521" w:name="_Toc336338143"/>
            <w:bookmarkStart w:id="522" w:name="_Toc371663538"/>
            <w:r w:rsidRPr="0058047D">
              <w:rPr>
                <w:rFonts w:ascii="Tahoma" w:hAnsi="Tahoma" w:cs="Tahoma"/>
                <w:b w:val="0"/>
                <w:sz w:val="14"/>
                <w:szCs w:val="14"/>
              </w:rPr>
              <w:t>Windows Server™ 2012 R2 Datacenter</w:t>
            </w:r>
            <w:bookmarkEnd w:id="521"/>
            <w:bookmarkEnd w:id="522"/>
          </w:p>
        </w:tc>
        <w:tc>
          <w:tcPr>
            <w:tcW w:w="554" w:type="dxa"/>
            <w:tcBorders>
              <w:bottom w:val="single" w:sz="4" w:space="0" w:color="auto"/>
            </w:tcBorders>
            <w:shd w:val="clear" w:color="auto" w:fill="FABF8F"/>
            <w:vAlign w:val="center"/>
          </w:tcPr>
          <w:p w14:paraId="2C70F0C0" w14:textId="77777777" w:rsidR="00913A0A" w:rsidRPr="0058047D" w:rsidRDefault="00C86F50" w:rsidP="00913588">
            <w:pPr>
              <w:pStyle w:val="TableText"/>
              <w:widowControl w:val="0"/>
              <w:rPr>
                <w:rStyle w:val="EndnoteReference"/>
                <w:b w:val="0"/>
                <w:color w:val="0070C0"/>
                <w:sz w:val="13"/>
                <w:szCs w:val="13"/>
                <w:u w:val="single"/>
              </w:rPr>
            </w:pPr>
            <w:hyperlink w:anchor="_114_Windows_Server" w:history="1">
              <w:r w:rsidR="00BF5FC6" w:rsidRPr="0058047D">
                <w:rPr>
                  <w:rStyle w:val="Hyperlink"/>
                  <w:b/>
                  <w:sz w:val="13"/>
                  <w:szCs w:val="13"/>
                </w:rPr>
                <w:t>113</w:t>
              </w:r>
            </w:hyperlink>
          </w:p>
        </w:tc>
        <w:tc>
          <w:tcPr>
            <w:tcW w:w="516" w:type="dxa"/>
            <w:tcBorders>
              <w:bottom w:val="single" w:sz="4" w:space="0" w:color="auto"/>
            </w:tcBorders>
            <w:shd w:val="clear" w:color="auto" w:fill="FABF8F"/>
            <w:vAlign w:val="center"/>
          </w:tcPr>
          <w:p w14:paraId="03D0C45B" w14:textId="77777777" w:rsidR="00913A0A" w:rsidRPr="0058047D" w:rsidRDefault="00913A0A" w:rsidP="00C86F50">
            <w:pPr>
              <w:pStyle w:val="TableText"/>
              <w:widowControl w:val="0"/>
              <w:spacing w:before="120"/>
              <w:rPr>
                <w:rFonts w:ascii="Tahoma" w:hAnsi="Tahoma" w:cs="Tahoma"/>
                <w:color w:val="000000"/>
                <w:sz w:val="13"/>
              </w:rPr>
            </w:pPr>
            <w:r w:rsidRPr="0058047D">
              <w:rPr>
                <w:rFonts w:ascii="Tahoma" w:hAnsi="Tahoma" w:cs="Tahoma"/>
                <w:color w:val="000000"/>
                <w:sz w:val="13"/>
              </w:rPr>
              <w:t>1</w:t>
            </w:r>
            <w:r w:rsidR="00C86F50">
              <w:rPr>
                <w:rFonts w:ascii="Tahoma" w:hAnsi="Tahoma" w:cs="Tahoma"/>
                <w:color w:val="000000"/>
                <w:sz w:val="13"/>
              </w:rPr>
              <w:t>0</w:t>
            </w:r>
            <w:r w:rsidRPr="0058047D">
              <w:rPr>
                <w:rFonts w:ascii="Tahoma" w:hAnsi="Tahoma" w:cs="Tahoma"/>
                <w:color w:val="000000"/>
                <w:sz w:val="13"/>
              </w:rPr>
              <w:t>/13</w:t>
            </w:r>
          </w:p>
        </w:tc>
        <w:tc>
          <w:tcPr>
            <w:tcW w:w="358" w:type="dxa"/>
            <w:tcBorders>
              <w:bottom w:val="single" w:sz="4" w:space="0" w:color="auto"/>
              <w:right w:val="single" w:sz="18" w:space="0" w:color="auto"/>
            </w:tcBorders>
            <w:shd w:val="clear" w:color="auto" w:fill="FABF8F"/>
            <w:vAlign w:val="center"/>
          </w:tcPr>
          <w:p w14:paraId="7B0978EC"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FABF8F"/>
            <w:vAlign w:val="center"/>
          </w:tcPr>
          <w:p w14:paraId="3570F9D5"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324" w:type="dxa"/>
            <w:tcBorders>
              <w:bottom w:val="single" w:sz="4" w:space="0" w:color="auto"/>
            </w:tcBorders>
            <w:shd w:val="clear" w:color="auto" w:fill="FABF8F"/>
            <w:vAlign w:val="center"/>
          </w:tcPr>
          <w:p w14:paraId="4A2D4336"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125</w:t>
            </w:r>
          </w:p>
        </w:tc>
        <w:tc>
          <w:tcPr>
            <w:tcW w:w="366" w:type="dxa"/>
            <w:tcBorders>
              <w:bottom w:val="single" w:sz="4" w:space="0" w:color="auto"/>
            </w:tcBorders>
            <w:shd w:val="clear" w:color="auto" w:fill="FABF8F"/>
            <w:vAlign w:val="center"/>
          </w:tcPr>
          <w:p w14:paraId="4578387F"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100</w:t>
            </w:r>
          </w:p>
        </w:tc>
        <w:tc>
          <w:tcPr>
            <w:tcW w:w="456" w:type="dxa"/>
            <w:gridSpan w:val="2"/>
            <w:tcBorders>
              <w:bottom w:val="single" w:sz="4" w:space="0" w:color="auto"/>
            </w:tcBorders>
            <w:shd w:val="clear" w:color="auto" w:fill="FABF8F"/>
            <w:vAlign w:val="center"/>
          </w:tcPr>
          <w:p w14:paraId="301C3DB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75</w:t>
            </w:r>
          </w:p>
        </w:tc>
        <w:tc>
          <w:tcPr>
            <w:tcW w:w="450" w:type="dxa"/>
            <w:tcBorders>
              <w:bottom w:val="single" w:sz="4" w:space="0" w:color="auto"/>
            </w:tcBorders>
            <w:shd w:val="clear" w:color="auto" w:fill="FABF8F"/>
            <w:vAlign w:val="center"/>
          </w:tcPr>
          <w:p w14:paraId="4678B70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75</w:t>
            </w:r>
          </w:p>
        </w:tc>
        <w:tc>
          <w:tcPr>
            <w:tcW w:w="450" w:type="dxa"/>
            <w:tcBorders>
              <w:bottom w:val="single" w:sz="4" w:space="0" w:color="auto"/>
            </w:tcBorders>
            <w:shd w:val="clear" w:color="auto" w:fill="FABF8F"/>
            <w:vAlign w:val="center"/>
          </w:tcPr>
          <w:p w14:paraId="201252B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336" w:type="dxa"/>
            <w:tcBorders>
              <w:bottom w:val="single" w:sz="4" w:space="0" w:color="auto"/>
              <w:right w:val="single" w:sz="18" w:space="0" w:color="auto"/>
            </w:tcBorders>
            <w:shd w:val="clear" w:color="auto" w:fill="FABF8F"/>
            <w:vAlign w:val="center"/>
          </w:tcPr>
          <w:p w14:paraId="79FB579E"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25</w:t>
            </w:r>
          </w:p>
        </w:tc>
        <w:tc>
          <w:tcPr>
            <w:tcW w:w="477" w:type="dxa"/>
            <w:tcBorders>
              <w:left w:val="single" w:sz="18" w:space="0" w:color="auto"/>
              <w:bottom w:val="single" w:sz="4" w:space="0" w:color="auto"/>
            </w:tcBorders>
            <w:shd w:val="clear" w:color="auto" w:fill="FABF8F"/>
            <w:vAlign w:val="center"/>
          </w:tcPr>
          <w:p w14:paraId="3A5D4A40"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450" w:type="dxa"/>
            <w:tcBorders>
              <w:bottom w:val="single" w:sz="4" w:space="0" w:color="auto"/>
            </w:tcBorders>
            <w:shd w:val="clear" w:color="auto" w:fill="FABF8F"/>
            <w:vAlign w:val="center"/>
          </w:tcPr>
          <w:p w14:paraId="27F64AD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100</w:t>
            </w:r>
          </w:p>
        </w:tc>
        <w:tc>
          <w:tcPr>
            <w:tcW w:w="414" w:type="dxa"/>
            <w:tcBorders>
              <w:bottom w:val="single" w:sz="4" w:space="0" w:color="auto"/>
              <w:right w:val="single" w:sz="18" w:space="0" w:color="auto"/>
            </w:tcBorders>
            <w:shd w:val="clear" w:color="auto" w:fill="FABF8F"/>
            <w:vAlign w:val="center"/>
          </w:tcPr>
          <w:p w14:paraId="2EA2394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468" w:type="dxa"/>
            <w:tcBorders>
              <w:left w:val="single" w:sz="18" w:space="0" w:color="auto"/>
              <w:bottom w:val="single" w:sz="4" w:space="0" w:color="auto"/>
            </w:tcBorders>
            <w:shd w:val="clear" w:color="auto" w:fill="FABF8F"/>
            <w:vAlign w:val="center"/>
          </w:tcPr>
          <w:p w14:paraId="207B44F6"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477" w:type="dxa"/>
            <w:tcBorders>
              <w:bottom w:val="single" w:sz="4" w:space="0" w:color="auto"/>
              <w:right w:val="single" w:sz="18" w:space="0" w:color="auto"/>
            </w:tcBorders>
            <w:shd w:val="clear" w:color="auto" w:fill="FABF8F"/>
            <w:vAlign w:val="center"/>
          </w:tcPr>
          <w:p w14:paraId="34115CBF"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191FDAE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tcPr>
          <w:p w14:paraId="761D0596"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FABF8F"/>
            <w:vAlign w:val="center"/>
          </w:tcPr>
          <w:p w14:paraId="526C4480"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OL/OV</w:t>
            </w:r>
          </w:p>
        </w:tc>
        <w:tc>
          <w:tcPr>
            <w:tcW w:w="405" w:type="dxa"/>
            <w:tcBorders>
              <w:bottom w:val="single" w:sz="4" w:space="0" w:color="auto"/>
            </w:tcBorders>
            <w:shd w:val="clear" w:color="auto" w:fill="FABF8F"/>
          </w:tcPr>
          <w:p w14:paraId="1E8CC9D4" w14:textId="77777777" w:rsidR="00913A0A" w:rsidRPr="0058047D" w:rsidRDefault="002C4BA9" w:rsidP="001A63C6">
            <w:pPr>
              <w:pStyle w:val="TableText"/>
              <w:widowControl w:val="0"/>
              <w:rPr>
                <w:rFonts w:ascii="Tahoma" w:hAnsi="Tahoma" w:cs="Tahoma"/>
                <w:color w:val="000000"/>
                <w:sz w:val="13"/>
              </w:rPr>
            </w:pPr>
            <w:r w:rsidRPr="0058047D">
              <w:rPr>
                <w:rFonts w:ascii="Tahoma" w:hAnsi="Tahoma" w:cs="Tahoma"/>
                <w:color w:val="000000"/>
                <w:sz w:val="13"/>
              </w:rPr>
              <w:t>C</w:t>
            </w:r>
          </w:p>
        </w:tc>
      </w:tr>
      <w:tr w:rsidR="00C86F50" w:rsidRPr="0058047D" w14:paraId="2A1F7F71" w14:textId="77777777" w:rsidTr="00C86F50">
        <w:trPr>
          <w:trHeight w:val="145"/>
        </w:trPr>
        <w:tc>
          <w:tcPr>
            <w:tcW w:w="2619" w:type="dxa"/>
            <w:gridSpan w:val="2"/>
            <w:tcBorders>
              <w:bottom w:val="single" w:sz="4" w:space="0" w:color="auto"/>
            </w:tcBorders>
            <w:shd w:val="clear" w:color="auto" w:fill="auto"/>
            <w:vAlign w:val="center"/>
          </w:tcPr>
          <w:p w14:paraId="7ACC1C80" w14:textId="77777777" w:rsidR="00C86F50" w:rsidRPr="00AE41EE" w:rsidRDefault="00C86F50" w:rsidP="00C86F50">
            <w:pPr>
              <w:pStyle w:val="Heading2"/>
              <w:spacing w:before="20" w:after="20"/>
              <w:ind w:left="0"/>
              <w:rPr>
                <w:rFonts w:ascii="Tahoma" w:hAnsi="Tahoma" w:cs="Tahoma"/>
                <w:b w:val="0"/>
                <w:sz w:val="14"/>
                <w:szCs w:val="14"/>
              </w:rPr>
            </w:pPr>
            <w:r w:rsidRPr="00AE41EE">
              <w:rPr>
                <w:rFonts w:ascii="Tahoma" w:hAnsi="Tahoma" w:cs="Tahoma"/>
                <w:b w:val="0"/>
                <w:sz w:val="14"/>
                <w:szCs w:val="14"/>
              </w:rPr>
              <w:t xml:space="preserve">Windows Server™ </w:t>
            </w:r>
            <w:r>
              <w:rPr>
                <w:rFonts w:ascii="Tahoma" w:hAnsi="Tahoma" w:cs="Tahoma"/>
                <w:b w:val="0"/>
                <w:sz w:val="14"/>
                <w:szCs w:val="14"/>
              </w:rPr>
              <w:t>2012 R2 Essentials</w:t>
            </w:r>
          </w:p>
        </w:tc>
        <w:tc>
          <w:tcPr>
            <w:tcW w:w="554" w:type="dxa"/>
            <w:tcBorders>
              <w:bottom w:val="single" w:sz="4" w:space="0" w:color="auto"/>
            </w:tcBorders>
            <w:shd w:val="clear" w:color="auto" w:fill="auto"/>
            <w:vAlign w:val="center"/>
          </w:tcPr>
          <w:p w14:paraId="036E45CD" w14:textId="77777777" w:rsidR="00C86F50" w:rsidRDefault="00C86F50" w:rsidP="00C86F50">
            <w:pPr>
              <w:pStyle w:val="TableText"/>
              <w:widowControl w:val="0"/>
            </w:pPr>
          </w:p>
        </w:tc>
        <w:tc>
          <w:tcPr>
            <w:tcW w:w="516" w:type="dxa"/>
            <w:tcBorders>
              <w:bottom w:val="single" w:sz="4" w:space="0" w:color="auto"/>
            </w:tcBorders>
            <w:shd w:val="clear" w:color="auto" w:fill="auto"/>
            <w:vAlign w:val="center"/>
          </w:tcPr>
          <w:p w14:paraId="38788125" w14:textId="77777777" w:rsidR="00C86F50" w:rsidRDefault="00C86F50" w:rsidP="00C86F50">
            <w:pPr>
              <w:pStyle w:val="TableText"/>
              <w:widowControl w:val="0"/>
              <w:spacing w:before="120"/>
              <w:rPr>
                <w:rFonts w:ascii="Tahoma" w:hAnsi="Tahoma" w:cs="Tahoma"/>
                <w:color w:val="000000"/>
                <w:sz w:val="13"/>
              </w:rPr>
            </w:pPr>
            <w:r>
              <w:rPr>
                <w:rFonts w:ascii="Tahoma" w:hAnsi="Tahoma" w:cs="Tahoma"/>
                <w:color w:val="000000"/>
                <w:sz w:val="13"/>
              </w:rPr>
              <w:t>10/13</w:t>
            </w:r>
          </w:p>
        </w:tc>
        <w:tc>
          <w:tcPr>
            <w:tcW w:w="358" w:type="dxa"/>
            <w:tcBorders>
              <w:bottom w:val="single" w:sz="4" w:space="0" w:color="auto"/>
              <w:right w:val="single" w:sz="18" w:space="0" w:color="auto"/>
            </w:tcBorders>
            <w:shd w:val="clear" w:color="auto" w:fill="auto"/>
            <w:vAlign w:val="center"/>
          </w:tcPr>
          <w:p w14:paraId="01FF40B6" w14:textId="77777777" w:rsidR="00C86F50" w:rsidRDefault="00C86F50" w:rsidP="00C86F50">
            <w:pPr>
              <w:pStyle w:val="TableText"/>
              <w:widowControl w:val="0"/>
              <w:rPr>
                <w:rFonts w:ascii="Tahoma" w:hAnsi="Tahoma" w:cs="Tahoma"/>
                <w:color w:val="000000"/>
                <w:sz w:val="13"/>
              </w:rPr>
            </w:pPr>
            <w:r>
              <w:rPr>
                <w:rFonts w:ascii="Tahoma" w:hAnsi="Tahoma" w:cs="Tahoma"/>
                <w:color w:val="000000"/>
                <w:sz w:val="13"/>
              </w:rPr>
              <w:t>SRV</w:t>
            </w:r>
          </w:p>
        </w:tc>
        <w:tc>
          <w:tcPr>
            <w:tcW w:w="330" w:type="dxa"/>
            <w:tcBorders>
              <w:left w:val="single" w:sz="18" w:space="0" w:color="auto"/>
              <w:bottom w:val="single" w:sz="4" w:space="0" w:color="auto"/>
            </w:tcBorders>
            <w:shd w:val="clear" w:color="auto" w:fill="auto"/>
            <w:vAlign w:val="center"/>
          </w:tcPr>
          <w:p w14:paraId="3862388B" w14:textId="77777777" w:rsidR="00C86F50" w:rsidRDefault="00C86F50" w:rsidP="00C86F50">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2B200FB5" w14:textId="77777777" w:rsidR="00C86F50" w:rsidRDefault="00C86F50" w:rsidP="00C86F50">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080749C1" w14:textId="77777777" w:rsidR="00C86F50" w:rsidRDefault="00C86F50" w:rsidP="00C86F50">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1AA53108" w14:textId="77777777" w:rsidR="00C86F50" w:rsidRDefault="00C86F50" w:rsidP="00C86F5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E56B10F" w14:textId="77777777" w:rsidR="00C86F50" w:rsidRDefault="00C86F50" w:rsidP="00C86F5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ED36C48" w14:textId="77777777" w:rsidR="00C86F50" w:rsidRDefault="00C86F50" w:rsidP="00C86F50">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3FEDEC35" w14:textId="77777777" w:rsidR="00C86F50" w:rsidRDefault="00C86F50" w:rsidP="00C86F50">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258B9661" w14:textId="77777777" w:rsidR="00C86F50" w:rsidRDefault="00C86F50" w:rsidP="00C86F50">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tcBorders>
            <w:shd w:val="clear" w:color="auto" w:fill="auto"/>
            <w:vAlign w:val="center"/>
          </w:tcPr>
          <w:p w14:paraId="7714DB01" w14:textId="77777777" w:rsidR="00C86F50" w:rsidRDefault="00C86F50" w:rsidP="00C86F50">
            <w:pPr>
              <w:pStyle w:val="TableText"/>
              <w:widowControl w:val="0"/>
              <w:rPr>
                <w:rFonts w:ascii="Tahoma" w:hAnsi="Tahoma" w:cs="Tahoma"/>
                <w:sz w:val="13"/>
              </w:rPr>
            </w:pPr>
            <w:r>
              <w:rPr>
                <w:rFonts w:ascii="Tahoma" w:hAnsi="Tahoma" w:cs="Tahoma"/>
                <w:sz w:val="13"/>
              </w:rPr>
              <w:t>10</w:t>
            </w:r>
          </w:p>
        </w:tc>
        <w:tc>
          <w:tcPr>
            <w:tcW w:w="414" w:type="dxa"/>
            <w:tcBorders>
              <w:bottom w:val="single" w:sz="4" w:space="0" w:color="auto"/>
              <w:right w:val="single" w:sz="18" w:space="0" w:color="auto"/>
            </w:tcBorders>
            <w:shd w:val="clear" w:color="auto" w:fill="auto"/>
            <w:vAlign w:val="center"/>
          </w:tcPr>
          <w:p w14:paraId="7622B869" w14:textId="77777777" w:rsidR="00C86F50" w:rsidRDefault="00C86F50" w:rsidP="00C86F50">
            <w:pPr>
              <w:pStyle w:val="TableText"/>
              <w:widowControl w:val="0"/>
              <w:rPr>
                <w:rFonts w:ascii="Tahoma" w:hAnsi="Tahoma" w:cs="Tahoma"/>
                <w:sz w:val="13"/>
              </w:rPr>
            </w:pPr>
            <w:r>
              <w:rPr>
                <w:rFonts w:ascii="Tahoma" w:hAnsi="Tahoma" w:cs="Tahoma"/>
                <w:sz w:val="13"/>
              </w:rPr>
              <w:t>5</w:t>
            </w:r>
          </w:p>
        </w:tc>
        <w:tc>
          <w:tcPr>
            <w:tcW w:w="468" w:type="dxa"/>
            <w:tcBorders>
              <w:left w:val="single" w:sz="18" w:space="0" w:color="auto"/>
              <w:bottom w:val="single" w:sz="4" w:space="0" w:color="auto"/>
            </w:tcBorders>
            <w:shd w:val="clear" w:color="auto" w:fill="auto"/>
            <w:vAlign w:val="center"/>
          </w:tcPr>
          <w:p w14:paraId="2D098882" w14:textId="77777777" w:rsidR="00C86F50" w:rsidRDefault="00C86F50" w:rsidP="00C86F50">
            <w:pPr>
              <w:pStyle w:val="TableText"/>
              <w:widowControl w:val="0"/>
              <w:rPr>
                <w:rFonts w:ascii="Tahoma" w:hAnsi="Tahoma" w:cs="Tahoma"/>
                <w:sz w:val="13"/>
              </w:rPr>
            </w:pPr>
            <w:r>
              <w:rPr>
                <w:rFonts w:ascii="Tahoma" w:hAnsi="Tahoma" w:cs="Tahoma"/>
                <w:sz w:val="13"/>
              </w:rPr>
              <w:t>5</w:t>
            </w:r>
          </w:p>
        </w:tc>
        <w:tc>
          <w:tcPr>
            <w:tcW w:w="477" w:type="dxa"/>
            <w:tcBorders>
              <w:bottom w:val="single" w:sz="4" w:space="0" w:color="auto"/>
              <w:right w:val="single" w:sz="18" w:space="0" w:color="auto"/>
            </w:tcBorders>
            <w:shd w:val="clear" w:color="auto" w:fill="auto"/>
            <w:vAlign w:val="center"/>
          </w:tcPr>
          <w:p w14:paraId="61C6C083" w14:textId="77777777" w:rsidR="00C86F50" w:rsidRDefault="00C86F50" w:rsidP="00C86F50">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20D440E7" w14:textId="77777777" w:rsidR="00C86F50" w:rsidRDefault="00C86F50" w:rsidP="00C86F50">
            <w:pPr>
              <w:pStyle w:val="TableText"/>
              <w:widowControl w:val="0"/>
              <w:rPr>
                <w:rFonts w:ascii="Tahoma" w:hAnsi="Tahoma" w:cs="Tahoma"/>
                <w:sz w:val="13"/>
              </w:rPr>
            </w:pPr>
            <w:r>
              <w:rPr>
                <w:rFonts w:ascii="Tahoma" w:hAnsi="Tahoma" w:cs="Tahoma"/>
                <w:sz w:val="13"/>
              </w:rPr>
              <w:t>P</w:t>
            </w:r>
          </w:p>
        </w:tc>
        <w:tc>
          <w:tcPr>
            <w:tcW w:w="655" w:type="dxa"/>
            <w:tcBorders>
              <w:bottom w:val="single" w:sz="4" w:space="0" w:color="auto"/>
            </w:tcBorders>
            <w:shd w:val="clear" w:color="auto" w:fill="auto"/>
          </w:tcPr>
          <w:p w14:paraId="09CA9332" w14:textId="77777777" w:rsidR="00C86F50" w:rsidRDefault="00C86F50" w:rsidP="00C86F50">
            <w:pPr>
              <w:pStyle w:val="TableText"/>
              <w:widowControl w:val="0"/>
              <w:rPr>
                <w:rFonts w:ascii="Tahoma" w:hAnsi="Tahoma" w:cs="Tahoma"/>
                <w:sz w:val="13"/>
              </w:rPr>
            </w:pPr>
            <w:r>
              <w:rPr>
                <w:rFonts w:ascii="Tahoma" w:hAnsi="Tahoma" w:cs="Tahoma"/>
                <w:sz w:val="13"/>
              </w:rPr>
              <w:t>A</w:t>
            </w:r>
          </w:p>
        </w:tc>
        <w:tc>
          <w:tcPr>
            <w:tcW w:w="504" w:type="dxa"/>
            <w:tcBorders>
              <w:bottom w:val="single" w:sz="4" w:space="0" w:color="auto"/>
            </w:tcBorders>
            <w:shd w:val="clear" w:color="auto" w:fill="auto"/>
            <w:vAlign w:val="center"/>
          </w:tcPr>
          <w:p w14:paraId="3B7D9E43" w14:textId="77777777" w:rsidR="00C86F50" w:rsidRPr="00480790" w:rsidRDefault="00C86F50" w:rsidP="00C86F50">
            <w:pPr>
              <w:pStyle w:val="TableText"/>
              <w:widowControl w:val="0"/>
              <w:rPr>
                <w:rFonts w:ascii="Tahoma" w:hAnsi="Tahoma" w:cs="Tahoma"/>
                <w:color w:val="000000"/>
                <w:sz w:val="13"/>
              </w:rPr>
            </w:pPr>
          </w:p>
        </w:tc>
        <w:tc>
          <w:tcPr>
            <w:tcW w:w="405" w:type="dxa"/>
            <w:tcBorders>
              <w:bottom w:val="single" w:sz="4" w:space="0" w:color="auto"/>
            </w:tcBorders>
          </w:tcPr>
          <w:p w14:paraId="5D2D338D" w14:textId="77777777" w:rsidR="00C86F50" w:rsidRDefault="00C86F50" w:rsidP="00C86F50">
            <w:pPr>
              <w:pStyle w:val="TableText"/>
              <w:widowControl w:val="0"/>
              <w:rPr>
                <w:rFonts w:ascii="Tahoma" w:hAnsi="Tahoma" w:cs="Tahoma"/>
                <w:color w:val="000000"/>
                <w:sz w:val="13"/>
              </w:rPr>
            </w:pPr>
          </w:p>
        </w:tc>
      </w:tr>
      <w:tr w:rsidR="009323A0" w:rsidRPr="0058047D" w14:paraId="1F31EED2" w14:textId="77777777" w:rsidTr="00C86F50">
        <w:trPr>
          <w:trHeight w:val="145"/>
        </w:trPr>
        <w:tc>
          <w:tcPr>
            <w:tcW w:w="2619" w:type="dxa"/>
            <w:gridSpan w:val="2"/>
            <w:tcBorders>
              <w:bottom w:val="single" w:sz="4" w:space="0" w:color="auto"/>
            </w:tcBorders>
            <w:shd w:val="clear" w:color="auto" w:fill="FABF8F"/>
            <w:vAlign w:val="center"/>
          </w:tcPr>
          <w:p w14:paraId="1568D603" w14:textId="77777777" w:rsidR="00913A0A" w:rsidRPr="0058047D" w:rsidRDefault="00913A0A" w:rsidP="001A63C6">
            <w:pPr>
              <w:pStyle w:val="Heading2"/>
              <w:spacing w:before="20" w:after="20"/>
              <w:ind w:left="0"/>
              <w:rPr>
                <w:rFonts w:ascii="Tahoma" w:hAnsi="Tahoma" w:cs="Tahoma"/>
                <w:b w:val="0"/>
                <w:sz w:val="14"/>
                <w:szCs w:val="14"/>
              </w:rPr>
            </w:pPr>
            <w:bookmarkStart w:id="523" w:name="_Toc336338144"/>
            <w:bookmarkStart w:id="524" w:name="_Toc371663539"/>
            <w:r w:rsidRPr="0058047D">
              <w:rPr>
                <w:rFonts w:ascii="Tahoma" w:hAnsi="Tahoma" w:cs="Tahoma"/>
                <w:b w:val="0"/>
                <w:sz w:val="14"/>
                <w:szCs w:val="14"/>
              </w:rPr>
              <w:t>Windows Server™ 2012 R2 Standard</w:t>
            </w:r>
            <w:bookmarkEnd w:id="523"/>
            <w:bookmarkEnd w:id="524"/>
          </w:p>
        </w:tc>
        <w:tc>
          <w:tcPr>
            <w:tcW w:w="554" w:type="dxa"/>
            <w:tcBorders>
              <w:bottom w:val="single" w:sz="4" w:space="0" w:color="auto"/>
            </w:tcBorders>
            <w:shd w:val="clear" w:color="auto" w:fill="FABF8F"/>
            <w:vAlign w:val="center"/>
          </w:tcPr>
          <w:p w14:paraId="71E70143" w14:textId="77777777" w:rsidR="00913A0A" w:rsidRPr="0058047D" w:rsidRDefault="00C86F50" w:rsidP="00913588">
            <w:pPr>
              <w:pStyle w:val="TableText"/>
              <w:widowControl w:val="0"/>
              <w:rPr>
                <w:rStyle w:val="EndnoteReference"/>
                <w:b w:val="0"/>
                <w:color w:val="0070C0"/>
                <w:sz w:val="13"/>
                <w:szCs w:val="13"/>
                <w:u w:val="single"/>
                <w:vertAlign w:val="baseline"/>
              </w:rPr>
            </w:pPr>
            <w:hyperlink w:anchor="_113_Windows_Server" w:history="1">
              <w:r w:rsidR="00BF5FC6" w:rsidRPr="0058047D">
                <w:rPr>
                  <w:rStyle w:val="Hyperlink"/>
                  <w:b/>
                  <w:sz w:val="13"/>
                  <w:szCs w:val="13"/>
                </w:rPr>
                <w:t>114</w:t>
              </w:r>
            </w:hyperlink>
          </w:p>
        </w:tc>
        <w:tc>
          <w:tcPr>
            <w:tcW w:w="516" w:type="dxa"/>
            <w:tcBorders>
              <w:bottom w:val="single" w:sz="4" w:space="0" w:color="auto"/>
            </w:tcBorders>
            <w:shd w:val="clear" w:color="auto" w:fill="FABF8F"/>
            <w:vAlign w:val="center"/>
          </w:tcPr>
          <w:p w14:paraId="46284ED1" w14:textId="77777777" w:rsidR="00913A0A" w:rsidRPr="0058047D" w:rsidRDefault="00C86F50" w:rsidP="00200E1A">
            <w:pPr>
              <w:pStyle w:val="TableText"/>
              <w:widowControl w:val="0"/>
              <w:spacing w:before="120"/>
              <w:rPr>
                <w:rFonts w:ascii="Tahoma" w:hAnsi="Tahoma" w:cs="Tahoma"/>
                <w:color w:val="000000"/>
                <w:sz w:val="13"/>
              </w:rPr>
            </w:pPr>
            <w:r>
              <w:rPr>
                <w:rFonts w:ascii="Tahoma" w:hAnsi="Tahoma" w:cs="Tahoma"/>
                <w:color w:val="000000"/>
                <w:sz w:val="13"/>
              </w:rPr>
              <w:t>10</w:t>
            </w:r>
            <w:r w:rsidR="00913A0A" w:rsidRPr="0058047D">
              <w:rPr>
                <w:rFonts w:ascii="Tahoma" w:hAnsi="Tahoma" w:cs="Tahoma"/>
                <w:color w:val="000000"/>
                <w:sz w:val="13"/>
              </w:rPr>
              <w:t>/13</w:t>
            </w:r>
          </w:p>
        </w:tc>
        <w:tc>
          <w:tcPr>
            <w:tcW w:w="358" w:type="dxa"/>
            <w:tcBorders>
              <w:bottom w:val="single" w:sz="4" w:space="0" w:color="auto"/>
              <w:right w:val="single" w:sz="18" w:space="0" w:color="auto"/>
            </w:tcBorders>
            <w:shd w:val="clear" w:color="auto" w:fill="FABF8F"/>
            <w:vAlign w:val="center"/>
          </w:tcPr>
          <w:p w14:paraId="13647BEC"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FABF8F"/>
            <w:vAlign w:val="center"/>
          </w:tcPr>
          <w:p w14:paraId="10F2D7F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15</w:t>
            </w:r>
          </w:p>
        </w:tc>
        <w:tc>
          <w:tcPr>
            <w:tcW w:w="324" w:type="dxa"/>
            <w:tcBorders>
              <w:bottom w:val="single" w:sz="4" w:space="0" w:color="auto"/>
            </w:tcBorders>
            <w:shd w:val="clear" w:color="auto" w:fill="FABF8F"/>
            <w:vAlign w:val="center"/>
          </w:tcPr>
          <w:p w14:paraId="4F53E04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38</w:t>
            </w:r>
          </w:p>
        </w:tc>
        <w:tc>
          <w:tcPr>
            <w:tcW w:w="366" w:type="dxa"/>
            <w:tcBorders>
              <w:bottom w:val="single" w:sz="4" w:space="0" w:color="auto"/>
            </w:tcBorders>
            <w:shd w:val="clear" w:color="auto" w:fill="FABF8F"/>
            <w:vAlign w:val="center"/>
          </w:tcPr>
          <w:p w14:paraId="5FD0749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30</w:t>
            </w:r>
          </w:p>
        </w:tc>
        <w:tc>
          <w:tcPr>
            <w:tcW w:w="456" w:type="dxa"/>
            <w:gridSpan w:val="2"/>
            <w:tcBorders>
              <w:bottom w:val="single" w:sz="4" w:space="0" w:color="auto"/>
            </w:tcBorders>
            <w:shd w:val="clear" w:color="auto" w:fill="FABF8F"/>
            <w:vAlign w:val="center"/>
          </w:tcPr>
          <w:p w14:paraId="5B167CEE"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23</w:t>
            </w:r>
          </w:p>
        </w:tc>
        <w:tc>
          <w:tcPr>
            <w:tcW w:w="450" w:type="dxa"/>
            <w:tcBorders>
              <w:bottom w:val="single" w:sz="4" w:space="0" w:color="auto"/>
            </w:tcBorders>
            <w:shd w:val="clear" w:color="auto" w:fill="FABF8F"/>
            <w:vAlign w:val="center"/>
          </w:tcPr>
          <w:p w14:paraId="08C3A4C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23</w:t>
            </w:r>
          </w:p>
        </w:tc>
        <w:tc>
          <w:tcPr>
            <w:tcW w:w="450" w:type="dxa"/>
            <w:tcBorders>
              <w:bottom w:val="single" w:sz="4" w:space="0" w:color="auto"/>
            </w:tcBorders>
            <w:shd w:val="clear" w:color="auto" w:fill="FABF8F"/>
            <w:vAlign w:val="center"/>
          </w:tcPr>
          <w:p w14:paraId="54946856"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15</w:t>
            </w:r>
          </w:p>
        </w:tc>
        <w:tc>
          <w:tcPr>
            <w:tcW w:w="336" w:type="dxa"/>
            <w:tcBorders>
              <w:bottom w:val="single" w:sz="4" w:space="0" w:color="auto"/>
              <w:right w:val="single" w:sz="18" w:space="0" w:color="auto"/>
            </w:tcBorders>
            <w:shd w:val="clear" w:color="auto" w:fill="FABF8F"/>
            <w:vAlign w:val="center"/>
          </w:tcPr>
          <w:p w14:paraId="5C739E7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8</w:t>
            </w:r>
          </w:p>
        </w:tc>
        <w:tc>
          <w:tcPr>
            <w:tcW w:w="477" w:type="dxa"/>
            <w:tcBorders>
              <w:left w:val="single" w:sz="18" w:space="0" w:color="auto"/>
              <w:bottom w:val="single" w:sz="4" w:space="0" w:color="auto"/>
            </w:tcBorders>
            <w:shd w:val="clear" w:color="auto" w:fill="FABF8F"/>
            <w:vAlign w:val="center"/>
          </w:tcPr>
          <w:p w14:paraId="5A93BC75"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15</w:t>
            </w:r>
          </w:p>
        </w:tc>
        <w:tc>
          <w:tcPr>
            <w:tcW w:w="450" w:type="dxa"/>
            <w:tcBorders>
              <w:bottom w:val="single" w:sz="4" w:space="0" w:color="auto"/>
            </w:tcBorders>
            <w:shd w:val="clear" w:color="auto" w:fill="FABF8F"/>
            <w:vAlign w:val="center"/>
          </w:tcPr>
          <w:p w14:paraId="70B1C44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30</w:t>
            </w:r>
          </w:p>
        </w:tc>
        <w:tc>
          <w:tcPr>
            <w:tcW w:w="414" w:type="dxa"/>
            <w:tcBorders>
              <w:bottom w:val="single" w:sz="4" w:space="0" w:color="auto"/>
              <w:right w:val="single" w:sz="18" w:space="0" w:color="auto"/>
            </w:tcBorders>
            <w:shd w:val="clear" w:color="auto" w:fill="FABF8F"/>
            <w:vAlign w:val="center"/>
          </w:tcPr>
          <w:p w14:paraId="6EC471BF"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15</w:t>
            </w:r>
          </w:p>
        </w:tc>
        <w:tc>
          <w:tcPr>
            <w:tcW w:w="468" w:type="dxa"/>
            <w:tcBorders>
              <w:left w:val="single" w:sz="18" w:space="0" w:color="auto"/>
              <w:bottom w:val="single" w:sz="4" w:space="0" w:color="auto"/>
            </w:tcBorders>
            <w:shd w:val="clear" w:color="auto" w:fill="FABF8F"/>
            <w:vAlign w:val="center"/>
          </w:tcPr>
          <w:p w14:paraId="014C9A0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15</w:t>
            </w:r>
          </w:p>
        </w:tc>
        <w:tc>
          <w:tcPr>
            <w:tcW w:w="477" w:type="dxa"/>
            <w:tcBorders>
              <w:bottom w:val="single" w:sz="4" w:space="0" w:color="auto"/>
              <w:right w:val="single" w:sz="18" w:space="0" w:color="auto"/>
            </w:tcBorders>
            <w:shd w:val="clear" w:color="auto" w:fill="FABF8F"/>
            <w:vAlign w:val="center"/>
          </w:tcPr>
          <w:p w14:paraId="72BD0EA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59E8D56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tcPr>
          <w:p w14:paraId="545055B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FABF8F"/>
            <w:vAlign w:val="center"/>
          </w:tcPr>
          <w:p w14:paraId="28F44FC1" w14:textId="77777777" w:rsidR="00913A0A" w:rsidRPr="0058047D" w:rsidRDefault="00913A0A" w:rsidP="001A63C6">
            <w:pPr>
              <w:pStyle w:val="TableText"/>
              <w:widowControl w:val="0"/>
              <w:rPr>
                <w:rFonts w:ascii="Tahoma" w:hAnsi="Tahoma" w:cs="Tahoma"/>
                <w:color w:val="000000"/>
                <w:sz w:val="13"/>
              </w:rPr>
            </w:pPr>
          </w:p>
        </w:tc>
        <w:tc>
          <w:tcPr>
            <w:tcW w:w="405" w:type="dxa"/>
            <w:tcBorders>
              <w:bottom w:val="single" w:sz="4" w:space="0" w:color="auto"/>
            </w:tcBorders>
            <w:shd w:val="clear" w:color="auto" w:fill="FABF8F"/>
          </w:tcPr>
          <w:p w14:paraId="3FA45A88" w14:textId="77777777" w:rsidR="00913A0A" w:rsidRPr="0058047D" w:rsidRDefault="002C4BA9" w:rsidP="001A63C6">
            <w:pPr>
              <w:pStyle w:val="TableText"/>
              <w:widowControl w:val="0"/>
              <w:rPr>
                <w:rFonts w:ascii="Tahoma" w:hAnsi="Tahoma" w:cs="Tahoma"/>
                <w:color w:val="000000"/>
                <w:sz w:val="13"/>
              </w:rPr>
            </w:pPr>
            <w:r w:rsidRPr="0058047D">
              <w:rPr>
                <w:rFonts w:ascii="Tahoma" w:hAnsi="Tahoma" w:cs="Tahoma"/>
                <w:color w:val="000000"/>
                <w:sz w:val="13"/>
              </w:rPr>
              <w:t>C</w:t>
            </w:r>
          </w:p>
        </w:tc>
      </w:tr>
      <w:tr w:rsidR="00C86F50" w:rsidRPr="0058047D" w14:paraId="1CD19768" w14:textId="77777777" w:rsidTr="00C86F50">
        <w:trPr>
          <w:trHeight w:val="145"/>
        </w:trPr>
        <w:tc>
          <w:tcPr>
            <w:tcW w:w="2619" w:type="dxa"/>
            <w:gridSpan w:val="2"/>
            <w:tcBorders>
              <w:bottom w:val="single" w:sz="4" w:space="0" w:color="auto"/>
            </w:tcBorders>
            <w:shd w:val="clear" w:color="auto" w:fill="auto"/>
            <w:vAlign w:val="center"/>
          </w:tcPr>
          <w:p w14:paraId="59A3B8D7" w14:textId="77777777" w:rsidR="00913A0A" w:rsidRPr="0058047D" w:rsidRDefault="00913A0A" w:rsidP="001A63C6">
            <w:pPr>
              <w:pStyle w:val="Heading2"/>
              <w:spacing w:before="20" w:after="20"/>
              <w:ind w:left="0"/>
              <w:rPr>
                <w:rFonts w:ascii="Tahoma" w:hAnsi="Tahoma" w:cs="Tahoma"/>
                <w:b w:val="0"/>
                <w:sz w:val="14"/>
                <w:szCs w:val="14"/>
              </w:rPr>
            </w:pPr>
            <w:bookmarkStart w:id="525" w:name="_Toc336338145"/>
            <w:bookmarkStart w:id="526" w:name="_Toc371663540"/>
            <w:r w:rsidRPr="0058047D">
              <w:rPr>
                <w:rFonts w:ascii="Tahoma" w:hAnsi="Tahoma" w:cs="Tahoma"/>
                <w:b w:val="0"/>
                <w:sz w:val="14"/>
                <w:szCs w:val="14"/>
              </w:rPr>
              <w:t>External Connector per Windows Server™</w:t>
            </w:r>
            <w:bookmarkEnd w:id="525"/>
            <w:bookmarkEnd w:id="526"/>
          </w:p>
        </w:tc>
        <w:tc>
          <w:tcPr>
            <w:tcW w:w="554" w:type="dxa"/>
            <w:tcBorders>
              <w:bottom w:val="single" w:sz="4" w:space="0" w:color="auto"/>
            </w:tcBorders>
            <w:shd w:val="clear" w:color="auto" w:fill="auto"/>
            <w:vAlign w:val="center"/>
          </w:tcPr>
          <w:p w14:paraId="78F7060A" w14:textId="77777777" w:rsidR="00913A0A" w:rsidRPr="0058047D" w:rsidRDefault="00913A0A" w:rsidP="001A63C6">
            <w:pPr>
              <w:pStyle w:val="TableText"/>
              <w:widowControl w:val="0"/>
              <w:rPr>
                <w:rStyle w:val="EndnoteReference"/>
                <w:sz w:val="13"/>
                <w:szCs w:val="13"/>
                <w:u w:val="single"/>
              </w:rPr>
            </w:pPr>
          </w:p>
        </w:tc>
        <w:tc>
          <w:tcPr>
            <w:tcW w:w="516" w:type="dxa"/>
            <w:tcBorders>
              <w:bottom w:val="single" w:sz="4" w:space="0" w:color="auto"/>
            </w:tcBorders>
            <w:shd w:val="clear" w:color="auto" w:fill="auto"/>
            <w:vAlign w:val="center"/>
          </w:tcPr>
          <w:p w14:paraId="37AFAA17" w14:textId="77777777" w:rsidR="00913A0A" w:rsidRPr="0058047D" w:rsidRDefault="00913A0A" w:rsidP="001A63C6">
            <w:pPr>
              <w:pStyle w:val="TableText"/>
              <w:widowControl w:val="0"/>
              <w:spacing w:before="160"/>
              <w:rPr>
                <w:rFonts w:ascii="Tahoma" w:hAnsi="Tahoma" w:cs="Tahoma"/>
                <w:color w:val="000000"/>
                <w:sz w:val="13"/>
              </w:rPr>
            </w:pPr>
            <w:r w:rsidRPr="0058047D">
              <w:rPr>
                <w:rFonts w:ascii="Tahoma" w:hAnsi="Tahoma" w:cs="Tahoma"/>
                <w:color w:val="000000"/>
                <w:sz w:val="13"/>
              </w:rPr>
              <w:t>09/12</w:t>
            </w:r>
          </w:p>
        </w:tc>
        <w:tc>
          <w:tcPr>
            <w:tcW w:w="358" w:type="dxa"/>
            <w:tcBorders>
              <w:bottom w:val="single" w:sz="4" w:space="0" w:color="auto"/>
              <w:right w:val="single" w:sz="18" w:space="0" w:color="auto"/>
            </w:tcBorders>
            <w:shd w:val="clear" w:color="auto" w:fill="auto"/>
            <w:vAlign w:val="center"/>
          </w:tcPr>
          <w:p w14:paraId="691D02F4"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auto"/>
            <w:vAlign w:val="center"/>
          </w:tcPr>
          <w:p w14:paraId="1907393D"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25</w:t>
            </w:r>
          </w:p>
        </w:tc>
        <w:tc>
          <w:tcPr>
            <w:tcW w:w="324" w:type="dxa"/>
            <w:tcBorders>
              <w:bottom w:val="single" w:sz="4" w:space="0" w:color="auto"/>
            </w:tcBorders>
            <w:shd w:val="clear" w:color="auto" w:fill="auto"/>
            <w:vAlign w:val="center"/>
          </w:tcPr>
          <w:p w14:paraId="452B9088"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63</w:t>
            </w:r>
          </w:p>
        </w:tc>
        <w:tc>
          <w:tcPr>
            <w:tcW w:w="366" w:type="dxa"/>
            <w:tcBorders>
              <w:bottom w:val="single" w:sz="4" w:space="0" w:color="auto"/>
            </w:tcBorders>
            <w:shd w:val="clear" w:color="auto" w:fill="auto"/>
            <w:vAlign w:val="center"/>
          </w:tcPr>
          <w:p w14:paraId="3354942A"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456" w:type="dxa"/>
            <w:gridSpan w:val="2"/>
            <w:tcBorders>
              <w:bottom w:val="single" w:sz="4" w:space="0" w:color="auto"/>
            </w:tcBorders>
            <w:shd w:val="clear" w:color="auto" w:fill="auto"/>
            <w:vAlign w:val="center"/>
          </w:tcPr>
          <w:p w14:paraId="4EC4D22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38</w:t>
            </w:r>
          </w:p>
        </w:tc>
        <w:tc>
          <w:tcPr>
            <w:tcW w:w="450" w:type="dxa"/>
            <w:tcBorders>
              <w:bottom w:val="single" w:sz="4" w:space="0" w:color="auto"/>
            </w:tcBorders>
            <w:shd w:val="clear" w:color="auto" w:fill="auto"/>
            <w:vAlign w:val="center"/>
          </w:tcPr>
          <w:p w14:paraId="6FBF9D5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38</w:t>
            </w:r>
          </w:p>
        </w:tc>
        <w:tc>
          <w:tcPr>
            <w:tcW w:w="450" w:type="dxa"/>
            <w:tcBorders>
              <w:bottom w:val="single" w:sz="4" w:space="0" w:color="auto"/>
            </w:tcBorders>
            <w:shd w:val="clear" w:color="auto" w:fill="auto"/>
            <w:vAlign w:val="center"/>
          </w:tcPr>
          <w:p w14:paraId="250373F6"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25</w:t>
            </w:r>
          </w:p>
        </w:tc>
        <w:tc>
          <w:tcPr>
            <w:tcW w:w="336" w:type="dxa"/>
            <w:tcBorders>
              <w:bottom w:val="single" w:sz="4" w:space="0" w:color="auto"/>
              <w:right w:val="single" w:sz="18" w:space="0" w:color="auto"/>
            </w:tcBorders>
            <w:shd w:val="clear" w:color="auto" w:fill="auto"/>
            <w:vAlign w:val="center"/>
          </w:tcPr>
          <w:p w14:paraId="1084731F"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13</w:t>
            </w:r>
          </w:p>
        </w:tc>
        <w:tc>
          <w:tcPr>
            <w:tcW w:w="477" w:type="dxa"/>
            <w:tcBorders>
              <w:left w:val="single" w:sz="18" w:space="0" w:color="auto"/>
              <w:bottom w:val="single" w:sz="4" w:space="0" w:color="auto"/>
            </w:tcBorders>
            <w:shd w:val="clear" w:color="auto" w:fill="auto"/>
            <w:vAlign w:val="center"/>
          </w:tcPr>
          <w:p w14:paraId="44411C1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25</w:t>
            </w:r>
          </w:p>
        </w:tc>
        <w:tc>
          <w:tcPr>
            <w:tcW w:w="450" w:type="dxa"/>
            <w:tcBorders>
              <w:bottom w:val="single" w:sz="4" w:space="0" w:color="auto"/>
            </w:tcBorders>
            <w:shd w:val="clear" w:color="auto" w:fill="auto"/>
            <w:vAlign w:val="center"/>
          </w:tcPr>
          <w:p w14:paraId="10DE8DA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50</w:t>
            </w:r>
          </w:p>
        </w:tc>
        <w:tc>
          <w:tcPr>
            <w:tcW w:w="414" w:type="dxa"/>
            <w:tcBorders>
              <w:bottom w:val="single" w:sz="4" w:space="0" w:color="auto"/>
              <w:right w:val="single" w:sz="18" w:space="0" w:color="auto"/>
            </w:tcBorders>
            <w:shd w:val="clear" w:color="auto" w:fill="auto"/>
            <w:vAlign w:val="center"/>
          </w:tcPr>
          <w:p w14:paraId="44EDBCA0"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25</w:t>
            </w:r>
          </w:p>
        </w:tc>
        <w:tc>
          <w:tcPr>
            <w:tcW w:w="468" w:type="dxa"/>
            <w:tcBorders>
              <w:left w:val="single" w:sz="18" w:space="0" w:color="auto"/>
              <w:bottom w:val="single" w:sz="4" w:space="0" w:color="auto"/>
            </w:tcBorders>
            <w:shd w:val="clear" w:color="auto" w:fill="auto"/>
            <w:vAlign w:val="center"/>
          </w:tcPr>
          <w:p w14:paraId="6F6A285A"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25</w:t>
            </w:r>
          </w:p>
        </w:tc>
        <w:tc>
          <w:tcPr>
            <w:tcW w:w="477" w:type="dxa"/>
            <w:tcBorders>
              <w:bottom w:val="single" w:sz="4" w:space="0" w:color="auto"/>
              <w:right w:val="single" w:sz="18" w:space="0" w:color="auto"/>
            </w:tcBorders>
            <w:shd w:val="clear" w:color="auto" w:fill="auto"/>
            <w:vAlign w:val="center"/>
          </w:tcPr>
          <w:p w14:paraId="569B09E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14D854B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auto"/>
          </w:tcPr>
          <w:p w14:paraId="4A36A9E0"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auto"/>
            <w:vAlign w:val="center"/>
          </w:tcPr>
          <w:p w14:paraId="2E1FD576"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OL/OV</w:t>
            </w:r>
          </w:p>
        </w:tc>
        <w:tc>
          <w:tcPr>
            <w:tcW w:w="405" w:type="dxa"/>
            <w:tcBorders>
              <w:bottom w:val="single" w:sz="4" w:space="0" w:color="auto"/>
            </w:tcBorders>
            <w:shd w:val="clear" w:color="auto" w:fill="auto"/>
          </w:tcPr>
          <w:p w14:paraId="164CD69A" w14:textId="77777777" w:rsidR="00913A0A" w:rsidRPr="0058047D" w:rsidRDefault="002C4BA9" w:rsidP="001A63C6">
            <w:pPr>
              <w:pStyle w:val="TableText"/>
              <w:widowControl w:val="0"/>
              <w:rPr>
                <w:rFonts w:ascii="Tahoma" w:hAnsi="Tahoma" w:cs="Tahoma"/>
                <w:color w:val="000000"/>
                <w:sz w:val="13"/>
              </w:rPr>
            </w:pPr>
            <w:r w:rsidRPr="0058047D">
              <w:rPr>
                <w:rFonts w:ascii="Tahoma" w:hAnsi="Tahoma" w:cs="Tahoma"/>
                <w:color w:val="000000"/>
                <w:sz w:val="13"/>
              </w:rPr>
              <w:t>A</w:t>
            </w:r>
          </w:p>
        </w:tc>
      </w:tr>
      <w:tr w:rsidR="009323A0" w:rsidRPr="0058047D" w14:paraId="081179C7" w14:textId="77777777" w:rsidTr="00C86F50">
        <w:trPr>
          <w:trHeight w:val="145"/>
        </w:trPr>
        <w:tc>
          <w:tcPr>
            <w:tcW w:w="2619" w:type="dxa"/>
            <w:gridSpan w:val="2"/>
            <w:tcBorders>
              <w:bottom w:val="single" w:sz="4" w:space="0" w:color="auto"/>
            </w:tcBorders>
            <w:shd w:val="clear" w:color="auto" w:fill="FABF8F"/>
            <w:vAlign w:val="center"/>
          </w:tcPr>
          <w:p w14:paraId="2FAA32DF" w14:textId="77777777" w:rsidR="00913A0A" w:rsidRPr="003F471F" w:rsidRDefault="00913A0A" w:rsidP="001A63C6">
            <w:pPr>
              <w:pStyle w:val="Heading2"/>
              <w:spacing w:before="20" w:after="20"/>
              <w:ind w:left="0"/>
              <w:rPr>
                <w:rFonts w:ascii="Tahoma" w:hAnsi="Tahoma" w:cs="Tahoma"/>
                <w:b w:val="0"/>
                <w:sz w:val="14"/>
                <w:szCs w:val="14"/>
                <w:lang w:val="it-IT"/>
              </w:rPr>
            </w:pPr>
            <w:bookmarkStart w:id="527" w:name="_Toc336338146"/>
            <w:bookmarkStart w:id="528" w:name="_Toc371663541"/>
            <w:r w:rsidRPr="003F471F">
              <w:rPr>
                <w:rFonts w:ascii="Tahoma" w:hAnsi="Tahoma" w:cs="Tahoma"/>
                <w:b w:val="0"/>
                <w:sz w:val="14"/>
                <w:szCs w:val="14"/>
                <w:lang w:val="it-IT"/>
              </w:rPr>
              <w:t>CAL per Servizi Desktop Remoto Windows Server™ 2012</w:t>
            </w:r>
            <w:bookmarkEnd w:id="527"/>
            <w:bookmarkEnd w:id="528"/>
          </w:p>
        </w:tc>
        <w:tc>
          <w:tcPr>
            <w:tcW w:w="554" w:type="dxa"/>
            <w:tcBorders>
              <w:bottom w:val="single" w:sz="4" w:space="0" w:color="auto"/>
            </w:tcBorders>
            <w:shd w:val="clear" w:color="auto" w:fill="FABF8F"/>
            <w:vAlign w:val="center"/>
          </w:tcPr>
          <w:p w14:paraId="2F6E506E" w14:textId="77777777" w:rsidR="00913A0A" w:rsidRPr="003F471F" w:rsidRDefault="00913A0A" w:rsidP="001A63C6">
            <w:pPr>
              <w:pStyle w:val="TableText"/>
              <w:widowControl w:val="0"/>
              <w:rPr>
                <w:rStyle w:val="EndnoteReference"/>
                <w:sz w:val="13"/>
                <w:szCs w:val="13"/>
                <w:u w:val="single"/>
                <w:lang w:val="it-IT"/>
              </w:rPr>
            </w:pPr>
          </w:p>
        </w:tc>
        <w:tc>
          <w:tcPr>
            <w:tcW w:w="516" w:type="dxa"/>
            <w:tcBorders>
              <w:bottom w:val="single" w:sz="4" w:space="0" w:color="auto"/>
            </w:tcBorders>
            <w:shd w:val="clear" w:color="auto" w:fill="FABF8F"/>
            <w:vAlign w:val="center"/>
          </w:tcPr>
          <w:p w14:paraId="36106760" w14:textId="77777777" w:rsidR="00913A0A" w:rsidRPr="0058047D" w:rsidRDefault="00913A0A" w:rsidP="001A63C6">
            <w:pPr>
              <w:pStyle w:val="TableText"/>
              <w:widowControl w:val="0"/>
              <w:spacing w:before="160"/>
              <w:rPr>
                <w:rFonts w:ascii="Tahoma" w:hAnsi="Tahoma" w:cs="Tahoma"/>
                <w:color w:val="000000"/>
                <w:sz w:val="13"/>
              </w:rPr>
            </w:pPr>
            <w:r w:rsidRPr="0058047D">
              <w:rPr>
                <w:rFonts w:ascii="Tahoma" w:hAnsi="Tahoma" w:cs="Tahoma"/>
                <w:color w:val="000000"/>
                <w:sz w:val="13"/>
              </w:rPr>
              <w:t>09/12</w:t>
            </w:r>
          </w:p>
        </w:tc>
        <w:tc>
          <w:tcPr>
            <w:tcW w:w="358" w:type="dxa"/>
            <w:tcBorders>
              <w:bottom w:val="single" w:sz="4" w:space="0" w:color="auto"/>
              <w:right w:val="single" w:sz="18" w:space="0" w:color="auto"/>
            </w:tcBorders>
            <w:shd w:val="clear" w:color="auto" w:fill="FABF8F"/>
            <w:vAlign w:val="center"/>
          </w:tcPr>
          <w:p w14:paraId="2E5A986E"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FABF8F"/>
            <w:vAlign w:val="center"/>
          </w:tcPr>
          <w:p w14:paraId="64968388"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324" w:type="dxa"/>
            <w:tcBorders>
              <w:bottom w:val="single" w:sz="4" w:space="0" w:color="auto"/>
            </w:tcBorders>
            <w:shd w:val="clear" w:color="auto" w:fill="FABF8F"/>
            <w:vAlign w:val="center"/>
          </w:tcPr>
          <w:p w14:paraId="7D40F4D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3</w:t>
            </w:r>
          </w:p>
        </w:tc>
        <w:tc>
          <w:tcPr>
            <w:tcW w:w="366" w:type="dxa"/>
            <w:tcBorders>
              <w:bottom w:val="single" w:sz="4" w:space="0" w:color="auto"/>
            </w:tcBorders>
            <w:shd w:val="clear" w:color="auto" w:fill="FABF8F"/>
            <w:vAlign w:val="center"/>
          </w:tcPr>
          <w:p w14:paraId="3FFE90CF"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56" w:type="dxa"/>
            <w:gridSpan w:val="2"/>
            <w:tcBorders>
              <w:bottom w:val="single" w:sz="4" w:space="0" w:color="auto"/>
            </w:tcBorders>
            <w:shd w:val="clear" w:color="auto" w:fill="FABF8F"/>
            <w:vAlign w:val="center"/>
          </w:tcPr>
          <w:p w14:paraId="24063CD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FABF8F"/>
            <w:vAlign w:val="center"/>
          </w:tcPr>
          <w:p w14:paraId="1E584C83"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FABF8F"/>
            <w:vAlign w:val="center"/>
          </w:tcPr>
          <w:p w14:paraId="3C7BF99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336" w:type="dxa"/>
            <w:tcBorders>
              <w:bottom w:val="single" w:sz="4" w:space="0" w:color="auto"/>
              <w:right w:val="single" w:sz="18" w:space="0" w:color="auto"/>
            </w:tcBorders>
            <w:shd w:val="clear" w:color="auto" w:fill="FABF8F"/>
            <w:vAlign w:val="center"/>
          </w:tcPr>
          <w:p w14:paraId="7B239C1A"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left w:val="single" w:sz="18" w:space="0" w:color="auto"/>
              <w:bottom w:val="single" w:sz="4" w:space="0" w:color="auto"/>
            </w:tcBorders>
            <w:shd w:val="clear" w:color="auto" w:fill="FABF8F"/>
            <w:vAlign w:val="center"/>
          </w:tcPr>
          <w:p w14:paraId="202887C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50" w:type="dxa"/>
            <w:tcBorders>
              <w:bottom w:val="single" w:sz="4" w:space="0" w:color="auto"/>
            </w:tcBorders>
            <w:shd w:val="clear" w:color="auto" w:fill="FABF8F"/>
            <w:vAlign w:val="center"/>
          </w:tcPr>
          <w:p w14:paraId="4DECF01F"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14" w:type="dxa"/>
            <w:tcBorders>
              <w:bottom w:val="single" w:sz="4" w:space="0" w:color="auto"/>
              <w:right w:val="single" w:sz="18" w:space="0" w:color="auto"/>
            </w:tcBorders>
            <w:shd w:val="clear" w:color="auto" w:fill="FABF8F"/>
            <w:vAlign w:val="center"/>
          </w:tcPr>
          <w:p w14:paraId="15C4BC8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68" w:type="dxa"/>
            <w:tcBorders>
              <w:left w:val="single" w:sz="18" w:space="0" w:color="auto"/>
              <w:bottom w:val="single" w:sz="4" w:space="0" w:color="auto"/>
            </w:tcBorders>
            <w:shd w:val="clear" w:color="auto" w:fill="FABF8F"/>
            <w:vAlign w:val="center"/>
          </w:tcPr>
          <w:p w14:paraId="3780D2F8"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FABF8F"/>
            <w:vAlign w:val="center"/>
          </w:tcPr>
          <w:p w14:paraId="642A44B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A,D</w:t>
            </w:r>
          </w:p>
        </w:tc>
        <w:tc>
          <w:tcPr>
            <w:tcW w:w="324" w:type="dxa"/>
            <w:tcBorders>
              <w:left w:val="single" w:sz="18" w:space="0" w:color="auto"/>
              <w:bottom w:val="single" w:sz="4" w:space="0" w:color="auto"/>
              <w:right w:val="single" w:sz="18" w:space="0" w:color="auto"/>
            </w:tcBorders>
            <w:shd w:val="clear" w:color="auto" w:fill="FABF8F"/>
            <w:vAlign w:val="center"/>
          </w:tcPr>
          <w:p w14:paraId="449B0B6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tcPr>
          <w:p w14:paraId="0B114FFA"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 ST</w:t>
            </w:r>
          </w:p>
        </w:tc>
        <w:tc>
          <w:tcPr>
            <w:tcW w:w="504" w:type="dxa"/>
            <w:tcBorders>
              <w:bottom w:val="single" w:sz="4" w:space="0" w:color="auto"/>
            </w:tcBorders>
            <w:shd w:val="clear" w:color="auto" w:fill="FABF8F"/>
            <w:vAlign w:val="center"/>
          </w:tcPr>
          <w:p w14:paraId="3235F054" w14:textId="77777777" w:rsidR="00913A0A" w:rsidRPr="0058047D" w:rsidRDefault="00913A0A" w:rsidP="001A63C6">
            <w:pPr>
              <w:pStyle w:val="TableText"/>
              <w:widowControl w:val="0"/>
              <w:rPr>
                <w:rFonts w:ascii="Tahoma" w:hAnsi="Tahoma" w:cs="Tahoma"/>
                <w:color w:val="000000"/>
                <w:sz w:val="13"/>
              </w:rPr>
            </w:pPr>
          </w:p>
        </w:tc>
        <w:tc>
          <w:tcPr>
            <w:tcW w:w="405" w:type="dxa"/>
            <w:tcBorders>
              <w:bottom w:val="single" w:sz="4" w:space="0" w:color="auto"/>
            </w:tcBorders>
            <w:shd w:val="clear" w:color="auto" w:fill="FABF8F"/>
          </w:tcPr>
          <w:p w14:paraId="5A519D6E" w14:textId="77777777" w:rsidR="00913A0A" w:rsidRPr="0058047D" w:rsidRDefault="002C4BA9" w:rsidP="001A63C6">
            <w:pPr>
              <w:pStyle w:val="TableText"/>
              <w:widowControl w:val="0"/>
              <w:rPr>
                <w:rFonts w:ascii="Tahoma" w:hAnsi="Tahoma" w:cs="Tahoma"/>
                <w:color w:val="000000"/>
                <w:sz w:val="13"/>
              </w:rPr>
            </w:pPr>
            <w:r w:rsidRPr="0058047D">
              <w:rPr>
                <w:rFonts w:ascii="Tahoma" w:hAnsi="Tahoma" w:cs="Tahoma"/>
                <w:color w:val="000000"/>
                <w:sz w:val="13"/>
              </w:rPr>
              <w:t>A</w:t>
            </w:r>
          </w:p>
        </w:tc>
      </w:tr>
      <w:tr w:rsidR="00C86F50" w:rsidRPr="0058047D" w14:paraId="4E6562FD" w14:textId="77777777" w:rsidTr="00C86F50">
        <w:trPr>
          <w:trHeight w:val="431"/>
        </w:trPr>
        <w:tc>
          <w:tcPr>
            <w:tcW w:w="2619" w:type="dxa"/>
            <w:gridSpan w:val="2"/>
            <w:tcBorders>
              <w:bottom w:val="single" w:sz="4" w:space="0" w:color="auto"/>
            </w:tcBorders>
            <w:shd w:val="clear" w:color="auto" w:fill="auto"/>
            <w:vAlign w:val="center"/>
          </w:tcPr>
          <w:p w14:paraId="21798197" w14:textId="77777777" w:rsidR="00913A0A" w:rsidRPr="0058047D" w:rsidRDefault="00913A0A" w:rsidP="001A63C6">
            <w:pPr>
              <w:pStyle w:val="Heading2"/>
              <w:spacing w:before="20" w:after="20"/>
              <w:ind w:left="0"/>
              <w:rPr>
                <w:rFonts w:ascii="Tahoma" w:hAnsi="Tahoma" w:cs="Tahoma"/>
                <w:b w:val="0"/>
                <w:sz w:val="14"/>
                <w:szCs w:val="14"/>
              </w:rPr>
            </w:pPr>
            <w:bookmarkStart w:id="529" w:name="_Toc336338147"/>
            <w:bookmarkStart w:id="530" w:name="_Toc371663542"/>
            <w:r w:rsidRPr="0058047D">
              <w:rPr>
                <w:rFonts w:ascii="Tahoma" w:hAnsi="Tahoma" w:cs="Tahoma"/>
                <w:b w:val="0"/>
                <w:sz w:val="14"/>
                <w:szCs w:val="14"/>
              </w:rPr>
              <w:t>External Connector per Servizi Desktop Remoto Windows Server™ 2012</w:t>
            </w:r>
            <w:bookmarkEnd w:id="529"/>
            <w:bookmarkEnd w:id="530"/>
          </w:p>
        </w:tc>
        <w:tc>
          <w:tcPr>
            <w:tcW w:w="554" w:type="dxa"/>
            <w:tcBorders>
              <w:bottom w:val="single" w:sz="4" w:space="0" w:color="auto"/>
            </w:tcBorders>
            <w:shd w:val="clear" w:color="auto" w:fill="auto"/>
            <w:vAlign w:val="center"/>
          </w:tcPr>
          <w:p w14:paraId="4D6D3D78" w14:textId="77777777" w:rsidR="00913A0A" w:rsidRPr="0058047D" w:rsidRDefault="00913A0A" w:rsidP="001A63C6">
            <w:pPr>
              <w:pStyle w:val="TableText"/>
              <w:widowControl w:val="0"/>
              <w:rPr>
                <w:rStyle w:val="EndnoteReference"/>
                <w:sz w:val="13"/>
                <w:szCs w:val="13"/>
                <w:u w:val="single"/>
              </w:rPr>
            </w:pPr>
          </w:p>
        </w:tc>
        <w:tc>
          <w:tcPr>
            <w:tcW w:w="516" w:type="dxa"/>
            <w:tcBorders>
              <w:bottom w:val="single" w:sz="4" w:space="0" w:color="auto"/>
            </w:tcBorders>
            <w:shd w:val="clear" w:color="auto" w:fill="auto"/>
            <w:vAlign w:val="center"/>
          </w:tcPr>
          <w:p w14:paraId="72DC0699" w14:textId="77777777" w:rsidR="00913A0A" w:rsidRPr="0058047D" w:rsidRDefault="00913A0A" w:rsidP="001A63C6">
            <w:pPr>
              <w:pStyle w:val="TableText"/>
              <w:widowControl w:val="0"/>
              <w:spacing w:before="160"/>
              <w:rPr>
                <w:rFonts w:ascii="Tahoma" w:hAnsi="Tahoma" w:cs="Tahoma"/>
                <w:color w:val="000000"/>
                <w:sz w:val="13"/>
              </w:rPr>
            </w:pPr>
            <w:r w:rsidRPr="0058047D">
              <w:rPr>
                <w:rFonts w:ascii="Tahoma" w:hAnsi="Tahoma" w:cs="Tahoma"/>
                <w:color w:val="000000"/>
                <w:sz w:val="13"/>
              </w:rPr>
              <w:t>09/12</w:t>
            </w:r>
          </w:p>
        </w:tc>
        <w:tc>
          <w:tcPr>
            <w:tcW w:w="358" w:type="dxa"/>
            <w:tcBorders>
              <w:bottom w:val="single" w:sz="4" w:space="0" w:color="auto"/>
              <w:right w:val="single" w:sz="18" w:space="0" w:color="auto"/>
            </w:tcBorders>
            <w:shd w:val="clear" w:color="auto" w:fill="auto"/>
            <w:vAlign w:val="center"/>
          </w:tcPr>
          <w:p w14:paraId="7DF60BE5"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auto"/>
            <w:vAlign w:val="center"/>
          </w:tcPr>
          <w:p w14:paraId="63335B2E"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75</w:t>
            </w:r>
          </w:p>
        </w:tc>
        <w:tc>
          <w:tcPr>
            <w:tcW w:w="324" w:type="dxa"/>
            <w:tcBorders>
              <w:bottom w:val="single" w:sz="4" w:space="0" w:color="auto"/>
            </w:tcBorders>
            <w:shd w:val="clear" w:color="auto" w:fill="auto"/>
            <w:vAlign w:val="center"/>
          </w:tcPr>
          <w:p w14:paraId="443DF1D1"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188</w:t>
            </w:r>
          </w:p>
        </w:tc>
        <w:tc>
          <w:tcPr>
            <w:tcW w:w="366" w:type="dxa"/>
            <w:tcBorders>
              <w:bottom w:val="single" w:sz="4" w:space="0" w:color="auto"/>
            </w:tcBorders>
            <w:shd w:val="clear" w:color="auto" w:fill="auto"/>
            <w:vAlign w:val="center"/>
          </w:tcPr>
          <w:p w14:paraId="1772AD4E"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150</w:t>
            </w:r>
          </w:p>
        </w:tc>
        <w:tc>
          <w:tcPr>
            <w:tcW w:w="456" w:type="dxa"/>
            <w:gridSpan w:val="2"/>
            <w:tcBorders>
              <w:bottom w:val="single" w:sz="4" w:space="0" w:color="auto"/>
            </w:tcBorders>
            <w:shd w:val="clear" w:color="auto" w:fill="auto"/>
            <w:vAlign w:val="center"/>
          </w:tcPr>
          <w:p w14:paraId="256F3CAA"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113</w:t>
            </w:r>
          </w:p>
        </w:tc>
        <w:tc>
          <w:tcPr>
            <w:tcW w:w="450" w:type="dxa"/>
            <w:tcBorders>
              <w:bottom w:val="single" w:sz="4" w:space="0" w:color="auto"/>
            </w:tcBorders>
            <w:shd w:val="clear" w:color="auto" w:fill="auto"/>
            <w:vAlign w:val="center"/>
          </w:tcPr>
          <w:p w14:paraId="3777097E"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113</w:t>
            </w:r>
          </w:p>
        </w:tc>
        <w:tc>
          <w:tcPr>
            <w:tcW w:w="450" w:type="dxa"/>
            <w:tcBorders>
              <w:bottom w:val="single" w:sz="4" w:space="0" w:color="auto"/>
            </w:tcBorders>
            <w:shd w:val="clear" w:color="auto" w:fill="auto"/>
            <w:vAlign w:val="center"/>
          </w:tcPr>
          <w:p w14:paraId="6CB4086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75</w:t>
            </w:r>
          </w:p>
        </w:tc>
        <w:tc>
          <w:tcPr>
            <w:tcW w:w="336" w:type="dxa"/>
            <w:tcBorders>
              <w:bottom w:val="single" w:sz="4" w:space="0" w:color="auto"/>
              <w:right w:val="single" w:sz="18" w:space="0" w:color="auto"/>
            </w:tcBorders>
            <w:shd w:val="clear" w:color="auto" w:fill="auto"/>
            <w:vAlign w:val="center"/>
          </w:tcPr>
          <w:p w14:paraId="51B34B4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38</w:t>
            </w:r>
          </w:p>
        </w:tc>
        <w:tc>
          <w:tcPr>
            <w:tcW w:w="477" w:type="dxa"/>
            <w:tcBorders>
              <w:left w:val="single" w:sz="18" w:space="0" w:color="auto"/>
              <w:bottom w:val="single" w:sz="4" w:space="0" w:color="auto"/>
            </w:tcBorders>
            <w:shd w:val="clear" w:color="auto" w:fill="auto"/>
            <w:vAlign w:val="center"/>
          </w:tcPr>
          <w:p w14:paraId="665AF5EC"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75</w:t>
            </w:r>
          </w:p>
        </w:tc>
        <w:tc>
          <w:tcPr>
            <w:tcW w:w="450" w:type="dxa"/>
            <w:tcBorders>
              <w:bottom w:val="single" w:sz="4" w:space="0" w:color="auto"/>
            </w:tcBorders>
            <w:shd w:val="clear" w:color="auto" w:fill="auto"/>
            <w:vAlign w:val="center"/>
          </w:tcPr>
          <w:p w14:paraId="4A993B7F"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150</w:t>
            </w:r>
          </w:p>
        </w:tc>
        <w:tc>
          <w:tcPr>
            <w:tcW w:w="414" w:type="dxa"/>
            <w:tcBorders>
              <w:bottom w:val="single" w:sz="4" w:space="0" w:color="auto"/>
              <w:right w:val="single" w:sz="18" w:space="0" w:color="auto"/>
            </w:tcBorders>
            <w:shd w:val="clear" w:color="auto" w:fill="auto"/>
            <w:vAlign w:val="center"/>
          </w:tcPr>
          <w:p w14:paraId="738C4C0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75</w:t>
            </w:r>
          </w:p>
        </w:tc>
        <w:tc>
          <w:tcPr>
            <w:tcW w:w="468" w:type="dxa"/>
            <w:tcBorders>
              <w:left w:val="single" w:sz="18" w:space="0" w:color="auto"/>
              <w:bottom w:val="single" w:sz="4" w:space="0" w:color="auto"/>
            </w:tcBorders>
            <w:shd w:val="clear" w:color="auto" w:fill="auto"/>
            <w:vAlign w:val="center"/>
          </w:tcPr>
          <w:p w14:paraId="684DA10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75</w:t>
            </w:r>
          </w:p>
        </w:tc>
        <w:tc>
          <w:tcPr>
            <w:tcW w:w="477" w:type="dxa"/>
            <w:tcBorders>
              <w:bottom w:val="single" w:sz="4" w:space="0" w:color="auto"/>
              <w:right w:val="single" w:sz="18" w:space="0" w:color="auto"/>
            </w:tcBorders>
            <w:shd w:val="clear" w:color="auto" w:fill="auto"/>
            <w:vAlign w:val="center"/>
          </w:tcPr>
          <w:p w14:paraId="0527666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538F731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auto"/>
          </w:tcPr>
          <w:p w14:paraId="413F7A7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auto"/>
            <w:vAlign w:val="center"/>
          </w:tcPr>
          <w:p w14:paraId="3B4944A0"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OL/OV</w:t>
            </w:r>
          </w:p>
        </w:tc>
        <w:tc>
          <w:tcPr>
            <w:tcW w:w="405" w:type="dxa"/>
            <w:tcBorders>
              <w:bottom w:val="single" w:sz="4" w:space="0" w:color="auto"/>
            </w:tcBorders>
            <w:shd w:val="clear" w:color="auto" w:fill="auto"/>
          </w:tcPr>
          <w:p w14:paraId="04DA8678" w14:textId="77777777" w:rsidR="00913A0A" w:rsidRPr="0058047D" w:rsidRDefault="002C4BA9" w:rsidP="001A63C6">
            <w:pPr>
              <w:pStyle w:val="TableText"/>
              <w:widowControl w:val="0"/>
              <w:rPr>
                <w:rFonts w:ascii="Tahoma" w:hAnsi="Tahoma" w:cs="Tahoma"/>
                <w:color w:val="000000"/>
                <w:sz w:val="13"/>
              </w:rPr>
            </w:pPr>
            <w:r w:rsidRPr="0058047D">
              <w:rPr>
                <w:rFonts w:ascii="Tahoma" w:hAnsi="Tahoma" w:cs="Tahoma"/>
                <w:color w:val="000000"/>
                <w:sz w:val="13"/>
              </w:rPr>
              <w:t>A</w:t>
            </w:r>
          </w:p>
        </w:tc>
      </w:tr>
      <w:tr w:rsidR="009323A0" w:rsidRPr="0058047D" w14:paraId="2846CF7D" w14:textId="77777777" w:rsidTr="00C86F50">
        <w:trPr>
          <w:trHeight w:val="145"/>
        </w:trPr>
        <w:tc>
          <w:tcPr>
            <w:tcW w:w="2619" w:type="dxa"/>
            <w:gridSpan w:val="2"/>
            <w:tcBorders>
              <w:bottom w:val="single" w:sz="4" w:space="0" w:color="auto"/>
            </w:tcBorders>
            <w:shd w:val="clear" w:color="auto" w:fill="FABF8F"/>
            <w:vAlign w:val="center"/>
          </w:tcPr>
          <w:p w14:paraId="229362FF" w14:textId="77777777" w:rsidR="00913A0A" w:rsidRPr="0058047D" w:rsidRDefault="00913A0A" w:rsidP="001A63C6">
            <w:pPr>
              <w:pStyle w:val="Heading2"/>
              <w:spacing w:before="20" w:after="20"/>
              <w:ind w:left="0"/>
              <w:rPr>
                <w:rFonts w:ascii="Tahoma" w:hAnsi="Tahoma" w:cs="Tahoma"/>
                <w:b w:val="0"/>
                <w:sz w:val="14"/>
                <w:szCs w:val="14"/>
              </w:rPr>
            </w:pPr>
            <w:bookmarkStart w:id="531" w:name="_Toc336338148"/>
            <w:bookmarkStart w:id="532" w:name="_Toc371663543"/>
            <w:r w:rsidRPr="0058047D">
              <w:rPr>
                <w:rFonts w:ascii="Tahoma" w:hAnsi="Tahoma" w:cs="Tahoma"/>
                <w:b w:val="0"/>
                <w:sz w:val="14"/>
                <w:szCs w:val="14"/>
              </w:rPr>
              <w:t>CAL per Windows Server™ 2012 Active Directory Rights Management Services</w:t>
            </w:r>
            <w:bookmarkEnd w:id="531"/>
            <w:bookmarkEnd w:id="532"/>
          </w:p>
        </w:tc>
        <w:tc>
          <w:tcPr>
            <w:tcW w:w="554" w:type="dxa"/>
            <w:tcBorders>
              <w:bottom w:val="single" w:sz="4" w:space="0" w:color="auto"/>
            </w:tcBorders>
            <w:shd w:val="clear" w:color="auto" w:fill="FABF8F"/>
            <w:vAlign w:val="center"/>
          </w:tcPr>
          <w:p w14:paraId="0B49975F" w14:textId="77777777" w:rsidR="00913A0A" w:rsidRPr="0058047D" w:rsidRDefault="00913A0A" w:rsidP="001A63C6">
            <w:pPr>
              <w:pStyle w:val="TableText"/>
              <w:widowControl w:val="0"/>
              <w:rPr>
                <w:rStyle w:val="EndnoteReference"/>
                <w:sz w:val="13"/>
                <w:szCs w:val="13"/>
                <w:u w:val="single"/>
              </w:rPr>
            </w:pPr>
          </w:p>
        </w:tc>
        <w:tc>
          <w:tcPr>
            <w:tcW w:w="516" w:type="dxa"/>
            <w:tcBorders>
              <w:bottom w:val="single" w:sz="4" w:space="0" w:color="auto"/>
            </w:tcBorders>
            <w:shd w:val="clear" w:color="auto" w:fill="FABF8F"/>
            <w:vAlign w:val="center"/>
          </w:tcPr>
          <w:p w14:paraId="2140DCF9" w14:textId="77777777" w:rsidR="00913A0A" w:rsidRPr="0058047D" w:rsidRDefault="00913A0A" w:rsidP="001A63C6">
            <w:pPr>
              <w:pStyle w:val="TableText"/>
              <w:widowControl w:val="0"/>
              <w:spacing w:before="160"/>
              <w:rPr>
                <w:rFonts w:ascii="Tahoma" w:hAnsi="Tahoma" w:cs="Tahoma"/>
                <w:color w:val="000000"/>
                <w:sz w:val="13"/>
              </w:rPr>
            </w:pPr>
            <w:r w:rsidRPr="0058047D">
              <w:rPr>
                <w:rFonts w:ascii="Tahoma" w:hAnsi="Tahoma" w:cs="Tahoma"/>
                <w:color w:val="000000"/>
                <w:sz w:val="13"/>
              </w:rPr>
              <w:t>09/12</w:t>
            </w:r>
          </w:p>
        </w:tc>
        <w:tc>
          <w:tcPr>
            <w:tcW w:w="358" w:type="dxa"/>
            <w:tcBorders>
              <w:bottom w:val="single" w:sz="4" w:space="0" w:color="auto"/>
              <w:right w:val="single" w:sz="18" w:space="0" w:color="auto"/>
            </w:tcBorders>
            <w:shd w:val="clear" w:color="auto" w:fill="FABF8F"/>
            <w:vAlign w:val="center"/>
          </w:tcPr>
          <w:p w14:paraId="5069FE8B" w14:textId="77777777" w:rsidR="00913A0A" w:rsidRPr="0058047D" w:rsidRDefault="00913A0A" w:rsidP="001A63C6">
            <w:pPr>
              <w:pStyle w:val="TableText"/>
              <w:widowControl w:val="0"/>
              <w:rPr>
                <w:rFonts w:ascii="Tahoma" w:hAnsi="Tahoma" w:cs="Tahoma"/>
                <w:color w:val="000000"/>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FABF8F"/>
            <w:vAlign w:val="center"/>
          </w:tcPr>
          <w:p w14:paraId="0D56FC48"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324" w:type="dxa"/>
            <w:tcBorders>
              <w:bottom w:val="single" w:sz="4" w:space="0" w:color="auto"/>
            </w:tcBorders>
            <w:shd w:val="clear" w:color="auto" w:fill="FABF8F"/>
            <w:vAlign w:val="center"/>
          </w:tcPr>
          <w:p w14:paraId="5D190B3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3</w:t>
            </w:r>
          </w:p>
        </w:tc>
        <w:tc>
          <w:tcPr>
            <w:tcW w:w="366" w:type="dxa"/>
            <w:tcBorders>
              <w:bottom w:val="single" w:sz="4" w:space="0" w:color="auto"/>
            </w:tcBorders>
            <w:shd w:val="clear" w:color="auto" w:fill="FABF8F"/>
            <w:vAlign w:val="center"/>
          </w:tcPr>
          <w:p w14:paraId="24CFBACF"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56" w:type="dxa"/>
            <w:gridSpan w:val="2"/>
            <w:tcBorders>
              <w:bottom w:val="single" w:sz="4" w:space="0" w:color="auto"/>
            </w:tcBorders>
            <w:shd w:val="clear" w:color="auto" w:fill="FABF8F"/>
            <w:vAlign w:val="center"/>
          </w:tcPr>
          <w:p w14:paraId="503E66C6"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FABF8F"/>
            <w:vAlign w:val="center"/>
          </w:tcPr>
          <w:p w14:paraId="04F9900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50" w:type="dxa"/>
            <w:tcBorders>
              <w:bottom w:val="single" w:sz="4" w:space="0" w:color="auto"/>
            </w:tcBorders>
            <w:shd w:val="clear" w:color="auto" w:fill="FABF8F"/>
            <w:vAlign w:val="center"/>
          </w:tcPr>
          <w:p w14:paraId="751704B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336" w:type="dxa"/>
            <w:tcBorders>
              <w:bottom w:val="single" w:sz="4" w:space="0" w:color="auto"/>
              <w:right w:val="single" w:sz="18" w:space="0" w:color="auto"/>
            </w:tcBorders>
            <w:shd w:val="clear" w:color="auto" w:fill="FABF8F"/>
            <w:vAlign w:val="center"/>
          </w:tcPr>
          <w:p w14:paraId="0F1C5505"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left w:val="single" w:sz="18" w:space="0" w:color="auto"/>
              <w:bottom w:val="single" w:sz="4" w:space="0" w:color="auto"/>
            </w:tcBorders>
            <w:shd w:val="clear" w:color="auto" w:fill="FABF8F"/>
            <w:vAlign w:val="center"/>
          </w:tcPr>
          <w:p w14:paraId="4CF65C62"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50" w:type="dxa"/>
            <w:tcBorders>
              <w:bottom w:val="single" w:sz="4" w:space="0" w:color="auto"/>
            </w:tcBorders>
            <w:shd w:val="clear" w:color="auto" w:fill="FABF8F"/>
            <w:vAlign w:val="center"/>
          </w:tcPr>
          <w:p w14:paraId="224304F4"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2</w:t>
            </w:r>
          </w:p>
        </w:tc>
        <w:tc>
          <w:tcPr>
            <w:tcW w:w="414" w:type="dxa"/>
            <w:tcBorders>
              <w:bottom w:val="single" w:sz="4" w:space="0" w:color="auto"/>
              <w:right w:val="single" w:sz="18" w:space="0" w:color="auto"/>
            </w:tcBorders>
            <w:shd w:val="clear" w:color="auto" w:fill="FABF8F"/>
            <w:vAlign w:val="center"/>
          </w:tcPr>
          <w:p w14:paraId="0021C6F5"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68" w:type="dxa"/>
            <w:tcBorders>
              <w:left w:val="single" w:sz="18" w:space="0" w:color="auto"/>
              <w:bottom w:val="single" w:sz="4" w:space="0" w:color="auto"/>
            </w:tcBorders>
            <w:shd w:val="clear" w:color="auto" w:fill="FABF8F"/>
            <w:vAlign w:val="center"/>
          </w:tcPr>
          <w:p w14:paraId="2ADA4EF7"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FABF8F"/>
            <w:vAlign w:val="center"/>
          </w:tcPr>
          <w:p w14:paraId="141428C9"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FABF8F"/>
            <w:vAlign w:val="center"/>
          </w:tcPr>
          <w:p w14:paraId="646D5AB8"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tcPr>
          <w:p w14:paraId="523E2B6B" w14:textId="77777777" w:rsidR="00913A0A" w:rsidRPr="0058047D" w:rsidRDefault="00913A0A" w:rsidP="001A63C6">
            <w:pPr>
              <w:pStyle w:val="TableText"/>
              <w:widowControl w:val="0"/>
              <w:rPr>
                <w:rFonts w:ascii="Tahoma" w:hAnsi="Tahoma" w:cs="Tahoma"/>
                <w:sz w:val="13"/>
              </w:rPr>
            </w:pPr>
            <w:r w:rsidRPr="0058047D">
              <w:rPr>
                <w:rFonts w:ascii="Tahoma" w:hAnsi="Tahoma" w:cs="Tahoma"/>
                <w:sz w:val="13"/>
              </w:rPr>
              <w:t>A, ST</w:t>
            </w:r>
          </w:p>
        </w:tc>
        <w:tc>
          <w:tcPr>
            <w:tcW w:w="504" w:type="dxa"/>
            <w:tcBorders>
              <w:bottom w:val="single" w:sz="4" w:space="0" w:color="auto"/>
            </w:tcBorders>
            <w:shd w:val="clear" w:color="auto" w:fill="FABF8F"/>
            <w:vAlign w:val="center"/>
          </w:tcPr>
          <w:p w14:paraId="36149B43" w14:textId="77777777" w:rsidR="00913A0A" w:rsidRPr="0058047D" w:rsidRDefault="00913A0A" w:rsidP="001A63C6">
            <w:pPr>
              <w:pStyle w:val="TableText"/>
              <w:widowControl w:val="0"/>
              <w:rPr>
                <w:rFonts w:ascii="Tahoma" w:hAnsi="Tahoma" w:cs="Tahoma"/>
                <w:color w:val="000000"/>
                <w:sz w:val="13"/>
              </w:rPr>
            </w:pPr>
          </w:p>
        </w:tc>
        <w:tc>
          <w:tcPr>
            <w:tcW w:w="405" w:type="dxa"/>
            <w:tcBorders>
              <w:bottom w:val="single" w:sz="4" w:space="0" w:color="auto"/>
            </w:tcBorders>
            <w:shd w:val="clear" w:color="auto" w:fill="FABF8F"/>
          </w:tcPr>
          <w:p w14:paraId="4F9528B0" w14:textId="77777777" w:rsidR="00913A0A" w:rsidRPr="0058047D" w:rsidRDefault="002C4BA9" w:rsidP="001A63C6">
            <w:pPr>
              <w:pStyle w:val="TableText"/>
              <w:widowControl w:val="0"/>
              <w:rPr>
                <w:rFonts w:ascii="Tahoma" w:hAnsi="Tahoma" w:cs="Tahoma"/>
                <w:color w:val="000000"/>
                <w:sz w:val="13"/>
              </w:rPr>
            </w:pPr>
            <w:r w:rsidRPr="0058047D">
              <w:rPr>
                <w:rFonts w:ascii="Tahoma" w:hAnsi="Tahoma" w:cs="Tahoma"/>
                <w:color w:val="000000"/>
                <w:sz w:val="13"/>
              </w:rPr>
              <w:t>A</w:t>
            </w:r>
          </w:p>
        </w:tc>
      </w:tr>
      <w:tr w:rsidR="00C86F50" w:rsidRPr="0058047D" w14:paraId="5141A37A" w14:textId="77777777" w:rsidTr="00C86F50">
        <w:trPr>
          <w:trHeight w:val="467"/>
        </w:trPr>
        <w:tc>
          <w:tcPr>
            <w:tcW w:w="2619" w:type="dxa"/>
            <w:gridSpan w:val="2"/>
            <w:tcBorders>
              <w:bottom w:val="single" w:sz="4" w:space="0" w:color="auto"/>
            </w:tcBorders>
            <w:shd w:val="clear" w:color="auto" w:fill="auto"/>
            <w:vAlign w:val="center"/>
          </w:tcPr>
          <w:p w14:paraId="3F92C94C" w14:textId="77777777" w:rsidR="00913A0A" w:rsidRPr="0058047D" w:rsidRDefault="00913A0A" w:rsidP="007E466C">
            <w:pPr>
              <w:pStyle w:val="Heading2"/>
              <w:keepNext/>
              <w:keepLines/>
              <w:spacing w:before="20" w:after="20"/>
              <w:ind w:left="0"/>
              <w:rPr>
                <w:rFonts w:ascii="Tahoma" w:hAnsi="Tahoma" w:cs="Tahoma"/>
                <w:b w:val="0"/>
                <w:sz w:val="14"/>
                <w:szCs w:val="14"/>
              </w:rPr>
            </w:pPr>
            <w:bookmarkStart w:id="533" w:name="_Toc336338149"/>
            <w:bookmarkStart w:id="534" w:name="_Toc371663544"/>
            <w:r w:rsidRPr="0058047D">
              <w:rPr>
                <w:rFonts w:ascii="Tahoma" w:hAnsi="Tahoma" w:cs="Tahoma"/>
                <w:b w:val="0"/>
                <w:sz w:val="14"/>
                <w:szCs w:val="14"/>
              </w:rPr>
              <w:t>External Connector per Windows Server™</w:t>
            </w:r>
            <w:r w:rsidR="00E53A46" w:rsidRPr="0058047D">
              <w:rPr>
                <w:rFonts w:ascii="Tahoma" w:hAnsi="Tahoma" w:cs="Tahoma"/>
                <w:b w:val="0"/>
                <w:sz w:val="14"/>
                <w:szCs w:val="14"/>
              </w:rPr>
              <w:t xml:space="preserve"> </w:t>
            </w:r>
            <w:r w:rsidRPr="0058047D">
              <w:rPr>
                <w:rFonts w:ascii="Tahoma" w:hAnsi="Tahoma" w:cs="Tahoma"/>
                <w:b w:val="0"/>
                <w:sz w:val="14"/>
                <w:szCs w:val="14"/>
              </w:rPr>
              <w:t>Active Directory Rights Management Services</w:t>
            </w:r>
            <w:bookmarkEnd w:id="533"/>
            <w:bookmarkEnd w:id="534"/>
          </w:p>
        </w:tc>
        <w:tc>
          <w:tcPr>
            <w:tcW w:w="554" w:type="dxa"/>
            <w:tcBorders>
              <w:bottom w:val="single" w:sz="4" w:space="0" w:color="auto"/>
            </w:tcBorders>
            <w:shd w:val="clear" w:color="auto" w:fill="auto"/>
            <w:vAlign w:val="center"/>
          </w:tcPr>
          <w:p w14:paraId="7D414F1C" w14:textId="77777777" w:rsidR="00913A0A" w:rsidRPr="0058047D" w:rsidRDefault="00913A0A" w:rsidP="007E466C">
            <w:pPr>
              <w:pStyle w:val="TableText"/>
              <w:keepNext/>
              <w:keepLines/>
              <w:widowControl w:val="0"/>
              <w:rPr>
                <w:rStyle w:val="EndnoteReference"/>
                <w:sz w:val="13"/>
                <w:szCs w:val="13"/>
                <w:u w:val="single"/>
              </w:rPr>
            </w:pPr>
          </w:p>
        </w:tc>
        <w:tc>
          <w:tcPr>
            <w:tcW w:w="516" w:type="dxa"/>
            <w:tcBorders>
              <w:bottom w:val="single" w:sz="4" w:space="0" w:color="auto"/>
            </w:tcBorders>
            <w:shd w:val="clear" w:color="auto" w:fill="auto"/>
            <w:vAlign w:val="center"/>
          </w:tcPr>
          <w:p w14:paraId="4D84D198" w14:textId="77777777" w:rsidR="00913A0A" w:rsidRPr="0058047D" w:rsidRDefault="00913A0A" w:rsidP="007E466C">
            <w:pPr>
              <w:pStyle w:val="TableText"/>
              <w:keepNext/>
              <w:keepLines/>
              <w:widowControl w:val="0"/>
              <w:spacing w:before="160"/>
              <w:rPr>
                <w:rFonts w:ascii="Tahoma" w:hAnsi="Tahoma" w:cs="Tahoma"/>
                <w:color w:val="000000"/>
                <w:sz w:val="13"/>
              </w:rPr>
            </w:pPr>
            <w:r w:rsidRPr="0058047D">
              <w:rPr>
                <w:rFonts w:ascii="Tahoma" w:hAnsi="Tahoma" w:cs="Tahoma"/>
                <w:color w:val="000000"/>
                <w:sz w:val="13"/>
              </w:rPr>
              <w:t>09/12</w:t>
            </w:r>
          </w:p>
        </w:tc>
        <w:tc>
          <w:tcPr>
            <w:tcW w:w="358" w:type="dxa"/>
            <w:tcBorders>
              <w:bottom w:val="single" w:sz="4" w:space="0" w:color="auto"/>
              <w:right w:val="single" w:sz="18" w:space="0" w:color="auto"/>
            </w:tcBorders>
            <w:shd w:val="clear" w:color="auto" w:fill="auto"/>
            <w:vAlign w:val="center"/>
          </w:tcPr>
          <w:p w14:paraId="7B6987C3" w14:textId="77777777" w:rsidR="00913A0A" w:rsidRPr="0058047D" w:rsidRDefault="00913A0A" w:rsidP="007E466C">
            <w:pPr>
              <w:pStyle w:val="TableText"/>
              <w:keepNext/>
              <w:keepLines/>
              <w:widowControl w:val="0"/>
              <w:rPr>
                <w:rFonts w:ascii="Tahoma" w:hAnsi="Tahoma" w:cs="Tahoma"/>
                <w:color w:val="000000"/>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auto"/>
            <w:vAlign w:val="center"/>
          </w:tcPr>
          <w:p w14:paraId="1A8A31FD" w14:textId="77777777" w:rsidR="00913A0A" w:rsidRPr="0058047D" w:rsidRDefault="00913A0A" w:rsidP="007E466C">
            <w:pPr>
              <w:pStyle w:val="TableText"/>
              <w:keepNext/>
              <w:keepLines/>
              <w:widowControl w:val="0"/>
              <w:rPr>
                <w:rFonts w:ascii="Tahoma" w:hAnsi="Tahoma" w:cs="Tahoma"/>
                <w:sz w:val="13"/>
              </w:rPr>
            </w:pPr>
            <w:r w:rsidRPr="0058047D">
              <w:rPr>
                <w:rFonts w:ascii="Tahoma" w:hAnsi="Tahoma" w:cs="Tahoma"/>
                <w:sz w:val="13"/>
              </w:rPr>
              <w:t>125</w:t>
            </w:r>
          </w:p>
        </w:tc>
        <w:tc>
          <w:tcPr>
            <w:tcW w:w="324" w:type="dxa"/>
            <w:tcBorders>
              <w:bottom w:val="single" w:sz="4" w:space="0" w:color="auto"/>
            </w:tcBorders>
            <w:shd w:val="clear" w:color="auto" w:fill="auto"/>
            <w:vAlign w:val="center"/>
          </w:tcPr>
          <w:p w14:paraId="42AC6AFC" w14:textId="77777777" w:rsidR="00913A0A" w:rsidRPr="0058047D" w:rsidRDefault="00913A0A" w:rsidP="007E466C">
            <w:pPr>
              <w:pStyle w:val="TableText"/>
              <w:keepNext/>
              <w:keepLines/>
              <w:widowControl w:val="0"/>
              <w:rPr>
                <w:rFonts w:ascii="Tahoma" w:hAnsi="Tahoma" w:cs="Tahoma"/>
                <w:sz w:val="13"/>
              </w:rPr>
            </w:pPr>
            <w:r w:rsidRPr="0058047D">
              <w:rPr>
                <w:rFonts w:ascii="Tahoma" w:hAnsi="Tahoma" w:cs="Tahoma"/>
                <w:sz w:val="13"/>
              </w:rPr>
              <w:t>313</w:t>
            </w:r>
          </w:p>
        </w:tc>
        <w:tc>
          <w:tcPr>
            <w:tcW w:w="366" w:type="dxa"/>
            <w:tcBorders>
              <w:bottom w:val="single" w:sz="4" w:space="0" w:color="auto"/>
            </w:tcBorders>
            <w:shd w:val="clear" w:color="auto" w:fill="auto"/>
            <w:vAlign w:val="center"/>
          </w:tcPr>
          <w:p w14:paraId="6B91289A" w14:textId="77777777" w:rsidR="00913A0A" w:rsidRPr="0058047D" w:rsidRDefault="00913A0A" w:rsidP="007E466C">
            <w:pPr>
              <w:pStyle w:val="TableText"/>
              <w:keepNext/>
              <w:keepLines/>
              <w:widowControl w:val="0"/>
              <w:rPr>
                <w:rFonts w:ascii="Tahoma" w:hAnsi="Tahoma" w:cs="Tahoma"/>
                <w:sz w:val="13"/>
              </w:rPr>
            </w:pPr>
            <w:r w:rsidRPr="0058047D">
              <w:rPr>
                <w:rFonts w:ascii="Tahoma" w:hAnsi="Tahoma" w:cs="Tahoma"/>
                <w:sz w:val="13"/>
              </w:rPr>
              <w:t>250</w:t>
            </w:r>
          </w:p>
        </w:tc>
        <w:tc>
          <w:tcPr>
            <w:tcW w:w="456" w:type="dxa"/>
            <w:gridSpan w:val="2"/>
            <w:tcBorders>
              <w:bottom w:val="single" w:sz="4" w:space="0" w:color="auto"/>
            </w:tcBorders>
            <w:shd w:val="clear" w:color="auto" w:fill="auto"/>
            <w:vAlign w:val="center"/>
          </w:tcPr>
          <w:p w14:paraId="3ACF7ABB" w14:textId="77777777" w:rsidR="00913A0A" w:rsidRPr="0058047D" w:rsidRDefault="00913A0A" w:rsidP="007E466C">
            <w:pPr>
              <w:pStyle w:val="TableText"/>
              <w:keepNext/>
              <w:keepLines/>
              <w:widowControl w:val="0"/>
              <w:rPr>
                <w:rFonts w:ascii="Tahoma" w:hAnsi="Tahoma" w:cs="Tahoma"/>
                <w:sz w:val="13"/>
              </w:rPr>
            </w:pPr>
            <w:r w:rsidRPr="0058047D">
              <w:rPr>
                <w:rFonts w:ascii="Tahoma" w:hAnsi="Tahoma" w:cs="Tahoma"/>
                <w:sz w:val="13"/>
              </w:rPr>
              <w:t>188</w:t>
            </w:r>
          </w:p>
        </w:tc>
        <w:tc>
          <w:tcPr>
            <w:tcW w:w="450" w:type="dxa"/>
            <w:tcBorders>
              <w:bottom w:val="single" w:sz="4" w:space="0" w:color="auto"/>
            </w:tcBorders>
            <w:shd w:val="clear" w:color="auto" w:fill="auto"/>
            <w:vAlign w:val="center"/>
          </w:tcPr>
          <w:p w14:paraId="44A4293B" w14:textId="77777777" w:rsidR="00913A0A" w:rsidRPr="0058047D" w:rsidRDefault="00913A0A" w:rsidP="007E466C">
            <w:pPr>
              <w:pStyle w:val="TableText"/>
              <w:keepNext/>
              <w:keepLines/>
              <w:widowControl w:val="0"/>
              <w:rPr>
                <w:rFonts w:ascii="Tahoma" w:hAnsi="Tahoma" w:cs="Tahoma"/>
                <w:sz w:val="13"/>
              </w:rPr>
            </w:pPr>
            <w:r w:rsidRPr="0058047D">
              <w:rPr>
                <w:rFonts w:ascii="Tahoma" w:hAnsi="Tahoma" w:cs="Tahoma"/>
                <w:sz w:val="13"/>
              </w:rPr>
              <w:t>188</w:t>
            </w:r>
          </w:p>
        </w:tc>
        <w:tc>
          <w:tcPr>
            <w:tcW w:w="450" w:type="dxa"/>
            <w:tcBorders>
              <w:bottom w:val="single" w:sz="4" w:space="0" w:color="auto"/>
            </w:tcBorders>
            <w:shd w:val="clear" w:color="auto" w:fill="auto"/>
            <w:vAlign w:val="center"/>
          </w:tcPr>
          <w:p w14:paraId="68CE9958" w14:textId="77777777" w:rsidR="00913A0A" w:rsidRPr="0058047D" w:rsidRDefault="00913A0A" w:rsidP="007E466C">
            <w:pPr>
              <w:pStyle w:val="TableText"/>
              <w:keepNext/>
              <w:keepLines/>
              <w:widowControl w:val="0"/>
              <w:rPr>
                <w:rFonts w:ascii="Tahoma" w:hAnsi="Tahoma" w:cs="Tahoma"/>
                <w:sz w:val="13"/>
              </w:rPr>
            </w:pPr>
            <w:r w:rsidRPr="0058047D">
              <w:rPr>
                <w:rFonts w:ascii="Tahoma" w:hAnsi="Tahoma" w:cs="Tahoma"/>
                <w:sz w:val="13"/>
              </w:rPr>
              <w:t>125</w:t>
            </w:r>
          </w:p>
        </w:tc>
        <w:tc>
          <w:tcPr>
            <w:tcW w:w="336" w:type="dxa"/>
            <w:tcBorders>
              <w:bottom w:val="single" w:sz="4" w:space="0" w:color="auto"/>
              <w:right w:val="single" w:sz="18" w:space="0" w:color="auto"/>
            </w:tcBorders>
            <w:shd w:val="clear" w:color="auto" w:fill="auto"/>
            <w:vAlign w:val="center"/>
          </w:tcPr>
          <w:p w14:paraId="58DDA7CC" w14:textId="77777777" w:rsidR="00913A0A" w:rsidRPr="0058047D" w:rsidRDefault="00913A0A" w:rsidP="007E466C">
            <w:pPr>
              <w:pStyle w:val="TableText"/>
              <w:keepNext/>
              <w:keepLines/>
              <w:widowControl w:val="0"/>
              <w:rPr>
                <w:rFonts w:ascii="Tahoma" w:hAnsi="Tahoma" w:cs="Tahoma"/>
                <w:sz w:val="13"/>
              </w:rPr>
            </w:pPr>
            <w:r w:rsidRPr="0058047D">
              <w:rPr>
                <w:rFonts w:ascii="Tahoma" w:hAnsi="Tahoma" w:cs="Tahoma"/>
                <w:sz w:val="13"/>
              </w:rPr>
              <w:t>63</w:t>
            </w:r>
          </w:p>
        </w:tc>
        <w:tc>
          <w:tcPr>
            <w:tcW w:w="477" w:type="dxa"/>
            <w:tcBorders>
              <w:left w:val="single" w:sz="18" w:space="0" w:color="auto"/>
              <w:bottom w:val="single" w:sz="4" w:space="0" w:color="auto"/>
            </w:tcBorders>
            <w:shd w:val="clear" w:color="auto" w:fill="auto"/>
            <w:vAlign w:val="center"/>
          </w:tcPr>
          <w:p w14:paraId="4A7B2D5A" w14:textId="77777777" w:rsidR="00913A0A" w:rsidRPr="0058047D" w:rsidRDefault="00913A0A" w:rsidP="007E466C">
            <w:pPr>
              <w:pStyle w:val="TableText"/>
              <w:keepNext/>
              <w:keepLines/>
              <w:widowControl w:val="0"/>
              <w:rPr>
                <w:rFonts w:ascii="Tahoma" w:hAnsi="Tahoma" w:cs="Tahoma"/>
                <w:sz w:val="13"/>
              </w:rPr>
            </w:pPr>
            <w:r w:rsidRPr="0058047D">
              <w:rPr>
                <w:rFonts w:ascii="Tahoma" w:hAnsi="Tahoma" w:cs="Tahoma"/>
                <w:sz w:val="13"/>
              </w:rPr>
              <w:t>125</w:t>
            </w:r>
          </w:p>
        </w:tc>
        <w:tc>
          <w:tcPr>
            <w:tcW w:w="450" w:type="dxa"/>
            <w:tcBorders>
              <w:bottom w:val="single" w:sz="4" w:space="0" w:color="auto"/>
            </w:tcBorders>
            <w:shd w:val="clear" w:color="auto" w:fill="auto"/>
            <w:vAlign w:val="center"/>
          </w:tcPr>
          <w:p w14:paraId="7287B347" w14:textId="77777777" w:rsidR="00913A0A" w:rsidRPr="0058047D" w:rsidRDefault="00913A0A" w:rsidP="007E466C">
            <w:pPr>
              <w:pStyle w:val="TableText"/>
              <w:keepNext/>
              <w:keepLines/>
              <w:widowControl w:val="0"/>
              <w:rPr>
                <w:rFonts w:ascii="Tahoma" w:hAnsi="Tahoma" w:cs="Tahoma"/>
                <w:sz w:val="13"/>
              </w:rPr>
            </w:pPr>
            <w:r w:rsidRPr="0058047D">
              <w:rPr>
                <w:rFonts w:ascii="Tahoma" w:hAnsi="Tahoma" w:cs="Tahoma"/>
                <w:sz w:val="13"/>
              </w:rPr>
              <w:t>250</w:t>
            </w:r>
          </w:p>
        </w:tc>
        <w:tc>
          <w:tcPr>
            <w:tcW w:w="414" w:type="dxa"/>
            <w:tcBorders>
              <w:bottom w:val="single" w:sz="4" w:space="0" w:color="auto"/>
              <w:right w:val="single" w:sz="18" w:space="0" w:color="auto"/>
            </w:tcBorders>
            <w:shd w:val="clear" w:color="auto" w:fill="auto"/>
            <w:vAlign w:val="center"/>
          </w:tcPr>
          <w:p w14:paraId="5AF5A5F9" w14:textId="77777777" w:rsidR="00913A0A" w:rsidRPr="0058047D" w:rsidRDefault="00913A0A" w:rsidP="007E466C">
            <w:pPr>
              <w:pStyle w:val="TableText"/>
              <w:keepNext/>
              <w:keepLines/>
              <w:widowControl w:val="0"/>
              <w:rPr>
                <w:rFonts w:ascii="Tahoma" w:hAnsi="Tahoma" w:cs="Tahoma"/>
                <w:sz w:val="13"/>
              </w:rPr>
            </w:pPr>
            <w:r w:rsidRPr="0058047D">
              <w:rPr>
                <w:rFonts w:ascii="Tahoma" w:hAnsi="Tahoma" w:cs="Tahoma"/>
                <w:sz w:val="13"/>
              </w:rPr>
              <w:t>125</w:t>
            </w:r>
          </w:p>
        </w:tc>
        <w:tc>
          <w:tcPr>
            <w:tcW w:w="468" w:type="dxa"/>
            <w:tcBorders>
              <w:left w:val="single" w:sz="18" w:space="0" w:color="auto"/>
              <w:bottom w:val="single" w:sz="4" w:space="0" w:color="auto"/>
            </w:tcBorders>
            <w:shd w:val="clear" w:color="auto" w:fill="auto"/>
            <w:vAlign w:val="center"/>
          </w:tcPr>
          <w:p w14:paraId="1CED32FA" w14:textId="77777777" w:rsidR="00913A0A" w:rsidRPr="0058047D" w:rsidRDefault="00913A0A" w:rsidP="007E466C">
            <w:pPr>
              <w:pStyle w:val="TableText"/>
              <w:keepNext/>
              <w:keepLines/>
              <w:widowControl w:val="0"/>
              <w:rPr>
                <w:rFonts w:ascii="Tahoma" w:hAnsi="Tahoma" w:cs="Tahoma"/>
                <w:sz w:val="13"/>
              </w:rPr>
            </w:pPr>
            <w:r w:rsidRPr="0058047D">
              <w:rPr>
                <w:rFonts w:ascii="Tahoma" w:hAnsi="Tahoma" w:cs="Tahoma"/>
                <w:sz w:val="13"/>
              </w:rPr>
              <w:t>125</w:t>
            </w:r>
          </w:p>
        </w:tc>
        <w:tc>
          <w:tcPr>
            <w:tcW w:w="477" w:type="dxa"/>
            <w:tcBorders>
              <w:bottom w:val="single" w:sz="4" w:space="0" w:color="auto"/>
              <w:right w:val="single" w:sz="18" w:space="0" w:color="auto"/>
            </w:tcBorders>
            <w:shd w:val="clear" w:color="auto" w:fill="auto"/>
            <w:vAlign w:val="center"/>
          </w:tcPr>
          <w:p w14:paraId="52C95B6A" w14:textId="77777777" w:rsidR="00913A0A" w:rsidRPr="0058047D" w:rsidRDefault="00913A0A" w:rsidP="007E466C">
            <w:pPr>
              <w:pStyle w:val="TableText"/>
              <w:keepNext/>
              <w:keepLines/>
              <w:widowControl w:val="0"/>
              <w:rPr>
                <w:rFonts w:ascii="Tahoma" w:hAnsi="Tahoma" w:cs="Tahoma"/>
                <w:sz w:val="13"/>
              </w:rPr>
            </w:pPr>
            <w:r w:rsidRPr="0058047D">
              <w:rPr>
                <w:rFonts w:ascii="Tahoma" w:hAnsi="Tahoma" w:cs="Tahoma"/>
                <w:sz w:val="13"/>
              </w:rPr>
              <w:t>A</w:t>
            </w:r>
          </w:p>
        </w:tc>
        <w:tc>
          <w:tcPr>
            <w:tcW w:w="324" w:type="dxa"/>
            <w:tcBorders>
              <w:left w:val="single" w:sz="18" w:space="0" w:color="auto"/>
              <w:bottom w:val="single" w:sz="4" w:space="0" w:color="auto"/>
              <w:right w:val="single" w:sz="18" w:space="0" w:color="auto"/>
            </w:tcBorders>
            <w:shd w:val="clear" w:color="auto" w:fill="auto"/>
            <w:vAlign w:val="center"/>
          </w:tcPr>
          <w:p w14:paraId="11C4CD00" w14:textId="77777777" w:rsidR="00913A0A" w:rsidRPr="0058047D" w:rsidRDefault="00913A0A" w:rsidP="007E466C">
            <w:pPr>
              <w:pStyle w:val="TableText"/>
              <w:keepNext/>
              <w:keepLines/>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auto"/>
          </w:tcPr>
          <w:p w14:paraId="45F92429" w14:textId="77777777" w:rsidR="00913A0A" w:rsidRPr="0058047D" w:rsidRDefault="00913A0A" w:rsidP="007E466C">
            <w:pPr>
              <w:pStyle w:val="TableText"/>
              <w:keepNext/>
              <w:keepLines/>
              <w:widowControl w:val="0"/>
              <w:rPr>
                <w:rFonts w:ascii="Tahoma" w:hAnsi="Tahoma" w:cs="Tahoma"/>
                <w:sz w:val="13"/>
              </w:rPr>
            </w:pPr>
            <w:r w:rsidRPr="0058047D">
              <w:rPr>
                <w:rFonts w:ascii="Tahoma" w:hAnsi="Tahoma" w:cs="Tahoma"/>
                <w:sz w:val="13"/>
              </w:rPr>
              <w:t>A, ST</w:t>
            </w:r>
          </w:p>
        </w:tc>
        <w:tc>
          <w:tcPr>
            <w:tcW w:w="504" w:type="dxa"/>
            <w:tcBorders>
              <w:bottom w:val="single" w:sz="4" w:space="0" w:color="auto"/>
            </w:tcBorders>
            <w:shd w:val="clear" w:color="auto" w:fill="auto"/>
            <w:vAlign w:val="center"/>
          </w:tcPr>
          <w:p w14:paraId="01ED045A" w14:textId="77777777" w:rsidR="00913A0A" w:rsidRPr="0058047D" w:rsidRDefault="00913A0A" w:rsidP="007E466C">
            <w:pPr>
              <w:pStyle w:val="TableText"/>
              <w:keepNext/>
              <w:keepLines/>
              <w:widowControl w:val="0"/>
              <w:rPr>
                <w:rFonts w:ascii="Tahoma" w:hAnsi="Tahoma" w:cs="Tahoma"/>
                <w:color w:val="000000"/>
                <w:sz w:val="13"/>
              </w:rPr>
            </w:pPr>
            <w:r w:rsidRPr="0058047D">
              <w:rPr>
                <w:rFonts w:ascii="Tahoma" w:hAnsi="Tahoma" w:cs="Tahoma"/>
                <w:color w:val="000000"/>
                <w:sz w:val="13"/>
              </w:rPr>
              <w:t>OL/OV</w:t>
            </w:r>
          </w:p>
        </w:tc>
        <w:tc>
          <w:tcPr>
            <w:tcW w:w="405" w:type="dxa"/>
            <w:tcBorders>
              <w:bottom w:val="single" w:sz="4" w:space="0" w:color="auto"/>
            </w:tcBorders>
            <w:shd w:val="clear" w:color="auto" w:fill="auto"/>
          </w:tcPr>
          <w:p w14:paraId="7CCCA0CC" w14:textId="77777777" w:rsidR="00913A0A" w:rsidRPr="0058047D" w:rsidRDefault="002C4BA9" w:rsidP="007E466C">
            <w:pPr>
              <w:pStyle w:val="TableText"/>
              <w:keepNext/>
              <w:keepLines/>
              <w:widowControl w:val="0"/>
              <w:rPr>
                <w:rFonts w:ascii="Tahoma" w:hAnsi="Tahoma" w:cs="Tahoma"/>
                <w:color w:val="000000"/>
                <w:sz w:val="13"/>
              </w:rPr>
            </w:pPr>
            <w:r w:rsidRPr="0058047D">
              <w:rPr>
                <w:rFonts w:ascii="Tahoma" w:hAnsi="Tahoma" w:cs="Tahoma"/>
                <w:color w:val="000000"/>
                <w:sz w:val="13"/>
              </w:rPr>
              <w:t>A</w:t>
            </w:r>
          </w:p>
        </w:tc>
      </w:tr>
      <w:tr w:rsidR="009323A0" w:rsidRPr="0058047D" w14:paraId="005DF4C8" w14:textId="77777777" w:rsidTr="00C86F50">
        <w:trPr>
          <w:gridBefore w:val="1"/>
          <w:wBefore w:w="13" w:type="dxa"/>
          <w:trHeight w:val="145"/>
        </w:trPr>
        <w:tc>
          <w:tcPr>
            <w:tcW w:w="2606" w:type="dxa"/>
            <w:tcBorders>
              <w:bottom w:val="single" w:sz="4" w:space="0" w:color="auto"/>
            </w:tcBorders>
            <w:shd w:val="clear" w:color="auto" w:fill="FABF8F"/>
            <w:vAlign w:val="center"/>
          </w:tcPr>
          <w:p w14:paraId="5E296958" w14:textId="77777777" w:rsidR="00913A0A" w:rsidRPr="0058047D" w:rsidRDefault="00913A0A" w:rsidP="007E466C">
            <w:pPr>
              <w:pStyle w:val="Heading2"/>
              <w:keepNext/>
              <w:keepLines/>
              <w:spacing w:before="20" w:after="20"/>
              <w:ind w:left="0"/>
              <w:rPr>
                <w:rFonts w:ascii="Tahoma" w:hAnsi="Tahoma" w:cs="Tahoma"/>
                <w:b w:val="0"/>
                <w:sz w:val="14"/>
                <w:szCs w:val="14"/>
              </w:rPr>
            </w:pPr>
            <w:bookmarkStart w:id="535" w:name="_Toc371663545"/>
            <w:r w:rsidRPr="0058047D">
              <w:rPr>
                <w:rFonts w:ascii="Tahoma" w:hAnsi="Tahoma" w:cs="Tahoma"/>
                <w:b w:val="0"/>
                <w:sz w:val="14"/>
                <w:szCs w:val="14"/>
              </w:rPr>
              <w:t>Windows Small Business Server 2008 Premium</w:t>
            </w:r>
            <w:bookmarkEnd w:id="535"/>
            <w:r w:rsidRPr="0058047D">
              <w:rPr>
                <w:rFonts w:ascii="Tahoma" w:hAnsi="Tahoma" w:cs="Tahoma"/>
                <w:b w:val="0"/>
                <w:sz w:val="14"/>
                <w:szCs w:val="14"/>
              </w:rPr>
              <w:t xml:space="preserve"> </w:t>
            </w:r>
          </w:p>
        </w:tc>
        <w:tc>
          <w:tcPr>
            <w:tcW w:w="554" w:type="dxa"/>
            <w:tcBorders>
              <w:bottom w:val="single" w:sz="4" w:space="0" w:color="auto"/>
            </w:tcBorders>
            <w:shd w:val="clear" w:color="auto" w:fill="FABF8F"/>
            <w:vAlign w:val="center"/>
          </w:tcPr>
          <w:p w14:paraId="75BB2FA1" w14:textId="77777777" w:rsidR="00913A0A" w:rsidRPr="0058047D" w:rsidRDefault="00C86F50" w:rsidP="00913588">
            <w:pPr>
              <w:pStyle w:val="TableText"/>
              <w:keepNext/>
              <w:keepLines/>
              <w:widowControl w:val="0"/>
              <w:rPr>
                <w:b/>
                <w:sz w:val="13"/>
                <w:szCs w:val="13"/>
                <w:u w:val="single"/>
              </w:rPr>
            </w:pPr>
            <w:hyperlink w:anchor="_112_Windows_Small_1" w:history="1">
              <w:r w:rsidR="00BF5FC6" w:rsidRPr="0058047D">
                <w:rPr>
                  <w:rStyle w:val="Hyperlink"/>
                  <w:b/>
                  <w:sz w:val="13"/>
                  <w:szCs w:val="13"/>
                </w:rPr>
                <w:t>115</w:t>
              </w:r>
            </w:hyperlink>
            <w:hyperlink w:anchor="_111_Windows_Web" w:history="1"/>
            <w:hyperlink w:anchor="Srv_116WinSmallBizSVR2011Addon" w:history="1"/>
          </w:p>
        </w:tc>
        <w:tc>
          <w:tcPr>
            <w:tcW w:w="516" w:type="dxa"/>
            <w:tcBorders>
              <w:bottom w:val="single" w:sz="4" w:space="0" w:color="auto"/>
            </w:tcBorders>
            <w:shd w:val="clear" w:color="auto" w:fill="FABF8F"/>
            <w:vAlign w:val="center"/>
          </w:tcPr>
          <w:p w14:paraId="291F2B73" w14:textId="77777777" w:rsidR="00913A0A" w:rsidRPr="0058047D" w:rsidRDefault="00913A0A" w:rsidP="007E466C">
            <w:pPr>
              <w:pStyle w:val="TableText"/>
              <w:keepNext/>
              <w:keepLines/>
              <w:widowControl w:val="0"/>
              <w:spacing w:before="120"/>
              <w:rPr>
                <w:rFonts w:ascii="Tahoma" w:hAnsi="Tahoma" w:cs="Tahoma"/>
                <w:sz w:val="13"/>
              </w:rPr>
            </w:pPr>
            <w:r w:rsidRPr="0058047D">
              <w:rPr>
                <w:rFonts w:ascii="Tahoma" w:hAnsi="Tahoma" w:cs="Tahoma"/>
                <w:sz w:val="13"/>
              </w:rPr>
              <w:t>10/08</w:t>
            </w:r>
          </w:p>
        </w:tc>
        <w:tc>
          <w:tcPr>
            <w:tcW w:w="358" w:type="dxa"/>
            <w:tcBorders>
              <w:bottom w:val="single" w:sz="4" w:space="0" w:color="auto"/>
              <w:right w:val="single" w:sz="18" w:space="0" w:color="auto"/>
            </w:tcBorders>
            <w:shd w:val="clear" w:color="auto" w:fill="FABF8F"/>
            <w:vAlign w:val="center"/>
          </w:tcPr>
          <w:p w14:paraId="2BD2AD46" w14:textId="77777777" w:rsidR="00913A0A" w:rsidRPr="0058047D" w:rsidRDefault="00913A0A" w:rsidP="007E466C">
            <w:pPr>
              <w:pStyle w:val="TableText"/>
              <w:keepNext/>
              <w:keepLines/>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center"/>
          </w:tcPr>
          <w:p w14:paraId="4C4E2FBE" w14:textId="77777777" w:rsidR="00913A0A" w:rsidRPr="0058047D" w:rsidRDefault="00913A0A" w:rsidP="007E466C">
            <w:pPr>
              <w:pStyle w:val="TableText"/>
              <w:keepNext/>
              <w:keepLines/>
              <w:widowControl w:val="0"/>
              <w:rPr>
                <w:rFonts w:ascii="Tahoma" w:hAnsi="Tahoma" w:cs="Tahoma"/>
                <w:sz w:val="13"/>
              </w:rPr>
            </w:pPr>
          </w:p>
        </w:tc>
        <w:tc>
          <w:tcPr>
            <w:tcW w:w="324" w:type="dxa"/>
            <w:tcBorders>
              <w:bottom w:val="single" w:sz="4" w:space="0" w:color="auto"/>
            </w:tcBorders>
            <w:shd w:val="clear" w:color="auto" w:fill="FABF8F"/>
            <w:vAlign w:val="center"/>
          </w:tcPr>
          <w:p w14:paraId="6E8A79A4" w14:textId="77777777" w:rsidR="00913A0A" w:rsidRPr="0058047D" w:rsidRDefault="00913A0A" w:rsidP="007E466C">
            <w:pPr>
              <w:pStyle w:val="TableText"/>
              <w:keepNext/>
              <w:keepLines/>
              <w:widowControl w:val="0"/>
              <w:rPr>
                <w:rFonts w:ascii="Tahoma" w:hAnsi="Tahoma" w:cs="Tahoma"/>
                <w:sz w:val="13"/>
              </w:rPr>
            </w:pPr>
          </w:p>
        </w:tc>
        <w:tc>
          <w:tcPr>
            <w:tcW w:w="366" w:type="dxa"/>
            <w:tcBorders>
              <w:bottom w:val="single" w:sz="4" w:space="0" w:color="auto"/>
            </w:tcBorders>
            <w:shd w:val="clear" w:color="auto" w:fill="FABF8F"/>
            <w:vAlign w:val="center"/>
          </w:tcPr>
          <w:p w14:paraId="51697ED0" w14:textId="77777777" w:rsidR="00913A0A" w:rsidRPr="0058047D" w:rsidRDefault="00913A0A" w:rsidP="007E466C">
            <w:pPr>
              <w:pStyle w:val="TableText"/>
              <w:keepNext/>
              <w:keepLines/>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5732E3AD" w14:textId="77777777" w:rsidR="00913A0A" w:rsidRPr="0058047D" w:rsidRDefault="00913A0A"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56555630" w14:textId="77777777" w:rsidR="00913A0A" w:rsidRPr="0058047D" w:rsidRDefault="00913A0A"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22D85052" w14:textId="77777777" w:rsidR="00913A0A" w:rsidRPr="0058047D" w:rsidRDefault="00913A0A" w:rsidP="007E466C">
            <w:pPr>
              <w:pStyle w:val="TableText"/>
              <w:keepNext/>
              <w:keepLines/>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5F8E2E4E" w14:textId="77777777" w:rsidR="00913A0A" w:rsidRPr="0058047D" w:rsidRDefault="00913A0A" w:rsidP="007E466C">
            <w:pPr>
              <w:pStyle w:val="TableText"/>
              <w:keepNext/>
              <w:keepLines/>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6C936257" w14:textId="77777777" w:rsidR="00913A0A" w:rsidRPr="0058047D" w:rsidRDefault="00913A0A"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6D30950B" w14:textId="77777777" w:rsidR="00913A0A" w:rsidRPr="0058047D" w:rsidDel="001265B4" w:rsidRDefault="00913A0A" w:rsidP="007E466C">
            <w:pPr>
              <w:pStyle w:val="TableText"/>
              <w:keepNext/>
              <w:keepLines/>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7BD2C77F" w14:textId="77777777" w:rsidR="00913A0A" w:rsidRPr="0058047D" w:rsidRDefault="00913A0A" w:rsidP="007E466C">
            <w:pPr>
              <w:pStyle w:val="TableText"/>
              <w:keepNext/>
              <w:keepLines/>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603C40C1" w14:textId="77777777" w:rsidR="00913A0A" w:rsidRPr="0058047D" w:rsidRDefault="00913A0A" w:rsidP="007E466C">
            <w:pPr>
              <w:pStyle w:val="TableText"/>
              <w:keepNext/>
              <w:keepLines/>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028D226E" w14:textId="77777777" w:rsidR="00913A0A" w:rsidRPr="0058047D" w:rsidRDefault="00913A0A" w:rsidP="007E466C">
            <w:pPr>
              <w:pStyle w:val="TableText"/>
              <w:keepNext/>
              <w:keepLines/>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7B6E822A" w14:textId="77777777" w:rsidR="00913A0A" w:rsidRPr="0058047D" w:rsidRDefault="00913A0A" w:rsidP="007E466C">
            <w:pPr>
              <w:pStyle w:val="TableText"/>
              <w:keepNext/>
              <w:keepLines/>
              <w:widowControl w:val="0"/>
              <w:rPr>
                <w:rFonts w:ascii="Tahoma" w:hAnsi="Tahoma" w:cs="Tahoma"/>
                <w:sz w:val="13"/>
              </w:rPr>
            </w:pPr>
          </w:p>
        </w:tc>
        <w:tc>
          <w:tcPr>
            <w:tcW w:w="655" w:type="dxa"/>
            <w:tcBorders>
              <w:bottom w:val="single" w:sz="4" w:space="0" w:color="auto"/>
            </w:tcBorders>
            <w:shd w:val="clear" w:color="auto" w:fill="FABF8F"/>
            <w:vAlign w:val="center"/>
          </w:tcPr>
          <w:p w14:paraId="59848BE8" w14:textId="77777777" w:rsidR="00913A0A" w:rsidRPr="0058047D" w:rsidRDefault="00913A0A" w:rsidP="007E466C">
            <w:pPr>
              <w:pStyle w:val="TableText"/>
              <w:keepNext/>
              <w:keepLines/>
              <w:widowControl w:val="0"/>
              <w:rPr>
                <w:rFonts w:ascii="Tahoma" w:hAnsi="Tahoma" w:cs="Tahoma"/>
                <w:sz w:val="13"/>
              </w:rPr>
            </w:pPr>
          </w:p>
        </w:tc>
        <w:tc>
          <w:tcPr>
            <w:tcW w:w="504" w:type="dxa"/>
            <w:tcBorders>
              <w:bottom w:val="single" w:sz="4" w:space="0" w:color="auto"/>
            </w:tcBorders>
            <w:shd w:val="clear" w:color="auto" w:fill="FABF8F"/>
            <w:vAlign w:val="center"/>
          </w:tcPr>
          <w:p w14:paraId="4CF81D6B" w14:textId="77777777" w:rsidR="00913A0A" w:rsidRPr="0058047D" w:rsidRDefault="00913A0A" w:rsidP="007E466C">
            <w:pPr>
              <w:pStyle w:val="TableText"/>
              <w:keepNext/>
              <w:keepLines/>
              <w:widowControl w:val="0"/>
              <w:rPr>
                <w:rFonts w:ascii="Tahoma" w:hAnsi="Tahoma" w:cs="Tahoma"/>
                <w:sz w:val="13"/>
              </w:rPr>
            </w:pPr>
          </w:p>
        </w:tc>
        <w:tc>
          <w:tcPr>
            <w:tcW w:w="405" w:type="dxa"/>
            <w:tcBorders>
              <w:bottom w:val="single" w:sz="4" w:space="0" w:color="auto"/>
            </w:tcBorders>
            <w:shd w:val="clear" w:color="auto" w:fill="FABF8F"/>
          </w:tcPr>
          <w:p w14:paraId="658D7F6A" w14:textId="77777777" w:rsidR="00913A0A" w:rsidRPr="0058047D" w:rsidRDefault="00913A0A" w:rsidP="007E466C">
            <w:pPr>
              <w:pStyle w:val="TableText"/>
              <w:keepNext/>
              <w:keepLines/>
              <w:widowControl w:val="0"/>
              <w:rPr>
                <w:rFonts w:ascii="Tahoma" w:hAnsi="Tahoma" w:cs="Tahoma"/>
                <w:sz w:val="13"/>
              </w:rPr>
            </w:pPr>
          </w:p>
        </w:tc>
      </w:tr>
      <w:tr w:rsidR="00C86F50" w:rsidRPr="0058047D" w14:paraId="010C2253" w14:textId="77777777" w:rsidTr="00C86F50">
        <w:trPr>
          <w:gridBefore w:val="1"/>
          <w:wBefore w:w="13" w:type="dxa"/>
          <w:trHeight w:val="145"/>
        </w:trPr>
        <w:tc>
          <w:tcPr>
            <w:tcW w:w="2606" w:type="dxa"/>
            <w:tcBorders>
              <w:bottom w:val="single" w:sz="4" w:space="0" w:color="auto"/>
            </w:tcBorders>
            <w:shd w:val="clear" w:color="auto" w:fill="auto"/>
            <w:vAlign w:val="center"/>
          </w:tcPr>
          <w:p w14:paraId="2F844605" w14:textId="77777777" w:rsidR="00913A0A" w:rsidRPr="0058047D" w:rsidRDefault="00913A0A" w:rsidP="002E5D03">
            <w:pPr>
              <w:pStyle w:val="Heading2"/>
              <w:spacing w:before="20" w:after="20"/>
              <w:ind w:left="0"/>
              <w:rPr>
                <w:rFonts w:ascii="Tahoma" w:hAnsi="Tahoma" w:cs="Tahoma"/>
                <w:b w:val="0"/>
                <w:sz w:val="14"/>
                <w:szCs w:val="14"/>
              </w:rPr>
            </w:pPr>
            <w:bookmarkStart w:id="536" w:name="_Toc371663546"/>
            <w:r w:rsidRPr="0058047D">
              <w:rPr>
                <w:rFonts w:ascii="Tahoma" w:hAnsi="Tahoma" w:cs="Tahoma"/>
                <w:b w:val="0"/>
                <w:sz w:val="14"/>
                <w:szCs w:val="14"/>
              </w:rPr>
              <w:t>Windows Small Business Server 2011 Standard</w:t>
            </w:r>
            <w:bookmarkEnd w:id="536"/>
          </w:p>
        </w:tc>
        <w:tc>
          <w:tcPr>
            <w:tcW w:w="554" w:type="dxa"/>
            <w:tcBorders>
              <w:bottom w:val="single" w:sz="4" w:space="0" w:color="auto"/>
            </w:tcBorders>
            <w:shd w:val="clear" w:color="auto" w:fill="auto"/>
            <w:vAlign w:val="center"/>
          </w:tcPr>
          <w:p w14:paraId="007EEB7D" w14:textId="77777777" w:rsidR="00913A0A" w:rsidRPr="0058047D" w:rsidRDefault="00C86F50" w:rsidP="00913588">
            <w:pPr>
              <w:pStyle w:val="TableText"/>
              <w:widowControl w:val="0"/>
            </w:pPr>
            <w:hyperlink w:anchor="_116_Windows_Small_1" w:history="1">
              <w:r w:rsidR="00BF5FC6" w:rsidRPr="0058047D">
                <w:rPr>
                  <w:rStyle w:val="Hyperlink"/>
                  <w:b/>
                  <w:sz w:val="13"/>
                  <w:szCs w:val="13"/>
                </w:rPr>
                <w:t>116</w:t>
              </w:r>
            </w:hyperlink>
          </w:p>
        </w:tc>
        <w:tc>
          <w:tcPr>
            <w:tcW w:w="516" w:type="dxa"/>
            <w:tcBorders>
              <w:bottom w:val="single" w:sz="4" w:space="0" w:color="auto"/>
            </w:tcBorders>
            <w:shd w:val="clear" w:color="auto" w:fill="auto"/>
            <w:vAlign w:val="center"/>
          </w:tcPr>
          <w:p w14:paraId="201CC8B8" w14:textId="77777777" w:rsidR="00913A0A" w:rsidRPr="0058047D" w:rsidRDefault="00913A0A" w:rsidP="00886719">
            <w:pPr>
              <w:pStyle w:val="TableText"/>
              <w:widowControl w:val="0"/>
              <w:spacing w:before="120"/>
              <w:rPr>
                <w:rFonts w:ascii="Tahoma" w:hAnsi="Tahoma" w:cs="Tahoma"/>
                <w:sz w:val="13"/>
              </w:rPr>
            </w:pPr>
          </w:p>
        </w:tc>
        <w:tc>
          <w:tcPr>
            <w:tcW w:w="358" w:type="dxa"/>
            <w:tcBorders>
              <w:bottom w:val="single" w:sz="4" w:space="0" w:color="auto"/>
              <w:right w:val="single" w:sz="18" w:space="0" w:color="auto"/>
            </w:tcBorders>
            <w:shd w:val="clear" w:color="auto" w:fill="auto"/>
            <w:vAlign w:val="center"/>
          </w:tcPr>
          <w:p w14:paraId="0B4CF811" w14:textId="77777777" w:rsidR="00913A0A" w:rsidRPr="0058047D" w:rsidRDefault="00913A0A" w:rsidP="00886719">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auto"/>
            <w:vAlign w:val="center"/>
          </w:tcPr>
          <w:p w14:paraId="22D54C27" w14:textId="77777777" w:rsidR="00913A0A" w:rsidRPr="0058047D" w:rsidRDefault="00913A0A" w:rsidP="00886719">
            <w:pPr>
              <w:pStyle w:val="TableText"/>
              <w:widowControl w:val="0"/>
              <w:rPr>
                <w:rFonts w:ascii="Tahoma" w:hAnsi="Tahoma" w:cs="Tahoma"/>
                <w:sz w:val="13"/>
              </w:rPr>
            </w:pPr>
          </w:p>
        </w:tc>
        <w:tc>
          <w:tcPr>
            <w:tcW w:w="324" w:type="dxa"/>
            <w:tcBorders>
              <w:bottom w:val="single" w:sz="4" w:space="0" w:color="auto"/>
            </w:tcBorders>
            <w:shd w:val="clear" w:color="auto" w:fill="auto"/>
            <w:vAlign w:val="center"/>
          </w:tcPr>
          <w:p w14:paraId="6BD73730" w14:textId="77777777" w:rsidR="00913A0A" w:rsidRPr="0058047D" w:rsidRDefault="00913A0A" w:rsidP="00886719">
            <w:pPr>
              <w:pStyle w:val="TableText"/>
              <w:widowControl w:val="0"/>
              <w:rPr>
                <w:rFonts w:ascii="Tahoma" w:hAnsi="Tahoma" w:cs="Tahoma"/>
                <w:sz w:val="13"/>
              </w:rPr>
            </w:pPr>
          </w:p>
        </w:tc>
        <w:tc>
          <w:tcPr>
            <w:tcW w:w="366" w:type="dxa"/>
            <w:tcBorders>
              <w:bottom w:val="single" w:sz="4" w:space="0" w:color="auto"/>
            </w:tcBorders>
            <w:shd w:val="clear" w:color="auto" w:fill="auto"/>
            <w:vAlign w:val="center"/>
          </w:tcPr>
          <w:p w14:paraId="3A6D2BC7" w14:textId="77777777" w:rsidR="00913A0A" w:rsidRPr="0058047D" w:rsidRDefault="00913A0A" w:rsidP="00886719">
            <w:pPr>
              <w:pStyle w:val="TableText"/>
              <w:widowControl w:val="0"/>
              <w:rPr>
                <w:rFonts w:ascii="Tahoma" w:hAnsi="Tahoma" w:cs="Tahoma"/>
                <w:sz w:val="13"/>
              </w:rPr>
            </w:pPr>
          </w:p>
        </w:tc>
        <w:tc>
          <w:tcPr>
            <w:tcW w:w="456" w:type="dxa"/>
            <w:gridSpan w:val="2"/>
            <w:tcBorders>
              <w:bottom w:val="single" w:sz="4" w:space="0" w:color="auto"/>
            </w:tcBorders>
            <w:shd w:val="clear" w:color="auto" w:fill="auto"/>
            <w:vAlign w:val="center"/>
          </w:tcPr>
          <w:p w14:paraId="093552C7" w14:textId="77777777" w:rsidR="00913A0A" w:rsidRPr="0058047D" w:rsidRDefault="00913A0A"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DB55BD5" w14:textId="77777777" w:rsidR="00913A0A" w:rsidRPr="0058047D" w:rsidRDefault="00913A0A"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190D56C" w14:textId="77777777" w:rsidR="00913A0A" w:rsidRPr="0058047D" w:rsidRDefault="00913A0A" w:rsidP="00886719">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auto"/>
            <w:vAlign w:val="center"/>
          </w:tcPr>
          <w:p w14:paraId="7C5837F1" w14:textId="77777777" w:rsidR="00913A0A" w:rsidRPr="0058047D" w:rsidRDefault="00913A0A" w:rsidP="00886719">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14:paraId="5F672317" w14:textId="77777777" w:rsidR="00913A0A" w:rsidRPr="0058047D" w:rsidRDefault="00913A0A"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2BA2404" w14:textId="77777777" w:rsidR="00913A0A" w:rsidRPr="0058047D" w:rsidRDefault="00913A0A" w:rsidP="00886719">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0A046E32" w14:textId="77777777" w:rsidR="00913A0A" w:rsidRPr="0058047D" w:rsidRDefault="00913A0A" w:rsidP="00886719">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6704253D" w14:textId="77777777" w:rsidR="00913A0A" w:rsidRPr="0058047D" w:rsidRDefault="00913A0A" w:rsidP="00886719">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25159464" w14:textId="77777777" w:rsidR="00913A0A" w:rsidRPr="0058047D" w:rsidRDefault="00913A0A" w:rsidP="00886719">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47EA8423" w14:textId="77777777" w:rsidR="00913A0A" w:rsidRPr="0058047D" w:rsidRDefault="00913A0A" w:rsidP="00886719">
            <w:pPr>
              <w:pStyle w:val="TableText"/>
              <w:widowControl w:val="0"/>
              <w:rPr>
                <w:rFonts w:ascii="Tahoma" w:hAnsi="Tahoma" w:cs="Tahoma"/>
                <w:sz w:val="13"/>
              </w:rPr>
            </w:pPr>
          </w:p>
        </w:tc>
        <w:tc>
          <w:tcPr>
            <w:tcW w:w="655" w:type="dxa"/>
            <w:tcBorders>
              <w:bottom w:val="single" w:sz="4" w:space="0" w:color="auto"/>
            </w:tcBorders>
            <w:shd w:val="clear" w:color="auto" w:fill="auto"/>
          </w:tcPr>
          <w:p w14:paraId="0ADC1B51" w14:textId="77777777" w:rsidR="00913A0A" w:rsidRPr="0058047D" w:rsidRDefault="00913A0A" w:rsidP="00886719">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14:paraId="3910BBC8" w14:textId="77777777" w:rsidR="00913A0A" w:rsidRPr="0058047D" w:rsidRDefault="00913A0A" w:rsidP="00886719">
            <w:pPr>
              <w:pStyle w:val="TableText"/>
              <w:widowControl w:val="0"/>
              <w:rPr>
                <w:rFonts w:ascii="Tahoma" w:hAnsi="Tahoma" w:cs="Tahoma"/>
                <w:sz w:val="13"/>
              </w:rPr>
            </w:pPr>
          </w:p>
        </w:tc>
        <w:tc>
          <w:tcPr>
            <w:tcW w:w="405" w:type="dxa"/>
            <w:tcBorders>
              <w:bottom w:val="single" w:sz="4" w:space="0" w:color="auto"/>
            </w:tcBorders>
            <w:shd w:val="clear" w:color="auto" w:fill="auto"/>
          </w:tcPr>
          <w:p w14:paraId="5200BAD3" w14:textId="77777777" w:rsidR="00913A0A" w:rsidRPr="0058047D" w:rsidRDefault="00913A0A" w:rsidP="00886719">
            <w:pPr>
              <w:pStyle w:val="TableText"/>
              <w:widowControl w:val="0"/>
              <w:rPr>
                <w:rFonts w:ascii="Tahoma" w:hAnsi="Tahoma" w:cs="Tahoma"/>
                <w:sz w:val="13"/>
              </w:rPr>
            </w:pPr>
          </w:p>
        </w:tc>
      </w:tr>
      <w:tr w:rsidR="009323A0" w:rsidRPr="0058047D" w14:paraId="68405995" w14:textId="77777777" w:rsidTr="00C86F50">
        <w:trPr>
          <w:gridBefore w:val="1"/>
          <w:wBefore w:w="13" w:type="dxa"/>
          <w:trHeight w:val="145"/>
        </w:trPr>
        <w:tc>
          <w:tcPr>
            <w:tcW w:w="2606" w:type="dxa"/>
            <w:tcBorders>
              <w:bottom w:val="single" w:sz="4" w:space="0" w:color="auto"/>
            </w:tcBorders>
            <w:shd w:val="clear" w:color="auto" w:fill="FABF8F"/>
            <w:vAlign w:val="center"/>
          </w:tcPr>
          <w:p w14:paraId="498D6C52" w14:textId="77777777" w:rsidR="00913A0A" w:rsidRPr="0058047D" w:rsidRDefault="00913A0A" w:rsidP="002E5D03">
            <w:pPr>
              <w:pStyle w:val="Heading2"/>
              <w:spacing w:before="20" w:after="20"/>
              <w:ind w:left="0"/>
              <w:rPr>
                <w:rFonts w:ascii="Tahoma" w:hAnsi="Tahoma" w:cs="Tahoma"/>
                <w:b w:val="0"/>
                <w:sz w:val="14"/>
                <w:szCs w:val="14"/>
              </w:rPr>
            </w:pPr>
            <w:bookmarkStart w:id="537" w:name="_Toc336338158"/>
            <w:bookmarkStart w:id="538" w:name="_Toc371663547"/>
            <w:r w:rsidRPr="0058047D">
              <w:rPr>
                <w:rFonts w:ascii="Tahoma" w:hAnsi="Tahoma" w:cs="Tahoma"/>
                <w:b w:val="0"/>
                <w:sz w:val="14"/>
                <w:szCs w:val="14"/>
              </w:rPr>
              <w:t>CAL Suite per Windows Small Business Server 2011 (1 client)</w:t>
            </w:r>
            <w:bookmarkEnd w:id="537"/>
            <w:bookmarkEnd w:id="538"/>
          </w:p>
        </w:tc>
        <w:tc>
          <w:tcPr>
            <w:tcW w:w="554" w:type="dxa"/>
            <w:tcBorders>
              <w:bottom w:val="single" w:sz="4" w:space="0" w:color="auto"/>
            </w:tcBorders>
            <w:shd w:val="clear" w:color="auto" w:fill="FABF8F"/>
            <w:vAlign w:val="center"/>
          </w:tcPr>
          <w:p w14:paraId="51815909" w14:textId="77777777" w:rsidR="00913A0A" w:rsidRPr="0058047D" w:rsidRDefault="00C86F50" w:rsidP="00913588">
            <w:pPr>
              <w:pStyle w:val="TableText"/>
              <w:widowControl w:val="0"/>
              <w:rPr>
                <w:rStyle w:val="EndnoteReference"/>
                <w:b w:val="0"/>
                <w:color w:val="0000FF"/>
                <w:sz w:val="13"/>
                <w:szCs w:val="13"/>
                <w:u w:val="single"/>
              </w:rPr>
            </w:pPr>
            <w:hyperlink w:anchor="_117_CAL_Suite" w:history="1">
              <w:r w:rsidR="006878A4" w:rsidRPr="0058047D">
                <w:rPr>
                  <w:rStyle w:val="Hyperlink"/>
                  <w:b/>
                  <w:sz w:val="13"/>
                  <w:szCs w:val="13"/>
                </w:rPr>
                <w:t>117</w:t>
              </w:r>
            </w:hyperlink>
          </w:p>
        </w:tc>
        <w:tc>
          <w:tcPr>
            <w:tcW w:w="516" w:type="dxa"/>
            <w:tcBorders>
              <w:bottom w:val="single" w:sz="4" w:space="0" w:color="auto"/>
            </w:tcBorders>
            <w:shd w:val="clear" w:color="auto" w:fill="FABF8F"/>
            <w:vAlign w:val="center"/>
          </w:tcPr>
          <w:p w14:paraId="6A418C01" w14:textId="77777777" w:rsidR="00913A0A" w:rsidRPr="0058047D" w:rsidRDefault="00913A0A" w:rsidP="00886719">
            <w:pPr>
              <w:pStyle w:val="TableText"/>
              <w:widowControl w:val="0"/>
              <w:spacing w:before="120"/>
              <w:rPr>
                <w:rFonts w:ascii="Tahoma" w:hAnsi="Tahoma" w:cs="Tahoma"/>
                <w:sz w:val="13"/>
              </w:rPr>
            </w:pPr>
            <w:r w:rsidRPr="0058047D">
              <w:rPr>
                <w:rFonts w:ascii="Tahoma" w:hAnsi="Tahoma" w:cs="Tahoma"/>
                <w:sz w:val="13"/>
              </w:rPr>
              <w:t>01/11</w:t>
            </w:r>
          </w:p>
        </w:tc>
        <w:tc>
          <w:tcPr>
            <w:tcW w:w="358" w:type="dxa"/>
            <w:tcBorders>
              <w:bottom w:val="single" w:sz="4" w:space="0" w:color="auto"/>
              <w:right w:val="single" w:sz="18" w:space="0" w:color="auto"/>
            </w:tcBorders>
            <w:shd w:val="clear" w:color="auto" w:fill="FABF8F"/>
            <w:vAlign w:val="center"/>
          </w:tcPr>
          <w:p w14:paraId="6FA4E51E" w14:textId="77777777" w:rsidR="00913A0A" w:rsidRPr="0058047D" w:rsidRDefault="00913A0A" w:rsidP="00886719">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center"/>
          </w:tcPr>
          <w:p w14:paraId="23F6992D" w14:textId="77777777" w:rsidR="00913A0A" w:rsidRPr="0058047D" w:rsidRDefault="00913A0A" w:rsidP="00886719">
            <w:pPr>
              <w:pStyle w:val="TableText"/>
              <w:widowControl w:val="0"/>
              <w:rPr>
                <w:rFonts w:ascii="Tahoma" w:hAnsi="Tahoma" w:cs="Tahoma"/>
                <w:sz w:val="13"/>
              </w:rPr>
            </w:pPr>
          </w:p>
        </w:tc>
        <w:tc>
          <w:tcPr>
            <w:tcW w:w="324" w:type="dxa"/>
            <w:tcBorders>
              <w:bottom w:val="single" w:sz="4" w:space="0" w:color="auto"/>
            </w:tcBorders>
            <w:shd w:val="clear" w:color="auto" w:fill="FABF8F"/>
            <w:vAlign w:val="center"/>
          </w:tcPr>
          <w:p w14:paraId="465F0EC4" w14:textId="77777777" w:rsidR="00913A0A" w:rsidRPr="0058047D" w:rsidRDefault="00913A0A" w:rsidP="00886719">
            <w:pPr>
              <w:pStyle w:val="TableText"/>
              <w:widowControl w:val="0"/>
              <w:rPr>
                <w:rFonts w:ascii="Tahoma" w:hAnsi="Tahoma" w:cs="Tahoma"/>
                <w:sz w:val="13"/>
              </w:rPr>
            </w:pPr>
          </w:p>
        </w:tc>
        <w:tc>
          <w:tcPr>
            <w:tcW w:w="366" w:type="dxa"/>
            <w:tcBorders>
              <w:bottom w:val="single" w:sz="4" w:space="0" w:color="auto"/>
            </w:tcBorders>
            <w:shd w:val="clear" w:color="auto" w:fill="FABF8F"/>
            <w:vAlign w:val="center"/>
          </w:tcPr>
          <w:p w14:paraId="47C6509E" w14:textId="77777777" w:rsidR="00913A0A" w:rsidRPr="0058047D" w:rsidRDefault="00913A0A" w:rsidP="00886719">
            <w:pPr>
              <w:pStyle w:val="TableT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1E0F87F4" w14:textId="77777777" w:rsidR="00913A0A" w:rsidRPr="0058047D" w:rsidRDefault="00913A0A"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4DF6B37" w14:textId="77777777" w:rsidR="00913A0A" w:rsidRPr="0058047D" w:rsidRDefault="00913A0A"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A20F313" w14:textId="77777777" w:rsidR="00913A0A" w:rsidRPr="0058047D" w:rsidRDefault="00913A0A" w:rsidP="00886719">
            <w:pPr>
              <w:pStyle w:val="TableT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7D19EE6C" w14:textId="77777777" w:rsidR="00913A0A" w:rsidRPr="0058047D" w:rsidRDefault="00913A0A" w:rsidP="00886719">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66DCB339" w14:textId="77777777" w:rsidR="00913A0A" w:rsidRPr="0058047D" w:rsidRDefault="00913A0A" w:rsidP="00886719">
            <w:pPr>
              <w:pStyle w:val="TableText"/>
              <w:widowControl w:val="0"/>
              <w:rPr>
                <w:rFonts w:ascii="Tahoma" w:hAnsi="Tahoma" w:cs="Tahoma"/>
                <w:sz w:val="13"/>
              </w:rPr>
            </w:pPr>
            <w:r w:rsidRPr="0058047D">
              <w:rPr>
                <w:rFonts w:ascii="Tahoma" w:hAnsi="Tahoma" w:cs="Tahoma"/>
                <w:sz w:val="13"/>
              </w:rPr>
              <w:t>1</w:t>
            </w:r>
          </w:p>
        </w:tc>
        <w:tc>
          <w:tcPr>
            <w:tcW w:w="450" w:type="dxa"/>
            <w:tcBorders>
              <w:bottom w:val="single" w:sz="4" w:space="0" w:color="auto"/>
            </w:tcBorders>
            <w:shd w:val="clear" w:color="auto" w:fill="FABF8F"/>
            <w:vAlign w:val="center"/>
          </w:tcPr>
          <w:p w14:paraId="3BD473A4" w14:textId="77777777" w:rsidR="00913A0A" w:rsidRPr="0058047D" w:rsidRDefault="00913A0A" w:rsidP="00886719">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60651D90" w14:textId="77777777" w:rsidR="00913A0A" w:rsidRPr="0058047D" w:rsidRDefault="00913A0A" w:rsidP="00886719">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222C05FD" w14:textId="77777777" w:rsidR="00913A0A" w:rsidRPr="0058047D" w:rsidRDefault="00913A0A" w:rsidP="00886719">
            <w:pPr>
              <w:pStyle w:val="TableText"/>
              <w:widowControl w:val="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FABF8F"/>
            <w:vAlign w:val="center"/>
          </w:tcPr>
          <w:p w14:paraId="0DEE8B3D" w14:textId="77777777" w:rsidR="00913A0A" w:rsidRPr="0058047D" w:rsidRDefault="00913A0A" w:rsidP="00886719">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13604BD9" w14:textId="77777777" w:rsidR="00913A0A" w:rsidRPr="0058047D" w:rsidRDefault="00913A0A" w:rsidP="00886719">
            <w:pPr>
              <w:pStyle w:val="TableText"/>
              <w:widowControl w:val="0"/>
              <w:rPr>
                <w:rFonts w:ascii="Tahoma" w:hAnsi="Tahoma" w:cs="Tahoma"/>
                <w:sz w:val="13"/>
              </w:rPr>
            </w:pPr>
            <w:r w:rsidRPr="0058047D">
              <w:rPr>
                <w:rFonts w:ascii="Tahoma" w:hAnsi="Tahoma" w:cs="Tahoma"/>
                <w:sz w:val="13"/>
              </w:rPr>
              <w:t>E, P</w:t>
            </w:r>
          </w:p>
        </w:tc>
        <w:tc>
          <w:tcPr>
            <w:tcW w:w="655" w:type="dxa"/>
            <w:tcBorders>
              <w:bottom w:val="single" w:sz="4" w:space="0" w:color="auto"/>
            </w:tcBorders>
            <w:shd w:val="clear" w:color="auto" w:fill="FABF8F"/>
          </w:tcPr>
          <w:p w14:paraId="704A8F82" w14:textId="77777777" w:rsidR="00913A0A" w:rsidRPr="0058047D" w:rsidRDefault="00913A0A" w:rsidP="00886719">
            <w:pPr>
              <w:pStyle w:val="TableText"/>
              <w:widowControl w:val="0"/>
              <w:rPr>
                <w:rFonts w:ascii="Tahoma" w:hAnsi="Tahoma" w:cs="Tahoma"/>
                <w:sz w:val="13"/>
              </w:rPr>
            </w:pPr>
            <w:r w:rsidRPr="0058047D">
              <w:rPr>
                <w:rFonts w:ascii="Tahoma" w:hAnsi="Tahoma" w:cs="Tahoma"/>
                <w:sz w:val="13"/>
              </w:rPr>
              <w:t>A, ST</w:t>
            </w:r>
          </w:p>
        </w:tc>
        <w:tc>
          <w:tcPr>
            <w:tcW w:w="504" w:type="dxa"/>
            <w:tcBorders>
              <w:bottom w:val="single" w:sz="4" w:space="0" w:color="auto"/>
            </w:tcBorders>
            <w:shd w:val="clear" w:color="auto" w:fill="FABF8F"/>
            <w:vAlign w:val="center"/>
          </w:tcPr>
          <w:p w14:paraId="77705999" w14:textId="77777777" w:rsidR="00913A0A" w:rsidRPr="0058047D" w:rsidRDefault="00913A0A" w:rsidP="00886719">
            <w:pPr>
              <w:pStyle w:val="TableText"/>
              <w:widowControl w:val="0"/>
              <w:rPr>
                <w:rFonts w:ascii="Tahoma" w:hAnsi="Tahoma" w:cs="Tahoma"/>
                <w:sz w:val="13"/>
              </w:rPr>
            </w:pPr>
          </w:p>
        </w:tc>
        <w:tc>
          <w:tcPr>
            <w:tcW w:w="405" w:type="dxa"/>
            <w:tcBorders>
              <w:bottom w:val="single" w:sz="4" w:space="0" w:color="auto"/>
            </w:tcBorders>
            <w:shd w:val="clear" w:color="auto" w:fill="FABF8F"/>
          </w:tcPr>
          <w:p w14:paraId="2C2A27A9" w14:textId="77777777" w:rsidR="00913A0A" w:rsidRPr="0058047D" w:rsidRDefault="00913A0A" w:rsidP="00886719">
            <w:pPr>
              <w:pStyle w:val="TableText"/>
              <w:widowControl w:val="0"/>
              <w:rPr>
                <w:rFonts w:ascii="Tahoma" w:hAnsi="Tahoma" w:cs="Tahoma"/>
                <w:sz w:val="13"/>
              </w:rPr>
            </w:pPr>
          </w:p>
        </w:tc>
      </w:tr>
      <w:tr w:rsidR="00C86F50" w:rsidRPr="0058047D" w14:paraId="0896DD43" w14:textId="77777777" w:rsidTr="00C86F50">
        <w:trPr>
          <w:gridBefore w:val="1"/>
          <w:wBefore w:w="13" w:type="dxa"/>
          <w:trHeight w:val="145"/>
        </w:trPr>
        <w:tc>
          <w:tcPr>
            <w:tcW w:w="2606" w:type="dxa"/>
            <w:tcBorders>
              <w:bottom w:val="single" w:sz="4" w:space="0" w:color="auto"/>
            </w:tcBorders>
            <w:shd w:val="clear" w:color="auto" w:fill="auto"/>
            <w:vAlign w:val="center"/>
          </w:tcPr>
          <w:p w14:paraId="07B98525" w14:textId="77777777" w:rsidR="00913A0A" w:rsidRPr="0058047D" w:rsidRDefault="00913A0A" w:rsidP="002E5D03">
            <w:pPr>
              <w:pStyle w:val="Heading2"/>
              <w:spacing w:before="20" w:after="20"/>
              <w:ind w:left="0"/>
              <w:rPr>
                <w:rFonts w:ascii="Tahoma" w:hAnsi="Tahoma" w:cs="Tahoma"/>
                <w:b w:val="0"/>
                <w:color w:val="000000"/>
                <w:sz w:val="14"/>
                <w:szCs w:val="14"/>
              </w:rPr>
            </w:pPr>
            <w:bookmarkStart w:id="539" w:name="_Toc336338159"/>
            <w:bookmarkStart w:id="540" w:name="_Toc371663548"/>
            <w:r w:rsidRPr="0058047D">
              <w:rPr>
                <w:rFonts w:ascii="Tahoma" w:hAnsi="Tahoma" w:cs="Tahoma"/>
                <w:b w:val="0"/>
                <w:sz w:val="14"/>
                <w:szCs w:val="14"/>
              </w:rPr>
              <w:t>CAL Suite per Windows Small Business Server 2011 (5 client)</w:t>
            </w:r>
            <w:bookmarkEnd w:id="539"/>
            <w:bookmarkEnd w:id="540"/>
          </w:p>
        </w:tc>
        <w:tc>
          <w:tcPr>
            <w:tcW w:w="554" w:type="dxa"/>
            <w:tcBorders>
              <w:bottom w:val="single" w:sz="4" w:space="0" w:color="auto"/>
            </w:tcBorders>
            <w:shd w:val="clear" w:color="auto" w:fill="auto"/>
            <w:vAlign w:val="center"/>
          </w:tcPr>
          <w:p w14:paraId="73359203" w14:textId="77777777" w:rsidR="00913A0A" w:rsidRPr="0058047D" w:rsidRDefault="00C86F50" w:rsidP="00913588">
            <w:pPr>
              <w:pStyle w:val="TableText"/>
              <w:widowControl w:val="0"/>
              <w:rPr>
                <w:rStyle w:val="EndnoteReference"/>
                <w:b w:val="0"/>
                <w:sz w:val="13"/>
                <w:szCs w:val="13"/>
                <w:u w:val="single"/>
              </w:rPr>
            </w:pPr>
            <w:hyperlink w:anchor="_117_CAL_Suite" w:history="1">
              <w:r w:rsidR="006878A4" w:rsidRPr="0058047D">
                <w:rPr>
                  <w:rStyle w:val="Hyperlink"/>
                  <w:b/>
                  <w:sz w:val="13"/>
                  <w:szCs w:val="13"/>
                </w:rPr>
                <w:t>117</w:t>
              </w:r>
            </w:hyperlink>
          </w:p>
        </w:tc>
        <w:tc>
          <w:tcPr>
            <w:tcW w:w="516" w:type="dxa"/>
            <w:tcBorders>
              <w:bottom w:val="single" w:sz="4" w:space="0" w:color="auto"/>
            </w:tcBorders>
            <w:shd w:val="clear" w:color="auto" w:fill="auto"/>
            <w:vAlign w:val="center"/>
          </w:tcPr>
          <w:p w14:paraId="692F786B" w14:textId="77777777" w:rsidR="00913A0A" w:rsidRPr="0058047D" w:rsidRDefault="00913A0A" w:rsidP="00886719">
            <w:pPr>
              <w:pStyle w:val="TableText"/>
              <w:widowControl w:val="0"/>
              <w:spacing w:before="120"/>
              <w:rPr>
                <w:rFonts w:ascii="Tahoma" w:hAnsi="Tahoma" w:cs="Tahoma"/>
                <w:sz w:val="13"/>
              </w:rPr>
            </w:pPr>
            <w:r w:rsidRPr="0058047D">
              <w:rPr>
                <w:rFonts w:ascii="Tahoma" w:hAnsi="Tahoma" w:cs="Tahoma"/>
                <w:sz w:val="13"/>
              </w:rPr>
              <w:t>01/11</w:t>
            </w:r>
          </w:p>
        </w:tc>
        <w:tc>
          <w:tcPr>
            <w:tcW w:w="358" w:type="dxa"/>
            <w:tcBorders>
              <w:bottom w:val="single" w:sz="4" w:space="0" w:color="auto"/>
              <w:right w:val="single" w:sz="18" w:space="0" w:color="auto"/>
            </w:tcBorders>
            <w:shd w:val="clear" w:color="auto" w:fill="auto"/>
            <w:vAlign w:val="center"/>
          </w:tcPr>
          <w:p w14:paraId="5D2BA079" w14:textId="77777777" w:rsidR="00913A0A" w:rsidRPr="0058047D" w:rsidRDefault="00913A0A" w:rsidP="00886719">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6DB8289B" w14:textId="77777777" w:rsidR="00913A0A" w:rsidRPr="0058047D" w:rsidRDefault="00913A0A" w:rsidP="00886719">
            <w:pPr>
              <w:pStyle w:val="TableText"/>
              <w:widowControl w:val="0"/>
              <w:rPr>
                <w:rFonts w:ascii="Tahoma" w:hAnsi="Tahoma" w:cs="Tahoma"/>
                <w:b/>
                <w:color w:val="FF0000"/>
                <w:sz w:val="13"/>
              </w:rPr>
            </w:pPr>
          </w:p>
        </w:tc>
        <w:tc>
          <w:tcPr>
            <w:tcW w:w="324" w:type="dxa"/>
            <w:tcBorders>
              <w:bottom w:val="single" w:sz="4" w:space="0" w:color="auto"/>
            </w:tcBorders>
            <w:shd w:val="clear" w:color="auto" w:fill="auto"/>
            <w:vAlign w:val="center"/>
          </w:tcPr>
          <w:p w14:paraId="4CFABCAB" w14:textId="77777777" w:rsidR="00913A0A" w:rsidRPr="0058047D" w:rsidRDefault="00913A0A" w:rsidP="00886719">
            <w:pPr>
              <w:pStyle w:val="TableText"/>
              <w:widowControl w:val="0"/>
              <w:rPr>
                <w:rFonts w:ascii="Tahoma" w:hAnsi="Tahoma" w:cs="Tahoma"/>
                <w:b/>
                <w:color w:val="008000"/>
                <w:sz w:val="13"/>
              </w:rPr>
            </w:pPr>
          </w:p>
        </w:tc>
        <w:tc>
          <w:tcPr>
            <w:tcW w:w="366" w:type="dxa"/>
            <w:tcBorders>
              <w:bottom w:val="single" w:sz="4" w:space="0" w:color="auto"/>
            </w:tcBorders>
            <w:shd w:val="clear" w:color="auto" w:fill="auto"/>
            <w:vAlign w:val="center"/>
          </w:tcPr>
          <w:p w14:paraId="4A24B76C" w14:textId="77777777" w:rsidR="00913A0A" w:rsidRPr="0058047D" w:rsidRDefault="00913A0A" w:rsidP="00886719">
            <w:pPr>
              <w:pStyle w:val="TableText"/>
              <w:widowControl w:val="0"/>
              <w:rPr>
                <w:rFonts w:ascii="Tahoma" w:hAnsi="Tahoma" w:cs="Tahoma"/>
                <w:b/>
                <w:color w:val="008000"/>
                <w:sz w:val="13"/>
              </w:rPr>
            </w:pPr>
          </w:p>
        </w:tc>
        <w:tc>
          <w:tcPr>
            <w:tcW w:w="456" w:type="dxa"/>
            <w:gridSpan w:val="2"/>
            <w:tcBorders>
              <w:bottom w:val="single" w:sz="4" w:space="0" w:color="auto"/>
            </w:tcBorders>
            <w:shd w:val="clear" w:color="auto" w:fill="auto"/>
            <w:vAlign w:val="center"/>
          </w:tcPr>
          <w:p w14:paraId="7D9D9920" w14:textId="77777777" w:rsidR="00913A0A" w:rsidRPr="0058047D" w:rsidRDefault="00913A0A"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22085A3C" w14:textId="77777777" w:rsidR="00913A0A" w:rsidRPr="0058047D" w:rsidRDefault="00913A0A"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14:paraId="357A8225" w14:textId="77777777" w:rsidR="00913A0A" w:rsidRPr="0058047D" w:rsidRDefault="00913A0A" w:rsidP="00886719">
            <w:pPr>
              <w:pStyle w:val="TableText"/>
              <w:widowControl w:val="0"/>
              <w:rPr>
                <w:rFonts w:ascii="Tahoma" w:hAnsi="Tahoma" w:cs="Tahoma"/>
                <w:b/>
                <w:color w:val="0000FF"/>
                <w:sz w:val="13"/>
              </w:rPr>
            </w:pPr>
          </w:p>
        </w:tc>
        <w:tc>
          <w:tcPr>
            <w:tcW w:w="336" w:type="dxa"/>
            <w:tcBorders>
              <w:bottom w:val="single" w:sz="4" w:space="0" w:color="auto"/>
              <w:right w:val="single" w:sz="18" w:space="0" w:color="auto"/>
            </w:tcBorders>
            <w:shd w:val="clear" w:color="auto" w:fill="auto"/>
            <w:vAlign w:val="center"/>
          </w:tcPr>
          <w:p w14:paraId="37DF90D2" w14:textId="77777777" w:rsidR="00913A0A" w:rsidRPr="0058047D" w:rsidRDefault="00913A0A" w:rsidP="00886719">
            <w:pPr>
              <w:pStyle w:val="TableText"/>
              <w:widowControl w:val="0"/>
              <w:rPr>
                <w:rFonts w:ascii="Tahoma" w:hAnsi="Tahoma" w:cs="Tahoma"/>
                <w:b/>
                <w:color w:val="0000FF"/>
                <w:sz w:val="13"/>
              </w:rPr>
            </w:pPr>
          </w:p>
        </w:tc>
        <w:tc>
          <w:tcPr>
            <w:tcW w:w="477" w:type="dxa"/>
            <w:tcBorders>
              <w:left w:val="single" w:sz="18" w:space="0" w:color="auto"/>
              <w:bottom w:val="single" w:sz="4" w:space="0" w:color="auto"/>
            </w:tcBorders>
            <w:shd w:val="clear" w:color="auto" w:fill="auto"/>
            <w:vAlign w:val="center"/>
          </w:tcPr>
          <w:p w14:paraId="16C397CA" w14:textId="77777777" w:rsidR="00913A0A" w:rsidRPr="0058047D" w:rsidRDefault="00913A0A" w:rsidP="00886719">
            <w:pPr>
              <w:pStyle w:val="TableText"/>
              <w:widowControl w:val="0"/>
              <w:rPr>
                <w:rFonts w:ascii="Tahoma" w:hAnsi="Tahoma" w:cs="Tahoma"/>
                <w:sz w:val="13"/>
              </w:rPr>
            </w:pPr>
            <w:r w:rsidRPr="0058047D">
              <w:rPr>
                <w:rFonts w:ascii="Tahoma" w:hAnsi="Tahoma" w:cs="Tahoma"/>
                <w:sz w:val="13"/>
              </w:rPr>
              <w:t>5</w:t>
            </w:r>
          </w:p>
        </w:tc>
        <w:tc>
          <w:tcPr>
            <w:tcW w:w="450" w:type="dxa"/>
            <w:tcBorders>
              <w:bottom w:val="single" w:sz="4" w:space="0" w:color="auto"/>
            </w:tcBorders>
            <w:shd w:val="clear" w:color="auto" w:fill="auto"/>
            <w:vAlign w:val="center"/>
          </w:tcPr>
          <w:p w14:paraId="68A2EF81" w14:textId="77777777" w:rsidR="00913A0A" w:rsidRPr="0058047D" w:rsidRDefault="00913A0A" w:rsidP="00886719">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4DCB20DF" w14:textId="77777777" w:rsidR="00913A0A" w:rsidRPr="0058047D" w:rsidRDefault="00913A0A" w:rsidP="00886719">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04B8F244" w14:textId="77777777" w:rsidR="00913A0A" w:rsidRPr="0058047D" w:rsidRDefault="00913A0A" w:rsidP="00886719">
            <w:pPr>
              <w:pStyle w:val="TableText"/>
              <w:widowControl w:val="0"/>
              <w:rPr>
                <w:rFonts w:ascii="Tahoma" w:hAnsi="Tahoma" w:cs="Tahoma"/>
                <w:sz w:val="13"/>
              </w:rPr>
            </w:pPr>
            <w:r w:rsidRPr="0058047D">
              <w:rPr>
                <w:rFonts w:ascii="Tahoma" w:hAnsi="Tahoma" w:cs="Tahoma"/>
                <w:sz w:val="13"/>
              </w:rPr>
              <w:t>5</w:t>
            </w:r>
          </w:p>
        </w:tc>
        <w:tc>
          <w:tcPr>
            <w:tcW w:w="477" w:type="dxa"/>
            <w:tcBorders>
              <w:bottom w:val="single" w:sz="4" w:space="0" w:color="auto"/>
              <w:right w:val="single" w:sz="18" w:space="0" w:color="auto"/>
            </w:tcBorders>
            <w:shd w:val="clear" w:color="auto" w:fill="auto"/>
            <w:vAlign w:val="center"/>
          </w:tcPr>
          <w:p w14:paraId="4632D9B8" w14:textId="77777777" w:rsidR="00913A0A" w:rsidRPr="0058047D" w:rsidRDefault="00913A0A" w:rsidP="00886719">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27D73878" w14:textId="77777777" w:rsidR="00913A0A" w:rsidRPr="0058047D" w:rsidRDefault="00913A0A" w:rsidP="00886719">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auto"/>
          </w:tcPr>
          <w:p w14:paraId="069E1828" w14:textId="77777777" w:rsidR="00913A0A" w:rsidRPr="0058047D" w:rsidRDefault="00913A0A" w:rsidP="00886719">
            <w:pPr>
              <w:pStyle w:val="TableText"/>
              <w:widowControl w:val="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auto"/>
            <w:vAlign w:val="center"/>
          </w:tcPr>
          <w:p w14:paraId="7A1171B9" w14:textId="77777777" w:rsidR="00913A0A" w:rsidRPr="0058047D" w:rsidRDefault="00913A0A" w:rsidP="00886719">
            <w:pPr>
              <w:pStyle w:val="TableText"/>
              <w:widowControl w:val="0"/>
              <w:rPr>
                <w:rFonts w:ascii="Tahoma" w:hAnsi="Tahoma" w:cs="Tahoma"/>
                <w:sz w:val="13"/>
              </w:rPr>
            </w:pPr>
            <w:r w:rsidRPr="0058047D">
              <w:rPr>
                <w:rFonts w:ascii="Tahoma" w:hAnsi="Tahoma" w:cs="Tahoma"/>
                <w:color w:val="000000"/>
                <w:sz w:val="13"/>
              </w:rPr>
              <w:t>OL/OV</w:t>
            </w:r>
          </w:p>
        </w:tc>
        <w:tc>
          <w:tcPr>
            <w:tcW w:w="405" w:type="dxa"/>
            <w:tcBorders>
              <w:bottom w:val="single" w:sz="4" w:space="0" w:color="auto"/>
            </w:tcBorders>
            <w:shd w:val="clear" w:color="auto" w:fill="auto"/>
          </w:tcPr>
          <w:p w14:paraId="0A44B315" w14:textId="77777777" w:rsidR="00913A0A" w:rsidRPr="0058047D" w:rsidRDefault="00913A0A" w:rsidP="00886719">
            <w:pPr>
              <w:pStyle w:val="TableText"/>
              <w:widowControl w:val="0"/>
              <w:rPr>
                <w:rFonts w:ascii="Tahoma" w:hAnsi="Tahoma" w:cs="Tahoma"/>
                <w:color w:val="000000"/>
                <w:sz w:val="13"/>
              </w:rPr>
            </w:pPr>
          </w:p>
        </w:tc>
      </w:tr>
      <w:tr w:rsidR="009323A0" w:rsidRPr="0058047D" w14:paraId="4C42F14C" w14:textId="77777777" w:rsidTr="00C86F50">
        <w:trPr>
          <w:gridBefore w:val="1"/>
          <w:wBefore w:w="13" w:type="dxa"/>
          <w:trHeight w:val="145"/>
        </w:trPr>
        <w:tc>
          <w:tcPr>
            <w:tcW w:w="2606" w:type="dxa"/>
            <w:tcBorders>
              <w:bottom w:val="single" w:sz="4" w:space="0" w:color="auto"/>
            </w:tcBorders>
            <w:shd w:val="clear" w:color="auto" w:fill="FABF8F"/>
          </w:tcPr>
          <w:p w14:paraId="1EB30266" w14:textId="77777777" w:rsidR="00913A0A" w:rsidRPr="0058047D" w:rsidRDefault="00913A0A" w:rsidP="002E5D03">
            <w:pPr>
              <w:pStyle w:val="Heading2"/>
              <w:spacing w:before="20" w:after="20"/>
              <w:ind w:left="0"/>
              <w:rPr>
                <w:rFonts w:ascii="Tahoma" w:hAnsi="Tahoma" w:cs="Tahoma"/>
                <w:b w:val="0"/>
                <w:color w:val="000000"/>
                <w:sz w:val="14"/>
                <w:szCs w:val="14"/>
              </w:rPr>
            </w:pPr>
            <w:bookmarkStart w:id="541" w:name="_Toc336338160"/>
            <w:bookmarkStart w:id="542" w:name="_Toc371663549"/>
            <w:r w:rsidRPr="0058047D">
              <w:rPr>
                <w:rFonts w:ascii="Tahoma" w:hAnsi="Tahoma" w:cs="Tahoma"/>
                <w:b w:val="0"/>
                <w:sz w:val="14"/>
                <w:szCs w:val="14"/>
              </w:rPr>
              <w:t>CAL Suite per Windows Small Business Server 2011 (20 client)</w:t>
            </w:r>
            <w:bookmarkEnd w:id="541"/>
            <w:bookmarkEnd w:id="542"/>
            <w:r w:rsidRPr="0058047D">
              <w:rPr>
                <w:rFonts w:ascii="Tahoma" w:eastAsia="Times New Roman" w:hAnsi="Tahoma" w:cs="Tahoma"/>
                <w:b w:val="0"/>
                <w:sz w:val="14"/>
                <w:szCs w:val="14"/>
              </w:rPr>
              <w:t xml:space="preserve"> </w:t>
            </w:r>
          </w:p>
        </w:tc>
        <w:tc>
          <w:tcPr>
            <w:tcW w:w="554" w:type="dxa"/>
            <w:tcBorders>
              <w:bottom w:val="single" w:sz="4" w:space="0" w:color="auto"/>
            </w:tcBorders>
            <w:shd w:val="clear" w:color="auto" w:fill="FABF8F"/>
            <w:vAlign w:val="center"/>
          </w:tcPr>
          <w:p w14:paraId="546FB93A" w14:textId="77777777" w:rsidR="00913A0A" w:rsidRPr="0058047D" w:rsidRDefault="00C86F50" w:rsidP="00913588">
            <w:pPr>
              <w:pStyle w:val="TableText"/>
              <w:widowControl w:val="0"/>
              <w:rPr>
                <w:rStyle w:val="EndnoteReference"/>
                <w:b w:val="0"/>
                <w:sz w:val="13"/>
                <w:szCs w:val="13"/>
                <w:u w:val="single"/>
              </w:rPr>
            </w:pPr>
            <w:hyperlink w:anchor="_117_CAL_Suite" w:history="1">
              <w:r w:rsidR="00BF5FC6" w:rsidRPr="0058047D">
                <w:rPr>
                  <w:rStyle w:val="Hyperlink"/>
                  <w:b/>
                  <w:sz w:val="13"/>
                  <w:szCs w:val="13"/>
                </w:rPr>
                <w:t>117</w:t>
              </w:r>
            </w:hyperlink>
          </w:p>
        </w:tc>
        <w:tc>
          <w:tcPr>
            <w:tcW w:w="516" w:type="dxa"/>
            <w:tcBorders>
              <w:bottom w:val="single" w:sz="4" w:space="0" w:color="auto"/>
            </w:tcBorders>
            <w:shd w:val="clear" w:color="auto" w:fill="FABF8F"/>
            <w:vAlign w:val="center"/>
          </w:tcPr>
          <w:p w14:paraId="5D21CC6C" w14:textId="77777777" w:rsidR="00913A0A" w:rsidRPr="0058047D" w:rsidRDefault="00913A0A" w:rsidP="00886719">
            <w:pPr>
              <w:pStyle w:val="TableText"/>
              <w:widowControl w:val="0"/>
              <w:spacing w:before="120"/>
              <w:rPr>
                <w:rFonts w:ascii="Tahoma" w:hAnsi="Tahoma" w:cs="Tahoma"/>
                <w:sz w:val="13"/>
              </w:rPr>
            </w:pPr>
            <w:r w:rsidRPr="0058047D">
              <w:rPr>
                <w:rFonts w:ascii="Tahoma" w:hAnsi="Tahoma" w:cs="Tahoma"/>
                <w:sz w:val="13"/>
              </w:rPr>
              <w:t>01/11</w:t>
            </w:r>
          </w:p>
        </w:tc>
        <w:tc>
          <w:tcPr>
            <w:tcW w:w="358" w:type="dxa"/>
            <w:tcBorders>
              <w:bottom w:val="single" w:sz="4" w:space="0" w:color="auto"/>
              <w:right w:val="single" w:sz="18" w:space="0" w:color="auto"/>
            </w:tcBorders>
            <w:shd w:val="clear" w:color="auto" w:fill="FABF8F"/>
            <w:vAlign w:val="center"/>
          </w:tcPr>
          <w:p w14:paraId="74AC29B7" w14:textId="77777777" w:rsidR="00913A0A" w:rsidRPr="0058047D" w:rsidRDefault="00913A0A" w:rsidP="00886719">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center"/>
          </w:tcPr>
          <w:p w14:paraId="0BC9538F" w14:textId="77777777" w:rsidR="00913A0A" w:rsidRPr="0058047D" w:rsidRDefault="00913A0A" w:rsidP="00886719">
            <w:pPr>
              <w:pStyle w:val="TableText"/>
              <w:widowControl w:val="0"/>
              <w:rPr>
                <w:rFonts w:ascii="Tahoma" w:hAnsi="Tahoma" w:cs="Tahoma"/>
                <w:b/>
                <w:color w:val="FF0000"/>
                <w:sz w:val="13"/>
              </w:rPr>
            </w:pPr>
          </w:p>
        </w:tc>
        <w:tc>
          <w:tcPr>
            <w:tcW w:w="324" w:type="dxa"/>
            <w:tcBorders>
              <w:bottom w:val="single" w:sz="4" w:space="0" w:color="auto"/>
            </w:tcBorders>
            <w:shd w:val="clear" w:color="auto" w:fill="FABF8F"/>
            <w:vAlign w:val="center"/>
          </w:tcPr>
          <w:p w14:paraId="45975503" w14:textId="77777777" w:rsidR="00913A0A" w:rsidRPr="0058047D" w:rsidRDefault="00913A0A" w:rsidP="00886719">
            <w:pPr>
              <w:pStyle w:val="TableText"/>
              <w:widowControl w:val="0"/>
              <w:rPr>
                <w:rFonts w:ascii="Tahoma" w:hAnsi="Tahoma" w:cs="Tahoma"/>
                <w:b/>
                <w:color w:val="008000"/>
                <w:sz w:val="13"/>
              </w:rPr>
            </w:pPr>
          </w:p>
        </w:tc>
        <w:tc>
          <w:tcPr>
            <w:tcW w:w="366" w:type="dxa"/>
            <w:tcBorders>
              <w:bottom w:val="single" w:sz="4" w:space="0" w:color="auto"/>
            </w:tcBorders>
            <w:shd w:val="clear" w:color="auto" w:fill="FABF8F"/>
            <w:vAlign w:val="center"/>
          </w:tcPr>
          <w:p w14:paraId="59A5398B" w14:textId="77777777" w:rsidR="00913A0A" w:rsidRPr="0058047D" w:rsidRDefault="00913A0A" w:rsidP="00886719">
            <w:pPr>
              <w:pStyle w:val="TableText"/>
              <w:widowControl w:val="0"/>
              <w:rPr>
                <w:rFonts w:ascii="Tahoma" w:hAnsi="Tahoma" w:cs="Tahoma"/>
                <w:b/>
                <w:color w:val="008000"/>
                <w:sz w:val="13"/>
              </w:rPr>
            </w:pPr>
          </w:p>
        </w:tc>
        <w:tc>
          <w:tcPr>
            <w:tcW w:w="456" w:type="dxa"/>
            <w:gridSpan w:val="2"/>
            <w:tcBorders>
              <w:bottom w:val="single" w:sz="4" w:space="0" w:color="auto"/>
            </w:tcBorders>
            <w:shd w:val="clear" w:color="auto" w:fill="FABF8F"/>
            <w:vAlign w:val="center"/>
          </w:tcPr>
          <w:p w14:paraId="329D6117" w14:textId="77777777" w:rsidR="00913A0A" w:rsidRPr="0058047D" w:rsidRDefault="00913A0A"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5AA26FCB" w14:textId="77777777" w:rsidR="00913A0A" w:rsidRPr="0058047D" w:rsidRDefault="00913A0A"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14:paraId="24A7A0AE" w14:textId="77777777" w:rsidR="00913A0A" w:rsidRPr="0058047D" w:rsidRDefault="00913A0A" w:rsidP="00886719">
            <w:pPr>
              <w:pStyle w:val="TableText"/>
              <w:widowControl w:val="0"/>
              <w:rPr>
                <w:rFonts w:ascii="Tahoma" w:hAnsi="Tahoma" w:cs="Tahoma"/>
                <w:b/>
                <w:color w:val="0000FF"/>
                <w:sz w:val="13"/>
              </w:rPr>
            </w:pPr>
          </w:p>
        </w:tc>
        <w:tc>
          <w:tcPr>
            <w:tcW w:w="336" w:type="dxa"/>
            <w:tcBorders>
              <w:bottom w:val="single" w:sz="4" w:space="0" w:color="auto"/>
              <w:right w:val="single" w:sz="18" w:space="0" w:color="auto"/>
            </w:tcBorders>
            <w:shd w:val="clear" w:color="auto" w:fill="FABF8F"/>
            <w:vAlign w:val="center"/>
          </w:tcPr>
          <w:p w14:paraId="4DCBF632" w14:textId="77777777" w:rsidR="00913A0A" w:rsidRPr="0058047D" w:rsidRDefault="00913A0A" w:rsidP="00886719">
            <w:pPr>
              <w:pStyle w:val="TableText"/>
              <w:widowControl w:val="0"/>
              <w:rPr>
                <w:rFonts w:ascii="Tahoma" w:hAnsi="Tahoma" w:cs="Tahoma"/>
                <w:b/>
                <w:color w:val="0000FF"/>
                <w:sz w:val="13"/>
              </w:rPr>
            </w:pPr>
          </w:p>
        </w:tc>
        <w:tc>
          <w:tcPr>
            <w:tcW w:w="477" w:type="dxa"/>
            <w:tcBorders>
              <w:left w:val="single" w:sz="18" w:space="0" w:color="auto"/>
              <w:bottom w:val="single" w:sz="4" w:space="0" w:color="auto"/>
            </w:tcBorders>
            <w:shd w:val="clear" w:color="auto" w:fill="FABF8F"/>
            <w:vAlign w:val="center"/>
          </w:tcPr>
          <w:p w14:paraId="24B0C4D7" w14:textId="77777777" w:rsidR="00913A0A" w:rsidRPr="0058047D" w:rsidRDefault="00913A0A" w:rsidP="00886719">
            <w:pPr>
              <w:pStyle w:val="TableText"/>
              <w:widowControl w:val="0"/>
              <w:rPr>
                <w:rFonts w:ascii="Tahoma" w:hAnsi="Tahoma" w:cs="Tahoma"/>
                <w:sz w:val="13"/>
              </w:rPr>
            </w:pPr>
            <w:r w:rsidRPr="0058047D">
              <w:rPr>
                <w:rFonts w:ascii="Tahoma" w:hAnsi="Tahoma" w:cs="Tahoma"/>
                <w:sz w:val="13"/>
              </w:rPr>
              <w:t>25</w:t>
            </w:r>
          </w:p>
        </w:tc>
        <w:tc>
          <w:tcPr>
            <w:tcW w:w="450" w:type="dxa"/>
            <w:tcBorders>
              <w:bottom w:val="single" w:sz="4" w:space="0" w:color="auto"/>
            </w:tcBorders>
            <w:shd w:val="clear" w:color="auto" w:fill="FABF8F"/>
            <w:vAlign w:val="center"/>
          </w:tcPr>
          <w:p w14:paraId="2C7C3C6E" w14:textId="77777777" w:rsidR="00913A0A" w:rsidRPr="0058047D" w:rsidRDefault="00913A0A" w:rsidP="00886719">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35271703" w14:textId="77777777" w:rsidR="00913A0A" w:rsidRPr="0058047D" w:rsidRDefault="00913A0A" w:rsidP="00886719">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37AA99C5" w14:textId="77777777" w:rsidR="00913A0A" w:rsidRPr="0058047D" w:rsidRDefault="00913A0A" w:rsidP="00886719">
            <w:pPr>
              <w:pStyle w:val="TableText"/>
              <w:widowControl w:val="0"/>
              <w:rPr>
                <w:rFonts w:ascii="Tahoma" w:hAnsi="Tahoma" w:cs="Tahoma"/>
                <w:sz w:val="13"/>
              </w:rPr>
            </w:pPr>
            <w:r w:rsidRPr="0058047D">
              <w:rPr>
                <w:rFonts w:ascii="Tahoma" w:hAnsi="Tahoma" w:cs="Tahoma"/>
                <w:sz w:val="13"/>
              </w:rPr>
              <w:t>25</w:t>
            </w:r>
          </w:p>
        </w:tc>
        <w:tc>
          <w:tcPr>
            <w:tcW w:w="477" w:type="dxa"/>
            <w:tcBorders>
              <w:bottom w:val="single" w:sz="4" w:space="0" w:color="auto"/>
              <w:right w:val="single" w:sz="18" w:space="0" w:color="auto"/>
            </w:tcBorders>
            <w:shd w:val="clear" w:color="auto" w:fill="FABF8F"/>
            <w:vAlign w:val="center"/>
          </w:tcPr>
          <w:p w14:paraId="26D9DF94" w14:textId="77777777" w:rsidR="00913A0A" w:rsidRPr="0058047D" w:rsidRDefault="00913A0A" w:rsidP="00886719">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0F62EF69" w14:textId="77777777" w:rsidR="00913A0A" w:rsidRPr="0058047D" w:rsidRDefault="00913A0A" w:rsidP="00886719">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tcPr>
          <w:p w14:paraId="61873CED" w14:textId="77777777" w:rsidR="00913A0A" w:rsidRPr="0058047D" w:rsidRDefault="00913A0A" w:rsidP="00886719">
            <w:pPr>
              <w:pStyle w:val="TableText"/>
              <w:widowControl w:val="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FABF8F"/>
            <w:vAlign w:val="center"/>
          </w:tcPr>
          <w:p w14:paraId="1C392944" w14:textId="77777777" w:rsidR="00913A0A" w:rsidRPr="0058047D" w:rsidRDefault="00913A0A" w:rsidP="00886719">
            <w:pPr>
              <w:pStyle w:val="TableText"/>
              <w:widowControl w:val="0"/>
              <w:rPr>
                <w:rFonts w:ascii="Tahoma" w:hAnsi="Tahoma" w:cs="Tahoma"/>
                <w:sz w:val="13"/>
              </w:rPr>
            </w:pPr>
            <w:r w:rsidRPr="0058047D">
              <w:rPr>
                <w:rFonts w:ascii="Tahoma" w:hAnsi="Tahoma" w:cs="Tahoma"/>
                <w:color w:val="000000"/>
                <w:sz w:val="13"/>
              </w:rPr>
              <w:t>OL/OV</w:t>
            </w:r>
          </w:p>
        </w:tc>
        <w:tc>
          <w:tcPr>
            <w:tcW w:w="405" w:type="dxa"/>
            <w:tcBorders>
              <w:bottom w:val="single" w:sz="4" w:space="0" w:color="auto"/>
            </w:tcBorders>
            <w:shd w:val="clear" w:color="auto" w:fill="FABF8F"/>
          </w:tcPr>
          <w:p w14:paraId="57F0CF06" w14:textId="77777777" w:rsidR="00913A0A" w:rsidRPr="0058047D" w:rsidRDefault="00913A0A" w:rsidP="00886719">
            <w:pPr>
              <w:pStyle w:val="TableText"/>
              <w:widowControl w:val="0"/>
              <w:rPr>
                <w:rFonts w:ascii="Tahoma" w:hAnsi="Tahoma" w:cs="Tahoma"/>
                <w:color w:val="000000"/>
                <w:sz w:val="13"/>
              </w:rPr>
            </w:pPr>
          </w:p>
        </w:tc>
      </w:tr>
      <w:tr w:rsidR="00C86F50" w:rsidRPr="0058047D" w14:paraId="3585425F" w14:textId="77777777" w:rsidTr="00C86F50">
        <w:trPr>
          <w:gridBefore w:val="1"/>
          <w:wBefore w:w="13" w:type="dxa"/>
          <w:trHeight w:val="145"/>
        </w:trPr>
        <w:tc>
          <w:tcPr>
            <w:tcW w:w="2606" w:type="dxa"/>
            <w:tcBorders>
              <w:bottom w:val="single" w:sz="4" w:space="0" w:color="auto"/>
            </w:tcBorders>
            <w:shd w:val="clear" w:color="auto" w:fill="auto"/>
            <w:vAlign w:val="center"/>
          </w:tcPr>
          <w:p w14:paraId="3F2FBB77" w14:textId="77777777" w:rsidR="00913A0A" w:rsidRPr="0058047D" w:rsidRDefault="00913A0A" w:rsidP="002E5D03">
            <w:pPr>
              <w:pStyle w:val="Heading2"/>
              <w:spacing w:before="20" w:after="20"/>
              <w:ind w:left="0"/>
              <w:rPr>
                <w:rFonts w:ascii="Tahoma" w:hAnsi="Tahoma" w:cs="Tahoma"/>
                <w:b w:val="0"/>
                <w:sz w:val="14"/>
                <w:szCs w:val="14"/>
              </w:rPr>
            </w:pPr>
            <w:bookmarkStart w:id="543" w:name="_Toc371663550"/>
            <w:r w:rsidRPr="0058047D">
              <w:rPr>
                <w:rFonts w:ascii="Tahoma" w:hAnsi="Tahoma" w:cs="Tahoma"/>
                <w:b w:val="0"/>
                <w:sz w:val="14"/>
                <w:szCs w:val="14"/>
              </w:rPr>
              <w:t>Premium Add-on per Windows Small Business Server 2011</w:t>
            </w:r>
            <w:bookmarkEnd w:id="543"/>
          </w:p>
        </w:tc>
        <w:tc>
          <w:tcPr>
            <w:tcW w:w="554" w:type="dxa"/>
            <w:tcBorders>
              <w:bottom w:val="single" w:sz="4" w:space="0" w:color="auto"/>
            </w:tcBorders>
            <w:shd w:val="clear" w:color="auto" w:fill="auto"/>
            <w:vAlign w:val="center"/>
          </w:tcPr>
          <w:p w14:paraId="25378951" w14:textId="77777777" w:rsidR="00913A0A" w:rsidRPr="0058047D" w:rsidRDefault="00C86F50" w:rsidP="00913588">
            <w:pPr>
              <w:pStyle w:val="TableText"/>
              <w:widowControl w:val="0"/>
            </w:pPr>
            <w:hyperlink w:anchor="_118_Premium_Add-on" w:history="1">
              <w:r w:rsidR="00BF5FC6" w:rsidRPr="0058047D">
                <w:rPr>
                  <w:rStyle w:val="Hyperlink"/>
                  <w:b/>
                  <w:sz w:val="13"/>
                  <w:szCs w:val="13"/>
                </w:rPr>
                <w:t>118</w:t>
              </w:r>
            </w:hyperlink>
          </w:p>
        </w:tc>
        <w:tc>
          <w:tcPr>
            <w:tcW w:w="516" w:type="dxa"/>
            <w:tcBorders>
              <w:bottom w:val="single" w:sz="4" w:space="0" w:color="auto"/>
            </w:tcBorders>
            <w:shd w:val="clear" w:color="auto" w:fill="auto"/>
          </w:tcPr>
          <w:p w14:paraId="5E9BAE08" w14:textId="77777777" w:rsidR="00913A0A" w:rsidRPr="0058047D" w:rsidRDefault="00913A0A">
            <w:pPr>
              <w:pStyle w:val="TableText"/>
              <w:widowControl w:val="0"/>
              <w:spacing w:before="120"/>
              <w:rPr>
                <w:rFonts w:ascii="Tahoma" w:hAnsi="Tahoma" w:cs="Tahoma"/>
                <w:sz w:val="13"/>
              </w:rPr>
            </w:pPr>
          </w:p>
        </w:tc>
        <w:tc>
          <w:tcPr>
            <w:tcW w:w="358" w:type="dxa"/>
            <w:tcBorders>
              <w:bottom w:val="single" w:sz="4" w:space="0" w:color="auto"/>
              <w:right w:val="single" w:sz="18" w:space="0" w:color="auto"/>
            </w:tcBorders>
            <w:shd w:val="clear" w:color="auto" w:fill="auto"/>
            <w:vAlign w:val="center"/>
          </w:tcPr>
          <w:p w14:paraId="15705F4C" w14:textId="77777777" w:rsidR="00913A0A" w:rsidRPr="0058047D" w:rsidRDefault="00913A0A">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auto"/>
            <w:vAlign w:val="center"/>
          </w:tcPr>
          <w:p w14:paraId="130499CA" w14:textId="77777777" w:rsidR="00913A0A" w:rsidRPr="0058047D" w:rsidRDefault="00913A0A">
            <w:pPr>
              <w:pStyle w:val="TableText"/>
              <w:widowControl w:val="0"/>
              <w:rPr>
                <w:rFonts w:ascii="Tahoma" w:hAnsi="Tahoma" w:cs="Tahoma"/>
                <w:b/>
                <w:color w:val="FF0000"/>
                <w:sz w:val="13"/>
              </w:rPr>
            </w:pPr>
          </w:p>
        </w:tc>
        <w:tc>
          <w:tcPr>
            <w:tcW w:w="324" w:type="dxa"/>
            <w:tcBorders>
              <w:bottom w:val="single" w:sz="4" w:space="0" w:color="auto"/>
            </w:tcBorders>
            <w:shd w:val="clear" w:color="auto" w:fill="auto"/>
            <w:vAlign w:val="center"/>
          </w:tcPr>
          <w:p w14:paraId="328C902F" w14:textId="77777777" w:rsidR="00913A0A" w:rsidRPr="0058047D" w:rsidRDefault="00913A0A">
            <w:pPr>
              <w:pStyle w:val="TableText"/>
              <w:widowControl w:val="0"/>
              <w:rPr>
                <w:rFonts w:ascii="Tahoma" w:hAnsi="Tahoma" w:cs="Tahoma"/>
                <w:b/>
                <w:color w:val="008000"/>
                <w:sz w:val="13"/>
              </w:rPr>
            </w:pPr>
          </w:p>
        </w:tc>
        <w:tc>
          <w:tcPr>
            <w:tcW w:w="366" w:type="dxa"/>
            <w:tcBorders>
              <w:bottom w:val="single" w:sz="4" w:space="0" w:color="auto"/>
            </w:tcBorders>
            <w:shd w:val="clear" w:color="auto" w:fill="auto"/>
            <w:vAlign w:val="center"/>
          </w:tcPr>
          <w:p w14:paraId="55841E95" w14:textId="77777777" w:rsidR="00913A0A" w:rsidRPr="0058047D" w:rsidRDefault="00913A0A">
            <w:pPr>
              <w:pStyle w:val="TableText"/>
              <w:widowControl w:val="0"/>
              <w:rPr>
                <w:rFonts w:ascii="Tahoma" w:hAnsi="Tahoma" w:cs="Tahoma"/>
                <w:b/>
                <w:color w:val="008000"/>
                <w:sz w:val="13"/>
              </w:rPr>
            </w:pPr>
          </w:p>
        </w:tc>
        <w:tc>
          <w:tcPr>
            <w:tcW w:w="456" w:type="dxa"/>
            <w:gridSpan w:val="2"/>
            <w:tcBorders>
              <w:bottom w:val="single" w:sz="4" w:space="0" w:color="auto"/>
            </w:tcBorders>
            <w:shd w:val="clear" w:color="auto" w:fill="auto"/>
            <w:vAlign w:val="center"/>
          </w:tcPr>
          <w:p w14:paraId="48962D38" w14:textId="77777777" w:rsidR="00913A0A" w:rsidRPr="0058047D" w:rsidRDefault="00913A0A">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4451972F" w14:textId="77777777" w:rsidR="00913A0A" w:rsidRPr="0058047D" w:rsidRDefault="00913A0A">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14:paraId="0921B7C0" w14:textId="77777777" w:rsidR="00913A0A" w:rsidRPr="0058047D" w:rsidRDefault="00913A0A">
            <w:pPr>
              <w:pStyle w:val="TableText"/>
              <w:widowControl w:val="0"/>
              <w:rPr>
                <w:rFonts w:ascii="Tahoma" w:hAnsi="Tahoma" w:cs="Tahoma"/>
                <w:b/>
                <w:color w:val="0000FF"/>
                <w:sz w:val="13"/>
              </w:rPr>
            </w:pPr>
          </w:p>
        </w:tc>
        <w:tc>
          <w:tcPr>
            <w:tcW w:w="336" w:type="dxa"/>
            <w:tcBorders>
              <w:bottom w:val="single" w:sz="4" w:space="0" w:color="auto"/>
              <w:right w:val="single" w:sz="18" w:space="0" w:color="auto"/>
            </w:tcBorders>
            <w:shd w:val="clear" w:color="auto" w:fill="auto"/>
            <w:vAlign w:val="center"/>
          </w:tcPr>
          <w:p w14:paraId="6D92F3C6" w14:textId="77777777" w:rsidR="00913A0A" w:rsidRPr="0058047D" w:rsidRDefault="00913A0A">
            <w:pPr>
              <w:pStyle w:val="TableText"/>
              <w:widowControl w:val="0"/>
              <w:rPr>
                <w:rFonts w:ascii="Tahoma" w:hAnsi="Tahoma" w:cs="Tahoma"/>
                <w:b/>
                <w:color w:val="0000FF"/>
                <w:sz w:val="13"/>
              </w:rPr>
            </w:pPr>
          </w:p>
        </w:tc>
        <w:tc>
          <w:tcPr>
            <w:tcW w:w="477" w:type="dxa"/>
            <w:tcBorders>
              <w:left w:val="single" w:sz="18" w:space="0" w:color="auto"/>
              <w:bottom w:val="single" w:sz="4" w:space="0" w:color="auto"/>
            </w:tcBorders>
            <w:shd w:val="clear" w:color="auto" w:fill="auto"/>
            <w:vAlign w:val="center"/>
          </w:tcPr>
          <w:p w14:paraId="399EE785" w14:textId="77777777" w:rsidR="00913A0A" w:rsidRPr="0058047D" w:rsidRDefault="00913A0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024A512" w14:textId="77777777" w:rsidR="00913A0A" w:rsidRPr="0058047D" w:rsidRDefault="00913A0A">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38DD6F84" w14:textId="77777777" w:rsidR="00913A0A" w:rsidRPr="0058047D" w:rsidRDefault="00913A0A">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220BFBD6" w14:textId="77777777" w:rsidR="00913A0A" w:rsidRPr="0058047D" w:rsidRDefault="00913A0A">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40C91543" w14:textId="77777777" w:rsidR="00913A0A" w:rsidRPr="0058047D" w:rsidRDefault="00913A0A">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7D4180FB" w14:textId="77777777" w:rsidR="00913A0A" w:rsidRPr="0058047D" w:rsidRDefault="00913A0A">
            <w:pPr>
              <w:pStyle w:val="TableText"/>
              <w:widowControl w:val="0"/>
              <w:rPr>
                <w:rFonts w:ascii="Tahoma" w:hAnsi="Tahoma" w:cs="Tahoma"/>
                <w:sz w:val="13"/>
              </w:rPr>
            </w:pPr>
          </w:p>
        </w:tc>
        <w:tc>
          <w:tcPr>
            <w:tcW w:w="655" w:type="dxa"/>
            <w:tcBorders>
              <w:bottom w:val="single" w:sz="4" w:space="0" w:color="auto"/>
            </w:tcBorders>
            <w:shd w:val="clear" w:color="auto" w:fill="auto"/>
          </w:tcPr>
          <w:p w14:paraId="54FE0EA0" w14:textId="77777777" w:rsidR="00913A0A" w:rsidRPr="0058047D" w:rsidRDefault="00913A0A">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14:paraId="3183EA44" w14:textId="77777777" w:rsidR="00913A0A" w:rsidRPr="0058047D" w:rsidRDefault="00913A0A">
            <w:pPr>
              <w:pStyle w:val="TableText"/>
              <w:widowControl w:val="0"/>
              <w:rPr>
                <w:rFonts w:ascii="Tahoma" w:hAnsi="Tahoma" w:cs="Tahoma"/>
                <w:sz w:val="13"/>
              </w:rPr>
            </w:pPr>
          </w:p>
        </w:tc>
        <w:tc>
          <w:tcPr>
            <w:tcW w:w="405" w:type="dxa"/>
            <w:tcBorders>
              <w:bottom w:val="single" w:sz="4" w:space="0" w:color="auto"/>
            </w:tcBorders>
            <w:shd w:val="clear" w:color="auto" w:fill="auto"/>
          </w:tcPr>
          <w:p w14:paraId="2CBEF9E3" w14:textId="77777777" w:rsidR="00913A0A" w:rsidRPr="0058047D" w:rsidRDefault="00913A0A">
            <w:pPr>
              <w:pStyle w:val="TableText"/>
              <w:widowControl w:val="0"/>
              <w:rPr>
                <w:rFonts w:ascii="Tahoma" w:hAnsi="Tahoma" w:cs="Tahoma"/>
                <w:sz w:val="13"/>
              </w:rPr>
            </w:pPr>
          </w:p>
        </w:tc>
      </w:tr>
      <w:tr w:rsidR="009323A0" w:rsidRPr="0058047D" w14:paraId="4787EE31" w14:textId="77777777" w:rsidTr="00C86F50">
        <w:trPr>
          <w:gridBefore w:val="1"/>
          <w:wBefore w:w="13" w:type="dxa"/>
          <w:trHeight w:val="145"/>
        </w:trPr>
        <w:tc>
          <w:tcPr>
            <w:tcW w:w="2606" w:type="dxa"/>
            <w:tcBorders>
              <w:bottom w:val="single" w:sz="4" w:space="0" w:color="auto"/>
            </w:tcBorders>
            <w:shd w:val="clear" w:color="auto" w:fill="FABF8F"/>
            <w:vAlign w:val="center"/>
          </w:tcPr>
          <w:p w14:paraId="5450063C" w14:textId="77777777" w:rsidR="00913A0A" w:rsidRPr="0058047D" w:rsidRDefault="00913A0A" w:rsidP="002E5D03">
            <w:pPr>
              <w:pStyle w:val="Heading2"/>
              <w:spacing w:before="20" w:after="20"/>
              <w:ind w:left="0"/>
              <w:rPr>
                <w:rFonts w:ascii="Tahoma" w:hAnsi="Tahoma" w:cs="Tahoma"/>
                <w:b w:val="0"/>
                <w:sz w:val="14"/>
                <w:szCs w:val="14"/>
              </w:rPr>
            </w:pPr>
            <w:bookmarkStart w:id="544" w:name="_Toc336338162"/>
            <w:bookmarkStart w:id="545" w:name="_Toc371663551"/>
            <w:r w:rsidRPr="0058047D">
              <w:rPr>
                <w:rFonts w:ascii="Tahoma" w:hAnsi="Tahoma" w:cs="Tahoma"/>
                <w:b w:val="0"/>
                <w:sz w:val="14"/>
                <w:szCs w:val="14"/>
              </w:rPr>
              <w:t>Premium Add-on CAL Suite per Windows Small Business Server 2011</w:t>
            </w:r>
            <w:bookmarkEnd w:id="544"/>
            <w:bookmarkEnd w:id="545"/>
            <w:r w:rsidRPr="0058047D">
              <w:rPr>
                <w:rFonts w:ascii="Tahoma" w:hAnsi="Tahoma" w:cs="Tahoma"/>
                <w:b w:val="0"/>
                <w:sz w:val="14"/>
                <w:szCs w:val="14"/>
              </w:rPr>
              <w:t xml:space="preserve"> </w:t>
            </w:r>
          </w:p>
        </w:tc>
        <w:tc>
          <w:tcPr>
            <w:tcW w:w="554" w:type="dxa"/>
            <w:tcBorders>
              <w:bottom w:val="single" w:sz="4" w:space="0" w:color="auto"/>
            </w:tcBorders>
            <w:shd w:val="clear" w:color="auto" w:fill="FABF8F"/>
            <w:vAlign w:val="center"/>
          </w:tcPr>
          <w:p w14:paraId="1D0C0FD4" w14:textId="77777777" w:rsidR="00913A0A" w:rsidRPr="0058047D" w:rsidRDefault="00C86F50" w:rsidP="00913588">
            <w:pPr>
              <w:pStyle w:val="TableText"/>
              <w:widowControl w:val="0"/>
              <w:rPr>
                <w:b/>
                <w:sz w:val="13"/>
                <w:szCs w:val="13"/>
                <w:u w:val="single"/>
              </w:rPr>
            </w:pPr>
            <w:hyperlink w:anchor="_119_CAL_Suite" w:history="1">
              <w:r w:rsidR="006878A4" w:rsidRPr="0058047D">
                <w:rPr>
                  <w:rStyle w:val="Hyperlink"/>
                  <w:b/>
                  <w:sz w:val="13"/>
                  <w:szCs w:val="13"/>
                </w:rPr>
                <w:t>119</w:t>
              </w:r>
            </w:hyperlink>
          </w:p>
        </w:tc>
        <w:tc>
          <w:tcPr>
            <w:tcW w:w="516" w:type="dxa"/>
            <w:tcBorders>
              <w:bottom w:val="single" w:sz="4" w:space="0" w:color="auto"/>
            </w:tcBorders>
            <w:shd w:val="clear" w:color="auto" w:fill="FABF8F"/>
          </w:tcPr>
          <w:p w14:paraId="72C7FE4C" w14:textId="77777777" w:rsidR="00913A0A" w:rsidRPr="0058047D" w:rsidRDefault="00913A0A">
            <w:pPr>
              <w:pStyle w:val="TableText"/>
              <w:widowControl w:val="0"/>
              <w:spacing w:before="120"/>
              <w:rPr>
                <w:rFonts w:ascii="Tahoma" w:hAnsi="Tahoma" w:cs="Tahoma"/>
                <w:sz w:val="13"/>
              </w:rPr>
            </w:pPr>
            <w:r w:rsidRPr="0058047D">
              <w:rPr>
                <w:rFonts w:ascii="Tahoma" w:hAnsi="Tahoma" w:cs="Tahoma"/>
                <w:sz w:val="13"/>
              </w:rPr>
              <w:t>01/11</w:t>
            </w:r>
          </w:p>
        </w:tc>
        <w:tc>
          <w:tcPr>
            <w:tcW w:w="358" w:type="dxa"/>
            <w:tcBorders>
              <w:bottom w:val="single" w:sz="4" w:space="0" w:color="auto"/>
              <w:right w:val="single" w:sz="18" w:space="0" w:color="auto"/>
            </w:tcBorders>
            <w:shd w:val="clear" w:color="auto" w:fill="FABF8F"/>
            <w:vAlign w:val="center"/>
          </w:tcPr>
          <w:p w14:paraId="7D7391FB" w14:textId="77777777" w:rsidR="00913A0A" w:rsidRPr="0058047D" w:rsidRDefault="00913A0A">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FABF8F"/>
            <w:vAlign w:val="center"/>
          </w:tcPr>
          <w:p w14:paraId="55B44B6F" w14:textId="77777777" w:rsidR="00913A0A" w:rsidRPr="0058047D" w:rsidRDefault="00913A0A">
            <w:pPr>
              <w:pStyle w:val="TableText"/>
              <w:widowControl w:val="0"/>
              <w:rPr>
                <w:rFonts w:ascii="Tahoma" w:hAnsi="Tahoma" w:cs="Tahoma"/>
                <w:b/>
                <w:color w:val="FF0000"/>
                <w:sz w:val="13"/>
              </w:rPr>
            </w:pPr>
          </w:p>
        </w:tc>
        <w:tc>
          <w:tcPr>
            <w:tcW w:w="324" w:type="dxa"/>
            <w:tcBorders>
              <w:bottom w:val="single" w:sz="4" w:space="0" w:color="auto"/>
            </w:tcBorders>
            <w:shd w:val="clear" w:color="auto" w:fill="FABF8F"/>
            <w:vAlign w:val="center"/>
          </w:tcPr>
          <w:p w14:paraId="00BEC7E8" w14:textId="77777777" w:rsidR="00913A0A" w:rsidRPr="0058047D" w:rsidRDefault="00913A0A">
            <w:pPr>
              <w:pStyle w:val="TableText"/>
              <w:widowControl w:val="0"/>
              <w:rPr>
                <w:rFonts w:ascii="Tahoma" w:hAnsi="Tahoma" w:cs="Tahoma"/>
                <w:b/>
                <w:color w:val="008000"/>
                <w:sz w:val="13"/>
              </w:rPr>
            </w:pPr>
          </w:p>
        </w:tc>
        <w:tc>
          <w:tcPr>
            <w:tcW w:w="366" w:type="dxa"/>
            <w:tcBorders>
              <w:bottom w:val="single" w:sz="4" w:space="0" w:color="auto"/>
            </w:tcBorders>
            <w:shd w:val="clear" w:color="auto" w:fill="FABF8F"/>
            <w:vAlign w:val="center"/>
          </w:tcPr>
          <w:p w14:paraId="3207B5F2" w14:textId="77777777" w:rsidR="00913A0A" w:rsidRPr="0058047D" w:rsidRDefault="00913A0A">
            <w:pPr>
              <w:pStyle w:val="TableText"/>
              <w:widowControl w:val="0"/>
              <w:rPr>
                <w:rFonts w:ascii="Tahoma" w:hAnsi="Tahoma" w:cs="Tahoma"/>
                <w:b/>
                <w:color w:val="008000"/>
                <w:sz w:val="13"/>
              </w:rPr>
            </w:pPr>
          </w:p>
        </w:tc>
        <w:tc>
          <w:tcPr>
            <w:tcW w:w="456" w:type="dxa"/>
            <w:gridSpan w:val="2"/>
            <w:tcBorders>
              <w:bottom w:val="single" w:sz="4" w:space="0" w:color="auto"/>
            </w:tcBorders>
            <w:shd w:val="clear" w:color="auto" w:fill="FABF8F"/>
            <w:vAlign w:val="center"/>
          </w:tcPr>
          <w:p w14:paraId="6CDBD443" w14:textId="77777777" w:rsidR="00913A0A" w:rsidRPr="0058047D" w:rsidRDefault="00913A0A">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486B0164" w14:textId="77777777" w:rsidR="00913A0A" w:rsidRPr="0058047D" w:rsidRDefault="00913A0A">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14:paraId="4C2142E7" w14:textId="77777777" w:rsidR="00913A0A" w:rsidRPr="0058047D" w:rsidRDefault="00913A0A">
            <w:pPr>
              <w:pStyle w:val="TableText"/>
              <w:widowControl w:val="0"/>
              <w:rPr>
                <w:rFonts w:ascii="Tahoma" w:hAnsi="Tahoma" w:cs="Tahoma"/>
                <w:b/>
                <w:color w:val="0000FF"/>
                <w:sz w:val="13"/>
              </w:rPr>
            </w:pPr>
          </w:p>
        </w:tc>
        <w:tc>
          <w:tcPr>
            <w:tcW w:w="336" w:type="dxa"/>
            <w:tcBorders>
              <w:bottom w:val="single" w:sz="4" w:space="0" w:color="auto"/>
              <w:right w:val="single" w:sz="18" w:space="0" w:color="auto"/>
            </w:tcBorders>
            <w:shd w:val="clear" w:color="auto" w:fill="FABF8F"/>
            <w:vAlign w:val="center"/>
          </w:tcPr>
          <w:p w14:paraId="33106F23" w14:textId="77777777" w:rsidR="00913A0A" w:rsidRPr="0058047D" w:rsidRDefault="00913A0A">
            <w:pPr>
              <w:pStyle w:val="TableText"/>
              <w:widowControl w:val="0"/>
              <w:rPr>
                <w:rFonts w:ascii="Tahoma" w:hAnsi="Tahoma" w:cs="Tahoma"/>
                <w:b/>
                <w:color w:val="0000FF"/>
                <w:sz w:val="13"/>
              </w:rPr>
            </w:pPr>
          </w:p>
        </w:tc>
        <w:tc>
          <w:tcPr>
            <w:tcW w:w="477" w:type="dxa"/>
            <w:tcBorders>
              <w:left w:val="single" w:sz="18" w:space="0" w:color="auto"/>
              <w:bottom w:val="single" w:sz="4" w:space="0" w:color="auto"/>
            </w:tcBorders>
            <w:shd w:val="clear" w:color="auto" w:fill="FABF8F"/>
            <w:vAlign w:val="center"/>
          </w:tcPr>
          <w:p w14:paraId="188455AD" w14:textId="77777777" w:rsidR="00913A0A" w:rsidRPr="0058047D" w:rsidRDefault="00913A0A">
            <w:pPr>
              <w:pStyle w:val="TableText"/>
              <w:widowControl w:val="0"/>
              <w:rPr>
                <w:rFonts w:ascii="Tahoma" w:hAnsi="Tahoma" w:cs="Tahoma"/>
                <w:sz w:val="13"/>
              </w:rPr>
            </w:pPr>
            <w:r w:rsidRPr="0058047D">
              <w:rPr>
                <w:rFonts w:ascii="Tahoma" w:hAnsi="Tahoma" w:cs="Tahoma"/>
                <w:sz w:val="13"/>
              </w:rPr>
              <w:t>1</w:t>
            </w:r>
          </w:p>
        </w:tc>
        <w:tc>
          <w:tcPr>
            <w:tcW w:w="450" w:type="dxa"/>
            <w:tcBorders>
              <w:bottom w:val="single" w:sz="4" w:space="0" w:color="auto"/>
            </w:tcBorders>
            <w:shd w:val="clear" w:color="auto" w:fill="FABF8F"/>
            <w:vAlign w:val="center"/>
          </w:tcPr>
          <w:p w14:paraId="27D79E06" w14:textId="77777777" w:rsidR="00913A0A" w:rsidRPr="0058047D" w:rsidRDefault="00913A0A">
            <w:pPr>
              <w:pStyle w:val="TableText"/>
              <w:widowControl w:val="0"/>
              <w:rPr>
                <w:rFonts w:ascii="Tahoma" w:hAnsi="Tahoma" w:cs="Tahoma"/>
                <w:sz w:val="13"/>
              </w:rPr>
            </w:pPr>
            <w:r w:rsidRPr="0058047D">
              <w:rPr>
                <w:rFonts w:ascii="Tahoma" w:hAnsi="Tahoma" w:cs="Tahoma"/>
                <w:sz w:val="13"/>
              </w:rPr>
              <w:t>2</w:t>
            </w:r>
          </w:p>
        </w:tc>
        <w:tc>
          <w:tcPr>
            <w:tcW w:w="414" w:type="dxa"/>
            <w:tcBorders>
              <w:bottom w:val="single" w:sz="4" w:space="0" w:color="auto"/>
              <w:right w:val="single" w:sz="18" w:space="0" w:color="auto"/>
            </w:tcBorders>
            <w:shd w:val="clear" w:color="auto" w:fill="FABF8F"/>
            <w:vAlign w:val="center"/>
          </w:tcPr>
          <w:p w14:paraId="15D60D4C" w14:textId="77777777" w:rsidR="00913A0A" w:rsidRPr="0058047D" w:rsidRDefault="00913A0A">
            <w:pPr>
              <w:pStyle w:val="TableText"/>
              <w:widowControl w:val="0"/>
              <w:rPr>
                <w:rFonts w:ascii="Tahoma" w:hAnsi="Tahoma" w:cs="Tahoma"/>
                <w:sz w:val="13"/>
              </w:rPr>
            </w:pPr>
            <w:r w:rsidRPr="0058047D">
              <w:rPr>
                <w:rFonts w:ascii="Tahoma" w:hAnsi="Tahoma" w:cs="Tahoma"/>
                <w:sz w:val="13"/>
              </w:rPr>
              <w:t>1</w:t>
            </w:r>
          </w:p>
        </w:tc>
        <w:tc>
          <w:tcPr>
            <w:tcW w:w="468" w:type="dxa"/>
            <w:tcBorders>
              <w:left w:val="single" w:sz="18" w:space="0" w:color="auto"/>
              <w:bottom w:val="single" w:sz="4" w:space="0" w:color="auto"/>
            </w:tcBorders>
            <w:shd w:val="clear" w:color="auto" w:fill="FABF8F"/>
            <w:vAlign w:val="center"/>
          </w:tcPr>
          <w:p w14:paraId="4FC8CA2A" w14:textId="77777777" w:rsidR="00913A0A" w:rsidRPr="0058047D" w:rsidRDefault="00913A0A">
            <w:pPr>
              <w:pStyle w:val="TableText"/>
              <w:widowControl w:val="0"/>
              <w:rPr>
                <w:rFonts w:ascii="Tahoma" w:hAnsi="Tahoma" w:cs="Tahoma"/>
                <w:sz w:val="13"/>
              </w:rPr>
            </w:pPr>
            <w:r w:rsidRPr="0058047D">
              <w:rPr>
                <w:rFonts w:ascii="Tahoma" w:hAnsi="Tahoma" w:cs="Tahoma"/>
                <w:sz w:val="13"/>
              </w:rPr>
              <w:t>1</w:t>
            </w:r>
          </w:p>
        </w:tc>
        <w:tc>
          <w:tcPr>
            <w:tcW w:w="477" w:type="dxa"/>
            <w:tcBorders>
              <w:bottom w:val="single" w:sz="4" w:space="0" w:color="auto"/>
              <w:right w:val="single" w:sz="18" w:space="0" w:color="auto"/>
            </w:tcBorders>
            <w:shd w:val="clear" w:color="auto" w:fill="FABF8F"/>
            <w:vAlign w:val="center"/>
          </w:tcPr>
          <w:p w14:paraId="650097E1" w14:textId="77777777" w:rsidR="00913A0A" w:rsidRPr="0058047D" w:rsidRDefault="00913A0A">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62CF7EC8" w14:textId="77777777" w:rsidR="00913A0A" w:rsidRPr="0058047D" w:rsidRDefault="00913A0A">
            <w:pPr>
              <w:pStyle w:val="TableText"/>
              <w:widowControl w:val="0"/>
              <w:rPr>
                <w:rFonts w:ascii="Tahoma" w:hAnsi="Tahoma" w:cs="Tahoma"/>
                <w:sz w:val="13"/>
              </w:rPr>
            </w:pPr>
            <w:r w:rsidRPr="0058047D">
              <w:rPr>
                <w:rFonts w:ascii="Tahoma" w:hAnsi="Tahoma" w:cs="Tahoma"/>
                <w:sz w:val="13"/>
              </w:rPr>
              <w:t>E, P</w:t>
            </w:r>
          </w:p>
        </w:tc>
        <w:tc>
          <w:tcPr>
            <w:tcW w:w="655" w:type="dxa"/>
            <w:tcBorders>
              <w:bottom w:val="single" w:sz="4" w:space="0" w:color="auto"/>
            </w:tcBorders>
            <w:shd w:val="clear" w:color="auto" w:fill="FABF8F"/>
          </w:tcPr>
          <w:p w14:paraId="4D3FBC03" w14:textId="77777777" w:rsidR="00913A0A" w:rsidRPr="0058047D" w:rsidRDefault="00913A0A">
            <w:pPr>
              <w:pStyle w:val="TableText"/>
              <w:widowControl w:val="0"/>
              <w:rPr>
                <w:rFonts w:ascii="Tahoma" w:hAnsi="Tahoma" w:cs="Tahoma"/>
                <w:sz w:val="13"/>
              </w:rPr>
            </w:pPr>
            <w:r w:rsidRPr="0058047D">
              <w:rPr>
                <w:rFonts w:ascii="Tahoma" w:hAnsi="Tahoma" w:cs="Tahoma"/>
                <w:sz w:val="13"/>
              </w:rPr>
              <w:t>A, ST</w:t>
            </w:r>
          </w:p>
        </w:tc>
        <w:tc>
          <w:tcPr>
            <w:tcW w:w="504" w:type="dxa"/>
            <w:tcBorders>
              <w:bottom w:val="single" w:sz="4" w:space="0" w:color="auto"/>
            </w:tcBorders>
            <w:shd w:val="clear" w:color="auto" w:fill="FABF8F"/>
            <w:vAlign w:val="center"/>
          </w:tcPr>
          <w:p w14:paraId="211C9483" w14:textId="77777777" w:rsidR="00913A0A" w:rsidRPr="0058047D" w:rsidRDefault="00913A0A">
            <w:pPr>
              <w:pStyle w:val="TableText"/>
              <w:widowControl w:val="0"/>
              <w:rPr>
                <w:rFonts w:ascii="Tahoma" w:hAnsi="Tahoma" w:cs="Tahoma"/>
                <w:sz w:val="13"/>
              </w:rPr>
            </w:pPr>
          </w:p>
        </w:tc>
        <w:tc>
          <w:tcPr>
            <w:tcW w:w="405" w:type="dxa"/>
            <w:tcBorders>
              <w:bottom w:val="single" w:sz="4" w:space="0" w:color="auto"/>
            </w:tcBorders>
            <w:shd w:val="clear" w:color="auto" w:fill="FABF8F"/>
          </w:tcPr>
          <w:p w14:paraId="607A1BC3" w14:textId="77777777" w:rsidR="00913A0A" w:rsidRPr="0058047D" w:rsidRDefault="00913A0A">
            <w:pPr>
              <w:pStyle w:val="TableText"/>
              <w:widowControl w:val="0"/>
              <w:rPr>
                <w:rFonts w:ascii="Tahoma" w:hAnsi="Tahoma" w:cs="Tahoma"/>
                <w:sz w:val="13"/>
              </w:rPr>
            </w:pPr>
          </w:p>
        </w:tc>
      </w:tr>
      <w:tr w:rsidR="00C86F50" w:rsidRPr="0058047D" w14:paraId="6B6EBC22" w14:textId="77777777" w:rsidTr="00C86F50">
        <w:trPr>
          <w:gridBefore w:val="1"/>
          <w:wBefore w:w="13" w:type="dxa"/>
          <w:trHeight w:val="145"/>
        </w:trPr>
        <w:tc>
          <w:tcPr>
            <w:tcW w:w="2606" w:type="dxa"/>
            <w:tcBorders>
              <w:bottom w:val="single" w:sz="4" w:space="0" w:color="auto"/>
            </w:tcBorders>
            <w:shd w:val="clear" w:color="auto" w:fill="auto"/>
            <w:vAlign w:val="center"/>
          </w:tcPr>
          <w:p w14:paraId="44C9AC49" w14:textId="77777777" w:rsidR="00913A0A" w:rsidRPr="0058047D" w:rsidRDefault="00913A0A" w:rsidP="002E5D03">
            <w:pPr>
              <w:pStyle w:val="Heading2"/>
              <w:spacing w:before="20" w:after="20"/>
              <w:ind w:left="0"/>
              <w:rPr>
                <w:rFonts w:ascii="Tahoma" w:hAnsi="Tahoma" w:cs="Tahoma"/>
                <w:b w:val="0"/>
                <w:sz w:val="14"/>
                <w:szCs w:val="14"/>
              </w:rPr>
            </w:pPr>
            <w:bookmarkStart w:id="546" w:name="_Toc336338163"/>
            <w:bookmarkStart w:id="547" w:name="_Toc371663552"/>
            <w:r w:rsidRPr="0058047D">
              <w:rPr>
                <w:rFonts w:ascii="Tahoma" w:hAnsi="Tahoma" w:cs="Tahoma"/>
                <w:b w:val="0"/>
                <w:sz w:val="14"/>
                <w:szCs w:val="14"/>
              </w:rPr>
              <w:t>Premium Add-on CAL Suite per Windows Small Business Server 2011 (5 client)</w:t>
            </w:r>
            <w:bookmarkEnd w:id="546"/>
            <w:bookmarkEnd w:id="547"/>
          </w:p>
        </w:tc>
        <w:tc>
          <w:tcPr>
            <w:tcW w:w="554" w:type="dxa"/>
            <w:tcBorders>
              <w:bottom w:val="single" w:sz="4" w:space="0" w:color="auto"/>
            </w:tcBorders>
            <w:shd w:val="clear" w:color="auto" w:fill="auto"/>
            <w:vAlign w:val="center"/>
          </w:tcPr>
          <w:p w14:paraId="07E3483C" w14:textId="77777777" w:rsidR="00913A0A" w:rsidRPr="0058047D" w:rsidRDefault="00C86F50" w:rsidP="00913588">
            <w:pPr>
              <w:pStyle w:val="TableText"/>
              <w:widowControl w:val="0"/>
              <w:rPr>
                <w:b/>
                <w:sz w:val="13"/>
                <w:szCs w:val="13"/>
                <w:u w:val="single"/>
              </w:rPr>
            </w:pPr>
            <w:hyperlink w:anchor="_119_CAL_Suite" w:history="1">
              <w:r w:rsidR="006878A4" w:rsidRPr="0058047D">
                <w:rPr>
                  <w:rStyle w:val="Hyperlink"/>
                  <w:b/>
                  <w:sz w:val="13"/>
                  <w:szCs w:val="13"/>
                </w:rPr>
                <w:t>119</w:t>
              </w:r>
            </w:hyperlink>
          </w:p>
        </w:tc>
        <w:tc>
          <w:tcPr>
            <w:tcW w:w="516" w:type="dxa"/>
            <w:tcBorders>
              <w:bottom w:val="single" w:sz="4" w:space="0" w:color="auto"/>
            </w:tcBorders>
            <w:shd w:val="clear" w:color="auto" w:fill="auto"/>
          </w:tcPr>
          <w:p w14:paraId="3556E5DD" w14:textId="77777777" w:rsidR="00913A0A" w:rsidRPr="0058047D" w:rsidRDefault="00913A0A" w:rsidP="00F97D54">
            <w:pPr>
              <w:pStyle w:val="TableText"/>
              <w:widowControl w:val="0"/>
              <w:spacing w:before="120"/>
              <w:rPr>
                <w:rFonts w:ascii="Tahoma" w:hAnsi="Tahoma" w:cs="Tahoma"/>
                <w:sz w:val="13"/>
              </w:rPr>
            </w:pPr>
            <w:r w:rsidRPr="0058047D">
              <w:rPr>
                <w:rFonts w:ascii="Tahoma" w:hAnsi="Tahoma" w:cs="Tahoma"/>
                <w:sz w:val="13"/>
              </w:rPr>
              <w:t>01/11</w:t>
            </w:r>
          </w:p>
        </w:tc>
        <w:tc>
          <w:tcPr>
            <w:tcW w:w="358" w:type="dxa"/>
            <w:tcBorders>
              <w:bottom w:val="single" w:sz="4" w:space="0" w:color="auto"/>
              <w:right w:val="single" w:sz="18" w:space="0" w:color="auto"/>
            </w:tcBorders>
            <w:shd w:val="clear" w:color="auto" w:fill="auto"/>
            <w:vAlign w:val="center"/>
          </w:tcPr>
          <w:p w14:paraId="61BD0E60" w14:textId="77777777" w:rsidR="00913A0A" w:rsidRPr="0058047D" w:rsidRDefault="00913A0A" w:rsidP="00F97D54">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2CDD5078" w14:textId="77777777" w:rsidR="00913A0A" w:rsidRPr="0058047D" w:rsidRDefault="00913A0A" w:rsidP="00F97D54">
            <w:pPr>
              <w:pStyle w:val="TableText"/>
              <w:widowControl w:val="0"/>
              <w:rPr>
                <w:rFonts w:ascii="Tahoma" w:hAnsi="Tahoma" w:cs="Tahoma"/>
                <w:b/>
                <w:color w:val="FF0000"/>
                <w:sz w:val="13"/>
              </w:rPr>
            </w:pPr>
          </w:p>
        </w:tc>
        <w:tc>
          <w:tcPr>
            <w:tcW w:w="324" w:type="dxa"/>
            <w:tcBorders>
              <w:bottom w:val="single" w:sz="4" w:space="0" w:color="auto"/>
            </w:tcBorders>
            <w:shd w:val="clear" w:color="auto" w:fill="auto"/>
            <w:vAlign w:val="center"/>
          </w:tcPr>
          <w:p w14:paraId="4164CC08" w14:textId="77777777" w:rsidR="00913A0A" w:rsidRPr="0058047D" w:rsidRDefault="00913A0A" w:rsidP="00F97D54">
            <w:pPr>
              <w:pStyle w:val="TableText"/>
              <w:widowControl w:val="0"/>
              <w:rPr>
                <w:rFonts w:ascii="Tahoma" w:hAnsi="Tahoma" w:cs="Tahoma"/>
                <w:b/>
                <w:color w:val="008000"/>
                <w:sz w:val="13"/>
              </w:rPr>
            </w:pPr>
          </w:p>
        </w:tc>
        <w:tc>
          <w:tcPr>
            <w:tcW w:w="366" w:type="dxa"/>
            <w:tcBorders>
              <w:bottom w:val="single" w:sz="4" w:space="0" w:color="auto"/>
            </w:tcBorders>
            <w:shd w:val="clear" w:color="auto" w:fill="auto"/>
            <w:vAlign w:val="center"/>
          </w:tcPr>
          <w:p w14:paraId="52F430D6" w14:textId="77777777" w:rsidR="00913A0A" w:rsidRPr="0058047D" w:rsidRDefault="00913A0A" w:rsidP="00F97D54">
            <w:pPr>
              <w:pStyle w:val="TableText"/>
              <w:widowControl w:val="0"/>
              <w:rPr>
                <w:rFonts w:ascii="Tahoma" w:hAnsi="Tahoma" w:cs="Tahoma"/>
                <w:b/>
                <w:color w:val="008000"/>
                <w:sz w:val="13"/>
              </w:rPr>
            </w:pPr>
          </w:p>
        </w:tc>
        <w:tc>
          <w:tcPr>
            <w:tcW w:w="456" w:type="dxa"/>
            <w:gridSpan w:val="2"/>
            <w:tcBorders>
              <w:bottom w:val="single" w:sz="4" w:space="0" w:color="auto"/>
            </w:tcBorders>
            <w:shd w:val="clear" w:color="auto" w:fill="auto"/>
            <w:vAlign w:val="center"/>
          </w:tcPr>
          <w:p w14:paraId="7D026B17" w14:textId="77777777" w:rsidR="00913A0A" w:rsidRPr="0058047D" w:rsidRDefault="00913A0A"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60D33A07" w14:textId="77777777" w:rsidR="00913A0A" w:rsidRPr="0058047D" w:rsidRDefault="00913A0A"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14:paraId="2266154E" w14:textId="77777777" w:rsidR="00913A0A" w:rsidRPr="0058047D" w:rsidRDefault="00913A0A" w:rsidP="00F97D54">
            <w:pPr>
              <w:pStyle w:val="TableText"/>
              <w:widowControl w:val="0"/>
              <w:rPr>
                <w:rFonts w:ascii="Tahoma" w:hAnsi="Tahoma" w:cs="Tahoma"/>
                <w:b/>
                <w:color w:val="0000FF"/>
                <w:sz w:val="13"/>
              </w:rPr>
            </w:pPr>
          </w:p>
        </w:tc>
        <w:tc>
          <w:tcPr>
            <w:tcW w:w="336" w:type="dxa"/>
            <w:tcBorders>
              <w:bottom w:val="single" w:sz="4" w:space="0" w:color="auto"/>
              <w:right w:val="single" w:sz="18" w:space="0" w:color="auto"/>
            </w:tcBorders>
            <w:shd w:val="clear" w:color="auto" w:fill="auto"/>
            <w:vAlign w:val="center"/>
          </w:tcPr>
          <w:p w14:paraId="414C275B" w14:textId="77777777" w:rsidR="00913A0A" w:rsidRPr="0058047D" w:rsidRDefault="00913A0A" w:rsidP="00F97D54">
            <w:pPr>
              <w:pStyle w:val="TableText"/>
              <w:widowControl w:val="0"/>
              <w:rPr>
                <w:rFonts w:ascii="Tahoma" w:hAnsi="Tahoma" w:cs="Tahoma"/>
                <w:b/>
                <w:color w:val="0000FF"/>
                <w:sz w:val="13"/>
              </w:rPr>
            </w:pPr>
          </w:p>
        </w:tc>
        <w:tc>
          <w:tcPr>
            <w:tcW w:w="477" w:type="dxa"/>
            <w:tcBorders>
              <w:left w:val="single" w:sz="18" w:space="0" w:color="auto"/>
              <w:bottom w:val="single" w:sz="4" w:space="0" w:color="auto"/>
            </w:tcBorders>
            <w:shd w:val="clear" w:color="auto" w:fill="auto"/>
            <w:vAlign w:val="center"/>
          </w:tcPr>
          <w:p w14:paraId="218E959E" w14:textId="77777777" w:rsidR="00913A0A" w:rsidRPr="0058047D" w:rsidRDefault="00913A0A" w:rsidP="00F97D54">
            <w:pPr>
              <w:pStyle w:val="TableText"/>
              <w:widowControl w:val="0"/>
              <w:rPr>
                <w:rFonts w:ascii="Tahoma" w:hAnsi="Tahoma" w:cs="Tahoma"/>
                <w:sz w:val="13"/>
              </w:rPr>
            </w:pPr>
            <w:r w:rsidRPr="0058047D">
              <w:rPr>
                <w:rFonts w:ascii="Tahoma" w:hAnsi="Tahoma" w:cs="Tahoma"/>
                <w:sz w:val="13"/>
              </w:rPr>
              <w:t>5</w:t>
            </w:r>
          </w:p>
        </w:tc>
        <w:tc>
          <w:tcPr>
            <w:tcW w:w="450" w:type="dxa"/>
            <w:tcBorders>
              <w:bottom w:val="single" w:sz="4" w:space="0" w:color="auto"/>
            </w:tcBorders>
            <w:shd w:val="clear" w:color="auto" w:fill="auto"/>
            <w:vAlign w:val="center"/>
          </w:tcPr>
          <w:p w14:paraId="760E93C7" w14:textId="77777777" w:rsidR="00913A0A" w:rsidRPr="0058047D" w:rsidRDefault="00913A0A" w:rsidP="00F97D54">
            <w:pPr>
              <w:pStyle w:val="TableText"/>
              <w:widowControl w:val="0"/>
              <w:rPr>
                <w:rFonts w:ascii="Tahoma" w:hAnsi="Tahoma" w:cs="Tahoma"/>
                <w:sz w:val="13"/>
              </w:rPr>
            </w:pPr>
            <w:r w:rsidRPr="0058047D">
              <w:rPr>
                <w:rFonts w:ascii="Tahoma" w:hAnsi="Tahoma" w:cs="Tahoma"/>
                <w:sz w:val="13"/>
              </w:rPr>
              <w:t>10</w:t>
            </w:r>
          </w:p>
        </w:tc>
        <w:tc>
          <w:tcPr>
            <w:tcW w:w="414" w:type="dxa"/>
            <w:tcBorders>
              <w:bottom w:val="single" w:sz="4" w:space="0" w:color="auto"/>
              <w:right w:val="single" w:sz="18" w:space="0" w:color="auto"/>
            </w:tcBorders>
            <w:shd w:val="clear" w:color="auto" w:fill="auto"/>
            <w:vAlign w:val="center"/>
          </w:tcPr>
          <w:p w14:paraId="28484124" w14:textId="77777777" w:rsidR="00913A0A" w:rsidRPr="0058047D" w:rsidRDefault="00913A0A" w:rsidP="00F97D54">
            <w:pPr>
              <w:pStyle w:val="TableText"/>
              <w:widowControl w:val="0"/>
              <w:rPr>
                <w:rFonts w:ascii="Tahoma" w:hAnsi="Tahoma" w:cs="Tahoma"/>
                <w:sz w:val="13"/>
              </w:rPr>
            </w:pPr>
            <w:r w:rsidRPr="0058047D">
              <w:rPr>
                <w:rFonts w:ascii="Tahoma" w:hAnsi="Tahoma" w:cs="Tahoma"/>
                <w:sz w:val="13"/>
              </w:rPr>
              <w:t>5</w:t>
            </w:r>
          </w:p>
        </w:tc>
        <w:tc>
          <w:tcPr>
            <w:tcW w:w="468" w:type="dxa"/>
            <w:tcBorders>
              <w:left w:val="single" w:sz="18" w:space="0" w:color="auto"/>
              <w:bottom w:val="single" w:sz="4" w:space="0" w:color="auto"/>
            </w:tcBorders>
            <w:shd w:val="clear" w:color="auto" w:fill="auto"/>
            <w:vAlign w:val="center"/>
          </w:tcPr>
          <w:p w14:paraId="76F7C1B0" w14:textId="77777777" w:rsidR="00913A0A" w:rsidRPr="0058047D" w:rsidRDefault="00913A0A" w:rsidP="00F97D54">
            <w:pPr>
              <w:pStyle w:val="TableText"/>
              <w:widowControl w:val="0"/>
              <w:rPr>
                <w:rFonts w:ascii="Tahoma" w:hAnsi="Tahoma" w:cs="Tahoma"/>
                <w:sz w:val="13"/>
              </w:rPr>
            </w:pPr>
            <w:r w:rsidRPr="0058047D">
              <w:rPr>
                <w:rFonts w:ascii="Tahoma" w:hAnsi="Tahoma" w:cs="Tahoma"/>
                <w:sz w:val="13"/>
              </w:rPr>
              <w:t>5</w:t>
            </w:r>
          </w:p>
        </w:tc>
        <w:tc>
          <w:tcPr>
            <w:tcW w:w="477" w:type="dxa"/>
            <w:tcBorders>
              <w:bottom w:val="single" w:sz="4" w:space="0" w:color="auto"/>
              <w:right w:val="single" w:sz="18" w:space="0" w:color="auto"/>
            </w:tcBorders>
            <w:shd w:val="clear" w:color="auto" w:fill="auto"/>
            <w:vAlign w:val="center"/>
          </w:tcPr>
          <w:p w14:paraId="19CE854F" w14:textId="77777777" w:rsidR="00913A0A" w:rsidRPr="0058047D" w:rsidRDefault="00913A0A" w:rsidP="00F97D54">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22DCF1A8" w14:textId="77777777" w:rsidR="00913A0A" w:rsidRPr="0058047D" w:rsidRDefault="00913A0A" w:rsidP="00F97D54">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auto"/>
          </w:tcPr>
          <w:p w14:paraId="112F783A" w14:textId="77777777" w:rsidR="00913A0A" w:rsidRPr="0058047D" w:rsidRDefault="00913A0A" w:rsidP="00F97D54">
            <w:pPr>
              <w:pStyle w:val="TableText"/>
              <w:widowControl w:val="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auto"/>
            <w:vAlign w:val="center"/>
          </w:tcPr>
          <w:p w14:paraId="6523F367" w14:textId="77777777" w:rsidR="00913A0A" w:rsidRPr="0058047D" w:rsidRDefault="00913A0A" w:rsidP="00F97D54">
            <w:pPr>
              <w:pStyle w:val="TableText"/>
              <w:widowControl w:val="0"/>
              <w:rPr>
                <w:rFonts w:ascii="Tahoma" w:hAnsi="Tahoma" w:cs="Tahoma"/>
                <w:sz w:val="13"/>
              </w:rPr>
            </w:pPr>
            <w:r w:rsidRPr="0058047D">
              <w:rPr>
                <w:rFonts w:ascii="Tahoma" w:hAnsi="Tahoma" w:cs="Tahoma"/>
                <w:sz w:val="13"/>
              </w:rPr>
              <w:t>OL/OV</w:t>
            </w:r>
          </w:p>
        </w:tc>
        <w:tc>
          <w:tcPr>
            <w:tcW w:w="405" w:type="dxa"/>
            <w:tcBorders>
              <w:bottom w:val="single" w:sz="4" w:space="0" w:color="auto"/>
            </w:tcBorders>
            <w:shd w:val="clear" w:color="auto" w:fill="auto"/>
          </w:tcPr>
          <w:p w14:paraId="2F3DA84F" w14:textId="77777777" w:rsidR="00913A0A" w:rsidRPr="0058047D" w:rsidRDefault="00913A0A" w:rsidP="00F97D54">
            <w:pPr>
              <w:pStyle w:val="TableText"/>
              <w:widowControl w:val="0"/>
              <w:rPr>
                <w:rFonts w:ascii="Tahoma" w:hAnsi="Tahoma" w:cs="Tahoma"/>
                <w:sz w:val="13"/>
              </w:rPr>
            </w:pPr>
          </w:p>
        </w:tc>
      </w:tr>
      <w:tr w:rsidR="009323A0" w:rsidRPr="0058047D" w14:paraId="01C9BBD6" w14:textId="77777777" w:rsidTr="00C86F50">
        <w:trPr>
          <w:gridBefore w:val="1"/>
          <w:wBefore w:w="13" w:type="dxa"/>
          <w:cantSplit/>
          <w:trHeight w:val="440"/>
        </w:trPr>
        <w:tc>
          <w:tcPr>
            <w:tcW w:w="2606" w:type="dxa"/>
            <w:tcBorders>
              <w:bottom w:val="single" w:sz="4" w:space="0" w:color="auto"/>
            </w:tcBorders>
            <w:shd w:val="clear" w:color="auto" w:fill="auto"/>
            <w:vAlign w:val="center"/>
          </w:tcPr>
          <w:p w14:paraId="1234519A" w14:textId="77777777" w:rsidR="00913A0A" w:rsidRPr="0058047D" w:rsidRDefault="00913A0A" w:rsidP="002E5D03">
            <w:pPr>
              <w:pStyle w:val="Heading2"/>
              <w:spacing w:before="20" w:after="20"/>
              <w:ind w:left="0"/>
              <w:rPr>
                <w:rFonts w:ascii="Tahoma" w:hAnsi="Tahoma" w:cs="Tahoma"/>
                <w:b w:val="0"/>
                <w:sz w:val="14"/>
                <w:szCs w:val="14"/>
              </w:rPr>
            </w:pPr>
            <w:bookmarkStart w:id="548" w:name="_Toc336338164"/>
            <w:bookmarkStart w:id="549" w:name="_Toc371663553"/>
            <w:r w:rsidRPr="0058047D">
              <w:rPr>
                <w:rFonts w:ascii="Tahoma" w:hAnsi="Tahoma" w:cs="Tahoma"/>
                <w:b w:val="0"/>
                <w:sz w:val="14"/>
                <w:szCs w:val="14"/>
              </w:rPr>
              <w:t>Premium Add-on CAL Suite per Windows Small Business Server 2011 (20 client)</w:t>
            </w:r>
            <w:bookmarkEnd w:id="548"/>
            <w:bookmarkEnd w:id="549"/>
          </w:p>
        </w:tc>
        <w:tc>
          <w:tcPr>
            <w:tcW w:w="554" w:type="dxa"/>
            <w:tcBorders>
              <w:bottom w:val="single" w:sz="4" w:space="0" w:color="auto"/>
            </w:tcBorders>
            <w:shd w:val="clear" w:color="auto" w:fill="auto"/>
            <w:vAlign w:val="center"/>
          </w:tcPr>
          <w:p w14:paraId="7C2B2E20" w14:textId="77777777" w:rsidR="00913A0A" w:rsidRPr="0058047D" w:rsidRDefault="00C86F50" w:rsidP="00913588">
            <w:pPr>
              <w:pStyle w:val="TableText"/>
              <w:widowControl w:val="0"/>
              <w:rPr>
                <w:b/>
                <w:sz w:val="13"/>
                <w:szCs w:val="13"/>
                <w:u w:val="single"/>
              </w:rPr>
            </w:pPr>
            <w:hyperlink w:anchor="_119_CAL_Suite" w:history="1">
              <w:r w:rsidR="00BF5FC6" w:rsidRPr="0058047D">
                <w:rPr>
                  <w:rStyle w:val="Hyperlink"/>
                  <w:b/>
                  <w:sz w:val="13"/>
                  <w:szCs w:val="13"/>
                </w:rPr>
                <w:t>119</w:t>
              </w:r>
            </w:hyperlink>
          </w:p>
        </w:tc>
        <w:tc>
          <w:tcPr>
            <w:tcW w:w="516" w:type="dxa"/>
            <w:tcBorders>
              <w:bottom w:val="single" w:sz="4" w:space="0" w:color="auto"/>
            </w:tcBorders>
            <w:shd w:val="clear" w:color="auto" w:fill="auto"/>
          </w:tcPr>
          <w:p w14:paraId="1F956FC6" w14:textId="77777777" w:rsidR="00913A0A" w:rsidRPr="0058047D" w:rsidRDefault="00913A0A" w:rsidP="00F97D54">
            <w:pPr>
              <w:pStyle w:val="TableText"/>
              <w:widowControl w:val="0"/>
              <w:spacing w:before="120"/>
              <w:rPr>
                <w:rFonts w:ascii="Tahoma" w:hAnsi="Tahoma" w:cs="Tahoma"/>
                <w:sz w:val="13"/>
              </w:rPr>
            </w:pPr>
            <w:r w:rsidRPr="0058047D">
              <w:rPr>
                <w:rFonts w:ascii="Tahoma" w:hAnsi="Tahoma" w:cs="Tahoma"/>
                <w:sz w:val="13"/>
              </w:rPr>
              <w:t>01/11</w:t>
            </w:r>
          </w:p>
        </w:tc>
        <w:tc>
          <w:tcPr>
            <w:tcW w:w="358" w:type="dxa"/>
            <w:tcBorders>
              <w:bottom w:val="single" w:sz="4" w:space="0" w:color="auto"/>
              <w:right w:val="single" w:sz="18" w:space="0" w:color="auto"/>
            </w:tcBorders>
            <w:shd w:val="clear" w:color="auto" w:fill="auto"/>
            <w:vAlign w:val="center"/>
          </w:tcPr>
          <w:p w14:paraId="42EDB301" w14:textId="77777777" w:rsidR="00913A0A" w:rsidRPr="0058047D" w:rsidRDefault="00913A0A" w:rsidP="00F97D54">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33F9106B" w14:textId="77777777" w:rsidR="00913A0A" w:rsidRPr="0058047D" w:rsidRDefault="00913A0A" w:rsidP="00F97D54">
            <w:pPr>
              <w:pStyle w:val="TableText"/>
              <w:widowControl w:val="0"/>
              <w:rPr>
                <w:rFonts w:ascii="Tahoma" w:hAnsi="Tahoma" w:cs="Tahoma"/>
                <w:b/>
                <w:color w:val="FF0000"/>
                <w:sz w:val="13"/>
              </w:rPr>
            </w:pPr>
          </w:p>
        </w:tc>
        <w:tc>
          <w:tcPr>
            <w:tcW w:w="324" w:type="dxa"/>
            <w:tcBorders>
              <w:bottom w:val="single" w:sz="4" w:space="0" w:color="auto"/>
            </w:tcBorders>
            <w:shd w:val="clear" w:color="auto" w:fill="auto"/>
            <w:vAlign w:val="center"/>
          </w:tcPr>
          <w:p w14:paraId="74F7B7A7" w14:textId="77777777" w:rsidR="00913A0A" w:rsidRPr="0058047D" w:rsidRDefault="00913A0A" w:rsidP="00F97D54">
            <w:pPr>
              <w:pStyle w:val="TableText"/>
              <w:widowControl w:val="0"/>
              <w:rPr>
                <w:rFonts w:ascii="Tahoma" w:hAnsi="Tahoma" w:cs="Tahoma"/>
                <w:b/>
                <w:color w:val="008000"/>
                <w:sz w:val="13"/>
              </w:rPr>
            </w:pPr>
          </w:p>
        </w:tc>
        <w:tc>
          <w:tcPr>
            <w:tcW w:w="366" w:type="dxa"/>
            <w:tcBorders>
              <w:bottom w:val="single" w:sz="4" w:space="0" w:color="auto"/>
            </w:tcBorders>
            <w:shd w:val="clear" w:color="auto" w:fill="auto"/>
            <w:vAlign w:val="center"/>
          </w:tcPr>
          <w:p w14:paraId="5E4D7941" w14:textId="77777777" w:rsidR="00913A0A" w:rsidRPr="0058047D" w:rsidRDefault="00913A0A" w:rsidP="00F97D54">
            <w:pPr>
              <w:pStyle w:val="TableText"/>
              <w:widowControl w:val="0"/>
              <w:rPr>
                <w:rFonts w:ascii="Tahoma" w:hAnsi="Tahoma" w:cs="Tahoma"/>
                <w:b/>
                <w:color w:val="008000"/>
                <w:sz w:val="13"/>
              </w:rPr>
            </w:pPr>
          </w:p>
        </w:tc>
        <w:tc>
          <w:tcPr>
            <w:tcW w:w="456" w:type="dxa"/>
            <w:gridSpan w:val="2"/>
            <w:tcBorders>
              <w:bottom w:val="single" w:sz="4" w:space="0" w:color="auto"/>
            </w:tcBorders>
            <w:shd w:val="clear" w:color="auto" w:fill="auto"/>
            <w:vAlign w:val="center"/>
          </w:tcPr>
          <w:p w14:paraId="5D31888E" w14:textId="77777777" w:rsidR="00913A0A" w:rsidRPr="0058047D" w:rsidRDefault="00913A0A"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50509689" w14:textId="77777777" w:rsidR="00913A0A" w:rsidRPr="0058047D" w:rsidRDefault="00913A0A"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14:paraId="3EABF5A3" w14:textId="77777777" w:rsidR="00913A0A" w:rsidRPr="0058047D" w:rsidRDefault="00913A0A" w:rsidP="00F97D54">
            <w:pPr>
              <w:pStyle w:val="TableText"/>
              <w:widowControl w:val="0"/>
              <w:rPr>
                <w:rFonts w:ascii="Tahoma" w:hAnsi="Tahoma" w:cs="Tahoma"/>
                <w:b/>
                <w:color w:val="0000FF"/>
                <w:sz w:val="13"/>
              </w:rPr>
            </w:pPr>
          </w:p>
        </w:tc>
        <w:tc>
          <w:tcPr>
            <w:tcW w:w="336" w:type="dxa"/>
            <w:tcBorders>
              <w:bottom w:val="single" w:sz="4" w:space="0" w:color="auto"/>
              <w:right w:val="single" w:sz="18" w:space="0" w:color="auto"/>
            </w:tcBorders>
            <w:shd w:val="clear" w:color="auto" w:fill="auto"/>
            <w:vAlign w:val="center"/>
          </w:tcPr>
          <w:p w14:paraId="65FB4F52" w14:textId="77777777" w:rsidR="00913A0A" w:rsidRPr="0058047D" w:rsidRDefault="00913A0A" w:rsidP="00F97D54">
            <w:pPr>
              <w:pStyle w:val="TableText"/>
              <w:widowControl w:val="0"/>
              <w:rPr>
                <w:rFonts w:ascii="Tahoma" w:hAnsi="Tahoma" w:cs="Tahoma"/>
                <w:b/>
                <w:color w:val="0000FF"/>
                <w:sz w:val="13"/>
              </w:rPr>
            </w:pPr>
          </w:p>
        </w:tc>
        <w:tc>
          <w:tcPr>
            <w:tcW w:w="477" w:type="dxa"/>
            <w:tcBorders>
              <w:left w:val="single" w:sz="18" w:space="0" w:color="auto"/>
              <w:bottom w:val="single" w:sz="4" w:space="0" w:color="auto"/>
            </w:tcBorders>
            <w:shd w:val="clear" w:color="auto" w:fill="auto"/>
            <w:vAlign w:val="center"/>
          </w:tcPr>
          <w:p w14:paraId="751EE636" w14:textId="77777777" w:rsidR="00913A0A" w:rsidRPr="0058047D" w:rsidRDefault="00913A0A" w:rsidP="00F97D54">
            <w:pPr>
              <w:pStyle w:val="TableText"/>
              <w:widowControl w:val="0"/>
              <w:rPr>
                <w:rFonts w:ascii="Tahoma" w:hAnsi="Tahoma" w:cs="Tahoma"/>
                <w:sz w:val="13"/>
              </w:rPr>
            </w:pPr>
            <w:r w:rsidRPr="0058047D">
              <w:rPr>
                <w:rFonts w:ascii="Tahoma" w:hAnsi="Tahoma" w:cs="Tahoma"/>
                <w:sz w:val="13"/>
              </w:rPr>
              <w:t>25</w:t>
            </w:r>
          </w:p>
        </w:tc>
        <w:tc>
          <w:tcPr>
            <w:tcW w:w="450" w:type="dxa"/>
            <w:tcBorders>
              <w:bottom w:val="single" w:sz="4" w:space="0" w:color="auto"/>
            </w:tcBorders>
            <w:shd w:val="clear" w:color="auto" w:fill="auto"/>
            <w:vAlign w:val="center"/>
          </w:tcPr>
          <w:p w14:paraId="3D729543" w14:textId="77777777" w:rsidR="00913A0A" w:rsidRPr="0058047D" w:rsidRDefault="00913A0A" w:rsidP="00F97D54">
            <w:pPr>
              <w:pStyle w:val="TableText"/>
              <w:widowControl w:val="0"/>
              <w:rPr>
                <w:rFonts w:ascii="Tahoma" w:hAnsi="Tahoma" w:cs="Tahoma"/>
                <w:sz w:val="13"/>
              </w:rPr>
            </w:pPr>
            <w:r w:rsidRPr="0058047D">
              <w:rPr>
                <w:rFonts w:ascii="Tahoma" w:hAnsi="Tahoma" w:cs="Tahoma"/>
                <w:sz w:val="13"/>
              </w:rPr>
              <w:t>50</w:t>
            </w:r>
          </w:p>
        </w:tc>
        <w:tc>
          <w:tcPr>
            <w:tcW w:w="414" w:type="dxa"/>
            <w:tcBorders>
              <w:bottom w:val="single" w:sz="4" w:space="0" w:color="auto"/>
              <w:right w:val="single" w:sz="18" w:space="0" w:color="auto"/>
            </w:tcBorders>
            <w:shd w:val="clear" w:color="auto" w:fill="auto"/>
            <w:vAlign w:val="center"/>
          </w:tcPr>
          <w:p w14:paraId="6FD4F7B0" w14:textId="77777777" w:rsidR="00913A0A" w:rsidRPr="0058047D" w:rsidRDefault="00913A0A" w:rsidP="00F97D54">
            <w:pPr>
              <w:pStyle w:val="TableText"/>
              <w:widowControl w:val="0"/>
              <w:rPr>
                <w:rFonts w:ascii="Tahoma" w:hAnsi="Tahoma" w:cs="Tahoma"/>
                <w:sz w:val="13"/>
              </w:rPr>
            </w:pPr>
            <w:r w:rsidRPr="0058047D">
              <w:rPr>
                <w:rFonts w:ascii="Tahoma" w:hAnsi="Tahoma" w:cs="Tahoma"/>
                <w:sz w:val="13"/>
              </w:rPr>
              <w:t>25</w:t>
            </w:r>
          </w:p>
        </w:tc>
        <w:tc>
          <w:tcPr>
            <w:tcW w:w="468" w:type="dxa"/>
            <w:tcBorders>
              <w:left w:val="single" w:sz="18" w:space="0" w:color="auto"/>
              <w:bottom w:val="single" w:sz="4" w:space="0" w:color="auto"/>
            </w:tcBorders>
            <w:shd w:val="clear" w:color="auto" w:fill="auto"/>
            <w:vAlign w:val="center"/>
          </w:tcPr>
          <w:p w14:paraId="582F1EA9" w14:textId="77777777" w:rsidR="00913A0A" w:rsidRPr="0058047D" w:rsidRDefault="00913A0A" w:rsidP="00F97D54">
            <w:pPr>
              <w:pStyle w:val="TableText"/>
              <w:widowControl w:val="0"/>
              <w:rPr>
                <w:rFonts w:ascii="Tahoma" w:hAnsi="Tahoma" w:cs="Tahoma"/>
                <w:sz w:val="13"/>
              </w:rPr>
            </w:pPr>
            <w:r w:rsidRPr="0058047D">
              <w:rPr>
                <w:rFonts w:ascii="Tahoma" w:hAnsi="Tahoma" w:cs="Tahoma"/>
                <w:sz w:val="13"/>
              </w:rPr>
              <w:t>25</w:t>
            </w:r>
          </w:p>
        </w:tc>
        <w:tc>
          <w:tcPr>
            <w:tcW w:w="477" w:type="dxa"/>
            <w:tcBorders>
              <w:bottom w:val="single" w:sz="4" w:space="0" w:color="auto"/>
              <w:right w:val="single" w:sz="18" w:space="0" w:color="auto"/>
            </w:tcBorders>
            <w:shd w:val="clear" w:color="auto" w:fill="auto"/>
            <w:vAlign w:val="center"/>
          </w:tcPr>
          <w:p w14:paraId="22B81FD3" w14:textId="77777777" w:rsidR="00913A0A" w:rsidRPr="0058047D" w:rsidRDefault="00913A0A" w:rsidP="00F97D54">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0CA9A0BF" w14:textId="77777777" w:rsidR="00913A0A" w:rsidRPr="0058047D" w:rsidRDefault="00913A0A" w:rsidP="00F97D54">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auto"/>
          </w:tcPr>
          <w:p w14:paraId="6288709D" w14:textId="77777777" w:rsidR="00913A0A" w:rsidRPr="0058047D" w:rsidRDefault="00913A0A" w:rsidP="00F97D54">
            <w:pPr>
              <w:pStyle w:val="TableText"/>
              <w:widowControl w:val="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auto"/>
            <w:vAlign w:val="center"/>
          </w:tcPr>
          <w:p w14:paraId="27551DD7" w14:textId="77777777" w:rsidR="00913A0A" w:rsidRPr="0058047D" w:rsidRDefault="00913A0A" w:rsidP="00F97D54">
            <w:pPr>
              <w:pStyle w:val="TableText"/>
              <w:widowControl w:val="0"/>
              <w:rPr>
                <w:rFonts w:ascii="Tahoma" w:hAnsi="Tahoma" w:cs="Tahoma"/>
                <w:sz w:val="13"/>
              </w:rPr>
            </w:pPr>
            <w:r w:rsidRPr="0058047D">
              <w:rPr>
                <w:rFonts w:ascii="Tahoma" w:hAnsi="Tahoma" w:cs="Tahoma"/>
                <w:color w:val="000000"/>
                <w:sz w:val="13"/>
              </w:rPr>
              <w:t>OL/OV</w:t>
            </w:r>
          </w:p>
        </w:tc>
        <w:tc>
          <w:tcPr>
            <w:tcW w:w="405" w:type="dxa"/>
            <w:tcBorders>
              <w:bottom w:val="single" w:sz="4" w:space="0" w:color="auto"/>
            </w:tcBorders>
          </w:tcPr>
          <w:p w14:paraId="07667CAD" w14:textId="77777777" w:rsidR="00913A0A" w:rsidRPr="0058047D" w:rsidRDefault="00913A0A" w:rsidP="00F97D54">
            <w:pPr>
              <w:pStyle w:val="TableText"/>
              <w:widowControl w:val="0"/>
              <w:rPr>
                <w:rFonts w:ascii="Tahoma" w:hAnsi="Tahoma" w:cs="Tahoma"/>
                <w:color w:val="000000"/>
                <w:sz w:val="13"/>
              </w:rPr>
            </w:pPr>
          </w:p>
        </w:tc>
      </w:tr>
      <w:tr w:rsidR="009323A0" w:rsidRPr="0058047D" w14:paraId="7718589B" w14:textId="77777777" w:rsidTr="00C86F50">
        <w:trPr>
          <w:gridBefore w:val="1"/>
          <w:wBefore w:w="13" w:type="dxa"/>
          <w:trHeight w:val="233"/>
        </w:trPr>
        <w:tc>
          <w:tcPr>
            <w:tcW w:w="2606" w:type="dxa"/>
            <w:tcBorders>
              <w:bottom w:val="single" w:sz="4" w:space="0" w:color="auto"/>
            </w:tcBorders>
            <w:shd w:val="clear" w:color="auto" w:fill="FABF8F"/>
            <w:vAlign w:val="center"/>
          </w:tcPr>
          <w:p w14:paraId="3337C30E" w14:textId="77777777" w:rsidR="00913A0A" w:rsidRPr="0058047D" w:rsidRDefault="00913A0A" w:rsidP="002E5D03">
            <w:pPr>
              <w:pStyle w:val="Heading2"/>
              <w:spacing w:before="20" w:after="20"/>
              <w:ind w:left="0"/>
              <w:rPr>
                <w:rFonts w:ascii="Tahoma" w:hAnsi="Tahoma" w:cs="Tahoma"/>
                <w:b w:val="0"/>
                <w:sz w:val="14"/>
                <w:szCs w:val="14"/>
              </w:rPr>
            </w:pPr>
            <w:bookmarkStart w:id="550" w:name="_Toc336338165"/>
            <w:bookmarkStart w:id="551" w:name="_Toc371663554"/>
            <w:r w:rsidRPr="0058047D">
              <w:rPr>
                <w:rFonts w:ascii="Tahoma" w:hAnsi="Tahoma" w:cs="Tahoma"/>
                <w:b w:val="0"/>
                <w:sz w:val="14"/>
                <w:szCs w:val="14"/>
              </w:rPr>
              <w:t>Windows Server 2012 R2 Essentials</w:t>
            </w:r>
            <w:bookmarkEnd w:id="550"/>
            <w:bookmarkEnd w:id="551"/>
          </w:p>
        </w:tc>
        <w:tc>
          <w:tcPr>
            <w:tcW w:w="554" w:type="dxa"/>
            <w:tcBorders>
              <w:bottom w:val="single" w:sz="4" w:space="0" w:color="auto"/>
            </w:tcBorders>
            <w:shd w:val="clear" w:color="auto" w:fill="FABF8F"/>
            <w:vAlign w:val="center"/>
          </w:tcPr>
          <w:p w14:paraId="7D42C068" w14:textId="77777777" w:rsidR="00913A0A" w:rsidRPr="0058047D" w:rsidRDefault="00913A0A" w:rsidP="0059600B">
            <w:pPr>
              <w:pStyle w:val="TableText"/>
              <w:widowControl w:val="0"/>
              <w:rPr>
                <w:b/>
                <w:sz w:val="13"/>
                <w:szCs w:val="13"/>
                <w:u w:val="single"/>
              </w:rPr>
            </w:pPr>
          </w:p>
        </w:tc>
        <w:tc>
          <w:tcPr>
            <w:tcW w:w="516" w:type="dxa"/>
            <w:tcBorders>
              <w:bottom w:val="single" w:sz="4" w:space="0" w:color="auto"/>
            </w:tcBorders>
            <w:shd w:val="clear" w:color="auto" w:fill="FABF8F"/>
          </w:tcPr>
          <w:p w14:paraId="04DC6233" w14:textId="77777777" w:rsidR="00913A0A" w:rsidRPr="0058047D" w:rsidRDefault="00913A0A" w:rsidP="00200E1A">
            <w:pPr>
              <w:pStyle w:val="TableText"/>
              <w:widowControl w:val="0"/>
              <w:spacing w:before="120"/>
              <w:rPr>
                <w:rFonts w:ascii="Tahoma" w:hAnsi="Tahoma" w:cs="Tahoma"/>
                <w:sz w:val="13"/>
              </w:rPr>
            </w:pPr>
            <w:r w:rsidRPr="0058047D">
              <w:rPr>
                <w:rFonts w:ascii="Tahoma" w:hAnsi="Tahoma" w:cs="Tahoma"/>
                <w:sz w:val="13"/>
              </w:rPr>
              <w:t>11/13</w:t>
            </w:r>
          </w:p>
        </w:tc>
        <w:tc>
          <w:tcPr>
            <w:tcW w:w="358" w:type="dxa"/>
            <w:tcBorders>
              <w:bottom w:val="single" w:sz="4" w:space="0" w:color="auto"/>
              <w:right w:val="single" w:sz="18" w:space="0" w:color="auto"/>
            </w:tcBorders>
            <w:shd w:val="clear" w:color="auto" w:fill="FABF8F"/>
            <w:vAlign w:val="center"/>
          </w:tcPr>
          <w:p w14:paraId="15B0014B" w14:textId="77777777" w:rsidR="00913A0A" w:rsidRPr="0058047D" w:rsidRDefault="00913A0A" w:rsidP="00F97D54">
            <w:pPr>
              <w:pStyle w:val="TableText"/>
              <w:widowControl w:val="0"/>
              <w:rPr>
                <w:rFonts w:ascii="Tahoma" w:hAnsi="Tahoma" w:cs="Tahoma"/>
                <w:sz w:val="13"/>
              </w:rPr>
            </w:pPr>
          </w:p>
        </w:tc>
        <w:tc>
          <w:tcPr>
            <w:tcW w:w="330" w:type="dxa"/>
            <w:tcBorders>
              <w:left w:val="single" w:sz="18" w:space="0" w:color="auto"/>
              <w:bottom w:val="single" w:sz="4" w:space="0" w:color="auto"/>
            </w:tcBorders>
            <w:shd w:val="clear" w:color="auto" w:fill="FABF8F"/>
            <w:vAlign w:val="center"/>
          </w:tcPr>
          <w:p w14:paraId="1C2E47A8" w14:textId="77777777" w:rsidR="00913A0A" w:rsidRPr="0058047D" w:rsidRDefault="00913A0A" w:rsidP="00F97D54">
            <w:pPr>
              <w:pStyle w:val="TableText"/>
              <w:widowControl w:val="0"/>
              <w:rPr>
                <w:rFonts w:ascii="Tahoma" w:hAnsi="Tahoma" w:cs="Tahoma"/>
                <w:b/>
                <w:color w:val="FF0000"/>
                <w:sz w:val="13"/>
              </w:rPr>
            </w:pPr>
          </w:p>
        </w:tc>
        <w:tc>
          <w:tcPr>
            <w:tcW w:w="324" w:type="dxa"/>
            <w:tcBorders>
              <w:bottom w:val="single" w:sz="4" w:space="0" w:color="auto"/>
            </w:tcBorders>
            <w:shd w:val="clear" w:color="auto" w:fill="FABF8F"/>
            <w:vAlign w:val="center"/>
          </w:tcPr>
          <w:p w14:paraId="367FAE5B" w14:textId="77777777" w:rsidR="00913A0A" w:rsidRPr="0058047D" w:rsidRDefault="00913A0A" w:rsidP="00F97D54">
            <w:pPr>
              <w:pStyle w:val="TableText"/>
              <w:widowControl w:val="0"/>
              <w:rPr>
                <w:rFonts w:ascii="Tahoma" w:hAnsi="Tahoma" w:cs="Tahoma"/>
                <w:b/>
                <w:color w:val="008000"/>
                <w:sz w:val="13"/>
              </w:rPr>
            </w:pPr>
          </w:p>
        </w:tc>
        <w:tc>
          <w:tcPr>
            <w:tcW w:w="366" w:type="dxa"/>
            <w:tcBorders>
              <w:bottom w:val="single" w:sz="4" w:space="0" w:color="auto"/>
            </w:tcBorders>
            <w:shd w:val="clear" w:color="auto" w:fill="FABF8F"/>
            <w:vAlign w:val="center"/>
          </w:tcPr>
          <w:p w14:paraId="5B50A6FC" w14:textId="77777777" w:rsidR="00913A0A" w:rsidRPr="0058047D" w:rsidRDefault="00913A0A" w:rsidP="00F97D54">
            <w:pPr>
              <w:pStyle w:val="TableText"/>
              <w:widowControl w:val="0"/>
              <w:rPr>
                <w:rFonts w:ascii="Tahoma" w:hAnsi="Tahoma" w:cs="Tahoma"/>
                <w:b/>
                <w:color w:val="008000"/>
                <w:sz w:val="13"/>
              </w:rPr>
            </w:pPr>
          </w:p>
        </w:tc>
        <w:tc>
          <w:tcPr>
            <w:tcW w:w="456" w:type="dxa"/>
            <w:gridSpan w:val="2"/>
            <w:tcBorders>
              <w:bottom w:val="single" w:sz="4" w:space="0" w:color="auto"/>
            </w:tcBorders>
            <w:shd w:val="clear" w:color="auto" w:fill="FABF8F"/>
            <w:vAlign w:val="center"/>
          </w:tcPr>
          <w:p w14:paraId="4022E7CA" w14:textId="77777777" w:rsidR="00913A0A" w:rsidRPr="0058047D" w:rsidRDefault="00913A0A"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16230CD9" w14:textId="77777777" w:rsidR="00913A0A" w:rsidRPr="0058047D" w:rsidRDefault="00913A0A"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14:paraId="59B099DA" w14:textId="77777777" w:rsidR="00913A0A" w:rsidRPr="0058047D" w:rsidRDefault="00913A0A" w:rsidP="00F97D54">
            <w:pPr>
              <w:pStyle w:val="TableText"/>
              <w:widowControl w:val="0"/>
              <w:rPr>
                <w:rFonts w:ascii="Tahoma" w:hAnsi="Tahoma" w:cs="Tahoma"/>
                <w:b/>
                <w:color w:val="0000FF"/>
                <w:sz w:val="13"/>
              </w:rPr>
            </w:pPr>
          </w:p>
        </w:tc>
        <w:tc>
          <w:tcPr>
            <w:tcW w:w="336" w:type="dxa"/>
            <w:tcBorders>
              <w:bottom w:val="single" w:sz="4" w:space="0" w:color="auto"/>
              <w:right w:val="single" w:sz="18" w:space="0" w:color="auto"/>
            </w:tcBorders>
            <w:shd w:val="clear" w:color="auto" w:fill="FABF8F"/>
            <w:vAlign w:val="center"/>
          </w:tcPr>
          <w:p w14:paraId="670B22CD" w14:textId="77777777" w:rsidR="00913A0A" w:rsidRPr="0058047D" w:rsidRDefault="00913A0A" w:rsidP="00F97D54">
            <w:pPr>
              <w:pStyle w:val="TableText"/>
              <w:widowControl w:val="0"/>
              <w:rPr>
                <w:rFonts w:ascii="Tahoma" w:hAnsi="Tahoma" w:cs="Tahoma"/>
                <w:b/>
                <w:color w:val="0000FF"/>
                <w:sz w:val="13"/>
              </w:rPr>
            </w:pPr>
          </w:p>
        </w:tc>
        <w:tc>
          <w:tcPr>
            <w:tcW w:w="477" w:type="dxa"/>
            <w:tcBorders>
              <w:left w:val="single" w:sz="18" w:space="0" w:color="auto"/>
              <w:bottom w:val="single" w:sz="4" w:space="0" w:color="auto"/>
            </w:tcBorders>
            <w:shd w:val="clear" w:color="auto" w:fill="FABF8F"/>
            <w:vAlign w:val="center"/>
          </w:tcPr>
          <w:p w14:paraId="3142EDD0" w14:textId="77777777" w:rsidR="00913A0A" w:rsidRPr="0058047D" w:rsidRDefault="00913A0A" w:rsidP="00F97D54">
            <w:pPr>
              <w:pStyle w:val="TableText"/>
              <w:widowControl w:val="0"/>
              <w:rPr>
                <w:rFonts w:ascii="Tahoma" w:hAnsi="Tahoma" w:cs="Tahoma"/>
                <w:sz w:val="13"/>
              </w:rPr>
            </w:pPr>
            <w:r w:rsidRPr="0058047D">
              <w:rPr>
                <w:rFonts w:ascii="Tahoma" w:hAnsi="Tahoma" w:cs="Tahoma"/>
                <w:sz w:val="13"/>
              </w:rPr>
              <w:t>5</w:t>
            </w:r>
          </w:p>
        </w:tc>
        <w:tc>
          <w:tcPr>
            <w:tcW w:w="450" w:type="dxa"/>
            <w:tcBorders>
              <w:bottom w:val="single" w:sz="4" w:space="0" w:color="auto"/>
            </w:tcBorders>
            <w:shd w:val="clear" w:color="auto" w:fill="FABF8F"/>
            <w:vAlign w:val="center"/>
          </w:tcPr>
          <w:p w14:paraId="6FAA0825" w14:textId="77777777" w:rsidR="00913A0A" w:rsidRPr="0058047D" w:rsidRDefault="00913A0A" w:rsidP="00F97D54">
            <w:pPr>
              <w:pStyle w:val="TableText"/>
              <w:widowControl w:val="0"/>
              <w:rPr>
                <w:rFonts w:ascii="Tahoma" w:hAnsi="Tahoma" w:cs="Tahoma"/>
                <w:sz w:val="13"/>
              </w:rPr>
            </w:pPr>
            <w:r w:rsidRPr="0058047D">
              <w:rPr>
                <w:rFonts w:ascii="Tahoma" w:hAnsi="Tahoma" w:cs="Tahoma"/>
                <w:sz w:val="13"/>
              </w:rPr>
              <w:t>10</w:t>
            </w:r>
          </w:p>
        </w:tc>
        <w:tc>
          <w:tcPr>
            <w:tcW w:w="414" w:type="dxa"/>
            <w:tcBorders>
              <w:bottom w:val="single" w:sz="4" w:space="0" w:color="auto"/>
              <w:right w:val="single" w:sz="18" w:space="0" w:color="auto"/>
            </w:tcBorders>
            <w:shd w:val="clear" w:color="auto" w:fill="FABF8F"/>
            <w:vAlign w:val="center"/>
          </w:tcPr>
          <w:p w14:paraId="69076D7F" w14:textId="77777777" w:rsidR="00913A0A" w:rsidRPr="0058047D" w:rsidRDefault="00913A0A" w:rsidP="00F97D54">
            <w:pPr>
              <w:pStyle w:val="TableText"/>
              <w:widowControl w:val="0"/>
              <w:rPr>
                <w:rFonts w:ascii="Tahoma" w:hAnsi="Tahoma" w:cs="Tahoma"/>
                <w:sz w:val="13"/>
              </w:rPr>
            </w:pPr>
            <w:r w:rsidRPr="0058047D">
              <w:rPr>
                <w:rFonts w:ascii="Tahoma" w:hAnsi="Tahoma" w:cs="Tahoma"/>
                <w:sz w:val="13"/>
              </w:rPr>
              <w:t>5</w:t>
            </w:r>
          </w:p>
        </w:tc>
        <w:tc>
          <w:tcPr>
            <w:tcW w:w="468" w:type="dxa"/>
            <w:tcBorders>
              <w:left w:val="single" w:sz="18" w:space="0" w:color="auto"/>
              <w:bottom w:val="single" w:sz="4" w:space="0" w:color="auto"/>
            </w:tcBorders>
            <w:shd w:val="clear" w:color="auto" w:fill="FABF8F"/>
            <w:vAlign w:val="center"/>
          </w:tcPr>
          <w:p w14:paraId="5D009D4B" w14:textId="77777777" w:rsidR="00913A0A" w:rsidRPr="0058047D" w:rsidRDefault="00913A0A" w:rsidP="00F97D54">
            <w:pPr>
              <w:pStyle w:val="TableText"/>
              <w:widowControl w:val="0"/>
              <w:rPr>
                <w:rFonts w:ascii="Tahoma" w:hAnsi="Tahoma" w:cs="Tahoma"/>
                <w:sz w:val="13"/>
              </w:rPr>
            </w:pPr>
            <w:r w:rsidRPr="0058047D">
              <w:rPr>
                <w:rFonts w:ascii="Tahoma" w:hAnsi="Tahoma" w:cs="Tahoma"/>
                <w:sz w:val="13"/>
              </w:rPr>
              <w:t>5</w:t>
            </w:r>
          </w:p>
        </w:tc>
        <w:tc>
          <w:tcPr>
            <w:tcW w:w="477" w:type="dxa"/>
            <w:tcBorders>
              <w:bottom w:val="single" w:sz="4" w:space="0" w:color="auto"/>
              <w:right w:val="single" w:sz="18" w:space="0" w:color="auto"/>
            </w:tcBorders>
            <w:shd w:val="clear" w:color="auto" w:fill="FABF8F"/>
            <w:vAlign w:val="center"/>
          </w:tcPr>
          <w:p w14:paraId="7B9F1F42" w14:textId="77777777" w:rsidR="00913A0A" w:rsidRPr="0058047D" w:rsidRDefault="00913A0A" w:rsidP="00F97D54">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227F1F17" w14:textId="77777777" w:rsidR="00913A0A" w:rsidRPr="0058047D" w:rsidRDefault="00913A0A" w:rsidP="00F97D54">
            <w:pPr>
              <w:pStyle w:val="TableText"/>
              <w:widowControl w:val="0"/>
              <w:rPr>
                <w:rFonts w:ascii="Tahoma" w:hAnsi="Tahoma" w:cs="Tahoma"/>
                <w:sz w:val="13"/>
              </w:rPr>
            </w:pPr>
            <w:r w:rsidRPr="0058047D">
              <w:rPr>
                <w:rFonts w:ascii="Tahoma" w:hAnsi="Tahoma" w:cs="Tahoma"/>
                <w:sz w:val="13"/>
              </w:rPr>
              <w:t>P</w:t>
            </w:r>
          </w:p>
        </w:tc>
        <w:tc>
          <w:tcPr>
            <w:tcW w:w="655" w:type="dxa"/>
            <w:tcBorders>
              <w:bottom w:val="single" w:sz="4" w:space="0" w:color="auto"/>
            </w:tcBorders>
            <w:shd w:val="clear" w:color="auto" w:fill="FABF8F"/>
          </w:tcPr>
          <w:p w14:paraId="01D86F6E" w14:textId="77777777" w:rsidR="00913A0A" w:rsidRPr="0058047D" w:rsidRDefault="00913A0A" w:rsidP="00F97D54">
            <w:pPr>
              <w:pStyle w:val="TableText"/>
              <w:widowControl w:val="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FABF8F"/>
            <w:vAlign w:val="center"/>
          </w:tcPr>
          <w:p w14:paraId="673779AB" w14:textId="77777777" w:rsidR="00913A0A" w:rsidRPr="0058047D" w:rsidRDefault="00913A0A" w:rsidP="00F97D54">
            <w:pPr>
              <w:pStyle w:val="TableText"/>
              <w:widowControl w:val="0"/>
              <w:rPr>
                <w:rFonts w:ascii="Tahoma" w:hAnsi="Tahoma" w:cs="Tahoma"/>
                <w:color w:val="000000"/>
                <w:sz w:val="13"/>
              </w:rPr>
            </w:pPr>
          </w:p>
        </w:tc>
        <w:tc>
          <w:tcPr>
            <w:tcW w:w="405" w:type="dxa"/>
            <w:tcBorders>
              <w:bottom w:val="single" w:sz="4" w:space="0" w:color="auto"/>
            </w:tcBorders>
            <w:shd w:val="clear" w:color="auto" w:fill="FABF8F"/>
          </w:tcPr>
          <w:p w14:paraId="5643837E" w14:textId="77777777" w:rsidR="00913A0A" w:rsidRPr="0058047D" w:rsidRDefault="00913A0A" w:rsidP="00F97D54">
            <w:pPr>
              <w:pStyle w:val="TableText"/>
              <w:widowControl w:val="0"/>
              <w:rPr>
                <w:rFonts w:ascii="Tahoma" w:hAnsi="Tahoma" w:cs="Tahoma"/>
                <w:color w:val="000000"/>
                <w:sz w:val="13"/>
              </w:rPr>
            </w:pPr>
          </w:p>
        </w:tc>
      </w:tr>
      <w:tr w:rsidR="009323A0" w:rsidRPr="0058047D" w14:paraId="3819AFAB" w14:textId="77777777" w:rsidTr="00C86F50">
        <w:trPr>
          <w:gridBefore w:val="1"/>
          <w:wBefore w:w="13" w:type="dxa"/>
          <w:trHeight w:val="145"/>
        </w:trPr>
        <w:tc>
          <w:tcPr>
            <w:tcW w:w="2606" w:type="dxa"/>
            <w:shd w:val="clear" w:color="auto" w:fill="auto"/>
            <w:vAlign w:val="center"/>
          </w:tcPr>
          <w:p w14:paraId="7C0C185C" w14:textId="77777777" w:rsidR="00913A0A" w:rsidRPr="0058047D" w:rsidRDefault="00913A0A" w:rsidP="002E5D03">
            <w:pPr>
              <w:pStyle w:val="Heading2"/>
              <w:spacing w:before="20" w:after="20"/>
              <w:ind w:left="0"/>
              <w:rPr>
                <w:rFonts w:ascii="Tahoma" w:hAnsi="Tahoma" w:cs="Tahoma"/>
                <w:b w:val="0"/>
                <w:sz w:val="14"/>
                <w:szCs w:val="14"/>
              </w:rPr>
            </w:pPr>
            <w:bookmarkStart w:id="552" w:name="_Toc336338166"/>
            <w:bookmarkStart w:id="553" w:name="_Toc371663555"/>
            <w:r w:rsidRPr="0058047D">
              <w:rPr>
                <w:rFonts w:ascii="Tahoma" w:hAnsi="Tahoma" w:cs="Tahoma"/>
                <w:b w:val="0"/>
                <w:sz w:val="14"/>
                <w:szCs w:val="14"/>
              </w:rPr>
              <w:t>Windows Small Business Server 2011 Essentials</w:t>
            </w:r>
            <w:bookmarkEnd w:id="552"/>
            <w:bookmarkEnd w:id="553"/>
          </w:p>
        </w:tc>
        <w:tc>
          <w:tcPr>
            <w:tcW w:w="554" w:type="dxa"/>
            <w:shd w:val="clear" w:color="auto" w:fill="auto"/>
            <w:vAlign w:val="center"/>
          </w:tcPr>
          <w:p w14:paraId="770F6A8B" w14:textId="77777777" w:rsidR="00913A0A" w:rsidRPr="0058047D" w:rsidRDefault="00C86F50" w:rsidP="00913588">
            <w:pPr>
              <w:pStyle w:val="TableText"/>
              <w:widowControl w:val="0"/>
              <w:rPr>
                <w:b/>
                <w:sz w:val="13"/>
                <w:szCs w:val="13"/>
                <w:u w:val="single"/>
              </w:rPr>
            </w:pPr>
            <w:hyperlink w:anchor="_118_Windows_Small" w:history="1">
              <w:r w:rsidR="00BF5FC6" w:rsidRPr="0058047D">
                <w:rPr>
                  <w:rStyle w:val="Hyperlink"/>
                  <w:b/>
                  <w:sz w:val="13"/>
                  <w:szCs w:val="13"/>
                </w:rPr>
                <w:t>120</w:t>
              </w:r>
            </w:hyperlink>
          </w:p>
        </w:tc>
        <w:tc>
          <w:tcPr>
            <w:tcW w:w="516" w:type="dxa"/>
            <w:shd w:val="clear" w:color="auto" w:fill="auto"/>
          </w:tcPr>
          <w:p w14:paraId="257750B5" w14:textId="77777777" w:rsidR="00913A0A" w:rsidRPr="0058047D" w:rsidRDefault="00913A0A" w:rsidP="00F97D54">
            <w:pPr>
              <w:pStyle w:val="TableText"/>
              <w:widowControl w:val="0"/>
              <w:spacing w:before="120"/>
              <w:rPr>
                <w:rFonts w:ascii="Tahoma" w:hAnsi="Tahoma" w:cs="Tahoma"/>
                <w:sz w:val="13"/>
              </w:rPr>
            </w:pPr>
            <w:r w:rsidRPr="0058047D">
              <w:rPr>
                <w:rFonts w:ascii="Tahoma" w:hAnsi="Tahoma" w:cs="Tahoma"/>
                <w:sz w:val="13"/>
              </w:rPr>
              <w:t>05/11</w:t>
            </w:r>
          </w:p>
        </w:tc>
        <w:tc>
          <w:tcPr>
            <w:tcW w:w="358" w:type="dxa"/>
            <w:tcBorders>
              <w:right w:val="single" w:sz="18" w:space="0" w:color="auto"/>
            </w:tcBorders>
            <w:shd w:val="clear" w:color="auto" w:fill="auto"/>
            <w:vAlign w:val="center"/>
          </w:tcPr>
          <w:p w14:paraId="6D5FED1E" w14:textId="77777777" w:rsidR="00913A0A" w:rsidRPr="0058047D" w:rsidRDefault="00913A0A" w:rsidP="00F97D54">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tcBorders>
            <w:shd w:val="clear" w:color="auto" w:fill="auto"/>
            <w:vAlign w:val="center"/>
          </w:tcPr>
          <w:p w14:paraId="14188F0A" w14:textId="77777777" w:rsidR="00913A0A" w:rsidRPr="0058047D" w:rsidRDefault="00913A0A" w:rsidP="00F97D54">
            <w:pPr>
              <w:pStyle w:val="TableText"/>
              <w:widowControl w:val="0"/>
              <w:rPr>
                <w:rFonts w:ascii="Tahoma" w:hAnsi="Tahoma" w:cs="Tahoma"/>
                <w:color w:val="000000"/>
                <w:sz w:val="13"/>
              </w:rPr>
            </w:pPr>
          </w:p>
        </w:tc>
        <w:tc>
          <w:tcPr>
            <w:tcW w:w="324" w:type="dxa"/>
            <w:shd w:val="clear" w:color="auto" w:fill="auto"/>
            <w:vAlign w:val="center"/>
          </w:tcPr>
          <w:p w14:paraId="0D341EEB" w14:textId="77777777" w:rsidR="00913A0A" w:rsidRPr="0058047D" w:rsidRDefault="00913A0A" w:rsidP="00F97D54">
            <w:pPr>
              <w:pStyle w:val="TableText"/>
              <w:widowControl w:val="0"/>
              <w:rPr>
                <w:rFonts w:ascii="Tahoma" w:hAnsi="Tahoma" w:cs="Tahoma"/>
                <w:color w:val="000000"/>
                <w:sz w:val="13"/>
              </w:rPr>
            </w:pPr>
          </w:p>
        </w:tc>
        <w:tc>
          <w:tcPr>
            <w:tcW w:w="366" w:type="dxa"/>
            <w:shd w:val="clear" w:color="auto" w:fill="auto"/>
            <w:vAlign w:val="center"/>
          </w:tcPr>
          <w:p w14:paraId="2392DE43" w14:textId="77777777" w:rsidR="00913A0A" w:rsidRPr="0058047D" w:rsidRDefault="00913A0A" w:rsidP="00F97D54">
            <w:pPr>
              <w:pStyle w:val="TableText"/>
              <w:widowControl w:val="0"/>
              <w:rPr>
                <w:rFonts w:ascii="Tahoma" w:hAnsi="Tahoma" w:cs="Tahoma"/>
                <w:color w:val="000000"/>
                <w:sz w:val="13"/>
              </w:rPr>
            </w:pPr>
          </w:p>
        </w:tc>
        <w:tc>
          <w:tcPr>
            <w:tcW w:w="456" w:type="dxa"/>
            <w:gridSpan w:val="2"/>
            <w:shd w:val="clear" w:color="auto" w:fill="auto"/>
            <w:vAlign w:val="center"/>
          </w:tcPr>
          <w:p w14:paraId="54656F5B" w14:textId="77777777" w:rsidR="00913A0A" w:rsidRPr="0058047D" w:rsidRDefault="00913A0A" w:rsidP="00F97D54">
            <w:pPr>
              <w:pStyle w:val="TableText"/>
              <w:widowControl w:val="0"/>
              <w:rPr>
                <w:rFonts w:ascii="Tahoma" w:hAnsi="Tahoma" w:cs="Tahoma"/>
                <w:color w:val="000000"/>
                <w:sz w:val="13"/>
              </w:rPr>
            </w:pPr>
          </w:p>
        </w:tc>
        <w:tc>
          <w:tcPr>
            <w:tcW w:w="450" w:type="dxa"/>
            <w:shd w:val="clear" w:color="auto" w:fill="auto"/>
            <w:vAlign w:val="center"/>
          </w:tcPr>
          <w:p w14:paraId="526DC6AE" w14:textId="77777777" w:rsidR="00913A0A" w:rsidRPr="0058047D" w:rsidRDefault="00913A0A" w:rsidP="00F97D54">
            <w:pPr>
              <w:pStyle w:val="TableText"/>
              <w:widowControl w:val="0"/>
              <w:rPr>
                <w:rFonts w:ascii="Tahoma" w:hAnsi="Tahoma" w:cs="Tahoma"/>
                <w:color w:val="000000"/>
                <w:sz w:val="13"/>
              </w:rPr>
            </w:pPr>
          </w:p>
        </w:tc>
        <w:tc>
          <w:tcPr>
            <w:tcW w:w="450" w:type="dxa"/>
            <w:shd w:val="clear" w:color="auto" w:fill="auto"/>
            <w:vAlign w:val="center"/>
          </w:tcPr>
          <w:p w14:paraId="586BEC22" w14:textId="77777777" w:rsidR="00913A0A" w:rsidRPr="0058047D" w:rsidRDefault="00913A0A" w:rsidP="00F97D54">
            <w:pPr>
              <w:pStyle w:val="TableText"/>
              <w:widowControl w:val="0"/>
              <w:rPr>
                <w:rFonts w:ascii="Tahoma" w:hAnsi="Tahoma" w:cs="Tahoma"/>
                <w:color w:val="000000"/>
                <w:sz w:val="13"/>
              </w:rPr>
            </w:pPr>
          </w:p>
        </w:tc>
        <w:tc>
          <w:tcPr>
            <w:tcW w:w="336" w:type="dxa"/>
            <w:tcBorders>
              <w:right w:val="single" w:sz="18" w:space="0" w:color="auto"/>
            </w:tcBorders>
            <w:shd w:val="clear" w:color="auto" w:fill="auto"/>
            <w:vAlign w:val="center"/>
          </w:tcPr>
          <w:p w14:paraId="3F4EB5E9" w14:textId="77777777" w:rsidR="00913A0A" w:rsidRPr="0058047D" w:rsidRDefault="00913A0A" w:rsidP="00F97D54">
            <w:pPr>
              <w:pStyle w:val="TableText"/>
              <w:widowControl w:val="0"/>
              <w:rPr>
                <w:rFonts w:ascii="Tahoma" w:hAnsi="Tahoma" w:cs="Tahoma"/>
                <w:color w:val="000000"/>
                <w:sz w:val="13"/>
              </w:rPr>
            </w:pPr>
          </w:p>
        </w:tc>
        <w:tc>
          <w:tcPr>
            <w:tcW w:w="477" w:type="dxa"/>
            <w:tcBorders>
              <w:left w:val="single" w:sz="18" w:space="0" w:color="auto"/>
            </w:tcBorders>
            <w:shd w:val="clear" w:color="auto" w:fill="auto"/>
            <w:vAlign w:val="center"/>
          </w:tcPr>
          <w:p w14:paraId="49A57227" w14:textId="77777777" w:rsidR="00913A0A" w:rsidRPr="0058047D" w:rsidRDefault="00913A0A" w:rsidP="00F97D54">
            <w:pPr>
              <w:pStyle w:val="TableText"/>
              <w:widowControl w:val="0"/>
              <w:rPr>
                <w:rFonts w:ascii="Tahoma" w:hAnsi="Tahoma" w:cs="Tahoma"/>
                <w:color w:val="000000"/>
                <w:sz w:val="13"/>
              </w:rPr>
            </w:pPr>
          </w:p>
        </w:tc>
        <w:tc>
          <w:tcPr>
            <w:tcW w:w="450" w:type="dxa"/>
            <w:shd w:val="clear" w:color="auto" w:fill="auto"/>
            <w:vAlign w:val="center"/>
          </w:tcPr>
          <w:p w14:paraId="6B191915" w14:textId="77777777" w:rsidR="00913A0A" w:rsidRPr="0058047D" w:rsidRDefault="00913A0A" w:rsidP="00F97D54">
            <w:pPr>
              <w:pStyle w:val="TableText"/>
              <w:widowControl w:val="0"/>
              <w:rPr>
                <w:rFonts w:ascii="Tahoma" w:hAnsi="Tahoma" w:cs="Tahoma"/>
                <w:sz w:val="13"/>
              </w:rPr>
            </w:pPr>
          </w:p>
        </w:tc>
        <w:tc>
          <w:tcPr>
            <w:tcW w:w="414" w:type="dxa"/>
            <w:tcBorders>
              <w:right w:val="single" w:sz="18" w:space="0" w:color="auto"/>
            </w:tcBorders>
            <w:shd w:val="clear" w:color="auto" w:fill="auto"/>
            <w:vAlign w:val="center"/>
          </w:tcPr>
          <w:p w14:paraId="3CE42F71" w14:textId="77777777" w:rsidR="00913A0A" w:rsidRPr="0058047D" w:rsidRDefault="00913A0A" w:rsidP="00F97D54">
            <w:pPr>
              <w:pStyle w:val="TableText"/>
              <w:widowControl w:val="0"/>
              <w:rPr>
                <w:rFonts w:ascii="Tahoma" w:hAnsi="Tahoma" w:cs="Tahoma"/>
                <w:sz w:val="13"/>
              </w:rPr>
            </w:pPr>
          </w:p>
        </w:tc>
        <w:tc>
          <w:tcPr>
            <w:tcW w:w="468" w:type="dxa"/>
            <w:tcBorders>
              <w:left w:val="single" w:sz="18" w:space="0" w:color="auto"/>
            </w:tcBorders>
            <w:shd w:val="clear" w:color="auto" w:fill="auto"/>
            <w:vAlign w:val="center"/>
          </w:tcPr>
          <w:p w14:paraId="18FCE2C9" w14:textId="77777777" w:rsidR="00913A0A" w:rsidRPr="0058047D" w:rsidRDefault="00913A0A" w:rsidP="00F97D54">
            <w:pPr>
              <w:pStyle w:val="TableText"/>
              <w:widowControl w:val="0"/>
              <w:rPr>
                <w:rFonts w:ascii="Tahoma" w:hAnsi="Tahoma" w:cs="Tahoma"/>
                <w:sz w:val="13"/>
              </w:rPr>
            </w:pPr>
          </w:p>
        </w:tc>
        <w:tc>
          <w:tcPr>
            <w:tcW w:w="477" w:type="dxa"/>
            <w:tcBorders>
              <w:right w:val="single" w:sz="18" w:space="0" w:color="auto"/>
            </w:tcBorders>
            <w:shd w:val="clear" w:color="auto" w:fill="auto"/>
            <w:vAlign w:val="center"/>
          </w:tcPr>
          <w:p w14:paraId="3894FF9A" w14:textId="77777777" w:rsidR="00913A0A" w:rsidRPr="0058047D" w:rsidRDefault="00913A0A" w:rsidP="00F97D54">
            <w:pPr>
              <w:pStyle w:val="TableText"/>
              <w:widowControl w:val="0"/>
              <w:rPr>
                <w:rFonts w:ascii="Tahoma" w:hAnsi="Tahoma" w:cs="Tahoma"/>
                <w:sz w:val="13"/>
              </w:rPr>
            </w:pPr>
          </w:p>
        </w:tc>
        <w:tc>
          <w:tcPr>
            <w:tcW w:w="324" w:type="dxa"/>
            <w:tcBorders>
              <w:left w:val="single" w:sz="18" w:space="0" w:color="auto"/>
              <w:right w:val="single" w:sz="18" w:space="0" w:color="auto"/>
            </w:tcBorders>
            <w:shd w:val="clear" w:color="auto" w:fill="auto"/>
            <w:vAlign w:val="center"/>
          </w:tcPr>
          <w:p w14:paraId="471E94D5" w14:textId="77777777" w:rsidR="00913A0A" w:rsidRPr="0058047D" w:rsidRDefault="00913A0A" w:rsidP="00F97D54">
            <w:pPr>
              <w:pStyle w:val="TableText"/>
              <w:widowControl w:val="0"/>
              <w:rPr>
                <w:rFonts w:ascii="Tahoma" w:hAnsi="Tahoma" w:cs="Tahoma"/>
                <w:sz w:val="13"/>
              </w:rPr>
            </w:pPr>
          </w:p>
        </w:tc>
        <w:tc>
          <w:tcPr>
            <w:tcW w:w="655" w:type="dxa"/>
            <w:shd w:val="clear" w:color="auto" w:fill="auto"/>
          </w:tcPr>
          <w:p w14:paraId="7B4079B4" w14:textId="77777777" w:rsidR="00913A0A" w:rsidRPr="0058047D" w:rsidRDefault="00913A0A" w:rsidP="00E27A85">
            <w:pPr>
              <w:pStyle w:val="TableText"/>
              <w:widowControl w:val="0"/>
              <w:spacing w:before="60"/>
              <w:rPr>
                <w:rFonts w:ascii="Tahoma" w:hAnsi="Tahoma" w:cs="Tahoma"/>
                <w:sz w:val="13"/>
              </w:rPr>
            </w:pPr>
          </w:p>
        </w:tc>
        <w:tc>
          <w:tcPr>
            <w:tcW w:w="504" w:type="dxa"/>
            <w:shd w:val="clear" w:color="auto" w:fill="auto"/>
            <w:vAlign w:val="center"/>
          </w:tcPr>
          <w:p w14:paraId="7389F5C9" w14:textId="77777777" w:rsidR="00913A0A" w:rsidRPr="0058047D" w:rsidRDefault="00913A0A" w:rsidP="00F97D54">
            <w:pPr>
              <w:pStyle w:val="TableText"/>
              <w:widowControl w:val="0"/>
              <w:rPr>
                <w:rFonts w:ascii="Tahoma" w:hAnsi="Tahoma" w:cs="Tahoma"/>
                <w:color w:val="000000"/>
                <w:sz w:val="13"/>
              </w:rPr>
            </w:pPr>
          </w:p>
        </w:tc>
        <w:tc>
          <w:tcPr>
            <w:tcW w:w="405" w:type="dxa"/>
          </w:tcPr>
          <w:p w14:paraId="0EA7028E" w14:textId="77777777" w:rsidR="00913A0A" w:rsidRPr="0058047D" w:rsidRDefault="00913A0A" w:rsidP="00F97D54">
            <w:pPr>
              <w:pStyle w:val="TableText"/>
              <w:widowControl w:val="0"/>
              <w:rPr>
                <w:rFonts w:ascii="Tahoma" w:hAnsi="Tahoma" w:cs="Tahoma"/>
                <w:color w:val="000000"/>
                <w:sz w:val="13"/>
              </w:rPr>
            </w:pPr>
          </w:p>
        </w:tc>
      </w:tr>
      <w:tr w:rsidR="009323A0" w:rsidRPr="0058047D" w14:paraId="32C7749F" w14:textId="77777777" w:rsidTr="00C86F50">
        <w:trPr>
          <w:gridBefore w:val="1"/>
          <w:wBefore w:w="13" w:type="dxa"/>
          <w:trHeight w:val="278"/>
        </w:trPr>
        <w:tc>
          <w:tcPr>
            <w:tcW w:w="2606" w:type="dxa"/>
            <w:tcBorders>
              <w:bottom w:val="single" w:sz="4" w:space="0" w:color="auto"/>
            </w:tcBorders>
            <w:shd w:val="clear" w:color="auto" w:fill="FABF8F"/>
            <w:vAlign w:val="center"/>
          </w:tcPr>
          <w:p w14:paraId="4C7501CC" w14:textId="77777777" w:rsidR="00913A0A" w:rsidRPr="0058047D" w:rsidRDefault="00913A0A" w:rsidP="00E13599">
            <w:pPr>
              <w:pStyle w:val="Heading2"/>
              <w:keepNext/>
              <w:spacing w:before="20" w:after="20"/>
              <w:ind w:left="0"/>
              <w:rPr>
                <w:rFonts w:ascii="Tahoma" w:hAnsi="Tahoma" w:cs="Tahoma"/>
                <w:b w:val="0"/>
                <w:sz w:val="14"/>
                <w:szCs w:val="14"/>
              </w:rPr>
            </w:pPr>
            <w:bookmarkStart w:id="554" w:name="_Toc371663556"/>
            <w:r w:rsidRPr="0058047D">
              <w:rPr>
                <w:rFonts w:ascii="Tahoma" w:hAnsi="Tahoma" w:cs="Tahoma"/>
                <w:b w:val="0"/>
                <w:sz w:val="14"/>
                <w:szCs w:val="14"/>
              </w:rPr>
              <w:t>Windows Web Server 2008 R2</w:t>
            </w:r>
            <w:bookmarkEnd w:id="554"/>
          </w:p>
        </w:tc>
        <w:tc>
          <w:tcPr>
            <w:tcW w:w="554" w:type="dxa"/>
            <w:tcBorders>
              <w:bottom w:val="single" w:sz="4" w:space="0" w:color="auto"/>
            </w:tcBorders>
            <w:shd w:val="clear" w:color="auto" w:fill="FABF8F"/>
            <w:vAlign w:val="center"/>
          </w:tcPr>
          <w:p w14:paraId="3FD2BE4F" w14:textId="77777777" w:rsidR="00913A0A" w:rsidRPr="0058047D" w:rsidRDefault="00C86F50" w:rsidP="00913588">
            <w:pPr>
              <w:pStyle w:val="TableText"/>
              <w:keepNext/>
              <w:widowControl w:val="0"/>
              <w:rPr>
                <w:rStyle w:val="EndnoteReference"/>
                <w:b w:val="0"/>
                <w:sz w:val="13"/>
                <w:szCs w:val="13"/>
                <w:u w:val="single"/>
              </w:rPr>
            </w:pPr>
            <w:hyperlink w:anchor="_121_Windows_Web" w:history="1">
              <w:hyperlink w:anchor="_114_Windows_Small" w:history="1">
                <w:r w:rsidR="00BF5FC6" w:rsidRPr="0058047D">
                  <w:rPr>
                    <w:rStyle w:val="Hyperlink"/>
                    <w:b/>
                    <w:sz w:val="13"/>
                    <w:szCs w:val="13"/>
                  </w:rPr>
                  <w:t>121</w:t>
                </w:r>
              </w:hyperlink>
            </w:hyperlink>
          </w:p>
        </w:tc>
        <w:tc>
          <w:tcPr>
            <w:tcW w:w="516" w:type="dxa"/>
            <w:tcBorders>
              <w:bottom w:val="single" w:sz="4" w:space="0" w:color="auto"/>
            </w:tcBorders>
            <w:shd w:val="clear" w:color="auto" w:fill="FABF8F"/>
            <w:vAlign w:val="center"/>
          </w:tcPr>
          <w:p w14:paraId="12DBB651" w14:textId="77777777" w:rsidR="00913A0A" w:rsidRPr="0058047D" w:rsidRDefault="00913A0A" w:rsidP="00E13599">
            <w:pPr>
              <w:pStyle w:val="TableText"/>
              <w:keepNext/>
              <w:widowControl w:val="0"/>
              <w:spacing w:before="120"/>
              <w:rPr>
                <w:rFonts w:ascii="Tahoma" w:hAnsi="Tahoma" w:cs="Tahoma"/>
                <w:color w:val="000000"/>
                <w:sz w:val="13"/>
              </w:rPr>
            </w:pPr>
            <w:r w:rsidRPr="0058047D">
              <w:rPr>
                <w:rFonts w:ascii="Tahoma" w:hAnsi="Tahoma" w:cs="Tahoma"/>
                <w:color w:val="000000"/>
                <w:sz w:val="13"/>
              </w:rPr>
              <w:t>08/09</w:t>
            </w:r>
          </w:p>
        </w:tc>
        <w:tc>
          <w:tcPr>
            <w:tcW w:w="358" w:type="dxa"/>
            <w:tcBorders>
              <w:bottom w:val="single" w:sz="4" w:space="0" w:color="auto"/>
              <w:right w:val="single" w:sz="18" w:space="0" w:color="auto"/>
            </w:tcBorders>
            <w:shd w:val="clear" w:color="auto" w:fill="FABF8F"/>
            <w:vAlign w:val="center"/>
          </w:tcPr>
          <w:p w14:paraId="11EDFE32" w14:textId="77777777" w:rsidR="00913A0A" w:rsidRPr="0058047D" w:rsidRDefault="00913A0A" w:rsidP="00E13599">
            <w:pPr>
              <w:pStyle w:val="TableText"/>
              <w:keepNext/>
              <w:widowControl w:val="0"/>
              <w:rPr>
                <w:rFonts w:ascii="Tahoma" w:hAnsi="Tahoma" w:cs="Tahoma"/>
                <w:color w:val="000000"/>
                <w:sz w:val="13"/>
              </w:rPr>
            </w:pPr>
            <w:r w:rsidRPr="0058047D">
              <w:rPr>
                <w:rFonts w:ascii="Tahoma" w:hAnsi="Tahoma" w:cs="Tahoma"/>
                <w:color w:val="000000"/>
                <w:sz w:val="13"/>
              </w:rPr>
              <w:t>SRV</w:t>
            </w:r>
          </w:p>
        </w:tc>
        <w:tc>
          <w:tcPr>
            <w:tcW w:w="330" w:type="dxa"/>
            <w:tcBorders>
              <w:left w:val="single" w:sz="18" w:space="0" w:color="auto"/>
              <w:bottom w:val="single" w:sz="4" w:space="0" w:color="auto"/>
            </w:tcBorders>
            <w:shd w:val="clear" w:color="auto" w:fill="FABF8F"/>
            <w:vAlign w:val="center"/>
          </w:tcPr>
          <w:p w14:paraId="723D838D" w14:textId="77777777" w:rsidR="00913A0A" w:rsidRPr="0058047D" w:rsidRDefault="00913A0A" w:rsidP="00E13599">
            <w:pPr>
              <w:pStyle w:val="TableText"/>
              <w:keepNext/>
              <w:widowControl w:val="0"/>
              <w:rPr>
                <w:rFonts w:ascii="Tahoma" w:hAnsi="Tahoma" w:cs="Tahoma"/>
                <w:sz w:val="13"/>
              </w:rPr>
            </w:pPr>
          </w:p>
        </w:tc>
        <w:tc>
          <w:tcPr>
            <w:tcW w:w="324" w:type="dxa"/>
            <w:tcBorders>
              <w:bottom w:val="single" w:sz="4" w:space="0" w:color="auto"/>
            </w:tcBorders>
            <w:shd w:val="clear" w:color="auto" w:fill="FABF8F"/>
            <w:vAlign w:val="center"/>
          </w:tcPr>
          <w:p w14:paraId="3CECABB0" w14:textId="77777777" w:rsidR="00913A0A" w:rsidRPr="0058047D" w:rsidRDefault="00913A0A" w:rsidP="00E13599">
            <w:pPr>
              <w:pStyle w:val="TableText"/>
              <w:keepNext/>
              <w:widowControl w:val="0"/>
              <w:rPr>
                <w:rFonts w:ascii="Tahoma" w:hAnsi="Tahoma" w:cs="Tahoma"/>
                <w:sz w:val="13"/>
              </w:rPr>
            </w:pPr>
          </w:p>
        </w:tc>
        <w:tc>
          <w:tcPr>
            <w:tcW w:w="366" w:type="dxa"/>
            <w:tcBorders>
              <w:bottom w:val="single" w:sz="4" w:space="0" w:color="auto"/>
            </w:tcBorders>
            <w:shd w:val="clear" w:color="auto" w:fill="FABF8F"/>
            <w:vAlign w:val="center"/>
          </w:tcPr>
          <w:p w14:paraId="5E835554" w14:textId="77777777" w:rsidR="00913A0A" w:rsidRPr="0058047D" w:rsidRDefault="00913A0A" w:rsidP="00E13599">
            <w:pPr>
              <w:pStyle w:val="TableText"/>
              <w:keepNext/>
              <w:widowControl w:val="0"/>
              <w:rPr>
                <w:rFonts w:ascii="Tahoma" w:hAnsi="Tahoma" w:cs="Tahoma"/>
                <w:sz w:val="13"/>
              </w:rPr>
            </w:pPr>
          </w:p>
        </w:tc>
        <w:tc>
          <w:tcPr>
            <w:tcW w:w="456" w:type="dxa"/>
            <w:gridSpan w:val="2"/>
            <w:tcBorders>
              <w:bottom w:val="single" w:sz="4" w:space="0" w:color="auto"/>
            </w:tcBorders>
            <w:shd w:val="clear" w:color="auto" w:fill="FABF8F"/>
            <w:vAlign w:val="center"/>
          </w:tcPr>
          <w:p w14:paraId="6F6D61E9" w14:textId="77777777" w:rsidR="00913A0A" w:rsidRPr="0058047D" w:rsidRDefault="00913A0A"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52522526" w14:textId="77777777" w:rsidR="00913A0A" w:rsidRPr="0058047D" w:rsidRDefault="00913A0A"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3468063C" w14:textId="77777777" w:rsidR="00913A0A" w:rsidRPr="0058047D" w:rsidRDefault="00913A0A" w:rsidP="00E13599">
            <w:pPr>
              <w:pStyle w:val="TableText"/>
              <w:keepNext/>
              <w:widowControl w:val="0"/>
              <w:rPr>
                <w:rFonts w:ascii="Tahoma" w:hAnsi="Tahoma" w:cs="Tahoma"/>
                <w:sz w:val="13"/>
              </w:rPr>
            </w:pPr>
          </w:p>
        </w:tc>
        <w:tc>
          <w:tcPr>
            <w:tcW w:w="336" w:type="dxa"/>
            <w:tcBorders>
              <w:bottom w:val="single" w:sz="4" w:space="0" w:color="auto"/>
              <w:right w:val="single" w:sz="18" w:space="0" w:color="auto"/>
            </w:tcBorders>
            <w:shd w:val="clear" w:color="auto" w:fill="FABF8F"/>
            <w:vAlign w:val="center"/>
          </w:tcPr>
          <w:p w14:paraId="15C40710" w14:textId="77777777" w:rsidR="00913A0A" w:rsidRPr="0058047D" w:rsidRDefault="00913A0A" w:rsidP="00E13599">
            <w:pPr>
              <w:pStyle w:val="TableText"/>
              <w:keepN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14:paraId="1C4FAD6F" w14:textId="77777777" w:rsidR="00913A0A" w:rsidRPr="0058047D" w:rsidRDefault="00913A0A"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37BD2CC7" w14:textId="77777777" w:rsidR="00913A0A" w:rsidRPr="0058047D" w:rsidRDefault="00913A0A" w:rsidP="00E13599">
            <w:pPr>
              <w:pStyle w:val="TableText"/>
              <w:keepNext/>
              <w:widowControl w:val="0"/>
              <w:rPr>
                <w:rFonts w:ascii="Tahoma" w:hAnsi="Tahoma" w:cs="Tahoma"/>
                <w:sz w:val="13"/>
              </w:rPr>
            </w:pPr>
          </w:p>
        </w:tc>
        <w:tc>
          <w:tcPr>
            <w:tcW w:w="414" w:type="dxa"/>
            <w:tcBorders>
              <w:bottom w:val="single" w:sz="4" w:space="0" w:color="auto"/>
              <w:right w:val="single" w:sz="18" w:space="0" w:color="auto"/>
            </w:tcBorders>
            <w:shd w:val="clear" w:color="auto" w:fill="FABF8F"/>
            <w:vAlign w:val="center"/>
          </w:tcPr>
          <w:p w14:paraId="6F6BA3A2" w14:textId="77777777" w:rsidR="00913A0A" w:rsidRPr="0058047D" w:rsidRDefault="00913A0A" w:rsidP="00E13599">
            <w:pPr>
              <w:pStyle w:val="TableText"/>
              <w:keepNext/>
              <w:widowControl w:val="0"/>
              <w:rPr>
                <w:rFonts w:ascii="Tahoma" w:hAnsi="Tahoma" w:cs="Tahoma"/>
                <w:sz w:val="13"/>
              </w:rPr>
            </w:pPr>
          </w:p>
        </w:tc>
        <w:tc>
          <w:tcPr>
            <w:tcW w:w="468" w:type="dxa"/>
            <w:tcBorders>
              <w:left w:val="single" w:sz="18" w:space="0" w:color="auto"/>
              <w:bottom w:val="single" w:sz="4" w:space="0" w:color="auto"/>
            </w:tcBorders>
            <w:shd w:val="clear" w:color="auto" w:fill="FABF8F"/>
            <w:vAlign w:val="center"/>
          </w:tcPr>
          <w:p w14:paraId="0F7179C9" w14:textId="77777777" w:rsidR="00913A0A" w:rsidRPr="0058047D" w:rsidRDefault="00913A0A" w:rsidP="00E13599">
            <w:pPr>
              <w:pStyle w:val="TableText"/>
              <w:keepNext/>
              <w:widowControl w:val="0"/>
              <w:rPr>
                <w:rFonts w:ascii="Tahoma" w:hAnsi="Tahoma" w:cs="Tahoma"/>
                <w:sz w:val="13"/>
              </w:rPr>
            </w:pPr>
          </w:p>
        </w:tc>
        <w:tc>
          <w:tcPr>
            <w:tcW w:w="477" w:type="dxa"/>
            <w:tcBorders>
              <w:bottom w:val="single" w:sz="4" w:space="0" w:color="auto"/>
              <w:right w:val="single" w:sz="18" w:space="0" w:color="auto"/>
            </w:tcBorders>
            <w:shd w:val="clear" w:color="auto" w:fill="FABF8F"/>
            <w:vAlign w:val="center"/>
          </w:tcPr>
          <w:p w14:paraId="0F59D848" w14:textId="77777777" w:rsidR="00913A0A" w:rsidRPr="0058047D" w:rsidRDefault="00913A0A" w:rsidP="00E13599">
            <w:pPr>
              <w:pStyle w:val="TableText"/>
              <w:keepN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FABF8F"/>
            <w:vAlign w:val="center"/>
          </w:tcPr>
          <w:p w14:paraId="04CB07D8" w14:textId="77777777" w:rsidR="00913A0A" w:rsidRPr="0058047D" w:rsidRDefault="00913A0A" w:rsidP="00E13599">
            <w:pPr>
              <w:pStyle w:val="TableText"/>
              <w:keepNext/>
              <w:widowControl w:val="0"/>
              <w:rPr>
                <w:rFonts w:ascii="Tahoma" w:hAnsi="Tahoma" w:cs="Tahoma"/>
                <w:sz w:val="13"/>
              </w:rPr>
            </w:pPr>
          </w:p>
        </w:tc>
        <w:tc>
          <w:tcPr>
            <w:tcW w:w="655" w:type="dxa"/>
            <w:tcBorders>
              <w:bottom w:val="single" w:sz="4" w:space="0" w:color="auto"/>
            </w:tcBorders>
            <w:shd w:val="clear" w:color="auto" w:fill="FABF8F"/>
            <w:vAlign w:val="center"/>
          </w:tcPr>
          <w:p w14:paraId="7BF89A18" w14:textId="77777777" w:rsidR="00913A0A" w:rsidRPr="0058047D" w:rsidRDefault="00913A0A" w:rsidP="00E13599">
            <w:pPr>
              <w:pStyle w:val="TableText"/>
              <w:keepNext/>
              <w:widowControl w:val="0"/>
              <w:rPr>
                <w:rFonts w:ascii="Tahoma" w:hAnsi="Tahoma" w:cs="Tahoma"/>
                <w:color w:val="000000"/>
                <w:sz w:val="13"/>
              </w:rPr>
            </w:pPr>
          </w:p>
        </w:tc>
        <w:tc>
          <w:tcPr>
            <w:tcW w:w="504" w:type="dxa"/>
            <w:tcBorders>
              <w:bottom w:val="single" w:sz="4" w:space="0" w:color="auto"/>
            </w:tcBorders>
            <w:shd w:val="clear" w:color="auto" w:fill="FABF8F"/>
            <w:vAlign w:val="center"/>
          </w:tcPr>
          <w:p w14:paraId="0B3C8681" w14:textId="77777777" w:rsidR="00913A0A" w:rsidRPr="0058047D" w:rsidRDefault="00913A0A" w:rsidP="00E13599">
            <w:pPr>
              <w:pStyle w:val="TableText"/>
              <w:keepNext/>
              <w:widowControl w:val="0"/>
              <w:rPr>
                <w:rFonts w:ascii="Tahoma" w:hAnsi="Tahoma" w:cs="Tahoma"/>
                <w:color w:val="000000"/>
                <w:sz w:val="13"/>
              </w:rPr>
            </w:pPr>
          </w:p>
        </w:tc>
        <w:tc>
          <w:tcPr>
            <w:tcW w:w="405" w:type="dxa"/>
            <w:tcBorders>
              <w:bottom w:val="single" w:sz="4" w:space="0" w:color="auto"/>
            </w:tcBorders>
            <w:shd w:val="clear" w:color="auto" w:fill="FABF8F"/>
          </w:tcPr>
          <w:p w14:paraId="2C00B90A" w14:textId="77777777" w:rsidR="00913A0A" w:rsidRPr="0058047D" w:rsidRDefault="00913A0A" w:rsidP="00E13599">
            <w:pPr>
              <w:pStyle w:val="TableText"/>
              <w:keepNext/>
              <w:widowControl w:val="0"/>
              <w:rPr>
                <w:rFonts w:ascii="Tahoma" w:hAnsi="Tahoma" w:cs="Tahoma"/>
                <w:color w:val="000000"/>
                <w:sz w:val="13"/>
              </w:rPr>
            </w:pPr>
          </w:p>
        </w:tc>
      </w:tr>
      <w:tr w:rsidR="009323A0" w:rsidRPr="0058047D" w14:paraId="194240D1" w14:textId="77777777" w:rsidTr="00C86F50">
        <w:trPr>
          <w:gridBefore w:val="1"/>
          <w:wBefore w:w="13" w:type="dxa"/>
          <w:trHeight w:val="145"/>
        </w:trPr>
        <w:tc>
          <w:tcPr>
            <w:tcW w:w="2606" w:type="dxa"/>
            <w:tcBorders>
              <w:bottom w:val="single" w:sz="4" w:space="0" w:color="auto"/>
            </w:tcBorders>
            <w:shd w:val="clear" w:color="auto" w:fill="auto"/>
            <w:vAlign w:val="center"/>
          </w:tcPr>
          <w:p w14:paraId="28D1D63F" w14:textId="77777777" w:rsidR="00913A0A" w:rsidRPr="0058047D" w:rsidRDefault="00913A0A" w:rsidP="002E5D03">
            <w:pPr>
              <w:pStyle w:val="Heading2"/>
              <w:spacing w:before="20" w:after="20"/>
              <w:ind w:left="0"/>
              <w:rPr>
                <w:rFonts w:ascii="Tahoma" w:hAnsi="Tahoma" w:cs="Tahoma"/>
                <w:b w:val="0"/>
                <w:sz w:val="14"/>
                <w:szCs w:val="14"/>
              </w:rPr>
            </w:pPr>
            <w:bookmarkStart w:id="555" w:name="_Toc371663557"/>
            <w:r w:rsidRPr="0058047D">
              <w:rPr>
                <w:rFonts w:ascii="Tahoma" w:hAnsi="Tahoma" w:cs="Tahoma"/>
                <w:b w:val="0"/>
                <w:sz w:val="14"/>
                <w:szCs w:val="14"/>
              </w:rPr>
              <w:t>Yammer Enterprise</w:t>
            </w:r>
            <w:bookmarkEnd w:id="555"/>
          </w:p>
        </w:tc>
        <w:tc>
          <w:tcPr>
            <w:tcW w:w="554" w:type="dxa"/>
            <w:tcBorders>
              <w:bottom w:val="single" w:sz="4" w:space="0" w:color="auto"/>
            </w:tcBorders>
            <w:shd w:val="clear" w:color="auto" w:fill="auto"/>
            <w:vAlign w:val="center"/>
          </w:tcPr>
          <w:p w14:paraId="15150A9A" w14:textId="77777777" w:rsidR="00913A0A" w:rsidRPr="0058047D" w:rsidRDefault="00913A0A" w:rsidP="00370049">
            <w:pPr>
              <w:pStyle w:val="TableText"/>
              <w:widowControl w:val="0"/>
              <w:rPr>
                <w:b/>
                <w:sz w:val="13"/>
                <w:szCs w:val="13"/>
              </w:rPr>
            </w:pPr>
          </w:p>
        </w:tc>
        <w:tc>
          <w:tcPr>
            <w:tcW w:w="516" w:type="dxa"/>
            <w:tcBorders>
              <w:bottom w:val="single" w:sz="4" w:space="0" w:color="auto"/>
            </w:tcBorders>
            <w:shd w:val="clear" w:color="auto" w:fill="auto"/>
          </w:tcPr>
          <w:p w14:paraId="63447602" w14:textId="77777777" w:rsidR="00913A0A" w:rsidRPr="0058047D" w:rsidRDefault="00913A0A" w:rsidP="00F97D54">
            <w:pPr>
              <w:pStyle w:val="TableText"/>
              <w:widowControl w:val="0"/>
              <w:spacing w:before="120"/>
              <w:rPr>
                <w:rFonts w:ascii="Tahoma" w:hAnsi="Tahoma" w:cs="Tahoma"/>
                <w:sz w:val="13"/>
              </w:rPr>
            </w:pPr>
            <w:r w:rsidRPr="0058047D">
              <w:rPr>
                <w:rFonts w:ascii="Tahoma" w:hAnsi="Tahoma" w:cs="Tahoma"/>
                <w:sz w:val="13"/>
              </w:rPr>
              <w:t>03/13</w:t>
            </w:r>
          </w:p>
        </w:tc>
        <w:tc>
          <w:tcPr>
            <w:tcW w:w="358" w:type="dxa"/>
            <w:tcBorders>
              <w:bottom w:val="single" w:sz="4" w:space="0" w:color="auto"/>
              <w:right w:val="single" w:sz="18" w:space="0" w:color="auto"/>
            </w:tcBorders>
            <w:shd w:val="clear" w:color="auto" w:fill="auto"/>
            <w:vAlign w:val="center"/>
          </w:tcPr>
          <w:p w14:paraId="5470102E" w14:textId="77777777" w:rsidR="00913A0A" w:rsidRPr="0058047D" w:rsidRDefault="00913A0A" w:rsidP="00F97D54">
            <w:pPr>
              <w:pStyle w:val="TableText"/>
              <w:widowControl w:val="0"/>
              <w:rPr>
                <w:rFonts w:ascii="Tahoma" w:hAnsi="Tahoma" w:cs="Tahoma"/>
                <w:sz w:val="13"/>
              </w:rPr>
            </w:pPr>
            <w:r w:rsidRPr="0058047D">
              <w:rPr>
                <w:rFonts w:ascii="Tahoma" w:hAnsi="Tahoma" w:cs="Tahoma"/>
                <w:sz w:val="13"/>
              </w:rPr>
              <w:t>SRV</w:t>
            </w:r>
          </w:p>
        </w:tc>
        <w:tc>
          <w:tcPr>
            <w:tcW w:w="330" w:type="dxa"/>
            <w:tcBorders>
              <w:left w:val="single" w:sz="18" w:space="0" w:color="auto"/>
              <w:bottom w:val="single" w:sz="4" w:space="0" w:color="auto"/>
            </w:tcBorders>
            <w:shd w:val="clear" w:color="auto" w:fill="auto"/>
            <w:vAlign w:val="center"/>
          </w:tcPr>
          <w:p w14:paraId="6A298C4D" w14:textId="77777777" w:rsidR="00913A0A" w:rsidRPr="0058047D" w:rsidRDefault="00913A0A" w:rsidP="00F97D54">
            <w:pPr>
              <w:pStyle w:val="TableText"/>
              <w:widowControl w:val="0"/>
              <w:rPr>
                <w:rFonts w:ascii="Tahoma" w:hAnsi="Tahoma" w:cs="Tahoma"/>
                <w:color w:val="000000"/>
                <w:sz w:val="13"/>
              </w:rPr>
            </w:pPr>
          </w:p>
        </w:tc>
        <w:tc>
          <w:tcPr>
            <w:tcW w:w="324" w:type="dxa"/>
            <w:tcBorders>
              <w:bottom w:val="single" w:sz="4" w:space="0" w:color="auto"/>
            </w:tcBorders>
            <w:shd w:val="clear" w:color="auto" w:fill="auto"/>
            <w:vAlign w:val="center"/>
          </w:tcPr>
          <w:p w14:paraId="56F84CC6" w14:textId="77777777" w:rsidR="00913A0A" w:rsidRPr="0058047D" w:rsidRDefault="00913A0A" w:rsidP="00F97D54">
            <w:pPr>
              <w:pStyle w:val="TableText"/>
              <w:widowControl w:val="0"/>
              <w:rPr>
                <w:rFonts w:ascii="Tahoma" w:hAnsi="Tahoma" w:cs="Tahoma"/>
                <w:color w:val="000000"/>
                <w:sz w:val="13"/>
              </w:rPr>
            </w:pPr>
          </w:p>
        </w:tc>
        <w:tc>
          <w:tcPr>
            <w:tcW w:w="366" w:type="dxa"/>
            <w:tcBorders>
              <w:bottom w:val="single" w:sz="4" w:space="0" w:color="auto"/>
            </w:tcBorders>
            <w:shd w:val="clear" w:color="auto" w:fill="auto"/>
            <w:vAlign w:val="center"/>
          </w:tcPr>
          <w:p w14:paraId="0EA629DD" w14:textId="77777777" w:rsidR="00913A0A" w:rsidRPr="0058047D" w:rsidRDefault="00913A0A" w:rsidP="00F97D54">
            <w:pPr>
              <w:pStyle w:val="TableText"/>
              <w:widowControl w:val="0"/>
              <w:rPr>
                <w:rFonts w:ascii="Tahoma" w:hAnsi="Tahoma" w:cs="Tahoma"/>
                <w:color w:val="000000"/>
                <w:sz w:val="13"/>
              </w:rPr>
            </w:pPr>
          </w:p>
        </w:tc>
        <w:tc>
          <w:tcPr>
            <w:tcW w:w="456" w:type="dxa"/>
            <w:gridSpan w:val="2"/>
            <w:tcBorders>
              <w:bottom w:val="single" w:sz="4" w:space="0" w:color="auto"/>
            </w:tcBorders>
            <w:shd w:val="clear" w:color="auto" w:fill="auto"/>
            <w:vAlign w:val="center"/>
          </w:tcPr>
          <w:p w14:paraId="17A0C646" w14:textId="77777777" w:rsidR="00913A0A" w:rsidRPr="0058047D" w:rsidRDefault="00913A0A"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DE32DBF" w14:textId="77777777" w:rsidR="00913A0A" w:rsidRPr="0058047D" w:rsidRDefault="00913A0A"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F5EA258" w14:textId="77777777" w:rsidR="00913A0A" w:rsidRPr="0058047D" w:rsidRDefault="00913A0A" w:rsidP="00F97D54">
            <w:pPr>
              <w:pStyle w:val="TableText"/>
              <w:widowControl w:val="0"/>
              <w:rPr>
                <w:rFonts w:ascii="Tahoma" w:hAnsi="Tahoma" w:cs="Tahoma"/>
                <w:color w:val="000000"/>
                <w:sz w:val="13"/>
              </w:rPr>
            </w:pPr>
          </w:p>
        </w:tc>
        <w:tc>
          <w:tcPr>
            <w:tcW w:w="336" w:type="dxa"/>
            <w:tcBorders>
              <w:bottom w:val="single" w:sz="4" w:space="0" w:color="auto"/>
              <w:right w:val="single" w:sz="18" w:space="0" w:color="auto"/>
            </w:tcBorders>
            <w:shd w:val="clear" w:color="auto" w:fill="auto"/>
            <w:vAlign w:val="center"/>
          </w:tcPr>
          <w:p w14:paraId="4C86FF62" w14:textId="77777777" w:rsidR="00913A0A" w:rsidRPr="0058047D" w:rsidRDefault="00913A0A" w:rsidP="00F97D54">
            <w:pPr>
              <w:pStyle w:val="TableText"/>
              <w:widowControl w:val="0"/>
              <w:rPr>
                <w:rFonts w:ascii="Tahoma" w:hAnsi="Tahoma" w:cs="Tahoma"/>
                <w:color w:val="000000"/>
                <w:sz w:val="13"/>
              </w:rPr>
            </w:pPr>
          </w:p>
        </w:tc>
        <w:tc>
          <w:tcPr>
            <w:tcW w:w="477" w:type="dxa"/>
            <w:tcBorders>
              <w:left w:val="single" w:sz="18" w:space="0" w:color="auto"/>
              <w:bottom w:val="single" w:sz="4" w:space="0" w:color="auto"/>
            </w:tcBorders>
            <w:shd w:val="clear" w:color="auto" w:fill="auto"/>
            <w:vAlign w:val="center"/>
          </w:tcPr>
          <w:p w14:paraId="72001E47" w14:textId="77777777" w:rsidR="00913A0A" w:rsidRPr="0058047D" w:rsidRDefault="00913A0A"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996752B" w14:textId="77777777" w:rsidR="00913A0A" w:rsidRPr="0058047D" w:rsidRDefault="00913A0A" w:rsidP="00F97D54">
            <w:pPr>
              <w:pStyle w:val="TableText"/>
              <w:widowControl w:val="0"/>
              <w:rPr>
                <w:rFonts w:ascii="Tahoma" w:hAnsi="Tahoma" w:cs="Tahoma"/>
                <w:sz w:val="13"/>
              </w:rPr>
            </w:pPr>
          </w:p>
        </w:tc>
        <w:tc>
          <w:tcPr>
            <w:tcW w:w="414" w:type="dxa"/>
            <w:tcBorders>
              <w:bottom w:val="single" w:sz="4" w:space="0" w:color="auto"/>
              <w:right w:val="single" w:sz="18" w:space="0" w:color="auto"/>
            </w:tcBorders>
            <w:shd w:val="clear" w:color="auto" w:fill="auto"/>
            <w:vAlign w:val="center"/>
          </w:tcPr>
          <w:p w14:paraId="6C19B155" w14:textId="77777777" w:rsidR="00913A0A" w:rsidRPr="0058047D" w:rsidRDefault="00913A0A" w:rsidP="00F97D54">
            <w:pPr>
              <w:pStyle w:val="TableText"/>
              <w:widowControl w:val="0"/>
              <w:rPr>
                <w:rFonts w:ascii="Tahoma" w:hAnsi="Tahoma" w:cs="Tahoma"/>
                <w:sz w:val="13"/>
              </w:rPr>
            </w:pPr>
          </w:p>
        </w:tc>
        <w:tc>
          <w:tcPr>
            <w:tcW w:w="468" w:type="dxa"/>
            <w:tcBorders>
              <w:left w:val="single" w:sz="18" w:space="0" w:color="auto"/>
              <w:bottom w:val="single" w:sz="4" w:space="0" w:color="auto"/>
            </w:tcBorders>
            <w:shd w:val="clear" w:color="auto" w:fill="auto"/>
            <w:vAlign w:val="center"/>
          </w:tcPr>
          <w:p w14:paraId="30B50B5B" w14:textId="77777777" w:rsidR="00913A0A" w:rsidRPr="0058047D" w:rsidRDefault="00913A0A" w:rsidP="00F97D54">
            <w:pPr>
              <w:pStyle w:val="TableText"/>
              <w:widowControl w:val="0"/>
              <w:rPr>
                <w:rFonts w:ascii="Tahoma" w:hAnsi="Tahoma" w:cs="Tahoma"/>
                <w:sz w:val="13"/>
              </w:rPr>
            </w:pPr>
          </w:p>
        </w:tc>
        <w:tc>
          <w:tcPr>
            <w:tcW w:w="477" w:type="dxa"/>
            <w:tcBorders>
              <w:bottom w:val="single" w:sz="4" w:space="0" w:color="auto"/>
              <w:right w:val="single" w:sz="18" w:space="0" w:color="auto"/>
            </w:tcBorders>
            <w:shd w:val="clear" w:color="auto" w:fill="auto"/>
            <w:vAlign w:val="center"/>
          </w:tcPr>
          <w:p w14:paraId="2C81771B" w14:textId="77777777" w:rsidR="00913A0A" w:rsidRPr="0058047D" w:rsidRDefault="00913A0A" w:rsidP="00F97D54">
            <w:pPr>
              <w:pStyle w:val="TableText"/>
              <w:widowControl w:val="0"/>
              <w:rPr>
                <w:rFonts w:ascii="Tahoma" w:hAnsi="Tahoma" w:cs="Tahoma"/>
                <w:sz w:val="13"/>
              </w:rPr>
            </w:pPr>
          </w:p>
        </w:tc>
        <w:tc>
          <w:tcPr>
            <w:tcW w:w="324" w:type="dxa"/>
            <w:tcBorders>
              <w:left w:val="single" w:sz="18" w:space="0" w:color="auto"/>
              <w:bottom w:val="single" w:sz="4" w:space="0" w:color="auto"/>
              <w:right w:val="single" w:sz="18" w:space="0" w:color="auto"/>
            </w:tcBorders>
            <w:shd w:val="clear" w:color="auto" w:fill="auto"/>
            <w:vAlign w:val="center"/>
          </w:tcPr>
          <w:p w14:paraId="7DC30080" w14:textId="77777777" w:rsidR="00913A0A" w:rsidRPr="0058047D" w:rsidRDefault="00913A0A" w:rsidP="00F97D54">
            <w:pPr>
              <w:pStyle w:val="TableText"/>
              <w:widowControl w:val="0"/>
              <w:rPr>
                <w:rFonts w:ascii="Tahoma" w:hAnsi="Tahoma" w:cs="Tahoma"/>
                <w:sz w:val="13"/>
              </w:rPr>
            </w:pPr>
          </w:p>
        </w:tc>
        <w:tc>
          <w:tcPr>
            <w:tcW w:w="655" w:type="dxa"/>
            <w:tcBorders>
              <w:bottom w:val="single" w:sz="4" w:space="0" w:color="auto"/>
            </w:tcBorders>
            <w:shd w:val="clear" w:color="auto" w:fill="auto"/>
          </w:tcPr>
          <w:p w14:paraId="3CF72975" w14:textId="77777777" w:rsidR="00913A0A" w:rsidRPr="0058047D" w:rsidRDefault="00913A0A" w:rsidP="00E27A85">
            <w:pPr>
              <w:pStyle w:val="TableText"/>
              <w:widowControl w:val="0"/>
              <w:spacing w:before="60"/>
              <w:rPr>
                <w:rFonts w:ascii="Tahoma" w:hAnsi="Tahoma" w:cs="Tahoma"/>
                <w:sz w:val="13"/>
              </w:rPr>
            </w:pPr>
            <w:r w:rsidRPr="0058047D">
              <w:rPr>
                <w:rFonts w:ascii="Tahoma" w:hAnsi="Tahoma" w:cs="Tahoma"/>
                <w:sz w:val="13"/>
              </w:rPr>
              <w:t>A</w:t>
            </w:r>
          </w:p>
        </w:tc>
        <w:tc>
          <w:tcPr>
            <w:tcW w:w="504" w:type="dxa"/>
            <w:tcBorders>
              <w:bottom w:val="single" w:sz="4" w:space="0" w:color="auto"/>
            </w:tcBorders>
            <w:shd w:val="clear" w:color="auto" w:fill="auto"/>
            <w:vAlign w:val="center"/>
          </w:tcPr>
          <w:p w14:paraId="70FE4A30" w14:textId="77777777" w:rsidR="00913A0A" w:rsidRPr="0058047D" w:rsidRDefault="00913A0A" w:rsidP="00F97D54">
            <w:pPr>
              <w:pStyle w:val="TableText"/>
              <w:widowControl w:val="0"/>
              <w:rPr>
                <w:rFonts w:ascii="Tahoma" w:hAnsi="Tahoma" w:cs="Tahoma"/>
                <w:color w:val="000000"/>
                <w:sz w:val="13"/>
              </w:rPr>
            </w:pPr>
          </w:p>
        </w:tc>
        <w:tc>
          <w:tcPr>
            <w:tcW w:w="405" w:type="dxa"/>
            <w:tcBorders>
              <w:bottom w:val="single" w:sz="4" w:space="0" w:color="auto"/>
            </w:tcBorders>
          </w:tcPr>
          <w:p w14:paraId="667107B9" w14:textId="77777777" w:rsidR="00913A0A" w:rsidRPr="0058047D" w:rsidRDefault="00913A0A" w:rsidP="00F97D54">
            <w:pPr>
              <w:pStyle w:val="TableText"/>
              <w:widowControl w:val="0"/>
              <w:rPr>
                <w:rFonts w:ascii="Tahoma" w:hAnsi="Tahoma" w:cs="Tahoma"/>
                <w:color w:val="000000"/>
                <w:sz w:val="13"/>
              </w:rPr>
            </w:pPr>
          </w:p>
        </w:tc>
      </w:tr>
    </w:tbl>
    <w:p w14:paraId="1DBD4807" w14:textId="77777777" w:rsidR="00612FCC" w:rsidRPr="0058047D" w:rsidRDefault="00E077BC" w:rsidP="00652B91">
      <w:bookmarkStart w:id="556" w:name="_Toc349586123"/>
      <w:bookmarkStart w:id="557" w:name="_Toc349586654"/>
      <w:bookmarkStart w:id="558" w:name="_Toc354459730"/>
      <w:bookmarkStart w:id="559" w:name="_Toc336338167"/>
      <w:r w:rsidRPr="0058047D">
        <w:rPr>
          <w:noProof/>
          <w:sz w:val="14"/>
        </w:rPr>
        <mc:AlternateContent>
          <mc:Choice Requires="wps">
            <w:drawing>
              <wp:anchor distT="0" distB="0" distL="114300" distR="114300" simplePos="0" relativeHeight="251658241" behindDoc="0" locked="0" layoutInCell="1" allowOverlap="1" wp14:anchorId="25CE547E" wp14:editId="778C1ABF">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69A54F" w14:textId="77777777" w:rsidR="00C86F50" w:rsidRPr="001B5647" w:rsidRDefault="00C86F50" w:rsidP="00C8780F">
                            <w:pPr>
                              <w:rPr>
                                <w:rFonts w:cs="Tahoma"/>
                                <w:i/>
                                <w:color w:val="000000"/>
                                <w:sz w:val="14"/>
                                <w:szCs w:val="14"/>
                              </w:rPr>
                            </w:pPr>
                            <w:r w:rsidRPr="001B5647">
                              <w:rPr>
                                <w:rFonts w:cs="Tahoma"/>
                                <w:i/>
                                <w:color w:val="000000"/>
                                <w:sz w:val="14"/>
                                <w:szCs w:val="14"/>
                              </w:rPr>
                              <w:t>Nota: se la cella del prodotto è vuota significa che il prodotto non è attualmente offerto nel programma.</w:t>
                            </w:r>
                          </w:p>
                          <w:p w14:paraId="0CF79B8C" w14:textId="77777777" w:rsidR="00C86F50" w:rsidRPr="001B5647" w:rsidRDefault="00C86F50" w:rsidP="00C8780F">
                            <w:pPr>
                              <w:rPr>
                                <w:rFonts w:cs="Tahoma"/>
                                <w:i/>
                                <w:color w:val="000000"/>
                                <w:sz w:val="14"/>
                                <w:szCs w:val="14"/>
                              </w:rPr>
                            </w:pPr>
                            <w:r w:rsidRPr="001B5647">
                              <w:rPr>
                                <w:rFonts w:cs="Tahoma"/>
                                <w:i/>
                                <w:color w:val="000000"/>
                                <w:sz w:val="14"/>
                                <w:szCs w:val="14"/>
                              </w:rPr>
                              <w:t>*Per quanto riguarda Select Plus verranno utilizzati solo i valori "L" e tre anni per "L&amp;SA" / "SA".</w:t>
                            </w:r>
                          </w:p>
                          <w:p w14:paraId="12170727" w14:textId="77777777" w:rsidR="00C86F50" w:rsidRDefault="00C86F50"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CE547E" id="Text Box 59" o:spid="_x0000_s1029" type="#_x0000_t202" style="position:absolute;margin-left:-26.1pt;margin-top:9.25pt;width:515.55pt;height:39.7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14:paraId="4169A54F" w14:textId="77777777" w:rsidR="00C86F50" w:rsidRPr="001B5647" w:rsidRDefault="00C86F50" w:rsidP="00C8780F">
                      <w:pPr>
                        <w:rPr>
                          <w:rFonts w:cs="Tahoma"/>
                          <w:i/>
                          <w:color w:val="000000"/>
                          <w:sz w:val="14"/>
                          <w:szCs w:val="14"/>
                        </w:rPr>
                      </w:pPr>
                      <w:r w:rsidRPr="001B5647">
                        <w:rPr>
                          <w:rFonts w:cs="Tahoma"/>
                          <w:i/>
                          <w:color w:val="000000"/>
                          <w:sz w:val="14"/>
                          <w:szCs w:val="14"/>
                        </w:rPr>
                        <w:t>Nota: se la cella del prodotto è vuota significa che il prodotto non è attualmente offerto nel programma.</w:t>
                      </w:r>
                    </w:p>
                    <w:p w14:paraId="0CF79B8C" w14:textId="77777777" w:rsidR="00C86F50" w:rsidRPr="001B5647" w:rsidRDefault="00C86F50" w:rsidP="00C8780F">
                      <w:pPr>
                        <w:rPr>
                          <w:rFonts w:cs="Tahoma"/>
                          <w:i/>
                          <w:color w:val="000000"/>
                          <w:sz w:val="14"/>
                          <w:szCs w:val="14"/>
                        </w:rPr>
                      </w:pPr>
                      <w:r w:rsidRPr="001B5647">
                        <w:rPr>
                          <w:rFonts w:cs="Tahoma"/>
                          <w:i/>
                          <w:color w:val="000000"/>
                          <w:sz w:val="14"/>
                          <w:szCs w:val="14"/>
                        </w:rPr>
                        <w:t>*Per quanto riguarda Select Plus verranno utilizzati solo i valori "L" e tre anni per "L&amp;SA" / "SA".</w:t>
                      </w:r>
                    </w:p>
                    <w:p w14:paraId="12170727" w14:textId="77777777" w:rsidR="00C86F50" w:rsidRDefault="00C86F50" w:rsidP="00C8780F"/>
                  </w:txbxContent>
                </v:textbox>
                <w10:wrap type="topAndBottom"/>
              </v:shape>
            </w:pict>
          </mc:Fallback>
        </mc:AlternateContent>
      </w:r>
      <w:bookmarkEnd w:id="556"/>
      <w:bookmarkEnd w:id="557"/>
      <w:bookmarkEnd w:id="558"/>
      <w:r w:rsidR="00BF5FC6" w:rsidRPr="0058047D">
        <w:br w:type="page"/>
      </w:r>
    </w:p>
    <w:p w14:paraId="0180ED91" w14:textId="77777777" w:rsidR="00023FE7" w:rsidRPr="003F471F" w:rsidRDefault="00A33112" w:rsidP="001B5647">
      <w:pPr>
        <w:pStyle w:val="Heading1"/>
        <w:spacing w:before="0"/>
        <w:rPr>
          <w:lang w:val="it-IT"/>
        </w:rPr>
      </w:pPr>
      <w:bookmarkStart w:id="560" w:name="_Toc349586124"/>
      <w:bookmarkStart w:id="561" w:name="_Toc371663558"/>
      <w:r w:rsidRPr="003F471F">
        <w:rPr>
          <w:lang w:val="it-IT"/>
        </w:rPr>
        <w:t>ARTICOLO 1 - Modifiche apportate alla LISTA DEI PRODOTTI</w:t>
      </w:r>
      <w:bookmarkEnd w:id="560"/>
      <w:r w:rsidRPr="003F471F">
        <w:rPr>
          <w:lang w:val="it-IT"/>
        </w:rPr>
        <w:t xml:space="preserve"> negli ultimi 12 mesi</w:t>
      </w:r>
      <w:bookmarkEnd w:id="559"/>
      <w:bookmarkEnd w:id="561"/>
    </w:p>
    <w:p w14:paraId="4A268FEB" w14:textId="77777777" w:rsidR="006342D5" w:rsidRPr="003F471F" w:rsidRDefault="006342D5" w:rsidP="006342D5">
      <w:pPr>
        <w:pStyle w:val="Heading2"/>
        <w:ind w:left="0"/>
        <w:jc w:val="both"/>
        <w:rPr>
          <w:lang w:val="it-IT"/>
        </w:rPr>
      </w:pPr>
      <w:bookmarkStart w:id="562" w:name="_Toc336338168"/>
    </w:p>
    <w:p w14:paraId="446C05B6" w14:textId="77777777" w:rsidR="006342D5" w:rsidRPr="003F471F" w:rsidRDefault="006342D5" w:rsidP="006342D5">
      <w:pPr>
        <w:pStyle w:val="Heading2"/>
        <w:ind w:left="0"/>
        <w:jc w:val="both"/>
        <w:rPr>
          <w:lang w:val="it-IT"/>
        </w:rPr>
      </w:pPr>
      <w:bookmarkStart w:id="563" w:name="_Toc371663559"/>
      <w:r w:rsidRPr="003F471F">
        <w:rPr>
          <w:rFonts w:ascii="Tahoma" w:hAnsi="Tahoma" w:cs="Tahoma"/>
          <w:color w:val="FF6600"/>
          <w:lang w:val="it-IT"/>
        </w:rPr>
        <w:t>MODIFICHE APPORTATE NEL MESE DI DICEMBRE 2013</w:t>
      </w:r>
      <w:bookmarkEnd w:id="563"/>
    </w:p>
    <w:p w14:paraId="7F23E62A" w14:textId="77777777" w:rsidR="006342D5" w:rsidRPr="003F471F" w:rsidRDefault="006342D5" w:rsidP="006342D5">
      <w:pPr>
        <w:spacing w:after="60"/>
        <w:rPr>
          <w:lang w:val="it-IT"/>
        </w:rPr>
      </w:pPr>
    </w:p>
    <w:p w14:paraId="1F41CB4D" w14:textId="77777777" w:rsidR="006342D5" w:rsidRPr="003F471F" w:rsidRDefault="006342D5" w:rsidP="00671EA9">
      <w:pPr>
        <w:rPr>
          <w:lang w:val="it-IT"/>
        </w:rPr>
      </w:pPr>
      <w:r w:rsidRPr="003F471F">
        <w:rPr>
          <w:b/>
          <w:lang w:val="it-IT"/>
        </w:rPr>
        <w:t>Prodotti Aggiunti</w:t>
      </w:r>
    </w:p>
    <w:p w14:paraId="3A210E22" w14:textId="77777777" w:rsidR="006342D5" w:rsidRPr="003F471F" w:rsidRDefault="00981B58" w:rsidP="00671EA9">
      <w:pPr>
        <w:rPr>
          <w:lang w:val="it-IT"/>
        </w:rPr>
      </w:pPr>
      <w:r w:rsidRPr="003F471F">
        <w:rPr>
          <w:lang w:val="it-IT"/>
        </w:rPr>
        <w:t>Visual Studio Deployment 2013 Datacenter</w:t>
      </w:r>
    </w:p>
    <w:p w14:paraId="2127FAEE" w14:textId="77777777" w:rsidR="00981B58" w:rsidRPr="003F471F" w:rsidRDefault="00981B58" w:rsidP="00671EA9">
      <w:pPr>
        <w:rPr>
          <w:lang w:val="it-IT"/>
        </w:rPr>
      </w:pPr>
      <w:r w:rsidRPr="003F471F">
        <w:rPr>
          <w:lang w:val="it-IT"/>
        </w:rPr>
        <w:t>Visual Studio Deployment 2013 Standard</w:t>
      </w:r>
    </w:p>
    <w:p w14:paraId="15D2485E" w14:textId="77777777" w:rsidR="00981B58" w:rsidRPr="003F471F" w:rsidRDefault="00981B58" w:rsidP="006342D5">
      <w:pPr>
        <w:spacing w:after="60"/>
        <w:rPr>
          <w:lang w:val="it-IT"/>
        </w:rPr>
      </w:pPr>
    </w:p>
    <w:p w14:paraId="3F2EF1B3" w14:textId="77777777" w:rsidR="00671EA9" w:rsidRPr="003F471F" w:rsidRDefault="00671EA9" w:rsidP="00671EA9">
      <w:pPr>
        <w:spacing w:after="60"/>
        <w:rPr>
          <w:lang w:val="it-IT"/>
        </w:rPr>
      </w:pPr>
      <w:r w:rsidRPr="003F471F">
        <w:rPr>
          <w:b/>
          <w:lang w:val="it-IT"/>
        </w:rPr>
        <w:t>Promozioni</w:t>
      </w:r>
    </w:p>
    <w:p w14:paraId="06FB38AC" w14:textId="77777777" w:rsidR="00671EA9" w:rsidRPr="003F471F" w:rsidRDefault="00671EA9" w:rsidP="00671EA9">
      <w:pPr>
        <w:rPr>
          <w:lang w:val="it-IT"/>
        </w:rPr>
      </w:pPr>
      <w:r w:rsidRPr="003F471F">
        <w:rPr>
          <w:lang w:val="it-IT"/>
        </w:rPr>
        <w:t>Sono state aggiunte le seguenti promozioni:</w:t>
      </w:r>
    </w:p>
    <w:p w14:paraId="6EB9CD63" w14:textId="77777777" w:rsidR="00671EA9" w:rsidRPr="003F471F" w:rsidRDefault="00671EA9" w:rsidP="00671EA9">
      <w:pPr>
        <w:rPr>
          <w:lang w:val="it-IT"/>
        </w:rPr>
      </w:pPr>
      <w:r w:rsidRPr="003F471F">
        <w:rPr>
          <w:rStyle w:val="Strong"/>
          <w:rFonts w:cs="Tahoma"/>
          <w:b w:val="0"/>
          <w:color w:val="000000" w:themeColor="text1"/>
          <w:szCs w:val="18"/>
          <w:bdr w:val="none" w:sz="0" w:space="0" w:color="auto" w:frame="1"/>
          <w:shd w:val="clear" w:color="auto" w:fill="FFFFFF"/>
          <w:lang w:val="it-IT"/>
        </w:rPr>
        <w:t>Promozione Project e Visio SA Transition</w:t>
      </w:r>
    </w:p>
    <w:p w14:paraId="690943ED" w14:textId="77777777" w:rsidR="00671EA9" w:rsidRPr="003F471F" w:rsidRDefault="00671EA9" w:rsidP="00671EA9">
      <w:pPr>
        <w:rPr>
          <w:lang w:val="it-IT"/>
        </w:rPr>
      </w:pPr>
      <w:r w:rsidRPr="003F471F">
        <w:rPr>
          <w:rStyle w:val="Strong"/>
          <w:rFonts w:cs="Tahoma"/>
          <w:b w:val="0"/>
          <w:color w:val="000000" w:themeColor="text1"/>
          <w:szCs w:val="18"/>
          <w:bdr w:val="none" w:sz="0" w:space="0" w:color="auto" w:frame="1"/>
          <w:shd w:val="clear" w:color="auto" w:fill="FFFFFF"/>
          <w:lang w:val="it-IT"/>
        </w:rPr>
        <w:t>Promozione Step-Up per Project e Visio SA</w:t>
      </w:r>
    </w:p>
    <w:p w14:paraId="237FC9C5" w14:textId="77777777" w:rsidR="00671EA9" w:rsidRPr="003F471F" w:rsidRDefault="00671EA9" w:rsidP="00671EA9">
      <w:pPr>
        <w:rPr>
          <w:lang w:val="it-IT"/>
        </w:rPr>
      </w:pPr>
      <w:r w:rsidRPr="003F471F">
        <w:rPr>
          <w:rStyle w:val="Strong"/>
          <w:rFonts w:cs="Tahoma"/>
          <w:b w:val="0"/>
          <w:color w:val="000000" w:themeColor="text1"/>
          <w:szCs w:val="18"/>
          <w:bdr w:val="none" w:sz="0" w:space="0" w:color="auto" w:frame="1"/>
          <w:shd w:val="clear" w:color="auto" w:fill="FFFFFF"/>
          <w:lang w:val="it-IT"/>
        </w:rPr>
        <w:t>Promozione per Windows Embedded VL</w:t>
      </w:r>
    </w:p>
    <w:p w14:paraId="786C48E7" w14:textId="77777777" w:rsidR="00671EA9" w:rsidRPr="003F471F" w:rsidRDefault="00671EA9" w:rsidP="006342D5">
      <w:pPr>
        <w:spacing w:after="60"/>
        <w:rPr>
          <w:lang w:val="it-IT"/>
        </w:rPr>
      </w:pPr>
    </w:p>
    <w:p w14:paraId="6D35CAEA" w14:textId="77777777" w:rsidR="009252D9" w:rsidRPr="003F471F" w:rsidRDefault="009252D9" w:rsidP="009252D9">
      <w:pPr>
        <w:pStyle w:val="Heading2"/>
        <w:ind w:left="0"/>
        <w:jc w:val="both"/>
        <w:rPr>
          <w:lang w:val="it-IT"/>
        </w:rPr>
      </w:pPr>
    </w:p>
    <w:p w14:paraId="43B65CBB" w14:textId="77777777" w:rsidR="009252D9" w:rsidRPr="003F471F" w:rsidRDefault="009252D9" w:rsidP="009252D9">
      <w:pPr>
        <w:pStyle w:val="Heading2"/>
        <w:ind w:left="0"/>
        <w:jc w:val="both"/>
        <w:rPr>
          <w:lang w:val="it-IT"/>
        </w:rPr>
      </w:pPr>
      <w:bookmarkStart w:id="564" w:name="_Toc371663560"/>
      <w:r w:rsidRPr="003F471F">
        <w:rPr>
          <w:rFonts w:ascii="Tahoma" w:hAnsi="Tahoma" w:cs="Tahoma"/>
          <w:color w:val="FF6600"/>
          <w:lang w:val="it-IT"/>
        </w:rPr>
        <w:t>MODIFICHE APPORTATE NEL MESE DI NOVEMBRE 2013</w:t>
      </w:r>
      <w:bookmarkEnd w:id="564"/>
    </w:p>
    <w:p w14:paraId="46105729" w14:textId="77777777" w:rsidR="009252D9" w:rsidRPr="003F471F" w:rsidRDefault="009252D9" w:rsidP="009252D9">
      <w:pPr>
        <w:spacing w:after="60"/>
        <w:rPr>
          <w:lang w:val="it-IT"/>
        </w:rPr>
      </w:pPr>
    </w:p>
    <w:p w14:paraId="7BECA8F1" w14:textId="77777777" w:rsidR="009252D9" w:rsidRPr="003F471F" w:rsidRDefault="009252D9" w:rsidP="009252D9">
      <w:pPr>
        <w:spacing w:after="60"/>
        <w:rPr>
          <w:lang w:val="it-IT"/>
        </w:rPr>
      </w:pPr>
      <w:r w:rsidRPr="003F471F">
        <w:rPr>
          <w:b/>
          <w:lang w:val="it-IT"/>
        </w:rPr>
        <w:t>Prodotti Aggiunti</w:t>
      </w:r>
    </w:p>
    <w:p w14:paraId="411A18B7" w14:textId="77777777" w:rsidR="00756566" w:rsidRPr="003F471F" w:rsidRDefault="00756566" w:rsidP="000347DA">
      <w:pPr>
        <w:rPr>
          <w:lang w:val="it-IT"/>
        </w:rPr>
      </w:pPr>
      <w:r w:rsidRPr="003F471F">
        <w:rPr>
          <w:lang w:val="it-IT"/>
        </w:rPr>
        <w:t>Windows Server™ 2012 R2 Datacenter</w:t>
      </w:r>
    </w:p>
    <w:p w14:paraId="2133055D" w14:textId="77777777" w:rsidR="00756566" w:rsidRPr="0058047D" w:rsidRDefault="00756566" w:rsidP="000347DA">
      <w:r w:rsidRPr="0058047D">
        <w:t>Windows Server™ 2012 R2 Standard</w:t>
      </w:r>
    </w:p>
    <w:p w14:paraId="3D61954E" w14:textId="77777777" w:rsidR="00756566" w:rsidRPr="0058047D" w:rsidRDefault="00756566" w:rsidP="000347DA">
      <w:r w:rsidRPr="0058047D">
        <w:t>Windows Server Essentials 2012 R2</w:t>
      </w:r>
    </w:p>
    <w:p w14:paraId="63A9A6FA" w14:textId="77777777" w:rsidR="00756566" w:rsidRPr="0058047D" w:rsidRDefault="00756566" w:rsidP="000347DA">
      <w:r w:rsidRPr="0058047D">
        <w:t>Windows</w:t>
      </w:r>
      <w:r w:rsidR="00E53A46" w:rsidRPr="0058047D">
        <w:rPr>
          <w:vertAlign w:val="superscript"/>
        </w:rPr>
        <w:t>®</w:t>
      </w:r>
      <w:r w:rsidRPr="0058047D">
        <w:t xml:space="preserve"> Embedded 8.1 Industry Pro</w:t>
      </w:r>
    </w:p>
    <w:p w14:paraId="7E77B642" w14:textId="77777777" w:rsidR="00756566" w:rsidRPr="0058047D" w:rsidRDefault="00756566" w:rsidP="000347DA">
      <w:r w:rsidRPr="0058047D">
        <w:t>Windows</w:t>
      </w:r>
      <w:r w:rsidR="00E53A46" w:rsidRPr="0058047D">
        <w:rPr>
          <w:vertAlign w:val="superscript"/>
        </w:rPr>
        <w:t>®</w:t>
      </w:r>
      <w:r w:rsidRPr="0058047D">
        <w:t xml:space="preserve"> Embedded 8.1 Industry Pro Sideloading</w:t>
      </w:r>
    </w:p>
    <w:p w14:paraId="51980254" w14:textId="77777777" w:rsidR="00756566" w:rsidRPr="0058047D" w:rsidRDefault="00756566" w:rsidP="000347DA">
      <w:r w:rsidRPr="0058047D">
        <w:t>Visual Studio</w:t>
      </w:r>
      <w:r w:rsidR="00E53A46" w:rsidRPr="0058047D">
        <w:rPr>
          <w:vertAlign w:val="superscript"/>
        </w:rPr>
        <w:t>®</w:t>
      </w:r>
      <w:r w:rsidRPr="0058047D">
        <w:t xml:space="preserve"> Professional 2013</w:t>
      </w:r>
    </w:p>
    <w:p w14:paraId="4F9E3033" w14:textId="77777777" w:rsidR="00756566" w:rsidRPr="003F471F" w:rsidRDefault="00756566" w:rsidP="000347DA">
      <w:pPr>
        <w:rPr>
          <w:lang w:val="it-IT"/>
        </w:rPr>
      </w:pPr>
      <w:r w:rsidRPr="003F471F">
        <w:rPr>
          <w:lang w:val="it-IT"/>
        </w:rPr>
        <w:t>Visual Studio</w:t>
      </w:r>
      <w:r w:rsidR="00E53A46" w:rsidRPr="003F471F">
        <w:rPr>
          <w:vertAlign w:val="superscript"/>
          <w:lang w:val="it-IT"/>
        </w:rPr>
        <w:t>®</w:t>
      </w:r>
      <w:r w:rsidRPr="003F471F">
        <w:rPr>
          <w:lang w:val="it-IT"/>
        </w:rPr>
        <w:t xml:space="preserve"> Professional 2013 con MSDN </w:t>
      </w:r>
    </w:p>
    <w:p w14:paraId="02ABECA6" w14:textId="77777777" w:rsidR="00756566" w:rsidRPr="003F471F" w:rsidRDefault="00756566" w:rsidP="000347DA">
      <w:pPr>
        <w:rPr>
          <w:lang w:val="it-IT"/>
        </w:rPr>
      </w:pPr>
      <w:r w:rsidRPr="003F471F">
        <w:rPr>
          <w:lang w:val="it-IT"/>
        </w:rPr>
        <w:t>Visual Studio</w:t>
      </w:r>
      <w:r w:rsidR="00E53A46" w:rsidRPr="003F471F">
        <w:rPr>
          <w:vertAlign w:val="superscript"/>
          <w:lang w:val="it-IT"/>
        </w:rPr>
        <w:t>®</w:t>
      </w:r>
      <w:r w:rsidRPr="003F471F">
        <w:rPr>
          <w:lang w:val="it-IT"/>
        </w:rPr>
        <w:t xml:space="preserve"> Premium 2013 con MSDN</w:t>
      </w:r>
    </w:p>
    <w:p w14:paraId="18A240CC" w14:textId="77777777" w:rsidR="00756566" w:rsidRPr="003F471F" w:rsidRDefault="00756566" w:rsidP="000347DA">
      <w:pPr>
        <w:rPr>
          <w:lang w:val="it-IT"/>
        </w:rPr>
      </w:pPr>
      <w:r w:rsidRPr="003F471F">
        <w:rPr>
          <w:lang w:val="it-IT"/>
        </w:rPr>
        <w:t>Visual Studio</w:t>
      </w:r>
      <w:r w:rsidR="00E53A46" w:rsidRPr="003F471F">
        <w:rPr>
          <w:vertAlign w:val="superscript"/>
          <w:lang w:val="it-IT"/>
        </w:rPr>
        <w:t>®</w:t>
      </w:r>
      <w:r w:rsidRPr="003F471F">
        <w:rPr>
          <w:lang w:val="it-IT"/>
        </w:rPr>
        <w:t xml:space="preserve"> Ultimate 2013 con MSDN</w:t>
      </w:r>
    </w:p>
    <w:p w14:paraId="239C9733" w14:textId="77777777" w:rsidR="00756566" w:rsidRPr="003F471F" w:rsidRDefault="00756566" w:rsidP="000347DA">
      <w:pPr>
        <w:rPr>
          <w:lang w:val="it-IT"/>
        </w:rPr>
      </w:pPr>
      <w:r w:rsidRPr="003F471F">
        <w:rPr>
          <w:lang w:val="it-IT"/>
        </w:rPr>
        <w:t>Visual Studio</w:t>
      </w:r>
      <w:r w:rsidR="00E53A46" w:rsidRPr="003F471F">
        <w:rPr>
          <w:vertAlign w:val="superscript"/>
          <w:lang w:val="it-IT"/>
        </w:rPr>
        <w:t>®</w:t>
      </w:r>
      <w:r w:rsidRPr="003F471F">
        <w:rPr>
          <w:lang w:val="it-IT"/>
        </w:rPr>
        <w:t xml:space="preserve"> Test Professional 2013 con MSDN</w:t>
      </w:r>
    </w:p>
    <w:p w14:paraId="496135C6" w14:textId="77777777" w:rsidR="00756566" w:rsidRPr="003F471F" w:rsidRDefault="00756566" w:rsidP="000347DA">
      <w:pPr>
        <w:rPr>
          <w:lang w:val="it-IT"/>
        </w:rPr>
      </w:pPr>
      <w:r w:rsidRPr="003F471F">
        <w:rPr>
          <w:lang w:val="it-IT"/>
        </w:rPr>
        <w:t>Visual Studio</w:t>
      </w:r>
      <w:r w:rsidR="00E53A46" w:rsidRPr="003F471F">
        <w:rPr>
          <w:vertAlign w:val="superscript"/>
          <w:lang w:val="it-IT"/>
        </w:rPr>
        <w:t>®</w:t>
      </w:r>
      <w:r w:rsidRPr="003F471F">
        <w:rPr>
          <w:lang w:val="it-IT"/>
        </w:rPr>
        <w:t xml:space="preserve"> Team Foundation Server 2013 con Tecnologia SQL Server 2012</w:t>
      </w:r>
    </w:p>
    <w:p w14:paraId="3158DA40" w14:textId="77777777" w:rsidR="00756566" w:rsidRPr="003F471F" w:rsidRDefault="00756566" w:rsidP="000347DA">
      <w:pPr>
        <w:rPr>
          <w:lang w:val="it-IT"/>
        </w:rPr>
      </w:pPr>
      <w:r w:rsidRPr="003F471F">
        <w:rPr>
          <w:lang w:val="it-IT"/>
        </w:rPr>
        <w:t>CAL per Dispositivo per Visual Studio</w:t>
      </w:r>
      <w:r w:rsidR="00E53A46" w:rsidRPr="003F471F">
        <w:rPr>
          <w:vertAlign w:val="superscript"/>
          <w:lang w:val="it-IT"/>
        </w:rPr>
        <w:t>®</w:t>
      </w:r>
      <w:r w:rsidRPr="003F471F">
        <w:rPr>
          <w:lang w:val="it-IT"/>
        </w:rPr>
        <w:t xml:space="preserve"> Team Foundation Server 2013</w:t>
      </w:r>
    </w:p>
    <w:p w14:paraId="38B9A39D" w14:textId="77777777" w:rsidR="00756566" w:rsidRPr="0058047D" w:rsidRDefault="00756566" w:rsidP="000347DA">
      <w:r w:rsidRPr="0058047D">
        <w:t>User CAL per Visual Studio</w:t>
      </w:r>
      <w:r w:rsidR="00E53A46" w:rsidRPr="0058047D">
        <w:rPr>
          <w:vertAlign w:val="superscript"/>
        </w:rPr>
        <w:t>®</w:t>
      </w:r>
      <w:r w:rsidRPr="0058047D">
        <w:t xml:space="preserve"> Team Foundation Server 2013</w:t>
      </w:r>
    </w:p>
    <w:p w14:paraId="44C69A1F" w14:textId="77777777" w:rsidR="00756566" w:rsidRPr="0058047D" w:rsidRDefault="00756566" w:rsidP="000347DA">
      <w:r w:rsidRPr="0058047D">
        <w:t>Windows 8.1 Enterprise Sideloading (100 Confezioni)</w:t>
      </w:r>
    </w:p>
    <w:p w14:paraId="12137A2C" w14:textId="77777777" w:rsidR="00756566" w:rsidRPr="0058047D" w:rsidRDefault="00756566" w:rsidP="000347DA">
      <w:r w:rsidRPr="0058047D">
        <w:t>Windows</w:t>
      </w:r>
      <w:r w:rsidR="00E53A46" w:rsidRPr="0058047D">
        <w:rPr>
          <w:vertAlign w:val="superscript"/>
        </w:rPr>
        <w:t>®</w:t>
      </w:r>
      <w:r w:rsidRPr="0058047D">
        <w:t xml:space="preserve"> 8.1 Pro </w:t>
      </w:r>
    </w:p>
    <w:p w14:paraId="10429479" w14:textId="77777777" w:rsidR="00756566" w:rsidRPr="0058047D" w:rsidRDefault="00756566" w:rsidP="000347DA">
      <w:r w:rsidRPr="0058047D">
        <w:t>Windows</w:t>
      </w:r>
      <w:r w:rsidR="00E53A46" w:rsidRPr="0058047D">
        <w:rPr>
          <w:vertAlign w:val="superscript"/>
        </w:rPr>
        <w:t>®</w:t>
      </w:r>
      <w:r w:rsidRPr="0058047D">
        <w:t xml:space="preserve"> 8.1 Pro con MDOP </w:t>
      </w:r>
    </w:p>
    <w:p w14:paraId="6546990E" w14:textId="77777777" w:rsidR="00756566" w:rsidRPr="0058047D" w:rsidRDefault="00756566" w:rsidP="000347DA">
      <w:r w:rsidRPr="0058047D">
        <w:t>Windows Azure Active Directory Rights Management Academic (SL per Utente)</w:t>
      </w:r>
    </w:p>
    <w:p w14:paraId="606AA9A4" w14:textId="77777777" w:rsidR="00756566" w:rsidRPr="0058047D" w:rsidRDefault="00756566" w:rsidP="000347DA">
      <w:r w:rsidRPr="0058047D">
        <w:t>BizTalk</w:t>
      </w:r>
      <w:r w:rsidR="00E53A46" w:rsidRPr="0058047D">
        <w:rPr>
          <w:vertAlign w:val="superscript"/>
        </w:rPr>
        <w:t>®</w:t>
      </w:r>
      <w:r w:rsidRPr="0058047D">
        <w:t xml:space="preserve"> Server 2013 Enterprise Edition</w:t>
      </w:r>
    </w:p>
    <w:p w14:paraId="76FAE692" w14:textId="77777777" w:rsidR="00756566" w:rsidRPr="0058047D" w:rsidRDefault="00756566" w:rsidP="000347DA">
      <w:r w:rsidRPr="0058047D">
        <w:t>System Center 2012 R2 Endpoint Protection</w:t>
      </w:r>
    </w:p>
    <w:p w14:paraId="126C61C2" w14:textId="77777777" w:rsidR="00756566" w:rsidRPr="0058047D" w:rsidRDefault="00756566" w:rsidP="000347DA">
      <w:r w:rsidRPr="0058047D">
        <w:t>Licenza di Gestione Client per OSE per System Center 2012 R2 Configuration Manager</w:t>
      </w:r>
    </w:p>
    <w:p w14:paraId="62EF068C" w14:textId="77777777" w:rsidR="00756566" w:rsidRPr="003F471F" w:rsidRDefault="00756566" w:rsidP="000347DA">
      <w:pPr>
        <w:rPr>
          <w:lang w:val="it-IT"/>
        </w:rPr>
      </w:pPr>
      <w:r w:rsidRPr="003F471F">
        <w:rPr>
          <w:lang w:val="it-IT"/>
        </w:rPr>
        <w:t>Licenza di Gestione Client per Utente per System Center 2012 R2 Configuration Manager</w:t>
      </w:r>
    </w:p>
    <w:p w14:paraId="06DB161C" w14:textId="77777777" w:rsidR="00756566" w:rsidRPr="003F471F" w:rsidRDefault="00756566" w:rsidP="000347DA">
      <w:pPr>
        <w:rPr>
          <w:lang w:val="it-IT"/>
        </w:rPr>
      </w:pPr>
      <w:r w:rsidRPr="003F471F">
        <w:rPr>
          <w:lang w:val="it-IT"/>
        </w:rPr>
        <w:t>Licenza di Gestione Client (Client ML) per System Center 2012 R2 Configuration Manager (Solo Studenti)</w:t>
      </w:r>
    </w:p>
    <w:p w14:paraId="1DEBDD35" w14:textId="77777777" w:rsidR="00756566" w:rsidRPr="003F471F" w:rsidRDefault="00756566" w:rsidP="000347DA">
      <w:pPr>
        <w:rPr>
          <w:lang w:val="it-IT"/>
        </w:rPr>
      </w:pPr>
      <w:r w:rsidRPr="003F471F">
        <w:rPr>
          <w:lang w:val="it-IT"/>
        </w:rPr>
        <w:t>Licenza di Gestione Server per System Center 2012 R2 Datacenter (2 processori)</w:t>
      </w:r>
    </w:p>
    <w:p w14:paraId="7C91F418" w14:textId="77777777" w:rsidR="00756566" w:rsidRPr="003F471F" w:rsidRDefault="00756566" w:rsidP="000347DA">
      <w:pPr>
        <w:rPr>
          <w:lang w:val="it-IT"/>
        </w:rPr>
      </w:pPr>
      <w:r w:rsidRPr="003F471F">
        <w:rPr>
          <w:lang w:val="it-IT"/>
        </w:rPr>
        <w:t>Licenza di Gestione Server per System Center 2012 R2 Standard (2 processori)</w:t>
      </w:r>
    </w:p>
    <w:p w14:paraId="064E459E" w14:textId="77777777" w:rsidR="00756566" w:rsidRPr="003F471F" w:rsidRDefault="00756566" w:rsidP="000347DA">
      <w:pPr>
        <w:rPr>
          <w:lang w:val="fr-FR"/>
        </w:rPr>
      </w:pPr>
      <w:r w:rsidRPr="003F471F">
        <w:rPr>
          <w:lang w:val="fr-FR"/>
        </w:rPr>
        <w:t>System Center 2012 R2 Client Management Suite (Client ML) per OSE</w:t>
      </w:r>
    </w:p>
    <w:p w14:paraId="03D16C7C" w14:textId="77777777" w:rsidR="009252D9" w:rsidRPr="003F471F" w:rsidRDefault="00756566" w:rsidP="000347DA">
      <w:pPr>
        <w:rPr>
          <w:lang w:val="fr-FR"/>
        </w:rPr>
      </w:pPr>
      <w:r w:rsidRPr="003F471F">
        <w:rPr>
          <w:lang w:val="fr-FR"/>
        </w:rPr>
        <w:t>System Center 2012 R2 Client Management Suite (Client ML) per Utente</w:t>
      </w:r>
    </w:p>
    <w:p w14:paraId="143B795C" w14:textId="77777777" w:rsidR="009252D9" w:rsidRPr="003F471F" w:rsidRDefault="009252D9" w:rsidP="009252D9">
      <w:pPr>
        <w:spacing w:after="60"/>
        <w:rPr>
          <w:lang w:val="fr-FR"/>
        </w:rPr>
      </w:pPr>
    </w:p>
    <w:p w14:paraId="48AB8D9F" w14:textId="77777777" w:rsidR="009252D9" w:rsidRPr="003F471F" w:rsidRDefault="009252D9" w:rsidP="009252D9">
      <w:pPr>
        <w:spacing w:after="60"/>
        <w:rPr>
          <w:lang w:val="fr-FR"/>
        </w:rPr>
      </w:pPr>
      <w:r w:rsidRPr="003F471F">
        <w:rPr>
          <w:b/>
          <w:lang w:val="fr-FR"/>
        </w:rPr>
        <w:t>Prodotti Eliminati</w:t>
      </w:r>
    </w:p>
    <w:p w14:paraId="7864E65F" w14:textId="77777777" w:rsidR="00756566" w:rsidRPr="003F471F" w:rsidRDefault="00756566" w:rsidP="000347DA">
      <w:pPr>
        <w:rPr>
          <w:lang w:val="fr-FR"/>
        </w:rPr>
      </w:pPr>
      <w:r w:rsidRPr="003F471F">
        <w:rPr>
          <w:lang w:val="fr-FR"/>
        </w:rPr>
        <w:t>Windows Server™ 2012 Datacenter</w:t>
      </w:r>
    </w:p>
    <w:p w14:paraId="51E6D401" w14:textId="77777777" w:rsidR="00756566" w:rsidRPr="003F471F" w:rsidRDefault="00756566" w:rsidP="000347DA">
      <w:pPr>
        <w:rPr>
          <w:lang w:val="fr-FR"/>
        </w:rPr>
      </w:pPr>
      <w:r w:rsidRPr="003F471F">
        <w:rPr>
          <w:lang w:val="fr-FR"/>
        </w:rPr>
        <w:t>Windows Server™ 2012 Standard</w:t>
      </w:r>
    </w:p>
    <w:p w14:paraId="1F601031" w14:textId="77777777" w:rsidR="00756566" w:rsidRPr="003F471F" w:rsidRDefault="00756566" w:rsidP="000347DA">
      <w:pPr>
        <w:rPr>
          <w:lang w:val="fr-FR"/>
        </w:rPr>
      </w:pPr>
      <w:r w:rsidRPr="003F471F">
        <w:rPr>
          <w:lang w:val="fr-FR"/>
        </w:rPr>
        <w:t>Windows Server Essentials 2012</w:t>
      </w:r>
    </w:p>
    <w:p w14:paraId="4359FBDF" w14:textId="77777777" w:rsidR="00756566" w:rsidRPr="0058047D" w:rsidRDefault="00756566" w:rsidP="000347DA">
      <w:r w:rsidRPr="0058047D">
        <w:t>Windows</w:t>
      </w:r>
      <w:r w:rsidR="00E53A46" w:rsidRPr="0058047D">
        <w:rPr>
          <w:vertAlign w:val="superscript"/>
        </w:rPr>
        <w:t>®</w:t>
      </w:r>
      <w:r w:rsidRPr="0058047D">
        <w:t xml:space="preserve"> Embedded 8 Industry Pro</w:t>
      </w:r>
    </w:p>
    <w:p w14:paraId="6E206C35" w14:textId="77777777" w:rsidR="00756566" w:rsidRPr="0058047D" w:rsidRDefault="00756566" w:rsidP="000347DA">
      <w:r w:rsidRPr="0058047D">
        <w:t>Windows</w:t>
      </w:r>
      <w:r w:rsidR="00E53A46" w:rsidRPr="0058047D">
        <w:rPr>
          <w:vertAlign w:val="superscript"/>
        </w:rPr>
        <w:t>®</w:t>
      </w:r>
      <w:r w:rsidRPr="0058047D">
        <w:t xml:space="preserve"> Embedded 8 Industry Pro Sideloading</w:t>
      </w:r>
    </w:p>
    <w:p w14:paraId="6CE4110E" w14:textId="77777777" w:rsidR="00756566" w:rsidRPr="003F471F" w:rsidRDefault="00756566" w:rsidP="000347DA">
      <w:pPr>
        <w:rPr>
          <w:lang w:val="it-IT"/>
        </w:rPr>
      </w:pPr>
      <w:r w:rsidRPr="003F471F">
        <w:rPr>
          <w:lang w:val="it-IT"/>
        </w:rPr>
        <w:t>Visual Studio</w:t>
      </w:r>
      <w:r w:rsidR="00E53A46" w:rsidRPr="003F471F">
        <w:rPr>
          <w:vertAlign w:val="superscript"/>
          <w:lang w:val="it-IT"/>
        </w:rPr>
        <w:t>®</w:t>
      </w:r>
      <w:r w:rsidRPr="003F471F">
        <w:rPr>
          <w:lang w:val="it-IT"/>
        </w:rPr>
        <w:t xml:space="preserve"> Professional 2012</w:t>
      </w:r>
    </w:p>
    <w:p w14:paraId="046F4432" w14:textId="77777777" w:rsidR="00756566" w:rsidRPr="003F471F" w:rsidRDefault="00756566" w:rsidP="000347DA">
      <w:pPr>
        <w:rPr>
          <w:lang w:val="it-IT"/>
        </w:rPr>
      </w:pPr>
      <w:r w:rsidRPr="003F471F">
        <w:rPr>
          <w:lang w:val="it-IT"/>
        </w:rPr>
        <w:t>Visual Studio</w:t>
      </w:r>
      <w:r w:rsidR="00E53A46" w:rsidRPr="003F471F">
        <w:rPr>
          <w:vertAlign w:val="superscript"/>
          <w:lang w:val="it-IT"/>
        </w:rPr>
        <w:t>®</w:t>
      </w:r>
      <w:r w:rsidRPr="003F471F">
        <w:rPr>
          <w:lang w:val="it-IT"/>
        </w:rPr>
        <w:t xml:space="preserve"> Professional 2012 con MSDN </w:t>
      </w:r>
    </w:p>
    <w:p w14:paraId="3B97DA40" w14:textId="77777777" w:rsidR="00756566" w:rsidRPr="003F471F" w:rsidRDefault="00756566" w:rsidP="000347DA">
      <w:pPr>
        <w:rPr>
          <w:lang w:val="it-IT"/>
        </w:rPr>
      </w:pPr>
      <w:r w:rsidRPr="003F471F">
        <w:rPr>
          <w:lang w:val="it-IT"/>
        </w:rPr>
        <w:t>Visual Studio</w:t>
      </w:r>
      <w:r w:rsidR="00E53A46" w:rsidRPr="003F471F">
        <w:rPr>
          <w:vertAlign w:val="superscript"/>
          <w:lang w:val="it-IT"/>
        </w:rPr>
        <w:t>®</w:t>
      </w:r>
      <w:r w:rsidRPr="003F471F">
        <w:rPr>
          <w:lang w:val="it-IT"/>
        </w:rPr>
        <w:t xml:space="preserve"> Premium 2012 con MSDN</w:t>
      </w:r>
    </w:p>
    <w:p w14:paraId="4B9CA9E8" w14:textId="77777777" w:rsidR="00756566" w:rsidRPr="003F471F" w:rsidRDefault="00756566" w:rsidP="000347DA">
      <w:pPr>
        <w:rPr>
          <w:lang w:val="it-IT"/>
        </w:rPr>
      </w:pPr>
      <w:r w:rsidRPr="003F471F">
        <w:rPr>
          <w:lang w:val="it-IT"/>
        </w:rPr>
        <w:t>Visual Studio</w:t>
      </w:r>
      <w:r w:rsidR="00E53A46" w:rsidRPr="003F471F">
        <w:rPr>
          <w:vertAlign w:val="superscript"/>
          <w:lang w:val="it-IT"/>
        </w:rPr>
        <w:t>®</w:t>
      </w:r>
      <w:r w:rsidRPr="003F471F">
        <w:rPr>
          <w:lang w:val="it-IT"/>
        </w:rPr>
        <w:t xml:space="preserve"> Ultimate 2012 con MSDN</w:t>
      </w:r>
    </w:p>
    <w:p w14:paraId="542F0F42" w14:textId="77777777" w:rsidR="00756566" w:rsidRPr="003F471F" w:rsidRDefault="00756566" w:rsidP="000347DA">
      <w:pPr>
        <w:rPr>
          <w:lang w:val="it-IT"/>
        </w:rPr>
      </w:pPr>
      <w:r w:rsidRPr="003F471F">
        <w:rPr>
          <w:lang w:val="it-IT"/>
        </w:rPr>
        <w:t>Visual Studio</w:t>
      </w:r>
      <w:r w:rsidR="00E53A46" w:rsidRPr="003F471F">
        <w:rPr>
          <w:vertAlign w:val="superscript"/>
          <w:lang w:val="it-IT"/>
        </w:rPr>
        <w:t>®</w:t>
      </w:r>
      <w:r w:rsidRPr="003F471F">
        <w:rPr>
          <w:lang w:val="it-IT"/>
        </w:rPr>
        <w:t xml:space="preserve"> Test Professional 2012 con MSDN</w:t>
      </w:r>
    </w:p>
    <w:p w14:paraId="2C6938FC" w14:textId="77777777" w:rsidR="00756566" w:rsidRPr="003F471F" w:rsidRDefault="00756566" w:rsidP="000347DA">
      <w:pPr>
        <w:rPr>
          <w:lang w:val="it-IT"/>
        </w:rPr>
      </w:pPr>
      <w:r w:rsidRPr="003F471F">
        <w:rPr>
          <w:lang w:val="it-IT"/>
        </w:rPr>
        <w:t>Visual Studio</w:t>
      </w:r>
      <w:r w:rsidR="00E53A46" w:rsidRPr="003F471F">
        <w:rPr>
          <w:vertAlign w:val="superscript"/>
          <w:lang w:val="it-IT"/>
        </w:rPr>
        <w:t>®</w:t>
      </w:r>
      <w:r w:rsidRPr="003F471F">
        <w:rPr>
          <w:lang w:val="it-IT"/>
        </w:rPr>
        <w:t xml:space="preserve"> Team Foundation Server 2012 con Tecnologia SQL Server 2012</w:t>
      </w:r>
    </w:p>
    <w:p w14:paraId="5BBBE580" w14:textId="77777777" w:rsidR="00756566" w:rsidRPr="003F471F" w:rsidRDefault="00756566" w:rsidP="000347DA">
      <w:pPr>
        <w:rPr>
          <w:lang w:val="it-IT"/>
        </w:rPr>
      </w:pPr>
      <w:r w:rsidRPr="003F471F">
        <w:rPr>
          <w:lang w:val="it-IT"/>
        </w:rPr>
        <w:t>CAL per Dispositivo per Visual Studio</w:t>
      </w:r>
      <w:r w:rsidR="00E53A46" w:rsidRPr="003F471F">
        <w:rPr>
          <w:vertAlign w:val="superscript"/>
          <w:lang w:val="it-IT"/>
        </w:rPr>
        <w:t>®</w:t>
      </w:r>
      <w:r w:rsidRPr="003F471F">
        <w:rPr>
          <w:lang w:val="it-IT"/>
        </w:rPr>
        <w:t xml:space="preserve"> Team Foundation Server 2012</w:t>
      </w:r>
    </w:p>
    <w:p w14:paraId="5260440E" w14:textId="77777777" w:rsidR="00756566" w:rsidRPr="0058047D" w:rsidRDefault="00756566" w:rsidP="000347DA">
      <w:r w:rsidRPr="0058047D">
        <w:t>User CAL per Visual Studio</w:t>
      </w:r>
      <w:r w:rsidR="00E53A46" w:rsidRPr="0058047D">
        <w:rPr>
          <w:vertAlign w:val="superscript"/>
        </w:rPr>
        <w:t>®</w:t>
      </w:r>
      <w:r w:rsidRPr="0058047D">
        <w:t xml:space="preserve"> Team Foundation Server 2012</w:t>
      </w:r>
    </w:p>
    <w:p w14:paraId="521F9DC8" w14:textId="77777777" w:rsidR="00756566" w:rsidRPr="0058047D" w:rsidRDefault="00756566" w:rsidP="000347DA">
      <w:r w:rsidRPr="0058047D">
        <w:t>Windows 8 Enterprise Sideloading (100 Confezioni)</w:t>
      </w:r>
    </w:p>
    <w:p w14:paraId="21F4F38D" w14:textId="77777777" w:rsidR="00756566" w:rsidRPr="0058047D" w:rsidRDefault="00756566" w:rsidP="000347DA">
      <w:r w:rsidRPr="0058047D">
        <w:t>Windows</w:t>
      </w:r>
      <w:r w:rsidR="00E53A46" w:rsidRPr="0058047D">
        <w:rPr>
          <w:vertAlign w:val="superscript"/>
        </w:rPr>
        <w:t>®</w:t>
      </w:r>
      <w:r w:rsidRPr="0058047D">
        <w:t xml:space="preserve"> 8 Pro </w:t>
      </w:r>
    </w:p>
    <w:p w14:paraId="4D301F4B" w14:textId="77777777" w:rsidR="00756566" w:rsidRPr="0058047D" w:rsidRDefault="00756566" w:rsidP="000347DA">
      <w:r w:rsidRPr="0058047D">
        <w:t>Windows</w:t>
      </w:r>
      <w:r w:rsidR="00E53A46" w:rsidRPr="0058047D">
        <w:rPr>
          <w:vertAlign w:val="superscript"/>
        </w:rPr>
        <w:t>®</w:t>
      </w:r>
      <w:r w:rsidRPr="0058047D">
        <w:t xml:space="preserve"> 8 Pro con MDOP </w:t>
      </w:r>
    </w:p>
    <w:p w14:paraId="4A2D6D7E" w14:textId="77777777" w:rsidR="00756566" w:rsidRPr="0058047D" w:rsidRDefault="00756566" w:rsidP="000347DA">
      <w:r w:rsidRPr="0058047D">
        <w:t>System Center 2012 Endpoint Protection</w:t>
      </w:r>
    </w:p>
    <w:p w14:paraId="4BCE4E2B" w14:textId="77777777" w:rsidR="00756566" w:rsidRPr="003F471F" w:rsidRDefault="00756566" w:rsidP="000347DA">
      <w:pPr>
        <w:rPr>
          <w:lang w:val="it-IT"/>
        </w:rPr>
      </w:pPr>
      <w:r w:rsidRPr="003F471F">
        <w:rPr>
          <w:lang w:val="it-IT"/>
        </w:rPr>
        <w:t>Licenza di Gestione Client per OSE per System Center 2012 Configuration Manager</w:t>
      </w:r>
    </w:p>
    <w:p w14:paraId="4499A7D4" w14:textId="77777777" w:rsidR="00756566" w:rsidRPr="003F471F" w:rsidRDefault="00756566" w:rsidP="000347DA">
      <w:pPr>
        <w:rPr>
          <w:lang w:val="it-IT"/>
        </w:rPr>
      </w:pPr>
      <w:r w:rsidRPr="003F471F">
        <w:rPr>
          <w:lang w:val="it-IT"/>
        </w:rPr>
        <w:t>Licenza di Gestione Client per Utente per System Center 2012 Configuration Manager</w:t>
      </w:r>
    </w:p>
    <w:p w14:paraId="55C8528C" w14:textId="77777777" w:rsidR="00756566" w:rsidRPr="003F471F" w:rsidRDefault="00756566" w:rsidP="000347DA">
      <w:pPr>
        <w:rPr>
          <w:lang w:val="it-IT"/>
        </w:rPr>
      </w:pPr>
      <w:r w:rsidRPr="003F471F">
        <w:rPr>
          <w:lang w:val="it-IT"/>
        </w:rPr>
        <w:t>Licenza di Gestione Client (Client ML) per System Center 2012 Configuration Manager (Solo Studenti)</w:t>
      </w:r>
    </w:p>
    <w:p w14:paraId="0113993C" w14:textId="77777777" w:rsidR="00756566" w:rsidRPr="003F471F" w:rsidRDefault="00756566" w:rsidP="000347DA">
      <w:pPr>
        <w:rPr>
          <w:lang w:val="it-IT"/>
        </w:rPr>
      </w:pPr>
      <w:r w:rsidRPr="003F471F">
        <w:rPr>
          <w:lang w:val="it-IT"/>
        </w:rPr>
        <w:t>Licenza di Gestione Server per System Center2012 Datacenter (2 processori)</w:t>
      </w:r>
    </w:p>
    <w:p w14:paraId="67EA3423" w14:textId="77777777" w:rsidR="00756566" w:rsidRPr="003F471F" w:rsidRDefault="00756566" w:rsidP="000347DA">
      <w:pPr>
        <w:rPr>
          <w:lang w:val="it-IT"/>
        </w:rPr>
      </w:pPr>
      <w:r w:rsidRPr="003F471F">
        <w:rPr>
          <w:lang w:val="it-IT"/>
        </w:rPr>
        <w:t>Licenza di Gestione Server Standard per System Center 2012 (2 processori)</w:t>
      </w:r>
    </w:p>
    <w:p w14:paraId="1EDF1C67" w14:textId="77777777" w:rsidR="00756566" w:rsidRPr="003F471F" w:rsidRDefault="00756566" w:rsidP="000347DA">
      <w:pPr>
        <w:rPr>
          <w:lang w:val="fr-FR"/>
        </w:rPr>
      </w:pPr>
      <w:r w:rsidRPr="003F471F">
        <w:rPr>
          <w:lang w:val="fr-FR"/>
        </w:rPr>
        <w:t>System Center 2012 Client Management Suite (Client ML) per OSE</w:t>
      </w:r>
    </w:p>
    <w:p w14:paraId="705159C1" w14:textId="77777777" w:rsidR="009252D9" w:rsidRPr="003F471F" w:rsidRDefault="00756566" w:rsidP="000347DA">
      <w:pPr>
        <w:rPr>
          <w:lang w:val="fr-FR"/>
        </w:rPr>
      </w:pPr>
      <w:r w:rsidRPr="003F471F">
        <w:rPr>
          <w:lang w:val="fr-FR"/>
        </w:rPr>
        <w:t>System Center 2012 Client Management Suite (Client ML) per Utente</w:t>
      </w:r>
    </w:p>
    <w:p w14:paraId="7BED461C" w14:textId="77777777" w:rsidR="009252D9" w:rsidRPr="003F471F" w:rsidRDefault="009252D9" w:rsidP="009252D9">
      <w:pPr>
        <w:spacing w:after="60"/>
        <w:rPr>
          <w:lang w:val="fr-FR"/>
        </w:rPr>
      </w:pPr>
    </w:p>
    <w:p w14:paraId="58A789E5" w14:textId="77777777" w:rsidR="00003078" w:rsidRPr="003F471F" w:rsidRDefault="00003078" w:rsidP="00003078">
      <w:pPr>
        <w:spacing w:after="60"/>
        <w:rPr>
          <w:lang w:val="fr-FR"/>
        </w:rPr>
      </w:pPr>
    </w:p>
    <w:p w14:paraId="2E61FB6C" w14:textId="77777777" w:rsidR="00003078" w:rsidRPr="003F471F" w:rsidRDefault="00003078" w:rsidP="00003078">
      <w:pPr>
        <w:spacing w:after="60"/>
        <w:rPr>
          <w:lang w:val="it-IT"/>
        </w:rPr>
      </w:pPr>
      <w:r w:rsidRPr="003F471F">
        <w:rPr>
          <w:b/>
          <w:lang w:val="it-IT"/>
        </w:rPr>
        <w:t>Promozioni</w:t>
      </w:r>
    </w:p>
    <w:p w14:paraId="7FF720EB" w14:textId="77777777" w:rsidR="00003078" w:rsidRPr="003F471F" w:rsidRDefault="00003078" w:rsidP="00003078">
      <w:pPr>
        <w:rPr>
          <w:lang w:val="it-IT"/>
        </w:rPr>
      </w:pPr>
      <w:r w:rsidRPr="003F471F">
        <w:rPr>
          <w:lang w:val="it-IT"/>
        </w:rPr>
        <w:t>Sono state aggiunte le seguenti promozioni:</w:t>
      </w:r>
    </w:p>
    <w:p w14:paraId="46B6CA89" w14:textId="77777777" w:rsidR="00003078" w:rsidRPr="0058047D" w:rsidRDefault="00003078" w:rsidP="00003078">
      <w:bookmarkStart w:id="565" w:name="_Toc367461265"/>
      <w:bookmarkStart w:id="566" w:name="_Toc367461263"/>
      <w:r w:rsidRPr="001C4212">
        <w:t>Iscrizione Server and Cloud Jumpstart AF14</w:t>
      </w:r>
      <w:bookmarkEnd w:id="565"/>
    </w:p>
    <w:p w14:paraId="6D84CAA6" w14:textId="77777777" w:rsidR="00003078" w:rsidRPr="003F471F" w:rsidRDefault="00003078" w:rsidP="00003078">
      <w:pPr>
        <w:rPr>
          <w:lang w:val="it-IT"/>
        </w:rPr>
      </w:pPr>
      <w:bookmarkStart w:id="567" w:name="_Toc367461266"/>
      <w:r w:rsidRPr="003F471F">
        <w:rPr>
          <w:lang w:val="it-IT"/>
        </w:rPr>
        <w:t>Promozione della Gestione dei Portfolio e dei Progetti nel Cloud</w:t>
      </w:r>
      <w:bookmarkEnd w:id="567"/>
    </w:p>
    <w:p w14:paraId="1A5F3D31" w14:textId="77777777" w:rsidR="00003078" w:rsidRPr="003F471F" w:rsidRDefault="00003078" w:rsidP="00003078">
      <w:pPr>
        <w:rPr>
          <w:lang w:val="it-IT"/>
        </w:rPr>
      </w:pPr>
      <w:bookmarkStart w:id="568" w:name="_Toc367461264"/>
      <w:r w:rsidRPr="003F471F">
        <w:rPr>
          <w:lang w:val="it-IT"/>
        </w:rPr>
        <w:t>Promozione di Visual Studio Test Pro con MSDN</w:t>
      </w:r>
      <w:bookmarkEnd w:id="568"/>
    </w:p>
    <w:p w14:paraId="52BB3014" w14:textId="77777777" w:rsidR="00003078" w:rsidRPr="003F471F" w:rsidRDefault="00003078" w:rsidP="00003078">
      <w:pPr>
        <w:rPr>
          <w:lang w:val="it-IT"/>
        </w:rPr>
      </w:pPr>
      <w:r w:rsidRPr="003F471F">
        <w:rPr>
          <w:lang w:val="it-IT"/>
        </w:rPr>
        <w:t>Windows Azure Adoption Acceleration</w:t>
      </w:r>
      <w:bookmarkEnd w:id="566"/>
    </w:p>
    <w:p w14:paraId="723060B4" w14:textId="77777777" w:rsidR="00003078" w:rsidRPr="003F471F" w:rsidRDefault="00003078" w:rsidP="00003078">
      <w:pPr>
        <w:rPr>
          <w:lang w:val="it-IT"/>
        </w:rPr>
      </w:pPr>
    </w:p>
    <w:p w14:paraId="44FAD9BE" w14:textId="77777777" w:rsidR="00D94BF5" w:rsidRPr="003F471F" w:rsidRDefault="00D94BF5" w:rsidP="00D94BF5">
      <w:pPr>
        <w:pStyle w:val="Heading2"/>
        <w:ind w:left="0"/>
        <w:jc w:val="both"/>
        <w:rPr>
          <w:lang w:val="it-IT"/>
        </w:rPr>
      </w:pPr>
    </w:p>
    <w:p w14:paraId="66802DB4" w14:textId="77777777" w:rsidR="00C87808" w:rsidRPr="003F471F" w:rsidRDefault="00C87808" w:rsidP="00D94BF5">
      <w:pPr>
        <w:pStyle w:val="Heading2"/>
        <w:ind w:left="0"/>
        <w:jc w:val="both"/>
        <w:rPr>
          <w:lang w:val="it-IT"/>
        </w:rPr>
      </w:pPr>
      <w:bookmarkStart w:id="569" w:name="_Toc371663561"/>
      <w:r w:rsidRPr="003F471F">
        <w:rPr>
          <w:rFonts w:ascii="Tahoma" w:hAnsi="Tahoma" w:cs="Tahoma"/>
          <w:color w:val="FF6600"/>
          <w:lang w:val="it-IT"/>
        </w:rPr>
        <w:t>MODIFICHE APPORTATE NEL MESE DI OTTOBRE 2013</w:t>
      </w:r>
      <w:bookmarkEnd w:id="569"/>
    </w:p>
    <w:p w14:paraId="5E6650DE" w14:textId="77777777" w:rsidR="00C87808" w:rsidRPr="003F471F" w:rsidRDefault="00C87808" w:rsidP="00C87808">
      <w:pPr>
        <w:spacing w:after="60"/>
        <w:rPr>
          <w:lang w:val="it-IT"/>
        </w:rPr>
      </w:pPr>
    </w:p>
    <w:p w14:paraId="163945DE" w14:textId="77777777" w:rsidR="00C87808" w:rsidRPr="003F471F" w:rsidRDefault="00C87808" w:rsidP="00C87808">
      <w:pPr>
        <w:spacing w:after="60"/>
        <w:rPr>
          <w:lang w:val="it-IT"/>
        </w:rPr>
      </w:pPr>
      <w:r w:rsidRPr="003F471F">
        <w:rPr>
          <w:b/>
          <w:lang w:val="it-IT"/>
        </w:rPr>
        <w:t>Prodotti Aggiunti</w:t>
      </w:r>
    </w:p>
    <w:p w14:paraId="2E3A1ABC" w14:textId="77777777" w:rsidR="004D5959" w:rsidRPr="003F471F" w:rsidRDefault="004D5959" w:rsidP="00383917">
      <w:pPr>
        <w:rPr>
          <w:lang w:val="it-IT"/>
        </w:rPr>
      </w:pPr>
      <w:r w:rsidRPr="003F471F">
        <w:rPr>
          <w:lang w:val="it-IT"/>
        </w:rPr>
        <w:t>CAL per Microsoft Dynamics CRM 2013 Basic</w:t>
      </w:r>
    </w:p>
    <w:p w14:paraId="062063E9" w14:textId="77777777" w:rsidR="004D5959" w:rsidRPr="003F471F" w:rsidRDefault="004D5959" w:rsidP="00383917">
      <w:pPr>
        <w:rPr>
          <w:lang w:val="it-IT"/>
        </w:rPr>
      </w:pPr>
      <w:r w:rsidRPr="003F471F">
        <w:rPr>
          <w:lang w:val="it-IT"/>
        </w:rPr>
        <w:t>CAL Aggiuntiva per l</w:t>
      </w:r>
      <w:r w:rsidR="001C4212" w:rsidRPr="003F471F">
        <w:rPr>
          <w:lang w:val="it-IT"/>
        </w:rPr>
        <w:t>’</w:t>
      </w:r>
      <w:r w:rsidRPr="003F471F">
        <w:rPr>
          <w:lang w:val="it-IT"/>
        </w:rPr>
        <w:t>Utilizzo di Microsoft Dynamics CRM 2013 Basic</w:t>
      </w:r>
    </w:p>
    <w:p w14:paraId="23A58B4F" w14:textId="77777777" w:rsidR="004D5959" w:rsidRPr="003F471F" w:rsidRDefault="004D5959" w:rsidP="00383917">
      <w:pPr>
        <w:rPr>
          <w:lang w:val="it-IT"/>
        </w:rPr>
      </w:pPr>
      <w:r w:rsidRPr="003F471F">
        <w:rPr>
          <w:lang w:val="it-IT"/>
        </w:rPr>
        <w:t>CAL per Microsoft Dynamics CRM 2013 Essential</w:t>
      </w:r>
    </w:p>
    <w:p w14:paraId="20DE08E1" w14:textId="77777777" w:rsidR="004D5959" w:rsidRPr="003F471F" w:rsidRDefault="004D5959" w:rsidP="00383917">
      <w:pPr>
        <w:rPr>
          <w:lang w:val="it-IT"/>
        </w:rPr>
      </w:pPr>
      <w:r w:rsidRPr="003F471F">
        <w:rPr>
          <w:lang w:val="it-IT"/>
        </w:rPr>
        <w:t>CAL per Microsoft Dynamics CRM 2013 Professional</w:t>
      </w:r>
    </w:p>
    <w:p w14:paraId="0107558A" w14:textId="77777777" w:rsidR="004D5959" w:rsidRPr="003F471F" w:rsidRDefault="004D5959" w:rsidP="00383917">
      <w:pPr>
        <w:rPr>
          <w:lang w:val="it-IT"/>
        </w:rPr>
      </w:pPr>
      <w:r w:rsidRPr="003F471F">
        <w:rPr>
          <w:lang w:val="it-IT"/>
        </w:rPr>
        <w:t>CAL Aggiuntiva per l</w:t>
      </w:r>
      <w:r w:rsidR="001C4212" w:rsidRPr="003F471F">
        <w:rPr>
          <w:lang w:val="it-IT"/>
        </w:rPr>
        <w:t>’</w:t>
      </w:r>
      <w:r w:rsidRPr="003F471F">
        <w:rPr>
          <w:lang w:val="it-IT"/>
        </w:rPr>
        <w:t>Utilizzo di Microsoft Dynamics CRM 2013 Professional</w:t>
      </w:r>
    </w:p>
    <w:p w14:paraId="116952A5" w14:textId="77777777" w:rsidR="00453E57" w:rsidRPr="003F471F" w:rsidRDefault="00453E57" w:rsidP="00383917">
      <w:pPr>
        <w:rPr>
          <w:lang w:val="it-IT"/>
        </w:rPr>
      </w:pPr>
      <w:r w:rsidRPr="003F471F">
        <w:rPr>
          <w:lang w:val="it-IT"/>
        </w:rPr>
        <w:t>Microsoft Dynamics CRM 2013 Server</w:t>
      </w:r>
    </w:p>
    <w:p w14:paraId="109450AC" w14:textId="77777777" w:rsidR="00453E57" w:rsidRPr="003F471F" w:rsidRDefault="00453E57" w:rsidP="00383917">
      <w:pPr>
        <w:rPr>
          <w:lang w:val="it-IT"/>
        </w:rPr>
      </w:pPr>
      <w:r w:rsidRPr="003F471F">
        <w:rPr>
          <w:lang w:val="it-IT"/>
        </w:rPr>
        <w:t>Microsoft Dynamics CRM Workgroup Server 2013</w:t>
      </w:r>
    </w:p>
    <w:p w14:paraId="24E79577" w14:textId="77777777" w:rsidR="00CB4307" w:rsidRPr="003F471F" w:rsidRDefault="00CB4307" w:rsidP="00383917">
      <w:pPr>
        <w:rPr>
          <w:lang w:val="it-IT"/>
        </w:rPr>
      </w:pPr>
      <w:r w:rsidRPr="003F471F">
        <w:rPr>
          <w:lang w:val="it-IT"/>
        </w:rPr>
        <w:t>Microsoft Dynamics CRM Online Basic</w:t>
      </w:r>
    </w:p>
    <w:p w14:paraId="635DB030" w14:textId="77777777" w:rsidR="00CB4307" w:rsidRPr="0058047D" w:rsidRDefault="00CB4307" w:rsidP="00383917">
      <w:r w:rsidRPr="0058047D">
        <w:t>Microsoft Dynamics CRM Online Enhanced Support</w:t>
      </w:r>
    </w:p>
    <w:p w14:paraId="1C3CFB3E" w14:textId="77777777" w:rsidR="00CB4307" w:rsidRPr="0058047D" w:rsidRDefault="00CB4307" w:rsidP="00383917">
      <w:r w:rsidRPr="0058047D">
        <w:t>Microsoft Dynamics CRM Online Essential</w:t>
      </w:r>
    </w:p>
    <w:p w14:paraId="6A7F3491" w14:textId="77777777" w:rsidR="004D5959" w:rsidRPr="0058047D" w:rsidRDefault="004D5959" w:rsidP="00383917">
      <w:r w:rsidRPr="0058047D">
        <w:t>Microsoft Dynamics CRM Production Instance</w:t>
      </w:r>
    </w:p>
    <w:p w14:paraId="2D107D9D" w14:textId="77777777" w:rsidR="004D5959" w:rsidRPr="003F471F" w:rsidRDefault="004D5959" w:rsidP="00383917">
      <w:pPr>
        <w:rPr>
          <w:lang w:val="fr-FR"/>
        </w:rPr>
      </w:pPr>
      <w:r w:rsidRPr="003F471F">
        <w:rPr>
          <w:lang w:val="fr-FR"/>
        </w:rPr>
        <w:t>Microsoft Dynamics CRM Non-Production Instance</w:t>
      </w:r>
    </w:p>
    <w:p w14:paraId="6CAFA8D4" w14:textId="77777777" w:rsidR="00CB4307" w:rsidRPr="003F471F" w:rsidRDefault="00CB4307" w:rsidP="00383917">
      <w:pPr>
        <w:rPr>
          <w:lang w:val="fr-FR"/>
        </w:rPr>
      </w:pPr>
      <w:r w:rsidRPr="003F471F">
        <w:rPr>
          <w:lang w:val="fr-FR"/>
        </w:rPr>
        <w:t>Microsoft Dynamics CRM Online Professional</w:t>
      </w:r>
    </w:p>
    <w:p w14:paraId="29ECC115" w14:textId="77777777" w:rsidR="00CB4307" w:rsidRPr="003F471F" w:rsidRDefault="00CB4307" w:rsidP="00383917">
      <w:pPr>
        <w:rPr>
          <w:lang w:val="fr-FR"/>
        </w:rPr>
      </w:pPr>
      <w:r w:rsidRPr="003F471F">
        <w:rPr>
          <w:lang w:val="fr-FR"/>
        </w:rPr>
        <w:t>Microsoft Dynamics CRM Online Professional Direct Support</w:t>
      </w:r>
    </w:p>
    <w:p w14:paraId="7AB8040A" w14:textId="77777777" w:rsidR="00CB4307" w:rsidRPr="003F471F" w:rsidRDefault="00CB4307" w:rsidP="00383917">
      <w:pPr>
        <w:rPr>
          <w:lang w:val="fr-FR"/>
        </w:rPr>
      </w:pPr>
      <w:r w:rsidRPr="003F471F">
        <w:rPr>
          <w:lang w:val="fr-FR"/>
        </w:rPr>
        <w:t>Microsoft Dynamics CRM Online Storage Windows Azure Active Directory Rights Management Add-on (SL per Utente)</w:t>
      </w:r>
    </w:p>
    <w:p w14:paraId="007FE36E" w14:textId="77777777" w:rsidR="00C87808" w:rsidRPr="003F471F" w:rsidRDefault="00C87808" w:rsidP="00C87808">
      <w:pPr>
        <w:spacing w:after="60"/>
        <w:rPr>
          <w:lang w:val="fr-FR"/>
        </w:rPr>
      </w:pPr>
    </w:p>
    <w:p w14:paraId="4544A6BD" w14:textId="77777777" w:rsidR="00C87808" w:rsidRPr="003F471F" w:rsidRDefault="00C87808" w:rsidP="00C87808">
      <w:pPr>
        <w:spacing w:after="60"/>
        <w:rPr>
          <w:lang w:val="it-IT"/>
        </w:rPr>
      </w:pPr>
      <w:r w:rsidRPr="003F471F">
        <w:rPr>
          <w:b/>
          <w:lang w:val="it-IT"/>
        </w:rPr>
        <w:t>Prodotti Eliminati</w:t>
      </w:r>
    </w:p>
    <w:p w14:paraId="75BD67D7" w14:textId="77777777" w:rsidR="00383917" w:rsidRPr="003F471F" w:rsidRDefault="00383917" w:rsidP="00383917">
      <w:pPr>
        <w:rPr>
          <w:lang w:val="it-IT"/>
        </w:rPr>
      </w:pPr>
      <w:r w:rsidRPr="003F471F">
        <w:rPr>
          <w:lang w:val="it-IT"/>
        </w:rPr>
        <w:t>Microsoft Dynamics CRM Online Extra Storage</w:t>
      </w:r>
    </w:p>
    <w:p w14:paraId="7E459DD6" w14:textId="77777777" w:rsidR="00383917" w:rsidRPr="003F471F" w:rsidRDefault="00383917" w:rsidP="00383917">
      <w:pPr>
        <w:rPr>
          <w:lang w:val="it-IT"/>
        </w:rPr>
      </w:pPr>
      <w:r w:rsidRPr="003F471F">
        <w:rPr>
          <w:lang w:val="it-IT"/>
        </w:rPr>
        <w:t>Microsoft Dynamics CRM Online Per Utente</w:t>
      </w:r>
    </w:p>
    <w:p w14:paraId="4FC508F6" w14:textId="77777777" w:rsidR="00383917" w:rsidRPr="003F471F" w:rsidRDefault="00383917" w:rsidP="00383917">
      <w:pPr>
        <w:rPr>
          <w:lang w:val="it-IT"/>
        </w:rPr>
      </w:pPr>
      <w:r w:rsidRPr="003F471F">
        <w:rPr>
          <w:lang w:val="it-IT"/>
        </w:rPr>
        <w:t>Microsoft Dynamics CRM Online per SA</w:t>
      </w:r>
    </w:p>
    <w:p w14:paraId="54F5A6B3" w14:textId="77777777" w:rsidR="00383917" w:rsidRPr="003F471F" w:rsidRDefault="00383917" w:rsidP="00383917">
      <w:pPr>
        <w:rPr>
          <w:lang w:val="it-IT"/>
        </w:rPr>
      </w:pPr>
      <w:r w:rsidRPr="003F471F">
        <w:rPr>
          <w:lang w:val="it-IT"/>
        </w:rPr>
        <w:t>CAL per Microsoft Dynamics CRM 2011 (Utente e Dispositivo)</w:t>
      </w:r>
    </w:p>
    <w:p w14:paraId="6F08F8FE" w14:textId="77777777" w:rsidR="00383917" w:rsidRPr="003F471F" w:rsidRDefault="00383917" w:rsidP="00383917">
      <w:pPr>
        <w:rPr>
          <w:lang w:val="it-IT"/>
        </w:rPr>
      </w:pPr>
      <w:r w:rsidRPr="003F471F">
        <w:rPr>
          <w:lang w:val="it-IT"/>
        </w:rPr>
        <w:t>Employee Self Service per Microsoft Dynamics CRM 2011 (Utente e Dispositivo)</w:t>
      </w:r>
    </w:p>
    <w:p w14:paraId="46450B8E" w14:textId="77777777" w:rsidR="00383917" w:rsidRPr="003F471F" w:rsidRDefault="00383917" w:rsidP="00383917">
      <w:pPr>
        <w:rPr>
          <w:lang w:val="it-IT"/>
        </w:rPr>
      </w:pPr>
      <w:r w:rsidRPr="003F471F">
        <w:rPr>
          <w:lang w:val="it-IT"/>
        </w:rPr>
        <w:t>Microsoft Dynamics CRM 2011 External Connector</w:t>
      </w:r>
    </w:p>
    <w:p w14:paraId="61D913FC" w14:textId="77777777" w:rsidR="00383917" w:rsidRPr="003F471F" w:rsidRDefault="00383917" w:rsidP="00383917">
      <w:pPr>
        <w:rPr>
          <w:lang w:val="it-IT"/>
        </w:rPr>
      </w:pPr>
      <w:r w:rsidRPr="003F471F">
        <w:rPr>
          <w:lang w:val="it-IT"/>
        </w:rPr>
        <w:t>CAL Aggiuntiva per l</w:t>
      </w:r>
      <w:r w:rsidR="001C4212" w:rsidRPr="003F471F">
        <w:rPr>
          <w:lang w:val="it-IT"/>
        </w:rPr>
        <w:t>’</w:t>
      </w:r>
      <w:r w:rsidRPr="003F471F">
        <w:rPr>
          <w:lang w:val="it-IT"/>
        </w:rPr>
        <w:t>Utilizzo Completo di Microsoft Dynamics CRM 2011 (Utente e Dispositivo)</w:t>
      </w:r>
    </w:p>
    <w:p w14:paraId="5FE09CBC" w14:textId="77777777" w:rsidR="00383917" w:rsidRPr="003F471F" w:rsidRDefault="00383917" w:rsidP="00383917">
      <w:pPr>
        <w:rPr>
          <w:lang w:val="it-IT"/>
        </w:rPr>
      </w:pPr>
      <w:r w:rsidRPr="003F471F">
        <w:rPr>
          <w:lang w:val="it-IT"/>
        </w:rPr>
        <w:t>CAL per l</w:t>
      </w:r>
      <w:r w:rsidR="001C4212" w:rsidRPr="003F471F">
        <w:rPr>
          <w:lang w:val="it-IT"/>
        </w:rPr>
        <w:t>’</w:t>
      </w:r>
      <w:r w:rsidRPr="003F471F">
        <w:rPr>
          <w:lang w:val="it-IT"/>
        </w:rPr>
        <w:t>Utilizzo Limitato di Microsoft Dynamics CRM 2011 (Utente e Dispositivo)</w:t>
      </w:r>
    </w:p>
    <w:p w14:paraId="46E9D19B" w14:textId="77777777" w:rsidR="00383917" w:rsidRPr="003F471F" w:rsidRDefault="00383917" w:rsidP="00383917">
      <w:pPr>
        <w:rPr>
          <w:lang w:val="it-IT"/>
        </w:rPr>
      </w:pPr>
      <w:r w:rsidRPr="003F471F">
        <w:rPr>
          <w:lang w:val="it-IT"/>
        </w:rPr>
        <w:t>CAL Aggiuntiva per l</w:t>
      </w:r>
      <w:r w:rsidR="001C4212" w:rsidRPr="003F471F">
        <w:rPr>
          <w:lang w:val="it-IT"/>
        </w:rPr>
        <w:t>’</w:t>
      </w:r>
      <w:r w:rsidRPr="003F471F">
        <w:rPr>
          <w:lang w:val="it-IT"/>
        </w:rPr>
        <w:t>Utilizzo Limitato di Microsoft Dynamics CRM 2011 (Utente e Dispositivo)</w:t>
      </w:r>
    </w:p>
    <w:p w14:paraId="131B0413" w14:textId="77777777" w:rsidR="00383917" w:rsidRPr="003F471F" w:rsidRDefault="00383917" w:rsidP="00383917">
      <w:pPr>
        <w:rPr>
          <w:lang w:val="it-IT"/>
        </w:rPr>
      </w:pPr>
      <w:r w:rsidRPr="003F471F">
        <w:rPr>
          <w:lang w:val="it-IT"/>
        </w:rPr>
        <w:t>Microsoft Dynamics CRM Server 2011</w:t>
      </w:r>
    </w:p>
    <w:p w14:paraId="0E77FB70" w14:textId="77777777" w:rsidR="00383917" w:rsidRPr="003F471F" w:rsidRDefault="00383917" w:rsidP="00383917">
      <w:pPr>
        <w:rPr>
          <w:lang w:val="it-IT"/>
        </w:rPr>
      </w:pPr>
      <w:r w:rsidRPr="003F471F">
        <w:rPr>
          <w:lang w:val="it-IT"/>
        </w:rPr>
        <w:t>Microsoft Dynamics CRM Workgroup Server 2011</w:t>
      </w:r>
    </w:p>
    <w:p w14:paraId="2BF5A372" w14:textId="77777777" w:rsidR="00CB4307" w:rsidRPr="003F471F" w:rsidRDefault="00CB4307" w:rsidP="00C87808">
      <w:pPr>
        <w:spacing w:after="60"/>
        <w:rPr>
          <w:lang w:val="it-IT"/>
        </w:rPr>
      </w:pPr>
      <w:r w:rsidRPr="003F471F">
        <w:rPr>
          <w:lang w:val="it-IT"/>
        </w:rPr>
        <w:t>Bing Maps Public Website Usage 250K Transactions Monthly Sub</w:t>
      </w:r>
    </w:p>
    <w:p w14:paraId="098C2941" w14:textId="77777777" w:rsidR="00C87808" w:rsidRPr="003F471F" w:rsidRDefault="00C87808" w:rsidP="00C87808">
      <w:pPr>
        <w:spacing w:after="60"/>
        <w:rPr>
          <w:lang w:val="it-IT"/>
        </w:rPr>
      </w:pPr>
    </w:p>
    <w:p w14:paraId="6117581C" w14:textId="77777777" w:rsidR="00C87808" w:rsidRPr="0058047D" w:rsidRDefault="00C87808" w:rsidP="00C87808">
      <w:pPr>
        <w:spacing w:after="60"/>
      </w:pPr>
      <w:r w:rsidRPr="0058047D">
        <w:rPr>
          <w:b/>
        </w:rPr>
        <w:t>Modifiche</w:t>
      </w:r>
    </w:p>
    <w:p w14:paraId="579C1E89" w14:textId="77777777" w:rsidR="00CB4307" w:rsidRPr="0058047D" w:rsidRDefault="00CB4307" w:rsidP="00383917">
      <w:r w:rsidRPr="0058047D">
        <w:t>Bing Maps Enterprise Fee Monthly Sub</w:t>
      </w:r>
    </w:p>
    <w:p w14:paraId="1B4C4AFC" w14:textId="77777777" w:rsidR="00CB4307" w:rsidRPr="0058047D" w:rsidRDefault="00CB4307" w:rsidP="00383917">
      <w:r w:rsidRPr="0058047D">
        <w:t>Bing Maps Mobile Asset Management Platform Fee Monthly Sub</w:t>
      </w:r>
    </w:p>
    <w:p w14:paraId="58E55786" w14:textId="77777777" w:rsidR="00CB4307" w:rsidRPr="0058047D" w:rsidRDefault="00CB4307" w:rsidP="00383917">
      <w:r w:rsidRPr="0058047D">
        <w:t>Windows Azure Active Directory Rights Management (SL per Utente)</w:t>
      </w:r>
    </w:p>
    <w:p w14:paraId="715B8F6F" w14:textId="77777777" w:rsidR="00C87808" w:rsidRPr="0058047D" w:rsidRDefault="00C87808" w:rsidP="00D94BF5">
      <w:pPr>
        <w:pStyle w:val="Heading2"/>
        <w:ind w:left="0"/>
        <w:jc w:val="both"/>
      </w:pPr>
    </w:p>
    <w:p w14:paraId="609A9AC5" w14:textId="77777777" w:rsidR="00C87808" w:rsidRPr="0058047D" w:rsidRDefault="00C87808" w:rsidP="00C87808"/>
    <w:p w14:paraId="263064BD" w14:textId="77777777" w:rsidR="00D94BF5" w:rsidRPr="003F471F" w:rsidRDefault="00D94BF5" w:rsidP="00D94BF5">
      <w:pPr>
        <w:pStyle w:val="Heading2"/>
        <w:ind w:left="0"/>
        <w:jc w:val="both"/>
        <w:rPr>
          <w:lang w:val="it-IT"/>
        </w:rPr>
      </w:pPr>
      <w:bookmarkStart w:id="570" w:name="_Toc371663562"/>
      <w:r w:rsidRPr="003F471F">
        <w:rPr>
          <w:rFonts w:ascii="Tahoma" w:hAnsi="Tahoma" w:cs="Tahoma"/>
          <w:color w:val="FF6600"/>
          <w:lang w:val="it-IT"/>
        </w:rPr>
        <w:t>MODIFICHE APPORTATE NEL MESE DI SETTEMBRE 2013</w:t>
      </w:r>
      <w:bookmarkEnd w:id="570"/>
    </w:p>
    <w:p w14:paraId="29957317" w14:textId="77777777" w:rsidR="00D94BF5" w:rsidRPr="003F471F" w:rsidRDefault="00D94BF5" w:rsidP="00D94BF5">
      <w:pPr>
        <w:spacing w:after="60"/>
        <w:rPr>
          <w:lang w:val="it-IT"/>
        </w:rPr>
      </w:pPr>
    </w:p>
    <w:p w14:paraId="656CF752" w14:textId="77777777" w:rsidR="00D94BF5" w:rsidRPr="0058047D" w:rsidRDefault="00D94BF5" w:rsidP="0047054A">
      <w:pPr>
        <w:spacing w:after="60"/>
      </w:pPr>
      <w:r w:rsidRPr="0058047D">
        <w:rPr>
          <w:b/>
        </w:rPr>
        <w:t>Prodotti Aggiunti</w:t>
      </w:r>
    </w:p>
    <w:p w14:paraId="2058E6F3" w14:textId="77777777" w:rsidR="00D40DF3" w:rsidRPr="0058047D" w:rsidRDefault="00D40DF3" w:rsidP="00652B91">
      <w:r w:rsidRPr="0058047D">
        <w:t>Windows Azure Active Directory Rights Management</w:t>
      </w:r>
    </w:p>
    <w:p w14:paraId="0DA0A9CF" w14:textId="77777777" w:rsidR="00D40DF3" w:rsidRPr="0058047D" w:rsidRDefault="00D40DF3" w:rsidP="00652B91"/>
    <w:p w14:paraId="679F2025" w14:textId="77777777" w:rsidR="00D94BF5" w:rsidRPr="003F471F" w:rsidRDefault="00D94BF5" w:rsidP="0047054A">
      <w:pPr>
        <w:spacing w:after="60"/>
        <w:rPr>
          <w:lang w:val="it-IT"/>
        </w:rPr>
      </w:pPr>
      <w:r w:rsidRPr="003F471F">
        <w:rPr>
          <w:b/>
          <w:lang w:val="it-IT"/>
        </w:rPr>
        <w:t>Promozioni</w:t>
      </w:r>
    </w:p>
    <w:p w14:paraId="5EA12340" w14:textId="77777777" w:rsidR="00D94BF5" w:rsidRPr="003F471F" w:rsidRDefault="00D40DF3" w:rsidP="00652B91">
      <w:pPr>
        <w:rPr>
          <w:lang w:val="it-IT"/>
        </w:rPr>
      </w:pPr>
      <w:r w:rsidRPr="003F471F">
        <w:rPr>
          <w:lang w:val="it-IT"/>
        </w:rPr>
        <w:t>Sono state aggiunte le seguenti promozioni:</w:t>
      </w:r>
    </w:p>
    <w:p w14:paraId="66D23918" w14:textId="77777777" w:rsidR="00D40DF3" w:rsidRPr="003F471F" w:rsidRDefault="00D40DF3" w:rsidP="00652B91">
      <w:pPr>
        <w:rPr>
          <w:lang w:val="it-IT"/>
        </w:rPr>
      </w:pPr>
      <w:r w:rsidRPr="003F471F">
        <w:rPr>
          <w:rStyle w:val="Strong"/>
          <w:rFonts w:cs="Tahoma"/>
          <w:b w:val="0"/>
          <w:color w:val="000000" w:themeColor="text1"/>
          <w:szCs w:val="18"/>
          <w:bdr w:val="none" w:sz="0" w:space="0" w:color="auto" w:frame="1"/>
          <w:shd w:val="clear" w:color="auto" w:fill="FFFFFF"/>
          <w:lang w:val="it-IT"/>
        </w:rPr>
        <w:t>Promozione di Windows Companion Kickstart</w:t>
      </w:r>
    </w:p>
    <w:p w14:paraId="29E54EAC" w14:textId="77777777" w:rsidR="00D40DF3" w:rsidRPr="003F471F" w:rsidRDefault="00D40DF3" w:rsidP="00652B91">
      <w:pPr>
        <w:rPr>
          <w:lang w:val="it-IT"/>
        </w:rPr>
      </w:pPr>
      <w:r w:rsidRPr="003F471F">
        <w:rPr>
          <w:rStyle w:val="Strong"/>
          <w:rFonts w:cs="Tahoma"/>
          <w:b w:val="0"/>
          <w:color w:val="000000" w:themeColor="text1"/>
          <w:szCs w:val="18"/>
          <w:bdr w:val="none" w:sz="0" w:space="0" w:color="auto" w:frame="1"/>
          <w:shd w:val="clear" w:color="auto" w:fill="FFFFFF"/>
          <w:lang w:val="it-IT"/>
        </w:rPr>
        <w:t>Promozione di</w:t>
      </w:r>
      <w:r w:rsidRPr="003F471F">
        <w:rPr>
          <w:rFonts w:cs="Tahoma"/>
          <w:b/>
          <w:color w:val="000000" w:themeColor="text1"/>
          <w:szCs w:val="18"/>
          <w:bdr w:val="none" w:sz="0" w:space="0" w:color="auto" w:frame="1"/>
          <w:shd w:val="clear" w:color="auto" w:fill="FFFFFF"/>
          <w:lang w:val="it-IT"/>
        </w:rPr>
        <w:t xml:space="preserve"> </w:t>
      </w:r>
      <w:r w:rsidRPr="003F471F">
        <w:rPr>
          <w:rStyle w:val="Strong"/>
          <w:rFonts w:cs="Tahoma"/>
          <w:b w:val="0"/>
          <w:color w:val="000000" w:themeColor="text1"/>
          <w:szCs w:val="18"/>
          <w:bdr w:val="none" w:sz="0" w:space="0" w:color="auto" w:frame="1"/>
          <w:shd w:val="clear" w:color="auto" w:fill="FFFFFF"/>
          <w:lang w:val="it-IT"/>
        </w:rPr>
        <w:t>Windows Intune</w:t>
      </w:r>
      <w:r w:rsidRPr="003F471F">
        <w:rPr>
          <w:rFonts w:cs="Tahoma"/>
          <w:b/>
          <w:color w:val="000000" w:themeColor="text1"/>
          <w:szCs w:val="18"/>
          <w:bdr w:val="none" w:sz="0" w:space="0" w:color="auto" w:frame="1"/>
          <w:shd w:val="clear" w:color="auto" w:fill="FFFFFF"/>
          <w:lang w:val="it-IT"/>
        </w:rPr>
        <w:t xml:space="preserve"> </w:t>
      </w:r>
    </w:p>
    <w:p w14:paraId="5D07E71D" w14:textId="77777777" w:rsidR="00D40DF3" w:rsidRPr="003F471F" w:rsidRDefault="00D40DF3" w:rsidP="00652B91">
      <w:pPr>
        <w:rPr>
          <w:lang w:val="it-IT"/>
        </w:rPr>
      </w:pPr>
    </w:p>
    <w:p w14:paraId="133A1A15" w14:textId="77777777" w:rsidR="00D94BF5" w:rsidRPr="003F471F" w:rsidRDefault="00D94BF5" w:rsidP="0047054A">
      <w:pPr>
        <w:spacing w:after="60"/>
        <w:rPr>
          <w:lang w:val="it-IT"/>
        </w:rPr>
      </w:pPr>
      <w:r w:rsidRPr="003F471F">
        <w:rPr>
          <w:b/>
          <w:lang w:val="it-IT"/>
        </w:rPr>
        <w:t>Prodotti Eliminati</w:t>
      </w:r>
    </w:p>
    <w:p w14:paraId="3707433D" w14:textId="77777777" w:rsidR="00D40DF3" w:rsidRPr="003F471F" w:rsidRDefault="00D40DF3" w:rsidP="00652B91">
      <w:pPr>
        <w:rPr>
          <w:lang w:val="it-IT"/>
        </w:rPr>
      </w:pPr>
      <w:r w:rsidRPr="003F471F">
        <w:rPr>
          <w:lang w:val="it-IT"/>
        </w:rPr>
        <w:t>Office 365 Enterprise E2 (SL per Utente)</w:t>
      </w:r>
    </w:p>
    <w:p w14:paraId="2CAB4A10" w14:textId="77777777" w:rsidR="00D40DF3" w:rsidRPr="003F471F" w:rsidRDefault="00D40DF3" w:rsidP="00652B91">
      <w:pPr>
        <w:rPr>
          <w:lang w:val="it-IT"/>
        </w:rPr>
      </w:pPr>
      <w:r w:rsidRPr="003F471F">
        <w:rPr>
          <w:lang w:val="it-IT"/>
        </w:rPr>
        <w:t>Office 365 Enterprise K2 (SL per Utente)</w:t>
      </w:r>
    </w:p>
    <w:p w14:paraId="4245058E" w14:textId="77777777" w:rsidR="00D40DF3" w:rsidRPr="003F471F" w:rsidRDefault="00D40DF3" w:rsidP="00652B91">
      <w:pPr>
        <w:rPr>
          <w:lang w:val="it-IT"/>
        </w:rPr>
      </w:pPr>
      <w:r w:rsidRPr="003F471F">
        <w:rPr>
          <w:lang w:val="it-IT"/>
        </w:rPr>
        <w:t>System Center Essentials 2010</w:t>
      </w:r>
    </w:p>
    <w:p w14:paraId="6CF2E5D6" w14:textId="77777777" w:rsidR="00D40DF3" w:rsidRPr="003F471F" w:rsidRDefault="00D40DF3" w:rsidP="00652B91">
      <w:pPr>
        <w:rPr>
          <w:lang w:val="it-IT"/>
        </w:rPr>
      </w:pPr>
      <w:r w:rsidRPr="003F471F">
        <w:rPr>
          <w:lang w:val="it-IT"/>
        </w:rPr>
        <w:t>Server ML per System Center Essentials 2010</w:t>
      </w:r>
    </w:p>
    <w:p w14:paraId="3D6826FF" w14:textId="77777777" w:rsidR="00D40DF3" w:rsidRPr="003F471F" w:rsidRDefault="00D40DF3" w:rsidP="00652B91">
      <w:pPr>
        <w:rPr>
          <w:lang w:val="it-IT"/>
        </w:rPr>
      </w:pPr>
      <w:r w:rsidRPr="003F471F">
        <w:rPr>
          <w:lang w:val="it-IT"/>
        </w:rPr>
        <w:t>Client ML per System Center Essentials 2010</w:t>
      </w:r>
    </w:p>
    <w:p w14:paraId="5FACDFF9" w14:textId="77777777" w:rsidR="00D40DF3" w:rsidRPr="003F471F" w:rsidRDefault="00D40DF3" w:rsidP="00652B91">
      <w:pPr>
        <w:rPr>
          <w:lang w:val="it-IT"/>
        </w:rPr>
      </w:pPr>
      <w:r w:rsidRPr="003F471F">
        <w:rPr>
          <w:lang w:val="it-IT"/>
        </w:rPr>
        <w:t>Client Management License Suite per System Center Essentials Plus 2010</w:t>
      </w:r>
    </w:p>
    <w:p w14:paraId="06193D69" w14:textId="77777777" w:rsidR="00A86BEB" w:rsidRPr="003F471F" w:rsidRDefault="00A86BEB" w:rsidP="00652B91">
      <w:pPr>
        <w:rPr>
          <w:lang w:val="fr-FR"/>
        </w:rPr>
      </w:pPr>
      <w:r w:rsidRPr="003F471F">
        <w:rPr>
          <w:lang w:val="fr-FR"/>
        </w:rPr>
        <w:t>TechNet Plus Direct</w:t>
      </w:r>
    </w:p>
    <w:p w14:paraId="1155927B" w14:textId="77777777" w:rsidR="00A86BEB" w:rsidRPr="003F471F" w:rsidRDefault="00A86BEB" w:rsidP="00652B91">
      <w:pPr>
        <w:rPr>
          <w:lang w:val="fr-FR"/>
        </w:rPr>
      </w:pPr>
      <w:r w:rsidRPr="003F471F">
        <w:rPr>
          <w:lang w:val="fr-FR"/>
        </w:rPr>
        <w:t>TechNet Plus Single User</w:t>
      </w:r>
    </w:p>
    <w:p w14:paraId="1AE1280A" w14:textId="77777777" w:rsidR="00D94BF5" w:rsidRPr="003F471F" w:rsidRDefault="00A86BEB" w:rsidP="00652B91">
      <w:pPr>
        <w:rPr>
          <w:lang w:val="it-IT"/>
        </w:rPr>
      </w:pPr>
      <w:r w:rsidRPr="003F471F">
        <w:rPr>
          <w:lang w:val="it-IT"/>
        </w:rPr>
        <w:t>Sottoscrizioni TechNet</w:t>
      </w:r>
    </w:p>
    <w:p w14:paraId="4AC9D9AE" w14:textId="77777777" w:rsidR="00A86BEB" w:rsidRPr="003F471F" w:rsidRDefault="00A86BEB" w:rsidP="00652B91">
      <w:pPr>
        <w:rPr>
          <w:lang w:val="it-IT"/>
        </w:rPr>
      </w:pPr>
    </w:p>
    <w:p w14:paraId="3CB0BE14" w14:textId="77777777" w:rsidR="00D94BF5" w:rsidRPr="003F471F" w:rsidRDefault="00D94BF5" w:rsidP="0047054A">
      <w:pPr>
        <w:spacing w:after="60"/>
        <w:rPr>
          <w:lang w:val="it-IT"/>
        </w:rPr>
      </w:pPr>
      <w:r w:rsidRPr="003F471F">
        <w:rPr>
          <w:b/>
          <w:lang w:val="it-IT"/>
        </w:rPr>
        <w:t>Modifiche</w:t>
      </w:r>
    </w:p>
    <w:p w14:paraId="6378E53F" w14:textId="77777777" w:rsidR="00471E00" w:rsidRPr="003F471F" w:rsidRDefault="00C358B7" w:rsidP="00652B91">
      <w:pPr>
        <w:rPr>
          <w:lang w:val="it-IT"/>
        </w:rPr>
      </w:pPr>
      <w:r w:rsidRPr="003F471F">
        <w:rPr>
          <w:rFonts w:cs="Tahoma"/>
          <w:color w:val="000000" w:themeColor="text1"/>
          <w:lang w:val="it-IT"/>
        </w:rPr>
        <w:t>Learning Solutions E-Reference Library (SL per Utente) cambiato in Microsoft Learning E-Reference Library (SL per Utente)</w:t>
      </w:r>
    </w:p>
    <w:p w14:paraId="2FFF95E1" w14:textId="77777777" w:rsidR="00C358B7" w:rsidRPr="0058047D" w:rsidRDefault="00C358B7" w:rsidP="00652B91">
      <w:r w:rsidRPr="0058047D">
        <w:rPr>
          <w:rFonts w:cs="Tahoma"/>
          <w:color w:val="000000" w:themeColor="text1"/>
        </w:rPr>
        <w:t>Learning Solutions IT Academy (SL per Utente) cambiato in Microsoft Learning IT Academy (SL per Utente)</w:t>
      </w:r>
    </w:p>
    <w:p w14:paraId="7B25931B" w14:textId="77777777" w:rsidR="00C358B7" w:rsidRPr="0058047D" w:rsidRDefault="00C358B7" w:rsidP="00652B91">
      <w:r w:rsidRPr="0058047D">
        <w:rPr>
          <w:rFonts w:cs="Tahoma"/>
          <w:color w:val="000000" w:themeColor="text1"/>
        </w:rPr>
        <w:t>Learning Solutions MCP 1 Exam Vouchers (SL per Utente) cambiato in Microsoft Learning MCP 1 Exam Vouchers (SL per Utente)</w:t>
      </w:r>
    </w:p>
    <w:p w14:paraId="6B895FC1" w14:textId="77777777" w:rsidR="00C358B7" w:rsidRPr="0058047D" w:rsidRDefault="00C358B7" w:rsidP="00652B91">
      <w:r w:rsidRPr="0058047D">
        <w:rPr>
          <w:rFonts w:cs="Tahoma"/>
          <w:color w:val="000000" w:themeColor="text1"/>
        </w:rPr>
        <w:t>Learning Solutions MCP 30 Exam Vouchers (SL per Utente) cambiato in Microsoft Learning MCP 30 Exam Vouchers (SL per Utente)</w:t>
      </w:r>
    </w:p>
    <w:p w14:paraId="102B4D27" w14:textId="77777777" w:rsidR="00C358B7" w:rsidRPr="0058047D" w:rsidRDefault="00C358B7" w:rsidP="00652B91">
      <w:r w:rsidRPr="0058047D">
        <w:rPr>
          <w:rFonts w:cs="Tahoma"/>
          <w:color w:val="000000" w:themeColor="text1"/>
        </w:rPr>
        <w:t xml:space="preserve">Learning Solutions MOS 500 Exam Site License (SL per Utente) cambiato in Microsoft Learning MOS 500 Exam Site License (SL per Utente) </w:t>
      </w:r>
    </w:p>
    <w:p w14:paraId="683B8325" w14:textId="77777777" w:rsidR="00C358B7" w:rsidRPr="0058047D" w:rsidRDefault="00C358B7" w:rsidP="00652B91">
      <w:r w:rsidRPr="0058047D">
        <w:rPr>
          <w:rFonts w:cs="Tahoma"/>
          <w:color w:val="000000" w:themeColor="text1"/>
        </w:rPr>
        <w:t>Learning Solutions MTA 250 Exam Site License (SL per Utente) cambiato in Microsoft Learning MTA 250 Exam Site License (SL per Utente)</w:t>
      </w:r>
    </w:p>
    <w:p w14:paraId="4E230233" w14:textId="77777777" w:rsidR="00D94BF5" w:rsidRPr="0058047D" w:rsidRDefault="00D94BF5" w:rsidP="00652B91"/>
    <w:p w14:paraId="30183D9D" w14:textId="77777777" w:rsidR="0047054A" w:rsidRPr="0058047D" w:rsidRDefault="0047054A" w:rsidP="00652B91"/>
    <w:p w14:paraId="2D0076C5" w14:textId="77777777" w:rsidR="007C2F29" w:rsidRPr="003F471F" w:rsidRDefault="007C2F29" w:rsidP="00DE520D">
      <w:pPr>
        <w:pStyle w:val="Heading2"/>
        <w:ind w:left="0"/>
        <w:jc w:val="both"/>
        <w:rPr>
          <w:lang w:val="it-IT"/>
        </w:rPr>
      </w:pPr>
      <w:bookmarkStart w:id="571" w:name="_Toc371663563"/>
      <w:r w:rsidRPr="003F471F">
        <w:rPr>
          <w:rFonts w:ascii="Tahoma" w:hAnsi="Tahoma" w:cs="Tahoma"/>
          <w:color w:val="FF6600"/>
          <w:lang w:val="it-IT"/>
        </w:rPr>
        <w:t>MODIFICHE APPORTATE NEL MESE DI AGOSTO 2013</w:t>
      </w:r>
      <w:bookmarkEnd w:id="571"/>
    </w:p>
    <w:p w14:paraId="05D92907" w14:textId="77777777" w:rsidR="007C2F29" w:rsidRPr="003F471F" w:rsidRDefault="007C2F29" w:rsidP="007C2F29">
      <w:pPr>
        <w:spacing w:after="60"/>
        <w:rPr>
          <w:lang w:val="it-IT"/>
        </w:rPr>
      </w:pPr>
    </w:p>
    <w:p w14:paraId="7707B3A0" w14:textId="77777777" w:rsidR="007C2F29" w:rsidRPr="003F471F" w:rsidRDefault="007C2F29" w:rsidP="007C2F29">
      <w:pPr>
        <w:spacing w:after="60"/>
        <w:rPr>
          <w:lang w:val="it-IT"/>
        </w:rPr>
      </w:pPr>
      <w:r w:rsidRPr="003F471F">
        <w:rPr>
          <w:b/>
          <w:lang w:val="it-IT"/>
        </w:rPr>
        <w:t>Prodotti Aggiunti</w:t>
      </w:r>
    </w:p>
    <w:p w14:paraId="7D830944" w14:textId="77777777" w:rsidR="006068C9" w:rsidRPr="003F471F" w:rsidRDefault="006068C9" w:rsidP="003F1A34">
      <w:pPr>
        <w:rPr>
          <w:lang w:val="it-IT"/>
        </w:rPr>
      </w:pPr>
      <w:r w:rsidRPr="003F471F">
        <w:rPr>
          <w:rFonts w:cs="Tahoma"/>
          <w:szCs w:val="18"/>
          <w:lang w:val="it-IT"/>
        </w:rPr>
        <w:t>Componente Aggiuntivo di Exchange Online Piano 1 (SL per Utente)</w:t>
      </w:r>
    </w:p>
    <w:p w14:paraId="2707778E" w14:textId="77777777" w:rsidR="006068C9" w:rsidRPr="003F471F" w:rsidRDefault="006068C9" w:rsidP="003F1A34">
      <w:pPr>
        <w:rPr>
          <w:lang w:val="it-IT"/>
        </w:rPr>
      </w:pPr>
      <w:r w:rsidRPr="003F471F">
        <w:rPr>
          <w:rFonts w:cs="Tahoma"/>
          <w:szCs w:val="18"/>
          <w:lang w:val="it-IT"/>
        </w:rPr>
        <w:t>Componente Aggiuntivo di Lync Online Piano 1 (SL per Utente)</w:t>
      </w:r>
    </w:p>
    <w:p w14:paraId="6482542E" w14:textId="77777777" w:rsidR="006068C9" w:rsidRPr="003F471F" w:rsidRDefault="006068C9" w:rsidP="003F1A34">
      <w:pPr>
        <w:rPr>
          <w:lang w:val="it-IT"/>
        </w:rPr>
      </w:pPr>
      <w:r w:rsidRPr="003F471F">
        <w:rPr>
          <w:rFonts w:cs="Tahoma"/>
          <w:szCs w:val="18"/>
          <w:lang w:val="it-IT"/>
        </w:rPr>
        <w:t>Componente Aggiuntivo di SharePoint Online Piano 1 (SL per Utente)</w:t>
      </w:r>
    </w:p>
    <w:p w14:paraId="76E4617E" w14:textId="77777777" w:rsidR="006068C9" w:rsidRPr="003F471F" w:rsidRDefault="006068C9" w:rsidP="003F1A34">
      <w:pPr>
        <w:rPr>
          <w:lang w:val="it-IT"/>
        </w:rPr>
      </w:pPr>
      <w:r w:rsidRPr="003F471F">
        <w:rPr>
          <w:rFonts w:cs="Tahoma"/>
          <w:szCs w:val="18"/>
          <w:lang w:val="it-IT"/>
        </w:rPr>
        <w:t>SharePoint Online Piano 1 con Componente Aggiuntivo di Yammer (SL per Utente)</w:t>
      </w:r>
    </w:p>
    <w:p w14:paraId="327D177C" w14:textId="77777777" w:rsidR="006068C9" w:rsidRPr="003F471F" w:rsidRDefault="006068C9" w:rsidP="003F1A34">
      <w:pPr>
        <w:rPr>
          <w:lang w:val="it-IT"/>
        </w:rPr>
      </w:pPr>
      <w:r w:rsidRPr="003F471F">
        <w:rPr>
          <w:rFonts w:cs="Tahoma"/>
          <w:szCs w:val="18"/>
          <w:lang w:val="it-IT"/>
        </w:rPr>
        <w:t>Componente Aggiuntivo di Office 365 Enterprise E1, E3, E4 (SL per Utente)</w:t>
      </w:r>
    </w:p>
    <w:p w14:paraId="03FABB81" w14:textId="77777777" w:rsidR="006068C9" w:rsidRPr="003F471F" w:rsidRDefault="006068C9" w:rsidP="003F1A34">
      <w:pPr>
        <w:rPr>
          <w:lang w:val="it-IT"/>
        </w:rPr>
      </w:pPr>
      <w:r w:rsidRPr="003F471F">
        <w:rPr>
          <w:rFonts w:cs="Tahoma"/>
          <w:szCs w:val="18"/>
          <w:lang w:val="it-IT"/>
        </w:rPr>
        <w:t>Componente Aggiuntivo di Office 365 Government G1, G3, G4 (SL per Utente)</w:t>
      </w:r>
    </w:p>
    <w:p w14:paraId="44F7F3F8" w14:textId="77777777" w:rsidR="006068C9" w:rsidRPr="003F471F" w:rsidRDefault="006068C9" w:rsidP="003F1A34">
      <w:pPr>
        <w:rPr>
          <w:lang w:val="it-IT"/>
        </w:rPr>
      </w:pPr>
      <w:r w:rsidRPr="003F471F">
        <w:rPr>
          <w:rFonts w:cs="Tahoma"/>
          <w:szCs w:val="18"/>
          <w:lang w:val="it-IT"/>
        </w:rPr>
        <w:t>Office 365 Enterprise E3, E4 senza Componente Aggiuntivo di Office Pro Plus (SL per Utente)</w:t>
      </w:r>
    </w:p>
    <w:p w14:paraId="77573C18" w14:textId="77777777" w:rsidR="007C2F29" w:rsidRPr="003F471F" w:rsidRDefault="006068C9" w:rsidP="003F1A34">
      <w:pPr>
        <w:rPr>
          <w:lang w:val="it-IT"/>
        </w:rPr>
      </w:pPr>
      <w:r w:rsidRPr="003F471F">
        <w:rPr>
          <w:rFonts w:cs="Tahoma"/>
          <w:szCs w:val="18"/>
          <w:lang w:val="it-IT"/>
        </w:rPr>
        <w:t>Office 365 Government G3, G4 senza Componente Aggiuntivo di Office Pro Plus (SL per Utente)</w:t>
      </w:r>
    </w:p>
    <w:p w14:paraId="68A95E1A" w14:textId="77777777" w:rsidR="006068C9" w:rsidRPr="003F471F" w:rsidRDefault="006068C9" w:rsidP="007C2F29">
      <w:pPr>
        <w:spacing w:after="60"/>
        <w:rPr>
          <w:lang w:val="it-IT"/>
        </w:rPr>
      </w:pPr>
    </w:p>
    <w:p w14:paraId="448BEF2D" w14:textId="77777777" w:rsidR="007C2F29" w:rsidRPr="003F471F" w:rsidRDefault="007C2F29" w:rsidP="007C2F29">
      <w:pPr>
        <w:spacing w:after="60"/>
        <w:rPr>
          <w:lang w:val="it-IT"/>
        </w:rPr>
      </w:pPr>
      <w:r w:rsidRPr="003F471F">
        <w:rPr>
          <w:b/>
          <w:lang w:val="it-IT"/>
        </w:rPr>
        <w:t>Promozioni</w:t>
      </w:r>
    </w:p>
    <w:p w14:paraId="4763621F" w14:textId="77777777" w:rsidR="00DB6980" w:rsidRPr="003F471F" w:rsidRDefault="00DB6980" w:rsidP="003F1A34">
      <w:pPr>
        <w:rPr>
          <w:lang w:val="it-IT"/>
        </w:rPr>
      </w:pPr>
      <w:r w:rsidRPr="003F471F">
        <w:rPr>
          <w:rFonts w:cs="Tahoma"/>
          <w:szCs w:val="18"/>
          <w:lang w:val="it-IT"/>
        </w:rPr>
        <w:t>Sono state eliminate le seguenti promozioni:</w:t>
      </w:r>
    </w:p>
    <w:p w14:paraId="4AB811C2" w14:textId="77777777" w:rsidR="006068C9" w:rsidRPr="003F471F" w:rsidRDefault="003F5594" w:rsidP="003F1A34">
      <w:pPr>
        <w:rPr>
          <w:lang w:val="it-IT"/>
        </w:rPr>
      </w:pPr>
      <w:r w:rsidRPr="003F471F">
        <w:rPr>
          <w:rFonts w:cs="Tahoma"/>
          <w:szCs w:val="18"/>
          <w:lang w:val="it-IT"/>
        </w:rPr>
        <w:t>Microsoft Dynamics AX 2012 R2 Promozione: Acquista Una Enterprise CAL e Ricevi Una Functional CAL</w:t>
      </w:r>
    </w:p>
    <w:p w14:paraId="128E18CB" w14:textId="77777777" w:rsidR="003F5594" w:rsidRPr="003F471F" w:rsidRDefault="003F5594" w:rsidP="003F1A34">
      <w:pPr>
        <w:rPr>
          <w:lang w:val="it-IT"/>
        </w:rPr>
      </w:pPr>
      <w:r w:rsidRPr="003F471F">
        <w:rPr>
          <w:rFonts w:cs="Tahoma"/>
          <w:szCs w:val="18"/>
          <w:lang w:val="it-IT"/>
        </w:rPr>
        <w:t>15% di sconto sulle Licenze Step-up per Project/Visio</w:t>
      </w:r>
    </w:p>
    <w:p w14:paraId="7059EB00" w14:textId="77777777" w:rsidR="003F5594" w:rsidRPr="003F471F" w:rsidRDefault="003F5594" w:rsidP="003F1A34">
      <w:pPr>
        <w:rPr>
          <w:lang w:val="it-IT"/>
        </w:rPr>
      </w:pPr>
      <w:r w:rsidRPr="003F471F">
        <w:rPr>
          <w:rFonts w:cs="Tahoma"/>
          <w:szCs w:val="18"/>
          <w:lang w:val="it-IT"/>
        </w:rPr>
        <w:t>55% di sconto sulle CAL per Project Server Acquistate a Livello Aziendale</w:t>
      </w:r>
    </w:p>
    <w:p w14:paraId="4499553D" w14:textId="77777777" w:rsidR="003F5594" w:rsidRPr="003F471F" w:rsidRDefault="003F5594" w:rsidP="003F1A34">
      <w:pPr>
        <w:rPr>
          <w:lang w:val="it-IT"/>
        </w:rPr>
      </w:pPr>
    </w:p>
    <w:p w14:paraId="4967D0EA" w14:textId="77777777" w:rsidR="007C2F29" w:rsidRPr="003F471F" w:rsidRDefault="007C2F29" w:rsidP="007C2F29">
      <w:pPr>
        <w:spacing w:after="60"/>
        <w:rPr>
          <w:lang w:val="it-IT"/>
        </w:rPr>
      </w:pPr>
      <w:r w:rsidRPr="003F471F">
        <w:rPr>
          <w:b/>
          <w:lang w:val="it-IT"/>
        </w:rPr>
        <w:t>Prodotti Eliminati</w:t>
      </w:r>
    </w:p>
    <w:p w14:paraId="2EC66CFD" w14:textId="77777777" w:rsidR="007C2F29" w:rsidRPr="003F471F" w:rsidRDefault="007C2F29" w:rsidP="007C2F29">
      <w:pPr>
        <w:spacing w:after="60"/>
        <w:rPr>
          <w:lang w:val="it-IT"/>
        </w:rPr>
      </w:pPr>
    </w:p>
    <w:p w14:paraId="0D4FE06F" w14:textId="77777777" w:rsidR="007C2F29" w:rsidRPr="003F471F" w:rsidRDefault="007C2F29" w:rsidP="007C2F29">
      <w:pPr>
        <w:spacing w:after="60"/>
        <w:rPr>
          <w:lang w:val="it-IT"/>
        </w:rPr>
      </w:pPr>
      <w:r w:rsidRPr="003F471F">
        <w:rPr>
          <w:b/>
          <w:lang w:val="it-IT"/>
        </w:rPr>
        <w:t>Modifiche</w:t>
      </w:r>
    </w:p>
    <w:p w14:paraId="4C61B07B" w14:textId="77777777" w:rsidR="006068C9" w:rsidRPr="003F471F" w:rsidRDefault="006068C9" w:rsidP="006068C9">
      <w:pPr>
        <w:rPr>
          <w:lang w:val="it-IT"/>
        </w:rPr>
      </w:pPr>
      <w:r w:rsidRPr="003F471F">
        <w:rPr>
          <w:rFonts w:cs="Tahoma"/>
          <w:szCs w:val="18"/>
          <w:lang w:val="it-IT"/>
        </w:rPr>
        <w:t>Office 365 A3, A4 (SL per Utente)</w:t>
      </w:r>
    </w:p>
    <w:p w14:paraId="5ABC3453" w14:textId="77777777" w:rsidR="006068C9" w:rsidRPr="003F471F" w:rsidRDefault="000F1BE7" w:rsidP="006068C9">
      <w:pPr>
        <w:rPr>
          <w:lang w:val="it-IT"/>
        </w:rPr>
      </w:pPr>
      <w:r w:rsidRPr="003F471F">
        <w:rPr>
          <w:rFonts w:cs="Tahoma"/>
          <w:szCs w:val="18"/>
          <w:lang w:val="it-IT"/>
        </w:rPr>
        <w:t>Office 365 Enterprise E2-E4 (SL per Utente)</w:t>
      </w:r>
    </w:p>
    <w:p w14:paraId="01304599" w14:textId="77777777" w:rsidR="007C2F29" w:rsidRPr="003F471F" w:rsidRDefault="007C2F29" w:rsidP="007C2F29">
      <w:pPr>
        <w:rPr>
          <w:lang w:val="it-IT"/>
        </w:rPr>
      </w:pPr>
    </w:p>
    <w:p w14:paraId="33EAB235" w14:textId="77777777" w:rsidR="007C2F29" w:rsidRPr="003F471F" w:rsidRDefault="007C2F29" w:rsidP="007C2F29">
      <w:pPr>
        <w:rPr>
          <w:lang w:val="it-IT"/>
        </w:rPr>
      </w:pPr>
    </w:p>
    <w:p w14:paraId="4DC37ADD" w14:textId="77777777" w:rsidR="00DE520D" w:rsidRPr="003F471F" w:rsidRDefault="00DE520D" w:rsidP="00DE520D">
      <w:pPr>
        <w:pStyle w:val="Heading2"/>
        <w:ind w:left="0"/>
        <w:jc w:val="both"/>
        <w:rPr>
          <w:lang w:val="it-IT"/>
        </w:rPr>
      </w:pPr>
      <w:bookmarkStart w:id="572" w:name="_Toc371663564"/>
      <w:r w:rsidRPr="003F471F">
        <w:rPr>
          <w:rFonts w:ascii="Tahoma" w:hAnsi="Tahoma" w:cs="Tahoma"/>
          <w:color w:val="FF6600"/>
          <w:lang w:val="it-IT"/>
        </w:rPr>
        <w:t>MODIFICHE APPORTATE NEL MESE DI LUGLIO 2013</w:t>
      </w:r>
      <w:bookmarkEnd w:id="572"/>
    </w:p>
    <w:p w14:paraId="5F4D4CEF" w14:textId="77777777" w:rsidR="00DE520D" w:rsidRPr="003F471F" w:rsidRDefault="00DE520D" w:rsidP="00DE520D">
      <w:pPr>
        <w:rPr>
          <w:lang w:val="it-IT"/>
        </w:rPr>
      </w:pPr>
    </w:p>
    <w:p w14:paraId="338D4A7C" w14:textId="77777777" w:rsidR="00DE520D" w:rsidRPr="003F471F" w:rsidRDefault="00DE520D" w:rsidP="00DE520D">
      <w:pPr>
        <w:spacing w:after="60"/>
        <w:rPr>
          <w:lang w:val="it-IT"/>
        </w:rPr>
      </w:pPr>
      <w:r w:rsidRPr="003F471F">
        <w:rPr>
          <w:b/>
          <w:lang w:val="it-IT"/>
        </w:rPr>
        <w:t>Prodotti Aggiunti</w:t>
      </w:r>
    </w:p>
    <w:p w14:paraId="4E6F52D5" w14:textId="77777777" w:rsidR="00DE520D" w:rsidRPr="003F471F" w:rsidRDefault="00230E06" w:rsidP="00DE520D">
      <w:pPr>
        <w:rPr>
          <w:lang w:val="it-IT"/>
        </w:rPr>
      </w:pPr>
      <w:r w:rsidRPr="003F471F">
        <w:rPr>
          <w:rFonts w:cs="Tahoma"/>
          <w:szCs w:val="18"/>
          <w:lang w:val="it-IT"/>
        </w:rPr>
        <w:t>Windows</w:t>
      </w:r>
      <w:r w:rsidR="00E53A46" w:rsidRPr="003F471F">
        <w:rPr>
          <w:rFonts w:cs="Tahoma"/>
          <w:szCs w:val="18"/>
          <w:vertAlign w:val="superscript"/>
          <w:lang w:val="it-IT"/>
        </w:rPr>
        <w:t>®</w:t>
      </w:r>
      <w:r w:rsidRPr="003F471F">
        <w:rPr>
          <w:rFonts w:cs="Tahoma"/>
          <w:szCs w:val="18"/>
          <w:lang w:val="it-IT"/>
        </w:rPr>
        <w:t xml:space="preserve"> Embedded 8 Industry Pro</w:t>
      </w:r>
    </w:p>
    <w:p w14:paraId="1FC9A2C7" w14:textId="77777777" w:rsidR="00230E06" w:rsidRPr="0058047D" w:rsidRDefault="00230E06" w:rsidP="00DE520D">
      <w:r w:rsidRPr="0058047D">
        <w:rPr>
          <w:rFonts w:cs="Tahoma"/>
          <w:szCs w:val="18"/>
        </w:rPr>
        <w:t>Windows</w:t>
      </w:r>
      <w:r w:rsidR="00E53A46" w:rsidRPr="0058047D">
        <w:rPr>
          <w:rFonts w:cs="Tahoma"/>
          <w:szCs w:val="18"/>
          <w:vertAlign w:val="superscript"/>
        </w:rPr>
        <w:t>®</w:t>
      </w:r>
      <w:r w:rsidRPr="0058047D">
        <w:rPr>
          <w:rFonts w:cs="Tahoma"/>
          <w:szCs w:val="18"/>
        </w:rPr>
        <w:t xml:space="preserve"> Embedded 8 Standard Enterprise Kit</w:t>
      </w:r>
    </w:p>
    <w:p w14:paraId="15766744" w14:textId="77777777" w:rsidR="00230E06" w:rsidRPr="0058047D" w:rsidRDefault="00230E06" w:rsidP="00DE520D">
      <w:r w:rsidRPr="0058047D">
        <w:rPr>
          <w:rFonts w:cs="Tahoma"/>
          <w:szCs w:val="18"/>
        </w:rPr>
        <w:t>Windows</w:t>
      </w:r>
      <w:r w:rsidR="00E53A46" w:rsidRPr="0058047D">
        <w:rPr>
          <w:rFonts w:cs="Tahoma"/>
          <w:szCs w:val="18"/>
          <w:vertAlign w:val="superscript"/>
        </w:rPr>
        <w:t>®</w:t>
      </w:r>
      <w:r w:rsidRPr="0058047D">
        <w:rPr>
          <w:rFonts w:cs="Tahoma"/>
          <w:szCs w:val="18"/>
        </w:rPr>
        <w:t xml:space="preserve"> Embedded 8 Industry Pro Sideloading</w:t>
      </w:r>
    </w:p>
    <w:p w14:paraId="7A644D4D" w14:textId="77777777" w:rsidR="00F23DD6" w:rsidRPr="003F471F" w:rsidRDefault="00F23DD6" w:rsidP="00DE520D">
      <w:pPr>
        <w:rPr>
          <w:lang w:val="it-IT"/>
        </w:rPr>
      </w:pPr>
      <w:r w:rsidRPr="003F471F">
        <w:rPr>
          <w:rFonts w:cs="Tahoma"/>
          <w:szCs w:val="18"/>
          <w:lang w:val="it-IT"/>
        </w:rPr>
        <w:t>Windows</w:t>
      </w:r>
      <w:r w:rsidR="00E53A46" w:rsidRPr="003F471F">
        <w:rPr>
          <w:rFonts w:cs="Tahoma"/>
          <w:szCs w:val="18"/>
          <w:vertAlign w:val="superscript"/>
          <w:lang w:val="it-IT"/>
        </w:rPr>
        <w:t>®</w:t>
      </w:r>
      <w:r w:rsidRPr="003F471F">
        <w:rPr>
          <w:rFonts w:cs="Tahoma"/>
          <w:szCs w:val="18"/>
          <w:lang w:val="it-IT"/>
        </w:rPr>
        <w:t xml:space="preserve"> 8 Pro Sideloading</w:t>
      </w:r>
    </w:p>
    <w:p w14:paraId="74F68C9D" w14:textId="77777777" w:rsidR="00DE520D" w:rsidRPr="003F471F" w:rsidRDefault="00DE520D" w:rsidP="00DE520D">
      <w:pPr>
        <w:rPr>
          <w:lang w:val="it-IT"/>
        </w:rPr>
      </w:pPr>
    </w:p>
    <w:p w14:paraId="317D56CD" w14:textId="77777777" w:rsidR="00DE520D" w:rsidRPr="003F471F" w:rsidRDefault="00DE520D" w:rsidP="00DE520D">
      <w:pPr>
        <w:spacing w:after="60"/>
        <w:rPr>
          <w:lang w:val="it-IT"/>
        </w:rPr>
      </w:pPr>
      <w:r w:rsidRPr="003F471F">
        <w:rPr>
          <w:b/>
          <w:lang w:val="it-IT"/>
        </w:rPr>
        <w:t>Promozioni</w:t>
      </w:r>
    </w:p>
    <w:p w14:paraId="3077C260" w14:textId="77777777" w:rsidR="00DE520D" w:rsidRPr="003F471F" w:rsidRDefault="00230E06" w:rsidP="00DE520D">
      <w:pPr>
        <w:rPr>
          <w:lang w:val="it-IT"/>
        </w:rPr>
      </w:pPr>
      <w:r w:rsidRPr="003F471F">
        <w:rPr>
          <w:rFonts w:cs="Tahoma"/>
          <w:color w:val="000000"/>
          <w:szCs w:val="18"/>
          <w:lang w:val="it-IT"/>
        </w:rPr>
        <w:t>Nessuna modifica alle Promozioni</w:t>
      </w:r>
    </w:p>
    <w:p w14:paraId="7D68B6C9" w14:textId="77777777" w:rsidR="00DE520D" w:rsidRPr="003F471F" w:rsidRDefault="00DE520D" w:rsidP="00DE520D">
      <w:pPr>
        <w:rPr>
          <w:lang w:val="it-IT"/>
        </w:rPr>
      </w:pPr>
    </w:p>
    <w:p w14:paraId="35393C06" w14:textId="77777777" w:rsidR="00DE520D" w:rsidRPr="003F471F" w:rsidRDefault="00DE520D" w:rsidP="00DE520D">
      <w:pPr>
        <w:spacing w:after="60"/>
        <w:rPr>
          <w:lang w:val="it-IT"/>
        </w:rPr>
      </w:pPr>
      <w:r w:rsidRPr="003F471F">
        <w:rPr>
          <w:b/>
          <w:lang w:val="it-IT"/>
        </w:rPr>
        <w:t>Prodotti Eliminati</w:t>
      </w:r>
    </w:p>
    <w:p w14:paraId="6FC08785" w14:textId="77777777" w:rsidR="00DE520D" w:rsidRPr="003F471F" w:rsidRDefault="00230E06" w:rsidP="00DE520D">
      <w:pPr>
        <w:rPr>
          <w:lang w:val="it-IT"/>
        </w:rPr>
      </w:pPr>
      <w:r w:rsidRPr="003F471F">
        <w:rPr>
          <w:rFonts w:cs="Tahoma"/>
          <w:color w:val="000000"/>
          <w:szCs w:val="20"/>
          <w:lang w:val="it-IT"/>
        </w:rPr>
        <w:t>Vexcel Server</w:t>
      </w:r>
    </w:p>
    <w:p w14:paraId="481BF53F" w14:textId="77777777" w:rsidR="00230E06" w:rsidRPr="003F471F" w:rsidRDefault="00230E06" w:rsidP="00DE520D">
      <w:pPr>
        <w:rPr>
          <w:lang w:val="it-IT"/>
        </w:rPr>
      </w:pPr>
      <w:r w:rsidRPr="003F471F">
        <w:rPr>
          <w:rFonts w:cs="Tahoma"/>
          <w:color w:val="000000"/>
          <w:szCs w:val="20"/>
          <w:lang w:val="it-IT"/>
        </w:rPr>
        <w:t>Vexcel Server con Enhanced Content Pack</w:t>
      </w:r>
    </w:p>
    <w:p w14:paraId="739C5C82" w14:textId="77777777" w:rsidR="00230E06" w:rsidRPr="003F471F" w:rsidRDefault="00230E06" w:rsidP="00DE520D">
      <w:pPr>
        <w:rPr>
          <w:lang w:val="it-IT"/>
        </w:rPr>
      </w:pPr>
      <w:r w:rsidRPr="003F471F">
        <w:rPr>
          <w:rFonts w:cs="Tahoma"/>
          <w:color w:val="000000"/>
          <w:szCs w:val="20"/>
          <w:lang w:val="it-IT"/>
        </w:rPr>
        <w:t>Vexcel Desktop con Enhanced Content Pack</w:t>
      </w:r>
    </w:p>
    <w:p w14:paraId="5095D346" w14:textId="77777777" w:rsidR="00230E06" w:rsidRPr="003F471F" w:rsidRDefault="00230E06" w:rsidP="00DE520D">
      <w:pPr>
        <w:rPr>
          <w:lang w:val="it-IT"/>
        </w:rPr>
      </w:pPr>
      <w:r w:rsidRPr="003F471F">
        <w:rPr>
          <w:rFonts w:cs="Tahoma"/>
          <w:color w:val="000000"/>
          <w:szCs w:val="20"/>
          <w:lang w:val="it-IT"/>
        </w:rPr>
        <w:t>GeoSynther 3.0</w:t>
      </w:r>
    </w:p>
    <w:p w14:paraId="1ED6FB93" w14:textId="77777777" w:rsidR="00230E06" w:rsidRPr="0058047D" w:rsidRDefault="00230E06" w:rsidP="00DE520D">
      <w:r w:rsidRPr="0058047D">
        <w:rPr>
          <w:rFonts w:cs="Tahoma"/>
          <w:color w:val="000000"/>
          <w:szCs w:val="20"/>
        </w:rPr>
        <w:t>GeoSynth Viewer 3.0</w:t>
      </w:r>
    </w:p>
    <w:p w14:paraId="387DF365" w14:textId="77777777" w:rsidR="00230E06" w:rsidRPr="0058047D" w:rsidRDefault="00230E06" w:rsidP="00DE520D">
      <w:r w:rsidRPr="0058047D">
        <w:rPr>
          <w:rFonts w:cs="Tahoma"/>
          <w:color w:val="000000"/>
          <w:szCs w:val="20"/>
        </w:rPr>
        <w:t>GeoSynth Server</w:t>
      </w:r>
    </w:p>
    <w:p w14:paraId="52EF3DFC" w14:textId="77777777" w:rsidR="00230E06" w:rsidRPr="0058047D" w:rsidRDefault="00230E06" w:rsidP="00230E06">
      <w:r w:rsidRPr="0058047D">
        <w:rPr>
          <w:rFonts w:eastAsia="Times New Roman" w:cs="Tahoma"/>
          <w:szCs w:val="18"/>
        </w:rPr>
        <w:t>Premium Add-on per Windows Small Business Server 2011 (5 client)</w:t>
      </w:r>
    </w:p>
    <w:p w14:paraId="3F29D3A6" w14:textId="77777777" w:rsidR="00230E06" w:rsidRPr="0058047D" w:rsidRDefault="00230E06" w:rsidP="00230E06">
      <w:r w:rsidRPr="0058047D">
        <w:rPr>
          <w:rFonts w:eastAsia="Times New Roman" w:cs="Tahoma"/>
          <w:szCs w:val="18"/>
        </w:rPr>
        <w:t>Windows Small Business Server 2011 Standard (5 client)</w:t>
      </w:r>
    </w:p>
    <w:p w14:paraId="42A95EBF" w14:textId="77777777" w:rsidR="00230E06" w:rsidRPr="0058047D" w:rsidRDefault="00230E06" w:rsidP="00230E06">
      <w:r w:rsidRPr="0058047D">
        <w:rPr>
          <w:rFonts w:eastAsia="Times New Roman" w:cs="Tahoma"/>
          <w:szCs w:val="18"/>
        </w:rPr>
        <w:t>CAL Suite per Windows Small Business Server 2008 per Utenti o Dispositivi Premium</w:t>
      </w:r>
    </w:p>
    <w:p w14:paraId="76A49E40" w14:textId="77777777" w:rsidR="00230E06" w:rsidRPr="0058047D" w:rsidRDefault="00230E06" w:rsidP="00230E06">
      <w:r w:rsidRPr="0058047D">
        <w:rPr>
          <w:rFonts w:eastAsia="Times New Roman" w:cs="Tahoma"/>
          <w:szCs w:val="18"/>
        </w:rPr>
        <w:t>CAL Suite per Windows Small Business Server 2008 per Utenti o Dispositivi Premium (5 client)</w:t>
      </w:r>
    </w:p>
    <w:p w14:paraId="2457E76D" w14:textId="77777777" w:rsidR="00230E06" w:rsidRPr="0058047D" w:rsidRDefault="00230E06" w:rsidP="00DE520D">
      <w:r w:rsidRPr="0058047D">
        <w:rPr>
          <w:rFonts w:eastAsia="Times New Roman" w:cs="Tahoma"/>
          <w:szCs w:val="18"/>
        </w:rPr>
        <w:t>CAL Suite per Windows Small Business Server 2008 per Utenti o Dispositivi Premium (20 client)</w:t>
      </w:r>
    </w:p>
    <w:p w14:paraId="5B5602E8" w14:textId="77777777" w:rsidR="00DE520D" w:rsidRPr="0058047D" w:rsidRDefault="00DE520D" w:rsidP="00DE520D"/>
    <w:p w14:paraId="0DBA74F9" w14:textId="77777777" w:rsidR="00DE520D" w:rsidRPr="0058047D" w:rsidRDefault="00DE520D" w:rsidP="00DE520D">
      <w:pPr>
        <w:spacing w:after="60"/>
      </w:pPr>
      <w:r w:rsidRPr="0058047D">
        <w:rPr>
          <w:b/>
        </w:rPr>
        <w:t>Modifiche</w:t>
      </w:r>
    </w:p>
    <w:p w14:paraId="45261D25" w14:textId="77777777" w:rsidR="00230E06" w:rsidRPr="0058047D" w:rsidRDefault="00230E06" w:rsidP="00230E06">
      <w:r w:rsidRPr="0058047D">
        <w:rPr>
          <w:rFonts w:ascii="Arial" w:eastAsia="Times New Roman" w:hAnsi="Arial" w:cs="Arial"/>
          <w:sz w:val="20"/>
          <w:szCs w:val="20"/>
        </w:rPr>
        <w:t>Visual Studio</w:t>
      </w:r>
      <w:r w:rsidR="00E53A46" w:rsidRPr="0058047D">
        <w:rPr>
          <w:rFonts w:ascii="Arial" w:eastAsia="Times New Roman" w:hAnsi="Arial" w:cs="Arial"/>
          <w:sz w:val="20"/>
          <w:szCs w:val="20"/>
          <w:vertAlign w:val="superscript"/>
        </w:rPr>
        <w:t>®</w:t>
      </w:r>
      <w:r w:rsidRPr="0058047D">
        <w:rPr>
          <w:rFonts w:ascii="Arial" w:eastAsia="Times New Roman" w:hAnsi="Arial" w:cs="Arial"/>
          <w:sz w:val="20"/>
          <w:szCs w:val="20"/>
        </w:rPr>
        <w:t xml:space="preserve"> Premium 2012 con MSDN</w:t>
      </w:r>
    </w:p>
    <w:p w14:paraId="6238E01E" w14:textId="77777777" w:rsidR="00230E06" w:rsidRPr="0058047D" w:rsidRDefault="00230E06" w:rsidP="00230E06">
      <w:r w:rsidRPr="0058047D">
        <w:rPr>
          <w:rFonts w:ascii="Arial" w:eastAsia="Times New Roman" w:hAnsi="Arial" w:cs="Arial"/>
          <w:sz w:val="20"/>
          <w:szCs w:val="20"/>
        </w:rPr>
        <w:t>Visual Studio</w:t>
      </w:r>
      <w:r w:rsidR="00E53A46" w:rsidRPr="0058047D">
        <w:rPr>
          <w:rFonts w:ascii="Arial" w:eastAsia="Times New Roman" w:hAnsi="Arial" w:cs="Arial"/>
          <w:sz w:val="20"/>
          <w:szCs w:val="20"/>
          <w:vertAlign w:val="superscript"/>
        </w:rPr>
        <w:t>®</w:t>
      </w:r>
      <w:r w:rsidRPr="0058047D">
        <w:rPr>
          <w:rFonts w:ascii="Arial" w:eastAsia="Times New Roman" w:hAnsi="Arial" w:cs="Arial"/>
          <w:sz w:val="20"/>
          <w:szCs w:val="20"/>
        </w:rPr>
        <w:t xml:space="preserve"> Ultimate 2012 con MSDN</w:t>
      </w:r>
    </w:p>
    <w:p w14:paraId="3AFACA45" w14:textId="77777777" w:rsidR="00230E06" w:rsidRPr="0058047D" w:rsidRDefault="00230E06" w:rsidP="00230E06">
      <w:r w:rsidRPr="0058047D">
        <w:rPr>
          <w:rFonts w:ascii="Arial" w:eastAsia="Times New Roman" w:hAnsi="Arial" w:cs="Arial"/>
          <w:sz w:val="20"/>
          <w:szCs w:val="20"/>
        </w:rPr>
        <w:t>Windows Vista DVD Playback Pack</w:t>
      </w:r>
    </w:p>
    <w:p w14:paraId="422E9E12" w14:textId="77777777" w:rsidR="00DE520D" w:rsidRPr="0058047D" w:rsidRDefault="00230E06" w:rsidP="00862623">
      <w:r w:rsidRPr="0058047D">
        <w:rPr>
          <w:rFonts w:ascii="Arial" w:eastAsia="Times New Roman" w:hAnsi="Arial" w:cs="Arial"/>
          <w:sz w:val="20"/>
          <w:szCs w:val="20"/>
        </w:rPr>
        <w:t>Windows 8 Enterprise Sideloading (100 Confezioni)</w:t>
      </w:r>
    </w:p>
    <w:p w14:paraId="1172ECB0" w14:textId="77777777" w:rsidR="00862623" w:rsidRPr="0058047D" w:rsidRDefault="00862623" w:rsidP="00862623"/>
    <w:p w14:paraId="00EECEBE" w14:textId="77777777" w:rsidR="00862623" w:rsidRPr="0058047D" w:rsidRDefault="00862623" w:rsidP="00862623"/>
    <w:p w14:paraId="647E0857" w14:textId="77777777" w:rsidR="00471E00" w:rsidRPr="003F471F" w:rsidRDefault="00471E00" w:rsidP="00471E00">
      <w:pPr>
        <w:pStyle w:val="Heading2"/>
        <w:ind w:left="0"/>
        <w:jc w:val="both"/>
        <w:rPr>
          <w:lang w:val="it-IT"/>
        </w:rPr>
      </w:pPr>
      <w:bookmarkStart w:id="573" w:name="_Toc371663565"/>
      <w:r w:rsidRPr="003F471F">
        <w:rPr>
          <w:rFonts w:ascii="Tahoma" w:hAnsi="Tahoma" w:cs="Tahoma"/>
          <w:color w:val="FF6600"/>
          <w:lang w:val="it-IT"/>
        </w:rPr>
        <w:t>MODIFICHE APPORTATE NEL MESE DI GIUGNO 2013</w:t>
      </w:r>
      <w:bookmarkEnd w:id="573"/>
    </w:p>
    <w:p w14:paraId="5212F016" w14:textId="77777777" w:rsidR="00471E00" w:rsidRPr="003F471F" w:rsidRDefault="00471E00" w:rsidP="00471E00">
      <w:pPr>
        <w:rPr>
          <w:lang w:val="it-IT"/>
        </w:rPr>
      </w:pPr>
    </w:p>
    <w:p w14:paraId="3B91524F" w14:textId="77777777" w:rsidR="00471E00" w:rsidRPr="003F471F" w:rsidRDefault="00471E00" w:rsidP="00471E00">
      <w:pPr>
        <w:spacing w:after="60"/>
        <w:rPr>
          <w:lang w:val="it-IT"/>
        </w:rPr>
      </w:pPr>
      <w:r w:rsidRPr="003F471F">
        <w:rPr>
          <w:b/>
          <w:lang w:val="it-IT"/>
        </w:rPr>
        <w:t>Prodotti Aggiunti</w:t>
      </w:r>
    </w:p>
    <w:p w14:paraId="510F8421" w14:textId="77777777" w:rsidR="00471E00" w:rsidRPr="003F471F" w:rsidRDefault="00471E00" w:rsidP="00471E00">
      <w:pPr>
        <w:rPr>
          <w:lang w:val="it-IT"/>
        </w:rPr>
      </w:pPr>
      <w:r w:rsidRPr="003F471F">
        <w:rPr>
          <w:rFonts w:cs="Tahoma"/>
          <w:szCs w:val="18"/>
          <w:lang w:val="it-IT"/>
        </w:rPr>
        <w:t>Microsoft Office Audit and Control Management</w:t>
      </w:r>
    </w:p>
    <w:p w14:paraId="5B4CC140" w14:textId="77777777" w:rsidR="00984919" w:rsidRPr="003F471F" w:rsidRDefault="00984919" w:rsidP="00471E00">
      <w:pPr>
        <w:rPr>
          <w:lang w:val="it-IT"/>
        </w:rPr>
      </w:pPr>
      <w:r w:rsidRPr="003F471F">
        <w:rPr>
          <w:rFonts w:cs="Tahoma"/>
          <w:szCs w:val="18"/>
          <w:lang w:val="it-IT"/>
        </w:rPr>
        <w:t>Piattaforme MSDN</w:t>
      </w:r>
    </w:p>
    <w:p w14:paraId="2A9E973B" w14:textId="77777777" w:rsidR="00471E00" w:rsidRPr="003F471F" w:rsidRDefault="00471E00" w:rsidP="00471E00">
      <w:pPr>
        <w:rPr>
          <w:lang w:val="it-IT"/>
        </w:rPr>
      </w:pPr>
    </w:p>
    <w:p w14:paraId="211C8A40" w14:textId="77777777" w:rsidR="00F62191" w:rsidRPr="003F471F" w:rsidRDefault="00F62191" w:rsidP="00471E00">
      <w:pPr>
        <w:rPr>
          <w:lang w:val="it-IT"/>
        </w:rPr>
      </w:pPr>
    </w:p>
    <w:p w14:paraId="5EF08E97" w14:textId="77777777" w:rsidR="00F62191" w:rsidRPr="003F471F" w:rsidRDefault="00F62191" w:rsidP="00471E00">
      <w:pPr>
        <w:rPr>
          <w:lang w:val="it-IT"/>
        </w:rPr>
      </w:pPr>
    </w:p>
    <w:p w14:paraId="4D9B32C9" w14:textId="77777777" w:rsidR="00471E00" w:rsidRPr="003F471F" w:rsidRDefault="00471E00" w:rsidP="00471E00">
      <w:pPr>
        <w:spacing w:after="60"/>
        <w:rPr>
          <w:lang w:val="it-IT"/>
        </w:rPr>
      </w:pPr>
      <w:r w:rsidRPr="003F471F">
        <w:rPr>
          <w:b/>
          <w:lang w:val="it-IT"/>
        </w:rPr>
        <w:t>Promozioni</w:t>
      </w:r>
    </w:p>
    <w:p w14:paraId="55F8337E" w14:textId="77777777" w:rsidR="00471E00" w:rsidRPr="003F471F" w:rsidRDefault="00471E00" w:rsidP="00471E00">
      <w:pPr>
        <w:rPr>
          <w:lang w:val="it-IT"/>
        </w:rPr>
      </w:pPr>
      <w:r w:rsidRPr="003F471F">
        <w:rPr>
          <w:rFonts w:cs="Tahoma"/>
          <w:color w:val="000000"/>
          <w:szCs w:val="18"/>
          <w:lang w:val="it-IT"/>
        </w:rPr>
        <w:t>Nessuna modifica alle Promozioni</w:t>
      </w:r>
    </w:p>
    <w:p w14:paraId="2DDC46E3" w14:textId="77777777" w:rsidR="00471E00" w:rsidRPr="003F471F" w:rsidRDefault="00471E00" w:rsidP="00471E00">
      <w:pPr>
        <w:spacing w:after="60"/>
        <w:rPr>
          <w:lang w:val="it-IT"/>
        </w:rPr>
      </w:pPr>
      <w:r w:rsidRPr="003F471F">
        <w:rPr>
          <w:rFonts w:cs="Tahoma"/>
          <w:szCs w:val="18"/>
          <w:lang w:val="it-IT"/>
        </w:rPr>
        <w:br/>
      </w:r>
      <w:r w:rsidRPr="003F471F">
        <w:rPr>
          <w:b/>
          <w:lang w:val="it-IT"/>
        </w:rPr>
        <w:t>Prodotti Eliminati</w:t>
      </w:r>
    </w:p>
    <w:p w14:paraId="76982B55" w14:textId="77777777" w:rsidR="0064651F" w:rsidRPr="003F471F" w:rsidRDefault="005D7F61" w:rsidP="00862623">
      <w:pPr>
        <w:rPr>
          <w:lang w:val="it-IT"/>
        </w:rPr>
      </w:pPr>
      <w:r w:rsidRPr="003F471F">
        <w:rPr>
          <w:rFonts w:cs="Tahoma"/>
          <w:color w:val="000000"/>
          <w:szCs w:val="20"/>
          <w:lang w:val="it-IT"/>
        </w:rPr>
        <w:t>Web Antimalware Subscription per Forefront TMG</w:t>
      </w:r>
    </w:p>
    <w:p w14:paraId="46C356E9" w14:textId="77777777" w:rsidR="00862623" w:rsidRPr="003F471F" w:rsidRDefault="00862623" w:rsidP="00862623">
      <w:pPr>
        <w:rPr>
          <w:lang w:val="it-IT"/>
        </w:rPr>
      </w:pPr>
    </w:p>
    <w:p w14:paraId="4EEA0C60" w14:textId="77777777" w:rsidR="00862623" w:rsidRPr="003F471F" w:rsidRDefault="00862623" w:rsidP="00862623">
      <w:pPr>
        <w:rPr>
          <w:lang w:val="it-IT"/>
        </w:rPr>
      </w:pPr>
    </w:p>
    <w:p w14:paraId="03E98FA7" w14:textId="77777777" w:rsidR="00290FC1" w:rsidRPr="003F471F" w:rsidRDefault="00290FC1" w:rsidP="0047054A">
      <w:pPr>
        <w:pStyle w:val="Heading2"/>
        <w:keepNext/>
        <w:ind w:left="0"/>
        <w:jc w:val="both"/>
        <w:rPr>
          <w:lang w:val="it-IT"/>
        </w:rPr>
      </w:pPr>
      <w:bookmarkStart w:id="574" w:name="_Toc371663566"/>
      <w:r w:rsidRPr="003F471F">
        <w:rPr>
          <w:rFonts w:ascii="Tahoma" w:hAnsi="Tahoma" w:cs="Tahoma"/>
          <w:color w:val="FF6600"/>
          <w:lang w:val="it-IT"/>
        </w:rPr>
        <w:t>MODIFICHE APPORTATE NEL MESE DI MAGGIO 2013</w:t>
      </w:r>
      <w:bookmarkEnd w:id="574"/>
    </w:p>
    <w:p w14:paraId="3238A5CD" w14:textId="77777777" w:rsidR="00290FC1" w:rsidRPr="003F471F" w:rsidRDefault="00290FC1" w:rsidP="0047054A">
      <w:pPr>
        <w:pStyle w:val="Heading2"/>
        <w:keepNext/>
        <w:ind w:left="0"/>
        <w:jc w:val="both"/>
        <w:rPr>
          <w:lang w:val="it-IT"/>
        </w:rPr>
      </w:pPr>
    </w:p>
    <w:p w14:paraId="423D82CA" w14:textId="77777777" w:rsidR="00290FC1" w:rsidRPr="003F471F" w:rsidRDefault="00290FC1" w:rsidP="0047054A">
      <w:pPr>
        <w:keepNext/>
        <w:spacing w:after="60"/>
        <w:rPr>
          <w:lang w:val="it-IT"/>
        </w:rPr>
      </w:pPr>
      <w:r w:rsidRPr="003F471F">
        <w:rPr>
          <w:b/>
          <w:lang w:val="it-IT"/>
        </w:rPr>
        <w:t>Prodotti Aggiunti</w:t>
      </w:r>
    </w:p>
    <w:p w14:paraId="4CCF46A4" w14:textId="77777777" w:rsidR="007E2DBF" w:rsidRPr="003F471F" w:rsidRDefault="007E2DBF" w:rsidP="007E2DBF">
      <w:pPr>
        <w:rPr>
          <w:lang w:val="it-IT"/>
        </w:rPr>
      </w:pPr>
      <w:r w:rsidRPr="003F471F">
        <w:rPr>
          <w:lang w:val="it-IT"/>
        </w:rPr>
        <w:t>Learning Solutions MCP 30 Exam Vouchers (SL Utente)</w:t>
      </w:r>
    </w:p>
    <w:p w14:paraId="46D5D174" w14:textId="77777777" w:rsidR="007E2DBF" w:rsidRPr="0058047D" w:rsidRDefault="007E2DBF" w:rsidP="007E2DBF">
      <w:r w:rsidRPr="0058047D">
        <w:t>Learning Solutions MOS 500 Exam Site License (SL Servizi)</w:t>
      </w:r>
    </w:p>
    <w:p w14:paraId="13D11ABF" w14:textId="77777777" w:rsidR="007E2DBF" w:rsidRPr="0058047D" w:rsidRDefault="007E2DBF" w:rsidP="007E2DBF">
      <w:r w:rsidRPr="0058047D">
        <w:t>Learning Solutions MTA 250 Exam Site License (SL Servizi)</w:t>
      </w:r>
    </w:p>
    <w:p w14:paraId="57FBCF6D" w14:textId="77777777" w:rsidR="00290FC1" w:rsidRPr="0058047D" w:rsidRDefault="00290FC1" w:rsidP="00290FC1"/>
    <w:p w14:paraId="725171B8" w14:textId="77777777" w:rsidR="00290FC1" w:rsidRPr="0058047D" w:rsidRDefault="00290FC1" w:rsidP="00290FC1">
      <w:pPr>
        <w:spacing w:after="60"/>
      </w:pPr>
      <w:r w:rsidRPr="0058047D">
        <w:rPr>
          <w:b/>
        </w:rPr>
        <w:t>Modifiche</w:t>
      </w:r>
    </w:p>
    <w:p w14:paraId="398499FA" w14:textId="77777777" w:rsidR="00290FC1" w:rsidRPr="0058047D" w:rsidRDefault="007E2DBF" w:rsidP="00290FC1">
      <w:r w:rsidRPr="0058047D">
        <w:t>Learning Solutions MCP 1 Exam Vouchers (SL Servizi)</w:t>
      </w:r>
    </w:p>
    <w:p w14:paraId="2F13E8A8" w14:textId="77777777" w:rsidR="007E2DBF" w:rsidRPr="0058047D" w:rsidRDefault="007E2DBF" w:rsidP="00290FC1">
      <w:r w:rsidRPr="0058047D">
        <w:t>Licenza “Subscription” per Windows Companion</w:t>
      </w:r>
    </w:p>
    <w:p w14:paraId="29D150E5" w14:textId="77777777" w:rsidR="007E2DBF" w:rsidRPr="0058047D" w:rsidRDefault="007E2DBF" w:rsidP="00290FC1">
      <w:r w:rsidRPr="0058047D">
        <w:t>Windows Desktop Optimization Pack per Software Assurance</w:t>
      </w:r>
    </w:p>
    <w:p w14:paraId="5E192F31" w14:textId="77777777" w:rsidR="007E2DBF" w:rsidRPr="003F471F" w:rsidRDefault="007E2DBF" w:rsidP="00290FC1">
      <w:pPr>
        <w:rPr>
          <w:lang w:val="it-IT"/>
        </w:rPr>
      </w:pPr>
      <w:r w:rsidRPr="003F471F">
        <w:rPr>
          <w:lang w:val="it-IT"/>
        </w:rPr>
        <w:t>Windows 8 Enterprise Sideloading (100 confezioni)</w:t>
      </w:r>
    </w:p>
    <w:p w14:paraId="07344804" w14:textId="77777777" w:rsidR="007E2DBF" w:rsidRPr="003F471F" w:rsidRDefault="007E2DBF" w:rsidP="00290FC1">
      <w:pPr>
        <w:rPr>
          <w:lang w:val="it-IT"/>
        </w:rPr>
      </w:pPr>
      <w:r w:rsidRPr="003F471F">
        <w:rPr>
          <w:lang w:val="it-IT"/>
        </w:rPr>
        <w:t>Windows</w:t>
      </w:r>
      <w:r w:rsidR="00E53A46" w:rsidRPr="003F471F">
        <w:rPr>
          <w:vertAlign w:val="superscript"/>
          <w:lang w:val="it-IT"/>
        </w:rPr>
        <w:t>®</w:t>
      </w:r>
      <w:r w:rsidRPr="003F471F">
        <w:rPr>
          <w:lang w:val="it-IT"/>
        </w:rPr>
        <w:t xml:space="preserve"> 8 Pro con MDOP</w:t>
      </w:r>
    </w:p>
    <w:p w14:paraId="7BBB736D" w14:textId="77777777" w:rsidR="00D57D2B" w:rsidRPr="003F471F" w:rsidRDefault="00D57D2B" w:rsidP="00290FC1">
      <w:pPr>
        <w:rPr>
          <w:lang w:val="it-IT"/>
        </w:rPr>
      </w:pPr>
    </w:p>
    <w:p w14:paraId="614822B8" w14:textId="77777777" w:rsidR="00D57D2B" w:rsidRPr="003F471F" w:rsidRDefault="00D57D2B" w:rsidP="00290FC1">
      <w:pPr>
        <w:rPr>
          <w:lang w:val="it-IT"/>
        </w:rPr>
      </w:pPr>
    </w:p>
    <w:p w14:paraId="2768CC14" w14:textId="77777777" w:rsidR="00B65F35" w:rsidRPr="003F471F" w:rsidRDefault="00B65F35" w:rsidP="00B65F35">
      <w:pPr>
        <w:pStyle w:val="Heading2"/>
        <w:ind w:left="0"/>
        <w:jc w:val="both"/>
        <w:rPr>
          <w:lang w:val="it-IT"/>
        </w:rPr>
      </w:pPr>
      <w:bookmarkStart w:id="575" w:name="_Toc371663567"/>
      <w:r w:rsidRPr="003F471F">
        <w:rPr>
          <w:rFonts w:ascii="Tahoma" w:hAnsi="Tahoma" w:cs="Tahoma"/>
          <w:color w:val="FF6600"/>
          <w:lang w:val="it-IT"/>
        </w:rPr>
        <w:t>MODIFICHE APPORTATE NEL MESE DI APRILE 2013</w:t>
      </w:r>
      <w:bookmarkEnd w:id="575"/>
    </w:p>
    <w:p w14:paraId="7A69EFEE" w14:textId="77777777" w:rsidR="00B65F35" w:rsidRPr="003F471F" w:rsidRDefault="00B65F35" w:rsidP="004759C6">
      <w:pPr>
        <w:pStyle w:val="Heading2"/>
        <w:ind w:left="0"/>
        <w:jc w:val="both"/>
        <w:rPr>
          <w:lang w:val="it-IT"/>
        </w:rPr>
      </w:pPr>
    </w:p>
    <w:p w14:paraId="4D268767" w14:textId="77777777" w:rsidR="00B65F35" w:rsidRPr="003F471F" w:rsidRDefault="00B65F35" w:rsidP="00B65F35">
      <w:pPr>
        <w:spacing w:after="60"/>
        <w:rPr>
          <w:lang w:val="it-IT"/>
        </w:rPr>
      </w:pPr>
      <w:r w:rsidRPr="003F471F">
        <w:rPr>
          <w:b/>
          <w:lang w:val="it-IT"/>
        </w:rPr>
        <w:t>Prodotti Aggiunti</w:t>
      </w:r>
    </w:p>
    <w:p w14:paraId="5A2563B1" w14:textId="77777777" w:rsidR="00D02D7A" w:rsidRPr="003F471F" w:rsidRDefault="00D02D7A" w:rsidP="00D02D7A">
      <w:pPr>
        <w:rPr>
          <w:lang w:val="it-IT"/>
        </w:rPr>
      </w:pPr>
      <w:r w:rsidRPr="003F471F">
        <w:rPr>
          <w:lang w:val="it-IT"/>
        </w:rPr>
        <w:t>Bing Maps Consumer Tracked Per Asset Monthly Sub</w:t>
      </w:r>
    </w:p>
    <w:p w14:paraId="676E5F01" w14:textId="77777777" w:rsidR="00D02D7A" w:rsidRPr="003F471F" w:rsidRDefault="00D02D7A" w:rsidP="00D02D7A">
      <w:pPr>
        <w:rPr>
          <w:lang w:val="it-IT"/>
        </w:rPr>
      </w:pPr>
      <w:r w:rsidRPr="003F471F">
        <w:rPr>
          <w:lang w:val="it-IT"/>
        </w:rPr>
        <w:t>Bing Maps Desktop con Enhanced Content Pack</w:t>
      </w:r>
    </w:p>
    <w:p w14:paraId="103FA42D" w14:textId="77777777" w:rsidR="00D02D7A" w:rsidRPr="0058047D" w:rsidRDefault="00D02D7A" w:rsidP="00D02D7A">
      <w:r w:rsidRPr="0058047D">
        <w:t>Bing Maps for Enterprise Platform Fee Monthly Sub</w:t>
      </w:r>
    </w:p>
    <w:p w14:paraId="7489FAA8" w14:textId="77777777" w:rsidR="00D02D7A" w:rsidRPr="0058047D" w:rsidRDefault="00D02D7A" w:rsidP="00D02D7A">
      <w:r w:rsidRPr="0058047D">
        <w:t>Bing Maps Public Website Usage 100K Transactions Monthly Sub</w:t>
      </w:r>
    </w:p>
    <w:p w14:paraId="6C61F497" w14:textId="77777777" w:rsidR="00D02D7A" w:rsidRPr="0058047D" w:rsidRDefault="00D02D7A" w:rsidP="00D02D7A">
      <w:r w:rsidRPr="0058047D">
        <w:t>Bing Maps Public Website Usage 250K Transactions Monthly Sub</w:t>
      </w:r>
    </w:p>
    <w:p w14:paraId="04F144E9" w14:textId="77777777" w:rsidR="00D02D7A" w:rsidRPr="0058047D" w:rsidRDefault="00D02D7A" w:rsidP="00D02D7A">
      <w:r w:rsidRPr="0058047D">
        <w:t>Bing Maps Public Website Usage 420K Transactions Monthly Sub</w:t>
      </w:r>
    </w:p>
    <w:p w14:paraId="36ED6275" w14:textId="77777777" w:rsidR="00D02D7A" w:rsidRPr="0058047D" w:rsidRDefault="00D02D7A" w:rsidP="00D02D7A">
      <w:r w:rsidRPr="0058047D">
        <w:t>Bing Maps Public Website Usage 840K Transactions Monthly Sub</w:t>
      </w:r>
    </w:p>
    <w:p w14:paraId="4BE6E4BD" w14:textId="77777777" w:rsidR="00D02D7A" w:rsidRPr="0058047D" w:rsidRDefault="00D02D7A" w:rsidP="00D02D7A">
      <w:r w:rsidRPr="0058047D">
        <w:t>Bing Maps Public Website Usage 2.5m Transactions Monthly Sub</w:t>
      </w:r>
    </w:p>
    <w:p w14:paraId="73E21660" w14:textId="77777777" w:rsidR="00D02D7A" w:rsidRPr="0058047D" w:rsidRDefault="00D02D7A" w:rsidP="00D02D7A">
      <w:r w:rsidRPr="0058047D">
        <w:t>Bing Maps Public Website Usage 4.2m Transactions Monthly Sub</w:t>
      </w:r>
    </w:p>
    <w:p w14:paraId="43815A69" w14:textId="77777777" w:rsidR="00D02D7A" w:rsidRPr="0058047D" w:rsidRDefault="00D02D7A" w:rsidP="00D02D7A">
      <w:r w:rsidRPr="0058047D">
        <w:t>Bing Maps Public Website Usage 8.4m Transactions Monthly Sub</w:t>
      </w:r>
    </w:p>
    <w:p w14:paraId="54763999" w14:textId="77777777" w:rsidR="00D02D7A" w:rsidRPr="0058047D" w:rsidRDefault="00D02D7A" w:rsidP="00D02D7A">
      <w:r w:rsidRPr="0058047D">
        <w:t>Bing Maps Public Website Usage Unlimited Transactions Monthly Sub</w:t>
      </w:r>
    </w:p>
    <w:p w14:paraId="568C790C" w14:textId="77777777" w:rsidR="00D02D7A" w:rsidRPr="0058047D" w:rsidRDefault="00D02D7A" w:rsidP="00D02D7A">
      <w:r w:rsidRPr="0058047D">
        <w:t>Bing Maps Internal Website Usage 100K Transactions Monthly Sub</w:t>
      </w:r>
    </w:p>
    <w:p w14:paraId="660CB2B9" w14:textId="77777777" w:rsidR="00D02D7A" w:rsidRPr="0058047D" w:rsidRDefault="00D02D7A" w:rsidP="00D02D7A">
      <w:r w:rsidRPr="0058047D">
        <w:t>Bing Maps Internal Website Usage 250K Transactions Monthly Sub</w:t>
      </w:r>
    </w:p>
    <w:p w14:paraId="10315C98" w14:textId="77777777" w:rsidR="00D02D7A" w:rsidRPr="0058047D" w:rsidRDefault="00D02D7A" w:rsidP="00D02D7A">
      <w:r w:rsidRPr="0058047D">
        <w:t>Bing Maps Internal Website Usage 420K Transactions Monthly Sub</w:t>
      </w:r>
    </w:p>
    <w:p w14:paraId="50B9F096" w14:textId="77777777" w:rsidR="00D02D7A" w:rsidRPr="0058047D" w:rsidRDefault="00D02D7A" w:rsidP="00D02D7A">
      <w:r w:rsidRPr="0058047D">
        <w:t>Bing Maps Internal Website Usage 1.25m Transactions Monthly Sub</w:t>
      </w:r>
    </w:p>
    <w:p w14:paraId="084F7B45" w14:textId="77777777" w:rsidR="00D02D7A" w:rsidRPr="0058047D" w:rsidRDefault="00D02D7A" w:rsidP="00D02D7A">
      <w:r w:rsidRPr="0058047D">
        <w:t>Bing Maps Internal Website Usage 2.1m Transactions Monthly Sub</w:t>
      </w:r>
    </w:p>
    <w:p w14:paraId="6C38B232" w14:textId="77777777" w:rsidR="00D02D7A" w:rsidRPr="0058047D" w:rsidRDefault="00D02D7A" w:rsidP="00D02D7A">
      <w:r w:rsidRPr="0058047D">
        <w:t>Bing Maps Internal Website Usage Unlimited Transactions Monthly Sub</w:t>
      </w:r>
    </w:p>
    <w:p w14:paraId="561927D7" w14:textId="77777777" w:rsidR="00D02D7A" w:rsidRPr="0058047D" w:rsidRDefault="00D02D7A" w:rsidP="00D02D7A">
      <w:r w:rsidRPr="0058047D">
        <w:t>Bing Maps Per Known User Monthly Sub</w:t>
      </w:r>
    </w:p>
    <w:p w14:paraId="1E1A50BA" w14:textId="77777777" w:rsidR="00D02D7A" w:rsidRPr="0058047D" w:rsidRDefault="00D02D7A" w:rsidP="00D02D7A">
      <w:r w:rsidRPr="0058047D">
        <w:t>Bing Maps Known User 5K Bundle Monthly Sub</w:t>
      </w:r>
    </w:p>
    <w:p w14:paraId="7297BF71" w14:textId="77777777" w:rsidR="00D02D7A" w:rsidRPr="0058047D" w:rsidRDefault="00D02D7A" w:rsidP="00D02D7A">
      <w:r w:rsidRPr="0058047D">
        <w:t>Bing Maps Light Known Per User Monthly Sub</w:t>
      </w:r>
    </w:p>
    <w:p w14:paraId="42984404" w14:textId="77777777" w:rsidR="00D02D7A" w:rsidRPr="0058047D" w:rsidRDefault="00D02D7A" w:rsidP="00D02D7A">
      <w:r w:rsidRPr="0058047D">
        <w:t>Bing Maps Light Known 5K User Bundle Monthly Sub</w:t>
      </w:r>
    </w:p>
    <w:p w14:paraId="667631EE" w14:textId="77777777" w:rsidR="00D02D7A" w:rsidRPr="0058047D" w:rsidRDefault="00D02D7A" w:rsidP="00D02D7A">
      <w:r w:rsidRPr="0058047D">
        <w:t>Bing Maps Mobile Asset Management Platform Fee Monthly Sub</w:t>
      </w:r>
    </w:p>
    <w:p w14:paraId="5F66678D" w14:textId="77777777" w:rsidR="00D02D7A" w:rsidRPr="0058047D" w:rsidRDefault="00D02D7A" w:rsidP="00D02D7A">
      <w:r w:rsidRPr="0058047D">
        <w:t>Bing Maps Mobile Asset Management NA w routing Per Asset Monthly Sub</w:t>
      </w:r>
    </w:p>
    <w:p w14:paraId="769F823B" w14:textId="77777777" w:rsidR="00D02D7A" w:rsidRPr="0058047D" w:rsidRDefault="00D02D7A" w:rsidP="00D02D7A">
      <w:r w:rsidRPr="0058047D">
        <w:t>Bing Maps Mobile Asset Management NA w/o routing Per Asset Monthly Sub</w:t>
      </w:r>
    </w:p>
    <w:p w14:paraId="605414DB" w14:textId="77777777" w:rsidR="00D02D7A" w:rsidRPr="0058047D" w:rsidRDefault="00D02D7A" w:rsidP="00D02D7A">
      <w:r w:rsidRPr="0058047D">
        <w:t>Bing Maps Mobile Asset Management Europe w routing Per Asset Monthly Sub</w:t>
      </w:r>
    </w:p>
    <w:p w14:paraId="14B1067A" w14:textId="77777777" w:rsidR="00D02D7A" w:rsidRPr="0058047D" w:rsidRDefault="00D02D7A" w:rsidP="00D02D7A">
      <w:r w:rsidRPr="0058047D">
        <w:t>Bing Maps Mobile Asset Management Europe w/o routing Per Asset Monthly Sub</w:t>
      </w:r>
    </w:p>
    <w:p w14:paraId="665245E4" w14:textId="77777777" w:rsidR="00D02D7A" w:rsidRPr="0058047D" w:rsidRDefault="00D02D7A" w:rsidP="00D02D7A">
      <w:r w:rsidRPr="0058047D">
        <w:t>Bing Maps Server</w:t>
      </w:r>
    </w:p>
    <w:p w14:paraId="7D503848" w14:textId="77777777" w:rsidR="00D02D7A" w:rsidRPr="0058047D" w:rsidRDefault="00D02D7A" w:rsidP="00D02D7A">
      <w:r w:rsidRPr="0058047D">
        <w:t>BizTalk</w:t>
      </w:r>
      <w:r w:rsidR="00E53A46" w:rsidRPr="0058047D">
        <w:rPr>
          <w:vertAlign w:val="superscript"/>
        </w:rPr>
        <w:t>®</w:t>
      </w:r>
      <w:r w:rsidRPr="0058047D">
        <w:t xml:space="preserve"> Server 2013 Enterprise Edition </w:t>
      </w:r>
    </w:p>
    <w:p w14:paraId="098C170C" w14:textId="77777777" w:rsidR="00D02D7A" w:rsidRPr="0058047D" w:rsidRDefault="00D02D7A" w:rsidP="00D02D7A">
      <w:r w:rsidRPr="0058047D">
        <w:t>BizTalk</w:t>
      </w:r>
      <w:r w:rsidR="00E53A46" w:rsidRPr="0058047D">
        <w:rPr>
          <w:vertAlign w:val="superscript"/>
        </w:rPr>
        <w:t>®</w:t>
      </w:r>
      <w:r w:rsidRPr="0058047D">
        <w:t xml:space="preserve"> Server 2013 Standard Edition </w:t>
      </w:r>
    </w:p>
    <w:p w14:paraId="5E5CE89F" w14:textId="77777777" w:rsidR="00D02D7A" w:rsidRPr="0058047D" w:rsidRDefault="00D02D7A" w:rsidP="00D02D7A">
      <w:r w:rsidRPr="0058047D">
        <w:t>BizTalk</w:t>
      </w:r>
      <w:r w:rsidR="00E53A46" w:rsidRPr="0058047D">
        <w:rPr>
          <w:vertAlign w:val="superscript"/>
        </w:rPr>
        <w:t>®</w:t>
      </w:r>
      <w:r w:rsidRPr="0058047D">
        <w:t xml:space="preserve"> Server 2013 Branch</w:t>
      </w:r>
    </w:p>
    <w:p w14:paraId="2D54FD9F" w14:textId="77777777" w:rsidR="00D02D7A" w:rsidRPr="0058047D" w:rsidRDefault="00D02D7A" w:rsidP="00D02D7A">
      <w:r w:rsidRPr="0058047D">
        <w:t>BizTalk</w:t>
      </w:r>
      <w:r w:rsidR="00E53A46" w:rsidRPr="0058047D">
        <w:rPr>
          <w:vertAlign w:val="superscript"/>
        </w:rPr>
        <w:t>®</w:t>
      </w:r>
      <w:r w:rsidRPr="0058047D">
        <w:t xml:space="preserve"> Server 2013 Branch IDC </w:t>
      </w:r>
    </w:p>
    <w:p w14:paraId="309278C8" w14:textId="77777777" w:rsidR="00D02D7A" w:rsidRPr="0058047D" w:rsidRDefault="00D02D7A" w:rsidP="00D02D7A">
      <w:r w:rsidRPr="0058047D">
        <w:t>BizTalk</w:t>
      </w:r>
      <w:r w:rsidR="00E53A46" w:rsidRPr="0058047D">
        <w:rPr>
          <w:vertAlign w:val="superscript"/>
        </w:rPr>
        <w:t>®</w:t>
      </w:r>
      <w:r w:rsidRPr="0058047D">
        <w:t xml:space="preserve"> Server 2013 Standard Edition IDC </w:t>
      </w:r>
    </w:p>
    <w:p w14:paraId="7E305716" w14:textId="77777777" w:rsidR="00D02D7A" w:rsidRPr="0058047D" w:rsidRDefault="00D02D7A" w:rsidP="00D02D7A">
      <w:r w:rsidRPr="0058047D">
        <w:t>Office 365 Enterprise E1 (SL per Utente) (Pool di Applicazioni)</w:t>
      </w:r>
    </w:p>
    <w:p w14:paraId="1F89DD4E" w14:textId="77777777" w:rsidR="00D02D7A" w:rsidRPr="003F471F" w:rsidRDefault="00D02D7A" w:rsidP="00D02D7A">
      <w:pPr>
        <w:rPr>
          <w:lang w:val="it-IT"/>
        </w:rPr>
      </w:pPr>
      <w:r w:rsidRPr="003F471F">
        <w:rPr>
          <w:lang w:val="it-IT"/>
        </w:rPr>
        <w:t>Office 365 Enterprise E2 (SL per Utente) (Pool di Applicazioni)</w:t>
      </w:r>
    </w:p>
    <w:p w14:paraId="06FBCBFC" w14:textId="77777777" w:rsidR="00D02D7A" w:rsidRPr="003F471F" w:rsidRDefault="00D02D7A" w:rsidP="00D02D7A">
      <w:pPr>
        <w:rPr>
          <w:lang w:val="it-IT"/>
        </w:rPr>
      </w:pPr>
      <w:r w:rsidRPr="003F471F">
        <w:rPr>
          <w:lang w:val="it-IT"/>
        </w:rPr>
        <w:t>Office 365 Enterprise E3 (SL per Utente) (Pool di Applicazioni)</w:t>
      </w:r>
    </w:p>
    <w:p w14:paraId="04CD4370" w14:textId="77777777" w:rsidR="00D02D7A" w:rsidRPr="003F471F" w:rsidRDefault="00D02D7A" w:rsidP="00D02D7A">
      <w:pPr>
        <w:rPr>
          <w:lang w:val="it-IT"/>
        </w:rPr>
      </w:pPr>
      <w:r w:rsidRPr="003F471F">
        <w:rPr>
          <w:lang w:val="it-IT"/>
        </w:rPr>
        <w:t>Office 365 Enterprise E4 (SL per Utente) (Pool di Applicazioni)</w:t>
      </w:r>
    </w:p>
    <w:p w14:paraId="51A0DEB4" w14:textId="77777777" w:rsidR="00D02D7A" w:rsidRPr="003F471F" w:rsidRDefault="00D02D7A" w:rsidP="00D02D7A">
      <w:pPr>
        <w:rPr>
          <w:lang w:val="it-IT"/>
        </w:rPr>
      </w:pPr>
      <w:r w:rsidRPr="003F471F">
        <w:rPr>
          <w:lang w:val="it-IT"/>
        </w:rPr>
        <w:t>Office 365 Education A2 (SL per Utente) (Pool di Applicazioni)</w:t>
      </w:r>
    </w:p>
    <w:p w14:paraId="238C7004" w14:textId="77777777" w:rsidR="00D02D7A" w:rsidRPr="003F471F" w:rsidRDefault="00D02D7A" w:rsidP="00D02D7A">
      <w:pPr>
        <w:rPr>
          <w:lang w:val="it-IT"/>
        </w:rPr>
      </w:pPr>
      <w:r w:rsidRPr="003F471F">
        <w:rPr>
          <w:lang w:val="it-IT"/>
        </w:rPr>
        <w:t>Office 365 Education A3 (SL per Utente) (Pool di Applicazioni)</w:t>
      </w:r>
    </w:p>
    <w:p w14:paraId="5DB20E03" w14:textId="77777777" w:rsidR="00D02D7A" w:rsidRPr="003F471F" w:rsidRDefault="00D02D7A" w:rsidP="00D02D7A">
      <w:pPr>
        <w:rPr>
          <w:lang w:val="it-IT"/>
        </w:rPr>
      </w:pPr>
      <w:r w:rsidRPr="003F471F">
        <w:rPr>
          <w:lang w:val="it-IT"/>
        </w:rPr>
        <w:t>Office 365 Education A4 (SL per Utente) (Pool di Applicazioni)</w:t>
      </w:r>
    </w:p>
    <w:p w14:paraId="12D06AA6" w14:textId="77777777" w:rsidR="00D02D7A" w:rsidRPr="003F471F" w:rsidRDefault="00D02D7A" w:rsidP="00D02D7A">
      <w:pPr>
        <w:rPr>
          <w:lang w:val="it-IT"/>
        </w:rPr>
      </w:pPr>
      <w:r w:rsidRPr="003F471F">
        <w:rPr>
          <w:lang w:val="it-IT"/>
        </w:rPr>
        <w:t>Office 365 Enterprise E1 (SL per Utente) (Pool di Server)</w:t>
      </w:r>
    </w:p>
    <w:p w14:paraId="609828D0" w14:textId="77777777" w:rsidR="00D02D7A" w:rsidRPr="003F471F" w:rsidRDefault="00D02D7A" w:rsidP="00D02D7A">
      <w:pPr>
        <w:rPr>
          <w:lang w:val="it-IT"/>
        </w:rPr>
      </w:pPr>
      <w:r w:rsidRPr="003F471F">
        <w:rPr>
          <w:lang w:val="it-IT"/>
        </w:rPr>
        <w:t>Office 365 Enterprise E2 (SL per Utente) (Pool di Server)</w:t>
      </w:r>
    </w:p>
    <w:p w14:paraId="48628A7B" w14:textId="77777777" w:rsidR="00D02D7A" w:rsidRPr="003F471F" w:rsidRDefault="00D02D7A" w:rsidP="00D02D7A">
      <w:pPr>
        <w:rPr>
          <w:lang w:val="it-IT"/>
        </w:rPr>
      </w:pPr>
      <w:r w:rsidRPr="003F471F">
        <w:rPr>
          <w:lang w:val="it-IT"/>
        </w:rPr>
        <w:t>Office 365 Enterprise E3 (SL per Utente) (Pool di Server)</w:t>
      </w:r>
    </w:p>
    <w:p w14:paraId="07675F23" w14:textId="77777777" w:rsidR="00D02D7A" w:rsidRPr="003F471F" w:rsidRDefault="00D02D7A" w:rsidP="00D02D7A">
      <w:pPr>
        <w:rPr>
          <w:lang w:val="it-IT"/>
        </w:rPr>
      </w:pPr>
      <w:r w:rsidRPr="003F471F">
        <w:rPr>
          <w:lang w:val="it-IT"/>
        </w:rPr>
        <w:t>Office 365 Enterprise E4 (SL per Utente) (Pool di Server)</w:t>
      </w:r>
    </w:p>
    <w:p w14:paraId="23B97C03" w14:textId="77777777" w:rsidR="00D02D7A" w:rsidRPr="003F471F" w:rsidRDefault="00D02D7A" w:rsidP="00D02D7A">
      <w:pPr>
        <w:rPr>
          <w:lang w:val="it-IT"/>
        </w:rPr>
      </w:pPr>
      <w:r w:rsidRPr="003F471F">
        <w:rPr>
          <w:lang w:val="it-IT"/>
        </w:rPr>
        <w:t>Office 365 Government G1 (SL per Utente) (Pool di Server)</w:t>
      </w:r>
    </w:p>
    <w:p w14:paraId="1DD73EB5" w14:textId="77777777" w:rsidR="00D02D7A" w:rsidRPr="003F471F" w:rsidRDefault="00D02D7A" w:rsidP="00D02D7A">
      <w:pPr>
        <w:rPr>
          <w:lang w:val="it-IT"/>
        </w:rPr>
      </w:pPr>
      <w:r w:rsidRPr="003F471F">
        <w:rPr>
          <w:lang w:val="it-IT"/>
        </w:rPr>
        <w:t>Office 365 Government G2 (SL per Utente) (Pool di Server)</w:t>
      </w:r>
    </w:p>
    <w:p w14:paraId="658D6165" w14:textId="77777777" w:rsidR="00D02D7A" w:rsidRPr="003F471F" w:rsidRDefault="00D02D7A" w:rsidP="00D02D7A">
      <w:pPr>
        <w:rPr>
          <w:lang w:val="it-IT"/>
        </w:rPr>
      </w:pPr>
      <w:r w:rsidRPr="003F471F">
        <w:rPr>
          <w:lang w:val="it-IT"/>
        </w:rPr>
        <w:t>Office 365 Government G3 (SL per Utente) (Pool di Server)</w:t>
      </w:r>
    </w:p>
    <w:p w14:paraId="7BDE5001" w14:textId="77777777" w:rsidR="00D02D7A" w:rsidRPr="003F471F" w:rsidRDefault="00D02D7A" w:rsidP="00D02D7A">
      <w:pPr>
        <w:rPr>
          <w:lang w:val="it-IT"/>
        </w:rPr>
      </w:pPr>
      <w:r w:rsidRPr="003F471F">
        <w:rPr>
          <w:lang w:val="it-IT"/>
        </w:rPr>
        <w:t>Office 365 Government G4 (SL per Utente) (Pool di Server)</w:t>
      </w:r>
    </w:p>
    <w:p w14:paraId="1AB04148" w14:textId="77777777" w:rsidR="00D02D7A" w:rsidRPr="003F471F" w:rsidRDefault="00D02D7A" w:rsidP="00D02D7A">
      <w:pPr>
        <w:rPr>
          <w:lang w:val="it-IT"/>
        </w:rPr>
      </w:pPr>
      <w:r w:rsidRPr="003F471F">
        <w:rPr>
          <w:lang w:val="it-IT"/>
        </w:rPr>
        <w:t>Office 365 Enterprise K1 (SL per Utente) (Pool di Server)</w:t>
      </w:r>
    </w:p>
    <w:p w14:paraId="76C53800" w14:textId="77777777" w:rsidR="00D02D7A" w:rsidRPr="003F471F" w:rsidRDefault="00D02D7A" w:rsidP="00D02D7A">
      <w:pPr>
        <w:rPr>
          <w:lang w:val="it-IT"/>
        </w:rPr>
      </w:pPr>
      <w:r w:rsidRPr="003F471F">
        <w:rPr>
          <w:lang w:val="it-IT"/>
        </w:rPr>
        <w:t>Office 365 Enterprise K2 (SL per Utente) (Pool di Server)</w:t>
      </w:r>
    </w:p>
    <w:p w14:paraId="070257D5" w14:textId="77777777" w:rsidR="003418C5" w:rsidRPr="003F471F" w:rsidRDefault="003418C5" w:rsidP="003418C5">
      <w:pPr>
        <w:rPr>
          <w:lang w:val="it-IT"/>
        </w:rPr>
      </w:pPr>
      <w:r w:rsidRPr="003F471F">
        <w:rPr>
          <w:lang w:val="it-IT"/>
        </w:rPr>
        <w:t>Office 365 ProPlus SA Transition (SL per Utente) (Pool di Applicazioni)</w:t>
      </w:r>
    </w:p>
    <w:p w14:paraId="7FF0355B" w14:textId="77777777" w:rsidR="00D02D7A" w:rsidRPr="0058047D" w:rsidRDefault="00D02D7A">
      <w:r w:rsidRPr="0058047D">
        <w:t>Microsoft Desktop Optimization Pack 2013 per Software Assurance</w:t>
      </w:r>
    </w:p>
    <w:p w14:paraId="3D3BDFFE" w14:textId="77777777" w:rsidR="00D02D7A" w:rsidRPr="0058047D" w:rsidRDefault="00D02D7A" w:rsidP="007E466C">
      <w:r w:rsidRPr="0058047D">
        <w:t>System Center Global Service Monitor</w:t>
      </w:r>
    </w:p>
    <w:p w14:paraId="3D0CD789" w14:textId="77777777" w:rsidR="005F584F" w:rsidRPr="0058047D" w:rsidRDefault="005F584F" w:rsidP="005F584F">
      <w:r w:rsidRPr="0058047D">
        <w:t>Vexcel Desktop con Enhanced Content Pack</w:t>
      </w:r>
    </w:p>
    <w:p w14:paraId="30B56874" w14:textId="77777777" w:rsidR="009C779A" w:rsidRPr="0058047D" w:rsidRDefault="00242B11">
      <w:r w:rsidRPr="0058047D">
        <w:t>Vexcel Server</w:t>
      </w:r>
    </w:p>
    <w:p w14:paraId="3A750122" w14:textId="77777777" w:rsidR="00242B11" w:rsidRPr="0058047D" w:rsidRDefault="00242B11">
      <w:r w:rsidRPr="0058047D">
        <w:t>Vexcel Server con Enhanced Content Pack</w:t>
      </w:r>
    </w:p>
    <w:p w14:paraId="35B94AC5" w14:textId="77777777" w:rsidR="003F5594" w:rsidRPr="0058047D" w:rsidRDefault="003F5594" w:rsidP="00B65F35">
      <w:pPr>
        <w:spacing w:after="60"/>
      </w:pPr>
    </w:p>
    <w:p w14:paraId="2076441B" w14:textId="77777777" w:rsidR="00B65F35" w:rsidRPr="0058047D" w:rsidRDefault="00B65F35" w:rsidP="00B65F35">
      <w:pPr>
        <w:spacing w:after="60"/>
      </w:pPr>
      <w:r w:rsidRPr="0058047D">
        <w:rPr>
          <w:b/>
        </w:rPr>
        <w:t>Modifiche</w:t>
      </w:r>
    </w:p>
    <w:p w14:paraId="741F7FCB" w14:textId="77777777" w:rsidR="00B65F35" w:rsidRPr="0058047D" w:rsidRDefault="009C779A" w:rsidP="009C779A">
      <w:r w:rsidRPr="0058047D">
        <w:t>Bing Maps Standard (SL per Utente)</w:t>
      </w:r>
    </w:p>
    <w:p w14:paraId="77769397" w14:textId="77777777" w:rsidR="009C779A" w:rsidRPr="003F471F" w:rsidRDefault="009C779A" w:rsidP="00D66F68">
      <w:pPr>
        <w:rPr>
          <w:lang w:val="it-IT"/>
        </w:rPr>
      </w:pPr>
      <w:r w:rsidRPr="003F471F">
        <w:rPr>
          <w:lang w:val="it-IT"/>
        </w:rPr>
        <w:t>Office 365 Piano E1 (SL per Utente) (Pool di Applicazioni)</w:t>
      </w:r>
    </w:p>
    <w:p w14:paraId="1B090A02" w14:textId="77777777" w:rsidR="009C779A" w:rsidRPr="003F471F" w:rsidRDefault="009C779A" w:rsidP="00D66F68">
      <w:pPr>
        <w:rPr>
          <w:lang w:val="it-IT"/>
        </w:rPr>
      </w:pPr>
      <w:r w:rsidRPr="003F471F">
        <w:rPr>
          <w:lang w:val="it-IT"/>
        </w:rPr>
        <w:t>Office 365 Piano E2 (SL per Utente) (Pool di Applicazioni)</w:t>
      </w:r>
    </w:p>
    <w:p w14:paraId="44D1B5D5" w14:textId="77777777" w:rsidR="009C779A" w:rsidRPr="003F471F" w:rsidRDefault="009C779A" w:rsidP="00D02D7A">
      <w:pPr>
        <w:rPr>
          <w:lang w:val="it-IT"/>
        </w:rPr>
      </w:pPr>
      <w:r w:rsidRPr="003F471F">
        <w:rPr>
          <w:lang w:val="it-IT"/>
        </w:rPr>
        <w:t>Office 365 Piano E3 (SL per Utente) (Pool di Applicazioni)</w:t>
      </w:r>
    </w:p>
    <w:p w14:paraId="3C3994AE" w14:textId="77777777" w:rsidR="009C779A" w:rsidRPr="003F471F" w:rsidRDefault="009C779A" w:rsidP="00D02D7A">
      <w:pPr>
        <w:rPr>
          <w:lang w:val="it-IT"/>
        </w:rPr>
      </w:pPr>
      <w:r w:rsidRPr="003F471F">
        <w:rPr>
          <w:lang w:val="it-IT"/>
        </w:rPr>
        <w:t>Office 365 Piano E4 (SL per Utente) (Pool di Applicazioni)</w:t>
      </w:r>
    </w:p>
    <w:p w14:paraId="0809AB0F" w14:textId="77777777" w:rsidR="009C779A" w:rsidRPr="003F471F" w:rsidRDefault="009C779A" w:rsidP="00242B11">
      <w:pPr>
        <w:rPr>
          <w:lang w:val="it-IT"/>
        </w:rPr>
      </w:pPr>
      <w:r w:rsidRPr="003F471F">
        <w:rPr>
          <w:lang w:val="it-IT"/>
        </w:rPr>
        <w:t>Office 365 Piano A2 (SL per Utente) (Pool di Applicazioni)</w:t>
      </w:r>
    </w:p>
    <w:p w14:paraId="75F41BBD" w14:textId="77777777" w:rsidR="009C779A" w:rsidRPr="003F471F" w:rsidRDefault="009C779A" w:rsidP="00242B11">
      <w:pPr>
        <w:rPr>
          <w:lang w:val="it-IT"/>
        </w:rPr>
      </w:pPr>
      <w:r w:rsidRPr="003F471F">
        <w:rPr>
          <w:lang w:val="it-IT"/>
        </w:rPr>
        <w:t>Office 365 Piano A3 (SL per Utente) (Pool di Applicazioni)</w:t>
      </w:r>
    </w:p>
    <w:p w14:paraId="30D911D4" w14:textId="77777777" w:rsidR="009C779A" w:rsidRPr="003F471F" w:rsidRDefault="009C779A" w:rsidP="00EA31A6">
      <w:pPr>
        <w:rPr>
          <w:lang w:val="it-IT"/>
        </w:rPr>
      </w:pPr>
      <w:r w:rsidRPr="003F471F">
        <w:rPr>
          <w:lang w:val="it-IT"/>
        </w:rPr>
        <w:t>Office 365 Piano A4 (SL per Utente) (Pool di Applicazioni)</w:t>
      </w:r>
    </w:p>
    <w:p w14:paraId="128DC8B6" w14:textId="77777777" w:rsidR="009C779A" w:rsidRPr="003F471F" w:rsidRDefault="009C779A" w:rsidP="00EA31A6">
      <w:pPr>
        <w:rPr>
          <w:lang w:val="it-IT"/>
        </w:rPr>
      </w:pPr>
      <w:r w:rsidRPr="003F471F">
        <w:rPr>
          <w:lang w:val="it-IT"/>
        </w:rPr>
        <w:t>Office 365 Piano E1 (SL per Utente) (Pool di Server)</w:t>
      </w:r>
    </w:p>
    <w:p w14:paraId="6459A7A9" w14:textId="77777777" w:rsidR="009C779A" w:rsidRPr="003F471F" w:rsidRDefault="009C779A" w:rsidP="00EA31A6">
      <w:pPr>
        <w:rPr>
          <w:lang w:val="it-IT"/>
        </w:rPr>
      </w:pPr>
      <w:r w:rsidRPr="003F471F">
        <w:rPr>
          <w:lang w:val="it-IT"/>
        </w:rPr>
        <w:t>Office 365 Piano E2 - E4 (SL per Utente) (Pool di Server)</w:t>
      </w:r>
    </w:p>
    <w:p w14:paraId="5E81EB6A" w14:textId="77777777" w:rsidR="009C779A" w:rsidRPr="003F471F" w:rsidRDefault="009C779A" w:rsidP="00EA31A6">
      <w:pPr>
        <w:rPr>
          <w:lang w:val="it-IT"/>
        </w:rPr>
      </w:pPr>
      <w:r w:rsidRPr="003F471F">
        <w:rPr>
          <w:lang w:val="it-IT"/>
        </w:rPr>
        <w:t>Office 365 Piano G1 - G4 (SL per Utente) (Pool di Server)</w:t>
      </w:r>
    </w:p>
    <w:p w14:paraId="3931265D" w14:textId="77777777" w:rsidR="009C779A" w:rsidRPr="003F471F" w:rsidRDefault="009C779A" w:rsidP="003537B9">
      <w:pPr>
        <w:rPr>
          <w:lang w:val="it-IT"/>
        </w:rPr>
      </w:pPr>
      <w:r w:rsidRPr="003F471F">
        <w:rPr>
          <w:lang w:val="it-IT"/>
        </w:rPr>
        <w:t>Office 365 Piano K1 (SL per Utente) (Pool di Server)</w:t>
      </w:r>
    </w:p>
    <w:p w14:paraId="2D9983FF" w14:textId="77777777" w:rsidR="009C779A" w:rsidRPr="003F471F" w:rsidRDefault="009C779A" w:rsidP="003537B9">
      <w:pPr>
        <w:rPr>
          <w:lang w:val="it-IT"/>
        </w:rPr>
      </w:pPr>
      <w:r w:rsidRPr="003F471F">
        <w:rPr>
          <w:lang w:val="it-IT"/>
        </w:rPr>
        <w:t>Office 365 Piano K2 (SL per Utente) (Pool di Server)</w:t>
      </w:r>
    </w:p>
    <w:p w14:paraId="756988AD" w14:textId="77777777" w:rsidR="003A31B1" w:rsidRPr="003F471F" w:rsidRDefault="003A31B1" w:rsidP="003A31B1">
      <w:pPr>
        <w:rPr>
          <w:lang w:val="it-IT"/>
        </w:rPr>
      </w:pPr>
      <w:r w:rsidRPr="003F471F">
        <w:rPr>
          <w:lang w:val="it-IT"/>
        </w:rPr>
        <w:t>System Center 2012 Endpoint Protection</w:t>
      </w:r>
    </w:p>
    <w:p w14:paraId="6CAD5A25" w14:textId="77777777" w:rsidR="00242B11" w:rsidRPr="003F471F" w:rsidRDefault="00242B11" w:rsidP="00242B11">
      <w:pPr>
        <w:rPr>
          <w:lang w:val="it-IT"/>
        </w:rPr>
      </w:pPr>
      <w:r w:rsidRPr="003F471F">
        <w:rPr>
          <w:lang w:val="it-IT"/>
        </w:rPr>
        <w:t>BizTalk Server passa dal modello di licenza per “Processore” al modello di licenza “Core” per la versione 2013</w:t>
      </w:r>
    </w:p>
    <w:p w14:paraId="51681CAD" w14:textId="77777777" w:rsidR="00242B11" w:rsidRPr="003F471F" w:rsidRDefault="00242B11" w:rsidP="00242B11">
      <w:pPr>
        <w:rPr>
          <w:lang w:val="it-IT"/>
        </w:rPr>
      </w:pPr>
      <w:r w:rsidRPr="003F471F">
        <w:rPr>
          <w:lang w:val="it-IT"/>
        </w:rPr>
        <w:t>Rimosso Prodotto Aggiuntivo (</w:t>
      </w:r>
      <w:r w:rsidR="00E34ED3" w:rsidRPr="003F471F">
        <w:rPr>
          <w:lang w:val="it-IT"/>
        </w:rPr>
        <w:t>“</w:t>
      </w:r>
      <w:r w:rsidRPr="003F471F">
        <w:rPr>
          <w:lang w:val="it-IT"/>
        </w:rPr>
        <w:t>A</w:t>
      </w:r>
      <w:r w:rsidR="00E34ED3" w:rsidRPr="003F471F">
        <w:rPr>
          <w:lang w:val="it-IT"/>
        </w:rPr>
        <w:t>”</w:t>
      </w:r>
      <w:r w:rsidRPr="003F471F">
        <w:rPr>
          <w:lang w:val="it-IT"/>
        </w:rPr>
        <w:t>) da Sys Ctr Endpoint Protection</w:t>
      </w:r>
    </w:p>
    <w:p w14:paraId="2220ED98" w14:textId="77777777" w:rsidR="00242B11" w:rsidRPr="003F471F" w:rsidRDefault="00242B11" w:rsidP="00242B11">
      <w:pPr>
        <w:rPr>
          <w:lang w:val="it-IT"/>
        </w:rPr>
      </w:pPr>
      <w:r w:rsidRPr="003F471F">
        <w:rPr>
          <w:lang w:val="it-IT"/>
        </w:rPr>
        <w:t>Rimosso Professional dalla voce Bing Maps Standard (SL per Utente)</w:t>
      </w:r>
    </w:p>
    <w:p w14:paraId="6447A467" w14:textId="77777777" w:rsidR="009C779A" w:rsidRPr="003F471F" w:rsidRDefault="009C779A" w:rsidP="009C779A">
      <w:pPr>
        <w:rPr>
          <w:lang w:val="it-IT"/>
        </w:rPr>
      </w:pPr>
    </w:p>
    <w:p w14:paraId="2B7AE87F" w14:textId="77777777" w:rsidR="00B65F35" w:rsidRPr="003F471F" w:rsidRDefault="00B65F35" w:rsidP="007E466C">
      <w:pPr>
        <w:spacing w:after="60"/>
        <w:rPr>
          <w:lang w:val="it-IT"/>
        </w:rPr>
      </w:pPr>
      <w:r w:rsidRPr="003F471F">
        <w:rPr>
          <w:b/>
          <w:lang w:val="it-IT"/>
        </w:rPr>
        <w:t>Prodotti Eliminati</w:t>
      </w:r>
    </w:p>
    <w:p w14:paraId="25362B40" w14:textId="77777777" w:rsidR="00D02D7A" w:rsidRPr="003F471F" w:rsidRDefault="00D02D7A" w:rsidP="00D02D7A">
      <w:pPr>
        <w:rPr>
          <w:lang w:val="it-IT"/>
        </w:rPr>
      </w:pPr>
      <w:r w:rsidRPr="003F471F">
        <w:rPr>
          <w:lang w:val="it-IT"/>
        </w:rPr>
        <w:t>Bing Maps 25KTrx (SL Add-on)</w:t>
      </w:r>
    </w:p>
    <w:p w14:paraId="2A260B4C" w14:textId="77777777" w:rsidR="00D02D7A" w:rsidRPr="0058047D" w:rsidRDefault="00D02D7A" w:rsidP="00D02D7A">
      <w:r w:rsidRPr="0058047D">
        <w:t>Bing Maps 250KTrx (SL Add-on)</w:t>
      </w:r>
    </w:p>
    <w:p w14:paraId="108C1C4F" w14:textId="77777777" w:rsidR="00D02D7A" w:rsidRPr="0058047D" w:rsidRDefault="00D02D7A" w:rsidP="00D02D7A">
      <w:r w:rsidRPr="0058047D">
        <w:t>Bing Maps Professional (SL Servizi)</w:t>
      </w:r>
    </w:p>
    <w:p w14:paraId="6A26B0ED" w14:textId="77777777" w:rsidR="005F584F" w:rsidRPr="0058047D" w:rsidRDefault="005F584F" w:rsidP="005F584F">
      <w:r w:rsidRPr="0058047D">
        <w:t>Bing Maps Desktop con Enhanced Content Pack</w:t>
      </w:r>
    </w:p>
    <w:p w14:paraId="695E7712" w14:textId="77777777" w:rsidR="005F584F" w:rsidRPr="0058047D" w:rsidRDefault="005F584F" w:rsidP="005F584F">
      <w:r w:rsidRPr="0058047D">
        <w:t>Bing Maps Server</w:t>
      </w:r>
    </w:p>
    <w:p w14:paraId="680ADADB" w14:textId="77777777" w:rsidR="005F584F" w:rsidRPr="0058047D" w:rsidRDefault="005F584F" w:rsidP="005F584F">
      <w:r w:rsidRPr="0058047D">
        <w:t>Bing Maps con Enhanced Content Pack</w:t>
      </w:r>
    </w:p>
    <w:p w14:paraId="037B044A" w14:textId="77777777" w:rsidR="00D02D7A" w:rsidRPr="0058047D" w:rsidRDefault="00D02D7A" w:rsidP="00D02D7A">
      <w:r w:rsidRPr="0058047D">
        <w:t>Bing Maps Unlimited Trx (SL Add-on)</w:t>
      </w:r>
    </w:p>
    <w:p w14:paraId="2160409C" w14:textId="77777777" w:rsidR="00242B11" w:rsidRPr="0058047D" w:rsidRDefault="00242B11" w:rsidP="00D02D7A">
      <w:r w:rsidRPr="0058047D">
        <w:t>Bing Server</w:t>
      </w:r>
    </w:p>
    <w:p w14:paraId="049B5D38" w14:textId="77777777" w:rsidR="00242B11" w:rsidRPr="0058047D" w:rsidRDefault="00242B11" w:rsidP="00D02D7A">
      <w:r w:rsidRPr="0058047D">
        <w:t>Bing Server con Enhanced Content Pack</w:t>
      </w:r>
    </w:p>
    <w:p w14:paraId="5753D7D4" w14:textId="77777777" w:rsidR="00D02D7A" w:rsidRPr="0058047D" w:rsidRDefault="00D02D7A" w:rsidP="00D02D7A">
      <w:r w:rsidRPr="0058047D">
        <w:t>BizTalk</w:t>
      </w:r>
      <w:r w:rsidR="00E53A46" w:rsidRPr="0058047D">
        <w:rPr>
          <w:vertAlign w:val="superscript"/>
        </w:rPr>
        <w:t>®</w:t>
      </w:r>
      <w:r w:rsidRPr="0058047D">
        <w:t xml:space="preserve"> Server 2010 Branch Edition </w:t>
      </w:r>
    </w:p>
    <w:p w14:paraId="468BB97B" w14:textId="77777777" w:rsidR="00D02D7A" w:rsidRPr="0058047D" w:rsidRDefault="00D02D7A" w:rsidP="00D02D7A">
      <w:r w:rsidRPr="0058047D">
        <w:t>BizTalk</w:t>
      </w:r>
      <w:r w:rsidR="00E53A46" w:rsidRPr="0058047D">
        <w:rPr>
          <w:vertAlign w:val="superscript"/>
        </w:rPr>
        <w:t>®</w:t>
      </w:r>
      <w:r w:rsidRPr="0058047D">
        <w:t xml:space="preserve"> Server 2010 Enterprise Edition</w:t>
      </w:r>
    </w:p>
    <w:p w14:paraId="795778E0" w14:textId="77777777" w:rsidR="00D02D7A" w:rsidRPr="0058047D" w:rsidRDefault="00D02D7A" w:rsidP="00D02D7A">
      <w:r w:rsidRPr="0058047D">
        <w:t>BizTalk</w:t>
      </w:r>
      <w:r w:rsidR="00E53A46" w:rsidRPr="0058047D">
        <w:rPr>
          <w:vertAlign w:val="superscript"/>
        </w:rPr>
        <w:t>®</w:t>
      </w:r>
      <w:r w:rsidRPr="0058047D">
        <w:t xml:space="preserve"> Server 2010 Enterprise RFID</w:t>
      </w:r>
    </w:p>
    <w:p w14:paraId="2BC5175F" w14:textId="77777777" w:rsidR="00D02D7A" w:rsidRPr="0058047D" w:rsidRDefault="00D02D7A" w:rsidP="00D02D7A">
      <w:r w:rsidRPr="0058047D">
        <w:t>BizTalk</w:t>
      </w:r>
      <w:r w:rsidR="00E53A46" w:rsidRPr="0058047D">
        <w:rPr>
          <w:vertAlign w:val="superscript"/>
        </w:rPr>
        <w:t>®</w:t>
      </w:r>
      <w:r w:rsidRPr="0058047D">
        <w:t xml:space="preserve"> Server 2010 Standard Edition </w:t>
      </w:r>
    </w:p>
    <w:p w14:paraId="431E63DD" w14:textId="77777777" w:rsidR="00D02D7A" w:rsidRPr="0058047D" w:rsidRDefault="00D02D7A" w:rsidP="00D02D7A">
      <w:r w:rsidRPr="0058047D">
        <w:t>BizTalk</w:t>
      </w:r>
      <w:r w:rsidR="00E53A46" w:rsidRPr="0058047D">
        <w:rPr>
          <w:vertAlign w:val="superscript"/>
        </w:rPr>
        <w:t>®</w:t>
      </w:r>
      <w:r w:rsidRPr="0058047D">
        <w:t xml:space="preserve"> Server 2010 Developer IDC </w:t>
      </w:r>
    </w:p>
    <w:p w14:paraId="7FE9F2A4" w14:textId="77777777" w:rsidR="00D02D7A" w:rsidRPr="0058047D" w:rsidRDefault="00D02D7A" w:rsidP="00D02D7A">
      <w:r w:rsidRPr="0058047D">
        <w:t>BizTalk</w:t>
      </w:r>
      <w:r w:rsidR="00E53A46" w:rsidRPr="0058047D">
        <w:rPr>
          <w:vertAlign w:val="superscript"/>
        </w:rPr>
        <w:t>®</w:t>
      </w:r>
      <w:r w:rsidRPr="0058047D">
        <w:t xml:space="preserve"> Server 2010 Branch IDC </w:t>
      </w:r>
    </w:p>
    <w:p w14:paraId="4D0E8A38" w14:textId="77777777" w:rsidR="00D02D7A" w:rsidRPr="0058047D" w:rsidRDefault="00D02D7A" w:rsidP="00D02D7A">
      <w:r w:rsidRPr="0058047D">
        <w:t>Data Warehouse Appliance 2012</w:t>
      </w:r>
    </w:p>
    <w:p w14:paraId="41D95DEF" w14:textId="77777777" w:rsidR="00D02D7A" w:rsidRPr="003F471F" w:rsidRDefault="00D02D7A" w:rsidP="00D02D7A">
      <w:pPr>
        <w:rPr>
          <w:lang w:val="it-IT"/>
        </w:rPr>
      </w:pPr>
      <w:r w:rsidRPr="003F471F">
        <w:rPr>
          <w:lang w:val="it-IT"/>
        </w:rPr>
        <w:t>Office 365 Piano E1 (SL per Utente) (Pool di Applicazioni)</w:t>
      </w:r>
    </w:p>
    <w:p w14:paraId="4AF580A0" w14:textId="77777777" w:rsidR="00D02D7A" w:rsidRPr="003F471F" w:rsidRDefault="00D02D7A" w:rsidP="00D02D7A">
      <w:pPr>
        <w:rPr>
          <w:lang w:val="it-IT"/>
        </w:rPr>
      </w:pPr>
      <w:r w:rsidRPr="003F471F">
        <w:rPr>
          <w:lang w:val="it-IT"/>
        </w:rPr>
        <w:t>Office 365 Piano E2 (SL per Utente) (Pool di Applicazioni)</w:t>
      </w:r>
    </w:p>
    <w:p w14:paraId="47545C0E" w14:textId="77777777" w:rsidR="00D02D7A" w:rsidRPr="003F471F" w:rsidRDefault="00D02D7A" w:rsidP="00D02D7A">
      <w:pPr>
        <w:rPr>
          <w:lang w:val="it-IT"/>
        </w:rPr>
      </w:pPr>
      <w:r w:rsidRPr="003F471F">
        <w:rPr>
          <w:lang w:val="it-IT"/>
        </w:rPr>
        <w:t>Office 365 Piano E3 (SL per Utente) (Pool di Applicazioni)</w:t>
      </w:r>
    </w:p>
    <w:p w14:paraId="0A5C6E70" w14:textId="77777777" w:rsidR="00D02D7A" w:rsidRPr="003F471F" w:rsidRDefault="00D02D7A" w:rsidP="00D02D7A">
      <w:pPr>
        <w:rPr>
          <w:lang w:val="it-IT"/>
        </w:rPr>
      </w:pPr>
      <w:r w:rsidRPr="003F471F">
        <w:rPr>
          <w:lang w:val="it-IT"/>
        </w:rPr>
        <w:t>Office 365 Piano E4 (SL per Utente) (Pool di Applicazioni)</w:t>
      </w:r>
    </w:p>
    <w:p w14:paraId="17058100" w14:textId="77777777" w:rsidR="00D02D7A" w:rsidRPr="003F471F" w:rsidRDefault="00D02D7A" w:rsidP="00D02D7A">
      <w:pPr>
        <w:rPr>
          <w:lang w:val="it-IT"/>
        </w:rPr>
      </w:pPr>
      <w:r w:rsidRPr="003F471F">
        <w:rPr>
          <w:lang w:val="it-IT"/>
        </w:rPr>
        <w:t>Office 365 Piano A2 (SL per Utente) (Pool di Applicazioni)</w:t>
      </w:r>
    </w:p>
    <w:p w14:paraId="4932AD53" w14:textId="77777777" w:rsidR="00D02D7A" w:rsidRPr="003F471F" w:rsidRDefault="00D02D7A" w:rsidP="00D02D7A">
      <w:pPr>
        <w:rPr>
          <w:lang w:val="it-IT"/>
        </w:rPr>
      </w:pPr>
      <w:r w:rsidRPr="003F471F">
        <w:rPr>
          <w:lang w:val="it-IT"/>
        </w:rPr>
        <w:t>Office 365 Piano A3 (SL per Utente) (Pool di Applicazioni)</w:t>
      </w:r>
    </w:p>
    <w:p w14:paraId="38301834" w14:textId="77777777" w:rsidR="00D02D7A" w:rsidRPr="003F471F" w:rsidRDefault="00D02D7A" w:rsidP="00D02D7A">
      <w:pPr>
        <w:rPr>
          <w:lang w:val="it-IT"/>
        </w:rPr>
      </w:pPr>
      <w:r w:rsidRPr="003F471F">
        <w:rPr>
          <w:lang w:val="it-IT"/>
        </w:rPr>
        <w:t>Office 365 Piano A4 (SL per Utente) (Pool di Applicazioni)</w:t>
      </w:r>
    </w:p>
    <w:p w14:paraId="281D4E92" w14:textId="77777777" w:rsidR="00D02D7A" w:rsidRPr="003F471F" w:rsidRDefault="00D02D7A" w:rsidP="00D02D7A">
      <w:pPr>
        <w:rPr>
          <w:lang w:val="it-IT"/>
        </w:rPr>
      </w:pPr>
      <w:r w:rsidRPr="003F471F">
        <w:rPr>
          <w:lang w:val="it-IT"/>
        </w:rPr>
        <w:t>Office 365 Piano E1 (SL per Utente) (Pool di Server)</w:t>
      </w:r>
    </w:p>
    <w:p w14:paraId="075BFC0D" w14:textId="77777777" w:rsidR="00D02D7A" w:rsidRPr="003F471F" w:rsidRDefault="00D02D7A" w:rsidP="00D02D7A">
      <w:pPr>
        <w:rPr>
          <w:lang w:val="it-IT"/>
        </w:rPr>
      </w:pPr>
      <w:r w:rsidRPr="003F471F">
        <w:rPr>
          <w:lang w:val="it-IT"/>
        </w:rPr>
        <w:t>Office 365 Piano E2 (SL per Utente) (Pool di Server)</w:t>
      </w:r>
    </w:p>
    <w:p w14:paraId="6EE13D5C" w14:textId="77777777" w:rsidR="00D02D7A" w:rsidRPr="003F471F" w:rsidRDefault="00D02D7A" w:rsidP="00D02D7A">
      <w:pPr>
        <w:rPr>
          <w:lang w:val="it-IT"/>
        </w:rPr>
      </w:pPr>
      <w:r w:rsidRPr="003F471F">
        <w:rPr>
          <w:lang w:val="it-IT"/>
        </w:rPr>
        <w:t>Office 365 Piano E3 (SL per Utente) (Pool di Server)</w:t>
      </w:r>
    </w:p>
    <w:p w14:paraId="51FBECEE" w14:textId="77777777" w:rsidR="00D02D7A" w:rsidRPr="003F471F" w:rsidRDefault="00D02D7A" w:rsidP="00D02D7A">
      <w:pPr>
        <w:rPr>
          <w:lang w:val="it-IT"/>
        </w:rPr>
      </w:pPr>
      <w:r w:rsidRPr="003F471F">
        <w:rPr>
          <w:lang w:val="it-IT"/>
        </w:rPr>
        <w:t>Office 365 Piano E4 (SL per Utente) (Pool di Server)</w:t>
      </w:r>
    </w:p>
    <w:p w14:paraId="48BD3FB3" w14:textId="77777777" w:rsidR="00D02D7A" w:rsidRPr="003F471F" w:rsidRDefault="00D02D7A" w:rsidP="00D02D7A">
      <w:pPr>
        <w:rPr>
          <w:lang w:val="it-IT"/>
        </w:rPr>
      </w:pPr>
      <w:r w:rsidRPr="003F471F">
        <w:rPr>
          <w:lang w:val="it-IT"/>
        </w:rPr>
        <w:t>Office 365 Piano G1 (SL per Utente) (Pool di Server)</w:t>
      </w:r>
    </w:p>
    <w:p w14:paraId="1F419CAE" w14:textId="77777777" w:rsidR="00D02D7A" w:rsidRPr="003F471F" w:rsidRDefault="00D02D7A" w:rsidP="00D02D7A">
      <w:pPr>
        <w:rPr>
          <w:lang w:val="it-IT"/>
        </w:rPr>
      </w:pPr>
      <w:r w:rsidRPr="003F471F">
        <w:rPr>
          <w:lang w:val="it-IT"/>
        </w:rPr>
        <w:t>Office 365 Piano G2 (SL per Utente) (Pool di Server)</w:t>
      </w:r>
    </w:p>
    <w:p w14:paraId="33249335" w14:textId="77777777" w:rsidR="00D02D7A" w:rsidRPr="003F471F" w:rsidRDefault="00D02D7A" w:rsidP="00D02D7A">
      <w:pPr>
        <w:rPr>
          <w:lang w:val="it-IT"/>
        </w:rPr>
      </w:pPr>
      <w:r w:rsidRPr="003F471F">
        <w:rPr>
          <w:lang w:val="it-IT"/>
        </w:rPr>
        <w:t>Office 365 Piano G3 (SL per Utente) (Pool di Server)</w:t>
      </w:r>
    </w:p>
    <w:p w14:paraId="1D30237C" w14:textId="77777777" w:rsidR="00D02D7A" w:rsidRPr="003F471F" w:rsidRDefault="00D02D7A" w:rsidP="00D02D7A">
      <w:pPr>
        <w:rPr>
          <w:lang w:val="it-IT"/>
        </w:rPr>
      </w:pPr>
      <w:r w:rsidRPr="003F471F">
        <w:rPr>
          <w:lang w:val="it-IT"/>
        </w:rPr>
        <w:t>Office 365 Piano G4 (SL per Utente) (Pool di Server)</w:t>
      </w:r>
    </w:p>
    <w:p w14:paraId="5ACE0D9C" w14:textId="77777777" w:rsidR="00D02D7A" w:rsidRPr="003F471F" w:rsidRDefault="00D02D7A" w:rsidP="00D02D7A">
      <w:pPr>
        <w:rPr>
          <w:lang w:val="it-IT"/>
        </w:rPr>
      </w:pPr>
      <w:r w:rsidRPr="003F471F">
        <w:rPr>
          <w:lang w:val="it-IT"/>
        </w:rPr>
        <w:t>Office 365 Piano K1 (SL per Utente) (Pool di Server)</w:t>
      </w:r>
    </w:p>
    <w:p w14:paraId="2DECF10A" w14:textId="77777777" w:rsidR="00D02D7A" w:rsidRPr="003F471F" w:rsidRDefault="00D02D7A" w:rsidP="00D02D7A">
      <w:pPr>
        <w:rPr>
          <w:lang w:val="it-IT"/>
        </w:rPr>
      </w:pPr>
      <w:r w:rsidRPr="003F471F">
        <w:rPr>
          <w:lang w:val="it-IT"/>
        </w:rPr>
        <w:t>Office 365 Piano K2 (SL per Utente) (Pool di Server)</w:t>
      </w:r>
    </w:p>
    <w:p w14:paraId="75E7DE87" w14:textId="77777777" w:rsidR="00D02D7A" w:rsidRPr="0058047D" w:rsidRDefault="00D02D7A" w:rsidP="00D02D7A">
      <w:r w:rsidRPr="0058047D">
        <w:t>System Center 2012 Endpoint Protection</w:t>
      </w:r>
    </w:p>
    <w:p w14:paraId="5B50CF56" w14:textId="77777777" w:rsidR="00D02D7A" w:rsidRPr="0058047D" w:rsidRDefault="00D02D7A" w:rsidP="00D02D7A">
      <w:r w:rsidRPr="0058047D">
        <w:t>Forefront Online Protection for Exchange (SL per Dispositivo e Utente)</w:t>
      </w:r>
    </w:p>
    <w:p w14:paraId="462EFE78" w14:textId="77777777" w:rsidR="00D02D7A" w:rsidRPr="0058047D" w:rsidRDefault="00D02D7A" w:rsidP="00D02D7A">
      <w:r w:rsidRPr="0058047D">
        <w:t>Microsoft Desktop Optimization Pack 2012 per Software Assurance</w:t>
      </w:r>
    </w:p>
    <w:p w14:paraId="13E50E79" w14:textId="77777777" w:rsidR="00B65F35" w:rsidRPr="0058047D" w:rsidRDefault="00B65F35" w:rsidP="007E466C"/>
    <w:p w14:paraId="5568F95E" w14:textId="77777777" w:rsidR="00D57D2B" w:rsidRPr="0058047D" w:rsidRDefault="00D57D2B" w:rsidP="007E466C"/>
    <w:p w14:paraId="37337AF1" w14:textId="77777777" w:rsidR="004759C6" w:rsidRPr="003F471F" w:rsidRDefault="004759C6" w:rsidP="004759C6">
      <w:pPr>
        <w:pStyle w:val="Heading2"/>
        <w:ind w:left="0"/>
        <w:jc w:val="both"/>
        <w:rPr>
          <w:lang w:val="it-IT"/>
        </w:rPr>
      </w:pPr>
      <w:bookmarkStart w:id="576" w:name="_Toc371663568"/>
      <w:r w:rsidRPr="003F471F">
        <w:rPr>
          <w:rFonts w:ascii="Tahoma" w:hAnsi="Tahoma" w:cs="Tahoma"/>
          <w:color w:val="FF6600"/>
          <w:lang w:val="it-IT"/>
        </w:rPr>
        <w:t>MODIFICHE APPORTATE NEL MESE DI MARZO 2013</w:t>
      </w:r>
      <w:bookmarkEnd w:id="576"/>
    </w:p>
    <w:p w14:paraId="4D0049B0" w14:textId="77777777" w:rsidR="004759C6" w:rsidRPr="003F471F" w:rsidRDefault="004759C6" w:rsidP="004759C6">
      <w:pPr>
        <w:pStyle w:val="Heading2"/>
        <w:ind w:left="0"/>
        <w:jc w:val="both"/>
        <w:rPr>
          <w:lang w:val="it-IT"/>
        </w:rPr>
      </w:pPr>
    </w:p>
    <w:p w14:paraId="1F17D27C" w14:textId="77777777" w:rsidR="0064651F" w:rsidRPr="003F471F" w:rsidRDefault="004759C6" w:rsidP="0064651F">
      <w:pPr>
        <w:spacing w:after="60"/>
        <w:rPr>
          <w:lang w:val="it-IT"/>
        </w:rPr>
      </w:pPr>
      <w:r w:rsidRPr="003F471F">
        <w:rPr>
          <w:b/>
          <w:lang w:val="it-IT"/>
        </w:rPr>
        <w:t>Prodotti Aggiunti</w:t>
      </w:r>
    </w:p>
    <w:p w14:paraId="6FF2A7F3" w14:textId="77777777" w:rsidR="006D5B20" w:rsidRPr="003F471F" w:rsidRDefault="006D5B20" w:rsidP="006D5B20">
      <w:pPr>
        <w:rPr>
          <w:lang w:val="it-IT"/>
        </w:rPr>
      </w:pPr>
      <w:r w:rsidRPr="003F471F">
        <w:rPr>
          <w:rFonts w:cs="Tahoma"/>
          <w:color w:val="000000"/>
          <w:szCs w:val="18"/>
          <w:lang w:val="it-IT"/>
        </w:rPr>
        <w:t>Archiviazione Exchange Online per Exchange Online</w:t>
      </w:r>
    </w:p>
    <w:p w14:paraId="4B220B5D" w14:textId="77777777" w:rsidR="006D5B20" w:rsidRPr="0058047D" w:rsidRDefault="006D5B20" w:rsidP="006D5B20">
      <w:r w:rsidRPr="0058047D">
        <w:rPr>
          <w:rFonts w:cs="Tahoma"/>
          <w:color w:val="000000"/>
          <w:szCs w:val="18"/>
        </w:rPr>
        <w:t xml:space="preserve">Archiviazione Exchange Online per Exchange Online A </w:t>
      </w:r>
    </w:p>
    <w:p w14:paraId="741AD2D0" w14:textId="77777777" w:rsidR="006D5B20" w:rsidRPr="0058047D" w:rsidRDefault="006D5B20" w:rsidP="006D5B20">
      <w:r w:rsidRPr="0058047D">
        <w:rPr>
          <w:rFonts w:cs="Tahoma"/>
          <w:color w:val="000000"/>
          <w:szCs w:val="18"/>
        </w:rPr>
        <w:t>Exchange Online Protection (SL per Utente)</w:t>
      </w:r>
    </w:p>
    <w:p w14:paraId="44166235" w14:textId="77777777" w:rsidR="00140B67" w:rsidRPr="0058047D" w:rsidRDefault="00140B67" w:rsidP="006D6A83">
      <w:r w:rsidRPr="0058047D">
        <w:rPr>
          <w:rFonts w:cs="Tahoma"/>
          <w:color w:val="000000"/>
          <w:szCs w:val="18"/>
        </w:rPr>
        <w:t>Office 365 Midsize Business (SL per Utente)</w:t>
      </w:r>
    </w:p>
    <w:p w14:paraId="29C273C8" w14:textId="77777777" w:rsidR="00170CFB" w:rsidRPr="003F471F" w:rsidRDefault="006D5B20" w:rsidP="006D6A83">
      <w:pPr>
        <w:rPr>
          <w:lang w:val="it-IT"/>
        </w:rPr>
      </w:pPr>
      <w:r w:rsidRPr="003F471F">
        <w:rPr>
          <w:rFonts w:cs="Tahoma"/>
          <w:color w:val="000000"/>
          <w:szCs w:val="18"/>
          <w:lang w:val="it-IT"/>
        </w:rPr>
        <w:t>Office 365 Piano E1 (SL per Utente) SQL Server</w:t>
      </w:r>
      <w:r w:rsidR="00E53A46" w:rsidRPr="003F471F">
        <w:rPr>
          <w:rFonts w:cs="Tahoma"/>
          <w:color w:val="000000"/>
          <w:szCs w:val="18"/>
          <w:vertAlign w:val="superscript"/>
          <w:lang w:val="it-IT"/>
        </w:rPr>
        <w:t>®</w:t>
      </w:r>
      <w:r w:rsidRPr="003F471F">
        <w:rPr>
          <w:rFonts w:cs="Tahoma"/>
          <w:color w:val="000000"/>
          <w:szCs w:val="18"/>
          <w:lang w:val="it-IT"/>
        </w:rPr>
        <w:t xml:space="preserve"> 2012 Parallel Data Warehouse</w:t>
      </w:r>
    </w:p>
    <w:p w14:paraId="23E0820B" w14:textId="77777777" w:rsidR="006D5B20" w:rsidRPr="0058047D" w:rsidRDefault="006D5B20" w:rsidP="006D5B20">
      <w:r w:rsidRPr="0058047D">
        <w:rPr>
          <w:rFonts w:cs="Tahoma"/>
          <w:color w:val="000000"/>
          <w:szCs w:val="18"/>
        </w:rPr>
        <w:t xml:space="preserve">Project Online </w:t>
      </w:r>
    </w:p>
    <w:p w14:paraId="76E9B749" w14:textId="77777777" w:rsidR="006D5B20" w:rsidRPr="0058047D" w:rsidRDefault="006D5B20" w:rsidP="006D5B20">
      <w:r w:rsidRPr="0058047D">
        <w:rPr>
          <w:rFonts w:cs="Tahoma"/>
          <w:color w:val="000000"/>
          <w:szCs w:val="18"/>
        </w:rPr>
        <w:t>Project Online A</w:t>
      </w:r>
      <w:r w:rsidR="00E34ED3" w:rsidRPr="0058047D">
        <w:rPr>
          <w:rFonts w:cs="Tahoma"/>
          <w:color w:val="000000"/>
          <w:szCs w:val="18"/>
        </w:rPr>
        <w:t xml:space="preserve"> </w:t>
      </w:r>
    </w:p>
    <w:p w14:paraId="7F295CCF" w14:textId="77777777" w:rsidR="006D5B20" w:rsidRPr="0058047D" w:rsidRDefault="006D5B20" w:rsidP="006D5B20">
      <w:r w:rsidRPr="0058047D">
        <w:rPr>
          <w:rFonts w:cs="Tahoma"/>
          <w:color w:val="000000"/>
          <w:szCs w:val="18"/>
        </w:rPr>
        <w:t xml:space="preserve">Project Pro per Office 365 </w:t>
      </w:r>
    </w:p>
    <w:p w14:paraId="70DA639D" w14:textId="77777777" w:rsidR="006D5B20" w:rsidRPr="0058047D" w:rsidRDefault="006D5B20" w:rsidP="006D5B20">
      <w:r w:rsidRPr="0058047D">
        <w:rPr>
          <w:rFonts w:cs="Tahoma"/>
          <w:color w:val="000000"/>
          <w:szCs w:val="18"/>
        </w:rPr>
        <w:t>Project Pro per Office 365 A</w:t>
      </w:r>
      <w:r w:rsidR="00E34ED3" w:rsidRPr="0058047D">
        <w:rPr>
          <w:rFonts w:cs="Tahoma"/>
          <w:color w:val="000000"/>
          <w:szCs w:val="18"/>
        </w:rPr>
        <w:t xml:space="preserve"> </w:t>
      </w:r>
    </w:p>
    <w:p w14:paraId="052C65F7" w14:textId="77777777" w:rsidR="00170CFB" w:rsidRPr="0058047D" w:rsidRDefault="00170CFB" w:rsidP="006D6A83">
      <w:r w:rsidRPr="0058047D">
        <w:rPr>
          <w:rFonts w:cs="Tahoma"/>
          <w:color w:val="000000"/>
          <w:szCs w:val="18"/>
        </w:rPr>
        <w:t>SQL Server</w:t>
      </w:r>
      <w:r w:rsidR="00E53A46" w:rsidRPr="0058047D">
        <w:rPr>
          <w:rFonts w:cs="Tahoma"/>
          <w:color w:val="000000"/>
          <w:szCs w:val="18"/>
          <w:vertAlign w:val="superscript"/>
        </w:rPr>
        <w:t>®</w:t>
      </w:r>
      <w:r w:rsidRPr="0058047D">
        <w:rPr>
          <w:rFonts w:cs="Tahoma"/>
          <w:color w:val="000000"/>
          <w:szCs w:val="18"/>
        </w:rPr>
        <w:t xml:space="preserve"> 2012 Parallel Data Warehouse Developer</w:t>
      </w:r>
    </w:p>
    <w:p w14:paraId="135065D0" w14:textId="77777777" w:rsidR="00170CFB" w:rsidRPr="003F471F" w:rsidRDefault="00170CFB" w:rsidP="006D6A83">
      <w:pPr>
        <w:rPr>
          <w:lang w:val="it-IT"/>
        </w:rPr>
      </w:pPr>
      <w:r w:rsidRPr="003F471F">
        <w:rPr>
          <w:rFonts w:cs="Tahoma"/>
          <w:color w:val="000000"/>
          <w:szCs w:val="18"/>
          <w:lang w:val="it-IT"/>
        </w:rPr>
        <w:t>Visio Pro per Office 365 A</w:t>
      </w:r>
      <w:r w:rsidR="00E34ED3" w:rsidRPr="003F471F">
        <w:rPr>
          <w:rFonts w:cs="Tahoma"/>
          <w:color w:val="000000"/>
          <w:szCs w:val="18"/>
          <w:lang w:val="it-IT"/>
        </w:rPr>
        <w:t xml:space="preserve"> </w:t>
      </w:r>
    </w:p>
    <w:p w14:paraId="0E5E8F11" w14:textId="77777777" w:rsidR="00170CFB" w:rsidRPr="003F471F" w:rsidRDefault="00170CFB" w:rsidP="006D6A83">
      <w:pPr>
        <w:rPr>
          <w:lang w:val="it-IT"/>
        </w:rPr>
      </w:pPr>
      <w:r w:rsidRPr="003F471F">
        <w:rPr>
          <w:rFonts w:cs="Tahoma"/>
          <w:color w:val="000000"/>
          <w:szCs w:val="18"/>
          <w:lang w:val="it-IT"/>
        </w:rPr>
        <w:t xml:space="preserve">Visio Pro per Office 365 </w:t>
      </w:r>
    </w:p>
    <w:p w14:paraId="5CA342FC" w14:textId="77777777" w:rsidR="00170CFB" w:rsidRPr="003F471F" w:rsidRDefault="00170CFB" w:rsidP="006D6A83">
      <w:pPr>
        <w:rPr>
          <w:lang w:val="it-IT"/>
        </w:rPr>
      </w:pPr>
      <w:r w:rsidRPr="003F471F">
        <w:rPr>
          <w:rFonts w:cs="Tahoma"/>
          <w:color w:val="000000"/>
          <w:szCs w:val="18"/>
          <w:lang w:val="it-IT"/>
        </w:rPr>
        <w:t xml:space="preserve">Yammer Enterprise </w:t>
      </w:r>
    </w:p>
    <w:p w14:paraId="7E4DA625" w14:textId="77777777" w:rsidR="004759C6" w:rsidRPr="003F471F" w:rsidRDefault="004759C6" w:rsidP="004759C6">
      <w:pPr>
        <w:keepNext/>
        <w:tabs>
          <w:tab w:val="num" w:pos="720"/>
        </w:tabs>
        <w:outlineLvl w:val="3"/>
        <w:rPr>
          <w:lang w:val="it-IT"/>
        </w:rPr>
      </w:pPr>
    </w:p>
    <w:p w14:paraId="03EBC92A" w14:textId="77777777" w:rsidR="004759C6" w:rsidRPr="003F471F" w:rsidRDefault="004759C6" w:rsidP="004759C6">
      <w:pPr>
        <w:spacing w:after="60"/>
        <w:rPr>
          <w:lang w:val="it-IT"/>
        </w:rPr>
      </w:pPr>
      <w:r w:rsidRPr="003F471F">
        <w:rPr>
          <w:b/>
          <w:lang w:val="it-IT"/>
        </w:rPr>
        <w:t>Modifiche</w:t>
      </w:r>
    </w:p>
    <w:p w14:paraId="0790FD25" w14:textId="77777777" w:rsidR="00497ADA" w:rsidRPr="003F471F" w:rsidRDefault="001B413E" w:rsidP="006D5B20">
      <w:pPr>
        <w:rPr>
          <w:lang w:val="it-IT"/>
        </w:rPr>
      </w:pPr>
      <w:r w:rsidRPr="003F471F">
        <w:rPr>
          <w:rFonts w:cs="Tahoma"/>
          <w:color w:val="000000"/>
          <w:szCs w:val="18"/>
          <w:lang w:val="it-IT"/>
        </w:rPr>
        <w:t>Microsoft Dynamics CRM Online</w:t>
      </w:r>
    </w:p>
    <w:p w14:paraId="604C2059" w14:textId="77777777" w:rsidR="006D5B20" w:rsidRPr="003F471F" w:rsidRDefault="006D5B20" w:rsidP="006D5B20">
      <w:pPr>
        <w:rPr>
          <w:lang w:val="it-IT"/>
        </w:rPr>
      </w:pPr>
      <w:r w:rsidRPr="003F471F">
        <w:rPr>
          <w:rFonts w:cs="Tahoma"/>
          <w:color w:val="000000"/>
          <w:szCs w:val="18"/>
          <w:lang w:val="it-IT"/>
        </w:rPr>
        <w:t>Archiviazione Exchange Online per Exchange Server</w:t>
      </w:r>
    </w:p>
    <w:p w14:paraId="6381E11A" w14:textId="77777777" w:rsidR="006D5B20" w:rsidRPr="003F471F" w:rsidRDefault="006D5B20" w:rsidP="006D5B20">
      <w:pPr>
        <w:rPr>
          <w:lang w:val="it-IT"/>
        </w:rPr>
      </w:pPr>
      <w:r w:rsidRPr="003F471F">
        <w:rPr>
          <w:rFonts w:cs="Tahoma"/>
          <w:color w:val="000000"/>
          <w:szCs w:val="18"/>
          <w:lang w:val="it-IT"/>
        </w:rPr>
        <w:t>Exchange Online Piano 1 (SL per Utente)</w:t>
      </w:r>
    </w:p>
    <w:p w14:paraId="08A59C6F" w14:textId="77777777" w:rsidR="006D5B20" w:rsidRPr="003F471F" w:rsidRDefault="006D5B20" w:rsidP="006D5B20">
      <w:pPr>
        <w:rPr>
          <w:lang w:val="it-IT"/>
        </w:rPr>
      </w:pPr>
      <w:r w:rsidRPr="003F471F">
        <w:rPr>
          <w:rFonts w:cs="Tahoma"/>
          <w:color w:val="000000"/>
          <w:szCs w:val="18"/>
          <w:lang w:val="it-IT"/>
        </w:rPr>
        <w:t>Exchange Online Piano 2 (SL per Utente)</w:t>
      </w:r>
    </w:p>
    <w:p w14:paraId="546EF6B6" w14:textId="77777777" w:rsidR="006D5B20" w:rsidRPr="003F471F" w:rsidRDefault="006D5B20" w:rsidP="006D5B20">
      <w:pPr>
        <w:rPr>
          <w:lang w:val="it-IT"/>
        </w:rPr>
      </w:pPr>
      <w:r w:rsidRPr="003F471F">
        <w:rPr>
          <w:rFonts w:cs="Tahoma"/>
          <w:color w:val="000000"/>
          <w:szCs w:val="18"/>
          <w:lang w:val="it-IT"/>
        </w:rPr>
        <w:t>Exchange Online Piano 1A per Ex Allievi (SL per Utente)</w:t>
      </w:r>
    </w:p>
    <w:p w14:paraId="3FFB7A49" w14:textId="77777777" w:rsidR="006D5B20" w:rsidRPr="003F471F" w:rsidRDefault="006D5B20" w:rsidP="006D5B20">
      <w:pPr>
        <w:rPr>
          <w:lang w:val="it-IT"/>
        </w:rPr>
      </w:pPr>
      <w:r w:rsidRPr="003F471F">
        <w:rPr>
          <w:rFonts w:cs="Tahoma"/>
          <w:color w:val="000000"/>
          <w:szCs w:val="18"/>
          <w:lang w:val="it-IT"/>
        </w:rPr>
        <w:t>Exchange Online Piano 2A (SL per Utente)</w:t>
      </w:r>
    </w:p>
    <w:p w14:paraId="2D8F1804" w14:textId="77777777" w:rsidR="006D5B20" w:rsidRPr="003F471F" w:rsidRDefault="006D5B20" w:rsidP="006D5B20">
      <w:pPr>
        <w:rPr>
          <w:lang w:val="it-IT"/>
        </w:rPr>
      </w:pPr>
      <w:r w:rsidRPr="003F471F">
        <w:rPr>
          <w:rFonts w:cs="Tahoma"/>
          <w:color w:val="000000"/>
          <w:szCs w:val="18"/>
          <w:lang w:val="it-IT"/>
        </w:rPr>
        <w:t>Lync Online Piano 3A (SL per Utente)</w:t>
      </w:r>
    </w:p>
    <w:p w14:paraId="65990E98" w14:textId="77777777" w:rsidR="00497ADA" w:rsidRPr="003F471F" w:rsidRDefault="00497ADA" w:rsidP="006D5B20">
      <w:pPr>
        <w:rPr>
          <w:lang w:val="it-IT"/>
        </w:rPr>
      </w:pPr>
      <w:r w:rsidRPr="003F471F">
        <w:rPr>
          <w:rFonts w:cs="Tahoma"/>
          <w:color w:val="000000"/>
          <w:szCs w:val="18"/>
          <w:lang w:val="it-IT"/>
        </w:rPr>
        <w:t>Microsoft Dynamics CRM 2011 Server</w:t>
      </w:r>
    </w:p>
    <w:p w14:paraId="3BD1BF73" w14:textId="77777777" w:rsidR="006D5B20" w:rsidRPr="003F471F" w:rsidRDefault="006D5B20" w:rsidP="006D5B20">
      <w:pPr>
        <w:rPr>
          <w:lang w:val="it-IT"/>
        </w:rPr>
      </w:pPr>
      <w:r w:rsidRPr="003F471F">
        <w:rPr>
          <w:rFonts w:cs="Tahoma"/>
          <w:color w:val="000000"/>
          <w:szCs w:val="18"/>
          <w:lang w:val="it-IT"/>
        </w:rPr>
        <w:t>Offerte di Supporto per Microsoft Windows Azure</w:t>
      </w:r>
    </w:p>
    <w:p w14:paraId="78AA7DA2" w14:textId="77777777" w:rsidR="006D5B20" w:rsidRPr="003F471F" w:rsidRDefault="006D5B20" w:rsidP="006D5B20">
      <w:pPr>
        <w:rPr>
          <w:lang w:val="it-IT"/>
        </w:rPr>
      </w:pPr>
      <w:r w:rsidRPr="003F471F">
        <w:rPr>
          <w:rFonts w:cs="Tahoma"/>
          <w:color w:val="000000"/>
          <w:szCs w:val="18"/>
          <w:lang w:val="it-IT"/>
        </w:rPr>
        <w:t>Office 365 A2 (SL per Utente)</w:t>
      </w:r>
    </w:p>
    <w:p w14:paraId="3FA2AE68" w14:textId="77777777" w:rsidR="006D5B20" w:rsidRPr="003F471F" w:rsidRDefault="006D5B20" w:rsidP="006D5B20">
      <w:pPr>
        <w:rPr>
          <w:lang w:val="it-IT"/>
        </w:rPr>
      </w:pPr>
      <w:r w:rsidRPr="003F471F">
        <w:rPr>
          <w:rFonts w:cs="Tahoma"/>
          <w:color w:val="000000"/>
          <w:szCs w:val="18"/>
          <w:lang w:val="it-IT"/>
        </w:rPr>
        <w:t>Office 365 A3 (SL per Utente)</w:t>
      </w:r>
    </w:p>
    <w:p w14:paraId="5F099DAD" w14:textId="77777777" w:rsidR="006D5B20" w:rsidRPr="003F471F" w:rsidRDefault="006D5B20" w:rsidP="006D5B20">
      <w:pPr>
        <w:rPr>
          <w:lang w:val="it-IT"/>
        </w:rPr>
      </w:pPr>
      <w:r w:rsidRPr="003F471F">
        <w:rPr>
          <w:rFonts w:cs="Tahoma"/>
          <w:color w:val="000000"/>
          <w:szCs w:val="18"/>
          <w:lang w:val="it-IT"/>
        </w:rPr>
        <w:t>Office 365 A4 (SL per Utente)</w:t>
      </w:r>
    </w:p>
    <w:p w14:paraId="0EF2E425" w14:textId="77777777" w:rsidR="006D5B20" w:rsidRPr="003F471F" w:rsidRDefault="006D5B20" w:rsidP="006D5B20">
      <w:pPr>
        <w:rPr>
          <w:lang w:val="it-IT"/>
        </w:rPr>
      </w:pPr>
      <w:r w:rsidRPr="003F471F">
        <w:rPr>
          <w:rFonts w:cs="Tahoma"/>
          <w:color w:val="000000"/>
          <w:szCs w:val="18"/>
          <w:lang w:val="it-IT"/>
        </w:rPr>
        <w:t>Sottoscrizione Office Professional Plus A (SL per Utente)</w:t>
      </w:r>
    </w:p>
    <w:p w14:paraId="1727214E" w14:textId="77777777" w:rsidR="006D5B20" w:rsidRPr="0058047D" w:rsidRDefault="006D5B20" w:rsidP="006D5B20">
      <w:r w:rsidRPr="0058047D">
        <w:rPr>
          <w:rFonts w:cs="Tahoma"/>
          <w:color w:val="000000"/>
          <w:szCs w:val="18"/>
        </w:rPr>
        <w:t>Office Web Applications con SharePoint Piano 2A (SL per utente)</w:t>
      </w:r>
    </w:p>
    <w:p w14:paraId="53357A36" w14:textId="77777777" w:rsidR="006D5B20" w:rsidRPr="0058047D" w:rsidRDefault="006D5B20" w:rsidP="006D6A83">
      <w:r w:rsidRPr="0058047D">
        <w:rPr>
          <w:rFonts w:cs="Tahoma"/>
          <w:color w:val="000000"/>
          <w:szCs w:val="18"/>
        </w:rPr>
        <w:t>SharePoint™ Online Extra Storage 1 GB A (SL Add-on)</w:t>
      </w:r>
    </w:p>
    <w:p w14:paraId="459E5165" w14:textId="77777777" w:rsidR="00170CFB" w:rsidRPr="003F471F" w:rsidRDefault="00170CFB" w:rsidP="006D6A83">
      <w:pPr>
        <w:rPr>
          <w:lang w:val="it-IT"/>
        </w:rPr>
      </w:pPr>
      <w:r w:rsidRPr="003F471F">
        <w:rPr>
          <w:rFonts w:cs="Tahoma"/>
          <w:color w:val="000000"/>
          <w:szCs w:val="18"/>
          <w:lang w:val="it-IT"/>
        </w:rPr>
        <w:t>Licenza di Gestione Server Enterprise per System Center Configuration Manager 2007 R3</w:t>
      </w:r>
    </w:p>
    <w:p w14:paraId="65A5591F" w14:textId="77777777" w:rsidR="00170CFB" w:rsidRPr="003F471F" w:rsidRDefault="00170CFB" w:rsidP="006D6A83">
      <w:pPr>
        <w:rPr>
          <w:lang w:val="it-IT"/>
        </w:rPr>
      </w:pPr>
      <w:r w:rsidRPr="003F471F">
        <w:rPr>
          <w:rFonts w:cs="Tahoma"/>
          <w:color w:val="000000"/>
          <w:szCs w:val="18"/>
          <w:lang w:val="it-IT"/>
        </w:rPr>
        <w:t>Licenza di Gestione Server Standard (Standard Server ML) per System Center Configuration Manager 2007 R3</w:t>
      </w:r>
    </w:p>
    <w:p w14:paraId="1358D467" w14:textId="77777777" w:rsidR="00170CFB" w:rsidRPr="003F471F" w:rsidRDefault="00170CFB" w:rsidP="006D6A83">
      <w:pPr>
        <w:rPr>
          <w:lang w:val="it-IT"/>
        </w:rPr>
      </w:pPr>
      <w:r w:rsidRPr="003F471F">
        <w:rPr>
          <w:rFonts w:cs="Tahoma"/>
          <w:color w:val="000000"/>
          <w:szCs w:val="18"/>
          <w:lang w:val="it-IT"/>
        </w:rPr>
        <w:t>Licenza di Gestione Server Enterprise per System Center Data Protection Manager 2010</w:t>
      </w:r>
    </w:p>
    <w:p w14:paraId="51D93A99" w14:textId="77777777" w:rsidR="00170CFB" w:rsidRPr="003F471F" w:rsidRDefault="00170CFB" w:rsidP="006D6A83">
      <w:pPr>
        <w:rPr>
          <w:lang w:val="it-IT"/>
        </w:rPr>
      </w:pPr>
      <w:r w:rsidRPr="003F471F">
        <w:rPr>
          <w:rFonts w:cs="Tahoma"/>
          <w:color w:val="000000"/>
          <w:szCs w:val="18"/>
          <w:lang w:val="it-IT"/>
        </w:rPr>
        <w:t>Licenza di Gestione Server Standard per System Center Data Protection Manager 2010</w:t>
      </w:r>
    </w:p>
    <w:p w14:paraId="15A9EEDA" w14:textId="77777777" w:rsidR="00170CFB" w:rsidRPr="003F471F" w:rsidRDefault="00170CFB" w:rsidP="006D6A83">
      <w:pPr>
        <w:rPr>
          <w:lang w:val="it-IT"/>
        </w:rPr>
      </w:pPr>
      <w:r w:rsidRPr="003F471F">
        <w:rPr>
          <w:rFonts w:cs="Tahoma"/>
          <w:color w:val="000000"/>
          <w:szCs w:val="18"/>
          <w:lang w:val="it-IT"/>
        </w:rPr>
        <w:t>Licenza di Gestione Client per Utente per System Center Operations Manager 2007 R2</w:t>
      </w:r>
    </w:p>
    <w:p w14:paraId="333CF0EC" w14:textId="77777777" w:rsidR="00170CFB" w:rsidRPr="003F471F" w:rsidRDefault="00170CFB" w:rsidP="006D6A83">
      <w:pPr>
        <w:rPr>
          <w:lang w:val="it-IT"/>
        </w:rPr>
      </w:pPr>
      <w:r w:rsidRPr="003F471F">
        <w:rPr>
          <w:rFonts w:cs="Tahoma"/>
          <w:color w:val="000000"/>
          <w:szCs w:val="18"/>
          <w:lang w:val="it-IT"/>
        </w:rPr>
        <w:t>Licenza di Gestione Client per OSE per System Center Operations Manager 2007 R2</w:t>
      </w:r>
    </w:p>
    <w:p w14:paraId="43F34B67" w14:textId="77777777" w:rsidR="00170CFB" w:rsidRPr="003F471F" w:rsidRDefault="00170CFB" w:rsidP="006D6A83">
      <w:pPr>
        <w:rPr>
          <w:lang w:val="it-IT"/>
        </w:rPr>
      </w:pPr>
      <w:r w:rsidRPr="003F471F">
        <w:rPr>
          <w:rFonts w:cs="Tahoma"/>
          <w:color w:val="000000"/>
          <w:szCs w:val="18"/>
          <w:lang w:val="it-IT"/>
        </w:rPr>
        <w:t>Licenza di Gestione Server Enterprise per System Center Operations Manager 2007 R2</w:t>
      </w:r>
    </w:p>
    <w:p w14:paraId="67A074B3" w14:textId="77777777" w:rsidR="00170CFB" w:rsidRPr="003F471F" w:rsidRDefault="00170CFB" w:rsidP="006D6A83">
      <w:pPr>
        <w:rPr>
          <w:lang w:val="it-IT"/>
        </w:rPr>
      </w:pPr>
      <w:r w:rsidRPr="003F471F">
        <w:rPr>
          <w:rFonts w:cs="Tahoma"/>
          <w:color w:val="000000"/>
          <w:szCs w:val="18"/>
          <w:lang w:val="it-IT"/>
        </w:rPr>
        <w:t>Licenza di Gestione Server Standard per System Center Operations Manager 2007 R2</w:t>
      </w:r>
    </w:p>
    <w:p w14:paraId="11A9DF68" w14:textId="77777777" w:rsidR="00170CFB" w:rsidRPr="003F471F" w:rsidRDefault="00170CFB" w:rsidP="006D6A83">
      <w:pPr>
        <w:rPr>
          <w:lang w:val="it-IT"/>
        </w:rPr>
      </w:pPr>
      <w:r w:rsidRPr="003F471F">
        <w:rPr>
          <w:rFonts w:cs="Tahoma"/>
          <w:color w:val="000000"/>
          <w:szCs w:val="18"/>
          <w:lang w:val="it-IT"/>
        </w:rPr>
        <w:t>Licenza di Gestione Client (Client ML) per Utente per System Center Service Manager 2010</w:t>
      </w:r>
    </w:p>
    <w:p w14:paraId="3CEC4D3B" w14:textId="77777777" w:rsidR="00170CFB" w:rsidRPr="003F471F" w:rsidRDefault="00170CFB" w:rsidP="006D6A83">
      <w:pPr>
        <w:rPr>
          <w:lang w:val="it-IT"/>
        </w:rPr>
      </w:pPr>
      <w:r w:rsidRPr="003F471F">
        <w:rPr>
          <w:rFonts w:cs="Tahoma"/>
          <w:color w:val="000000"/>
          <w:szCs w:val="18"/>
          <w:lang w:val="it-IT"/>
        </w:rPr>
        <w:t>Licenza di Gestione Client (Client ML) per OSE per System Center Service Manager 2010</w:t>
      </w:r>
    </w:p>
    <w:p w14:paraId="505BAFF7" w14:textId="77777777" w:rsidR="00170CFB" w:rsidRPr="003F471F" w:rsidRDefault="00170CFB" w:rsidP="006D6A83">
      <w:pPr>
        <w:rPr>
          <w:lang w:val="it-IT"/>
        </w:rPr>
      </w:pPr>
      <w:r w:rsidRPr="003F471F">
        <w:rPr>
          <w:rFonts w:cs="Tahoma"/>
          <w:color w:val="000000"/>
          <w:szCs w:val="18"/>
          <w:lang w:val="it-IT"/>
        </w:rPr>
        <w:t>Licenza di Gestione Server (Server ML) per OSE per System Center Service Manager 2010</w:t>
      </w:r>
    </w:p>
    <w:p w14:paraId="687A8745" w14:textId="77777777" w:rsidR="00170CFB" w:rsidRPr="003F471F" w:rsidRDefault="00170CFB" w:rsidP="006D6A83">
      <w:pPr>
        <w:rPr>
          <w:lang w:val="it-IT"/>
        </w:rPr>
      </w:pPr>
      <w:r w:rsidRPr="003F471F">
        <w:rPr>
          <w:rFonts w:cs="Tahoma"/>
          <w:color w:val="000000"/>
          <w:szCs w:val="18"/>
          <w:lang w:val="it-IT"/>
        </w:rPr>
        <w:t>Licenza di Gestione Client per Utente per System Center Virtual Machine Manager 2008 R2</w:t>
      </w:r>
    </w:p>
    <w:p w14:paraId="3FA45B87" w14:textId="77777777" w:rsidR="00170CFB" w:rsidRPr="003F471F" w:rsidRDefault="00170CFB" w:rsidP="006D6A83">
      <w:pPr>
        <w:rPr>
          <w:lang w:val="it-IT"/>
        </w:rPr>
      </w:pPr>
      <w:r w:rsidRPr="003F471F">
        <w:rPr>
          <w:rFonts w:cs="Tahoma"/>
          <w:color w:val="000000"/>
          <w:szCs w:val="18"/>
          <w:lang w:val="it-IT"/>
        </w:rPr>
        <w:t>Licenza di Gestione Client per OSE per System Center Virtual Machine Manager 2008 R2</w:t>
      </w:r>
    </w:p>
    <w:p w14:paraId="1F580E61" w14:textId="77777777" w:rsidR="00170CFB" w:rsidRPr="003F471F" w:rsidRDefault="00170CFB" w:rsidP="006D6A83">
      <w:pPr>
        <w:rPr>
          <w:lang w:val="it-IT"/>
        </w:rPr>
      </w:pPr>
      <w:r w:rsidRPr="003F471F">
        <w:rPr>
          <w:rFonts w:cs="Tahoma"/>
          <w:color w:val="000000"/>
          <w:szCs w:val="18"/>
          <w:lang w:val="it-IT"/>
        </w:rPr>
        <w:t>Licenza di Gestione Server per System Center Virtual Machine Manager 2008 R2 Enterprise</w:t>
      </w:r>
    </w:p>
    <w:p w14:paraId="102C6BE5" w14:textId="77777777" w:rsidR="0064651F" w:rsidRPr="003F471F" w:rsidRDefault="00497ADA">
      <w:pPr>
        <w:rPr>
          <w:lang w:val="it-IT"/>
        </w:rPr>
      </w:pPr>
      <w:r w:rsidRPr="003F471F">
        <w:rPr>
          <w:rFonts w:cs="Tahoma"/>
          <w:color w:val="000000"/>
          <w:szCs w:val="18"/>
          <w:lang w:val="it-IT"/>
        </w:rPr>
        <w:t>Windows Intune USL</w:t>
      </w:r>
    </w:p>
    <w:p w14:paraId="1333DCB4" w14:textId="77777777" w:rsidR="0064651F" w:rsidRPr="003F471F" w:rsidRDefault="0064651F">
      <w:pPr>
        <w:rPr>
          <w:lang w:val="it-IT"/>
        </w:rPr>
      </w:pPr>
    </w:p>
    <w:p w14:paraId="47A694D2" w14:textId="77777777" w:rsidR="004759C6" w:rsidRPr="003F471F" w:rsidRDefault="004759C6" w:rsidP="0064651F">
      <w:pPr>
        <w:keepNext/>
        <w:tabs>
          <w:tab w:val="num" w:pos="720"/>
        </w:tabs>
        <w:spacing w:after="60"/>
        <w:outlineLvl w:val="3"/>
        <w:rPr>
          <w:lang w:val="it-IT"/>
        </w:rPr>
      </w:pPr>
      <w:r w:rsidRPr="003F471F">
        <w:rPr>
          <w:b/>
          <w:lang w:val="it-IT"/>
        </w:rPr>
        <w:t>Prodotti Eliminati</w:t>
      </w:r>
    </w:p>
    <w:p w14:paraId="5CA8154D" w14:textId="77777777" w:rsidR="006D5B20" w:rsidRPr="003F471F" w:rsidRDefault="006D5B20" w:rsidP="006D5B20">
      <w:pPr>
        <w:rPr>
          <w:lang w:val="it-IT"/>
        </w:rPr>
      </w:pPr>
      <w:r w:rsidRPr="003F471F">
        <w:rPr>
          <w:rFonts w:cs="Tahoma"/>
          <w:color w:val="000000"/>
          <w:szCs w:val="18"/>
          <w:lang w:val="it-IT"/>
        </w:rPr>
        <w:t>Expression Studio Professional 4</w:t>
      </w:r>
    </w:p>
    <w:p w14:paraId="37462315" w14:textId="77777777" w:rsidR="006D5B20" w:rsidRPr="003F471F" w:rsidRDefault="006D5B20" w:rsidP="006D5B20">
      <w:pPr>
        <w:rPr>
          <w:lang w:val="it-IT"/>
        </w:rPr>
      </w:pPr>
      <w:r w:rsidRPr="003F471F">
        <w:rPr>
          <w:rFonts w:cs="Tahoma"/>
          <w:color w:val="000000"/>
          <w:szCs w:val="18"/>
          <w:lang w:val="it-IT"/>
        </w:rPr>
        <w:t>Expression Studio Ultimate 4</w:t>
      </w:r>
    </w:p>
    <w:p w14:paraId="18BCBCFD" w14:textId="77777777" w:rsidR="006D5B20" w:rsidRPr="003F471F" w:rsidRDefault="006D5B20" w:rsidP="006D5B20">
      <w:pPr>
        <w:rPr>
          <w:lang w:val="it-IT"/>
        </w:rPr>
      </w:pPr>
      <w:r w:rsidRPr="003F471F">
        <w:rPr>
          <w:rFonts w:cs="Tahoma"/>
          <w:color w:val="000000"/>
          <w:szCs w:val="18"/>
          <w:lang w:val="it-IT"/>
        </w:rPr>
        <w:t>Office Web Applications A (SL per Utente)</w:t>
      </w:r>
    </w:p>
    <w:p w14:paraId="1BAB0004" w14:textId="77777777" w:rsidR="006D5B20" w:rsidRPr="003F471F" w:rsidRDefault="006D5B20" w:rsidP="006D5B20">
      <w:pPr>
        <w:rPr>
          <w:lang w:val="it-IT"/>
        </w:rPr>
      </w:pPr>
      <w:r w:rsidRPr="003F471F">
        <w:rPr>
          <w:rFonts w:cs="Tahoma"/>
          <w:color w:val="000000"/>
          <w:szCs w:val="18"/>
          <w:lang w:val="it-IT"/>
        </w:rPr>
        <w:t>SQL Server</w:t>
      </w:r>
      <w:r w:rsidR="00E53A46" w:rsidRPr="003F471F">
        <w:rPr>
          <w:rFonts w:cs="Tahoma"/>
          <w:color w:val="000000"/>
          <w:szCs w:val="18"/>
          <w:vertAlign w:val="superscript"/>
          <w:lang w:val="it-IT"/>
        </w:rPr>
        <w:t>®</w:t>
      </w:r>
      <w:r w:rsidRPr="003F471F">
        <w:rPr>
          <w:rFonts w:cs="Tahoma"/>
          <w:color w:val="000000"/>
          <w:szCs w:val="18"/>
          <w:lang w:val="it-IT"/>
        </w:rPr>
        <w:t xml:space="preserve"> 2008 R2 Parallel Data Warehouse</w:t>
      </w:r>
    </w:p>
    <w:p w14:paraId="0A2C6595" w14:textId="77777777" w:rsidR="006D5B20" w:rsidRPr="003F471F" w:rsidRDefault="006D5B20" w:rsidP="006D5B20">
      <w:pPr>
        <w:rPr>
          <w:lang w:val="it-IT"/>
        </w:rPr>
      </w:pPr>
      <w:r w:rsidRPr="003F471F">
        <w:rPr>
          <w:rFonts w:cs="Tahoma"/>
          <w:color w:val="000000"/>
          <w:szCs w:val="18"/>
          <w:lang w:val="it-IT"/>
        </w:rPr>
        <w:t>SQL Server</w:t>
      </w:r>
      <w:r w:rsidR="00E53A46" w:rsidRPr="003F471F">
        <w:rPr>
          <w:rFonts w:cs="Tahoma"/>
          <w:color w:val="000000"/>
          <w:szCs w:val="18"/>
          <w:vertAlign w:val="superscript"/>
          <w:lang w:val="it-IT"/>
        </w:rPr>
        <w:t>®</w:t>
      </w:r>
      <w:r w:rsidRPr="003F471F">
        <w:rPr>
          <w:rFonts w:cs="Tahoma"/>
          <w:color w:val="000000"/>
          <w:szCs w:val="18"/>
          <w:lang w:val="it-IT"/>
        </w:rPr>
        <w:t xml:space="preserve"> 2008 R2 Parallel Data Warehouse Developer</w:t>
      </w:r>
    </w:p>
    <w:p w14:paraId="6441CD95" w14:textId="77777777" w:rsidR="00170CFB" w:rsidRPr="003F471F" w:rsidRDefault="00170CFB" w:rsidP="006D6A83">
      <w:pPr>
        <w:rPr>
          <w:lang w:val="it-IT"/>
        </w:rPr>
      </w:pPr>
      <w:r w:rsidRPr="003F471F">
        <w:rPr>
          <w:rFonts w:cs="Tahoma"/>
          <w:color w:val="000000"/>
          <w:szCs w:val="18"/>
          <w:lang w:val="it-IT"/>
        </w:rPr>
        <w:t>System Center Configuration Manager 2007 R3</w:t>
      </w:r>
    </w:p>
    <w:p w14:paraId="4B78BFC5" w14:textId="77777777" w:rsidR="00170CFB" w:rsidRPr="003F471F" w:rsidRDefault="00170CFB" w:rsidP="006D6A83">
      <w:pPr>
        <w:rPr>
          <w:lang w:val="it-IT"/>
        </w:rPr>
      </w:pPr>
      <w:r w:rsidRPr="003F471F">
        <w:rPr>
          <w:rFonts w:cs="Tahoma"/>
          <w:color w:val="000000"/>
          <w:szCs w:val="18"/>
          <w:lang w:val="it-IT"/>
        </w:rPr>
        <w:t>System Center Configuration Manager 2007 R3 con Tecnologia SQL Server 2008</w:t>
      </w:r>
    </w:p>
    <w:p w14:paraId="7261BEF5" w14:textId="77777777" w:rsidR="00170CFB" w:rsidRPr="003F471F" w:rsidRDefault="00170CFB" w:rsidP="006D6A83">
      <w:pPr>
        <w:rPr>
          <w:lang w:val="it-IT"/>
        </w:rPr>
      </w:pPr>
      <w:r w:rsidRPr="003F471F">
        <w:rPr>
          <w:rFonts w:cs="Tahoma"/>
          <w:color w:val="000000"/>
          <w:szCs w:val="18"/>
          <w:lang w:val="it-IT"/>
        </w:rPr>
        <w:t>Licenza di Gestione Client per Utente per System Center Data Protection Manager 2010</w:t>
      </w:r>
    </w:p>
    <w:p w14:paraId="2AE7A767" w14:textId="77777777" w:rsidR="00170CFB" w:rsidRPr="003F471F" w:rsidRDefault="00170CFB" w:rsidP="006D6A83">
      <w:pPr>
        <w:rPr>
          <w:lang w:val="it-IT"/>
        </w:rPr>
      </w:pPr>
      <w:r w:rsidRPr="003F471F">
        <w:rPr>
          <w:rFonts w:cs="Tahoma"/>
          <w:color w:val="000000"/>
          <w:szCs w:val="18"/>
          <w:lang w:val="it-IT"/>
        </w:rPr>
        <w:t>Licenza di Gestione Client per OSE per System Center Data Protection Manager 2010</w:t>
      </w:r>
    </w:p>
    <w:p w14:paraId="140DF190" w14:textId="77777777" w:rsidR="00170CFB" w:rsidRPr="003F471F" w:rsidRDefault="00170CFB" w:rsidP="006D6A83">
      <w:pPr>
        <w:rPr>
          <w:lang w:val="it-IT"/>
        </w:rPr>
      </w:pPr>
      <w:r w:rsidRPr="003F471F">
        <w:rPr>
          <w:rFonts w:cs="Tahoma"/>
          <w:color w:val="000000"/>
          <w:szCs w:val="18"/>
          <w:lang w:val="it-IT"/>
        </w:rPr>
        <w:t>System Center Operations Manager 2007 R2</w:t>
      </w:r>
    </w:p>
    <w:p w14:paraId="75F8DE4D" w14:textId="77777777" w:rsidR="00170CFB" w:rsidRPr="003F471F" w:rsidRDefault="00170CFB" w:rsidP="006D6A83">
      <w:pPr>
        <w:rPr>
          <w:lang w:val="it-IT"/>
        </w:rPr>
      </w:pPr>
      <w:r w:rsidRPr="003F471F">
        <w:rPr>
          <w:rFonts w:cs="Tahoma"/>
          <w:color w:val="000000"/>
          <w:szCs w:val="18"/>
          <w:lang w:val="it-IT"/>
        </w:rPr>
        <w:t>System Center Operations Manager 2007 R2 con Tecnologia SQL Server 2008</w:t>
      </w:r>
    </w:p>
    <w:p w14:paraId="67752AA1" w14:textId="77777777" w:rsidR="00170CFB" w:rsidRPr="003F471F" w:rsidRDefault="00170CFB" w:rsidP="006D6A83">
      <w:pPr>
        <w:rPr>
          <w:lang w:val="it-IT"/>
        </w:rPr>
      </w:pPr>
      <w:r w:rsidRPr="003F471F">
        <w:rPr>
          <w:rFonts w:cs="Tahoma"/>
          <w:color w:val="000000"/>
          <w:szCs w:val="18"/>
          <w:lang w:val="it-IT"/>
        </w:rPr>
        <w:t>System Center Service Manager 2010</w:t>
      </w:r>
    </w:p>
    <w:p w14:paraId="14F149AB" w14:textId="77777777" w:rsidR="00170CFB" w:rsidRPr="003F471F" w:rsidRDefault="00170CFB" w:rsidP="006D6A83">
      <w:pPr>
        <w:rPr>
          <w:lang w:val="it-IT"/>
        </w:rPr>
      </w:pPr>
      <w:r w:rsidRPr="003F471F">
        <w:rPr>
          <w:rFonts w:cs="Tahoma"/>
          <w:color w:val="000000"/>
          <w:szCs w:val="18"/>
          <w:lang w:val="it-IT"/>
        </w:rPr>
        <w:t>System Center Service Manager 2010 con Tecnologia SQL Server 2008</w:t>
      </w:r>
    </w:p>
    <w:p w14:paraId="07A3DD2C" w14:textId="77777777" w:rsidR="00170CFB" w:rsidRPr="0058047D" w:rsidRDefault="00170CFB" w:rsidP="006D6A83">
      <w:r w:rsidRPr="0058047D">
        <w:rPr>
          <w:rFonts w:cs="Tahoma"/>
          <w:color w:val="000000"/>
          <w:szCs w:val="18"/>
        </w:rPr>
        <w:t>System Center Essentials 2010</w:t>
      </w:r>
    </w:p>
    <w:p w14:paraId="34688F5E" w14:textId="77777777" w:rsidR="00170CFB" w:rsidRPr="0058047D" w:rsidRDefault="00170CFB" w:rsidP="006D6A83">
      <w:r w:rsidRPr="0058047D">
        <w:rPr>
          <w:rFonts w:cs="Tahoma"/>
          <w:color w:val="000000"/>
          <w:szCs w:val="18"/>
        </w:rPr>
        <w:t>Client ML per System Center Essentials 2010</w:t>
      </w:r>
    </w:p>
    <w:p w14:paraId="2A50CD56" w14:textId="77777777" w:rsidR="00170CFB" w:rsidRPr="0058047D" w:rsidRDefault="00170CFB" w:rsidP="006D6A83">
      <w:r w:rsidRPr="0058047D">
        <w:rPr>
          <w:rFonts w:cs="Tahoma"/>
          <w:color w:val="000000"/>
          <w:szCs w:val="18"/>
        </w:rPr>
        <w:t>Server ML per System Center Essentials 2010</w:t>
      </w:r>
    </w:p>
    <w:p w14:paraId="78E21AF4" w14:textId="77777777" w:rsidR="00170CFB" w:rsidRPr="0058047D" w:rsidRDefault="00170CFB" w:rsidP="006D6A83">
      <w:r w:rsidRPr="0058047D">
        <w:rPr>
          <w:rFonts w:cs="Tahoma"/>
          <w:color w:val="000000"/>
          <w:szCs w:val="18"/>
        </w:rPr>
        <w:t xml:space="preserve">System Center Essentials 2010 con Tecnologia SQL Server 2008 </w:t>
      </w:r>
    </w:p>
    <w:p w14:paraId="1531041F" w14:textId="77777777" w:rsidR="00170CFB" w:rsidRPr="0058047D" w:rsidRDefault="00170CFB" w:rsidP="006D6A83">
      <w:r w:rsidRPr="0058047D">
        <w:rPr>
          <w:rFonts w:cs="Tahoma"/>
          <w:color w:val="000000"/>
          <w:szCs w:val="18"/>
        </w:rPr>
        <w:t>Suite di Licenza di Gestione Client per System Center Essentials Plus 2010</w:t>
      </w:r>
    </w:p>
    <w:p w14:paraId="1477C7F2" w14:textId="77777777" w:rsidR="00170CFB" w:rsidRPr="003F471F" w:rsidRDefault="00170CFB" w:rsidP="006D6A83">
      <w:pPr>
        <w:rPr>
          <w:lang w:val="it-IT"/>
        </w:rPr>
      </w:pPr>
      <w:r w:rsidRPr="003F471F">
        <w:rPr>
          <w:rFonts w:cs="Tahoma"/>
          <w:color w:val="000000"/>
          <w:szCs w:val="18"/>
          <w:lang w:val="it-IT"/>
        </w:rPr>
        <w:t>Suite di Licenza di Gestione Server per System Center Essentials Plus 2010</w:t>
      </w:r>
    </w:p>
    <w:p w14:paraId="523E489C" w14:textId="77777777" w:rsidR="00170CFB" w:rsidRPr="0058047D" w:rsidRDefault="00170CFB" w:rsidP="006D6A83">
      <w:r w:rsidRPr="0058047D">
        <w:rPr>
          <w:rFonts w:cs="Tahoma"/>
          <w:color w:val="000000"/>
          <w:szCs w:val="18"/>
        </w:rPr>
        <w:t>System Center Virtual Machine Manager 2008 R2 Workgroup Edition</w:t>
      </w:r>
    </w:p>
    <w:p w14:paraId="3A745D44" w14:textId="77777777" w:rsidR="00170CFB" w:rsidRPr="0058047D" w:rsidRDefault="00170CFB" w:rsidP="006D6A83">
      <w:r w:rsidRPr="0058047D">
        <w:rPr>
          <w:rFonts w:cs="Tahoma"/>
          <w:color w:val="000000"/>
          <w:szCs w:val="18"/>
        </w:rPr>
        <w:t>External Connector per Visual Studio</w:t>
      </w:r>
      <w:r w:rsidR="00E53A46" w:rsidRPr="0058047D">
        <w:rPr>
          <w:rFonts w:cs="Tahoma"/>
          <w:color w:val="000000"/>
          <w:szCs w:val="18"/>
          <w:vertAlign w:val="superscript"/>
        </w:rPr>
        <w:t>®</w:t>
      </w:r>
      <w:r w:rsidRPr="0058047D">
        <w:rPr>
          <w:rFonts w:cs="Tahoma"/>
          <w:color w:val="000000"/>
          <w:szCs w:val="18"/>
        </w:rPr>
        <w:t xml:space="preserve"> Team Foundation Server 2012</w:t>
      </w:r>
    </w:p>
    <w:p w14:paraId="1D2AD651" w14:textId="77777777" w:rsidR="004759C6" w:rsidRPr="0058047D" w:rsidRDefault="004759C6" w:rsidP="007E466C"/>
    <w:p w14:paraId="0F6CA863" w14:textId="77777777" w:rsidR="0064651F" w:rsidRPr="0058047D" w:rsidRDefault="0064651F" w:rsidP="0064651F"/>
    <w:p w14:paraId="568491F7" w14:textId="77777777" w:rsidR="00243B33" w:rsidRPr="003F471F" w:rsidRDefault="000225E7" w:rsidP="00243B33">
      <w:pPr>
        <w:pStyle w:val="Heading2"/>
        <w:ind w:left="0"/>
        <w:jc w:val="both"/>
        <w:rPr>
          <w:lang w:val="it-IT"/>
        </w:rPr>
      </w:pPr>
      <w:bookmarkStart w:id="577" w:name="_Toc371663569"/>
      <w:r w:rsidRPr="003F471F">
        <w:rPr>
          <w:rFonts w:ascii="Tahoma" w:hAnsi="Tahoma" w:cs="Tahoma"/>
          <w:color w:val="FF6600"/>
          <w:lang w:val="it-IT"/>
        </w:rPr>
        <w:t>MODIFICHE APPORTATE NEL MESE DI FEBBRAIO 2013</w:t>
      </w:r>
      <w:bookmarkEnd w:id="577"/>
    </w:p>
    <w:p w14:paraId="36E08CD1" w14:textId="77777777" w:rsidR="00243B33" w:rsidRPr="003F471F" w:rsidRDefault="00243B33" w:rsidP="00E06050">
      <w:pPr>
        <w:pStyle w:val="Heading2"/>
        <w:ind w:left="0"/>
        <w:jc w:val="both"/>
        <w:rPr>
          <w:lang w:val="it-IT"/>
        </w:rPr>
      </w:pPr>
    </w:p>
    <w:p w14:paraId="5F8710D4" w14:textId="77777777" w:rsidR="00662A44" w:rsidRPr="003F471F" w:rsidRDefault="00662A44" w:rsidP="00662A44">
      <w:pPr>
        <w:spacing w:after="60"/>
        <w:rPr>
          <w:lang w:val="it-IT"/>
        </w:rPr>
      </w:pPr>
      <w:r w:rsidRPr="003F471F">
        <w:rPr>
          <w:b/>
          <w:lang w:val="it-IT"/>
        </w:rPr>
        <w:t>Prodotti Aggiunti</w:t>
      </w:r>
    </w:p>
    <w:p w14:paraId="5B9D8C3A" w14:textId="77777777" w:rsidR="00662A44" w:rsidRPr="003F471F" w:rsidRDefault="00662A44" w:rsidP="00662A44">
      <w:pPr>
        <w:rPr>
          <w:lang w:val="it-IT"/>
        </w:rPr>
      </w:pPr>
      <w:r w:rsidRPr="003F471F">
        <w:rPr>
          <w:rFonts w:cs="Tahoma"/>
          <w:color w:val="000000"/>
          <w:szCs w:val="18"/>
          <w:lang w:val="it-IT"/>
        </w:rPr>
        <w:t xml:space="preserve">Enterprise Additive CAL per Microsoft </w:t>
      </w:r>
      <w:r w:rsidRPr="003F471F">
        <w:rPr>
          <w:rFonts w:cs="Tahoma"/>
          <w:color w:val="000000"/>
          <w:szCs w:val="20"/>
          <w:lang w:val="it-IT"/>
        </w:rPr>
        <w:t>Dynamics AX 2012 R2 (Utente e Dispositivo)</w:t>
      </w:r>
    </w:p>
    <w:p w14:paraId="46196689" w14:textId="77777777" w:rsidR="00662A44" w:rsidRPr="003F471F" w:rsidRDefault="00662A44" w:rsidP="00662A44">
      <w:pPr>
        <w:rPr>
          <w:lang w:val="it-IT"/>
        </w:rPr>
      </w:pPr>
      <w:r w:rsidRPr="003F471F">
        <w:rPr>
          <w:rFonts w:cs="Tahoma"/>
          <w:color w:val="000000"/>
          <w:szCs w:val="18"/>
          <w:lang w:val="it-IT"/>
        </w:rPr>
        <w:t xml:space="preserve">Enterprise CAL per Microsoft </w:t>
      </w:r>
      <w:r w:rsidRPr="003F471F">
        <w:rPr>
          <w:rFonts w:cs="Tahoma"/>
          <w:color w:val="000000"/>
          <w:szCs w:val="20"/>
          <w:lang w:val="it-IT"/>
        </w:rPr>
        <w:t>Dynamics AX 2012 R2 (Utente e Dispositivo)</w:t>
      </w:r>
    </w:p>
    <w:p w14:paraId="577F6AF6" w14:textId="77777777" w:rsidR="00662A44" w:rsidRPr="003F471F" w:rsidRDefault="00662A44" w:rsidP="00662A44">
      <w:pPr>
        <w:rPr>
          <w:lang w:val="it-IT"/>
        </w:rPr>
      </w:pPr>
      <w:r w:rsidRPr="003F471F">
        <w:rPr>
          <w:rFonts w:cs="Tahoma"/>
          <w:color w:val="000000"/>
          <w:szCs w:val="18"/>
          <w:lang w:val="it-IT"/>
        </w:rPr>
        <w:t xml:space="preserve">Functional Additive CAL per Microsoft </w:t>
      </w:r>
      <w:r w:rsidRPr="003F471F">
        <w:rPr>
          <w:rFonts w:cs="Tahoma"/>
          <w:color w:val="000000"/>
          <w:szCs w:val="20"/>
          <w:lang w:val="it-IT"/>
        </w:rPr>
        <w:t>Dynamics AX 2012 R2 (Utente e Dispositivo)</w:t>
      </w:r>
    </w:p>
    <w:p w14:paraId="4E374D5D" w14:textId="77777777" w:rsidR="00662A44" w:rsidRPr="003F471F" w:rsidRDefault="00662A44" w:rsidP="00662A44">
      <w:pPr>
        <w:rPr>
          <w:lang w:val="it-IT"/>
        </w:rPr>
      </w:pPr>
      <w:r w:rsidRPr="003F471F">
        <w:rPr>
          <w:rFonts w:cs="Tahoma"/>
          <w:color w:val="000000"/>
          <w:szCs w:val="18"/>
          <w:lang w:val="it-IT"/>
        </w:rPr>
        <w:t xml:space="preserve">Functional CAL per Microsoft </w:t>
      </w:r>
      <w:r w:rsidRPr="003F471F">
        <w:rPr>
          <w:rFonts w:cs="Tahoma"/>
          <w:color w:val="000000"/>
          <w:szCs w:val="20"/>
          <w:lang w:val="it-IT"/>
        </w:rPr>
        <w:t>Dynamics AX 2012 R2 (Utente e Dispositivo)</w:t>
      </w:r>
    </w:p>
    <w:p w14:paraId="3A9FB523" w14:textId="77777777" w:rsidR="00662A44" w:rsidRPr="003F471F" w:rsidRDefault="00662A44" w:rsidP="00662A44">
      <w:pPr>
        <w:rPr>
          <w:lang w:val="it-IT"/>
        </w:rPr>
      </w:pPr>
      <w:r w:rsidRPr="003F471F">
        <w:rPr>
          <w:rFonts w:cs="Tahoma"/>
          <w:color w:val="000000"/>
          <w:szCs w:val="18"/>
          <w:lang w:val="it-IT"/>
        </w:rPr>
        <w:t xml:space="preserve">Self Serve CAL per Microsoft </w:t>
      </w:r>
      <w:r w:rsidRPr="003F471F">
        <w:rPr>
          <w:rFonts w:cs="Tahoma"/>
          <w:color w:val="000000"/>
          <w:szCs w:val="20"/>
          <w:lang w:val="it-IT"/>
        </w:rPr>
        <w:t>Dynamics AX 2012 R2 (Utente e Dispositivo)</w:t>
      </w:r>
    </w:p>
    <w:p w14:paraId="1BF4DD14" w14:textId="77777777" w:rsidR="00662A44" w:rsidRPr="003F471F" w:rsidRDefault="00662A44" w:rsidP="00662A44">
      <w:pPr>
        <w:rPr>
          <w:lang w:val="it-IT"/>
        </w:rPr>
      </w:pPr>
      <w:r w:rsidRPr="003F471F">
        <w:rPr>
          <w:rFonts w:cs="Tahoma"/>
          <w:color w:val="000000"/>
          <w:szCs w:val="18"/>
          <w:lang w:val="it-IT"/>
        </w:rPr>
        <w:t xml:space="preserve">Microsoft </w:t>
      </w:r>
      <w:r w:rsidRPr="003F471F">
        <w:rPr>
          <w:rFonts w:cs="Tahoma"/>
          <w:color w:val="000000"/>
          <w:szCs w:val="20"/>
          <w:lang w:val="it-IT"/>
        </w:rPr>
        <w:t>Dynamics AX 2012 R2 Server</w:t>
      </w:r>
    </w:p>
    <w:p w14:paraId="1BD2082F" w14:textId="77777777" w:rsidR="00662A44" w:rsidRPr="003F471F" w:rsidRDefault="00662A44" w:rsidP="00662A44">
      <w:pPr>
        <w:rPr>
          <w:lang w:val="it-IT"/>
        </w:rPr>
      </w:pPr>
      <w:r w:rsidRPr="003F471F">
        <w:rPr>
          <w:rFonts w:cs="Tahoma"/>
          <w:color w:val="000000"/>
          <w:szCs w:val="18"/>
          <w:lang w:val="it-IT"/>
        </w:rPr>
        <w:t xml:space="preserve">Task Additive CAL per Microsoft </w:t>
      </w:r>
      <w:r w:rsidRPr="003F471F">
        <w:rPr>
          <w:rFonts w:cs="Tahoma"/>
          <w:color w:val="000000"/>
          <w:szCs w:val="20"/>
          <w:lang w:val="it-IT"/>
        </w:rPr>
        <w:t>Dynamics AX 2012 R2 (Utente e Dispositivo)</w:t>
      </w:r>
    </w:p>
    <w:p w14:paraId="6390A43A" w14:textId="77777777" w:rsidR="00662A44" w:rsidRPr="003F471F" w:rsidRDefault="00662A44" w:rsidP="00662A44">
      <w:pPr>
        <w:keepNext/>
        <w:tabs>
          <w:tab w:val="num" w:pos="720"/>
        </w:tabs>
        <w:outlineLvl w:val="3"/>
        <w:rPr>
          <w:lang w:val="it-IT"/>
        </w:rPr>
      </w:pPr>
      <w:r w:rsidRPr="003F471F">
        <w:rPr>
          <w:rFonts w:cs="Tahoma"/>
          <w:color w:val="000000"/>
          <w:szCs w:val="18"/>
          <w:lang w:val="it-IT"/>
        </w:rPr>
        <w:t xml:space="preserve">Task CAL per Microsoft </w:t>
      </w:r>
      <w:r w:rsidRPr="003F471F">
        <w:rPr>
          <w:rFonts w:cs="Tahoma"/>
          <w:color w:val="000000"/>
          <w:szCs w:val="20"/>
          <w:lang w:val="it-IT"/>
        </w:rPr>
        <w:t>Dynamics AX 2012 R2 (Utente e Dispositivo)</w:t>
      </w:r>
    </w:p>
    <w:p w14:paraId="3EF924E7" w14:textId="77777777" w:rsidR="00662A44" w:rsidRPr="003F471F" w:rsidRDefault="00662A44" w:rsidP="00662A44">
      <w:pPr>
        <w:keepNext/>
        <w:tabs>
          <w:tab w:val="num" w:pos="720"/>
        </w:tabs>
        <w:outlineLvl w:val="3"/>
        <w:rPr>
          <w:lang w:val="it-IT"/>
        </w:rPr>
      </w:pPr>
    </w:p>
    <w:p w14:paraId="770997F8" w14:textId="77777777" w:rsidR="00662A44" w:rsidRPr="003F471F" w:rsidRDefault="00662A44" w:rsidP="00662A44">
      <w:pPr>
        <w:spacing w:after="60"/>
        <w:rPr>
          <w:lang w:val="it-IT"/>
        </w:rPr>
      </w:pPr>
      <w:r w:rsidRPr="003F471F">
        <w:rPr>
          <w:b/>
          <w:lang w:val="it-IT"/>
        </w:rPr>
        <w:t>Modifiche</w:t>
      </w:r>
    </w:p>
    <w:p w14:paraId="4617EE11" w14:textId="77777777" w:rsidR="00662A44" w:rsidRPr="003F471F" w:rsidRDefault="00662A44" w:rsidP="008E1303">
      <w:pPr>
        <w:tabs>
          <w:tab w:val="num" w:pos="720"/>
        </w:tabs>
        <w:outlineLvl w:val="3"/>
        <w:rPr>
          <w:lang w:val="it-IT"/>
        </w:rPr>
      </w:pPr>
      <w:r w:rsidRPr="003F471F">
        <w:rPr>
          <w:rFonts w:cs="Tahoma"/>
          <w:color w:val="000000"/>
          <w:szCs w:val="20"/>
          <w:lang w:val="it-IT"/>
        </w:rPr>
        <w:t>Visio 2013 Professional</w:t>
      </w:r>
    </w:p>
    <w:p w14:paraId="1F14EE73" w14:textId="77777777" w:rsidR="00662A44" w:rsidRPr="003F471F" w:rsidRDefault="00662A44" w:rsidP="008E1303">
      <w:pPr>
        <w:tabs>
          <w:tab w:val="num" w:pos="720"/>
        </w:tabs>
        <w:outlineLvl w:val="3"/>
        <w:rPr>
          <w:lang w:val="it-IT"/>
        </w:rPr>
      </w:pPr>
    </w:p>
    <w:p w14:paraId="010C7751" w14:textId="77777777" w:rsidR="008E1303" w:rsidRPr="003F471F" w:rsidRDefault="008E1303" w:rsidP="008E1303">
      <w:pPr>
        <w:tabs>
          <w:tab w:val="num" w:pos="720"/>
        </w:tabs>
        <w:outlineLvl w:val="3"/>
        <w:rPr>
          <w:lang w:val="it-IT"/>
        </w:rPr>
      </w:pPr>
    </w:p>
    <w:p w14:paraId="564A011E" w14:textId="77777777" w:rsidR="00662A44" w:rsidRPr="003F471F" w:rsidRDefault="00662A44" w:rsidP="0064651F">
      <w:pPr>
        <w:keepNext/>
        <w:tabs>
          <w:tab w:val="num" w:pos="720"/>
        </w:tabs>
        <w:spacing w:after="60"/>
        <w:outlineLvl w:val="3"/>
        <w:rPr>
          <w:lang w:val="it-IT"/>
        </w:rPr>
      </w:pPr>
      <w:r w:rsidRPr="003F471F">
        <w:rPr>
          <w:b/>
          <w:lang w:val="it-IT"/>
        </w:rPr>
        <w:t>Prodotti Eliminati</w:t>
      </w:r>
    </w:p>
    <w:p w14:paraId="7019B98F" w14:textId="77777777" w:rsidR="00662A44" w:rsidRPr="003F471F" w:rsidRDefault="00662A44" w:rsidP="00662A44">
      <w:pPr>
        <w:rPr>
          <w:lang w:val="it-IT"/>
        </w:rPr>
      </w:pPr>
      <w:r w:rsidRPr="003F471F">
        <w:rPr>
          <w:rFonts w:cs="Tahoma"/>
          <w:color w:val="000000"/>
          <w:szCs w:val="18"/>
          <w:lang w:val="it-IT"/>
        </w:rPr>
        <w:t xml:space="preserve">Enterprise Additive CAL per Microsoft </w:t>
      </w:r>
      <w:r w:rsidRPr="003F471F">
        <w:rPr>
          <w:rFonts w:cs="Tahoma"/>
          <w:color w:val="000000"/>
          <w:szCs w:val="20"/>
          <w:lang w:val="it-IT"/>
        </w:rPr>
        <w:t>Dynamics AX 2012 (Utente e Dispositivo)</w:t>
      </w:r>
    </w:p>
    <w:p w14:paraId="25F08A34" w14:textId="77777777" w:rsidR="00662A44" w:rsidRPr="003F471F" w:rsidRDefault="00662A44" w:rsidP="00662A44">
      <w:pPr>
        <w:rPr>
          <w:lang w:val="it-IT"/>
        </w:rPr>
      </w:pPr>
      <w:r w:rsidRPr="003F471F">
        <w:rPr>
          <w:rFonts w:cs="Tahoma"/>
          <w:color w:val="000000"/>
          <w:szCs w:val="18"/>
          <w:lang w:val="it-IT"/>
        </w:rPr>
        <w:t xml:space="preserve">Enterprise CAL per Microsoft </w:t>
      </w:r>
      <w:r w:rsidRPr="003F471F">
        <w:rPr>
          <w:rFonts w:cs="Tahoma"/>
          <w:color w:val="000000"/>
          <w:szCs w:val="20"/>
          <w:lang w:val="it-IT"/>
        </w:rPr>
        <w:t>Dynamics AX 2012 (Utente e Dispositivo)</w:t>
      </w:r>
    </w:p>
    <w:p w14:paraId="17F2AC0F" w14:textId="77777777" w:rsidR="00662A44" w:rsidRPr="003F471F" w:rsidRDefault="00662A44" w:rsidP="00662A44">
      <w:pPr>
        <w:rPr>
          <w:lang w:val="it-IT"/>
        </w:rPr>
      </w:pPr>
      <w:r w:rsidRPr="003F471F">
        <w:rPr>
          <w:rFonts w:cs="Tahoma"/>
          <w:color w:val="000000"/>
          <w:szCs w:val="18"/>
          <w:lang w:val="it-IT"/>
        </w:rPr>
        <w:t xml:space="preserve">Functional Additive CAL per Microsoft </w:t>
      </w:r>
      <w:r w:rsidRPr="003F471F">
        <w:rPr>
          <w:rFonts w:cs="Tahoma"/>
          <w:color w:val="000000"/>
          <w:szCs w:val="20"/>
          <w:lang w:val="it-IT"/>
        </w:rPr>
        <w:t>Dynamics AX 2012 (Utente e Dispositivo)</w:t>
      </w:r>
    </w:p>
    <w:p w14:paraId="53BF73A5" w14:textId="77777777" w:rsidR="00662A44" w:rsidRPr="003F471F" w:rsidRDefault="00662A44" w:rsidP="00662A44">
      <w:pPr>
        <w:rPr>
          <w:lang w:val="it-IT"/>
        </w:rPr>
      </w:pPr>
      <w:r w:rsidRPr="003F471F">
        <w:rPr>
          <w:rFonts w:cs="Tahoma"/>
          <w:color w:val="000000"/>
          <w:szCs w:val="18"/>
          <w:lang w:val="it-IT"/>
        </w:rPr>
        <w:t xml:space="preserve">Functional CAL per Microsoft </w:t>
      </w:r>
      <w:r w:rsidRPr="003F471F">
        <w:rPr>
          <w:rFonts w:cs="Tahoma"/>
          <w:color w:val="000000"/>
          <w:szCs w:val="20"/>
          <w:lang w:val="it-IT"/>
        </w:rPr>
        <w:t>Dynamics AX 2012 (Utente e Dispositivo)</w:t>
      </w:r>
    </w:p>
    <w:p w14:paraId="72C4639F" w14:textId="77777777" w:rsidR="00662A44" w:rsidRPr="003F471F" w:rsidRDefault="00662A44" w:rsidP="00662A44">
      <w:pPr>
        <w:rPr>
          <w:lang w:val="it-IT"/>
        </w:rPr>
      </w:pPr>
      <w:r w:rsidRPr="003F471F">
        <w:rPr>
          <w:rFonts w:cs="Tahoma"/>
          <w:color w:val="000000"/>
          <w:szCs w:val="18"/>
          <w:lang w:val="it-IT"/>
        </w:rPr>
        <w:t xml:space="preserve">Self Serve CAL per Microsoft </w:t>
      </w:r>
      <w:r w:rsidRPr="003F471F">
        <w:rPr>
          <w:rFonts w:cs="Tahoma"/>
          <w:color w:val="000000"/>
          <w:szCs w:val="20"/>
          <w:lang w:val="it-IT"/>
        </w:rPr>
        <w:t>Dynamics AX 2012 (Utente e Dispositivo)</w:t>
      </w:r>
    </w:p>
    <w:p w14:paraId="732EAD11" w14:textId="77777777" w:rsidR="00662A44" w:rsidRPr="003F471F" w:rsidRDefault="00662A44" w:rsidP="00662A44">
      <w:pPr>
        <w:rPr>
          <w:lang w:val="it-IT"/>
        </w:rPr>
      </w:pPr>
      <w:r w:rsidRPr="003F471F">
        <w:rPr>
          <w:rFonts w:cs="Tahoma"/>
          <w:color w:val="000000"/>
          <w:szCs w:val="18"/>
          <w:lang w:val="it-IT"/>
        </w:rPr>
        <w:t xml:space="preserve">Microsoft </w:t>
      </w:r>
      <w:r w:rsidRPr="003F471F">
        <w:rPr>
          <w:rFonts w:cs="Tahoma"/>
          <w:color w:val="000000"/>
          <w:szCs w:val="20"/>
          <w:lang w:val="it-IT"/>
        </w:rPr>
        <w:t>Dynamics AX 2012 Server</w:t>
      </w:r>
    </w:p>
    <w:p w14:paraId="60B24B00" w14:textId="77777777" w:rsidR="00662A44" w:rsidRPr="003F471F" w:rsidRDefault="00662A44" w:rsidP="00662A44">
      <w:pPr>
        <w:rPr>
          <w:lang w:val="it-IT"/>
        </w:rPr>
      </w:pPr>
      <w:r w:rsidRPr="003F471F">
        <w:rPr>
          <w:rFonts w:cs="Tahoma"/>
          <w:color w:val="000000"/>
          <w:szCs w:val="18"/>
          <w:lang w:val="it-IT"/>
        </w:rPr>
        <w:t xml:space="preserve">Task Additive CAL per Microsoft </w:t>
      </w:r>
      <w:r w:rsidRPr="003F471F">
        <w:rPr>
          <w:rFonts w:cs="Tahoma"/>
          <w:color w:val="000000"/>
          <w:szCs w:val="20"/>
          <w:lang w:val="it-IT"/>
        </w:rPr>
        <w:t>Dynamics AX 2012 (Utente e Dispositivo)</w:t>
      </w:r>
    </w:p>
    <w:p w14:paraId="32F43982" w14:textId="77777777" w:rsidR="00662A44" w:rsidRPr="003F471F" w:rsidRDefault="00662A44" w:rsidP="00662A44">
      <w:pPr>
        <w:rPr>
          <w:lang w:val="it-IT"/>
        </w:rPr>
      </w:pPr>
      <w:r w:rsidRPr="003F471F">
        <w:rPr>
          <w:rFonts w:cs="Tahoma"/>
          <w:color w:val="000000"/>
          <w:szCs w:val="18"/>
          <w:lang w:val="it-IT"/>
        </w:rPr>
        <w:t xml:space="preserve">Task CAL per Microsoft </w:t>
      </w:r>
      <w:r w:rsidRPr="003F471F">
        <w:rPr>
          <w:rFonts w:cs="Tahoma"/>
          <w:color w:val="000000"/>
          <w:szCs w:val="20"/>
          <w:lang w:val="it-IT"/>
        </w:rPr>
        <w:t>Dynamics AX 2012 (Utente e Dispositivo)</w:t>
      </w:r>
    </w:p>
    <w:p w14:paraId="5E4F0964" w14:textId="77777777" w:rsidR="00243B33" w:rsidRPr="003F471F" w:rsidRDefault="00243B33" w:rsidP="00B50A5B">
      <w:pPr>
        <w:rPr>
          <w:lang w:val="it-IT"/>
        </w:rPr>
      </w:pPr>
    </w:p>
    <w:p w14:paraId="19282104" w14:textId="77777777" w:rsidR="001C1727" w:rsidRPr="003F471F" w:rsidRDefault="001C1727" w:rsidP="00292088">
      <w:pPr>
        <w:rPr>
          <w:lang w:val="it-IT"/>
        </w:rPr>
      </w:pPr>
    </w:p>
    <w:p w14:paraId="33874835" w14:textId="77777777" w:rsidR="00E06050" w:rsidRPr="003F471F" w:rsidRDefault="00E06050" w:rsidP="00E06050">
      <w:pPr>
        <w:pStyle w:val="Heading2"/>
        <w:ind w:left="0"/>
        <w:jc w:val="both"/>
        <w:rPr>
          <w:lang w:val="it-IT"/>
        </w:rPr>
      </w:pPr>
      <w:bookmarkStart w:id="578" w:name="_Toc371663570"/>
      <w:r w:rsidRPr="003F471F">
        <w:rPr>
          <w:rFonts w:ascii="Tahoma" w:hAnsi="Tahoma" w:cs="Tahoma"/>
          <w:color w:val="FF6600"/>
          <w:lang w:val="it-IT"/>
        </w:rPr>
        <w:t>MODIFICHE APPORTATE NEL MESE DI GENNAIO 2013</w:t>
      </w:r>
      <w:bookmarkEnd w:id="578"/>
    </w:p>
    <w:p w14:paraId="67E9E41B" w14:textId="77777777" w:rsidR="00E06050" w:rsidRPr="003F471F" w:rsidRDefault="00E06050" w:rsidP="00E06050">
      <w:pPr>
        <w:rPr>
          <w:lang w:val="it-IT"/>
        </w:rPr>
      </w:pPr>
    </w:p>
    <w:p w14:paraId="12E0CB42" w14:textId="77777777" w:rsidR="00E06050" w:rsidRPr="0058047D" w:rsidRDefault="00E06050" w:rsidP="003E606C">
      <w:pPr>
        <w:spacing w:after="60"/>
      </w:pPr>
      <w:r w:rsidRPr="0058047D">
        <w:rPr>
          <w:b/>
        </w:rPr>
        <w:t>Prodotti Aggiunti</w:t>
      </w:r>
    </w:p>
    <w:p w14:paraId="54E26896" w14:textId="77777777" w:rsidR="00CC66A0" w:rsidRPr="0058047D" w:rsidRDefault="00CC66A0" w:rsidP="00737831">
      <w:pPr>
        <w:keepNext/>
        <w:tabs>
          <w:tab w:val="num" w:pos="720"/>
        </w:tabs>
        <w:outlineLvl w:val="3"/>
      </w:pPr>
      <w:r w:rsidRPr="0058047D">
        <w:rPr>
          <w:rFonts w:cs="Tahoma"/>
          <w:color w:val="000000"/>
          <w:szCs w:val="20"/>
        </w:rPr>
        <w:t>Windows MultiPoint Server 2012 Premium con Windows MultiPoint Server 2012 (CAL) (5 Client)</w:t>
      </w:r>
    </w:p>
    <w:p w14:paraId="0CD31285" w14:textId="77777777" w:rsidR="00E06050" w:rsidRPr="0058047D" w:rsidRDefault="00CC66A0" w:rsidP="00862623">
      <w:pPr>
        <w:keepNext/>
        <w:tabs>
          <w:tab w:val="num" w:pos="720"/>
        </w:tabs>
        <w:outlineLvl w:val="3"/>
      </w:pPr>
      <w:r w:rsidRPr="0058047D">
        <w:rPr>
          <w:rFonts w:cs="Tahoma"/>
          <w:color w:val="000000"/>
          <w:szCs w:val="20"/>
        </w:rPr>
        <w:t>Windows MultiPoint Server 2012 Premium con Windows MultiPoint Server 2012 (CAL) (5 Client) con Windows</w:t>
      </w:r>
    </w:p>
    <w:p w14:paraId="187A2B7F" w14:textId="77777777" w:rsidR="00140B67" w:rsidRPr="0058047D" w:rsidRDefault="00140B67" w:rsidP="003E606C">
      <w:pPr>
        <w:spacing w:after="60"/>
      </w:pPr>
    </w:p>
    <w:p w14:paraId="21E35CF0" w14:textId="77777777" w:rsidR="001D63C2" w:rsidRPr="003F471F" w:rsidRDefault="001D63C2" w:rsidP="003E606C">
      <w:pPr>
        <w:spacing w:after="60"/>
        <w:rPr>
          <w:lang w:val="it-IT"/>
        </w:rPr>
      </w:pPr>
      <w:r w:rsidRPr="003F471F">
        <w:rPr>
          <w:b/>
          <w:lang w:val="it-IT"/>
        </w:rPr>
        <w:t>Modifiche</w:t>
      </w:r>
    </w:p>
    <w:p w14:paraId="2A7126B3" w14:textId="77777777" w:rsidR="001D63C2" w:rsidRPr="003F471F" w:rsidRDefault="001D63C2" w:rsidP="00E06050">
      <w:pPr>
        <w:rPr>
          <w:lang w:val="it-IT"/>
        </w:rPr>
      </w:pPr>
      <w:r w:rsidRPr="003F471F">
        <w:rPr>
          <w:color w:val="000000"/>
          <w:lang w:val="it-IT"/>
        </w:rPr>
        <w:t>CAL Suite per Windows Small Business Server 2008 per Utenti o Dispositivi Premium</w:t>
      </w:r>
    </w:p>
    <w:p w14:paraId="51E66DC1" w14:textId="77777777" w:rsidR="001D63C2" w:rsidRPr="003F471F" w:rsidRDefault="001D63C2" w:rsidP="00E06050">
      <w:pPr>
        <w:rPr>
          <w:lang w:val="it-IT"/>
        </w:rPr>
      </w:pPr>
      <w:r w:rsidRPr="003F471F">
        <w:rPr>
          <w:color w:val="000000"/>
          <w:lang w:val="it-IT"/>
        </w:rPr>
        <w:t>CAL Suite per Windows Small Business Server 2008 per Utenti o Dispositivi Premium (5 Client)</w:t>
      </w:r>
    </w:p>
    <w:p w14:paraId="100D5EF5" w14:textId="77777777" w:rsidR="001D63C2" w:rsidRPr="003F471F" w:rsidRDefault="001D63C2" w:rsidP="00E06050">
      <w:pPr>
        <w:rPr>
          <w:lang w:val="it-IT"/>
        </w:rPr>
      </w:pPr>
      <w:r w:rsidRPr="003F471F">
        <w:rPr>
          <w:color w:val="000000"/>
          <w:lang w:val="it-IT"/>
        </w:rPr>
        <w:t>CAL Suite per Windows Small Business Server 2008 per Utenti o Dispositivi Premium (20 Client)</w:t>
      </w:r>
    </w:p>
    <w:p w14:paraId="6C00884F" w14:textId="77777777" w:rsidR="001D63C2" w:rsidRPr="0058047D" w:rsidRDefault="001D63C2" w:rsidP="00E06050">
      <w:r w:rsidRPr="0058047D">
        <w:rPr>
          <w:color w:val="000000"/>
        </w:rPr>
        <w:t>CAL Suite per Windows Small Business Server 2011 (1 Client)</w:t>
      </w:r>
    </w:p>
    <w:p w14:paraId="6B7A3E73" w14:textId="77777777" w:rsidR="001D63C2" w:rsidRPr="0058047D" w:rsidRDefault="001D63C2" w:rsidP="001D63C2">
      <w:r w:rsidRPr="0058047D">
        <w:rPr>
          <w:color w:val="000000"/>
        </w:rPr>
        <w:t>CAL Suite per Windows Small Business Server 2011 (5 Client)</w:t>
      </w:r>
    </w:p>
    <w:p w14:paraId="4BBAB671" w14:textId="77777777" w:rsidR="001D63C2" w:rsidRPr="0058047D" w:rsidRDefault="001D63C2" w:rsidP="00E06050">
      <w:r w:rsidRPr="0058047D">
        <w:rPr>
          <w:color w:val="000000"/>
        </w:rPr>
        <w:t>CAL Suite per Windows Small Business Server 2011 (20 Client)</w:t>
      </w:r>
    </w:p>
    <w:p w14:paraId="54F5DFD8" w14:textId="77777777" w:rsidR="001D63C2" w:rsidRPr="0058047D" w:rsidRDefault="001D63C2" w:rsidP="001D63C2">
      <w:r w:rsidRPr="0058047D">
        <w:rPr>
          <w:color w:val="000000"/>
        </w:rPr>
        <w:t>Windows Small Business Server 2011 Standard (5 Client)</w:t>
      </w:r>
    </w:p>
    <w:p w14:paraId="779956A7" w14:textId="77777777" w:rsidR="001D63C2" w:rsidRPr="0058047D" w:rsidRDefault="001D63C2" w:rsidP="00E06050">
      <w:r w:rsidRPr="0058047D">
        <w:rPr>
          <w:color w:val="000000"/>
        </w:rPr>
        <w:t>Premium Add-On per Windows Small Business Server 2011 (5 Client)</w:t>
      </w:r>
    </w:p>
    <w:p w14:paraId="509E482B" w14:textId="77777777" w:rsidR="001D63C2" w:rsidRPr="0058047D" w:rsidRDefault="001D63C2" w:rsidP="00E06050"/>
    <w:p w14:paraId="63436B11" w14:textId="77777777" w:rsidR="00E06050" w:rsidRPr="003F471F" w:rsidRDefault="00E06050" w:rsidP="003E606C">
      <w:pPr>
        <w:spacing w:after="60"/>
        <w:rPr>
          <w:lang w:val="it-IT"/>
        </w:rPr>
      </w:pPr>
      <w:r w:rsidRPr="003F471F">
        <w:rPr>
          <w:b/>
          <w:lang w:val="it-IT"/>
        </w:rPr>
        <w:t>Prodotti Eliminati</w:t>
      </w:r>
    </w:p>
    <w:p w14:paraId="2C6F5606" w14:textId="77777777" w:rsidR="00E06050" w:rsidRPr="003F471F" w:rsidRDefault="00E06050" w:rsidP="00E06050">
      <w:pPr>
        <w:rPr>
          <w:lang w:val="it-IT"/>
        </w:rPr>
      </w:pPr>
      <w:r w:rsidRPr="003F471F">
        <w:rPr>
          <w:color w:val="000000"/>
          <w:lang w:val="it-IT"/>
        </w:rPr>
        <w:t>Licenza di Gestione Client per OSE per Windows Embedded Device Manager 2011</w:t>
      </w:r>
    </w:p>
    <w:p w14:paraId="4643FEC5" w14:textId="77777777" w:rsidR="00E06050" w:rsidRPr="003F471F" w:rsidRDefault="00E06050" w:rsidP="00E06050">
      <w:pPr>
        <w:rPr>
          <w:lang w:val="it-IT"/>
        </w:rPr>
      </w:pPr>
      <w:r w:rsidRPr="003F471F">
        <w:rPr>
          <w:color w:val="000000"/>
          <w:lang w:val="it-IT"/>
        </w:rPr>
        <w:t>Licenza di Gestione Client per Utente per Windows Embedded Device Manager 2011</w:t>
      </w:r>
    </w:p>
    <w:p w14:paraId="39919632" w14:textId="77777777" w:rsidR="00844BAF" w:rsidRPr="003F471F" w:rsidRDefault="00844BAF" w:rsidP="00E06050">
      <w:pPr>
        <w:rPr>
          <w:lang w:val="it-IT"/>
        </w:rPr>
      </w:pPr>
      <w:r w:rsidRPr="003F471F">
        <w:rPr>
          <w:rFonts w:cs="Tahoma"/>
          <w:color w:val="000000"/>
          <w:szCs w:val="20"/>
          <w:lang w:val="it-IT"/>
        </w:rPr>
        <w:t>Licenza CAL per Dispositivo per Windows Server 2008 per Windows Essential Server Solutions (5 Client)</w:t>
      </w:r>
    </w:p>
    <w:p w14:paraId="213BD2B5" w14:textId="77777777" w:rsidR="00844BAF" w:rsidRPr="003F471F" w:rsidRDefault="00844BAF" w:rsidP="00E06050">
      <w:pPr>
        <w:rPr>
          <w:lang w:val="it-IT"/>
        </w:rPr>
      </w:pPr>
      <w:r w:rsidRPr="003F471F">
        <w:rPr>
          <w:rFonts w:cs="Tahoma"/>
          <w:color w:val="000000"/>
          <w:szCs w:val="20"/>
          <w:lang w:val="it-IT"/>
        </w:rPr>
        <w:t>User CAL per Windows Server 2008 per Windows Essential Server Solutions (5 Client)</w:t>
      </w:r>
    </w:p>
    <w:p w14:paraId="0F0F3BBB" w14:textId="77777777" w:rsidR="00844BAF" w:rsidRPr="0058047D" w:rsidRDefault="00844BAF" w:rsidP="00844BAF">
      <w:pPr>
        <w:keepNext/>
        <w:tabs>
          <w:tab w:val="num" w:pos="720"/>
        </w:tabs>
        <w:outlineLvl w:val="3"/>
      </w:pPr>
      <w:r w:rsidRPr="0058047D">
        <w:rPr>
          <w:rFonts w:cs="Tahoma"/>
          <w:color w:val="000000"/>
          <w:szCs w:val="20"/>
        </w:rPr>
        <w:t>Windows MultiPoint Server 2011 Premium con Windows MultiPoint Server 2011 (CAL) (5 Client)</w:t>
      </w:r>
    </w:p>
    <w:p w14:paraId="56731D78" w14:textId="77777777" w:rsidR="00E06050" w:rsidRPr="0058047D" w:rsidRDefault="00844BAF" w:rsidP="00E06050">
      <w:r w:rsidRPr="0058047D">
        <w:rPr>
          <w:rFonts w:cs="Tahoma"/>
          <w:color w:val="000000"/>
          <w:szCs w:val="20"/>
        </w:rPr>
        <w:t>Windows MultiPoint Server 2011 Premium con Windows MultiPoint Server 2011 (CAL) (5 Client) con Windows</w:t>
      </w:r>
    </w:p>
    <w:bookmarkEnd w:id="562"/>
    <w:p w14:paraId="193E68B3" w14:textId="77777777" w:rsidR="00023FE7" w:rsidRPr="003F471F" w:rsidRDefault="00EF4590" w:rsidP="00F62191">
      <w:pPr>
        <w:spacing w:after="120"/>
        <w:rPr>
          <w:lang w:val="it-IT"/>
        </w:rPr>
      </w:pPr>
      <w:r w:rsidRPr="003F471F">
        <w:rPr>
          <w:lang w:val="it-IT"/>
        </w:rPr>
        <w:br w:type="page"/>
      </w:r>
      <w:bookmarkStart w:id="579" w:name="_Toc336338180"/>
      <w:bookmarkStart w:id="580" w:name="_Toc371663571"/>
      <w:r w:rsidRPr="003F471F">
        <w:rPr>
          <w:rStyle w:val="Heading1Char"/>
          <w:lang w:val="it-IT"/>
        </w:rPr>
        <w:t>ARTICOLO 2 - PROMOZIONI DI PRODOTTI</w:t>
      </w:r>
      <w:bookmarkEnd w:id="579"/>
      <w:bookmarkEnd w:id="580"/>
    </w:p>
    <w:p w14:paraId="0A436848" w14:textId="77777777" w:rsidR="00023FE7" w:rsidRPr="003F471F" w:rsidRDefault="00023FE7" w:rsidP="00510F6B">
      <w:pPr>
        <w:ind w:right="720"/>
        <w:rPr>
          <w:lang w:val="it-IT"/>
        </w:rPr>
      </w:pPr>
    </w:p>
    <w:p w14:paraId="5704500C" w14:textId="77777777" w:rsidR="00187499" w:rsidRPr="003F471F" w:rsidRDefault="00187499" w:rsidP="005D753D">
      <w:pPr>
        <w:pStyle w:val="Heading2"/>
        <w:spacing w:after="120"/>
        <w:ind w:left="0"/>
        <w:rPr>
          <w:lang w:val="it-IT"/>
        </w:rPr>
      </w:pPr>
      <w:bookmarkStart w:id="581" w:name="_Toc371663572"/>
      <w:bookmarkStart w:id="582" w:name="_Toc336338182"/>
      <w:r w:rsidRPr="003F471F">
        <w:rPr>
          <w:rFonts w:ascii="Tahoma" w:hAnsi="Tahoma" w:cs="Tahoma"/>
          <w:color w:val="FF9429"/>
          <w:lang w:val="it-IT"/>
        </w:rPr>
        <w:t>Microsoft Dynamics AX 2012 R2 - Promozione EA Starter</w:t>
      </w:r>
      <w:bookmarkEnd w:id="581"/>
    </w:p>
    <w:bookmarkEnd w:id="582"/>
    <w:p w14:paraId="5B7FB78C" w14:textId="77777777" w:rsidR="001D214E" w:rsidRPr="003F471F" w:rsidRDefault="001D214E" w:rsidP="005D753D">
      <w:pPr>
        <w:spacing w:after="120" w:line="276" w:lineRule="auto"/>
        <w:rPr>
          <w:lang w:val="it-IT"/>
        </w:rPr>
      </w:pPr>
      <w:r w:rsidRPr="003F471F">
        <w:rPr>
          <w:lang w:val="it-IT"/>
        </w:rPr>
        <w:t>Grazie a un</w:t>
      </w:r>
      <w:r w:rsidR="001C4212" w:rsidRPr="003F471F">
        <w:rPr>
          <w:lang w:val="it-IT"/>
        </w:rPr>
        <w:t>’</w:t>
      </w:r>
      <w:r w:rsidRPr="003F471F">
        <w:rPr>
          <w:lang w:val="it-IT"/>
        </w:rPr>
        <w:t xml:space="preserve">offerta di durata limitata, che va dal </w:t>
      </w:r>
      <w:r w:rsidRPr="003F471F">
        <w:rPr>
          <w:rFonts w:eastAsia="Calibri" w:cs="Tahoma"/>
          <w:szCs w:val="18"/>
          <w:lang w:val="it-IT"/>
        </w:rPr>
        <w:t>1 marzo 2013 al 31 dicembre 2013, Microsoft offre 3 (tre) Enterprise CAL e 50 (cinquanta) Self Serve CAL con l</w:t>
      </w:r>
      <w:r w:rsidR="001C4212" w:rsidRPr="003F471F">
        <w:rPr>
          <w:rFonts w:eastAsia="Calibri" w:cs="Tahoma"/>
          <w:szCs w:val="18"/>
          <w:lang w:val="it-IT"/>
        </w:rPr>
        <w:t>’</w:t>
      </w:r>
      <w:r w:rsidRPr="003F471F">
        <w:rPr>
          <w:rFonts w:eastAsia="Calibri" w:cs="Tahoma"/>
          <w:szCs w:val="18"/>
          <w:lang w:val="it-IT"/>
        </w:rPr>
        <w:t>acquisto della prima licenza Server per Microsoft Dynamics AX</w:t>
      </w:r>
      <w:r w:rsidRPr="003F471F">
        <w:rPr>
          <w:lang w:val="it-IT"/>
        </w:rPr>
        <w:t xml:space="preserve"> 2012 </w:t>
      </w:r>
      <w:r w:rsidRPr="003F471F">
        <w:rPr>
          <w:rFonts w:eastAsia="Calibri" w:cs="Tahoma"/>
          <w:szCs w:val="18"/>
          <w:lang w:val="it-IT"/>
        </w:rPr>
        <w:t>R2.</w:t>
      </w:r>
      <w:r w:rsidRPr="003F471F">
        <w:rPr>
          <w:lang w:val="it-IT"/>
        </w:rPr>
        <w:t xml:space="preserve"> Questa promozione è disponibile </w:t>
      </w:r>
      <w:r w:rsidRPr="003F471F">
        <w:rPr>
          <w:rFonts w:eastAsia="Calibri" w:cs="Tahoma"/>
          <w:szCs w:val="18"/>
          <w:lang w:val="it-IT"/>
        </w:rPr>
        <w:t xml:space="preserve">solo </w:t>
      </w:r>
      <w:r w:rsidRPr="003F471F">
        <w:rPr>
          <w:lang w:val="it-IT"/>
        </w:rPr>
        <w:t>ai sensi del programma di licenze Contratto Microsoft Enterprise</w:t>
      </w:r>
      <w:r w:rsidRPr="003F471F">
        <w:rPr>
          <w:rFonts w:eastAsia="Calibri" w:cs="Tahoma"/>
          <w:szCs w:val="18"/>
          <w:lang w:val="it-IT"/>
        </w:rPr>
        <w:t xml:space="preserve">. </w:t>
      </w:r>
    </w:p>
    <w:p w14:paraId="4DB151DF" w14:textId="77777777" w:rsidR="00187499" w:rsidRPr="003F471F" w:rsidRDefault="00187499" w:rsidP="005D753D">
      <w:pPr>
        <w:spacing w:after="120" w:line="276" w:lineRule="auto"/>
        <w:rPr>
          <w:lang w:val="it-IT"/>
        </w:rPr>
      </w:pPr>
      <w:r w:rsidRPr="003F471F">
        <w:rPr>
          <w:rFonts w:eastAsia="Calibri" w:cs="Tahoma"/>
          <w:szCs w:val="18"/>
          <w:lang w:val="it-IT"/>
        </w:rPr>
        <w:t xml:space="preserve">Tutte le licenze concesse ai sensi della presente offerta includeranno la copertura Software Assurance. Tale copertura cesserà alla scadenza della copertura per le licenze qualificanti. Alla scadenza della copertura, le società potranno rinnovare Software Assurance sulle licenze concesse. </w:t>
      </w:r>
      <w:bookmarkStart w:id="583" w:name="_Toc336338183"/>
      <w:r w:rsidRPr="003F471F">
        <w:rPr>
          <w:rFonts w:eastAsia="Calibri" w:cs="Tahoma"/>
          <w:szCs w:val="18"/>
          <w:lang w:val="it-IT"/>
        </w:rPr>
        <w:t>Il diritto di utilizzo del software in concessione scadrà alla scadenza del diritto di utilizzo del software ai sensi della licenza Server qualificante per Microsoft Dynamics AX 2012 R2. Questa Nota relativa al Prodotto insieme alla prova della licenza Server qualificante attesteranno il diritto della società di utilizzare le licenze per Microsoft Dynamics AX 2012 R2 ai sensi delle condizioni della presente offerta. Le società non potranno trasferire le licenze concesse in virtù della presente offerta separatamente dalle licenze qualificanti corrispondenti.</w:t>
      </w:r>
    </w:p>
    <w:bookmarkEnd w:id="583"/>
    <w:p w14:paraId="269EB3F3" w14:textId="77777777" w:rsidR="00491DAC" w:rsidRPr="003F471F" w:rsidRDefault="00491DAC" w:rsidP="00963238">
      <w:pPr>
        <w:rPr>
          <w:lang w:val="it-IT"/>
        </w:rPr>
      </w:pPr>
      <w:r w:rsidRPr="003F471F">
        <w:rPr>
          <w:color w:val="000000"/>
          <w:lang w:val="it-IT"/>
        </w:rPr>
        <w:t>Programmi Plus, EAP, ECI e Open Value.</w:t>
      </w:r>
    </w:p>
    <w:p w14:paraId="316A463F" w14:textId="77777777" w:rsidR="00505713" w:rsidRPr="003F471F" w:rsidRDefault="00505713" w:rsidP="00963238">
      <w:pPr>
        <w:rPr>
          <w:lang w:val="it-IT"/>
        </w:rPr>
      </w:pPr>
    </w:p>
    <w:p w14:paraId="5515B7FA" w14:textId="77777777" w:rsidR="00963238" w:rsidRPr="003F471F" w:rsidRDefault="00963238" w:rsidP="00963238">
      <w:pPr>
        <w:rPr>
          <w:lang w:val="it-IT"/>
        </w:rPr>
      </w:pPr>
    </w:p>
    <w:p w14:paraId="3D3FCA89" w14:textId="77777777" w:rsidR="00505713" w:rsidRPr="003F471F" w:rsidRDefault="00505713" w:rsidP="00505713">
      <w:pPr>
        <w:pStyle w:val="Heading2"/>
        <w:spacing w:after="120"/>
        <w:ind w:left="0"/>
        <w:rPr>
          <w:lang w:val="it-IT"/>
        </w:rPr>
      </w:pPr>
      <w:bookmarkStart w:id="584" w:name="_Toc371663573"/>
      <w:r w:rsidRPr="003F471F">
        <w:rPr>
          <w:rFonts w:ascii="Tahoma" w:eastAsia="Times New Roman" w:hAnsi="Tahoma" w:cs="Tahoma"/>
          <w:color w:val="FF9429"/>
          <w:lang w:val="it-IT"/>
        </w:rPr>
        <w:t>Promozione di Windows Intune e del Componente Aggiuntivo per Intune</w:t>
      </w:r>
      <w:bookmarkEnd w:id="584"/>
    </w:p>
    <w:p w14:paraId="5349C601" w14:textId="77777777" w:rsidR="00505713" w:rsidRPr="003F471F" w:rsidRDefault="00505713" w:rsidP="001C4212">
      <w:pPr>
        <w:spacing w:after="120" w:line="276" w:lineRule="auto"/>
        <w:rPr>
          <w:rFonts w:eastAsia="Calibri" w:cs="Tahoma"/>
          <w:szCs w:val="18"/>
          <w:lang w:val="it-IT"/>
        </w:rPr>
      </w:pPr>
      <w:r w:rsidRPr="003F471F">
        <w:rPr>
          <w:rFonts w:eastAsia="Calibri" w:cs="Tahoma"/>
          <w:szCs w:val="18"/>
          <w:lang w:val="it-IT"/>
        </w:rPr>
        <w:t>Tra il 1° settembre 2013 e il 30 giugno 2014 Microsoft offrirà uno sconto del 30% su Intune e il Componente Aggiuntivo per Intune per System Center Configuration Manager e System Center Endpoint Protection alle società che acquistano Office 365 Suite (E/A/G) o le SKU standalone (ad esempio, Exchange Online) tramite programmi per Contratti Multilicenza Enterprise. Per qualificarsi per questa offerta sono necessarie almeno 250 postazioni. Questa offerta sarà disponibile per le società tramite i programmi EA, EAS ed EES. I segmenti di società presi in considerazione includono sia società commerciali, pubbliche e istituti didattici di segmenti EPG, che società commerciali, pubbliche e istituti didattici di segmenti SMS&amp;P.</w:t>
      </w:r>
    </w:p>
    <w:p w14:paraId="503E0534" w14:textId="77777777" w:rsidR="00505713" w:rsidRPr="003F471F" w:rsidRDefault="00505713" w:rsidP="00963238">
      <w:pPr>
        <w:rPr>
          <w:lang w:val="it-IT"/>
        </w:rPr>
      </w:pPr>
    </w:p>
    <w:p w14:paraId="765A8ADB" w14:textId="77777777" w:rsidR="00505713" w:rsidRPr="003F471F" w:rsidRDefault="00505713" w:rsidP="00505713">
      <w:pPr>
        <w:rPr>
          <w:lang w:val="it-IT"/>
        </w:rPr>
      </w:pPr>
    </w:p>
    <w:p w14:paraId="0A8DF424" w14:textId="77777777" w:rsidR="00505713" w:rsidRPr="003F471F" w:rsidRDefault="00505713" w:rsidP="00505713">
      <w:pPr>
        <w:pStyle w:val="Heading2"/>
        <w:spacing w:after="120"/>
        <w:ind w:left="0"/>
        <w:rPr>
          <w:lang w:val="it-IT"/>
        </w:rPr>
      </w:pPr>
      <w:bookmarkStart w:id="585" w:name="_Toc371663574"/>
      <w:r w:rsidRPr="003F471F">
        <w:rPr>
          <w:rFonts w:ascii="Tahoma" w:eastAsia="Times New Roman" w:hAnsi="Tahoma" w:cs="Tahoma"/>
          <w:color w:val="FF9429"/>
          <w:lang w:val="it-IT"/>
        </w:rPr>
        <w:t>Windows Azure Adoption Acceleration</w:t>
      </w:r>
      <w:bookmarkEnd w:id="585"/>
    </w:p>
    <w:p w14:paraId="02DBB0DE" w14:textId="77777777" w:rsidR="00505713" w:rsidRPr="003F471F" w:rsidRDefault="00505713" w:rsidP="00505713">
      <w:pPr>
        <w:spacing w:after="120" w:line="276" w:lineRule="auto"/>
        <w:rPr>
          <w:lang w:val="it-IT"/>
        </w:rPr>
      </w:pPr>
      <w:r w:rsidRPr="003F471F">
        <w:rPr>
          <w:lang w:val="it-IT"/>
        </w:rPr>
        <w:t>Tra il 1° novembre 2013 e il 30 giugno 2014 Microsoft offrirà 3 Crediti per l</w:t>
      </w:r>
      <w:r w:rsidR="001C4212" w:rsidRPr="003F471F">
        <w:rPr>
          <w:lang w:val="it-IT"/>
        </w:rPr>
        <w:t>’</w:t>
      </w:r>
      <w:r w:rsidRPr="003F471F">
        <w:rPr>
          <w:lang w:val="it-IT"/>
        </w:rPr>
        <w:t>Impegno Monetario promozionali alle società che soddisfano una determinata soglia di Impegno Monetario anticipato:</w:t>
      </w:r>
      <w:r w:rsidR="00E34ED3" w:rsidRPr="003F471F">
        <w:rPr>
          <w:lang w:val="it-IT"/>
        </w:rPr>
        <w:t xml:space="preserve"> </w:t>
      </w:r>
    </w:p>
    <w:p w14:paraId="411CF96F" w14:textId="77777777" w:rsidR="00505713" w:rsidRPr="003F471F" w:rsidRDefault="00505713" w:rsidP="00505713">
      <w:pPr>
        <w:pStyle w:val="ListParagraph"/>
        <w:numPr>
          <w:ilvl w:val="0"/>
          <w:numId w:val="143"/>
        </w:numPr>
        <w:spacing w:after="120" w:line="276" w:lineRule="auto"/>
        <w:rPr>
          <w:sz w:val="18"/>
          <w:szCs w:val="18"/>
          <w:lang w:val="it-IT"/>
        </w:rPr>
      </w:pPr>
      <w:r w:rsidRPr="003F471F">
        <w:rPr>
          <w:rFonts w:ascii="Tahoma" w:hAnsi="Tahoma" w:cs="Tahoma"/>
          <w:sz w:val="18"/>
          <w:szCs w:val="18"/>
          <w:lang w:val="it-IT"/>
        </w:rPr>
        <w:t>L</w:t>
      </w:r>
      <w:r w:rsidR="001C4212" w:rsidRPr="003F471F">
        <w:rPr>
          <w:rFonts w:ascii="Tahoma" w:hAnsi="Tahoma" w:cs="Tahoma"/>
          <w:sz w:val="18"/>
          <w:szCs w:val="18"/>
          <w:lang w:val="it-IT"/>
        </w:rPr>
        <w:t>’</w:t>
      </w:r>
      <w:r w:rsidRPr="003F471F">
        <w:rPr>
          <w:rFonts w:ascii="Tahoma" w:hAnsi="Tahoma" w:cs="Tahoma"/>
          <w:sz w:val="18"/>
          <w:szCs w:val="18"/>
          <w:lang w:val="it-IT"/>
        </w:rPr>
        <w:t>impegno monetario anticipato superiore a 50.000 USD sarà idoneo a ricevere altri 2.500 USD in credito per l</w:t>
      </w:r>
      <w:r w:rsidR="001C4212" w:rsidRPr="003F471F">
        <w:rPr>
          <w:rFonts w:ascii="Tahoma" w:hAnsi="Tahoma" w:cs="Tahoma"/>
          <w:sz w:val="18"/>
          <w:szCs w:val="18"/>
          <w:lang w:val="it-IT"/>
        </w:rPr>
        <w:t>’</w:t>
      </w:r>
      <w:r w:rsidRPr="003F471F">
        <w:rPr>
          <w:rFonts w:ascii="Tahoma" w:hAnsi="Tahoma" w:cs="Tahoma"/>
          <w:sz w:val="18"/>
          <w:szCs w:val="18"/>
          <w:lang w:val="it-IT"/>
        </w:rPr>
        <w:t>impegno monetario promozionale</w:t>
      </w:r>
    </w:p>
    <w:p w14:paraId="0F99E76E" w14:textId="77777777" w:rsidR="00505713" w:rsidRPr="003F471F" w:rsidRDefault="00505713" w:rsidP="00505713">
      <w:pPr>
        <w:pStyle w:val="ListParagraph"/>
        <w:numPr>
          <w:ilvl w:val="0"/>
          <w:numId w:val="143"/>
        </w:numPr>
        <w:spacing w:after="120" w:line="276" w:lineRule="auto"/>
        <w:rPr>
          <w:sz w:val="18"/>
          <w:szCs w:val="18"/>
          <w:lang w:val="it-IT"/>
        </w:rPr>
      </w:pPr>
      <w:r w:rsidRPr="003F471F">
        <w:rPr>
          <w:rFonts w:ascii="Tahoma" w:hAnsi="Tahoma" w:cs="Tahoma"/>
          <w:sz w:val="18"/>
          <w:szCs w:val="18"/>
          <w:lang w:val="it-IT"/>
        </w:rPr>
        <w:t>L</w:t>
      </w:r>
      <w:r w:rsidR="001C4212" w:rsidRPr="003F471F">
        <w:rPr>
          <w:rFonts w:ascii="Tahoma" w:hAnsi="Tahoma" w:cs="Tahoma"/>
          <w:sz w:val="18"/>
          <w:szCs w:val="18"/>
          <w:lang w:val="it-IT"/>
        </w:rPr>
        <w:t>’</w:t>
      </w:r>
      <w:r w:rsidRPr="003F471F">
        <w:rPr>
          <w:rFonts w:ascii="Tahoma" w:hAnsi="Tahoma" w:cs="Tahoma"/>
          <w:sz w:val="18"/>
          <w:szCs w:val="18"/>
          <w:lang w:val="it-IT"/>
        </w:rPr>
        <w:t>impegno monetario anticipato superiore a 100.000 USD sarà idoneo a ricevere altri 8.000 USD in credito per l</w:t>
      </w:r>
      <w:r w:rsidR="001C4212" w:rsidRPr="003F471F">
        <w:rPr>
          <w:rFonts w:ascii="Tahoma" w:hAnsi="Tahoma" w:cs="Tahoma"/>
          <w:sz w:val="18"/>
          <w:szCs w:val="18"/>
          <w:lang w:val="it-IT"/>
        </w:rPr>
        <w:t>’</w:t>
      </w:r>
      <w:r w:rsidRPr="003F471F">
        <w:rPr>
          <w:rFonts w:ascii="Tahoma" w:hAnsi="Tahoma" w:cs="Tahoma"/>
          <w:sz w:val="18"/>
          <w:szCs w:val="18"/>
          <w:lang w:val="it-IT"/>
        </w:rPr>
        <w:t>impegno monetario promozionale</w:t>
      </w:r>
    </w:p>
    <w:p w14:paraId="1E5011BF" w14:textId="77777777" w:rsidR="00505713" w:rsidRPr="003F471F" w:rsidRDefault="00505713" w:rsidP="00505713">
      <w:pPr>
        <w:pStyle w:val="ListParagraph"/>
        <w:numPr>
          <w:ilvl w:val="0"/>
          <w:numId w:val="143"/>
        </w:numPr>
        <w:spacing w:after="120" w:line="276" w:lineRule="auto"/>
        <w:rPr>
          <w:sz w:val="18"/>
          <w:szCs w:val="18"/>
          <w:lang w:val="it-IT"/>
        </w:rPr>
      </w:pPr>
      <w:r w:rsidRPr="003F471F">
        <w:rPr>
          <w:rFonts w:ascii="Tahoma" w:hAnsi="Tahoma" w:cs="Tahoma"/>
          <w:sz w:val="18"/>
          <w:szCs w:val="18"/>
          <w:lang w:val="it-IT"/>
        </w:rPr>
        <w:t>L</w:t>
      </w:r>
      <w:r w:rsidR="001C4212" w:rsidRPr="003F471F">
        <w:rPr>
          <w:rFonts w:ascii="Tahoma" w:hAnsi="Tahoma" w:cs="Tahoma"/>
          <w:sz w:val="18"/>
          <w:szCs w:val="18"/>
          <w:lang w:val="it-IT"/>
        </w:rPr>
        <w:t>’</w:t>
      </w:r>
      <w:r w:rsidRPr="003F471F">
        <w:rPr>
          <w:rFonts w:ascii="Tahoma" w:hAnsi="Tahoma" w:cs="Tahoma"/>
          <w:sz w:val="18"/>
          <w:szCs w:val="18"/>
          <w:lang w:val="it-IT"/>
        </w:rPr>
        <w:t>impegno monetario anticipato superiore a 200.000 USD sarà idoneo a ricevere altri 20.000 USD in credito per l</w:t>
      </w:r>
      <w:r w:rsidR="001C4212" w:rsidRPr="003F471F">
        <w:rPr>
          <w:rFonts w:ascii="Tahoma" w:hAnsi="Tahoma" w:cs="Tahoma"/>
          <w:sz w:val="18"/>
          <w:szCs w:val="18"/>
          <w:lang w:val="it-IT"/>
        </w:rPr>
        <w:t>’</w:t>
      </w:r>
      <w:r w:rsidRPr="003F471F">
        <w:rPr>
          <w:rFonts w:ascii="Tahoma" w:hAnsi="Tahoma" w:cs="Tahoma"/>
          <w:sz w:val="18"/>
          <w:szCs w:val="18"/>
          <w:lang w:val="it-IT"/>
        </w:rPr>
        <w:t>impegno monetario promozionale</w:t>
      </w:r>
    </w:p>
    <w:p w14:paraId="00C59B5E" w14:textId="77777777" w:rsidR="00505713" w:rsidRPr="003F471F" w:rsidRDefault="00505713" w:rsidP="00963238">
      <w:pPr>
        <w:rPr>
          <w:lang w:val="it-IT"/>
        </w:rPr>
      </w:pPr>
      <w:r w:rsidRPr="003F471F">
        <w:rPr>
          <w:lang w:val="it-IT"/>
        </w:rPr>
        <w:t>Le società non potranno accumulare queste offerte promozionali per qualificarsi per ulteriori crediti. Una società che impegna in anticipo 150.000 USD è comunque idonea a ricevere il credito promozionale di 8.000 USD, mentre una società che impegna 300.000 USD è idonea a ricevere solo 20.000 USD di credito promozionale. Tutto il credito per l</w:t>
      </w:r>
      <w:r w:rsidR="001C4212" w:rsidRPr="003F471F">
        <w:rPr>
          <w:lang w:val="it-IT"/>
        </w:rPr>
        <w:t>’</w:t>
      </w:r>
      <w:r w:rsidRPr="003F471F">
        <w:rPr>
          <w:lang w:val="it-IT"/>
        </w:rPr>
        <w:t>impegno monetario promozionale verrà aggiunto al saldo del conto dell</w:t>
      </w:r>
      <w:r w:rsidR="001C4212" w:rsidRPr="003F471F">
        <w:rPr>
          <w:lang w:val="it-IT"/>
        </w:rPr>
        <w:t>’</w:t>
      </w:r>
      <w:r w:rsidRPr="003F471F">
        <w:rPr>
          <w:lang w:val="it-IT"/>
        </w:rPr>
        <w:t>Impegno Monetario EA non appena l</w:t>
      </w:r>
      <w:r w:rsidR="001C4212" w:rsidRPr="003F471F">
        <w:rPr>
          <w:lang w:val="it-IT"/>
        </w:rPr>
        <w:t>’</w:t>
      </w:r>
      <w:r w:rsidRPr="003F471F">
        <w:rPr>
          <w:lang w:val="it-IT"/>
        </w:rPr>
        <w:t>Elenco Prezzi Cliente (Customer Price Sheet) verrà elaborato con le SKU del credito promozionale appropriate e il corrispondente acquisto dell</w:t>
      </w:r>
      <w:r w:rsidR="001C4212" w:rsidRPr="003F471F">
        <w:rPr>
          <w:lang w:val="it-IT"/>
        </w:rPr>
        <w:t>’</w:t>
      </w:r>
      <w:r w:rsidRPr="003F471F">
        <w:rPr>
          <w:lang w:val="it-IT"/>
        </w:rPr>
        <w:t>Impegno Monetario anticipato.</w:t>
      </w:r>
      <w:r w:rsidR="00E34ED3" w:rsidRPr="003F471F">
        <w:rPr>
          <w:lang w:val="it-IT"/>
        </w:rPr>
        <w:t xml:space="preserve"> </w:t>
      </w:r>
      <w:r w:rsidRPr="003F471F">
        <w:rPr>
          <w:lang w:val="it-IT"/>
        </w:rPr>
        <w:t xml:space="preserve">Questa Offerta sarà disponibile per le società tramite i programmi EA, EAS, EAP, EWA e i futuri programmi SCE. </w:t>
      </w:r>
    </w:p>
    <w:p w14:paraId="37E6037F" w14:textId="77777777" w:rsidR="00505713" w:rsidRPr="003F471F" w:rsidRDefault="00505713" w:rsidP="00963238">
      <w:pPr>
        <w:rPr>
          <w:lang w:val="it-IT"/>
        </w:rPr>
      </w:pPr>
    </w:p>
    <w:p w14:paraId="0E20E845" w14:textId="77777777" w:rsidR="00963238" w:rsidRPr="003F471F" w:rsidRDefault="00963238" w:rsidP="00963238">
      <w:pPr>
        <w:rPr>
          <w:lang w:val="it-IT"/>
        </w:rPr>
      </w:pPr>
    </w:p>
    <w:p w14:paraId="1F7B68CC" w14:textId="77777777" w:rsidR="00F62191" w:rsidRPr="003F471F" w:rsidRDefault="00F62191" w:rsidP="00963238">
      <w:pPr>
        <w:rPr>
          <w:lang w:val="it-IT"/>
        </w:rPr>
      </w:pPr>
    </w:p>
    <w:p w14:paraId="5C7029C2" w14:textId="77777777" w:rsidR="00F62191" w:rsidRPr="003F471F" w:rsidRDefault="00F62191" w:rsidP="00963238">
      <w:pPr>
        <w:rPr>
          <w:lang w:val="it-IT"/>
        </w:rPr>
      </w:pPr>
    </w:p>
    <w:p w14:paraId="55FED489" w14:textId="77777777" w:rsidR="00F62191" w:rsidRPr="003F471F" w:rsidRDefault="00F62191" w:rsidP="00963238">
      <w:pPr>
        <w:rPr>
          <w:lang w:val="it-IT"/>
        </w:rPr>
      </w:pPr>
    </w:p>
    <w:p w14:paraId="2C2C7C8A" w14:textId="77777777" w:rsidR="00505713" w:rsidRPr="003F471F" w:rsidRDefault="00505713" w:rsidP="00505713">
      <w:pPr>
        <w:pStyle w:val="Heading2"/>
        <w:spacing w:after="120"/>
        <w:ind w:left="0"/>
        <w:rPr>
          <w:lang w:val="it-IT"/>
        </w:rPr>
      </w:pPr>
      <w:bookmarkStart w:id="586" w:name="_Toc371663575"/>
      <w:r w:rsidRPr="003F471F">
        <w:rPr>
          <w:rFonts w:ascii="Tahoma" w:eastAsia="Times New Roman" w:hAnsi="Tahoma" w:cs="Tahoma"/>
          <w:color w:val="FF9429"/>
          <w:lang w:val="it-IT"/>
        </w:rPr>
        <w:t>Promozione di Visual Studio Test Pro con MSDN</w:t>
      </w:r>
      <w:bookmarkEnd w:id="586"/>
    </w:p>
    <w:p w14:paraId="41B27BC5" w14:textId="77777777" w:rsidR="00505713" w:rsidRPr="003F471F" w:rsidRDefault="00505713" w:rsidP="00505713">
      <w:pPr>
        <w:rPr>
          <w:lang w:val="it-IT"/>
        </w:rPr>
      </w:pPr>
      <w:r w:rsidRPr="003F471F">
        <w:rPr>
          <w:lang w:val="it-IT"/>
        </w:rPr>
        <w:t>Tra il 1° ottobre 2013 e il 30 giugno 2014 Microsoft offrirà uno sconto del 35% su Visual Studio 2013 Test Pro con MSDN alle società che acquistano questi prodotti tramite Contratti Multilicenza Enterprise. Questa offerta sarà valida solo per i nuovi acquisti e sarà resa disponibile alle società tramite i programmi EA, EAP, Select Plus e Open Value. I segmenti di società presi in considerazione includono società commerciali EPG, account aziendali SMS&amp;P ed enti pubblici.</w:t>
      </w:r>
    </w:p>
    <w:p w14:paraId="774312E6" w14:textId="77777777" w:rsidR="00505713" w:rsidRPr="003F471F" w:rsidRDefault="00505713" w:rsidP="00505713">
      <w:pPr>
        <w:rPr>
          <w:lang w:val="it-IT"/>
        </w:rPr>
      </w:pPr>
    </w:p>
    <w:p w14:paraId="6338F5B1" w14:textId="77777777" w:rsidR="00505713" w:rsidRPr="003F471F" w:rsidRDefault="00505713" w:rsidP="00505713">
      <w:pPr>
        <w:rPr>
          <w:lang w:val="it-IT"/>
        </w:rPr>
      </w:pPr>
    </w:p>
    <w:p w14:paraId="1B36761F" w14:textId="77777777" w:rsidR="00505713" w:rsidRPr="0058047D" w:rsidRDefault="00505713" w:rsidP="00505713">
      <w:pPr>
        <w:pStyle w:val="Heading2"/>
        <w:spacing w:after="120"/>
        <w:ind w:left="0"/>
      </w:pPr>
      <w:bookmarkStart w:id="587" w:name="_Toc371663576"/>
      <w:r w:rsidRPr="0058047D">
        <w:rPr>
          <w:rFonts w:ascii="Tahoma" w:eastAsia="Times New Roman" w:hAnsi="Tahoma" w:cs="Tahoma"/>
          <w:color w:val="FF9429"/>
        </w:rPr>
        <w:t>Iscrizione Server and Cloud Jumpstart AF14</w:t>
      </w:r>
      <w:bookmarkEnd w:id="587"/>
    </w:p>
    <w:p w14:paraId="135E4F8B" w14:textId="77777777" w:rsidR="00505713" w:rsidRPr="003F471F" w:rsidRDefault="00505713" w:rsidP="00505713">
      <w:pPr>
        <w:rPr>
          <w:lang w:val="it-IT"/>
        </w:rPr>
      </w:pPr>
      <w:r w:rsidRPr="003F471F">
        <w:rPr>
          <w:lang w:val="it-IT"/>
        </w:rPr>
        <w:t xml:space="preserve">Tra il 1° novembre 2013 e il 30 giugno 2014 Microsoft offrirà uno sconto del 15% sulla L&amp;SA (Licenza e Software Assurance) per Core Infrastructure Suite Data Center, ma anche solo sulla copertura SA, alle società che acquistano questi prodotti tramite Contratti Multilicenza Enterprise. Questa offerta è limitata solo ai nuovi acquisti e sarà resa disponibile alle società tramite il Programma Iscrizione Server and Cloud e sarà valida per tutti i segmenti di società. </w:t>
      </w:r>
    </w:p>
    <w:p w14:paraId="241E3787" w14:textId="77777777" w:rsidR="00505713" w:rsidRPr="003F471F" w:rsidRDefault="00505713" w:rsidP="00505713">
      <w:pPr>
        <w:rPr>
          <w:lang w:val="it-IT"/>
        </w:rPr>
      </w:pPr>
    </w:p>
    <w:p w14:paraId="3644FA14" w14:textId="77777777" w:rsidR="00505713" w:rsidRPr="003F471F" w:rsidRDefault="00505713" w:rsidP="00505713">
      <w:pPr>
        <w:rPr>
          <w:lang w:val="it-IT"/>
        </w:rPr>
      </w:pPr>
    </w:p>
    <w:p w14:paraId="0F3AA869" w14:textId="77777777" w:rsidR="00505713" w:rsidRPr="003F471F" w:rsidRDefault="00505713" w:rsidP="00505713">
      <w:pPr>
        <w:pStyle w:val="Heading2"/>
        <w:spacing w:after="120"/>
        <w:ind w:left="0"/>
        <w:rPr>
          <w:lang w:val="it-IT"/>
        </w:rPr>
      </w:pPr>
      <w:bookmarkStart w:id="588" w:name="_Toc371663577"/>
      <w:r w:rsidRPr="003F471F">
        <w:rPr>
          <w:rFonts w:ascii="Tahoma" w:eastAsia="Times New Roman" w:hAnsi="Tahoma" w:cs="Tahoma"/>
          <w:color w:val="FF9429"/>
          <w:lang w:val="it-IT"/>
        </w:rPr>
        <w:t>Promozione della Gestione dei Portfolio e dei Progetti nel Cloud</w:t>
      </w:r>
      <w:bookmarkEnd w:id="588"/>
    </w:p>
    <w:p w14:paraId="585B8123" w14:textId="77777777" w:rsidR="00505713" w:rsidRPr="003F471F" w:rsidRDefault="00505713" w:rsidP="00505713">
      <w:pPr>
        <w:rPr>
          <w:lang w:val="it-IT"/>
        </w:rPr>
      </w:pPr>
      <w:r w:rsidRPr="003F471F">
        <w:rPr>
          <w:lang w:val="it-IT"/>
        </w:rPr>
        <w:t>Tra il 1° ottobre 2013 e il 31 marzo 2014 Microsoft offrirà uno sconto del 25% su Project Online e Project Online con</w:t>
      </w:r>
      <w:r w:rsidR="00F62191" w:rsidRPr="003F471F">
        <w:rPr>
          <w:lang w:val="it-IT"/>
        </w:rPr>
        <w:t> </w:t>
      </w:r>
      <w:r w:rsidRPr="003F471F">
        <w:rPr>
          <w:lang w:val="it-IT"/>
        </w:rPr>
        <w:t>Project Pro per Office 365 alle società che acquistano questi prodotti tramite Contratti Multilicenza Enterprise o</w:t>
      </w:r>
      <w:r w:rsidR="00F62191" w:rsidRPr="003F471F">
        <w:rPr>
          <w:lang w:val="it-IT"/>
        </w:rPr>
        <w:t> </w:t>
      </w:r>
      <w:r w:rsidRPr="003F471F">
        <w:rPr>
          <w:lang w:val="it-IT"/>
        </w:rPr>
        <w:t>il</w:t>
      </w:r>
      <w:r w:rsidR="00F62191" w:rsidRPr="003F471F">
        <w:rPr>
          <w:lang w:val="it-IT"/>
        </w:rPr>
        <w:t> </w:t>
      </w:r>
      <w:r w:rsidRPr="003F471F">
        <w:rPr>
          <w:lang w:val="it-IT"/>
        </w:rPr>
        <w:t>Portale Microsoft Online Services. Per qualificarsi per questa offerta sono necessarie almeno 200 postazioni. Questa offerta sarà disponibile per le società tramite i programmi EA, EAS e MOSP. I segmenti di società presi in considerazione includono società commerciali EPG e SMS&amp;P.</w:t>
      </w:r>
    </w:p>
    <w:p w14:paraId="4975F002" w14:textId="77777777" w:rsidR="00934640" w:rsidRPr="003F471F" w:rsidRDefault="00934640" w:rsidP="00934640">
      <w:pPr>
        <w:rPr>
          <w:lang w:val="it-IT"/>
        </w:rPr>
      </w:pPr>
    </w:p>
    <w:p w14:paraId="4C8563D4" w14:textId="77777777" w:rsidR="00934640" w:rsidRPr="003F471F" w:rsidRDefault="00934640" w:rsidP="00934640">
      <w:pPr>
        <w:rPr>
          <w:lang w:val="it-IT"/>
        </w:rPr>
      </w:pPr>
    </w:p>
    <w:p w14:paraId="34539375" w14:textId="77777777" w:rsidR="00934640" w:rsidRPr="003F471F" w:rsidRDefault="00934640" w:rsidP="00934640">
      <w:pPr>
        <w:pStyle w:val="Heading2"/>
        <w:spacing w:after="120"/>
        <w:ind w:left="0"/>
        <w:rPr>
          <w:lang w:val="it-IT"/>
        </w:rPr>
      </w:pPr>
      <w:bookmarkStart w:id="589" w:name="_Toc371663578"/>
      <w:r w:rsidRPr="003F471F">
        <w:rPr>
          <w:rFonts w:ascii="Tahoma" w:hAnsi="Tahoma" w:cs="Tahoma"/>
          <w:color w:val="FF9429"/>
          <w:lang w:val="it-IT"/>
        </w:rPr>
        <w:t>Promozione Project e Visio SA Transition</w:t>
      </w:r>
      <w:bookmarkEnd w:id="589"/>
    </w:p>
    <w:p w14:paraId="054CC85F" w14:textId="77777777" w:rsidR="00934640" w:rsidRPr="003F471F" w:rsidRDefault="00934640" w:rsidP="00934640">
      <w:pPr>
        <w:rPr>
          <w:lang w:val="it-IT"/>
        </w:rPr>
      </w:pPr>
      <w:r w:rsidRPr="003F471F">
        <w:rPr>
          <w:lang w:val="it-IT"/>
        </w:rPr>
        <w:t>Nel periodo che va dal 1 dicembre 2013 al 30 giugno 2014, Microsoft offre alle società in possesso di Software Assurance in Project Professional la possibilità di transizione a Project Pro per Office 365 per lo stesso prezzo di Software Assurance. L</w:t>
      </w:r>
      <w:r w:rsidR="001C4212" w:rsidRPr="003F471F">
        <w:rPr>
          <w:lang w:val="it-IT"/>
        </w:rPr>
        <w:t>’</w:t>
      </w:r>
      <w:r w:rsidRPr="003F471F">
        <w:rPr>
          <w:lang w:val="it-IT"/>
        </w:rPr>
        <w:t>offerta è disponibile anche per le società che aderiscono al programma EAS.</w:t>
      </w:r>
      <w:r w:rsidR="00E34ED3" w:rsidRPr="003F471F">
        <w:rPr>
          <w:lang w:val="it-IT"/>
        </w:rPr>
        <w:t xml:space="preserve"> </w:t>
      </w:r>
      <w:r w:rsidRPr="003F471F">
        <w:rPr>
          <w:lang w:val="it-IT"/>
        </w:rPr>
        <w:t>È possibile qualificarsi per questa offerta se si rispettano i criteri di idoneità previsti da Software Assurance. Questa offerta sarà disponibile per le società tramite i programmi EA, EAS, Select, Open e Open Value. I segmenti di società presi in considerazione includono società commerciali EPG e SMS&amp;P, enti pubblici e società didattiche.</w:t>
      </w:r>
    </w:p>
    <w:p w14:paraId="6DAFA852" w14:textId="77777777" w:rsidR="00934640" w:rsidRPr="003F471F" w:rsidRDefault="00934640" w:rsidP="00934640">
      <w:pPr>
        <w:rPr>
          <w:lang w:val="it-IT"/>
        </w:rPr>
      </w:pPr>
    </w:p>
    <w:p w14:paraId="06D93A65" w14:textId="77777777" w:rsidR="00934640" w:rsidRPr="003F471F" w:rsidRDefault="00934640" w:rsidP="00934640">
      <w:pPr>
        <w:rPr>
          <w:lang w:val="it-IT"/>
        </w:rPr>
      </w:pPr>
    </w:p>
    <w:p w14:paraId="56A1D7AF" w14:textId="77777777" w:rsidR="00934640" w:rsidRPr="003F471F" w:rsidRDefault="00934640" w:rsidP="00934640">
      <w:pPr>
        <w:pStyle w:val="Heading2"/>
        <w:spacing w:after="120"/>
        <w:ind w:left="0"/>
        <w:rPr>
          <w:lang w:val="it-IT"/>
        </w:rPr>
      </w:pPr>
      <w:bookmarkStart w:id="590" w:name="_Toc371663579"/>
      <w:r w:rsidRPr="003F471F">
        <w:rPr>
          <w:rFonts w:ascii="Tahoma" w:hAnsi="Tahoma" w:cs="Tahoma"/>
          <w:color w:val="FF9429"/>
          <w:lang w:val="it-IT"/>
        </w:rPr>
        <w:t>Promozione Step-Up per Project e Visio SA</w:t>
      </w:r>
      <w:bookmarkEnd w:id="590"/>
    </w:p>
    <w:p w14:paraId="19DC27BF" w14:textId="77777777" w:rsidR="00934640" w:rsidRPr="003F471F" w:rsidRDefault="00934640" w:rsidP="00934640">
      <w:pPr>
        <w:rPr>
          <w:lang w:val="it-IT"/>
        </w:rPr>
      </w:pPr>
      <w:r w:rsidRPr="003F471F">
        <w:rPr>
          <w:lang w:val="it-IT"/>
        </w:rPr>
        <w:t>Nel periodo che va dal 1 dicembre 2013 al 30 giugno 2014, Microsoft offre alle società in possesso di una licenza Project Standard con copertura Software Assurance attiva la possibilità di effettuare lo step-up a Project Professional con uno sconto del 15% sulla SKU di Step-up tramite Contratti Multilicenza Enterprise. Tale sconto diventa del 25%, qualora tutte le postazioni Standard presenti in un sito della società effettuino lo step-up a Professional. È possibile qualificarsi per questa offerta se si rispettano i criteri di idoneità previsti da Software Assurance Step-Up. Questa offerta sarà disponibile per le società tramite i programmi EA, EAS, Select, Open e Open Value. I segmenti di società presi in considerazione includono società commerciali EPG e SMS&amp;P, enti pubblici e società didattiche.</w:t>
      </w:r>
    </w:p>
    <w:p w14:paraId="2DED95B1" w14:textId="77777777" w:rsidR="00934640" w:rsidRPr="003F471F" w:rsidRDefault="00934640" w:rsidP="00934640">
      <w:pPr>
        <w:rPr>
          <w:lang w:val="it-IT"/>
        </w:rPr>
      </w:pPr>
    </w:p>
    <w:p w14:paraId="0E946FD6" w14:textId="77777777" w:rsidR="00934640" w:rsidRPr="003F471F" w:rsidRDefault="00934640" w:rsidP="00934640">
      <w:pPr>
        <w:rPr>
          <w:lang w:val="it-IT"/>
        </w:rPr>
      </w:pPr>
    </w:p>
    <w:p w14:paraId="6F93119F" w14:textId="77777777" w:rsidR="00934640" w:rsidRPr="003F471F" w:rsidRDefault="00934640" w:rsidP="00934640">
      <w:pPr>
        <w:pStyle w:val="Heading2"/>
        <w:spacing w:after="120"/>
        <w:ind w:left="0"/>
        <w:rPr>
          <w:lang w:val="it-IT"/>
        </w:rPr>
      </w:pPr>
      <w:bookmarkStart w:id="591" w:name="_Toc371663580"/>
      <w:r w:rsidRPr="003F471F">
        <w:rPr>
          <w:rFonts w:ascii="Tahoma" w:hAnsi="Tahoma" w:cs="Tahoma"/>
          <w:color w:val="FF9429"/>
          <w:lang w:val="it-IT"/>
        </w:rPr>
        <w:t>Promozione per Windows Embedded VL</w:t>
      </w:r>
      <w:bookmarkEnd w:id="591"/>
    </w:p>
    <w:p w14:paraId="7817F965" w14:textId="77777777" w:rsidR="00934640" w:rsidRPr="003F471F" w:rsidRDefault="00934640" w:rsidP="00934640">
      <w:pPr>
        <w:rPr>
          <w:lang w:val="it-IT"/>
        </w:rPr>
      </w:pPr>
      <w:r w:rsidRPr="003F471F">
        <w:rPr>
          <w:lang w:val="it-IT"/>
        </w:rPr>
        <w:t>Dal 1 dicembre 2013 al 30 giugno 2014, Microsoft offre il 20% di sconto sull</w:t>
      </w:r>
      <w:r w:rsidR="001C4212" w:rsidRPr="003F471F">
        <w:rPr>
          <w:lang w:val="it-IT"/>
        </w:rPr>
        <w:t>’</w:t>
      </w:r>
      <w:r w:rsidRPr="003F471F">
        <w:rPr>
          <w:lang w:val="it-IT"/>
        </w:rPr>
        <w:t>acquisto dell</w:t>
      </w:r>
      <w:r w:rsidR="001C4212" w:rsidRPr="003F471F">
        <w:rPr>
          <w:lang w:val="it-IT"/>
        </w:rPr>
        <w:t>’</w:t>
      </w:r>
      <w:r w:rsidRPr="003F471F">
        <w:rPr>
          <w:lang w:val="it-IT"/>
        </w:rPr>
        <w:t>Aggiornamento a Windows Embedded Industry 8.1 Pro, di Software Assurance o, per le società che acquistano tramite Contratti Multilicenza Enterprise, sull</w:t>
      </w:r>
      <w:r w:rsidR="001C4212" w:rsidRPr="003F471F">
        <w:rPr>
          <w:lang w:val="it-IT"/>
        </w:rPr>
        <w:t>’</w:t>
      </w:r>
      <w:r w:rsidRPr="003F471F">
        <w:rPr>
          <w:lang w:val="it-IT"/>
        </w:rPr>
        <w:t>Aggiornamento + Software Assurance. Questa offerta è disponibile per i nuovi contratti, i contratti di</w:t>
      </w:r>
      <w:r w:rsidR="00F62191" w:rsidRPr="003F471F">
        <w:rPr>
          <w:lang w:val="it-IT"/>
        </w:rPr>
        <w:t> </w:t>
      </w:r>
      <w:r w:rsidRPr="003F471F">
        <w:rPr>
          <w:lang w:val="it-IT"/>
        </w:rPr>
        <w:t>rinnovo per il mantenimento di SA, gli add-on per il rinnovo del contratto, gli add-on per i contratti di metà corso e</w:t>
      </w:r>
      <w:r w:rsidR="00F62191" w:rsidRPr="003F471F">
        <w:rPr>
          <w:lang w:val="it-IT"/>
        </w:rPr>
        <w:t> </w:t>
      </w:r>
      <w:r w:rsidRPr="003F471F">
        <w:rPr>
          <w:lang w:val="it-IT"/>
        </w:rPr>
        <w:t>le</w:t>
      </w:r>
      <w:r w:rsidR="00F62191" w:rsidRPr="003F471F">
        <w:rPr>
          <w:lang w:val="it-IT"/>
        </w:rPr>
        <w:t> </w:t>
      </w:r>
      <w:r w:rsidRPr="003F471F">
        <w:rPr>
          <w:lang w:val="it-IT"/>
        </w:rPr>
        <w:t>licenze aggiuntive per i contratti di metà corso. L</w:t>
      </w:r>
      <w:r w:rsidR="001C4212" w:rsidRPr="003F471F">
        <w:rPr>
          <w:lang w:val="it-IT"/>
        </w:rPr>
        <w:t>’</w:t>
      </w:r>
      <w:r w:rsidRPr="003F471F">
        <w:rPr>
          <w:lang w:val="it-IT"/>
        </w:rPr>
        <w:t>offerta è disponibile per le società tramite i Contratti Enterprise, i</w:t>
      </w:r>
      <w:r w:rsidR="00F62191" w:rsidRPr="003F471F">
        <w:rPr>
          <w:lang w:val="it-IT"/>
        </w:rPr>
        <w:t> </w:t>
      </w:r>
      <w:r w:rsidRPr="003F471F">
        <w:rPr>
          <w:lang w:val="it-IT"/>
        </w:rPr>
        <w:t xml:space="preserve">Contratti Enterprise Subscription e i programmi Select, Open e Open Value. </w:t>
      </w:r>
    </w:p>
    <w:p w14:paraId="4AC7829D" w14:textId="77777777" w:rsidR="00676723" w:rsidRPr="003F471F" w:rsidRDefault="00676723" w:rsidP="005D753D">
      <w:pPr>
        <w:spacing w:after="120" w:line="276" w:lineRule="auto"/>
        <w:rPr>
          <w:lang w:val="it-IT"/>
        </w:rPr>
      </w:pPr>
      <w:r w:rsidRPr="003F471F">
        <w:rPr>
          <w:color w:val="000000" w:themeColor="text1"/>
          <w:szCs w:val="18"/>
          <w:lang w:val="it-IT"/>
        </w:rPr>
        <w:br w:type="page"/>
      </w:r>
    </w:p>
    <w:p w14:paraId="62EAA2AA" w14:textId="77777777" w:rsidR="00023FE7" w:rsidRPr="003F471F" w:rsidRDefault="00714962" w:rsidP="00F62191">
      <w:pPr>
        <w:pStyle w:val="Heading1"/>
        <w:spacing w:before="0"/>
        <w:rPr>
          <w:lang w:val="it-IT"/>
        </w:rPr>
      </w:pPr>
      <w:bookmarkStart w:id="592" w:name="_Toc336338188"/>
      <w:bookmarkStart w:id="593" w:name="_Toc371663581"/>
      <w:r w:rsidRPr="003F471F">
        <w:rPr>
          <w:lang w:val="it-IT"/>
        </w:rPr>
        <w:t>ARTICOLO 3 - CONDIZIONI Dei Programmi Multilicenza</w:t>
      </w:r>
      <w:bookmarkEnd w:id="592"/>
      <w:bookmarkEnd w:id="593"/>
    </w:p>
    <w:p w14:paraId="5E6F4798" w14:textId="77777777" w:rsidR="00E64551" w:rsidRPr="003F471F" w:rsidRDefault="00E64551" w:rsidP="00456002">
      <w:pPr>
        <w:pStyle w:val="Heading3"/>
        <w:ind w:right="720"/>
        <w:rPr>
          <w:lang w:val="it-IT"/>
        </w:rPr>
      </w:pPr>
      <w:bookmarkStart w:id="594" w:name="_Toc323159724"/>
    </w:p>
    <w:p w14:paraId="6E1A8B60" w14:textId="77777777" w:rsidR="00456002" w:rsidRPr="003F471F" w:rsidRDefault="00456002" w:rsidP="003E606C">
      <w:pPr>
        <w:pStyle w:val="Heading3"/>
        <w:ind w:right="720"/>
        <w:rPr>
          <w:lang w:val="it-IT"/>
        </w:rPr>
      </w:pPr>
      <w:bookmarkStart w:id="595" w:name="_Toc336338189"/>
      <w:bookmarkStart w:id="596" w:name="_Toc371663582"/>
      <w:r w:rsidRPr="003F471F">
        <w:rPr>
          <w:rFonts w:ascii="Tahoma" w:hAnsi="Tahoma" w:cs="Tahoma"/>
          <w:sz w:val="24"/>
          <w:szCs w:val="22"/>
          <w:lang w:val="it-IT"/>
        </w:rPr>
        <w:t>Programmi di Contratti Multilicenza Applicabili</w:t>
      </w:r>
      <w:bookmarkEnd w:id="595"/>
      <w:bookmarkEnd w:id="596"/>
      <w:r w:rsidRPr="003F471F">
        <w:rPr>
          <w:sz w:val="22"/>
          <w:lang w:val="it-IT"/>
        </w:rPr>
        <w:t xml:space="preserve"> </w:t>
      </w:r>
      <w:bookmarkEnd w:id="594"/>
    </w:p>
    <w:p w14:paraId="0B61D711" w14:textId="77777777" w:rsidR="00E64551" w:rsidRPr="003F471F" w:rsidRDefault="00E64551" w:rsidP="003E606C">
      <w:pPr>
        <w:rPr>
          <w:lang w:val="it-IT"/>
        </w:rPr>
      </w:pPr>
    </w:p>
    <w:p w14:paraId="43845DF3" w14:textId="77777777" w:rsidR="00456002" w:rsidRPr="003F471F" w:rsidRDefault="00456002" w:rsidP="00456002">
      <w:pPr>
        <w:rPr>
          <w:lang w:val="it-IT"/>
        </w:rPr>
      </w:pPr>
      <w:r w:rsidRPr="003F471F">
        <w:rPr>
          <w:rFonts w:cs="Tahoma"/>
          <w:lang w:val="it-IT"/>
        </w:rPr>
        <w:t>Il presente Articolo si applica ai seguenti Programmi per i Contratti Multilicenza, incluse le versioni Academic, Charity e Government, ove applicabile.</w:t>
      </w:r>
    </w:p>
    <w:p w14:paraId="481504A6" w14:textId="77777777" w:rsidR="00510F6B" w:rsidRPr="003F471F" w:rsidRDefault="00510F6B" w:rsidP="00456002">
      <w:pPr>
        <w:rPr>
          <w:lang w:val="it-IT"/>
        </w:rPr>
      </w:pPr>
    </w:p>
    <w:p w14:paraId="6960382F" w14:textId="77777777" w:rsidR="00456002" w:rsidRPr="0058047D" w:rsidRDefault="00456002" w:rsidP="00822871">
      <w:pPr>
        <w:numPr>
          <w:ilvl w:val="0"/>
          <w:numId w:val="19"/>
        </w:numPr>
        <w:spacing w:after="60"/>
      </w:pPr>
      <w:r w:rsidRPr="0058047D">
        <w:rPr>
          <w:rFonts w:cs="Tahoma"/>
        </w:rPr>
        <w:t>Licenza Open</w:t>
      </w:r>
    </w:p>
    <w:p w14:paraId="2B5841C9" w14:textId="77777777" w:rsidR="00456002" w:rsidRPr="0058047D" w:rsidRDefault="00456002" w:rsidP="00822871">
      <w:pPr>
        <w:numPr>
          <w:ilvl w:val="0"/>
          <w:numId w:val="19"/>
        </w:numPr>
        <w:spacing w:after="60"/>
      </w:pPr>
      <w:r w:rsidRPr="0058047D">
        <w:rPr>
          <w:rFonts w:cs="Tahoma"/>
        </w:rPr>
        <w:t xml:space="preserve">Open Value </w:t>
      </w:r>
    </w:p>
    <w:p w14:paraId="73E08645" w14:textId="77777777" w:rsidR="00456002" w:rsidRPr="0058047D" w:rsidRDefault="00456002" w:rsidP="00822871">
      <w:pPr>
        <w:numPr>
          <w:ilvl w:val="0"/>
          <w:numId w:val="19"/>
        </w:numPr>
        <w:spacing w:after="60"/>
      </w:pPr>
      <w:r w:rsidRPr="0058047D">
        <w:rPr>
          <w:rFonts w:cs="Tahoma"/>
        </w:rPr>
        <w:t xml:space="preserve">Open Value Subscription </w:t>
      </w:r>
    </w:p>
    <w:p w14:paraId="078C057F" w14:textId="77777777" w:rsidR="00456002" w:rsidRPr="0058047D" w:rsidRDefault="00456002" w:rsidP="00822871">
      <w:pPr>
        <w:numPr>
          <w:ilvl w:val="0"/>
          <w:numId w:val="19"/>
        </w:numPr>
        <w:spacing w:after="60"/>
      </w:pPr>
      <w:r w:rsidRPr="0058047D">
        <w:rPr>
          <w:rFonts w:cs="Tahoma"/>
        </w:rPr>
        <w:t xml:space="preserve">Select </w:t>
      </w:r>
    </w:p>
    <w:p w14:paraId="21BB9981" w14:textId="77777777" w:rsidR="00456002" w:rsidRPr="0058047D" w:rsidRDefault="00456002" w:rsidP="00822871">
      <w:pPr>
        <w:numPr>
          <w:ilvl w:val="0"/>
          <w:numId w:val="19"/>
        </w:numPr>
        <w:spacing w:after="60"/>
      </w:pPr>
      <w:r w:rsidRPr="0058047D">
        <w:rPr>
          <w:rFonts w:cs="Tahoma"/>
        </w:rPr>
        <w:t xml:space="preserve">Select Plus </w:t>
      </w:r>
    </w:p>
    <w:p w14:paraId="34FC9E77" w14:textId="77777777" w:rsidR="0091793D" w:rsidRPr="0058047D" w:rsidRDefault="00F84FA6" w:rsidP="00822871">
      <w:pPr>
        <w:numPr>
          <w:ilvl w:val="0"/>
          <w:numId w:val="19"/>
        </w:numPr>
        <w:spacing w:after="60"/>
      </w:pPr>
      <w:r w:rsidRPr="0058047D">
        <w:rPr>
          <w:rFonts w:cs="Tahoma"/>
          <w:szCs w:val="18"/>
        </w:rPr>
        <w:t xml:space="preserve">Iscrizione Enterprise </w:t>
      </w:r>
    </w:p>
    <w:p w14:paraId="5A580256" w14:textId="77777777" w:rsidR="0091793D" w:rsidRPr="0058047D" w:rsidRDefault="00F84FA6" w:rsidP="00822871">
      <w:pPr>
        <w:numPr>
          <w:ilvl w:val="0"/>
          <w:numId w:val="19"/>
        </w:numPr>
        <w:spacing w:after="60"/>
      </w:pPr>
      <w:r w:rsidRPr="0058047D">
        <w:rPr>
          <w:rFonts w:cs="Tahoma"/>
          <w:szCs w:val="18"/>
        </w:rPr>
        <w:t>Iscrizione Enterprise Subscription</w:t>
      </w:r>
    </w:p>
    <w:p w14:paraId="7D5E858A" w14:textId="77777777" w:rsidR="00892A1D" w:rsidRPr="0058047D" w:rsidRDefault="00892A1D" w:rsidP="00822871">
      <w:pPr>
        <w:numPr>
          <w:ilvl w:val="0"/>
          <w:numId w:val="19"/>
        </w:numPr>
        <w:spacing w:after="60"/>
      </w:pPr>
      <w:r w:rsidRPr="0058047D">
        <w:rPr>
          <w:rFonts w:cs="Tahoma"/>
        </w:rPr>
        <w:t>Iscrizione Server and Cloud</w:t>
      </w:r>
    </w:p>
    <w:p w14:paraId="2E35F958" w14:textId="77777777" w:rsidR="00B215EA" w:rsidRPr="0058047D" w:rsidRDefault="00B215EA" w:rsidP="00822871">
      <w:pPr>
        <w:numPr>
          <w:ilvl w:val="0"/>
          <w:numId w:val="19"/>
        </w:numPr>
        <w:spacing w:after="60"/>
      </w:pPr>
      <w:r w:rsidRPr="0058047D">
        <w:rPr>
          <w:rFonts w:cs="Tahoma"/>
          <w:szCs w:val="18"/>
        </w:rPr>
        <w:t>Contratto Campus e School</w:t>
      </w:r>
    </w:p>
    <w:p w14:paraId="67AB6255" w14:textId="77777777" w:rsidR="0091793D" w:rsidRPr="0058047D" w:rsidRDefault="0091793D" w:rsidP="0091793D">
      <w:pPr>
        <w:pStyle w:val="Heading3"/>
        <w:ind w:right="720"/>
      </w:pPr>
    </w:p>
    <w:p w14:paraId="34E84E04" w14:textId="77777777" w:rsidR="0091793D" w:rsidRPr="003F471F" w:rsidRDefault="0091793D" w:rsidP="003E606C">
      <w:pPr>
        <w:pStyle w:val="Heading3"/>
        <w:ind w:right="720"/>
        <w:rPr>
          <w:lang w:val="it-IT"/>
        </w:rPr>
      </w:pPr>
      <w:bookmarkStart w:id="597" w:name="_Toc336338190"/>
      <w:bookmarkStart w:id="598" w:name="_Toc371663583"/>
      <w:r w:rsidRPr="003F471F">
        <w:rPr>
          <w:rFonts w:ascii="Tahoma" w:hAnsi="Tahoma" w:cs="Tahoma"/>
          <w:sz w:val="24"/>
          <w:szCs w:val="22"/>
          <w:lang w:val="it-IT"/>
        </w:rPr>
        <w:t>Punti e Requisiti Minimi per gli Ordini</w:t>
      </w:r>
      <w:bookmarkEnd w:id="597"/>
      <w:bookmarkEnd w:id="598"/>
    </w:p>
    <w:p w14:paraId="4F05C1F3" w14:textId="77777777" w:rsidR="00BA4C27" w:rsidRPr="003F471F" w:rsidRDefault="00BA4C27" w:rsidP="003E606C">
      <w:pPr>
        <w:rPr>
          <w:lang w:val="it-IT"/>
        </w:rPr>
      </w:pPr>
    </w:p>
    <w:p w14:paraId="2AEE6098" w14:textId="77777777" w:rsidR="00BA4C27" w:rsidRPr="003F471F" w:rsidRDefault="00BA4C27" w:rsidP="00BA4C27">
      <w:pPr>
        <w:pStyle w:val="AppendixBodyText"/>
        <w:ind w:right="720"/>
        <w:rPr>
          <w:lang w:val="it-IT"/>
        </w:rPr>
      </w:pPr>
      <w:r w:rsidRPr="003F471F">
        <w:rPr>
          <w:rFonts w:ascii="Tahoma" w:hAnsi="Tahoma" w:cs="Tahoma"/>
          <w:sz w:val="18"/>
          <w:lang w:val="it-IT"/>
        </w:rPr>
        <w:t>Select, Select Plus e Open License sono accompagnati da un numero o “Punto” che indica il valore di punti assegnato da Microsoft per ogni licenza. I punti consentono di calcolare il livello di prezzo per volume applicabile al contratto di una società. Quando a un determinato prodotto viene assegnato un punto “0”, ciò significa che il prodotto è offerto nel programma specificato, ma ha un valore di punti pari a zero.</w:t>
      </w:r>
      <w:r w:rsidR="00E34ED3" w:rsidRPr="003F471F">
        <w:rPr>
          <w:rFonts w:ascii="Tahoma" w:hAnsi="Tahoma" w:cs="Tahoma"/>
          <w:sz w:val="18"/>
          <w:lang w:val="it-IT"/>
        </w:rPr>
        <w:t xml:space="preserve"> </w:t>
      </w:r>
      <w:r w:rsidRPr="003F471F">
        <w:rPr>
          <w:rFonts w:ascii="Tahoma" w:hAnsi="Tahoma" w:cs="Tahoma"/>
          <w:sz w:val="18"/>
          <w:lang w:val="it-IT"/>
        </w:rPr>
        <w:t>Di seguito è riportata l</w:t>
      </w:r>
      <w:r w:rsidR="001C4212" w:rsidRPr="003F471F">
        <w:rPr>
          <w:rFonts w:ascii="Tahoma" w:hAnsi="Tahoma" w:cs="Tahoma"/>
          <w:sz w:val="18"/>
          <w:lang w:val="it-IT"/>
        </w:rPr>
        <w:t>’</w:t>
      </w:r>
      <w:r w:rsidRPr="003F471F">
        <w:rPr>
          <w:rFonts w:ascii="Tahoma" w:hAnsi="Tahoma" w:cs="Tahoma"/>
          <w:sz w:val="18"/>
          <w:lang w:val="it-IT"/>
        </w:rPr>
        <w:t>assegnazione delle unità alle licenze ai fini del requisito d</w:t>
      </w:r>
      <w:r w:rsidR="001C4212" w:rsidRPr="003F471F">
        <w:rPr>
          <w:rFonts w:ascii="Tahoma" w:hAnsi="Tahoma" w:cs="Tahoma"/>
          <w:sz w:val="18"/>
          <w:lang w:val="it-IT"/>
        </w:rPr>
        <w:t>’</w:t>
      </w:r>
      <w:r w:rsidRPr="003F471F">
        <w:rPr>
          <w:rFonts w:ascii="Tahoma" w:hAnsi="Tahoma" w:cs="Tahoma"/>
          <w:sz w:val="18"/>
          <w:lang w:val="it-IT"/>
        </w:rPr>
        <w:t>ordine minimo di Open/ Open Value/ Open Value Subscription:</w:t>
      </w:r>
    </w:p>
    <w:p w14:paraId="15FC6E7A" w14:textId="77777777" w:rsidR="00E64551" w:rsidRPr="003F471F" w:rsidRDefault="00E64551" w:rsidP="00E64551">
      <w:pPr>
        <w:pStyle w:val="AppendixBodyText"/>
        <w:ind w:right="720"/>
        <w:rPr>
          <w:highlight w:val="yellow"/>
          <w:lang w:val="it-IT"/>
        </w:rPr>
      </w:pPr>
    </w:p>
    <w:p w14:paraId="10270E32" w14:textId="77777777" w:rsidR="00456002" w:rsidRPr="0058047D" w:rsidRDefault="00456002" w:rsidP="00822871">
      <w:pPr>
        <w:numPr>
          <w:ilvl w:val="0"/>
          <w:numId w:val="19"/>
        </w:numPr>
        <w:spacing w:after="60"/>
      </w:pPr>
      <w:r w:rsidRPr="0058047D">
        <w:rPr>
          <w:rFonts w:cs="Tahoma"/>
        </w:rPr>
        <w:t xml:space="preserve">Licenza Standard: 1 licenza </w:t>
      </w:r>
    </w:p>
    <w:p w14:paraId="45585FC4" w14:textId="77777777" w:rsidR="00456002" w:rsidRPr="0058047D" w:rsidRDefault="00456002" w:rsidP="00822871">
      <w:pPr>
        <w:numPr>
          <w:ilvl w:val="0"/>
          <w:numId w:val="19"/>
        </w:numPr>
        <w:spacing w:after="60"/>
      </w:pPr>
      <w:r w:rsidRPr="0058047D">
        <w:rPr>
          <w:rFonts w:cs="Tahoma"/>
        </w:rPr>
        <w:t xml:space="preserve">Aggiornamento: 1 licenza </w:t>
      </w:r>
    </w:p>
    <w:p w14:paraId="6A5EC69B" w14:textId="77777777" w:rsidR="00456002" w:rsidRPr="0058047D" w:rsidRDefault="00456002" w:rsidP="00822871">
      <w:pPr>
        <w:numPr>
          <w:ilvl w:val="0"/>
          <w:numId w:val="19"/>
        </w:numPr>
        <w:spacing w:after="60"/>
      </w:pPr>
      <w:r w:rsidRPr="0058047D">
        <w:rPr>
          <w:rFonts w:cs="Tahoma"/>
        </w:rPr>
        <w:t xml:space="preserve">Software Assurance: 1 licenza </w:t>
      </w:r>
    </w:p>
    <w:p w14:paraId="50F6116F" w14:textId="77777777" w:rsidR="00456002" w:rsidRPr="0058047D" w:rsidRDefault="00456002" w:rsidP="00822871">
      <w:pPr>
        <w:numPr>
          <w:ilvl w:val="0"/>
          <w:numId w:val="19"/>
        </w:numPr>
        <w:spacing w:after="60"/>
      </w:pPr>
      <w:r w:rsidRPr="0058047D">
        <w:rPr>
          <w:rFonts w:cs="Tahoma"/>
        </w:rPr>
        <w:t xml:space="preserve">Licenza e Software Assurance: 2 licenze </w:t>
      </w:r>
    </w:p>
    <w:p w14:paraId="0B07A319" w14:textId="77777777" w:rsidR="00456002" w:rsidRPr="0058047D" w:rsidRDefault="00456002" w:rsidP="00822871">
      <w:pPr>
        <w:numPr>
          <w:ilvl w:val="0"/>
          <w:numId w:val="19"/>
        </w:numPr>
        <w:spacing w:after="60"/>
      </w:pPr>
      <w:r w:rsidRPr="0058047D">
        <w:rPr>
          <w:rFonts w:cs="Tahoma"/>
        </w:rPr>
        <w:t>Aggiornamento e Software Assurance: 2 licenze</w:t>
      </w:r>
    </w:p>
    <w:p w14:paraId="3F08AC68" w14:textId="77777777" w:rsidR="00456002" w:rsidRPr="0058047D" w:rsidRDefault="00456002" w:rsidP="00822871">
      <w:pPr>
        <w:numPr>
          <w:ilvl w:val="0"/>
          <w:numId w:val="19"/>
        </w:numPr>
        <w:spacing w:after="60"/>
      </w:pPr>
      <w:r w:rsidRPr="0058047D">
        <w:rPr>
          <w:rFonts w:cs="Tahoma"/>
        </w:rPr>
        <w:t xml:space="preserve">Licenza Work at Home: 1 licenza </w:t>
      </w:r>
    </w:p>
    <w:p w14:paraId="4ACADFB5" w14:textId="77777777" w:rsidR="00456002" w:rsidRPr="0058047D" w:rsidRDefault="00456002" w:rsidP="00822871">
      <w:pPr>
        <w:numPr>
          <w:ilvl w:val="0"/>
          <w:numId w:val="19"/>
        </w:numPr>
        <w:spacing w:after="60"/>
      </w:pPr>
      <w:r w:rsidRPr="0058047D">
        <w:rPr>
          <w:rFonts w:cs="Tahoma"/>
        </w:rPr>
        <w:t>Licenza Step-Up: 1 licenza</w:t>
      </w:r>
    </w:p>
    <w:p w14:paraId="63F4F8FF" w14:textId="77777777" w:rsidR="00456002" w:rsidRPr="0058047D" w:rsidRDefault="002435BA" w:rsidP="00822871">
      <w:pPr>
        <w:numPr>
          <w:ilvl w:val="0"/>
          <w:numId w:val="19"/>
        </w:numPr>
        <w:spacing w:after="60"/>
      </w:pPr>
      <w:r w:rsidRPr="0058047D">
        <w:rPr>
          <w:rFonts w:cs="Tahoma"/>
        </w:rPr>
        <w:t>Corrispettivi. 1 licenza</w:t>
      </w:r>
    </w:p>
    <w:p w14:paraId="48012B19" w14:textId="77777777" w:rsidR="00456002" w:rsidRPr="0058047D" w:rsidRDefault="00456002" w:rsidP="00822871">
      <w:pPr>
        <w:numPr>
          <w:ilvl w:val="0"/>
          <w:numId w:val="19"/>
        </w:numPr>
        <w:spacing w:after="60"/>
      </w:pPr>
      <w:r w:rsidRPr="0058047D">
        <w:rPr>
          <w:rFonts w:cs="Tahoma"/>
        </w:rPr>
        <w:t>Licenza “Subscription”: 1 licenza</w:t>
      </w:r>
    </w:p>
    <w:p w14:paraId="6FDF3D77" w14:textId="77777777" w:rsidR="00456002" w:rsidRDefault="00456002" w:rsidP="00E64551">
      <w:pPr>
        <w:pStyle w:val="Heading2"/>
        <w:ind w:left="0"/>
      </w:pPr>
    </w:p>
    <w:p w14:paraId="6245E0D6" w14:textId="77777777" w:rsidR="00F62191" w:rsidRDefault="00F62191" w:rsidP="00F62191"/>
    <w:p w14:paraId="2DCF4D15" w14:textId="77777777" w:rsidR="00F62191" w:rsidRDefault="00F62191" w:rsidP="00F62191"/>
    <w:p w14:paraId="04CCE238" w14:textId="77777777" w:rsidR="00F62191" w:rsidRDefault="00F62191" w:rsidP="00F62191"/>
    <w:p w14:paraId="430F2BAD" w14:textId="77777777" w:rsidR="00F62191" w:rsidRDefault="00F62191" w:rsidP="00F62191"/>
    <w:p w14:paraId="380B6191" w14:textId="77777777" w:rsidR="00F62191" w:rsidRDefault="00F62191" w:rsidP="00F62191"/>
    <w:p w14:paraId="27AAC9B9" w14:textId="77777777" w:rsidR="00F62191" w:rsidRDefault="00F62191" w:rsidP="00F62191"/>
    <w:p w14:paraId="5E099413" w14:textId="77777777" w:rsidR="00F62191" w:rsidRDefault="00F62191" w:rsidP="00F62191"/>
    <w:p w14:paraId="30827CE3" w14:textId="77777777" w:rsidR="00F62191" w:rsidRDefault="00F62191" w:rsidP="00F62191"/>
    <w:p w14:paraId="18FDDE18" w14:textId="77777777" w:rsidR="00F62191" w:rsidRDefault="00F62191" w:rsidP="00F62191"/>
    <w:p w14:paraId="5E3DF916" w14:textId="77777777" w:rsidR="00F62191" w:rsidRDefault="00F62191" w:rsidP="00F62191"/>
    <w:p w14:paraId="0A89ADF1" w14:textId="77777777" w:rsidR="00F62191" w:rsidRPr="00F62191" w:rsidRDefault="00F62191" w:rsidP="00F62191"/>
    <w:p w14:paraId="5EE2AE12" w14:textId="77777777" w:rsidR="00E64551" w:rsidRPr="0058047D" w:rsidRDefault="00456002" w:rsidP="009C0DC9">
      <w:pPr>
        <w:pStyle w:val="Heading2"/>
        <w:ind w:left="0"/>
      </w:pPr>
      <w:bookmarkStart w:id="599" w:name="_Toc336338191"/>
      <w:bookmarkStart w:id="600" w:name="_Toc371663584"/>
      <w:bookmarkStart w:id="601" w:name="_Toc323159726"/>
      <w:r w:rsidRPr="0058047D">
        <w:rPr>
          <w:rFonts w:ascii="Tahoma" w:hAnsi="Tahoma" w:cs="Tahoma"/>
        </w:rPr>
        <w:t>Requisiti Minimi dell</w:t>
      </w:r>
      <w:r w:rsidR="001C4212">
        <w:rPr>
          <w:rFonts w:ascii="Tahoma" w:hAnsi="Tahoma" w:cs="Tahoma"/>
        </w:rPr>
        <w:t>’</w:t>
      </w:r>
      <w:r w:rsidRPr="0058047D">
        <w:rPr>
          <w:rFonts w:ascii="Tahoma" w:hAnsi="Tahoma" w:cs="Tahoma"/>
        </w:rPr>
        <w:t>Ordine</w:t>
      </w:r>
      <w:bookmarkEnd w:id="599"/>
      <w:bookmarkEnd w:id="600"/>
    </w:p>
    <w:bookmarkEnd w:id="601"/>
    <w:p w14:paraId="393CD93B" w14:textId="77777777" w:rsidR="00456002" w:rsidRPr="0058047D"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32"/>
        <w:gridCol w:w="7236"/>
      </w:tblGrid>
      <w:tr w:rsidR="00456002" w:rsidRPr="0058047D" w14:paraId="1C175D7E" w14:textId="77777777" w:rsidTr="00782EDB">
        <w:trPr>
          <w:tblHeader/>
        </w:trPr>
        <w:tc>
          <w:tcPr>
            <w:tcW w:w="2232" w:type="dxa"/>
            <w:shd w:val="clear" w:color="auto" w:fill="FABF8F"/>
          </w:tcPr>
          <w:p w14:paraId="6E668D77" w14:textId="77777777" w:rsidR="00456002" w:rsidRPr="0058047D" w:rsidRDefault="00456002" w:rsidP="005C647E">
            <w:pPr>
              <w:pStyle w:val="AppendixBodyText"/>
              <w:ind w:right="720"/>
              <w:jc w:val="center"/>
              <w:rPr>
                <w:rFonts w:ascii="Tahoma" w:hAnsi="Tahoma" w:cs="Tahoma"/>
                <w:b/>
                <w:color w:val="000000"/>
                <w:sz w:val="22"/>
                <w:szCs w:val="18"/>
                <w:lang w:eastAsia="ja-JP"/>
              </w:rPr>
            </w:pPr>
            <w:r w:rsidRPr="0058047D">
              <w:rPr>
                <w:rFonts w:ascii="Tahoma" w:hAnsi="Tahoma" w:cs="Tahoma"/>
                <w:b/>
                <w:color w:val="000000"/>
                <w:sz w:val="22"/>
                <w:szCs w:val="18"/>
              </w:rPr>
              <w:t>Programmi</w:t>
            </w:r>
          </w:p>
        </w:tc>
        <w:tc>
          <w:tcPr>
            <w:tcW w:w="7236" w:type="dxa"/>
            <w:shd w:val="clear" w:color="auto" w:fill="FABF8F"/>
          </w:tcPr>
          <w:p w14:paraId="6F4DF0AF" w14:textId="77777777" w:rsidR="00456002" w:rsidRPr="0058047D" w:rsidRDefault="00456002" w:rsidP="005C647E">
            <w:pPr>
              <w:pStyle w:val="AppendixBodyText"/>
              <w:ind w:right="720"/>
              <w:jc w:val="center"/>
              <w:rPr>
                <w:rFonts w:ascii="Tahoma" w:hAnsi="Tahoma" w:cs="Tahoma"/>
                <w:b/>
                <w:color w:val="000000"/>
                <w:sz w:val="22"/>
                <w:szCs w:val="18"/>
                <w:lang w:eastAsia="ja-JP"/>
              </w:rPr>
            </w:pPr>
            <w:r w:rsidRPr="0058047D">
              <w:rPr>
                <w:rFonts w:ascii="Tahoma" w:hAnsi="Tahoma" w:cs="Tahoma"/>
                <w:b/>
                <w:color w:val="000000"/>
                <w:sz w:val="22"/>
                <w:szCs w:val="18"/>
              </w:rPr>
              <w:t>Requisiti Minimi dell</w:t>
            </w:r>
            <w:r w:rsidR="001C4212">
              <w:rPr>
                <w:rFonts w:ascii="Tahoma" w:hAnsi="Tahoma" w:cs="Tahoma"/>
                <w:b/>
                <w:color w:val="000000"/>
                <w:sz w:val="22"/>
                <w:szCs w:val="18"/>
              </w:rPr>
              <w:t>’</w:t>
            </w:r>
            <w:r w:rsidRPr="0058047D">
              <w:rPr>
                <w:rFonts w:ascii="Tahoma" w:hAnsi="Tahoma" w:cs="Tahoma"/>
                <w:b/>
                <w:color w:val="000000"/>
                <w:sz w:val="22"/>
                <w:szCs w:val="18"/>
              </w:rPr>
              <w:t>Ordine</w:t>
            </w:r>
          </w:p>
        </w:tc>
      </w:tr>
      <w:tr w:rsidR="00456002" w:rsidRPr="003F471F" w14:paraId="4B5F4442" w14:textId="77777777" w:rsidTr="00782EDB">
        <w:tc>
          <w:tcPr>
            <w:tcW w:w="2232" w:type="dxa"/>
            <w:shd w:val="clear" w:color="auto" w:fill="auto"/>
          </w:tcPr>
          <w:p w14:paraId="476A5E40" w14:textId="77777777" w:rsidR="00456002" w:rsidRPr="003F471F" w:rsidRDefault="00456002" w:rsidP="00782EDB">
            <w:pPr>
              <w:pStyle w:val="AppendixBodyText"/>
              <w:spacing w:before="60"/>
              <w:ind w:right="182"/>
              <w:rPr>
                <w:rFonts w:ascii="Tahoma" w:hAnsi="Tahoma" w:cs="Tahoma"/>
                <w:b/>
                <w:color w:val="000000"/>
                <w:sz w:val="18"/>
                <w:szCs w:val="18"/>
                <w:lang w:val="it-IT" w:eastAsia="ja-JP"/>
              </w:rPr>
            </w:pPr>
            <w:r w:rsidRPr="003F471F">
              <w:rPr>
                <w:rFonts w:ascii="Tahoma" w:hAnsi="Tahoma" w:cs="Tahoma"/>
                <w:b/>
                <w:color w:val="000000"/>
                <w:szCs w:val="18"/>
                <w:lang w:val="it-IT"/>
              </w:rPr>
              <w:t>Open License, Open Value, e</w:t>
            </w:r>
            <w:r w:rsidR="001F7D7B" w:rsidRPr="003F471F">
              <w:rPr>
                <w:rFonts w:ascii="Tahoma" w:hAnsi="Tahoma" w:cs="Tahoma"/>
                <w:b/>
                <w:color w:val="000000"/>
                <w:szCs w:val="18"/>
                <w:lang w:val="it-IT"/>
              </w:rPr>
              <w:t> </w:t>
            </w:r>
            <w:r w:rsidRPr="003F471F">
              <w:rPr>
                <w:rFonts w:ascii="Tahoma" w:hAnsi="Tahoma" w:cs="Tahoma"/>
                <w:b/>
                <w:color w:val="000000"/>
                <w:szCs w:val="18"/>
                <w:lang w:val="it-IT"/>
              </w:rPr>
              <w:t>Open Value Subscription (per</w:t>
            </w:r>
            <w:r w:rsidR="00782EDB" w:rsidRPr="003F471F">
              <w:rPr>
                <w:rFonts w:ascii="Tahoma" w:hAnsi="Tahoma" w:cs="Tahoma"/>
                <w:b/>
                <w:color w:val="000000"/>
                <w:szCs w:val="18"/>
                <w:lang w:val="it-IT"/>
              </w:rPr>
              <w:t> </w:t>
            </w:r>
            <w:r w:rsidRPr="003F471F">
              <w:rPr>
                <w:rFonts w:ascii="Tahoma" w:hAnsi="Tahoma" w:cs="Tahoma"/>
                <w:b/>
                <w:color w:val="000000"/>
                <w:szCs w:val="18"/>
                <w:lang w:val="it-IT"/>
              </w:rPr>
              <w:t>Società Commerciali ed Enti Pubblici)</w:t>
            </w:r>
          </w:p>
        </w:tc>
        <w:tc>
          <w:tcPr>
            <w:tcW w:w="7236" w:type="dxa"/>
            <w:shd w:val="clear" w:color="auto" w:fill="auto"/>
          </w:tcPr>
          <w:p w14:paraId="56AE8EEC" w14:textId="77777777" w:rsidR="00456002" w:rsidRPr="003F471F" w:rsidRDefault="004B6D8C" w:rsidP="00A70464">
            <w:pPr>
              <w:pStyle w:val="AppendixBodyText"/>
              <w:spacing w:before="60"/>
              <w:ind w:right="720"/>
              <w:rPr>
                <w:lang w:val="it-IT"/>
              </w:rPr>
            </w:pPr>
            <w:r w:rsidRPr="003F471F">
              <w:rPr>
                <w:rFonts w:ascii="Tahoma" w:hAnsi="Tahoma" w:cs="Tahoma"/>
                <w:b/>
                <w:sz w:val="18"/>
                <w:lang w:val="it-IT"/>
              </w:rPr>
              <w:t>Licenza Open</w:t>
            </w:r>
          </w:p>
          <w:p w14:paraId="01ADCD21" w14:textId="77777777" w:rsidR="00456002" w:rsidRPr="003F471F" w:rsidRDefault="00456002" w:rsidP="005C647E">
            <w:pPr>
              <w:pStyle w:val="AppendixBodyText"/>
              <w:ind w:right="720"/>
              <w:rPr>
                <w:lang w:val="it-IT"/>
              </w:rPr>
            </w:pPr>
            <w:r w:rsidRPr="003F471F">
              <w:rPr>
                <w:rFonts w:ascii="Tahoma" w:hAnsi="Tahoma" w:cs="Tahoma"/>
                <w:sz w:val="18"/>
                <w:lang w:val="it-IT"/>
              </w:rPr>
              <w:t>Open License richiede un ordine minimo di 5 licenze, 5 SA o di qualsiasi combinazione per stabilire un Numero di Autorizzazione.</w:t>
            </w:r>
            <w:r w:rsidR="00E34ED3" w:rsidRPr="003F471F">
              <w:rPr>
                <w:rFonts w:ascii="Tahoma" w:hAnsi="Tahoma" w:cs="Tahoma"/>
                <w:sz w:val="18"/>
                <w:lang w:val="it-IT"/>
              </w:rPr>
              <w:t xml:space="preserve"> </w:t>
            </w:r>
            <w:r w:rsidRPr="003F471F">
              <w:rPr>
                <w:rFonts w:ascii="Tahoma" w:hAnsi="Tahoma" w:cs="Tahoma"/>
                <w:sz w:val="18"/>
                <w:lang w:val="it-IT"/>
              </w:rPr>
              <w:t>Ad esempio, 2</w:t>
            </w:r>
            <w:r w:rsidR="00F62191" w:rsidRPr="003F471F">
              <w:rPr>
                <w:rFonts w:ascii="Tahoma" w:hAnsi="Tahoma" w:cs="Tahoma"/>
                <w:sz w:val="18"/>
                <w:lang w:val="it-IT"/>
              </w:rPr>
              <w:t> </w:t>
            </w:r>
            <w:r w:rsidRPr="003F471F">
              <w:rPr>
                <w:rFonts w:ascii="Tahoma" w:hAnsi="Tahoma" w:cs="Tahoma"/>
                <w:sz w:val="18"/>
                <w:lang w:val="it-IT"/>
              </w:rPr>
              <w:t>Licenza e Software Assurance e 1 Licenza Standard soddisferebbero l</w:t>
            </w:r>
            <w:r w:rsidR="001C4212" w:rsidRPr="003F471F">
              <w:rPr>
                <w:rFonts w:ascii="Tahoma" w:hAnsi="Tahoma" w:cs="Tahoma"/>
                <w:sz w:val="18"/>
                <w:lang w:val="it-IT"/>
              </w:rPr>
              <w:t>’</w:t>
            </w:r>
            <w:r w:rsidRPr="003F471F">
              <w:rPr>
                <w:rFonts w:ascii="Tahoma" w:hAnsi="Tahoma" w:cs="Tahoma"/>
                <w:sz w:val="18"/>
                <w:lang w:val="it-IT"/>
              </w:rPr>
              <w:t>acquisto minimo di 5 licenze richiesto per partecipa</w:t>
            </w:r>
            <w:r w:rsidR="00F62191" w:rsidRPr="003F471F">
              <w:rPr>
                <w:rFonts w:ascii="Tahoma" w:hAnsi="Tahoma" w:cs="Tahoma"/>
                <w:sz w:val="18"/>
                <w:lang w:val="it-IT"/>
              </w:rPr>
              <w:t>re a uno o all</w:t>
            </w:r>
            <w:r w:rsidR="001C4212" w:rsidRPr="003F471F">
              <w:rPr>
                <w:rFonts w:ascii="Tahoma" w:hAnsi="Tahoma" w:cs="Tahoma"/>
                <w:sz w:val="18"/>
                <w:lang w:val="it-IT"/>
              </w:rPr>
              <w:t>’</w:t>
            </w:r>
            <w:r w:rsidR="00F62191" w:rsidRPr="003F471F">
              <w:rPr>
                <w:rFonts w:ascii="Tahoma" w:hAnsi="Tahoma" w:cs="Tahoma"/>
                <w:sz w:val="18"/>
                <w:lang w:val="it-IT"/>
              </w:rPr>
              <w:t>altro programma.</w:t>
            </w:r>
          </w:p>
          <w:p w14:paraId="03A312DB" w14:textId="77777777" w:rsidR="00456002" w:rsidRPr="003F471F" w:rsidRDefault="00456002" w:rsidP="003E606C">
            <w:pPr>
              <w:pStyle w:val="AppendixBodyText"/>
              <w:spacing w:after="0"/>
              <w:ind w:right="720"/>
              <w:rPr>
                <w:lang w:val="it-IT"/>
              </w:rPr>
            </w:pPr>
          </w:p>
          <w:p w14:paraId="221700F4" w14:textId="77777777" w:rsidR="004B6D8C" w:rsidRPr="0058047D" w:rsidRDefault="00456002" w:rsidP="005C647E">
            <w:pPr>
              <w:pStyle w:val="AppendixBodyText"/>
              <w:ind w:right="720"/>
            </w:pPr>
            <w:r w:rsidRPr="0058047D">
              <w:rPr>
                <w:rFonts w:ascii="Tahoma" w:hAnsi="Tahoma" w:cs="Tahoma"/>
                <w:b/>
                <w:sz w:val="18"/>
              </w:rPr>
              <w:t>Open Value e Open Value Subscription</w:t>
            </w:r>
          </w:p>
          <w:p w14:paraId="678C4D3F" w14:textId="77777777" w:rsidR="00456002" w:rsidRPr="003F471F" w:rsidRDefault="00456002" w:rsidP="005C647E">
            <w:pPr>
              <w:pStyle w:val="AppendixBodyText"/>
              <w:ind w:right="720"/>
              <w:rPr>
                <w:lang w:val="it-IT"/>
              </w:rPr>
            </w:pPr>
            <w:r w:rsidRPr="003F471F">
              <w:rPr>
                <w:rFonts w:ascii="Tahoma" w:hAnsi="Tahoma" w:cs="Tahoma"/>
                <w:sz w:val="18"/>
                <w:lang w:val="it-IT"/>
              </w:rPr>
              <w:t xml:space="preserve">Open Value richiede un ordine minimo di 5 U&amp;SA, 5 L&amp;SA, 5 SA, 5 Licenze “Subscription” o di qualsiasi combinazione per stipulare un contratto. </w:t>
            </w:r>
          </w:p>
          <w:p w14:paraId="0C7C58D2" w14:textId="77777777" w:rsidR="00456002" w:rsidRPr="003F471F" w:rsidRDefault="00456002" w:rsidP="003E606C">
            <w:pPr>
              <w:pStyle w:val="AppendixBodyText"/>
              <w:spacing w:after="0"/>
              <w:ind w:right="720"/>
              <w:rPr>
                <w:lang w:val="it-IT"/>
              </w:rPr>
            </w:pPr>
          </w:p>
          <w:p w14:paraId="196833E1" w14:textId="77777777" w:rsidR="00456002" w:rsidRPr="003F471F" w:rsidRDefault="00456002" w:rsidP="00A51838">
            <w:pPr>
              <w:pStyle w:val="AppendixBodyText"/>
              <w:spacing w:after="0"/>
              <w:ind w:right="720"/>
              <w:rPr>
                <w:lang w:val="it-IT"/>
              </w:rPr>
            </w:pPr>
            <w:r w:rsidRPr="003F471F">
              <w:rPr>
                <w:rFonts w:ascii="Tahoma" w:hAnsi="Tahoma" w:cs="Tahoma"/>
                <w:b/>
                <w:sz w:val="18"/>
                <w:lang w:val="it-IT"/>
              </w:rPr>
              <w:t>Nota:</w:t>
            </w:r>
            <w:r w:rsidRPr="003F471F">
              <w:rPr>
                <w:rFonts w:ascii="Tahoma" w:hAnsi="Tahoma" w:cs="Tahoma"/>
                <w:sz w:val="18"/>
                <w:lang w:val="it-IT"/>
              </w:rPr>
              <w:t xml:space="preserve"> una licenza singola per alcuni prodotti dei programmi Open e Open Value soddisfa il requisito minimo di 5 licenze.</w:t>
            </w:r>
            <w:r w:rsidR="00E34ED3" w:rsidRPr="003F471F">
              <w:rPr>
                <w:rFonts w:ascii="Tahoma" w:hAnsi="Tahoma" w:cs="Tahoma"/>
                <w:sz w:val="18"/>
                <w:lang w:val="it-IT"/>
              </w:rPr>
              <w:t xml:space="preserve"> </w:t>
            </w:r>
            <w:r w:rsidRPr="003F471F">
              <w:rPr>
                <w:rFonts w:ascii="Tahoma" w:hAnsi="Tahoma" w:cs="Tahoma"/>
                <w:sz w:val="18"/>
                <w:lang w:val="it-IT"/>
              </w:rPr>
              <w:t>Fare riferimento alle singole note del prodotto per determinare quali prodotti si qualificano per questa eccezione.</w:t>
            </w:r>
          </w:p>
          <w:p w14:paraId="4D9AEC12" w14:textId="77777777" w:rsidR="00A51838" w:rsidRPr="003F471F" w:rsidRDefault="00A51838" w:rsidP="00A51838">
            <w:pPr>
              <w:pStyle w:val="AppendixBodyText"/>
              <w:spacing w:after="0"/>
              <w:ind w:right="720"/>
              <w:rPr>
                <w:rFonts w:ascii="Tahoma" w:hAnsi="Tahoma" w:cs="Tahoma"/>
                <w:sz w:val="18"/>
                <w:lang w:val="it-IT" w:eastAsia="ja-JP"/>
              </w:rPr>
            </w:pPr>
          </w:p>
        </w:tc>
      </w:tr>
      <w:tr w:rsidR="00456002" w:rsidRPr="003F471F" w14:paraId="67DFA139" w14:textId="77777777" w:rsidTr="00782EDB">
        <w:tc>
          <w:tcPr>
            <w:tcW w:w="2232" w:type="dxa"/>
            <w:shd w:val="clear" w:color="auto" w:fill="auto"/>
          </w:tcPr>
          <w:p w14:paraId="20CA6A06" w14:textId="77777777" w:rsidR="00456002" w:rsidRPr="0058047D" w:rsidRDefault="00456002" w:rsidP="001F7D7B">
            <w:pPr>
              <w:pStyle w:val="AppendixBodyText"/>
              <w:spacing w:before="60"/>
              <w:ind w:right="182"/>
              <w:rPr>
                <w:rFonts w:ascii="Tahoma" w:hAnsi="Tahoma" w:cs="Tahoma"/>
                <w:b/>
                <w:color w:val="000000"/>
                <w:szCs w:val="18"/>
                <w:lang w:eastAsia="ja-JP"/>
              </w:rPr>
            </w:pPr>
            <w:r w:rsidRPr="0058047D">
              <w:rPr>
                <w:rFonts w:ascii="Tahoma" w:hAnsi="Tahoma" w:cs="Tahoma"/>
                <w:b/>
                <w:color w:val="000000"/>
                <w:szCs w:val="18"/>
              </w:rPr>
              <w:t>Open Value Subscription - ES</w:t>
            </w:r>
          </w:p>
        </w:tc>
        <w:tc>
          <w:tcPr>
            <w:tcW w:w="7236" w:type="dxa"/>
            <w:shd w:val="clear" w:color="auto" w:fill="auto"/>
          </w:tcPr>
          <w:p w14:paraId="10523E0D" w14:textId="77777777" w:rsidR="00456002" w:rsidRPr="003F471F" w:rsidRDefault="00456002" w:rsidP="00230E01">
            <w:pPr>
              <w:spacing w:before="60"/>
              <w:rPr>
                <w:lang w:val="it-IT"/>
              </w:rPr>
            </w:pPr>
            <w:r w:rsidRPr="003F471F">
              <w:rPr>
                <w:rFonts w:cs="Tahoma"/>
                <w:szCs w:val="18"/>
                <w:lang w:val="it-IT"/>
              </w:rPr>
              <w:t>Open Value Subscription - ES richiede che vi sia almeno un Prodotto della Piattaforma Desktop ogni 5 dell</w:t>
            </w:r>
            <w:r w:rsidR="001C4212" w:rsidRPr="003F471F">
              <w:rPr>
                <w:rFonts w:cs="Tahoma"/>
                <w:szCs w:val="18"/>
                <w:lang w:val="it-IT"/>
              </w:rPr>
              <w:t>’</w:t>
            </w:r>
            <w:r w:rsidRPr="003F471F">
              <w:rPr>
                <w:rFonts w:cs="Tahoma"/>
                <w:szCs w:val="18"/>
                <w:lang w:val="it-IT"/>
              </w:rPr>
              <w:t>intera organizzazione OPPURE almeno un Prodotto della Piattaforma Desktop ogni 5 Studenti.</w:t>
            </w:r>
          </w:p>
          <w:p w14:paraId="3E233258" w14:textId="77777777" w:rsidR="009D5C93" w:rsidRPr="003F471F" w:rsidRDefault="009D5C93" w:rsidP="00230E01">
            <w:pPr>
              <w:spacing w:before="60"/>
              <w:rPr>
                <w:lang w:val="it-IT"/>
              </w:rPr>
            </w:pPr>
          </w:p>
          <w:p w14:paraId="674F2798" w14:textId="77777777" w:rsidR="00230E01" w:rsidRPr="003F471F" w:rsidRDefault="00312D72" w:rsidP="00230E01">
            <w:pPr>
              <w:rPr>
                <w:lang w:val="it-IT"/>
              </w:rPr>
            </w:pPr>
            <w:r w:rsidRPr="003F471F">
              <w:rPr>
                <w:rFonts w:cs="Tahoma"/>
                <w:b/>
                <w:bCs/>
                <w:color w:val="000000"/>
                <w:szCs w:val="18"/>
                <w:lang w:val="it-IT"/>
              </w:rPr>
              <w:t xml:space="preserve">Nota: Licenza Office 365 ProPlus Studente gratuita con copertura docente/non docente - </w:t>
            </w:r>
            <w:r w:rsidRPr="003F471F">
              <w:rPr>
                <w:rFonts w:cs="Tahoma"/>
                <w:szCs w:val="18"/>
                <w:lang w:val="it-IT"/>
              </w:rPr>
              <w:t>A condizione che l</w:t>
            </w:r>
            <w:r w:rsidR="001C4212" w:rsidRPr="003F471F">
              <w:rPr>
                <w:rFonts w:cs="Tahoma"/>
                <w:szCs w:val="18"/>
                <w:lang w:val="it-IT"/>
              </w:rPr>
              <w:t>’</w:t>
            </w:r>
            <w:r w:rsidRPr="003F471F">
              <w:rPr>
                <w:rFonts w:cs="Tahoma"/>
                <w:szCs w:val="18"/>
                <w:lang w:val="it-IT"/>
              </w:rPr>
              <w:t>Istituto sia in possesso di una licenza Office Professional Plus o Office 365 ProPlus per tutto il personale docente e non docente all</w:t>
            </w:r>
            <w:r w:rsidR="001C4212" w:rsidRPr="003F471F">
              <w:rPr>
                <w:rFonts w:cs="Tahoma"/>
                <w:szCs w:val="18"/>
                <w:lang w:val="it-IT"/>
              </w:rPr>
              <w:t>’</w:t>
            </w:r>
            <w:r w:rsidRPr="003F471F">
              <w:rPr>
                <w:rFonts w:cs="Tahoma"/>
                <w:szCs w:val="18"/>
                <w:lang w:val="it-IT"/>
              </w:rPr>
              <w:t>interno dell</w:t>
            </w:r>
            <w:r w:rsidR="001C4212" w:rsidRPr="003F471F">
              <w:rPr>
                <w:rFonts w:cs="Tahoma"/>
                <w:szCs w:val="18"/>
                <w:lang w:val="it-IT"/>
              </w:rPr>
              <w:t>’</w:t>
            </w:r>
            <w:r w:rsidRPr="003F471F">
              <w:rPr>
                <w:rFonts w:cs="Tahoma"/>
                <w:szCs w:val="18"/>
                <w:lang w:val="it-IT"/>
              </w:rPr>
              <w:t>Organizzazione definita, lo stesso Istituto ha la facoltà di acquistare licenze per Office 365 ProPlus per tutti gli studenti iscritti a qualunque istituto didattico facente parte dell</w:t>
            </w:r>
            <w:r w:rsidR="001C4212" w:rsidRPr="003F471F">
              <w:rPr>
                <w:rFonts w:cs="Tahoma"/>
                <w:szCs w:val="18"/>
                <w:lang w:val="it-IT"/>
              </w:rPr>
              <w:t>’</w:t>
            </w:r>
            <w:r w:rsidRPr="003F471F">
              <w:rPr>
                <w:rFonts w:cs="Tahoma"/>
                <w:szCs w:val="18"/>
                <w:lang w:val="it-IT"/>
              </w:rPr>
              <w:t>Organizzazione definita dell</w:t>
            </w:r>
            <w:r w:rsidR="001C4212" w:rsidRPr="003F471F">
              <w:rPr>
                <w:rFonts w:cs="Tahoma"/>
                <w:szCs w:val="18"/>
                <w:lang w:val="it-IT"/>
              </w:rPr>
              <w:t>’</w:t>
            </w:r>
            <w:r w:rsidRPr="003F471F">
              <w:rPr>
                <w:rFonts w:cs="Tahoma"/>
                <w:szCs w:val="18"/>
                <w:lang w:val="it-IT"/>
              </w:rPr>
              <w:t>Istituto, che siano a</w:t>
            </w:r>
            <w:r w:rsidR="00F62191" w:rsidRPr="003F471F">
              <w:rPr>
                <w:rFonts w:cs="Tahoma"/>
                <w:szCs w:val="18"/>
                <w:lang w:val="it-IT"/>
              </w:rPr>
              <w:t> </w:t>
            </w:r>
            <w:r w:rsidRPr="003F471F">
              <w:rPr>
                <w:rFonts w:cs="Tahoma"/>
                <w:szCs w:val="18"/>
                <w:lang w:val="it-IT"/>
              </w:rPr>
              <w:t>tempo pieno o part-time, senza nessun costo aggiuntivo per l</w:t>
            </w:r>
            <w:r w:rsidR="001C4212" w:rsidRPr="003F471F">
              <w:rPr>
                <w:rFonts w:cs="Tahoma"/>
                <w:szCs w:val="18"/>
                <w:lang w:val="it-IT"/>
              </w:rPr>
              <w:t>’</w:t>
            </w:r>
            <w:r w:rsidRPr="003F471F">
              <w:rPr>
                <w:rFonts w:cs="Tahoma"/>
                <w:szCs w:val="18"/>
                <w:lang w:val="it-IT"/>
              </w:rPr>
              <w:t>Istituto.</w:t>
            </w:r>
          </w:p>
          <w:p w14:paraId="62AED2F3" w14:textId="77777777" w:rsidR="00312D72" w:rsidRPr="003F471F" w:rsidRDefault="00312D72" w:rsidP="00230E01">
            <w:pPr>
              <w:rPr>
                <w:rFonts w:cs="Tahoma"/>
                <w:szCs w:val="18"/>
                <w:lang w:val="it-IT"/>
              </w:rPr>
            </w:pPr>
          </w:p>
        </w:tc>
      </w:tr>
      <w:tr w:rsidR="00456002" w:rsidRPr="003F471F" w14:paraId="1CFBEE49" w14:textId="77777777" w:rsidTr="00782EDB">
        <w:tc>
          <w:tcPr>
            <w:tcW w:w="2232" w:type="dxa"/>
            <w:shd w:val="clear" w:color="auto" w:fill="auto"/>
          </w:tcPr>
          <w:p w14:paraId="0938E599" w14:textId="77777777" w:rsidR="00456002" w:rsidRPr="0058047D" w:rsidRDefault="00456002" w:rsidP="001F7D7B">
            <w:pPr>
              <w:pStyle w:val="AppendixBodyText"/>
              <w:spacing w:before="60"/>
              <w:ind w:right="162"/>
              <w:rPr>
                <w:rFonts w:ascii="Tahoma" w:hAnsi="Tahoma" w:cs="Tahoma"/>
                <w:b/>
                <w:color w:val="000000"/>
                <w:szCs w:val="18"/>
                <w:lang w:eastAsia="ja-JP"/>
              </w:rPr>
            </w:pPr>
            <w:r w:rsidRPr="0058047D">
              <w:rPr>
                <w:rFonts w:ascii="Tahoma" w:hAnsi="Tahoma" w:cs="Tahoma"/>
                <w:b/>
                <w:color w:val="000000"/>
                <w:szCs w:val="18"/>
              </w:rPr>
              <w:t>Select</w:t>
            </w:r>
          </w:p>
        </w:tc>
        <w:tc>
          <w:tcPr>
            <w:tcW w:w="7236" w:type="dxa"/>
            <w:shd w:val="clear" w:color="auto" w:fill="auto"/>
          </w:tcPr>
          <w:p w14:paraId="66CCC28C" w14:textId="77777777" w:rsidR="00456002" w:rsidRPr="003F471F" w:rsidRDefault="00456002" w:rsidP="00230E01">
            <w:pPr>
              <w:pStyle w:val="AppendixBodyText"/>
              <w:spacing w:before="60" w:after="0"/>
              <w:ind w:right="720"/>
              <w:rPr>
                <w:lang w:val="it-IT"/>
              </w:rPr>
            </w:pPr>
            <w:r w:rsidRPr="003F471F">
              <w:rPr>
                <w:rFonts w:ascii="Tahoma" w:hAnsi="Tahoma" w:cs="Tahoma"/>
                <w:color w:val="000000"/>
                <w:sz w:val="18"/>
                <w:szCs w:val="18"/>
                <w:lang w:val="it-IT"/>
              </w:rPr>
              <w:t>Select richiede un ordine minimo di 1.500 punti per gruppo per il periodo di validità del contratto.</w:t>
            </w:r>
            <w:r w:rsidR="00E34ED3" w:rsidRPr="003F471F">
              <w:rPr>
                <w:rFonts w:ascii="Tahoma" w:hAnsi="Tahoma" w:cs="Tahoma"/>
                <w:color w:val="000000"/>
                <w:sz w:val="18"/>
                <w:szCs w:val="18"/>
                <w:lang w:val="it-IT"/>
              </w:rPr>
              <w:t xml:space="preserve"> </w:t>
            </w:r>
            <w:r w:rsidRPr="003F471F">
              <w:rPr>
                <w:rFonts w:ascii="Tahoma" w:hAnsi="Tahoma" w:cs="Tahoma"/>
                <w:color w:val="000000"/>
                <w:sz w:val="18"/>
                <w:szCs w:val="18"/>
                <w:lang w:val="it-IT"/>
              </w:rPr>
              <w:t>È possibile ignorare i requisiti di quantità minima per l</w:t>
            </w:r>
            <w:r w:rsidR="001C4212" w:rsidRPr="003F471F">
              <w:rPr>
                <w:rFonts w:ascii="Tahoma" w:hAnsi="Tahoma" w:cs="Tahoma"/>
                <w:color w:val="000000"/>
                <w:sz w:val="18"/>
                <w:szCs w:val="18"/>
                <w:lang w:val="it-IT"/>
              </w:rPr>
              <w:t>’</w:t>
            </w:r>
            <w:r w:rsidRPr="003F471F">
              <w:rPr>
                <w:rFonts w:ascii="Tahoma" w:hAnsi="Tahoma" w:cs="Tahoma"/>
                <w:color w:val="000000"/>
                <w:sz w:val="18"/>
                <w:szCs w:val="18"/>
                <w:lang w:val="it-IT"/>
              </w:rPr>
              <w:t>ordine nel caso in cui venga fornito un contratto qualificante.</w:t>
            </w:r>
          </w:p>
          <w:p w14:paraId="585055E4" w14:textId="77777777" w:rsidR="00230E01" w:rsidRPr="003F471F" w:rsidRDefault="00230E01" w:rsidP="00230E01">
            <w:pPr>
              <w:pStyle w:val="AppendixBodyText"/>
              <w:spacing w:after="0"/>
              <w:ind w:right="720"/>
              <w:rPr>
                <w:rFonts w:ascii="Tahoma" w:hAnsi="Tahoma" w:cs="Tahoma"/>
                <w:color w:val="000000"/>
                <w:sz w:val="18"/>
                <w:szCs w:val="18"/>
                <w:lang w:val="it-IT" w:eastAsia="ja-JP"/>
              </w:rPr>
            </w:pPr>
          </w:p>
        </w:tc>
      </w:tr>
      <w:tr w:rsidR="00456002" w:rsidRPr="003F471F" w14:paraId="6ADF4BA6" w14:textId="77777777" w:rsidTr="00782EDB">
        <w:tc>
          <w:tcPr>
            <w:tcW w:w="2232" w:type="dxa"/>
            <w:shd w:val="clear" w:color="auto" w:fill="auto"/>
          </w:tcPr>
          <w:p w14:paraId="07F133ED" w14:textId="77777777" w:rsidR="00456002" w:rsidRPr="0058047D" w:rsidRDefault="00456002" w:rsidP="001F7D7B">
            <w:pPr>
              <w:pStyle w:val="AppendixBodyText"/>
              <w:spacing w:before="60"/>
              <w:ind w:right="162"/>
              <w:rPr>
                <w:rFonts w:ascii="Tahoma" w:hAnsi="Tahoma" w:cs="Tahoma"/>
                <w:b/>
                <w:color w:val="000000"/>
                <w:szCs w:val="18"/>
                <w:lang w:eastAsia="ja-JP"/>
              </w:rPr>
            </w:pPr>
            <w:r w:rsidRPr="0058047D">
              <w:rPr>
                <w:rFonts w:ascii="Tahoma" w:hAnsi="Tahoma" w:cs="Tahoma"/>
                <w:b/>
                <w:color w:val="000000"/>
                <w:szCs w:val="18"/>
              </w:rPr>
              <w:t>Select Plus</w:t>
            </w:r>
          </w:p>
        </w:tc>
        <w:tc>
          <w:tcPr>
            <w:tcW w:w="7236" w:type="dxa"/>
            <w:shd w:val="clear" w:color="auto" w:fill="auto"/>
          </w:tcPr>
          <w:p w14:paraId="4B61B090" w14:textId="77777777" w:rsidR="00456002" w:rsidRPr="003F471F" w:rsidRDefault="00456002" w:rsidP="00A70464">
            <w:pPr>
              <w:pStyle w:val="AppendixBodyText"/>
              <w:spacing w:before="60"/>
              <w:ind w:right="720"/>
              <w:rPr>
                <w:lang w:val="it-IT"/>
              </w:rPr>
            </w:pPr>
            <w:r w:rsidRPr="003F471F">
              <w:rPr>
                <w:rFonts w:ascii="Tahoma" w:hAnsi="Tahoma" w:cs="Tahoma"/>
                <w:color w:val="000000"/>
                <w:sz w:val="18"/>
                <w:szCs w:val="18"/>
                <w:lang w:val="it-IT"/>
              </w:rPr>
              <w:t>Select Plus richiede un ordine minimo di 500 punti per gruppo nel corso del primo anno.</w:t>
            </w:r>
            <w:r w:rsidR="00E34ED3" w:rsidRPr="003F471F">
              <w:rPr>
                <w:rFonts w:ascii="Tahoma" w:hAnsi="Tahoma" w:cs="Tahoma"/>
                <w:color w:val="000000"/>
                <w:sz w:val="18"/>
                <w:szCs w:val="18"/>
                <w:lang w:val="it-IT"/>
              </w:rPr>
              <w:t xml:space="preserve"> </w:t>
            </w:r>
            <w:r w:rsidRPr="003F471F">
              <w:rPr>
                <w:rFonts w:ascii="Tahoma" w:hAnsi="Tahoma" w:cs="Tahoma"/>
                <w:color w:val="000000"/>
                <w:sz w:val="18"/>
                <w:szCs w:val="18"/>
                <w:lang w:val="it-IT"/>
              </w:rPr>
              <w:t>È possibile ignorare il requisito di quantità per l</w:t>
            </w:r>
            <w:r w:rsidR="001C4212" w:rsidRPr="003F471F">
              <w:rPr>
                <w:rFonts w:ascii="Tahoma" w:hAnsi="Tahoma" w:cs="Tahoma"/>
                <w:color w:val="000000"/>
                <w:sz w:val="18"/>
                <w:szCs w:val="18"/>
                <w:lang w:val="it-IT"/>
              </w:rPr>
              <w:t>’</w:t>
            </w:r>
            <w:r w:rsidRPr="003F471F">
              <w:rPr>
                <w:rFonts w:ascii="Tahoma" w:hAnsi="Tahoma" w:cs="Tahoma"/>
                <w:color w:val="000000"/>
                <w:sz w:val="18"/>
                <w:szCs w:val="18"/>
                <w:lang w:val="it-IT"/>
              </w:rPr>
              <w:t>ordine nel caso in cui venga fornito un contratto qualificante.</w:t>
            </w:r>
          </w:p>
          <w:p w14:paraId="7DBF5741" w14:textId="77777777" w:rsidR="00456002" w:rsidRPr="003F471F" w:rsidRDefault="00456002" w:rsidP="00A70464">
            <w:pPr>
              <w:pStyle w:val="AppendixBodyText"/>
              <w:spacing w:after="0"/>
              <w:ind w:right="720"/>
              <w:rPr>
                <w:lang w:val="it-IT"/>
              </w:rPr>
            </w:pPr>
          </w:p>
          <w:p w14:paraId="30835BBD" w14:textId="77777777" w:rsidR="00456002" w:rsidRPr="003F471F" w:rsidRDefault="00456002" w:rsidP="004B6D8C">
            <w:pPr>
              <w:spacing w:after="60"/>
              <w:rPr>
                <w:lang w:val="it-IT"/>
              </w:rPr>
            </w:pPr>
            <w:bookmarkStart w:id="602" w:name="_Toc323159727"/>
            <w:r w:rsidRPr="003F471F">
              <w:rPr>
                <w:b/>
                <w:lang w:val="it-IT"/>
              </w:rPr>
              <w:t>Livelli di Prezzo in Select Plus</w:t>
            </w:r>
            <w:bookmarkEnd w:id="602"/>
          </w:p>
          <w:p w14:paraId="3A6336B4" w14:textId="77777777" w:rsidR="00456002" w:rsidRPr="003F471F" w:rsidRDefault="00456002" w:rsidP="005C647E">
            <w:pPr>
              <w:rPr>
                <w:lang w:val="it-IT"/>
              </w:rPr>
            </w:pPr>
            <w:r w:rsidRPr="003F471F">
              <w:rPr>
                <w:rFonts w:cs="Tahoma"/>
                <w:szCs w:val="18"/>
                <w:lang w:val="it-IT"/>
              </w:rPr>
              <w:t xml:space="preserve">La società si qualifica per il Programma Select Plus se soddisfa uno dei tre seguenti criteri: </w:t>
            </w:r>
          </w:p>
          <w:p w14:paraId="0B367774" w14:textId="77777777" w:rsidR="00406CB0" w:rsidRPr="003F471F" w:rsidRDefault="00406CB0" w:rsidP="00A70464">
            <w:pPr>
              <w:rPr>
                <w:lang w:val="it-IT"/>
              </w:rPr>
            </w:pPr>
          </w:p>
          <w:p w14:paraId="43914B5F" w14:textId="77777777" w:rsidR="00456002" w:rsidRPr="003F471F" w:rsidRDefault="00456002" w:rsidP="00346F4B">
            <w:pPr>
              <w:numPr>
                <w:ilvl w:val="0"/>
                <w:numId w:val="64"/>
              </w:numPr>
              <w:spacing w:after="60"/>
              <w:rPr>
                <w:lang w:val="it-IT"/>
              </w:rPr>
            </w:pPr>
            <w:r w:rsidRPr="003F471F">
              <w:rPr>
                <w:lang w:val="it-IT"/>
              </w:rPr>
              <w:t>Dispone di un</w:t>
            </w:r>
            <w:r w:rsidR="001C4212" w:rsidRPr="003F471F">
              <w:rPr>
                <w:lang w:val="it-IT"/>
              </w:rPr>
              <w:t>’</w:t>
            </w:r>
            <w:r w:rsidRPr="003F471F">
              <w:rPr>
                <w:lang w:val="it-IT"/>
              </w:rPr>
              <w:t>Iscrizione Enterprise attiva ai sensi di un Contratto Enterprise separato o di un</w:t>
            </w:r>
            <w:r w:rsidR="001C4212" w:rsidRPr="003F471F">
              <w:rPr>
                <w:lang w:val="it-IT"/>
              </w:rPr>
              <w:t>’</w:t>
            </w:r>
            <w:r w:rsidRPr="003F471F">
              <w:rPr>
                <w:lang w:val="it-IT"/>
              </w:rPr>
              <w:t>Iscrizione Enterprise Subscription ai sensi di un contratto Enterprise Subscription (gli istituti didattici possono utilizzare un Contratto Campus o School attivo oppure un Enrollment for Education Solutions attivo quale contratto qualificante);</w:t>
            </w:r>
          </w:p>
          <w:p w14:paraId="38055820" w14:textId="77777777" w:rsidR="00456002" w:rsidRPr="003F471F" w:rsidRDefault="00456002" w:rsidP="00346F4B">
            <w:pPr>
              <w:numPr>
                <w:ilvl w:val="0"/>
                <w:numId w:val="64"/>
              </w:numPr>
              <w:spacing w:after="60"/>
              <w:rPr>
                <w:lang w:val="it-IT"/>
              </w:rPr>
            </w:pPr>
            <w:r w:rsidRPr="003F471F">
              <w:rPr>
                <w:lang w:val="it-IT"/>
              </w:rPr>
              <w:t xml:space="preserve">Effettua un ordine iniziale che raggiunge un minimo di 500 punti per ogni pool di prodotti che la Società seleziona durante il primo anno; </w:t>
            </w:r>
          </w:p>
          <w:p w14:paraId="40128A95" w14:textId="77777777" w:rsidR="00456002" w:rsidRPr="003F471F" w:rsidRDefault="00456002" w:rsidP="00371969">
            <w:pPr>
              <w:numPr>
                <w:ilvl w:val="0"/>
                <w:numId w:val="64"/>
              </w:numPr>
              <w:spacing w:after="60"/>
              <w:rPr>
                <w:lang w:val="it-IT"/>
              </w:rPr>
            </w:pPr>
            <w:r w:rsidRPr="003F471F">
              <w:rPr>
                <w:lang w:val="it-IT"/>
              </w:rPr>
              <w:t>Identifica un contratto in cui l</w:t>
            </w:r>
            <w:r w:rsidR="001C4212" w:rsidRPr="003F471F">
              <w:rPr>
                <w:lang w:val="it-IT"/>
              </w:rPr>
              <w:t>’</w:t>
            </w:r>
            <w:r w:rsidRPr="003F471F">
              <w:rPr>
                <w:lang w:val="it-IT"/>
              </w:rPr>
              <w:t>ordine minimo è stato acquistato nei 12 mesi precedenti alla data di entrata in vigore del Contratto Select Plus della Società</w:t>
            </w:r>
            <w:r w:rsidR="00371969" w:rsidRPr="003F471F">
              <w:rPr>
                <w:lang w:val="it-IT"/>
              </w:rPr>
              <w:t> </w:t>
            </w:r>
            <w:r w:rsidRPr="003F471F">
              <w:rPr>
                <w:lang w:val="it-IT"/>
              </w:rPr>
              <w:t xml:space="preserve">e </w:t>
            </w:r>
          </w:p>
          <w:p w14:paraId="225B507F" w14:textId="77777777" w:rsidR="00456002" w:rsidRPr="003F471F" w:rsidRDefault="00456002" w:rsidP="00A70464">
            <w:pPr>
              <w:rPr>
                <w:lang w:val="it-IT"/>
              </w:rPr>
            </w:pPr>
          </w:p>
          <w:p w14:paraId="242BCDDD" w14:textId="77777777" w:rsidR="008E10CD" w:rsidRPr="003F471F" w:rsidRDefault="008E10CD" w:rsidP="00A70464">
            <w:pPr>
              <w:rPr>
                <w:lang w:val="it-IT"/>
              </w:rPr>
            </w:pPr>
          </w:p>
          <w:p w14:paraId="3F8553D4" w14:textId="77777777" w:rsidR="00456002" w:rsidRPr="003F471F" w:rsidRDefault="00456002" w:rsidP="005C647E">
            <w:pPr>
              <w:rPr>
                <w:lang w:val="it-IT"/>
              </w:rPr>
            </w:pPr>
            <w:r w:rsidRPr="003F471F">
              <w:rPr>
                <w:rFonts w:cs="Tahoma"/>
                <w:szCs w:val="18"/>
                <w:lang w:val="it-IT"/>
              </w:rPr>
              <w:t>Per le precedenti opzioni 2 e 3, la Società deve mantenere un minimo di 500 punti in ciascun pool di prodotti scelto dalla Società all</w:t>
            </w:r>
            <w:r w:rsidR="001C4212" w:rsidRPr="003F471F">
              <w:rPr>
                <w:rFonts w:cs="Tahoma"/>
                <w:szCs w:val="18"/>
                <w:lang w:val="it-IT"/>
              </w:rPr>
              <w:t>’</w:t>
            </w:r>
            <w:r w:rsidRPr="003F471F">
              <w:rPr>
                <w:rFonts w:cs="Tahoma"/>
                <w:szCs w:val="18"/>
                <w:lang w:val="it-IT"/>
              </w:rPr>
              <w:t xml:space="preserve">epoca della revisione. </w:t>
            </w:r>
          </w:p>
          <w:p w14:paraId="78EDBCDC" w14:textId="77777777" w:rsidR="00456002" w:rsidRPr="003F471F" w:rsidRDefault="00456002" w:rsidP="005C647E">
            <w:pPr>
              <w:rPr>
                <w:lang w:val="it-IT"/>
              </w:rPr>
            </w:pPr>
            <w:r w:rsidRPr="003F471F">
              <w:rPr>
                <w:rFonts w:cs="Tahoma"/>
                <w:szCs w:val="18"/>
                <w:lang w:val="it-IT"/>
              </w:rPr>
              <w:t>I prezzi della Società sono basati su un contratto concluso tra la Società e il suo rivenditore. Tuttavia Microsoft fornisce al rivenditore i seguenti criteri relativi ai</w:t>
            </w:r>
            <w:r w:rsidR="006D5B9E" w:rsidRPr="003F471F">
              <w:rPr>
                <w:rFonts w:cs="Tahoma"/>
                <w:szCs w:val="18"/>
                <w:lang w:val="it-IT"/>
              </w:rPr>
              <w:t> </w:t>
            </w:r>
            <w:r w:rsidRPr="003F471F">
              <w:rPr>
                <w:rFonts w:cs="Tahoma"/>
                <w:szCs w:val="18"/>
                <w:lang w:val="it-IT"/>
              </w:rPr>
              <w:t>prezzi e ai punti per aiutarlo a definire i prezzi per il cliente finale:</w:t>
            </w:r>
            <w:r w:rsidR="00E34ED3" w:rsidRPr="003F471F">
              <w:rPr>
                <w:rFonts w:cs="Tahoma"/>
                <w:szCs w:val="18"/>
                <w:lang w:val="it-IT"/>
              </w:rPr>
              <w:t xml:space="preserve"> </w:t>
            </w:r>
          </w:p>
          <w:p w14:paraId="537343C0" w14:textId="77777777" w:rsidR="00456002" w:rsidRPr="003F471F" w:rsidRDefault="00456002" w:rsidP="005C647E">
            <w:pPr>
              <w:rPr>
                <w:rFonts w:cs="Tahoma"/>
                <w:sz w:val="12"/>
                <w:szCs w:val="18"/>
                <w:lang w:val="it-IT"/>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6D5B9E" w:rsidRPr="003F471F" w14:paraId="7715D2FD" w14:textId="77777777" w:rsidTr="008E10CD">
              <w:trPr>
                <w:trHeight w:val="727"/>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07FAF219" w14:textId="77777777" w:rsidR="006D5B9E" w:rsidRPr="003F471F" w:rsidRDefault="006D5B9E" w:rsidP="004D6068">
                  <w:pPr>
                    <w:jc w:val="center"/>
                    <w:rPr>
                      <w:rFonts w:cs="Tahoma"/>
                      <w:b/>
                      <w:sz w:val="20"/>
                      <w:szCs w:val="18"/>
                      <w:lang w:val="it-IT"/>
                    </w:rPr>
                  </w:pPr>
                  <w:r w:rsidRPr="003F471F">
                    <w:rPr>
                      <w:rFonts w:cs="Tahoma"/>
                      <w:b/>
                      <w:sz w:val="20"/>
                      <w:szCs w:val="18"/>
                      <w:lang w:val="it-IT"/>
                    </w:rPr>
                    <w:t>Livello di Prezzo in Select Plus - Commerciale</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126584A" w14:textId="77777777" w:rsidR="006D5B9E" w:rsidRPr="003F471F" w:rsidRDefault="006D5B9E" w:rsidP="006D5B9E">
                  <w:pPr>
                    <w:jc w:val="center"/>
                    <w:rPr>
                      <w:rFonts w:cs="Tahoma"/>
                      <w:b/>
                      <w:sz w:val="20"/>
                      <w:szCs w:val="18"/>
                      <w:lang w:val="it-IT"/>
                    </w:rPr>
                  </w:pPr>
                  <w:r w:rsidRPr="003F471F">
                    <w:rPr>
                      <w:rFonts w:cs="Tahoma"/>
                      <w:b/>
                      <w:sz w:val="20"/>
                      <w:szCs w:val="18"/>
                      <w:lang w:val="it-IT"/>
                    </w:rPr>
                    <w:t>Minimo Punti Annuali per Pool</w:t>
                  </w:r>
                </w:p>
              </w:tc>
            </w:tr>
            <w:tr w:rsidR="006D5B9E" w:rsidRPr="003F471F" w14:paraId="0773746A" w14:textId="77777777" w:rsidTr="00782EDB">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B4C3863" w14:textId="77777777" w:rsidR="006D5B9E" w:rsidRPr="003F471F" w:rsidRDefault="006D5B9E" w:rsidP="004D6068">
                  <w:pPr>
                    <w:jc w:val="center"/>
                    <w:rPr>
                      <w:rFonts w:cs="Tahoma"/>
                      <w:szCs w:val="18"/>
                      <w:lang w:val="it-IT"/>
                    </w:rPr>
                  </w:pPr>
                  <w:r w:rsidRPr="003F471F">
                    <w:rPr>
                      <w:rFonts w:cs="Tahoma"/>
                      <w:szCs w:val="18"/>
                      <w:lang w:val="it-IT"/>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61BE6D6" w14:textId="77777777" w:rsidR="006D5B9E" w:rsidRPr="003F471F" w:rsidRDefault="006D5B9E" w:rsidP="004D6068">
                  <w:pPr>
                    <w:jc w:val="center"/>
                    <w:rPr>
                      <w:rFonts w:cs="Tahoma"/>
                      <w:szCs w:val="18"/>
                      <w:lang w:val="it-IT"/>
                    </w:rPr>
                  </w:pPr>
                  <w:r w:rsidRPr="003F471F">
                    <w:rPr>
                      <w:rFonts w:cs="Tahoma"/>
                      <w:szCs w:val="18"/>
                      <w:lang w:val="it-IT"/>
                    </w:rPr>
                    <w:t>500</w:t>
                  </w:r>
                </w:p>
              </w:tc>
            </w:tr>
            <w:tr w:rsidR="006D5B9E" w:rsidRPr="003F471F" w14:paraId="00A86586" w14:textId="77777777" w:rsidTr="00782EDB">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345C3B9" w14:textId="77777777" w:rsidR="006D5B9E" w:rsidRPr="003F471F" w:rsidRDefault="006D5B9E" w:rsidP="004D6068">
                  <w:pPr>
                    <w:jc w:val="center"/>
                    <w:rPr>
                      <w:rFonts w:cs="Tahoma"/>
                      <w:szCs w:val="18"/>
                      <w:lang w:val="it-IT"/>
                    </w:rPr>
                  </w:pPr>
                  <w:r w:rsidRPr="003F471F">
                    <w:rPr>
                      <w:rFonts w:cs="Tahoma"/>
                      <w:szCs w:val="18"/>
                      <w:lang w:val="it-IT"/>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6727968" w14:textId="77777777" w:rsidR="006D5B9E" w:rsidRPr="003F471F" w:rsidRDefault="006D5B9E" w:rsidP="006D5B9E">
                  <w:pPr>
                    <w:jc w:val="center"/>
                    <w:rPr>
                      <w:rFonts w:cs="Tahoma"/>
                      <w:szCs w:val="18"/>
                      <w:lang w:val="it-IT"/>
                    </w:rPr>
                  </w:pPr>
                  <w:r w:rsidRPr="003F471F">
                    <w:rPr>
                      <w:rFonts w:cs="Tahoma"/>
                      <w:szCs w:val="18"/>
                      <w:lang w:val="it-IT"/>
                    </w:rPr>
                    <w:t>4.000</w:t>
                  </w:r>
                </w:p>
              </w:tc>
            </w:tr>
            <w:tr w:rsidR="006D5B9E" w:rsidRPr="003F471F" w14:paraId="72B4389A" w14:textId="77777777" w:rsidTr="00782EDB">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74B77E1" w14:textId="77777777" w:rsidR="006D5B9E" w:rsidRPr="003F471F" w:rsidRDefault="006D5B9E" w:rsidP="004D6068">
                  <w:pPr>
                    <w:jc w:val="center"/>
                    <w:rPr>
                      <w:rFonts w:cs="Tahoma"/>
                      <w:szCs w:val="18"/>
                      <w:lang w:val="it-IT"/>
                    </w:rPr>
                  </w:pPr>
                  <w:r w:rsidRPr="003F471F">
                    <w:rPr>
                      <w:rFonts w:cs="Tahoma"/>
                      <w:szCs w:val="18"/>
                      <w:lang w:val="it-IT"/>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542E768" w14:textId="77777777" w:rsidR="006D5B9E" w:rsidRPr="003F471F" w:rsidRDefault="006D5B9E" w:rsidP="006D5B9E">
                  <w:pPr>
                    <w:jc w:val="center"/>
                    <w:rPr>
                      <w:rFonts w:cs="Tahoma"/>
                      <w:szCs w:val="18"/>
                      <w:lang w:val="it-IT"/>
                    </w:rPr>
                  </w:pPr>
                  <w:r w:rsidRPr="003F471F">
                    <w:rPr>
                      <w:rFonts w:cs="Tahoma"/>
                      <w:szCs w:val="18"/>
                      <w:lang w:val="it-IT"/>
                    </w:rPr>
                    <w:t>10.000</w:t>
                  </w:r>
                </w:p>
              </w:tc>
            </w:tr>
            <w:tr w:rsidR="006D5B9E" w:rsidRPr="003F471F" w14:paraId="4635FCA6" w14:textId="77777777" w:rsidTr="00782EDB">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06EC5227" w14:textId="77777777" w:rsidR="006D5B9E" w:rsidRPr="003F471F" w:rsidRDefault="006D5B9E" w:rsidP="004D6068">
                  <w:pPr>
                    <w:jc w:val="center"/>
                    <w:rPr>
                      <w:rFonts w:cs="Tahoma"/>
                      <w:szCs w:val="18"/>
                      <w:lang w:val="it-IT"/>
                    </w:rPr>
                  </w:pPr>
                  <w:r w:rsidRPr="003F471F">
                    <w:rPr>
                      <w:rFonts w:cs="Tahoma"/>
                      <w:szCs w:val="18"/>
                      <w:lang w:val="it-IT"/>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3184C5B" w14:textId="77777777" w:rsidR="006D5B9E" w:rsidRPr="003F471F" w:rsidRDefault="006D5B9E" w:rsidP="006D5B9E">
                  <w:pPr>
                    <w:jc w:val="center"/>
                    <w:rPr>
                      <w:rFonts w:cs="Tahoma"/>
                      <w:szCs w:val="18"/>
                      <w:lang w:val="it-IT"/>
                    </w:rPr>
                  </w:pPr>
                  <w:r w:rsidRPr="003F471F">
                    <w:rPr>
                      <w:rFonts w:cs="Tahoma"/>
                      <w:szCs w:val="18"/>
                      <w:lang w:val="it-IT"/>
                    </w:rPr>
                    <w:t>25.000</w:t>
                  </w:r>
                </w:p>
              </w:tc>
            </w:tr>
          </w:tbl>
          <w:p w14:paraId="202A51FC" w14:textId="77777777" w:rsidR="00456002" w:rsidRPr="003F471F" w:rsidRDefault="00360F2A" w:rsidP="00230E01">
            <w:pPr>
              <w:pStyle w:val="AppendixBodyText"/>
              <w:spacing w:after="0"/>
              <w:ind w:left="605" w:right="720"/>
              <w:rPr>
                <w:lang w:val="it-IT"/>
              </w:rPr>
            </w:pPr>
            <w:r w:rsidRPr="003F471F">
              <w:rPr>
                <w:rFonts w:ascii="Tahoma" w:hAnsi="Tahoma" w:cs="Times New Roman"/>
                <w:i/>
                <w:sz w:val="16"/>
                <w:lang w:val="it-IT"/>
              </w:rPr>
              <w:t>Nota: qualsiasi punto che la società ha in eccesso rispetto al livello minimo di prezzo verrà riportato all</w:t>
            </w:r>
            <w:r w:rsidR="001C4212" w:rsidRPr="003F471F">
              <w:rPr>
                <w:rFonts w:ascii="Tahoma" w:hAnsi="Tahoma" w:cs="Times New Roman"/>
                <w:i/>
                <w:sz w:val="16"/>
                <w:lang w:val="it-IT"/>
              </w:rPr>
              <w:t>’</w:t>
            </w:r>
            <w:r w:rsidRPr="003F471F">
              <w:rPr>
                <w:rFonts w:ascii="Tahoma" w:hAnsi="Tahoma" w:cs="Times New Roman"/>
                <w:i/>
                <w:sz w:val="16"/>
                <w:lang w:val="it-IT"/>
              </w:rPr>
              <w:t>anno successivo per il controllo della conformità di tale anno. Ad esempio, qualora la società abbia 4.500 punti al momento del controllo annuale della conformità, 500 punti verranno riportati all</w:t>
            </w:r>
            <w:r w:rsidR="001C4212" w:rsidRPr="003F471F">
              <w:rPr>
                <w:rFonts w:ascii="Tahoma" w:hAnsi="Tahoma" w:cs="Times New Roman"/>
                <w:i/>
                <w:sz w:val="16"/>
                <w:lang w:val="it-IT"/>
              </w:rPr>
              <w:t>’</w:t>
            </w:r>
            <w:r w:rsidRPr="003F471F">
              <w:rPr>
                <w:rFonts w:ascii="Tahoma" w:hAnsi="Tahoma" w:cs="Times New Roman"/>
                <w:i/>
                <w:sz w:val="16"/>
                <w:lang w:val="it-IT"/>
              </w:rPr>
              <w:t>anno successivo per essere utilizzati per la conformità di quell</w:t>
            </w:r>
            <w:r w:rsidR="001C4212" w:rsidRPr="003F471F">
              <w:rPr>
                <w:rFonts w:ascii="Tahoma" w:hAnsi="Tahoma" w:cs="Times New Roman"/>
                <w:i/>
                <w:sz w:val="16"/>
                <w:lang w:val="it-IT"/>
              </w:rPr>
              <w:t>’</w:t>
            </w:r>
            <w:r w:rsidRPr="003F471F">
              <w:rPr>
                <w:rFonts w:ascii="Tahoma" w:hAnsi="Tahoma" w:cs="Times New Roman"/>
                <w:i/>
                <w:sz w:val="16"/>
                <w:lang w:val="it-IT"/>
              </w:rPr>
              <w:t>anno.</w:t>
            </w:r>
          </w:p>
          <w:p w14:paraId="1297F6AF" w14:textId="77777777" w:rsidR="00230E01" w:rsidRPr="003F471F" w:rsidRDefault="00230E01" w:rsidP="00230E01">
            <w:pPr>
              <w:pStyle w:val="AppendixBodyText"/>
              <w:spacing w:after="0"/>
              <w:ind w:left="605" w:right="720"/>
              <w:rPr>
                <w:rFonts w:ascii="Tahoma" w:hAnsi="Tahoma" w:cs="Tahoma"/>
                <w:color w:val="000000"/>
                <w:sz w:val="18"/>
                <w:szCs w:val="18"/>
                <w:lang w:val="it-IT" w:eastAsia="ja-JP"/>
              </w:rPr>
            </w:pPr>
          </w:p>
        </w:tc>
      </w:tr>
      <w:tr w:rsidR="00456002" w:rsidRPr="003F471F" w14:paraId="72ADEE7E" w14:textId="77777777" w:rsidTr="00782EDB">
        <w:tc>
          <w:tcPr>
            <w:tcW w:w="2232" w:type="dxa"/>
            <w:shd w:val="clear" w:color="auto" w:fill="auto"/>
          </w:tcPr>
          <w:p w14:paraId="1366025D" w14:textId="77777777" w:rsidR="00456002" w:rsidRPr="0058047D" w:rsidRDefault="00B215EA" w:rsidP="001F7D7B">
            <w:pPr>
              <w:pStyle w:val="AppendixBodyText"/>
              <w:spacing w:before="60"/>
              <w:ind w:right="182"/>
              <w:rPr>
                <w:rFonts w:ascii="Tahoma" w:hAnsi="Tahoma" w:cs="Tahoma"/>
                <w:b/>
                <w:color w:val="000000"/>
                <w:szCs w:val="18"/>
                <w:lang w:eastAsia="ja-JP"/>
              </w:rPr>
            </w:pPr>
            <w:r w:rsidRPr="0058047D">
              <w:rPr>
                <w:rFonts w:ascii="Tahoma" w:hAnsi="Tahoma" w:cs="Tahoma"/>
                <w:b/>
                <w:color w:val="000000"/>
                <w:szCs w:val="18"/>
              </w:rPr>
              <w:t>Contratto Campus e</w:t>
            </w:r>
            <w:r w:rsidR="006D5B9E">
              <w:rPr>
                <w:rFonts w:ascii="Tahoma" w:hAnsi="Tahoma" w:cs="Tahoma"/>
                <w:b/>
                <w:color w:val="000000"/>
                <w:szCs w:val="18"/>
              </w:rPr>
              <w:t> </w:t>
            </w:r>
            <w:r w:rsidRPr="0058047D">
              <w:rPr>
                <w:rFonts w:ascii="Tahoma" w:hAnsi="Tahoma" w:cs="Tahoma"/>
                <w:b/>
                <w:color w:val="000000"/>
                <w:szCs w:val="18"/>
              </w:rPr>
              <w:t>School</w:t>
            </w:r>
          </w:p>
        </w:tc>
        <w:tc>
          <w:tcPr>
            <w:tcW w:w="7236" w:type="dxa"/>
            <w:shd w:val="clear" w:color="auto" w:fill="auto"/>
          </w:tcPr>
          <w:p w14:paraId="4B75625B" w14:textId="77777777" w:rsidR="00456002" w:rsidRPr="003F471F" w:rsidRDefault="00456002" w:rsidP="00A70464">
            <w:pPr>
              <w:pStyle w:val="AppendixBodyText"/>
              <w:spacing w:before="60"/>
              <w:ind w:right="720"/>
              <w:rPr>
                <w:spacing w:val="-2"/>
                <w:lang w:val="it-IT"/>
              </w:rPr>
            </w:pPr>
            <w:r w:rsidRPr="003F471F">
              <w:rPr>
                <w:rFonts w:ascii="Tahoma" w:hAnsi="Tahoma" w:cs="Tahoma"/>
                <w:spacing w:val="-2"/>
                <w:sz w:val="18"/>
                <w:lang w:val="it-IT"/>
              </w:rPr>
              <w:t>I Contratti Campus e School</w:t>
            </w:r>
            <w:r w:rsidRPr="003F471F">
              <w:rPr>
                <w:rFonts w:ascii="Tahoma" w:hAnsi="Tahoma" w:cs="Tahoma"/>
                <w:b/>
                <w:spacing w:val="-2"/>
                <w:sz w:val="18"/>
                <w:lang w:val="it-IT"/>
              </w:rPr>
              <w:t xml:space="preserve"> </w:t>
            </w:r>
            <w:r w:rsidRPr="003F471F">
              <w:rPr>
                <w:rFonts w:ascii="Tahoma" w:hAnsi="Tahoma" w:cs="Tahoma"/>
                <w:spacing w:val="-2"/>
                <w:sz w:val="18"/>
                <w:lang w:val="it-IT"/>
              </w:rPr>
              <w:t>richiedono un ordine minimo di 300 unità.</w:t>
            </w:r>
            <w:r w:rsidR="00E34ED3" w:rsidRPr="003F471F">
              <w:rPr>
                <w:rFonts w:ascii="Tahoma" w:hAnsi="Tahoma" w:cs="Tahoma"/>
                <w:spacing w:val="-2"/>
                <w:sz w:val="18"/>
                <w:lang w:val="it-IT"/>
              </w:rPr>
              <w:t xml:space="preserve"> </w:t>
            </w:r>
            <w:r w:rsidRPr="003F471F">
              <w:rPr>
                <w:rFonts w:ascii="Tahoma" w:hAnsi="Tahoma" w:cs="Tahoma"/>
                <w:spacing w:val="-2"/>
                <w:sz w:val="18"/>
                <w:lang w:val="it-IT"/>
              </w:rPr>
              <w:t>Le</w:t>
            </w:r>
            <w:r w:rsidR="006D5B9E" w:rsidRPr="003F471F">
              <w:rPr>
                <w:rFonts w:ascii="Tahoma" w:hAnsi="Tahoma" w:cs="Tahoma"/>
                <w:spacing w:val="-2"/>
                <w:sz w:val="18"/>
                <w:lang w:val="it-IT"/>
              </w:rPr>
              <w:t> </w:t>
            </w:r>
            <w:r w:rsidRPr="003F471F">
              <w:rPr>
                <w:rFonts w:ascii="Tahoma" w:hAnsi="Tahoma" w:cs="Tahoma"/>
                <w:spacing w:val="-2"/>
                <w:sz w:val="18"/>
                <w:lang w:val="it-IT"/>
              </w:rPr>
              <w:t>unità sono determinate moltiplicando il numero totale di applicazioni, sistemi e CAL selezionati per il numero totale di PC idonei o di Personale non docente/FTE idoneo. Il requisito minimo di ordine potrà variare in base all</w:t>
            </w:r>
            <w:r w:rsidR="001C4212" w:rsidRPr="003F471F">
              <w:rPr>
                <w:rFonts w:ascii="Tahoma" w:hAnsi="Tahoma" w:cs="Tahoma"/>
                <w:spacing w:val="-2"/>
                <w:sz w:val="18"/>
                <w:lang w:val="it-IT"/>
              </w:rPr>
              <w:t>’</w:t>
            </w:r>
            <w:r w:rsidRPr="003F471F">
              <w:rPr>
                <w:rFonts w:ascii="Tahoma" w:hAnsi="Tahoma" w:cs="Tahoma"/>
                <w:spacing w:val="-2"/>
                <w:sz w:val="18"/>
                <w:lang w:val="it-IT"/>
              </w:rPr>
              <w:t>area geografica.</w:t>
            </w:r>
          </w:p>
          <w:p w14:paraId="714B1C37" w14:textId="77777777" w:rsidR="00406CB0" w:rsidRPr="003F471F" w:rsidRDefault="00406CB0" w:rsidP="00A70464">
            <w:pPr>
              <w:pStyle w:val="AppendixBodyText"/>
              <w:spacing w:after="0"/>
              <w:ind w:right="720"/>
              <w:rPr>
                <w:sz w:val="14"/>
                <w:szCs w:val="14"/>
                <w:lang w:val="it-IT"/>
              </w:rPr>
            </w:pPr>
          </w:p>
          <w:p w14:paraId="69865E0B" w14:textId="77777777" w:rsidR="00456002" w:rsidRPr="003F471F" w:rsidRDefault="00456002" w:rsidP="008E10CD">
            <w:pPr>
              <w:tabs>
                <w:tab w:val="left" w:pos="6660"/>
                <w:tab w:val="left" w:pos="8640"/>
              </w:tabs>
              <w:ind w:right="720"/>
              <w:rPr>
                <w:spacing w:val="-4"/>
                <w:lang w:val="it-IT"/>
              </w:rPr>
            </w:pPr>
            <w:r w:rsidRPr="003F471F">
              <w:rPr>
                <w:rFonts w:cs="Tahoma"/>
                <w:b/>
                <w:bCs/>
                <w:color w:val="000000"/>
                <w:spacing w:val="-4"/>
                <w:szCs w:val="20"/>
                <w:lang w:val="it-IT"/>
              </w:rPr>
              <w:t>Nota:</w:t>
            </w:r>
            <w:r w:rsidRPr="003F471F">
              <w:rPr>
                <w:rFonts w:cs="Tahoma"/>
                <w:color w:val="000000"/>
                <w:spacing w:val="-4"/>
                <w:szCs w:val="20"/>
                <w:lang w:val="it-IT"/>
              </w:rPr>
              <w:t xml:space="preserve"> Le società in possesso del Contratto Campus o School non sono idonee a scegliere prodotti applicativi, di sistema, con Licenza “Subscription” (utente/dispositivo) e CAL solo per una parte dei PC inclusi nella sottoscrizione, </w:t>
            </w:r>
            <w:r w:rsidRPr="003F471F">
              <w:rPr>
                <w:rFonts w:cs="Tahoma"/>
                <w:color w:val="000000"/>
                <w:spacing w:val="-4"/>
                <w:szCs w:val="18"/>
                <w:lang w:val="it-IT"/>
              </w:rPr>
              <w:t>se</w:t>
            </w:r>
            <w:r w:rsidR="001F7D7B" w:rsidRPr="003F471F">
              <w:rPr>
                <w:rFonts w:cs="Tahoma"/>
                <w:color w:val="000000"/>
                <w:spacing w:val="-4"/>
                <w:szCs w:val="18"/>
                <w:lang w:val="it-IT"/>
              </w:rPr>
              <w:t> </w:t>
            </w:r>
            <w:r w:rsidRPr="003F471F">
              <w:rPr>
                <w:rFonts w:cs="Tahoma"/>
                <w:color w:val="000000"/>
                <w:spacing w:val="-4"/>
                <w:szCs w:val="18"/>
                <w:lang w:val="it-IT"/>
              </w:rPr>
              <w:t>non dichiarato espressamente nelle Note relative alle Condizioni del Prodotto contenute nella Lista dei Prodotti</w:t>
            </w:r>
            <w:r w:rsidRPr="003F471F">
              <w:rPr>
                <w:rFonts w:cs="Tahoma"/>
                <w:color w:val="000000"/>
                <w:spacing w:val="-4"/>
                <w:szCs w:val="20"/>
                <w:lang w:val="it-IT"/>
              </w:rPr>
              <w:t>. Ad esempio, qualora la sottoscrizione comprenda la totalità dei PC, i prodotti applicativi, di sistema, con Licenza “Subscription” (utente/dispositivo) e CAL selezionati riguarderanno tutti i PC, anche nel caso in cui un particolare prodotto venga eseguito su un solo componente di tali PC.</w:t>
            </w:r>
          </w:p>
          <w:p w14:paraId="62D2B3C5" w14:textId="77777777" w:rsidR="009D5C93" w:rsidRPr="003F471F" w:rsidRDefault="009D5C93" w:rsidP="00230E01">
            <w:pPr>
              <w:tabs>
                <w:tab w:val="left" w:pos="8640"/>
              </w:tabs>
              <w:ind w:right="720"/>
              <w:rPr>
                <w:sz w:val="16"/>
                <w:szCs w:val="16"/>
                <w:lang w:val="it-IT"/>
              </w:rPr>
            </w:pPr>
          </w:p>
          <w:p w14:paraId="48477C5C" w14:textId="77777777" w:rsidR="00230E01" w:rsidRPr="003F471F" w:rsidRDefault="00312D72" w:rsidP="00230E01">
            <w:pPr>
              <w:tabs>
                <w:tab w:val="left" w:pos="8640"/>
              </w:tabs>
              <w:ind w:right="720"/>
              <w:rPr>
                <w:lang w:val="it-IT"/>
              </w:rPr>
            </w:pPr>
            <w:r w:rsidRPr="003F471F">
              <w:rPr>
                <w:rFonts w:cs="Tahoma"/>
                <w:b/>
                <w:bCs/>
                <w:color w:val="000000"/>
                <w:szCs w:val="18"/>
                <w:lang w:val="it-IT"/>
              </w:rPr>
              <w:t xml:space="preserve">Nota: Licenza Office 365 ProPlus Studente gratuita con copertura docente/non docente - </w:t>
            </w:r>
            <w:r w:rsidRPr="003F471F">
              <w:rPr>
                <w:rFonts w:cs="Tahoma"/>
                <w:szCs w:val="18"/>
                <w:lang w:val="it-IT"/>
              </w:rPr>
              <w:t>A condizione che l</w:t>
            </w:r>
            <w:r w:rsidR="001C4212" w:rsidRPr="003F471F">
              <w:rPr>
                <w:rFonts w:cs="Tahoma"/>
                <w:szCs w:val="18"/>
                <w:lang w:val="it-IT"/>
              </w:rPr>
              <w:t>’</w:t>
            </w:r>
            <w:r w:rsidRPr="003F471F">
              <w:rPr>
                <w:rFonts w:cs="Tahoma"/>
                <w:szCs w:val="18"/>
                <w:lang w:val="it-IT"/>
              </w:rPr>
              <w:t>Istituto sia in possesso di una licenza Office Professional Plus o Office 365 ProPlus per tutto il personale docente e non docente all</w:t>
            </w:r>
            <w:r w:rsidR="001C4212" w:rsidRPr="003F471F">
              <w:rPr>
                <w:rFonts w:cs="Tahoma"/>
                <w:szCs w:val="18"/>
                <w:lang w:val="it-IT"/>
              </w:rPr>
              <w:t>’</w:t>
            </w:r>
            <w:r w:rsidRPr="003F471F">
              <w:rPr>
                <w:rFonts w:cs="Tahoma"/>
                <w:szCs w:val="18"/>
                <w:lang w:val="it-IT"/>
              </w:rPr>
              <w:t>interno dell</w:t>
            </w:r>
            <w:r w:rsidR="001C4212" w:rsidRPr="003F471F">
              <w:rPr>
                <w:rFonts w:cs="Tahoma"/>
                <w:szCs w:val="18"/>
                <w:lang w:val="it-IT"/>
              </w:rPr>
              <w:t>’</w:t>
            </w:r>
            <w:r w:rsidRPr="003F471F">
              <w:rPr>
                <w:rFonts w:cs="Tahoma"/>
                <w:szCs w:val="18"/>
                <w:lang w:val="it-IT"/>
              </w:rPr>
              <w:t>Organizzazione definita, lo stesso Istituto ha la facoltà di acquistare licenze per Office 365 ProPlus per tutti</w:t>
            </w:r>
            <w:r w:rsidR="006D5B9E" w:rsidRPr="003F471F">
              <w:rPr>
                <w:rFonts w:cs="Tahoma"/>
                <w:szCs w:val="18"/>
                <w:lang w:val="it-IT"/>
              </w:rPr>
              <w:t> </w:t>
            </w:r>
            <w:r w:rsidRPr="003F471F">
              <w:rPr>
                <w:rFonts w:cs="Tahoma"/>
                <w:szCs w:val="18"/>
                <w:lang w:val="it-IT"/>
              </w:rPr>
              <w:t>gli</w:t>
            </w:r>
            <w:r w:rsidR="006D5B9E" w:rsidRPr="003F471F">
              <w:rPr>
                <w:rFonts w:cs="Tahoma"/>
                <w:szCs w:val="18"/>
                <w:lang w:val="it-IT"/>
              </w:rPr>
              <w:t> </w:t>
            </w:r>
            <w:r w:rsidRPr="003F471F">
              <w:rPr>
                <w:rFonts w:cs="Tahoma"/>
                <w:szCs w:val="18"/>
                <w:lang w:val="it-IT"/>
              </w:rPr>
              <w:t>studenti iscritti a qualunque istituto didattico facente parte dell</w:t>
            </w:r>
            <w:r w:rsidR="001C4212" w:rsidRPr="003F471F">
              <w:rPr>
                <w:rFonts w:cs="Tahoma"/>
                <w:szCs w:val="18"/>
                <w:lang w:val="it-IT"/>
              </w:rPr>
              <w:t>’</w:t>
            </w:r>
            <w:r w:rsidRPr="003F471F">
              <w:rPr>
                <w:rFonts w:cs="Tahoma"/>
                <w:szCs w:val="18"/>
                <w:lang w:val="it-IT"/>
              </w:rPr>
              <w:t>Organizzazione definita dell</w:t>
            </w:r>
            <w:r w:rsidR="001C4212" w:rsidRPr="003F471F">
              <w:rPr>
                <w:rFonts w:cs="Tahoma"/>
                <w:szCs w:val="18"/>
                <w:lang w:val="it-IT"/>
              </w:rPr>
              <w:t>’</w:t>
            </w:r>
            <w:r w:rsidRPr="003F471F">
              <w:rPr>
                <w:rFonts w:cs="Tahoma"/>
                <w:szCs w:val="18"/>
                <w:lang w:val="it-IT"/>
              </w:rPr>
              <w:t>Istituto, che siano a</w:t>
            </w:r>
            <w:r w:rsidR="00B114A3" w:rsidRPr="003F471F">
              <w:rPr>
                <w:rFonts w:cs="Tahoma"/>
                <w:szCs w:val="18"/>
                <w:lang w:val="it-IT"/>
              </w:rPr>
              <w:t> </w:t>
            </w:r>
            <w:r w:rsidRPr="003F471F">
              <w:rPr>
                <w:rFonts w:cs="Tahoma"/>
                <w:szCs w:val="18"/>
                <w:lang w:val="it-IT"/>
              </w:rPr>
              <w:t>tempo pieno o part-time, senza nessun costo aggiuntivo per l</w:t>
            </w:r>
            <w:r w:rsidR="001C4212" w:rsidRPr="003F471F">
              <w:rPr>
                <w:rFonts w:cs="Tahoma"/>
                <w:szCs w:val="18"/>
                <w:lang w:val="it-IT"/>
              </w:rPr>
              <w:t>’</w:t>
            </w:r>
            <w:r w:rsidRPr="003F471F">
              <w:rPr>
                <w:rFonts w:cs="Tahoma"/>
                <w:szCs w:val="18"/>
                <w:lang w:val="it-IT"/>
              </w:rPr>
              <w:t>Istituto.</w:t>
            </w:r>
          </w:p>
          <w:p w14:paraId="797AAF8F" w14:textId="77777777" w:rsidR="00312D72" w:rsidRPr="003F471F" w:rsidRDefault="00312D72" w:rsidP="00230E01">
            <w:pPr>
              <w:tabs>
                <w:tab w:val="left" w:pos="8640"/>
              </w:tabs>
              <w:ind w:right="720"/>
              <w:rPr>
                <w:rFonts w:cs="Tahoma"/>
                <w:color w:val="000000"/>
                <w:sz w:val="16"/>
                <w:szCs w:val="16"/>
                <w:lang w:val="it-IT" w:eastAsia="ja-JP"/>
              </w:rPr>
            </w:pPr>
          </w:p>
        </w:tc>
      </w:tr>
      <w:tr w:rsidR="00456002" w:rsidRPr="003F471F" w14:paraId="6C3D45C9" w14:textId="77777777" w:rsidTr="00782EDB">
        <w:tc>
          <w:tcPr>
            <w:tcW w:w="2232" w:type="dxa"/>
            <w:shd w:val="clear" w:color="auto" w:fill="auto"/>
          </w:tcPr>
          <w:p w14:paraId="15A34732" w14:textId="77777777" w:rsidR="00456002" w:rsidRPr="003F471F" w:rsidRDefault="00456002" w:rsidP="001F7D7B">
            <w:pPr>
              <w:pStyle w:val="AppendixBodyText"/>
              <w:spacing w:before="60"/>
              <w:ind w:right="182"/>
              <w:rPr>
                <w:rFonts w:ascii="Tahoma" w:hAnsi="Tahoma" w:cs="Tahoma"/>
                <w:b/>
                <w:color w:val="000000"/>
                <w:sz w:val="18"/>
                <w:szCs w:val="18"/>
                <w:lang w:val="it-IT" w:eastAsia="ja-JP"/>
              </w:rPr>
            </w:pPr>
            <w:r w:rsidRPr="003F471F">
              <w:rPr>
                <w:rFonts w:ascii="Tahoma" w:hAnsi="Tahoma" w:cs="Tahoma"/>
                <w:b/>
                <w:lang w:val="it-IT"/>
              </w:rPr>
              <w:t>Iscrizione Enterprise e</w:t>
            </w:r>
            <w:r w:rsidR="006D5B9E" w:rsidRPr="003F471F">
              <w:rPr>
                <w:rFonts w:ascii="Tahoma" w:hAnsi="Tahoma" w:cs="Tahoma"/>
                <w:b/>
                <w:lang w:val="it-IT"/>
              </w:rPr>
              <w:t> </w:t>
            </w:r>
            <w:r w:rsidRPr="003F471F">
              <w:rPr>
                <w:rFonts w:ascii="Tahoma" w:hAnsi="Tahoma" w:cs="Tahoma"/>
                <w:b/>
                <w:lang w:val="it-IT"/>
              </w:rPr>
              <w:t>Iscrizione Enterprise Subscription</w:t>
            </w:r>
          </w:p>
        </w:tc>
        <w:tc>
          <w:tcPr>
            <w:tcW w:w="7236" w:type="dxa"/>
            <w:shd w:val="clear" w:color="auto" w:fill="auto"/>
          </w:tcPr>
          <w:p w14:paraId="33EF008A" w14:textId="77777777" w:rsidR="00456002" w:rsidRPr="003F471F" w:rsidRDefault="00456002" w:rsidP="00A70464">
            <w:pPr>
              <w:spacing w:before="60"/>
              <w:rPr>
                <w:lang w:val="it-IT"/>
              </w:rPr>
            </w:pPr>
            <w:r w:rsidRPr="003F471F">
              <w:rPr>
                <w:lang w:val="it-IT"/>
              </w:rPr>
              <w:t>Il Contratto Enterprise (EA) e il Contratto Enterprise Subscription (ESA) richiedono almeno 250 Dispositivi/Desktop Qualificati o Utenti Qualificati.</w:t>
            </w:r>
          </w:p>
          <w:p w14:paraId="72F46A86" w14:textId="77777777" w:rsidR="006D5B9E" w:rsidRPr="003F471F" w:rsidRDefault="006D5B9E" w:rsidP="00A70464">
            <w:pPr>
              <w:rPr>
                <w:sz w:val="16"/>
                <w:szCs w:val="16"/>
                <w:lang w:val="it-IT"/>
              </w:rPr>
            </w:pPr>
          </w:p>
          <w:p w14:paraId="25A77FF5" w14:textId="77777777" w:rsidR="0091793D" w:rsidRPr="003F471F" w:rsidRDefault="0091793D" w:rsidP="004B6D8C">
            <w:pPr>
              <w:spacing w:after="60"/>
              <w:rPr>
                <w:lang w:val="it-IT"/>
              </w:rPr>
            </w:pPr>
            <w:r w:rsidRPr="003F471F">
              <w:rPr>
                <w:b/>
                <w:lang w:val="it-IT"/>
              </w:rPr>
              <w:t>Dispositivi/Desktop Qualificati</w:t>
            </w:r>
          </w:p>
          <w:p w14:paraId="25E4956D" w14:textId="77777777" w:rsidR="0091793D" w:rsidRPr="003F471F" w:rsidRDefault="0091793D" w:rsidP="00003D41">
            <w:pPr>
              <w:rPr>
                <w:lang w:val="it-IT"/>
              </w:rPr>
            </w:pPr>
            <w:bookmarkStart w:id="603" w:name="_Toc323159729"/>
            <w:bookmarkStart w:id="604" w:name="_Toc325313134"/>
            <w:bookmarkStart w:id="605" w:name="_Toc325609169"/>
            <w:r w:rsidRPr="003F471F">
              <w:rPr>
                <w:lang w:val="it-IT"/>
              </w:rPr>
              <w:t xml:space="preserve">Nonostante quanto diversamente stabilito nel contratto multilicenza, i Dispositivi/Desktop Qualificati non includono </w:t>
            </w:r>
            <w:r w:rsidRPr="003F471F">
              <w:rPr>
                <w:iCs/>
                <w:lang w:val="it-IT"/>
              </w:rPr>
              <w:t>dispositivi di terzi qualificanti</w:t>
            </w:r>
            <w:r w:rsidRPr="003F471F">
              <w:rPr>
                <w:lang w:val="it-IT"/>
              </w:rPr>
              <w:t xml:space="preserve"> tramite i quali gli utenti possono accedere e utilizzare il software esclusivamente ai sensi dei Diritti di Utilizzo del Roaming applicabili a:</w:t>
            </w:r>
            <w:bookmarkEnd w:id="603"/>
            <w:bookmarkEnd w:id="604"/>
            <w:bookmarkEnd w:id="605"/>
          </w:p>
          <w:p w14:paraId="4D452BA5" w14:textId="77777777" w:rsidR="00456002" w:rsidRPr="003F471F" w:rsidRDefault="00456002" w:rsidP="00A70464">
            <w:pPr>
              <w:rPr>
                <w:lang w:val="it-IT"/>
              </w:rPr>
            </w:pPr>
          </w:p>
          <w:p w14:paraId="71A849DB" w14:textId="77777777" w:rsidR="00406CB0" w:rsidRPr="0058047D" w:rsidRDefault="00456002" w:rsidP="00346F4B">
            <w:pPr>
              <w:numPr>
                <w:ilvl w:val="0"/>
                <w:numId w:val="64"/>
              </w:numPr>
              <w:spacing w:after="60"/>
            </w:pPr>
            <w:r w:rsidRPr="0058047D">
              <w:t xml:space="preserve">Windows Software Assurance, </w:t>
            </w:r>
          </w:p>
          <w:p w14:paraId="60264C7E" w14:textId="77777777" w:rsidR="00456002" w:rsidRPr="0058047D" w:rsidRDefault="00456002" w:rsidP="00346F4B">
            <w:pPr>
              <w:numPr>
                <w:ilvl w:val="0"/>
                <w:numId w:val="64"/>
              </w:numPr>
              <w:spacing w:after="60"/>
            </w:pPr>
            <w:r w:rsidRPr="0058047D">
              <w:t xml:space="preserve">Windows Virtual Desktop Access, </w:t>
            </w:r>
          </w:p>
          <w:p w14:paraId="38517A61" w14:textId="77777777" w:rsidR="00456002" w:rsidRPr="0058047D" w:rsidRDefault="00456002" w:rsidP="00346F4B">
            <w:pPr>
              <w:numPr>
                <w:ilvl w:val="0"/>
                <w:numId w:val="64"/>
              </w:numPr>
              <w:spacing w:after="60"/>
            </w:pPr>
            <w:r w:rsidRPr="0058047D">
              <w:t xml:space="preserve">Virtual Desktop Infrastructure Suite, </w:t>
            </w:r>
          </w:p>
          <w:p w14:paraId="28D0B7B4" w14:textId="77777777" w:rsidR="00456002" w:rsidRPr="0058047D" w:rsidRDefault="00456002" w:rsidP="00346F4B">
            <w:pPr>
              <w:numPr>
                <w:ilvl w:val="0"/>
                <w:numId w:val="64"/>
              </w:numPr>
              <w:spacing w:after="60"/>
            </w:pPr>
            <w:r w:rsidRPr="0058047D">
              <w:t xml:space="preserve">MDOP per Software Assurance e </w:t>
            </w:r>
          </w:p>
          <w:p w14:paraId="6A242D69" w14:textId="77777777" w:rsidR="00456002" w:rsidRPr="003F471F" w:rsidRDefault="00456002" w:rsidP="00346F4B">
            <w:pPr>
              <w:numPr>
                <w:ilvl w:val="0"/>
                <w:numId w:val="64"/>
              </w:numPr>
              <w:spacing w:after="60"/>
              <w:rPr>
                <w:lang w:val="it-IT"/>
              </w:rPr>
            </w:pPr>
            <w:r w:rsidRPr="003F471F">
              <w:rPr>
                <w:lang w:val="it-IT"/>
              </w:rPr>
              <w:t>Software Assurance per tutte le versioni di Office, Project e Visio che includono i Diritti di Utilizzo Roaming.</w:t>
            </w:r>
            <w:r w:rsidR="00E34ED3" w:rsidRPr="003F471F">
              <w:rPr>
                <w:lang w:val="it-IT"/>
              </w:rPr>
              <w:t xml:space="preserve"> </w:t>
            </w:r>
          </w:p>
          <w:p w14:paraId="08EEF7C1" w14:textId="77777777" w:rsidR="00456002" w:rsidRPr="003F471F" w:rsidRDefault="00456002" w:rsidP="00A70464">
            <w:pPr>
              <w:rPr>
                <w:lang w:val="it-IT"/>
              </w:rPr>
            </w:pPr>
          </w:p>
          <w:p w14:paraId="52A35C16" w14:textId="77777777" w:rsidR="00456002" w:rsidRPr="003F471F" w:rsidRDefault="00456002" w:rsidP="00003D41">
            <w:pPr>
              <w:rPr>
                <w:lang w:val="it-IT"/>
              </w:rPr>
            </w:pPr>
            <w:bookmarkStart w:id="606" w:name="_Toc323159730"/>
            <w:bookmarkStart w:id="607" w:name="_Toc325313135"/>
            <w:bookmarkStart w:id="608" w:name="_Toc325609170"/>
            <w:r w:rsidRPr="003F471F">
              <w:rPr>
                <w:lang w:val="it-IT"/>
              </w:rPr>
              <w:t>Un “dispositivo di terzi qualificante” è un dispositivo non controllato, direttamente o</w:t>
            </w:r>
            <w:r w:rsidR="002C23E5" w:rsidRPr="003F471F">
              <w:rPr>
                <w:lang w:val="it-IT"/>
              </w:rPr>
              <w:t> </w:t>
            </w:r>
            <w:r w:rsidRPr="003F471F">
              <w:rPr>
                <w:lang w:val="it-IT"/>
              </w:rPr>
              <w:t>indirettamente, dal licenziatario o dalle sue consociate (ad esempio un chiosco pubblico di terzi). Per ulteriori informazioni, vedere i Diritti di Utilizzo del Prodotto.</w:t>
            </w:r>
            <w:bookmarkEnd w:id="606"/>
            <w:bookmarkEnd w:id="607"/>
            <w:bookmarkEnd w:id="608"/>
          </w:p>
          <w:p w14:paraId="6010A1F0" w14:textId="77777777" w:rsidR="00456002" w:rsidRPr="003F471F" w:rsidRDefault="00456002" w:rsidP="00E64551">
            <w:pPr>
              <w:pStyle w:val="Heading3"/>
              <w:ind w:left="70"/>
              <w:rPr>
                <w:rFonts w:ascii="Tahoma" w:hAnsi="Tahoma" w:cs="Tahoma"/>
                <w:b w:val="0"/>
                <w:sz w:val="18"/>
                <w:szCs w:val="18"/>
                <w:lang w:val="it-IT"/>
              </w:rPr>
            </w:pPr>
          </w:p>
          <w:p w14:paraId="79216E3E" w14:textId="77777777" w:rsidR="0091793D" w:rsidRPr="003F471F" w:rsidRDefault="0091793D" w:rsidP="004B6D8C">
            <w:pPr>
              <w:spacing w:after="60"/>
              <w:rPr>
                <w:lang w:val="it-IT"/>
              </w:rPr>
            </w:pPr>
            <w:r w:rsidRPr="003F471F">
              <w:rPr>
                <w:b/>
                <w:lang w:val="it-IT"/>
              </w:rPr>
              <w:t xml:space="preserve">Esenzioni degli Utenti Qualificati </w:t>
            </w:r>
          </w:p>
          <w:p w14:paraId="128F3C9C" w14:textId="77777777" w:rsidR="00456002" w:rsidRPr="003F471F" w:rsidRDefault="00456002" w:rsidP="004B6D8C">
            <w:pPr>
              <w:pStyle w:val="AppendixBodyText"/>
              <w:ind w:right="720"/>
              <w:rPr>
                <w:lang w:val="it-IT"/>
              </w:rPr>
            </w:pPr>
            <w:r w:rsidRPr="003F471F">
              <w:rPr>
                <w:rFonts w:ascii="Tahoma" w:hAnsi="Tahoma" w:cs="Tahoma"/>
                <w:sz w:val="18"/>
                <w:lang w:val="it-IT"/>
              </w:rPr>
              <w:t>Una persona che accede al software server o ai servizi online unicamente con le licenze identificate nel seguente elenco viene esentata dall</w:t>
            </w:r>
            <w:r w:rsidR="001C4212" w:rsidRPr="003F471F">
              <w:rPr>
                <w:rFonts w:ascii="Tahoma" w:hAnsi="Tahoma" w:cs="Tahoma"/>
                <w:sz w:val="18"/>
                <w:lang w:val="it-IT"/>
              </w:rPr>
              <w:t>’</w:t>
            </w:r>
            <w:r w:rsidRPr="003F471F">
              <w:rPr>
                <w:rFonts w:ascii="Tahoma" w:hAnsi="Tahoma" w:cs="Tahoma"/>
                <w:sz w:val="18"/>
                <w:lang w:val="it-IT"/>
              </w:rPr>
              <w:t>essere conteggiata come Utente Qualificato:</w:t>
            </w:r>
          </w:p>
          <w:p w14:paraId="1C14D85C" w14:textId="77777777" w:rsidR="00456002" w:rsidRPr="003F471F" w:rsidRDefault="00456002" w:rsidP="00A70464">
            <w:pPr>
              <w:pStyle w:val="AppendixBodyText"/>
              <w:spacing w:after="0"/>
              <w:ind w:right="720"/>
              <w:rPr>
                <w:lang w:val="it-IT"/>
              </w:rPr>
            </w:pPr>
          </w:p>
          <w:p w14:paraId="66BCF0ED" w14:textId="77777777" w:rsidR="00456002" w:rsidRPr="003F471F" w:rsidRDefault="00456002" w:rsidP="00346F4B">
            <w:pPr>
              <w:numPr>
                <w:ilvl w:val="0"/>
                <w:numId w:val="64"/>
              </w:numPr>
              <w:spacing w:after="60"/>
              <w:rPr>
                <w:lang w:val="it-IT"/>
              </w:rPr>
            </w:pPr>
            <w:r w:rsidRPr="003F471F">
              <w:rPr>
                <w:lang w:val="it-IT"/>
              </w:rPr>
              <w:t>Licenza “Subscription” Utente (USL) per Office 365 Enterprise K1</w:t>
            </w:r>
          </w:p>
          <w:p w14:paraId="79739414" w14:textId="77777777" w:rsidR="00456002" w:rsidRPr="0058047D" w:rsidRDefault="00456002" w:rsidP="00346F4B">
            <w:pPr>
              <w:numPr>
                <w:ilvl w:val="0"/>
                <w:numId w:val="64"/>
              </w:numPr>
              <w:spacing w:after="60"/>
            </w:pPr>
            <w:r w:rsidRPr="0058047D">
              <w:t>USL Chiosco SharePoint</w:t>
            </w:r>
          </w:p>
          <w:p w14:paraId="6204B741" w14:textId="77777777" w:rsidR="00456002" w:rsidRPr="0058047D" w:rsidRDefault="00456002" w:rsidP="00346F4B">
            <w:pPr>
              <w:numPr>
                <w:ilvl w:val="0"/>
                <w:numId w:val="64"/>
              </w:numPr>
              <w:spacing w:after="60"/>
            </w:pPr>
            <w:r w:rsidRPr="0058047D">
              <w:t>USL Chiosco Exchange Online</w:t>
            </w:r>
          </w:p>
          <w:p w14:paraId="69F71958" w14:textId="77777777" w:rsidR="00456002" w:rsidRPr="003F471F" w:rsidRDefault="00456002" w:rsidP="00346F4B">
            <w:pPr>
              <w:numPr>
                <w:ilvl w:val="0"/>
                <w:numId w:val="64"/>
              </w:numPr>
              <w:spacing w:after="60"/>
              <w:rPr>
                <w:lang w:val="it-IT"/>
              </w:rPr>
            </w:pPr>
            <w:r w:rsidRPr="003F471F">
              <w:rPr>
                <w:lang w:val="it-IT"/>
              </w:rPr>
              <w:t>Le licenze per i prodotti software server o i servizi online che non richiedono licenze individuali per gli utenti o i dispositivi che accedono a</w:t>
            </w:r>
            <w:r w:rsidR="006D5B9E" w:rsidRPr="003F471F">
              <w:rPr>
                <w:lang w:val="it-IT"/>
              </w:rPr>
              <w:t> </w:t>
            </w:r>
            <w:r w:rsidRPr="003F471F">
              <w:rPr>
                <w:lang w:val="it-IT"/>
              </w:rPr>
              <w:t>tali</w:t>
            </w:r>
            <w:r w:rsidR="006D5B9E" w:rsidRPr="003F471F">
              <w:rPr>
                <w:lang w:val="it-IT"/>
              </w:rPr>
              <w:t> </w:t>
            </w:r>
            <w:r w:rsidRPr="003F471F">
              <w:rPr>
                <w:lang w:val="it-IT"/>
              </w:rPr>
              <w:t>prodotti o servizi online (come le Client Access License, le Licenze di</w:t>
            </w:r>
            <w:r w:rsidR="006D5B9E" w:rsidRPr="003F471F">
              <w:rPr>
                <w:lang w:val="it-IT"/>
              </w:rPr>
              <w:t> </w:t>
            </w:r>
            <w:r w:rsidRPr="003F471F">
              <w:rPr>
                <w:lang w:val="it-IT"/>
              </w:rPr>
              <w:t>Gestione Client, nonché le licenz</w:t>
            </w:r>
            <w:r w:rsidR="008E10CD" w:rsidRPr="003F471F">
              <w:rPr>
                <w:lang w:val="it-IT"/>
              </w:rPr>
              <w:t>e USL e DSL)</w:t>
            </w:r>
          </w:p>
          <w:p w14:paraId="479431EA" w14:textId="77777777" w:rsidR="00456002" w:rsidRPr="0058047D" w:rsidRDefault="00456002" w:rsidP="00346F4B">
            <w:pPr>
              <w:numPr>
                <w:ilvl w:val="0"/>
                <w:numId w:val="64"/>
              </w:numPr>
              <w:spacing w:after="60"/>
            </w:pPr>
            <w:r w:rsidRPr="0058047D">
              <w:t>Qualunque Licenza External Connector</w:t>
            </w:r>
          </w:p>
          <w:p w14:paraId="1B4BBBE5" w14:textId="77777777" w:rsidR="00456002" w:rsidRPr="0058047D" w:rsidRDefault="00456002" w:rsidP="00A70464">
            <w:pPr>
              <w:pStyle w:val="AppendixBodyText"/>
              <w:spacing w:after="0"/>
              <w:ind w:right="720"/>
            </w:pPr>
          </w:p>
          <w:p w14:paraId="43740A85" w14:textId="77777777" w:rsidR="00456002" w:rsidRPr="003F471F" w:rsidRDefault="00456002" w:rsidP="00230E01">
            <w:pPr>
              <w:pStyle w:val="AppendixBodyText"/>
              <w:spacing w:after="0"/>
              <w:ind w:right="720"/>
              <w:rPr>
                <w:lang w:val="it-IT"/>
              </w:rPr>
            </w:pPr>
            <w:r w:rsidRPr="003F471F">
              <w:rPr>
                <w:rFonts w:ascii="Tahoma" w:hAnsi="Tahoma" w:cs="Tahoma"/>
                <w:sz w:val="18"/>
                <w:lang w:val="it-IT"/>
              </w:rPr>
              <w:t>Queste esenzioni per gli Utenti Qualificati si applicano a tutte le società che abbiano stipulato contratti EA ed ESA, indipendentemente dal fatto che le esenzioni per gli Utenti Qualificati siano contemplate o meno nelle condizioni dei contratti delle società.</w:t>
            </w:r>
          </w:p>
          <w:p w14:paraId="55C47159" w14:textId="77777777" w:rsidR="00230E01" w:rsidRPr="003F471F" w:rsidRDefault="00230E01" w:rsidP="00230E01">
            <w:pPr>
              <w:pStyle w:val="AppendixBodyText"/>
              <w:spacing w:after="0"/>
              <w:ind w:right="720"/>
              <w:rPr>
                <w:rFonts w:ascii="Tahoma" w:hAnsi="Tahoma" w:cs="Tahoma"/>
                <w:sz w:val="18"/>
                <w:lang w:val="it-IT" w:eastAsia="ja-JP"/>
              </w:rPr>
            </w:pPr>
          </w:p>
        </w:tc>
      </w:tr>
      <w:tr w:rsidR="00456002" w:rsidRPr="003F471F" w14:paraId="0773485E" w14:textId="77777777" w:rsidTr="00782EDB">
        <w:tc>
          <w:tcPr>
            <w:tcW w:w="2232" w:type="dxa"/>
            <w:shd w:val="clear" w:color="auto" w:fill="auto"/>
          </w:tcPr>
          <w:p w14:paraId="05AB23CA" w14:textId="77777777" w:rsidR="00456002" w:rsidRPr="0058047D" w:rsidRDefault="00B215EA" w:rsidP="001F7D7B">
            <w:pPr>
              <w:pStyle w:val="AppendixBodyText"/>
              <w:spacing w:before="60"/>
              <w:ind w:right="182"/>
              <w:rPr>
                <w:rFonts w:ascii="Tahoma" w:hAnsi="Tahoma" w:cs="Tahoma"/>
                <w:b/>
                <w:lang w:eastAsia="ja-JP"/>
              </w:rPr>
            </w:pPr>
            <w:r w:rsidRPr="0058047D">
              <w:rPr>
                <w:rFonts w:ascii="Tahoma" w:hAnsi="Tahoma" w:cs="Tahoma"/>
                <w:b/>
                <w:color w:val="000000"/>
                <w:szCs w:val="18"/>
              </w:rPr>
              <w:t>Enrollment for Education Solutions (EES)</w:t>
            </w:r>
          </w:p>
        </w:tc>
        <w:tc>
          <w:tcPr>
            <w:tcW w:w="7236" w:type="dxa"/>
            <w:shd w:val="clear" w:color="auto" w:fill="auto"/>
          </w:tcPr>
          <w:p w14:paraId="1188A1ED" w14:textId="77777777" w:rsidR="00456002" w:rsidRPr="003F471F" w:rsidRDefault="00456002" w:rsidP="00A70464">
            <w:pPr>
              <w:pStyle w:val="ListParagraph"/>
              <w:spacing w:before="60"/>
              <w:ind w:left="0"/>
              <w:contextualSpacing w:val="0"/>
              <w:rPr>
                <w:lang w:val="it-IT"/>
              </w:rPr>
            </w:pPr>
            <w:r w:rsidRPr="003F471F">
              <w:rPr>
                <w:rFonts w:ascii="Tahoma" w:hAnsi="Tahoma" w:cs="Tahoma"/>
                <w:sz w:val="18"/>
                <w:szCs w:val="18"/>
                <w:lang w:val="it-IT"/>
              </w:rPr>
              <w:t>EES richiede un ordine minimo, come specificato di seguito:</w:t>
            </w:r>
            <w:r w:rsidR="00E34ED3" w:rsidRPr="003F471F">
              <w:rPr>
                <w:rFonts w:ascii="Tahoma" w:hAnsi="Tahoma" w:cs="Tahoma"/>
                <w:sz w:val="18"/>
                <w:szCs w:val="18"/>
                <w:lang w:val="it-IT"/>
              </w:rPr>
              <w:t xml:space="preserve"> </w:t>
            </w:r>
          </w:p>
          <w:p w14:paraId="41B8B4A6" w14:textId="77777777" w:rsidR="00406CB0" w:rsidRPr="003F471F" w:rsidRDefault="00406CB0" w:rsidP="00A70464">
            <w:pPr>
              <w:pStyle w:val="ListParagraph"/>
              <w:ind w:left="0"/>
              <w:contextualSpacing w:val="0"/>
              <w:rPr>
                <w:rFonts w:ascii="Tahoma" w:hAnsi="Tahoma" w:cs="Tahoma"/>
                <w:sz w:val="18"/>
                <w:szCs w:val="18"/>
                <w:lang w:val="it-IT"/>
              </w:rPr>
            </w:pPr>
          </w:p>
          <w:p w14:paraId="65F71CF1" w14:textId="77777777" w:rsidR="00456002" w:rsidRPr="003F471F" w:rsidRDefault="00456002" w:rsidP="00346F4B">
            <w:pPr>
              <w:numPr>
                <w:ilvl w:val="0"/>
                <w:numId w:val="64"/>
              </w:numPr>
              <w:spacing w:after="60"/>
              <w:rPr>
                <w:lang w:val="it-IT"/>
              </w:rPr>
            </w:pPr>
            <w:r w:rsidRPr="003F471F">
              <w:rPr>
                <w:lang w:val="it-IT"/>
              </w:rPr>
              <w:t>almeno un Prodotto della Piattaforma Desktop per un Numero dell</w:t>
            </w:r>
            <w:r w:rsidR="001C4212" w:rsidRPr="003F471F">
              <w:rPr>
                <w:lang w:val="it-IT"/>
              </w:rPr>
              <w:t>’</w:t>
            </w:r>
            <w:r w:rsidRPr="003F471F">
              <w:rPr>
                <w:lang w:val="it-IT"/>
              </w:rPr>
              <w:t>intera organizzazione di almeno 1000 O</w:t>
            </w:r>
          </w:p>
          <w:p w14:paraId="541E452E" w14:textId="77777777" w:rsidR="00456002" w:rsidRPr="003F471F" w:rsidRDefault="00456002" w:rsidP="00346F4B">
            <w:pPr>
              <w:numPr>
                <w:ilvl w:val="0"/>
                <w:numId w:val="64"/>
              </w:numPr>
              <w:spacing w:after="60"/>
              <w:rPr>
                <w:lang w:val="it-IT"/>
              </w:rPr>
            </w:pPr>
            <w:r w:rsidRPr="003F471F">
              <w:rPr>
                <w:lang w:val="it-IT"/>
              </w:rPr>
              <w:t>almeno un Servizio Online della Piattaforma per il Personale Docente/Non Docente su una quantità di 1000 O</w:t>
            </w:r>
          </w:p>
          <w:p w14:paraId="2850EAAD" w14:textId="77777777" w:rsidR="00456002" w:rsidRPr="003F471F" w:rsidRDefault="00456002" w:rsidP="00346F4B">
            <w:pPr>
              <w:numPr>
                <w:ilvl w:val="0"/>
                <w:numId w:val="64"/>
              </w:numPr>
              <w:spacing w:after="60"/>
              <w:rPr>
                <w:lang w:val="it-IT"/>
              </w:rPr>
            </w:pPr>
            <w:r w:rsidRPr="003F471F">
              <w:rPr>
                <w:lang w:val="it-IT"/>
              </w:rPr>
              <w:t>almeno un Prodotto della Piattaforma Desktop per un Numero degli Studenti di</w:t>
            </w:r>
            <w:r w:rsidR="00B114A3" w:rsidRPr="003F471F">
              <w:rPr>
                <w:lang w:val="it-IT"/>
              </w:rPr>
              <w:t> </w:t>
            </w:r>
            <w:r w:rsidRPr="003F471F">
              <w:rPr>
                <w:lang w:val="it-IT"/>
              </w:rPr>
              <w:t>almeno 1000 O</w:t>
            </w:r>
          </w:p>
          <w:p w14:paraId="4347B714" w14:textId="77777777" w:rsidR="00456002" w:rsidRPr="003F471F" w:rsidRDefault="00456002" w:rsidP="00346F4B">
            <w:pPr>
              <w:numPr>
                <w:ilvl w:val="0"/>
                <w:numId w:val="64"/>
              </w:numPr>
              <w:spacing w:after="60"/>
              <w:rPr>
                <w:spacing w:val="4"/>
                <w:lang w:val="it-IT"/>
              </w:rPr>
            </w:pPr>
            <w:r w:rsidRPr="003F471F">
              <w:rPr>
                <w:spacing w:val="4"/>
                <w:lang w:val="it-IT"/>
              </w:rPr>
              <w:t>almeno un Servizio Online della Piattaforma per gli Studenti su una quantità di</w:t>
            </w:r>
            <w:r w:rsidR="00B114A3" w:rsidRPr="003F471F">
              <w:rPr>
                <w:spacing w:val="4"/>
                <w:lang w:val="it-IT"/>
              </w:rPr>
              <w:t> </w:t>
            </w:r>
            <w:r w:rsidRPr="003F471F">
              <w:rPr>
                <w:spacing w:val="4"/>
                <w:lang w:val="it-IT"/>
              </w:rPr>
              <w:t xml:space="preserve">1000 O </w:t>
            </w:r>
          </w:p>
          <w:p w14:paraId="31475801" w14:textId="77777777" w:rsidR="00456002" w:rsidRPr="003F471F" w:rsidRDefault="00456002" w:rsidP="00A70464">
            <w:pPr>
              <w:rPr>
                <w:lang w:val="it-IT"/>
              </w:rPr>
            </w:pPr>
          </w:p>
          <w:p w14:paraId="1907DAC2" w14:textId="77777777" w:rsidR="00A9013C" w:rsidRPr="003F471F" w:rsidRDefault="00456002" w:rsidP="005C647E">
            <w:pPr>
              <w:rPr>
                <w:lang w:val="it-IT"/>
              </w:rPr>
            </w:pPr>
            <w:r w:rsidRPr="003F471F">
              <w:rPr>
                <w:rFonts w:cs="Tahoma"/>
                <w:b/>
                <w:color w:val="000000"/>
                <w:szCs w:val="18"/>
                <w:lang w:val="it-IT"/>
              </w:rPr>
              <w:t>Nota:</w:t>
            </w:r>
            <w:r w:rsidRPr="003F471F">
              <w:rPr>
                <w:rFonts w:cs="Tahoma"/>
                <w:color w:val="000000"/>
                <w:szCs w:val="18"/>
                <w:lang w:val="it-IT"/>
              </w:rPr>
              <w:t xml:space="preserve"> è possibile ignorare il requisito di quantità per l</w:t>
            </w:r>
            <w:r w:rsidR="001C4212" w:rsidRPr="003F471F">
              <w:rPr>
                <w:rFonts w:cs="Tahoma"/>
                <w:color w:val="000000"/>
                <w:szCs w:val="18"/>
                <w:lang w:val="it-IT"/>
              </w:rPr>
              <w:t>’</w:t>
            </w:r>
            <w:r w:rsidRPr="003F471F">
              <w:rPr>
                <w:rFonts w:cs="Tahoma"/>
                <w:color w:val="000000"/>
                <w:szCs w:val="18"/>
                <w:lang w:val="it-IT"/>
              </w:rPr>
              <w:t>ordine nel caso in cui venga fornita un</w:t>
            </w:r>
            <w:r w:rsidR="001C4212" w:rsidRPr="003F471F">
              <w:rPr>
                <w:rFonts w:cs="Tahoma"/>
                <w:color w:val="000000"/>
                <w:szCs w:val="18"/>
                <w:lang w:val="it-IT"/>
              </w:rPr>
              <w:t>’</w:t>
            </w:r>
            <w:r w:rsidRPr="003F471F">
              <w:rPr>
                <w:rFonts w:cs="Tahoma"/>
                <w:color w:val="000000"/>
                <w:szCs w:val="18"/>
                <w:lang w:val="it-IT"/>
              </w:rPr>
              <w:t>iscrizione qualificante.</w:t>
            </w:r>
          </w:p>
          <w:p w14:paraId="5D600763" w14:textId="77777777" w:rsidR="00406CB0" w:rsidRPr="003F471F" w:rsidRDefault="00406CB0" w:rsidP="005C647E">
            <w:pPr>
              <w:rPr>
                <w:lang w:val="it-IT"/>
              </w:rPr>
            </w:pPr>
          </w:p>
          <w:p w14:paraId="480842AC" w14:textId="77777777" w:rsidR="006D5B9E" w:rsidRPr="003F471F" w:rsidRDefault="006D5B9E" w:rsidP="005C647E">
            <w:pPr>
              <w:rPr>
                <w:lang w:val="it-IT"/>
              </w:rPr>
            </w:pPr>
          </w:p>
          <w:p w14:paraId="7FF294ED" w14:textId="77777777" w:rsidR="00822871" w:rsidRPr="003F471F" w:rsidRDefault="00A9013C" w:rsidP="00230E01">
            <w:pPr>
              <w:rPr>
                <w:lang w:val="it-IT"/>
              </w:rPr>
            </w:pPr>
            <w:r w:rsidRPr="003F471F">
              <w:rPr>
                <w:rFonts w:cs="Tahoma"/>
                <w:b/>
                <w:color w:val="000000"/>
                <w:szCs w:val="18"/>
                <w:lang w:val="it-IT"/>
              </w:rPr>
              <w:t xml:space="preserve">Nota: </w:t>
            </w:r>
            <w:r w:rsidRPr="003F471F">
              <w:rPr>
                <w:rFonts w:cs="Tahoma"/>
                <w:color w:val="000000"/>
                <w:szCs w:val="18"/>
                <w:lang w:val="it-IT"/>
              </w:rPr>
              <w:t>le licenze CAL (Client Access License) acquistate ai sensi del contratto Enrollment for Education Solutions (EES) nell</w:t>
            </w:r>
            <w:r w:rsidR="001C4212" w:rsidRPr="003F471F">
              <w:rPr>
                <w:rFonts w:cs="Tahoma"/>
                <w:color w:val="000000"/>
                <w:szCs w:val="18"/>
                <w:lang w:val="it-IT"/>
              </w:rPr>
              <w:t>’</w:t>
            </w:r>
            <w:r w:rsidRPr="003F471F">
              <w:rPr>
                <w:rFonts w:cs="Tahoma"/>
                <w:color w:val="000000"/>
                <w:szCs w:val="18"/>
                <w:lang w:val="it-IT"/>
              </w:rPr>
              <w:t>opzione non per l</w:t>
            </w:r>
            <w:r w:rsidR="001C4212" w:rsidRPr="003F471F">
              <w:rPr>
                <w:rFonts w:cs="Tahoma"/>
                <w:color w:val="000000"/>
                <w:szCs w:val="18"/>
                <w:lang w:val="it-IT"/>
              </w:rPr>
              <w:t>’</w:t>
            </w:r>
            <w:r w:rsidRPr="003F471F">
              <w:rPr>
                <w:rFonts w:cs="Tahoma"/>
                <w:color w:val="000000"/>
                <w:szCs w:val="18"/>
                <w:lang w:val="it-IT"/>
              </w:rPr>
              <w:t>intera Organizzazione potranno essere cedute e utilizzate come licenze CAL per dispositivo o user CAL, a discrezione dell</w:t>
            </w:r>
            <w:r w:rsidR="001C4212" w:rsidRPr="003F471F">
              <w:rPr>
                <w:rFonts w:cs="Tahoma"/>
                <w:color w:val="000000"/>
                <w:szCs w:val="18"/>
                <w:lang w:val="it-IT"/>
              </w:rPr>
              <w:t>’</w:t>
            </w:r>
            <w:r w:rsidRPr="003F471F">
              <w:rPr>
                <w:rFonts w:cs="Tahoma"/>
                <w:color w:val="000000"/>
                <w:szCs w:val="18"/>
                <w:lang w:val="it-IT"/>
              </w:rPr>
              <w:t>Istituto. Le user CAL non potranno essere cedute di</w:t>
            </w:r>
            <w:r w:rsidR="002C23E5" w:rsidRPr="003F471F">
              <w:rPr>
                <w:rFonts w:cs="Tahoma"/>
                <w:color w:val="000000"/>
                <w:szCs w:val="18"/>
                <w:lang w:val="it-IT"/>
              </w:rPr>
              <w:t> </w:t>
            </w:r>
            <w:r w:rsidRPr="003F471F">
              <w:rPr>
                <w:rFonts w:cs="Tahoma"/>
                <w:color w:val="000000"/>
                <w:szCs w:val="18"/>
                <w:lang w:val="it-IT"/>
              </w:rPr>
              <w:t>nuovo come licenze CAL per dispositivo e le licenze CAL per dispositivo non potranno essere cedute di nuovo come user CAL, tranne nel caso di</w:t>
            </w:r>
            <w:r w:rsidR="00B114A3" w:rsidRPr="003F471F">
              <w:rPr>
                <w:rFonts w:cs="Tahoma"/>
                <w:color w:val="000000"/>
                <w:szCs w:val="18"/>
                <w:lang w:val="it-IT"/>
              </w:rPr>
              <w:t> </w:t>
            </w:r>
            <w:r w:rsidRPr="003F471F">
              <w:rPr>
                <w:rFonts w:cs="Tahoma"/>
                <w:color w:val="000000"/>
                <w:szCs w:val="18"/>
                <w:lang w:val="it-IT"/>
              </w:rPr>
              <w:t>seguito indicato. Qualsiasi licenza CAL ordinata in base all</w:t>
            </w:r>
            <w:r w:rsidR="001C4212" w:rsidRPr="003F471F">
              <w:rPr>
                <w:rFonts w:cs="Tahoma"/>
                <w:color w:val="000000"/>
                <w:szCs w:val="18"/>
                <w:lang w:val="it-IT"/>
              </w:rPr>
              <w:t>’</w:t>
            </w:r>
            <w:r w:rsidRPr="003F471F">
              <w:rPr>
                <w:rFonts w:cs="Tahoma"/>
                <w:color w:val="000000"/>
                <w:szCs w:val="18"/>
                <w:lang w:val="it-IT"/>
              </w:rPr>
              <w:t>opzione non per l</w:t>
            </w:r>
            <w:r w:rsidR="001C4212" w:rsidRPr="003F471F">
              <w:rPr>
                <w:rFonts w:cs="Tahoma"/>
                <w:color w:val="000000"/>
                <w:szCs w:val="18"/>
                <w:lang w:val="it-IT"/>
              </w:rPr>
              <w:t>’</w:t>
            </w:r>
            <w:r w:rsidRPr="003F471F">
              <w:rPr>
                <w:rFonts w:cs="Tahoma"/>
                <w:color w:val="000000"/>
                <w:szCs w:val="18"/>
                <w:lang w:val="it-IT"/>
              </w:rPr>
              <w:t>intera Organizzazione potrà essere ceduta di nuovo e utilizzata come licenza CAL per dispositivo o</w:t>
            </w:r>
            <w:r w:rsidR="00B114A3" w:rsidRPr="003F471F">
              <w:rPr>
                <w:rFonts w:cs="Tahoma"/>
                <w:color w:val="000000"/>
                <w:szCs w:val="18"/>
                <w:lang w:val="it-IT"/>
              </w:rPr>
              <w:t> </w:t>
            </w:r>
            <w:r w:rsidRPr="003F471F">
              <w:rPr>
                <w:rFonts w:cs="Tahoma"/>
                <w:color w:val="000000"/>
                <w:szCs w:val="18"/>
                <w:lang w:val="it-IT"/>
              </w:rPr>
              <w:t>user CAL in fase di rinnovo della sottoscrizione attraverso un nuovo Contratto.</w:t>
            </w:r>
          </w:p>
          <w:p w14:paraId="18483D23" w14:textId="77777777" w:rsidR="00312D72" w:rsidRPr="003F471F" w:rsidRDefault="00312D72" w:rsidP="00230E01">
            <w:pPr>
              <w:rPr>
                <w:lang w:val="it-IT"/>
              </w:rPr>
            </w:pPr>
            <w:r w:rsidRPr="003F471F">
              <w:rPr>
                <w:rFonts w:cs="Tahoma"/>
                <w:b/>
                <w:bCs/>
                <w:color w:val="000000"/>
                <w:szCs w:val="18"/>
                <w:lang w:val="it-IT"/>
              </w:rPr>
              <w:t xml:space="preserve">Nota: Licenza Office 365 ProPlus Studente gratuita con copertura docente/non docente - </w:t>
            </w:r>
            <w:r w:rsidRPr="003F471F">
              <w:rPr>
                <w:rFonts w:cs="Tahoma"/>
                <w:szCs w:val="18"/>
                <w:lang w:val="it-IT"/>
              </w:rPr>
              <w:t>A condizione che l</w:t>
            </w:r>
            <w:r w:rsidR="001C4212" w:rsidRPr="003F471F">
              <w:rPr>
                <w:rFonts w:cs="Tahoma"/>
                <w:szCs w:val="18"/>
                <w:lang w:val="it-IT"/>
              </w:rPr>
              <w:t>’</w:t>
            </w:r>
            <w:r w:rsidRPr="003F471F">
              <w:rPr>
                <w:rFonts w:cs="Tahoma"/>
                <w:szCs w:val="18"/>
                <w:lang w:val="it-IT"/>
              </w:rPr>
              <w:t>Istituto sia in possesso di una licenza Office Professional Plus</w:t>
            </w:r>
            <w:r w:rsidR="00B114A3" w:rsidRPr="003F471F">
              <w:rPr>
                <w:rFonts w:cs="Tahoma"/>
                <w:szCs w:val="18"/>
                <w:lang w:val="it-IT"/>
              </w:rPr>
              <w:t> </w:t>
            </w:r>
            <w:r w:rsidRPr="003F471F">
              <w:rPr>
                <w:rFonts w:cs="Tahoma"/>
                <w:szCs w:val="18"/>
                <w:lang w:val="it-IT"/>
              </w:rPr>
              <w:t>o</w:t>
            </w:r>
            <w:r w:rsidR="001F7D7B" w:rsidRPr="003F471F">
              <w:rPr>
                <w:rFonts w:cs="Tahoma"/>
                <w:szCs w:val="18"/>
                <w:lang w:val="it-IT"/>
              </w:rPr>
              <w:t> </w:t>
            </w:r>
            <w:r w:rsidRPr="003F471F">
              <w:rPr>
                <w:rFonts w:cs="Tahoma"/>
                <w:szCs w:val="18"/>
                <w:lang w:val="it-IT"/>
              </w:rPr>
              <w:t>Office 365 ProPlus per tutto il personale docente e non docente all</w:t>
            </w:r>
            <w:r w:rsidR="001C4212" w:rsidRPr="003F471F">
              <w:rPr>
                <w:rFonts w:cs="Tahoma"/>
                <w:szCs w:val="18"/>
                <w:lang w:val="it-IT"/>
              </w:rPr>
              <w:t>’</w:t>
            </w:r>
            <w:r w:rsidRPr="003F471F">
              <w:rPr>
                <w:rFonts w:cs="Tahoma"/>
                <w:szCs w:val="18"/>
                <w:lang w:val="it-IT"/>
              </w:rPr>
              <w:t>interno dell</w:t>
            </w:r>
            <w:r w:rsidR="001C4212" w:rsidRPr="003F471F">
              <w:rPr>
                <w:rFonts w:cs="Tahoma"/>
                <w:szCs w:val="18"/>
                <w:lang w:val="it-IT"/>
              </w:rPr>
              <w:t>’</w:t>
            </w:r>
            <w:r w:rsidRPr="003F471F">
              <w:rPr>
                <w:rFonts w:cs="Tahoma"/>
                <w:szCs w:val="18"/>
                <w:lang w:val="it-IT"/>
              </w:rPr>
              <w:t>Organizzazione definita, lo stesso Istituto ha la facoltà di acquistare licenze per Office</w:t>
            </w:r>
            <w:r w:rsidR="00B114A3" w:rsidRPr="003F471F">
              <w:rPr>
                <w:rFonts w:cs="Tahoma"/>
                <w:szCs w:val="18"/>
                <w:lang w:val="it-IT"/>
              </w:rPr>
              <w:t> </w:t>
            </w:r>
            <w:r w:rsidRPr="003F471F">
              <w:rPr>
                <w:rFonts w:cs="Tahoma"/>
                <w:szCs w:val="18"/>
                <w:lang w:val="it-IT"/>
              </w:rPr>
              <w:t>365</w:t>
            </w:r>
            <w:r w:rsidR="00B114A3" w:rsidRPr="003F471F">
              <w:rPr>
                <w:rFonts w:cs="Tahoma"/>
                <w:szCs w:val="18"/>
                <w:lang w:val="it-IT"/>
              </w:rPr>
              <w:t> </w:t>
            </w:r>
            <w:r w:rsidRPr="003F471F">
              <w:rPr>
                <w:rFonts w:cs="Tahoma"/>
                <w:szCs w:val="18"/>
                <w:lang w:val="it-IT"/>
              </w:rPr>
              <w:t>ProPlus per tutti gli studenti iscritti a qualunque istituto didattico facente parte dell</w:t>
            </w:r>
            <w:r w:rsidR="001C4212" w:rsidRPr="003F471F">
              <w:rPr>
                <w:rFonts w:cs="Tahoma"/>
                <w:szCs w:val="18"/>
                <w:lang w:val="it-IT"/>
              </w:rPr>
              <w:t>’</w:t>
            </w:r>
            <w:r w:rsidRPr="003F471F">
              <w:rPr>
                <w:rFonts w:cs="Tahoma"/>
                <w:szCs w:val="18"/>
                <w:lang w:val="it-IT"/>
              </w:rPr>
              <w:t>Organizzazione definita dell</w:t>
            </w:r>
            <w:r w:rsidR="001C4212" w:rsidRPr="003F471F">
              <w:rPr>
                <w:rFonts w:cs="Tahoma"/>
                <w:szCs w:val="18"/>
                <w:lang w:val="it-IT"/>
              </w:rPr>
              <w:t>’</w:t>
            </w:r>
            <w:r w:rsidRPr="003F471F">
              <w:rPr>
                <w:rFonts w:cs="Tahoma"/>
                <w:szCs w:val="18"/>
                <w:lang w:val="it-IT"/>
              </w:rPr>
              <w:t>Istituto, che siano a</w:t>
            </w:r>
            <w:r w:rsidR="002C23E5" w:rsidRPr="003F471F">
              <w:rPr>
                <w:rFonts w:cs="Tahoma"/>
                <w:szCs w:val="18"/>
                <w:lang w:val="it-IT"/>
              </w:rPr>
              <w:t> </w:t>
            </w:r>
            <w:r w:rsidRPr="003F471F">
              <w:rPr>
                <w:rFonts w:cs="Tahoma"/>
                <w:szCs w:val="18"/>
                <w:lang w:val="it-IT"/>
              </w:rPr>
              <w:t>tempo pieno o part-time, senza nessun costo aggiuntivo per l</w:t>
            </w:r>
            <w:r w:rsidR="001C4212" w:rsidRPr="003F471F">
              <w:rPr>
                <w:rFonts w:cs="Tahoma"/>
                <w:szCs w:val="18"/>
                <w:lang w:val="it-IT"/>
              </w:rPr>
              <w:t>’</w:t>
            </w:r>
            <w:r w:rsidRPr="003F471F">
              <w:rPr>
                <w:rFonts w:cs="Tahoma"/>
                <w:szCs w:val="18"/>
                <w:lang w:val="it-IT"/>
              </w:rPr>
              <w:t>Istituto.</w:t>
            </w:r>
          </w:p>
          <w:p w14:paraId="265E3711" w14:textId="77777777" w:rsidR="00312D72" w:rsidRPr="003F471F" w:rsidRDefault="00312D72" w:rsidP="00230E01">
            <w:pPr>
              <w:rPr>
                <w:rFonts w:cs="Tahoma"/>
                <w:color w:val="000000"/>
                <w:szCs w:val="18"/>
                <w:lang w:val="it-IT"/>
              </w:rPr>
            </w:pPr>
          </w:p>
        </w:tc>
      </w:tr>
      <w:tr w:rsidR="00B215EA" w:rsidRPr="003F471F" w14:paraId="0F66DD06" w14:textId="77777777" w:rsidTr="00782EDB">
        <w:tc>
          <w:tcPr>
            <w:tcW w:w="2232" w:type="dxa"/>
            <w:tcBorders>
              <w:top w:val="single" w:sz="4" w:space="0" w:color="000000"/>
              <w:left w:val="single" w:sz="4" w:space="0" w:color="000000"/>
              <w:bottom w:val="single" w:sz="4" w:space="0" w:color="000000"/>
              <w:right w:val="single" w:sz="4" w:space="0" w:color="000000"/>
            </w:tcBorders>
            <w:shd w:val="clear" w:color="auto" w:fill="auto"/>
          </w:tcPr>
          <w:p w14:paraId="6CABF2AC" w14:textId="77777777" w:rsidR="00B215EA" w:rsidRPr="0058047D" w:rsidRDefault="00B215EA" w:rsidP="001F7D7B">
            <w:pPr>
              <w:pStyle w:val="AppendixBodyText"/>
              <w:spacing w:before="60"/>
              <w:ind w:right="182"/>
              <w:rPr>
                <w:rFonts w:ascii="Tahoma" w:hAnsi="Tahoma" w:cs="Tahoma"/>
                <w:b/>
                <w:color w:val="000000"/>
                <w:szCs w:val="18"/>
                <w:lang w:eastAsia="ja-JP"/>
              </w:rPr>
            </w:pPr>
            <w:bookmarkStart w:id="609" w:name="_Toc323159731"/>
            <w:bookmarkStart w:id="610" w:name="_Toc325609171"/>
            <w:bookmarkStart w:id="611" w:name="_Toc336338192"/>
            <w:r w:rsidRPr="0058047D">
              <w:rPr>
                <w:rFonts w:ascii="Tahoma" w:hAnsi="Tahoma" w:cs="Tahoma"/>
                <w:b/>
                <w:color w:val="000000"/>
                <w:szCs w:val="18"/>
              </w:rPr>
              <w:t>SCE (Iscrizione Server and Cloud)</w:t>
            </w:r>
          </w:p>
        </w:tc>
        <w:tc>
          <w:tcPr>
            <w:tcW w:w="7236" w:type="dxa"/>
            <w:tcBorders>
              <w:top w:val="single" w:sz="4" w:space="0" w:color="000000"/>
              <w:left w:val="single" w:sz="4" w:space="0" w:color="000000"/>
              <w:bottom w:val="single" w:sz="4" w:space="0" w:color="000000"/>
              <w:right w:val="single" w:sz="4" w:space="0" w:color="000000"/>
            </w:tcBorders>
            <w:shd w:val="clear" w:color="auto" w:fill="auto"/>
          </w:tcPr>
          <w:tbl>
            <w:tblPr>
              <w:tblW w:w="7121"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311"/>
              <w:gridCol w:w="5810"/>
            </w:tblGrid>
            <w:tr w:rsidR="001F7D7B" w:rsidRPr="0058047D" w14:paraId="1F5A5691" w14:textId="77777777" w:rsidTr="008E10CD">
              <w:trPr>
                <w:trHeight w:val="315"/>
                <w:jc w:val="center"/>
              </w:trPr>
              <w:tc>
                <w:tcPr>
                  <w:tcW w:w="1311"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1B8996FD" w14:textId="77777777" w:rsidR="001F7D7B" w:rsidRPr="0058047D" w:rsidRDefault="001F7D7B" w:rsidP="004D6068">
                  <w:pPr>
                    <w:keepNext/>
                    <w:jc w:val="center"/>
                    <w:rPr>
                      <w:rFonts w:eastAsia="Calibri"/>
                      <w:b/>
                      <w:color w:val="FFFFFF"/>
                    </w:rPr>
                  </w:pPr>
                  <w:r w:rsidRPr="0058047D">
                    <w:rPr>
                      <w:b/>
                      <w:color w:val="FFFFFF"/>
                    </w:rPr>
                    <w:t>Famiglia di Prodotti</w:t>
                  </w:r>
                </w:p>
              </w:tc>
              <w:tc>
                <w:tcPr>
                  <w:tcW w:w="5810"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08722DF9" w14:textId="77777777" w:rsidR="001F7D7B" w:rsidRPr="0058047D" w:rsidRDefault="001F7D7B" w:rsidP="004D6068">
                  <w:pPr>
                    <w:keepNext/>
                    <w:jc w:val="center"/>
                    <w:rPr>
                      <w:rFonts w:eastAsia="Calibri"/>
                      <w:b/>
                      <w:color w:val="FFFFFF"/>
                    </w:rPr>
                  </w:pPr>
                  <w:r w:rsidRPr="0058047D">
                    <w:rPr>
                      <w:b/>
                      <w:color w:val="FFFFFF"/>
                    </w:rPr>
                    <w:t>Ordine Minimo Iniziale</w:t>
                  </w:r>
                </w:p>
              </w:tc>
            </w:tr>
            <w:tr w:rsidR="001F7D7B" w:rsidRPr="003F471F" w14:paraId="5E76D474" w14:textId="77777777" w:rsidTr="008E10CD">
              <w:trPr>
                <w:cantSplit/>
                <w:jc w:val="center"/>
              </w:trPr>
              <w:tc>
                <w:tcPr>
                  <w:tcW w:w="1311" w:type="dxa"/>
                  <w:noWrap/>
                  <w:tcMar>
                    <w:top w:w="0" w:type="dxa"/>
                    <w:left w:w="108" w:type="dxa"/>
                    <w:bottom w:w="0" w:type="dxa"/>
                    <w:right w:w="108" w:type="dxa"/>
                  </w:tcMar>
                  <w:vAlign w:val="center"/>
                  <w:hideMark/>
                </w:tcPr>
                <w:p w14:paraId="67B7B97D" w14:textId="77777777" w:rsidR="001F7D7B" w:rsidRPr="0058047D" w:rsidRDefault="001F7D7B" w:rsidP="004D6068">
                  <w:pPr>
                    <w:jc w:val="center"/>
                    <w:rPr>
                      <w:rFonts w:eastAsia="Calibri"/>
                      <w:b/>
                      <w:color w:val="000000"/>
                    </w:rPr>
                  </w:pPr>
                  <w:r w:rsidRPr="0058047D">
                    <w:rPr>
                      <w:b/>
                      <w:color w:val="000000"/>
                    </w:rPr>
                    <w:t>SQL Server</w:t>
                  </w:r>
                </w:p>
              </w:tc>
              <w:tc>
                <w:tcPr>
                  <w:tcW w:w="5810" w:type="dxa"/>
                  <w:noWrap/>
                  <w:tcMar>
                    <w:top w:w="0" w:type="dxa"/>
                    <w:left w:w="108" w:type="dxa"/>
                    <w:bottom w:w="0" w:type="dxa"/>
                    <w:right w:w="108" w:type="dxa"/>
                  </w:tcMar>
                  <w:vAlign w:val="center"/>
                </w:tcPr>
                <w:p w14:paraId="0E53CED3" w14:textId="77777777" w:rsidR="001F7D7B" w:rsidRPr="003F471F" w:rsidRDefault="001F7D7B" w:rsidP="004D6068">
                  <w:pPr>
                    <w:rPr>
                      <w:lang w:val="it-IT"/>
                    </w:rPr>
                  </w:pPr>
                  <w:r w:rsidRPr="003F471F">
                    <w:rPr>
                      <w:lang w:val="it-IT"/>
                    </w:rPr>
                    <w:t>La quantità di licenze SQL Per Core necessarie per 50 core OPPURE</w:t>
                  </w:r>
                </w:p>
                <w:p w14:paraId="40322309" w14:textId="77777777" w:rsidR="001F7D7B" w:rsidRPr="003F471F" w:rsidRDefault="001F7D7B" w:rsidP="004D6068">
                  <w:pPr>
                    <w:rPr>
                      <w:lang w:val="it-IT"/>
                    </w:rPr>
                  </w:pPr>
                  <w:r w:rsidRPr="003F471F">
                    <w:rPr>
                      <w:lang w:val="it-IT"/>
                    </w:rPr>
                    <w:t>5 edizioni SQL Server con 250 CAL (le edizioni SQL Server necessitano di CAL)</w:t>
                  </w:r>
                </w:p>
              </w:tc>
            </w:tr>
            <w:tr w:rsidR="001F7D7B" w:rsidRPr="003F471F" w14:paraId="2153238D" w14:textId="77777777" w:rsidTr="008E10CD">
              <w:trPr>
                <w:cantSplit/>
                <w:jc w:val="center"/>
              </w:trPr>
              <w:tc>
                <w:tcPr>
                  <w:tcW w:w="1311" w:type="dxa"/>
                  <w:noWrap/>
                  <w:tcMar>
                    <w:top w:w="0" w:type="dxa"/>
                    <w:left w:w="108" w:type="dxa"/>
                    <w:bottom w:w="0" w:type="dxa"/>
                    <w:right w:w="108" w:type="dxa"/>
                  </w:tcMar>
                  <w:vAlign w:val="center"/>
                </w:tcPr>
                <w:p w14:paraId="0FC14B39" w14:textId="77777777" w:rsidR="001F7D7B" w:rsidRPr="0058047D" w:rsidRDefault="001F7D7B" w:rsidP="004D6068">
                  <w:pPr>
                    <w:jc w:val="center"/>
                    <w:rPr>
                      <w:b/>
                      <w:color w:val="000000"/>
                    </w:rPr>
                  </w:pPr>
                  <w:r w:rsidRPr="0058047D">
                    <w:rPr>
                      <w:b/>
                      <w:color w:val="000000"/>
                    </w:rPr>
                    <w:t>SQL Server Parallel Data Warehouse</w:t>
                  </w:r>
                </w:p>
              </w:tc>
              <w:tc>
                <w:tcPr>
                  <w:tcW w:w="5810" w:type="dxa"/>
                  <w:noWrap/>
                  <w:tcMar>
                    <w:top w:w="0" w:type="dxa"/>
                    <w:left w:w="108" w:type="dxa"/>
                    <w:bottom w:w="0" w:type="dxa"/>
                    <w:right w:w="108" w:type="dxa"/>
                  </w:tcMar>
                  <w:vAlign w:val="center"/>
                </w:tcPr>
                <w:p w14:paraId="056F7E76" w14:textId="77777777" w:rsidR="001F7D7B" w:rsidRPr="003F471F" w:rsidRDefault="001F7D7B" w:rsidP="004D6068">
                  <w:pPr>
                    <w:rPr>
                      <w:color w:val="000000"/>
                      <w:lang w:val="it-IT"/>
                    </w:rPr>
                  </w:pPr>
                  <w:r w:rsidRPr="003F471F">
                    <w:rPr>
                      <w:lang w:val="it-IT"/>
                    </w:rPr>
                    <w:t>32 Core. È necessario selezionare la famiglia di prodotti SQL Server nella tabella precedente. I Core di SQL Parallel Data Warehouse si applicano ai requisiti minimi delle edizioni SQL Per Core.</w:t>
                  </w:r>
                </w:p>
              </w:tc>
            </w:tr>
            <w:tr w:rsidR="001F7D7B" w:rsidRPr="003F471F" w14:paraId="01C5B859" w14:textId="77777777" w:rsidTr="008E10CD">
              <w:trPr>
                <w:cantSplit/>
                <w:jc w:val="center"/>
              </w:trPr>
              <w:tc>
                <w:tcPr>
                  <w:tcW w:w="1311" w:type="dxa"/>
                  <w:noWrap/>
                  <w:tcMar>
                    <w:top w:w="0" w:type="dxa"/>
                    <w:left w:w="108" w:type="dxa"/>
                    <w:bottom w:w="0" w:type="dxa"/>
                    <w:right w:w="108" w:type="dxa"/>
                  </w:tcMar>
                  <w:vAlign w:val="center"/>
                  <w:hideMark/>
                </w:tcPr>
                <w:p w14:paraId="0D8791EC" w14:textId="77777777" w:rsidR="001F7D7B" w:rsidRPr="0058047D" w:rsidRDefault="001F7D7B" w:rsidP="004D6068">
                  <w:pPr>
                    <w:jc w:val="center"/>
                    <w:rPr>
                      <w:rFonts w:eastAsia="Calibri"/>
                      <w:b/>
                      <w:color w:val="000000"/>
                    </w:rPr>
                  </w:pPr>
                  <w:r w:rsidRPr="0058047D">
                    <w:rPr>
                      <w:b/>
                      <w:color w:val="000000"/>
                    </w:rPr>
                    <w:t>BizTalk Server</w:t>
                  </w:r>
                </w:p>
              </w:tc>
              <w:tc>
                <w:tcPr>
                  <w:tcW w:w="5810" w:type="dxa"/>
                  <w:noWrap/>
                  <w:tcMar>
                    <w:top w:w="0" w:type="dxa"/>
                    <w:left w:w="108" w:type="dxa"/>
                    <w:bottom w:w="0" w:type="dxa"/>
                    <w:right w:w="108" w:type="dxa"/>
                  </w:tcMar>
                  <w:vAlign w:val="center"/>
                  <w:hideMark/>
                </w:tcPr>
                <w:p w14:paraId="24F5B8F8" w14:textId="77777777" w:rsidR="001F7D7B" w:rsidRPr="003F471F" w:rsidRDefault="001F7D7B" w:rsidP="00B114A3">
                  <w:pPr>
                    <w:rPr>
                      <w:rFonts w:eastAsia="Calibri"/>
                      <w:color w:val="000000"/>
                      <w:lang w:val="it-IT"/>
                    </w:rPr>
                  </w:pPr>
                  <w:r w:rsidRPr="003F471F">
                    <w:rPr>
                      <w:color w:val="000000"/>
                      <w:lang w:val="it-IT"/>
                    </w:rPr>
                    <w:t>24 Core di qualsiasi combinazione di Edizioni Biztalk Server.</w:t>
                  </w:r>
                  <w:r w:rsidRPr="003F471F">
                    <w:rPr>
                      <w:lang w:val="it-IT"/>
                    </w:rPr>
                    <w:t xml:space="preserve"> È</w:t>
                  </w:r>
                  <w:r w:rsidR="00B114A3" w:rsidRPr="003F471F">
                    <w:rPr>
                      <w:lang w:val="it-IT"/>
                    </w:rPr>
                    <w:t> </w:t>
                  </w:r>
                  <w:r w:rsidRPr="003F471F">
                    <w:rPr>
                      <w:lang w:val="it-IT"/>
                    </w:rPr>
                    <w:t>necessario selezionare la famiglia di prodotti SQL Server nella tabella precedente.</w:t>
                  </w:r>
                </w:p>
              </w:tc>
            </w:tr>
            <w:tr w:rsidR="001F7D7B" w:rsidRPr="003F471F" w14:paraId="4E4185F5" w14:textId="77777777" w:rsidTr="008E10CD">
              <w:trPr>
                <w:cantSplit/>
                <w:jc w:val="center"/>
              </w:trPr>
              <w:tc>
                <w:tcPr>
                  <w:tcW w:w="1311" w:type="dxa"/>
                  <w:noWrap/>
                  <w:tcMar>
                    <w:top w:w="0" w:type="dxa"/>
                    <w:left w:w="108" w:type="dxa"/>
                    <w:bottom w:w="0" w:type="dxa"/>
                    <w:right w:w="108" w:type="dxa"/>
                  </w:tcMar>
                  <w:vAlign w:val="center"/>
                  <w:hideMark/>
                </w:tcPr>
                <w:p w14:paraId="193DCEEE" w14:textId="77777777" w:rsidR="001F7D7B" w:rsidRPr="0058047D" w:rsidRDefault="001F7D7B" w:rsidP="004D6068">
                  <w:pPr>
                    <w:jc w:val="center"/>
                    <w:rPr>
                      <w:rFonts w:eastAsia="Calibri"/>
                      <w:b/>
                      <w:color w:val="000000"/>
                    </w:rPr>
                  </w:pPr>
                  <w:r w:rsidRPr="0058047D">
                    <w:rPr>
                      <w:b/>
                      <w:color w:val="000000"/>
                    </w:rPr>
                    <w:t xml:space="preserve">Visual Studio </w:t>
                  </w:r>
                </w:p>
              </w:tc>
              <w:tc>
                <w:tcPr>
                  <w:tcW w:w="5810" w:type="dxa"/>
                  <w:noWrap/>
                  <w:tcMar>
                    <w:top w:w="0" w:type="dxa"/>
                    <w:left w:w="108" w:type="dxa"/>
                    <w:bottom w:w="0" w:type="dxa"/>
                    <w:right w:w="108" w:type="dxa"/>
                  </w:tcMar>
                  <w:vAlign w:val="center"/>
                  <w:hideMark/>
                </w:tcPr>
                <w:p w14:paraId="73383476" w14:textId="77777777" w:rsidR="001F7D7B" w:rsidRPr="003F471F" w:rsidRDefault="001F7D7B" w:rsidP="00B114A3">
                  <w:pPr>
                    <w:rPr>
                      <w:color w:val="000000"/>
                      <w:lang w:val="it-IT"/>
                    </w:rPr>
                  </w:pPr>
                  <w:r w:rsidRPr="003F471F">
                    <w:rPr>
                      <w:lang w:val="it-IT"/>
                    </w:rPr>
                    <w:t>20 Licenze di qualsiasi combinazione di: Visual Studio Ultimate con MSDN e Visual Studio Premium con MSDN. È inoltre richiesta una Licenza Base per ogni utente di qualsiasi prodotto software concesso in licenza tramite un abbonamento MSDN. L</w:t>
                  </w:r>
                  <w:r w:rsidR="001C4212" w:rsidRPr="003F471F">
                    <w:rPr>
                      <w:lang w:val="it-IT"/>
                    </w:rPr>
                    <w:t>’</w:t>
                  </w:r>
                  <w:r w:rsidRPr="003F471F">
                    <w:rPr>
                      <w:lang w:val="it-IT"/>
                    </w:rPr>
                    <w:t>utilizzo del Software MSDN include, a titolo esemplificativo, lo sviluppo e il test di programmi tramite l</w:t>
                  </w:r>
                  <w:r w:rsidR="001C4212" w:rsidRPr="003F471F">
                    <w:rPr>
                      <w:lang w:val="it-IT"/>
                    </w:rPr>
                    <w:t>’</w:t>
                  </w:r>
                  <w:r w:rsidRPr="003F471F">
                    <w:rPr>
                      <w:lang w:val="it-IT"/>
                    </w:rPr>
                    <w:t>utilizzo, l</w:t>
                  </w:r>
                  <w:r w:rsidR="001C4212" w:rsidRPr="003F471F">
                    <w:rPr>
                      <w:lang w:val="it-IT"/>
                    </w:rPr>
                    <w:t>’</w:t>
                  </w:r>
                  <w:r w:rsidRPr="003F471F">
                    <w:rPr>
                      <w:lang w:val="it-IT"/>
                    </w:rPr>
                    <w:t>installazione, la configurazione e</w:t>
                  </w:r>
                  <w:r w:rsidR="00B114A3" w:rsidRPr="003F471F">
                    <w:rPr>
                      <w:lang w:val="it-IT"/>
                    </w:rPr>
                    <w:t> </w:t>
                  </w:r>
                  <w:r w:rsidRPr="003F471F">
                    <w:rPr>
                      <w:lang w:val="it-IT"/>
                    </w:rPr>
                    <w:t>la</w:t>
                  </w:r>
                  <w:r w:rsidR="00B114A3" w:rsidRPr="003F471F">
                    <w:rPr>
                      <w:lang w:val="it-IT"/>
                    </w:rPr>
                    <w:t> </w:t>
                  </w:r>
                  <w:r w:rsidRPr="003F471F">
                    <w:rPr>
                      <w:lang w:val="it-IT"/>
                    </w:rPr>
                    <w:t>gestione del software. Esempi di utenti includono, a titolo esemplificativo: sviluppatori, tester e altri dipendenti dell</w:t>
                  </w:r>
                  <w:r w:rsidR="001C4212" w:rsidRPr="003F471F">
                    <w:rPr>
                      <w:lang w:val="it-IT"/>
                    </w:rPr>
                    <w:t>’</w:t>
                  </w:r>
                  <w:r w:rsidRPr="003F471F">
                    <w:rPr>
                      <w:lang w:val="it-IT"/>
                    </w:rPr>
                    <w:t>IT che interagiscono con l</w:t>
                  </w:r>
                  <w:r w:rsidR="001C4212" w:rsidRPr="003F471F">
                    <w:rPr>
                      <w:lang w:val="it-IT"/>
                    </w:rPr>
                    <w:t>’</w:t>
                  </w:r>
                  <w:r w:rsidRPr="003F471F">
                    <w:rPr>
                      <w:lang w:val="it-IT"/>
                    </w:rPr>
                    <w:t xml:space="preserve">infrastruttura di sviluppo delle applicazioni. </w:t>
                  </w:r>
                </w:p>
              </w:tc>
            </w:tr>
            <w:tr w:rsidR="001F7D7B" w:rsidRPr="003F471F" w14:paraId="67065777" w14:textId="77777777" w:rsidTr="008E10CD">
              <w:trPr>
                <w:cantSplit/>
                <w:jc w:val="center"/>
              </w:trPr>
              <w:tc>
                <w:tcPr>
                  <w:tcW w:w="1311" w:type="dxa"/>
                  <w:noWrap/>
                  <w:tcMar>
                    <w:top w:w="0" w:type="dxa"/>
                    <w:left w:w="108" w:type="dxa"/>
                    <w:bottom w:w="0" w:type="dxa"/>
                    <w:right w:w="108" w:type="dxa"/>
                  </w:tcMar>
                  <w:vAlign w:val="center"/>
                  <w:hideMark/>
                </w:tcPr>
                <w:p w14:paraId="42BCE1D8" w14:textId="77777777" w:rsidR="001F7D7B" w:rsidRPr="0058047D" w:rsidRDefault="001F7D7B" w:rsidP="004D6068">
                  <w:pPr>
                    <w:jc w:val="center"/>
                    <w:rPr>
                      <w:rFonts w:eastAsia="Calibri"/>
                      <w:b/>
                      <w:color w:val="000000"/>
                    </w:rPr>
                  </w:pPr>
                  <w:r w:rsidRPr="0058047D">
                    <w:rPr>
                      <w:b/>
                      <w:color w:val="000000"/>
                    </w:rPr>
                    <w:t>SharePoint Server</w:t>
                  </w:r>
                </w:p>
              </w:tc>
              <w:tc>
                <w:tcPr>
                  <w:tcW w:w="5810" w:type="dxa"/>
                  <w:noWrap/>
                  <w:tcMar>
                    <w:top w:w="0" w:type="dxa"/>
                    <w:left w:w="108" w:type="dxa"/>
                    <w:bottom w:w="0" w:type="dxa"/>
                    <w:right w:w="108" w:type="dxa"/>
                  </w:tcMar>
                  <w:vAlign w:val="center"/>
                  <w:hideMark/>
                </w:tcPr>
                <w:p w14:paraId="6330ED24" w14:textId="77777777" w:rsidR="001F7D7B" w:rsidRPr="003F471F" w:rsidRDefault="001F7D7B" w:rsidP="004D6068">
                  <w:pPr>
                    <w:rPr>
                      <w:rFonts w:eastAsia="Calibri"/>
                      <w:color w:val="000000"/>
                      <w:lang w:val="it-IT"/>
                    </w:rPr>
                  </w:pPr>
                  <w:r w:rsidRPr="003F471F">
                    <w:rPr>
                      <w:lang w:val="it-IT"/>
                    </w:rPr>
                    <w:t>5 Server. È necessario selezionare la famiglia di prodotti SQL Server nella tabella precedente.</w:t>
                  </w:r>
                </w:p>
              </w:tc>
            </w:tr>
            <w:tr w:rsidR="001F7D7B" w:rsidRPr="003F471F" w14:paraId="34E3AA0D" w14:textId="77777777" w:rsidTr="008E10CD">
              <w:trPr>
                <w:cantSplit/>
                <w:jc w:val="center"/>
              </w:trPr>
              <w:tc>
                <w:tcPr>
                  <w:tcW w:w="1311" w:type="dxa"/>
                  <w:noWrap/>
                  <w:tcMar>
                    <w:top w:w="0" w:type="dxa"/>
                    <w:left w:w="108" w:type="dxa"/>
                    <w:bottom w:w="0" w:type="dxa"/>
                    <w:right w:w="108" w:type="dxa"/>
                  </w:tcMar>
                  <w:vAlign w:val="center"/>
                </w:tcPr>
                <w:p w14:paraId="795664D1" w14:textId="77777777" w:rsidR="001F7D7B" w:rsidRPr="0058047D" w:rsidRDefault="001F7D7B" w:rsidP="004D6068">
                  <w:pPr>
                    <w:jc w:val="center"/>
                    <w:rPr>
                      <w:b/>
                      <w:color w:val="000000"/>
                    </w:rPr>
                  </w:pPr>
                  <w:r w:rsidRPr="0058047D">
                    <w:rPr>
                      <w:b/>
                      <w:color w:val="000000"/>
                    </w:rPr>
                    <w:t>Core Infrastructure Suite</w:t>
                  </w:r>
                </w:p>
              </w:tc>
              <w:tc>
                <w:tcPr>
                  <w:tcW w:w="5810" w:type="dxa"/>
                  <w:noWrap/>
                  <w:tcMar>
                    <w:top w:w="0" w:type="dxa"/>
                    <w:left w:w="108" w:type="dxa"/>
                    <w:bottom w:w="0" w:type="dxa"/>
                    <w:right w:w="108" w:type="dxa"/>
                  </w:tcMar>
                  <w:vAlign w:val="center"/>
                </w:tcPr>
                <w:p w14:paraId="0266980C" w14:textId="77777777" w:rsidR="001F7D7B" w:rsidRPr="003F471F" w:rsidRDefault="001F7D7B" w:rsidP="004D6068">
                  <w:pPr>
                    <w:rPr>
                      <w:lang w:val="it-IT"/>
                    </w:rPr>
                  </w:pPr>
                  <w:r w:rsidRPr="003F471F">
                    <w:rPr>
                      <w:lang w:val="it-IT"/>
                    </w:rPr>
                    <w:t>Tutte le implementazioni autorizzate di Windows Server dovranno essere concesse in licenza con una SKU appropriata della Core Infrastructure Suite. L</w:t>
                  </w:r>
                  <w:r w:rsidR="001C4212" w:rsidRPr="003F471F">
                    <w:rPr>
                      <w:lang w:val="it-IT"/>
                    </w:rPr>
                    <w:t>’</w:t>
                  </w:r>
                  <w:r w:rsidRPr="003F471F">
                    <w:rPr>
                      <w:lang w:val="it-IT"/>
                    </w:rPr>
                    <w:t xml:space="preserve">ordine minimo è di 25 licenze per 50 </w:t>
                  </w:r>
                  <w:r w:rsidR="008E10CD" w:rsidRPr="003F471F">
                    <w:rPr>
                      <w:lang w:val="it-IT"/>
                    </w:rPr>
                    <w:br/>
                  </w:r>
                  <w:r w:rsidRPr="003F471F">
                    <w:rPr>
                      <w:lang w:val="it-IT"/>
                    </w:rPr>
                    <w:t>processori (ciascuna licenza copre fino a 2 processori fisici) per Core Infrastructure Server Suite Standard o Datacenter (ciascuna edizione o una combinazione di entrambe)</w:t>
                  </w:r>
                </w:p>
              </w:tc>
            </w:tr>
          </w:tbl>
          <w:p w14:paraId="1CFF7637" w14:textId="77777777" w:rsidR="00B215EA" w:rsidRPr="003F471F" w:rsidRDefault="00B215EA" w:rsidP="00892A1D">
            <w:pPr>
              <w:pStyle w:val="ListParagraph"/>
              <w:spacing w:before="60"/>
              <w:ind w:left="0"/>
              <w:contextualSpacing w:val="0"/>
              <w:rPr>
                <w:rFonts w:ascii="Tahoma" w:hAnsi="Tahoma" w:cs="Tahoma"/>
                <w:sz w:val="18"/>
                <w:szCs w:val="18"/>
                <w:lang w:val="it-IT" w:eastAsia="ja-JP"/>
              </w:rPr>
            </w:pPr>
          </w:p>
        </w:tc>
      </w:tr>
    </w:tbl>
    <w:p w14:paraId="7839D5C4" w14:textId="77777777" w:rsidR="00366502" w:rsidRPr="003F471F" w:rsidRDefault="00366502" w:rsidP="00456002">
      <w:pPr>
        <w:pStyle w:val="Heading3"/>
        <w:ind w:right="720"/>
        <w:rPr>
          <w:lang w:val="it-IT"/>
        </w:rPr>
      </w:pPr>
    </w:p>
    <w:p w14:paraId="5DCAAEF2" w14:textId="77777777" w:rsidR="00456002" w:rsidRPr="0058047D" w:rsidRDefault="00456002" w:rsidP="00456002">
      <w:pPr>
        <w:pStyle w:val="Heading3"/>
        <w:ind w:right="720"/>
      </w:pPr>
      <w:bookmarkStart w:id="612" w:name="_Toc371663585"/>
      <w:r w:rsidRPr="0058047D">
        <w:rPr>
          <w:rFonts w:ascii="Tahoma" w:hAnsi="Tahoma" w:cs="Tahoma"/>
          <w:sz w:val="24"/>
          <w:szCs w:val="22"/>
        </w:rPr>
        <w:t>Piattaforme</w:t>
      </w:r>
      <w:bookmarkEnd w:id="609"/>
      <w:bookmarkEnd w:id="610"/>
      <w:bookmarkEnd w:id="611"/>
      <w:bookmarkEnd w:id="612"/>
    </w:p>
    <w:p w14:paraId="43A665BC" w14:textId="77777777" w:rsidR="00456002" w:rsidRPr="0058047D"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58047D" w14:paraId="4579D709" w14:textId="77777777" w:rsidTr="00E72B9D">
        <w:tc>
          <w:tcPr>
            <w:tcW w:w="1890" w:type="dxa"/>
            <w:shd w:val="clear" w:color="auto" w:fill="FABF8F"/>
          </w:tcPr>
          <w:p w14:paraId="6199C5BF" w14:textId="77777777" w:rsidR="00456002" w:rsidRPr="0058047D" w:rsidRDefault="00456002" w:rsidP="00E64551">
            <w:pPr>
              <w:rPr>
                <w:b/>
                <w:sz w:val="22"/>
                <w:lang w:eastAsia="ja-JP"/>
              </w:rPr>
            </w:pPr>
            <w:r w:rsidRPr="0058047D">
              <w:rPr>
                <w:b/>
                <w:sz w:val="22"/>
              </w:rPr>
              <w:t>Programmi</w:t>
            </w:r>
          </w:p>
        </w:tc>
        <w:tc>
          <w:tcPr>
            <w:tcW w:w="7308" w:type="dxa"/>
            <w:shd w:val="clear" w:color="auto" w:fill="FABF8F"/>
          </w:tcPr>
          <w:p w14:paraId="6344122B" w14:textId="77777777" w:rsidR="00456002" w:rsidRPr="0058047D" w:rsidRDefault="00456002" w:rsidP="005C647E">
            <w:pPr>
              <w:jc w:val="center"/>
              <w:rPr>
                <w:b/>
                <w:sz w:val="22"/>
                <w:lang w:eastAsia="ja-JP"/>
              </w:rPr>
            </w:pPr>
            <w:r w:rsidRPr="0058047D">
              <w:rPr>
                <w:b/>
                <w:sz w:val="22"/>
              </w:rPr>
              <w:t>Piattaforme</w:t>
            </w:r>
          </w:p>
        </w:tc>
      </w:tr>
      <w:tr w:rsidR="00456002" w:rsidRPr="003F471F" w14:paraId="7A747ABF" w14:textId="77777777" w:rsidTr="00E72B9D">
        <w:tc>
          <w:tcPr>
            <w:tcW w:w="1890" w:type="dxa"/>
            <w:shd w:val="clear" w:color="auto" w:fill="auto"/>
          </w:tcPr>
          <w:p w14:paraId="6E3B3ED2" w14:textId="77777777" w:rsidR="00456002" w:rsidRPr="003F471F" w:rsidRDefault="00DD367D" w:rsidP="00B114A3">
            <w:pPr>
              <w:spacing w:before="60"/>
              <w:rPr>
                <w:b/>
                <w:lang w:val="it-IT" w:eastAsia="ja-JP"/>
              </w:rPr>
            </w:pPr>
            <w:r w:rsidRPr="003F471F">
              <w:rPr>
                <w:rFonts w:cs="Tahoma"/>
                <w:b/>
                <w:lang w:val="it-IT"/>
              </w:rPr>
              <w:t>Contratto Enterprise e</w:t>
            </w:r>
            <w:r w:rsidR="00B114A3" w:rsidRPr="003F471F">
              <w:rPr>
                <w:rFonts w:cs="Tahoma"/>
                <w:b/>
                <w:lang w:val="it-IT"/>
              </w:rPr>
              <w:t> </w:t>
            </w:r>
            <w:r w:rsidRPr="003F471F">
              <w:rPr>
                <w:rFonts w:cs="Tahoma"/>
                <w:b/>
                <w:lang w:val="it-IT"/>
              </w:rPr>
              <w:t>Contratto Enterprise Subscription</w:t>
            </w:r>
          </w:p>
        </w:tc>
        <w:tc>
          <w:tcPr>
            <w:tcW w:w="7308" w:type="dxa"/>
            <w:shd w:val="clear" w:color="auto" w:fill="auto"/>
          </w:tcPr>
          <w:p w14:paraId="71E5F439" w14:textId="77777777" w:rsidR="00456002" w:rsidRPr="0058047D" w:rsidRDefault="00456002" w:rsidP="00346F4B">
            <w:pPr>
              <w:pStyle w:val="ListParagraph"/>
              <w:numPr>
                <w:ilvl w:val="0"/>
                <w:numId w:val="123"/>
              </w:numPr>
              <w:spacing w:before="60" w:after="60"/>
              <w:ind w:left="245"/>
            </w:pPr>
            <w:r w:rsidRPr="0058047D">
              <w:rPr>
                <w:rFonts w:ascii="Tahoma" w:hAnsi="Tahoma" w:cs="Tahoma"/>
                <w:b/>
                <w:sz w:val="18"/>
              </w:rPr>
              <w:t>Prodotti della Piattaforma Enterprise Desktop</w:t>
            </w:r>
          </w:p>
          <w:p w14:paraId="1DD72B51" w14:textId="77777777" w:rsidR="00456002" w:rsidRPr="003F471F" w:rsidRDefault="00456002" w:rsidP="004B6D8C">
            <w:pPr>
              <w:rPr>
                <w:lang w:val="it-IT"/>
              </w:rPr>
            </w:pPr>
            <w:r w:rsidRPr="003F471F">
              <w:rPr>
                <w:rFonts w:cs="Tahoma"/>
                <w:color w:val="000000"/>
                <w:szCs w:val="18"/>
                <w:lang w:val="it-IT"/>
              </w:rPr>
              <w:t>I prodotti della piattaforma Enterprise Desktop sono disponibili per le società con un</w:t>
            </w:r>
            <w:r w:rsidR="00B114A3" w:rsidRPr="003F471F">
              <w:rPr>
                <w:rFonts w:cs="Tahoma"/>
                <w:color w:val="000000"/>
                <w:szCs w:val="18"/>
                <w:lang w:val="it-IT"/>
              </w:rPr>
              <w:t> </w:t>
            </w:r>
            <w:r w:rsidRPr="003F471F">
              <w:rPr>
                <w:rFonts w:cs="Tahoma"/>
                <w:color w:val="000000"/>
                <w:szCs w:val="18"/>
                <w:lang w:val="it-IT"/>
              </w:rPr>
              <w:t xml:space="preserve">Contratto Enterprise. La Piattaforma Enterprise Desktop include la versione più aggiornata di Office </w:t>
            </w:r>
            <w:r w:rsidRPr="003F471F">
              <w:rPr>
                <w:rFonts w:cs="Tahoma"/>
                <w:szCs w:val="18"/>
                <w:lang w:val="it-IT"/>
              </w:rPr>
              <w:t>Professional Plus</w:t>
            </w:r>
            <w:r w:rsidRPr="003F471F">
              <w:rPr>
                <w:rFonts w:cs="Tahoma"/>
                <w:color w:val="000000"/>
                <w:szCs w:val="18"/>
                <w:lang w:val="it-IT"/>
              </w:rPr>
              <w:t>, dell</w:t>
            </w:r>
            <w:r w:rsidR="001C4212" w:rsidRPr="003F471F">
              <w:rPr>
                <w:rFonts w:cs="Tahoma"/>
                <w:color w:val="000000"/>
                <w:szCs w:val="18"/>
                <w:lang w:val="it-IT"/>
              </w:rPr>
              <w:t>’</w:t>
            </w:r>
            <w:r w:rsidRPr="003F471F">
              <w:rPr>
                <w:rFonts w:cs="Tahoma"/>
                <w:color w:val="000000"/>
                <w:szCs w:val="18"/>
                <w:lang w:val="it-IT"/>
              </w:rPr>
              <w:t>Aggiornamento per il Sistema Operativo Windows 8</w:t>
            </w:r>
            <w:r w:rsidR="00C86F50">
              <w:rPr>
                <w:rFonts w:cs="Tahoma"/>
                <w:color w:val="000000"/>
                <w:szCs w:val="18"/>
                <w:lang w:val="it-IT"/>
              </w:rPr>
              <w:t>.1</w:t>
            </w:r>
            <w:r w:rsidRPr="003F471F">
              <w:rPr>
                <w:rFonts w:cs="Tahoma"/>
                <w:color w:val="000000"/>
                <w:szCs w:val="18"/>
                <w:lang w:val="it-IT"/>
              </w:rPr>
              <w:t xml:space="preserve"> Pro o Windows Virtual Desktop Access (VDA) e la licenza Enterprise CAL Suite. I Prodotti della Piattaforma Enterprise Desktop sono indicati da una “E” nelle colonne del Contratto Enterprise.</w:t>
            </w:r>
            <w:r w:rsidR="00E34ED3" w:rsidRPr="003F471F">
              <w:rPr>
                <w:rFonts w:cs="Tahoma"/>
                <w:color w:val="000000"/>
                <w:szCs w:val="18"/>
                <w:lang w:val="it-IT"/>
              </w:rPr>
              <w:t xml:space="preserve"> </w:t>
            </w:r>
            <w:r w:rsidRPr="003F471F">
              <w:rPr>
                <w:rFonts w:cs="Tahoma"/>
                <w:color w:val="000000"/>
                <w:szCs w:val="18"/>
                <w:lang w:val="it-IT"/>
              </w:rPr>
              <w:t>Le società che hanno sottoscritto un Contratto Enterprise ed Enterprise Subscription possono anch</w:t>
            </w:r>
            <w:r w:rsidR="001C4212" w:rsidRPr="003F471F">
              <w:rPr>
                <w:rFonts w:cs="Tahoma"/>
                <w:color w:val="000000"/>
                <w:szCs w:val="18"/>
                <w:lang w:val="it-IT"/>
              </w:rPr>
              <w:t>’</w:t>
            </w:r>
            <w:r w:rsidRPr="003F471F">
              <w:rPr>
                <w:rFonts w:cs="Tahoma"/>
                <w:color w:val="000000"/>
                <w:szCs w:val="18"/>
                <w:lang w:val="it-IT"/>
              </w:rPr>
              <w:t>esse acquistare la piattaforma Enterprise Desktop con MDOP.</w:t>
            </w:r>
          </w:p>
          <w:p w14:paraId="62A57899" w14:textId="77777777" w:rsidR="00456002" w:rsidRPr="003F471F" w:rsidRDefault="00456002" w:rsidP="005C647E">
            <w:pPr>
              <w:rPr>
                <w:lang w:val="it-IT"/>
              </w:rPr>
            </w:pPr>
          </w:p>
          <w:p w14:paraId="01106BF0" w14:textId="77777777" w:rsidR="00B114A3" w:rsidRPr="003F471F" w:rsidRDefault="00B114A3" w:rsidP="005C647E">
            <w:pPr>
              <w:rPr>
                <w:lang w:val="it-IT"/>
              </w:rPr>
            </w:pPr>
          </w:p>
          <w:p w14:paraId="6E098E4E" w14:textId="77777777" w:rsidR="00B114A3" w:rsidRPr="003F471F" w:rsidRDefault="00B114A3" w:rsidP="005C647E">
            <w:pPr>
              <w:rPr>
                <w:lang w:val="it-IT"/>
              </w:rPr>
            </w:pPr>
          </w:p>
          <w:p w14:paraId="7FA54869" w14:textId="77777777" w:rsidR="00B114A3" w:rsidRPr="003F471F" w:rsidRDefault="00B114A3" w:rsidP="005C647E">
            <w:pPr>
              <w:rPr>
                <w:lang w:val="it-IT"/>
              </w:rPr>
            </w:pPr>
          </w:p>
          <w:p w14:paraId="02D7D61D" w14:textId="77777777" w:rsidR="00B114A3" w:rsidRPr="003F471F" w:rsidRDefault="00B114A3" w:rsidP="005C647E">
            <w:pPr>
              <w:rPr>
                <w:lang w:val="it-IT"/>
              </w:rPr>
            </w:pPr>
          </w:p>
          <w:p w14:paraId="2D3DD4A7" w14:textId="77777777" w:rsidR="00456002" w:rsidRPr="0058047D" w:rsidRDefault="00456002" w:rsidP="00346F4B">
            <w:pPr>
              <w:pStyle w:val="ListParagraph"/>
              <w:numPr>
                <w:ilvl w:val="0"/>
                <w:numId w:val="123"/>
              </w:numPr>
              <w:spacing w:after="60"/>
              <w:ind w:left="252"/>
            </w:pPr>
            <w:r w:rsidRPr="0058047D">
              <w:rPr>
                <w:rFonts w:ascii="Tahoma" w:hAnsi="Tahoma" w:cs="Tahoma"/>
                <w:b/>
                <w:sz w:val="18"/>
              </w:rPr>
              <w:t>Prodotti della Piattaforma Professional Desktop</w:t>
            </w:r>
          </w:p>
          <w:p w14:paraId="3813D467" w14:textId="77777777" w:rsidR="00456002" w:rsidRPr="003F471F" w:rsidRDefault="00456002" w:rsidP="004B6D8C">
            <w:pPr>
              <w:rPr>
                <w:lang w:val="it-IT"/>
              </w:rPr>
            </w:pPr>
            <w:r w:rsidRPr="003F471F">
              <w:rPr>
                <w:rFonts w:cs="Tahoma"/>
                <w:color w:val="000000"/>
                <w:szCs w:val="18"/>
                <w:lang w:val="it-IT"/>
              </w:rPr>
              <w:t>I prodotti della piattaforma Professional Desktop sono disponibili per le società che hanno sottoscritto un Contratto Enterprise. La Piattaforma Professional Desktop include la versione più aggiornata di Office Professional Plus, l</w:t>
            </w:r>
            <w:r w:rsidR="001C4212" w:rsidRPr="003F471F">
              <w:rPr>
                <w:rFonts w:cs="Tahoma"/>
                <w:color w:val="000000"/>
                <w:szCs w:val="18"/>
                <w:lang w:val="it-IT"/>
              </w:rPr>
              <w:t>’</w:t>
            </w:r>
            <w:r w:rsidRPr="003F471F">
              <w:rPr>
                <w:rFonts w:cs="Tahoma"/>
                <w:color w:val="000000"/>
                <w:szCs w:val="18"/>
                <w:lang w:val="it-IT"/>
              </w:rPr>
              <w:t>Aggiornamento per il Sistema Operativo Windows 8</w:t>
            </w:r>
            <w:r w:rsidR="00C86F50">
              <w:rPr>
                <w:rFonts w:cs="Tahoma"/>
                <w:color w:val="000000"/>
                <w:szCs w:val="18"/>
                <w:lang w:val="it-IT"/>
              </w:rPr>
              <w:t>.1</w:t>
            </w:r>
            <w:r w:rsidRPr="003F471F">
              <w:rPr>
                <w:rFonts w:cs="Tahoma"/>
                <w:color w:val="000000"/>
                <w:szCs w:val="18"/>
                <w:lang w:val="it-IT"/>
              </w:rPr>
              <w:t xml:space="preserve"> Pro o Windows Virtual Enterprise Desktop Access (VDA) (solo per</w:t>
            </w:r>
            <w:r w:rsidR="00B114A3" w:rsidRPr="003F471F">
              <w:rPr>
                <w:rFonts w:cs="Tahoma"/>
                <w:color w:val="000000"/>
                <w:szCs w:val="18"/>
                <w:lang w:val="it-IT"/>
              </w:rPr>
              <w:t> </w:t>
            </w:r>
            <w:r w:rsidRPr="003F471F">
              <w:rPr>
                <w:rFonts w:cs="Tahoma"/>
                <w:color w:val="000000"/>
                <w:szCs w:val="18"/>
                <w:lang w:val="it-IT"/>
              </w:rPr>
              <w:t>i</w:t>
            </w:r>
            <w:r w:rsidR="00B114A3" w:rsidRPr="003F471F">
              <w:rPr>
                <w:rFonts w:cs="Tahoma"/>
                <w:color w:val="000000"/>
                <w:szCs w:val="18"/>
                <w:lang w:val="it-IT"/>
              </w:rPr>
              <w:t> </w:t>
            </w:r>
            <w:r w:rsidRPr="003F471F">
              <w:rPr>
                <w:rFonts w:cs="Tahoma"/>
                <w:color w:val="000000"/>
                <w:szCs w:val="18"/>
                <w:lang w:val="it-IT"/>
              </w:rPr>
              <w:t>Contratti EA) e la licenza Core CAL Suite. I prodotti della piattaforma Professional Desktop sono indicati da una “E” nelle colonne del Contratto Enterprise. Le società che hanno sottoscritto un Contratto Enterprise ed Enterprise Subscription possono anch</w:t>
            </w:r>
            <w:r w:rsidR="001C4212" w:rsidRPr="003F471F">
              <w:rPr>
                <w:rFonts w:cs="Tahoma"/>
                <w:color w:val="000000"/>
                <w:szCs w:val="18"/>
                <w:lang w:val="it-IT"/>
              </w:rPr>
              <w:t>’</w:t>
            </w:r>
            <w:r w:rsidRPr="003F471F">
              <w:rPr>
                <w:rFonts w:cs="Tahoma"/>
                <w:color w:val="000000"/>
                <w:szCs w:val="18"/>
                <w:lang w:val="it-IT"/>
              </w:rPr>
              <w:t>esse acquistare la piattaforma Professional Desktop con MDOP.</w:t>
            </w:r>
          </w:p>
          <w:p w14:paraId="6BC833B4" w14:textId="77777777" w:rsidR="00456002" w:rsidRPr="003F471F" w:rsidRDefault="00456002" w:rsidP="005C647E">
            <w:pPr>
              <w:rPr>
                <w:rFonts w:cs="Tahoma"/>
                <w:szCs w:val="18"/>
                <w:lang w:val="it-IT" w:eastAsia="ja-JP"/>
              </w:rPr>
            </w:pPr>
          </w:p>
        </w:tc>
      </w:tr>
      <w:tr w:rsidR="00456002" w:rsidRPr="003F471F" w14:paraId="43BB6698" w14:textId="77777777" w:rsidTr="00E72B9D">
        <w:trPr>
          <w:trHeight w:val="278"/>
        </w:trPr>
        <w:tc>
          <w:tcPr>
            <w:tcW w:w="1890" w:type="dxa"/>
            <w:shd w:val="clear" w:color="auto" w:fill="auto"/>
          </w:tcPr>
          <w:p w14:paraId="6195E30D" w14:textId="77777777" w:rsidR="00456002" w:rsidRPr="003F471F" w:rsidRDefault="00456002" w:rsidP="00B114A3">
            <w:pPr>
              <w:spacing w:before="60"/>
              <w:rPr>
                <w:b/>
                <w:lang w:val="it-IT" w:eastAsia="ja-JP"/>
              </w:rPr>
            </w:pPr>
            <w:r w:rsidRPr="003F471F">
              <w:rPr>
                <w:b/>
                <w:sz w:val="20"/>
                <w:lang w:val="it-IT"/>
              </w:rPr>
              <w:t>Open Value e</w:t>
            </w:r>
            <w:r w:rsidR="00B114A3" w:rsidRPr="003F471F">
              <w:rPr>
                <w:b/>
                <w:sz w:val="20"/>
                <w:lang w:val="it-IT"/>
              </w:rPr>
              <w:t> </w:t>
            </w:r>
            <w:r w:rsidRPr="003F471F">
              <w:rPr>
                <w:b/>
                <w:sz w:val="20"/>
                <w:lang w:val="it-IT"/>
              </w:rPr>
              <w:t>Open Value Subscription (per Società Commerciali ed</w:t>
            </w:r>
            <w:r w:rsidR="00B114A3" w:rsidRPr="003F471F">
              <w:rPr>
                <w:b/>
                <w:sz w:val="20"/>
                <w:lang w:val="it-IT"/>
              </w:rPr>
              <w:t> </w:t>
            </w:r>
            <w:r w:rsidRPr="003F471F">
              <w:rPr>
                <w:b/>
                <w:sz w:val="20"/>
                <w:lang w:val="it-IT"/>
              </w:rPr>
              <w:t>Enti Pubblici)</w:t>
            </w:r>
          </w:p>
        </w:tc>
        <w:tc>
          <w:tcPr>
            <w:tcW w:w="7308" w:type="dxa"/>
            <w:shd w:val="clear" w:color="auto" w:fill="auto"/>
          </w:tcPr>
          <w:p w14:paraId="4E3458B1" w14:textId="77777777" w:rsidR="00456002" w:rsidRPr="0058047D" w:rsidRDefault="00456002" w:rsidP="00346F4B">
            <w:pPr>
              <w:pStyle w:val="ListParagraph"/>
              <w:numPr>
                <w:ilvl w:val="0"/>
                <w:numId w:val="123"/>
              </w:numPr>
              <w:spacing w:before="60" w:after="60"/>
              <w:ind w:left="245"/>
            </w:pPr>
            <w:r w:rsidRPr="0058047D">
              <w:rPr>
                <w:rFonts w:ascii="Tahoma" w:hAnsi="Tahoma" w:cs="Tahoma"/>
                <w:b/>
                <w:sz w:val="18"/>
              </w:rPr>
              <w:t>Prodotti della Piattaforma Desktop Personalizzati</w:t>
            </w:r>
          </w:p>
          <w:p w14:paraId="493B5884" w14:textId="77777777" w:rsidR="00456002" w:rsidRPr="003F471F" w:rsidRDefault="00456002" w:rsidP="004B6D8C">
            <w:pPr>
              <w:rPr>
                <w:lang w:val="it-IT"/>
              </w:rPr>
            </w:pPr>
            <w:r w:rsidRPr="003F471F">
              <w:rPr>
                <w:rFonts w:cs="Tahoma"/>
                <w:color w:val="000000"/>
                <w:szCs w:val="18"/>
                <w:lang w:val="it-IT"/>
              </w:rPr>
              <w:t>I Prodotti della Piattaforma Desktop Personalizzati sono disponibili per le società Open Value e Open Value Subscription quando scelgono l</w:t>
            </w:r>
            <w:r w:rsidR="001C4212" w:rsidRPr="003F471F">
              <w:rPr>
                <w:rFonts w:cs="Tahoma"/>
                <w:color w:val="000000"/>
                <w:szCs w:val="18"/>
                <w:lang w:val="it-IT"/>
              </w:rPr>
              <w:t>’</w:t>
            </w:r>
            <w:r w:rsidRPr="003F471F">
              <w:rPr>
                <w:rFonts w:cs="Tahoma"/>
                <w:color w:val="000000"/>
                <w:szCs w:val="18"/>
                <w:lang w:val="it-IT"/>
              </w:rPr>
              <w:t>opzione per l</w:t>
            </w:r>
            <w:r w:rsidR="001C4212" w:rsidRPr="003F471F">
              <w:rPr>
                <w:rFonts w:cs="Tahoma"/>
                <w:color w:val="000000"/>
                <w:szCs w:val="18"/>
                <w:lang w:val="it-IT"/>
              </w:rPr>
              <w:t>’</w:t>
            </w:r>
            <w:r w:rsidRPr="003F471F">
              <w:rPr>
                <w:rFonts w:cs="Tahoma"/>
                <w:szCs w:val="18"/>
                <w:lang w:val="it-IT"/>
              </w:rPr>
              <w:t>intera organizzazione/a livello aziendale</w:t>
            </w:r>
            <w:r w:rsidRPr="003F471F">
              <w:rPr>
                <w:rFonts w:cs="Tahoma"/>
                <w:color w:val="000000"/>
                <w:szCs w:val="18"/>
                <w:lang w:val="it-IT"/>
              </w:rPr>
              <w:t>. La Piattaforma Desktop Personalizzata include le versioni correnti di Office Professional Plus, l</w:t>
            </w:r>
            <w:r w:rsidR="001C4212" w:rsidRPr="003F471F">
              <w:rPr>
                <w:rFonts w:cs="Tahoma"/>
                <w:color w:val="000000"/>
                <w:szCs w:val="18"/>
                <w:lang w:val="it-IT"/>
              </w:rPr>
              <w:t>’</w:t>
            </w:r>
            <w:r w:rsidRPr="003F471F">
              <w:rPr>
                <w:rFonts w:cs="Tahoma"/>
                <w:color w:val="000000"/>
                <w:szCs w:val="18"/>
                <w:lang w:val="it-IT"/>
              </w:rPr>
              <w:t>Aggiornamento per il Sistema Operativo Windows 8</w:t>
            </w:r>
            <w:r w:rsidR="00C86F50">
              <w:rPr>
                <w:rFonts w:cs="Tahoma"/>
                <w:color w:val="000000"/>
                <w:szCs w:val="18"/>
                <w:lang w:val="it-IT"/>
              </w:rPr>
              <w:t>.1</w:t>
            </w:r>
            <w:r w:rsidRPr="003F471F">
              <w:rPr>
                <w:rFonts w:cs="Tahoma"/>
                <w:color w:val="000000"/>
                <w:szCs w:val="18"/>
                <w:lang w:val="it-IT"/>
              </w:rPr>
              <w:t xml:space="preserve"> Pro*, la licenza di accesso client per Enterprise CAL Suite, Core CAL Suite, Essential Business Server CAL Suite o Small Business Server CAL Suite. I Prodotti della Piattaforma Desktop Personalizzati sono indicati da una “E” nelle colonne Open Value.</w:t>
            </w:r>
            <w:r w:rsidR="00E34ED3" w:rsidRPr="003F471F">
              <w:rPr>
                <w:rFonts w:cs="Tahoma"/>
                <w:color w:val="000000"/>
                <w:szCs w:val="18"/>
                <w:lang w:val="it-IT"/>
              </w:rPr>
              <w:t xml:space="preserve"> </w:t>
            </w:r>
          </w:p>
          <w:p w14:paraId="04BF8E1B" w14:textId="77777777" w:rsidR="00456002" w:rsidRPr="003F471F" w:rsidRDefault="00456002" w:rsidP="005C647E">
            <w:pPr>
              <w:rPr>
                <w:rFonts w:cs="Tahoma"/>
                <w:szCs w:val="18"/>
                <w:lang w:val="it-IT" w:eastAsia="ja-JP"/>
              </w:rPr>
            </w:pPr>
          </w:p>
        </w:tc>
      </w:tr>
      <w:tr w:rsidR="00456002" w:rsidRPr="003F471F" w14:paraId="320808D8" w14:textId="77777777" w:rsidTr="00E72B9D">
        <w:trPr>
          <w:trHeight w:val="278"/>
        </w:trPr>
        <w:tc>
          <w:tcPr>
            <w:tcW w:w="1890" w:type="dxa"/>
            <w:shd w:val="clear" w:color="auto" w:fill="auto"/>
          </w:tcPr>
          <w:p w14:paraId="075BA552" w14:textId="77777777" w:rsidR="00456002" w:rsidRPr="003F471F" w:rsidRDefault="00456002" w:rsidP="008432A1">
            <w:pPr>
              <w:spacing w:before="60"/>
              <w:rPr>
                <w:b/>
                <w:lang w:val="it-IT" w:eastAsia="ja-JP"/>
              </w:rPr>
            </w:pPr>
            <w:r w:rsidRPr="003F471F">
              <w:rPr>
                <w:b/>
                <w:sz w:val="20"/>
                <w:lang w:val="it-IT"/>
              </w:rPr>
              <w:t>Piattaforme Academic (EES,</w:t>
            </w:r>
            <w:r w:rsidR="00B114A3" w:rsidRPr="003F471F">
              <w:rPr>
                <w:b/>
                <w:sz w:val="20"/>
                <w:lang w:val="it-IT"/>
              </w:rPr>
              <w:t> </w:t>
            </w:r>
            <w:r w:rsidRPr="003F471F">
              <w:rPr>
                <w:b/>
                <w:sz w:val="20"/>
                <w:lang w:val="it-IT"/>
              </w:rPr>
              <w:t>OVS-ES e</w:t>
            </w:r>
            <w:r w:rsidR="00B114A3" w:rsidRPr="003F471F">
              <w:rPr>
                <w:b/>
                <w:sz w:val="20"/>
                <w:lang w:val="it-IT"/>
              </w:rPr>
              <w:t> </w:t>
            </w:r>
            <w:r w:rsidRPr="003F471F">
              <w:rPr>
                <w:b/>
                <w:sz w:val="20"/>
                <w:lang w:val="it-IT"/>
              </w:rPr>
              <w:t>Contratti Campus e</w:t>
            </w:r>
            <w:r w:rsidR="008432A1" w:rsidRPr="003F471F">
              <w:rPr>
                <w:b/>
                <w:sz w:val="20"/>
                <w:lang w:val="it-IT"/>
              </w:rPr>
              <w:t> </w:t>
            </w:r>
            <w:r w:rsidRPr="003F471F">
              <w:rPr>
                <w:b/>
                <w:sz w:val="20"/>
                <w:lang w:val="it-IT"/>
              </w:rPr>
              <w:t>School)</w:t>
            </w:r>
          </w:p>
        </w:tc>
        <w:tc>
          <w:tcPr>
            <w:tcW w:w="7308" w:type="dxa"/>
            <w:shd w:val="clear" w:color="auto" w:fill="auto"/>
          </w:tcPr>
          <w:p w14:paraId="61E1F4EF" w14:textId="77777777" w:rsidR="00821966" w:rsidRPr="003F471F" w:rsidRDefault="00456002" w:rsidP="00346F4B">
            <w:pPr>
              <w:pStyle w:val="ListParagraph"/>
              <w:numPr>
                <w:ilvl w:val="0"/>
                <w:numId w:val="123"/>
              </w:numPr>
              <w:spacing w:before="60" w:after="60"/>
              <w:ind w:left="245"/>
              <w:contextualSpacing w:val="0"/>
              <w:rPr>
                <w:lang w:val="it-IT"/>
              </w:rPr>
            </w:pPr>
            <w:r w:rsidRPr="003F471F">
              <w:rPr>
                <w:rFonts w:ascii="Tahoma" w:hAnsi="Tahoma" w:cs="Tahoma"/>
                <w:b/>
                <w:sz w:val="18"/>
                <w:lang w:val="it-IT"/>
              </w:rPr>
              <w:t>Prodotti della Piattaforma Desktop Education e Piattaforma Desktop School con Enterprise CAL Suite</w:t>
            </w:r>
          </w:p>
          <w:p w14:paraId="347E4CDE" w14:textId="77777777" w:rsidR="00456002" w:rsidRPr="003F471F" w:rsidRDefault="00456002" w:rsidP="00346F4B">
            <w:pPr>
              <w:pStyle w:val="ListParagraph"/>
              <w:numPr>
                <w:ilvl w:val="0"/>
                <w:numId w:val="123"/>
              </w:numPr>
              <w:spacing w:after="60"/>
              <w:ind w:left="252"/>
              <w:rPr>
                <w:lang w:val="it-IT"/>
              </w:rPr>
            </w:pPr>
            <w:r w:rsidRPr="003F471F">
              <w:rPr>
                <w:rFonts w:ascii="Tahoma" w:hAnsi="Tahoma" w:cs="Tahoma"/>
                <w:b/>
                <w:sz w:val="18"/>
                <w:lang w:val="it-IT"/>
              </w:rPr>
              <w:t>Prodotti della Piattaforma Desktop Education e Piattaforma Desktop School con Core CAL Suite</w:t>
            </w:r>
          </w:p>
          <w:p w14:paraId="6C57A488" w14:textId="77777777" w:rsidR="00456002" w:rsidRPr="003F471F" w:rsidRDefault="00456002" w:rsidP="00821966">
            <w:pPr>
              <w:rPr>
                <w:lang w:val="it-IT"/>
              </w:rPr>
            </w:pPr>
            <w:r w:rsidRPr="003F471F">
              <w:rPr>
                <w:rFonts w:cs="Tahoma"/>
                <w:szCs w:val="18"/>
                <w:lang w:val="it-IT"/>
              </w:rPr>
              <w:t>I Prodotti della Piattaforma Desktop Education sono disponibili per le società Enrollment for Education Solutions (EES) e Open Value Subscription - Education Solutions (OVS-ES). I Prodotti della Piattaforma Desktop School sono disponibili per le società che hanno sottoscritto Contratti Campus e School. La Piattaforma Desktop Education con Enterprise CAL Suite e la Piattaforma Desktop School con Enterprise CAL Suite includono la versione più aggiornata di Office Professional Plus o Office per Mac, l</w:t>
            </w:r>
            <w:r w:rsidR="001C4212" w:rsidRPr="003F471F">
              <w:rPr>
                <w:rFonts w:cs="Tahoma"/>
                <w:szCs w:val="18"/>
                <w:lang w:val="it-IT"/>
              </w:rPr>
              <w:t>’</w:t>
            </w:r>
            <w:r w:rsidRPr="003F471F">
              <w:rPr>
                <w:rFonts w:cs="Tahoma"/>
                <w:szCs w:val="18"/>
                <w:lang w:val="it-IT"/>
              </w:rPr>
              <w:t>Aggiornamento per il Sistema Operativo Windows 8</w:t>
            </w:r>
            <w:r w:rsidR="00C86F50">
              <w:rPr>
                <w:rFonts w:cs="Tahoma"/>
                <w:szCs w:val="18"/>
                <w:lang w:val="it-IT"/>
              </w:rPr>
              <w:t>.1</w:t>
            </w:r>
            <w:r w:rsidRPr="003F471F">
              <w:rPr>
                <w:rFonts w:cs="Tahoma"/>
                <w:szCs w:val="18"/>
                <w:lang w:val="it-IT"/>
              </w:rPr>
              <w:t xml:space="preserve"> Pro e la licenza Enterprise CAL Suite. </w:t>
            </w:r>
          </w:p>
          <w:p w14:paraId="794FE4F9" w14:textId="77777777" w:rsidR="00456002" w:rsidRPr="003F471F" w:rsidRDefault="00456002" w:rsidP="00E64551">
            <w:pPr>
              <w:ind w:left="360"/>
              <w:rPr>
                <w:lang w:val="it-IT"/>
              </w:rPr>
            </w:pPr>
          </w:p>
          <w:p w14:paraId="09101022" w14:textId="77777777" w:rsidR="00456002" w:rsidRPr="003F471F" w:rsidRDefault="00456002" w:rsidP="00821966">
            <w:pPr>
              <w:rPr>
                <w:lang w:val="it-IT"/>
              </w:rPr>
            </w:pPr>
            <w:r w:rsidRPr="003F471F">
              <w:rPr>
                <w:rFonts w:cs="Tahoma"/>
                <w:iCs/>
                <w:szCs w:val="18"/>
                <w:lang w:val="it-IT"/>
              </w:rPr>
              <w:t>Il Prodotto della Piattaforma Desktop School nel listino prezzi conta come 3 unità.</w:t>
            </w:r>
          </w:p>
          <w:p w14:paraId="48479C94" w14:textId="77777777" w:rsidR="00456002" w:rsidRPr="003F471F" w:rsidRDefault="00456002" w:rsidP="00821966">
            <w:pPr>
              <w:rPr>
                <w:lang w:val="it-IT"/>
              </w:rPr>
            </w:pPr>
          </w:p>
          <w:p w14:paraId="7E4EA464" w14:textId="77777777" w:rsidR="00456002" w:rsidRPr="003F471F" w:rsidRDefault="00456002" w:rsidP="00821966">
            <w:pPr>
              <w:tabs>
                <w:tab w:val="left" w:pos="8640"/>
              </w:tabs>
              <w:ind w:right="720"/>
              <w:rPr>
                <w:lang w:val="it-IT"/>
              </w:rPr>
            </w:pPr>
            <w:r w:rsidRPr="003F471F">
              <w:rPr>
                <w:rFonts w:cs="Tahoma"/>
                <w:b/>
                <w:bCs/>
                <w:color w:val="000000"/>
                <w:szCs w:val="18"/>
                <w:lang w:val="it-IT"/>
              </w:rPr>
              <w:t xml:space="preserve">Nota: </w:t>
            </w:r>
            <w:r w:rsidRPr="003F471F">
              <w:rPr>
                <w:rFonts w:cs="Tahoma"/>
                <w:bCs/>
                <w:color w:val="000000"/>
                <w:szCs w:val="18"/>
                <w:lang w:val="it-IT"/>
              </w:rPr>
              <w:t>le società con contratti EES e OVS-ES non sono idonee a scegliere Prodotti della Piattaforma Desktop e singoli prodotti con CAL inclusi nella Core</w:t>
            </w:r>
            <w:r w:rsidR="008432A1" w:rsidRPr="003F471F">
              <w:rPr>
                <w:rFonts w:cs="Tahoma"/>
                <w:bCs/>
                <w:color w:val="000000"/>
                <w:szCs w:val="18"/>
                <w:lang w:val="it-IT"/>
              </w:rPr>
              <w:t> </w:t>
            </w:r>
            <w:r w:rsidRPr="003F471F">
              <w:rPr>
                <w:rFonts w:cs="Tahoma"/>
                <w:bCs/>
                <w:color w:val="000000"/>
                <w:szCs w:val="18"/>
                <w:lang w:val="it-IT"/>
              </w:rPr>
              <w:t>CAL Suite o nell</w:t>
            </w:r>
            <w:r w:rsidR="001C4212" w:rsidRPr="003F471F">
              <w:rPr>
                <w:rFonts w:cs="Tahoma"/>
                <w:bCs/>
                <w:color w:val="000000"/>
                <w:szCs w:val="18"/>
                <w:lang w:val="it-IT"/>
              </w:rPr>
              <w:t>’</w:t>
            </w:r>
            <w:r w:rsidRPr="003F471F">
              <w:rPr>
                <w:rFonts w:cs="Tahoma"/>
                <w:bCs/>
                <w:color w:val="000000"/>
                <w:szCs w:val="18"/>
                <w:lang w:val="it-IT"/>
              </w:rPr>
              <w:t>Enterprise CAL Suite per un solo componente del Numero</w:t>
            </w:r>
            <w:r w:rsidR="008432A1" w:rsidRPr="003F471F">
              <w:rPr>
                <w:rFonts w:cs="Tahoma"/>
                <w:bCs/>
                <w:color w:val="000000"/>
                <w:szCs w:val="18"/>
                <w:lang w:val="it-IT"/>
              </w:rPr>
              <w:t> </w:t>
            </w:r>
            <w:r w:rsidRPr="003F471F">
              <w:rPr>
                <w:rFonts w:cs="Tahoma"/>
                <w:bCs/>
                <w:color w:val="000000"/>
                <w:szCs w:val="18"/>
                <w:lang w:val="it-IT"/>
              </w:rPr>
              <w:t>dell</w:t>
            </w:r>
            <w:r w:rsidR="001C4212" w:rsidRPr="003F471F">
              <w:rPr>
                <w:rFonts w:cs="Tahoma"/>
                <w:bCs/>
                <w:color w:val="000000"/>
                <w:szCs w:val="18"/>
                <w:lang w:val="it-IT"/>
              </w:rPr>
              <w:t>’</w:t>
            </w:r>
            <w:r w:rsidRPr="003F471F">
              <w:rPr>
                <w:rFonts w:cs="Tahoma"/>
                <w:bCs/>
                <w:color w:val="000000"/>
                <w:szCs w:val="18"/>
                <w:lang w:val="it-IT"/>
              </w:rPr>
              <w:t>intera organizzazione e/o degli Studenti. Ad esempio, qualora la</w:t>
            </w:r>
            <w:r w:rsidR="008432A1" w:rsidRPr="003F471F">
              <w:rPr>
                <w:rFonts w:cs="Tahoma"/>
                <w:bCs/>
                <w:color w:val="000000"/>
                <w:szCs w:val="18"/>
                <w:lang w:val="it-IT"/>
              </w:rPr>
              <w:t> </w:t>
            </w:r>
            <w:r w:rsidRPr="003F471F">
              <w:rPr>
                <w:rFonts w:cs="Tahoma"/>
                <w:bCs/>
                <w:color w:val="000000"/>
                <w:szCs w:val="18"/>
                <w:lang w:val="it-IT"/>
              </w:rPr>
              <w:t>sottoscrizione sia applicabile a 1.200 dipendenti full time dell</w:t>
            </w:r>
            <w:r w:rsidR="001C4212" w:rsidRPr="003F471F">
              <w:rPr>
                <w:rFonts w:cs="Tahoma"/>
                <w:bCs/>
                <w:color w:val="000000"/>
                <w:szCs w:val="18"/>
                <w:lang w:val="it-IT"/>
              </w:rPr>
              <w:t>’</w:t>
            </w:r>
            <w:r w:rsidRPr="003F471F">
              <w:rPr>
                <w:rFonts w:cs="Tahoma"/>
                <w:bCs/>
                <w:color w:val="000000"/>
                <w:szCs w:val="18"/>
                <w:lang w:val="it-IT"/>
              </w:rPr>
              <w:t>intera organizzazione, i Prodotti della Piattaforma Desktop e i prodotti dei componenti di CAL Suite selezionati saranno applicabili a 1.000 dipendenti dell</w:t>
            </w:r>
            <w:r w:rsidR="001C4212" w:rsidRPr="003F471F">
              <w:rPr>
                <w:rFonts w:cs="Tahoma"/>
                <w:bCs/>
                <w:color w:val="000000"/>
                <w:szCs w:val="18"/>
                <w:lang w:val="it-IT"/>
              </w:rPr>
              <w:t>’</w:t>
            </w:r>
            <w:r w:rsidRPr="003F471F">
              <w:rPr>
                <w:rFonts w:cs="Tahoma"/>
                <w:bCs/>
                <w:color w:val="000000"/>
                <w:szCs w:val="18"/>
                <w:lang w:val="it-IT"/>
              </w:rPr>
              <w:t>intera organizzazione, anche nel caso in cui su un componente di tali PC venga eseguito un particolare prodotto della Piattaforma Desktop o un prodotto con</w:t>
            </w:r>
            <w:r w:rsidR="008432A1" w:rsidRPr="003F471F">
              <w:rPr>
                <w:rFonts w:cs="Tahoma"/>
                <w:bCs/>
                <w:color w:val="000000"/>
                <w:szCs w:val="18"/>
                <w:lang w:val="it-IT"/>
              </w:rPr>
              <w:t> </w:t>
            </w:r>
            <w:r w:rsidRPr="003F471F">
              <w:rPr>
                <w:rFonts w:cs="Tahoma"/>
                <w:bCs/>
                <w:color w:val="000000"/>
                <w:szCs w:val="18"/>
                <w:lang w:val="it-IT"/>
              </w:rPr>
              <w:t>CAL del componente.</w:t>
            </w:r>
          </w:p>
          <w:p w14:paraId="2A058D3C" w14:textId="77777777" w:rsidR="00456002" w:rsidRPr="003F471F" w:rsidRDefault="00456002" w:rsidP="005C647E">
            <w:pPr>
              <w:rPr>
                <w:rFonts w:cs="Tahoma"/>
                <w:szCs w:val="18"/>
                <w:lang w:val="it-IT" w:eastAsia="ja-JP"/>
              </w:rPr>
            </w:pPr>
          </w:p>
        </w:tc>
      </w:tr>
    </w:tbl>
    <w:p w14:paraId="79481C55" w14:textId="77777777" w:rsidR="00456002" w:rsidRPr="003F471F" w:rsidRDefault="00456002" w:rsidP="00456002">
      <w:pPr>
        <w:pStyle w:val="Heading4"/>
        <w:tabs>
          <w:tab w:val="clear" w:pos="720"/>
          <w:tab w:val="num" w:pos="0"/>
        </w:tabs>
        <w:ind w:left="0" w:right="720" w:firstLine="0"/>
        <w:rPr>
          <w:lang w:val="it-IT"/>
        </w:rPr>
      </w:pPr>
    </w:p>
    <w:p w14:paraId="5E73EF39" w14:textId="77777777" w:rsidR="00406CB0" w:rsidRPr="003F471F" w:rsidRDefault="00406CB0" w:rsidP="00406CB0">
      <w:pPr>
        <w:rPr>
          <w:lang w:val="it-IT"/>
        </w:rPr>
      </w:pPr>
      <w:bookmarkStart w:id="613" w:name="_Toc336338193"/>
    </w:p>
    <w:p w14:paraId="20AD51C6" w14:textId="77777777" w:rsidR="004641FD" w:rsidRPr="003F471F" w:rsidRDefault="00755633" w:rsidP="004641FD">
      <w:pPr>
        <w:pStyle w:val="Heading3"/>
        <w:ind w:right="720"/>
        <w:rPr>
          <w:lang w:val="it-IT"/>
        </w:rPr>
      </w:pPr>
      <w:bookmarkStart w:id="614" w:name="_Toc371663586"/>
      <w:r w:rsidRPr="003F471F">
        <w:rPr>
          <w:rFonts w:ascii="Tahoma" w:hAnsi="Tahoma" w:cs="Tahoma"/>
          <w:sz w:val="24"/>
          <w:szCs w:val="22"/>
          <w:lang w:val="it-IT"/>
        </w:rPr>
        <w:t>Definizione di Gestione per i Dispositivi Qualificanti</w:t>
      </w:r>
      <w:bookmarkEnd w:id="613"/>
      <w:bookmarkEnd w:id="614"/>
    </w:p>
    <w:p w14:paraId="3426DA45" w14:textId="77777777" w:rsidR="00406CB0" w:rsidRPr="003F471F" w:rsidRDefault="00406CB0" w:rsidP="00406CB0">
      <w:pPr>
        <w:rPr>
          <w:lang w:val="it-IT"/>
        </w:rPr>
      </w:pPr>
    </w:p>
    <w:p w14:paraId="51904B87" w14:textId="77777777" w:rsidR="004641FD" w:rsidRPr="003F471F" w:rsidRDefault="004641FD" w:rsidP="004641FD">
      <w:pPr>
        <w:rPr>
          <w:lang w:val="it-IT"/>
        </w:rPr>
      </w:pPr>
      <w:r w:rsidRPr="003F471F">
        <w:rPr>
          <w:rFonts w:cs="Tahoma"/>
          <w:lang w:val="it-IT"/>
        </w:rPr>
        <w:t>Una società titolare di Contratti Multilicenza “gestisce” qualsiasi dispositivo su cui controlla direttamente o indirettamente uno o più ambienti del sistema operativo.</w:t>
      </w:r>
      <w:r w:rsidR="00E34ED3" w:rsidRPr="003F471F">
        <w:rPr>
          <w:rFonts w:cs="Tahoma"/>
          <w:lang w:val="it-IT"/>
        </w:rPr>
        <w:t xml:space="preserve"> </w:t>
      </w:r>
      <w:r w:rsidRPr="003F471F">
        <w:rPr>
          <w:rFonts w:cs="Tahoma"/>
          <w:lang w:val="it-IT"/>
        </w:rPr>
        <w:t>Ad esempio, una società titolare di Contratti Multilicenza gestisce qualsiasi dispositivo</w:t>
      </w:r>
    </w:p>
    <w:p w14:paraId="27AE584E" w14:textId="77777777" w:rsidR="00406CB0" w:rsidRPr="003F471F" w:rsidRDefault="00406CB0" w:rsidP="00822871">
      <w:pPr>
        <w:spacing w:after="60"/>
        <w:rPr>
          <w:lang w:val="it-IT"/>
        </w:rPr>
      </w:pPr>
    </w:p>
    <w:p w14:paraId="667E6F24" w14:textId="77777777" w:rsidR="004641FD" w:rsidRPr="003F471F" w:rsidRDefault="004641FD" w:rsidP="00822871">
      <w:pPr>
        <w:numPr>
          <w:ilvl w:val="0"/>
          <w:numId w:val="19"/>
        </w:numPr>
        <w:spacing w:after="60"/>
        <w:rPr>
          <w:lang w:val="it-IT"/>
        </w:rPr>
      </w:pPr>
      <w:r w:rsidRPr="003F471F">
        <w:rPr>
          <w:rFonts w:cs="Tahoma"/>
          <w:lang w:val="it-IT"/>
        </w:rPr>
        <w:t>che autorizza a unirsi al suo dominio OPPURE</w:t>
      </w:r>
    </w:p>
    <w:p w14:paraId="1B7AAADF" w14:textId="77777777" w:rsidR="004641FD" w:rsidRPr="003F471F" w:rsidRDefault="004641FD" w:rsidP="00822871">
      <w:pPr>
        <w:numPr>
          <w:ilvl w:val="0"/>
          <w:numId w:val="19"/>
        </w:numPr>
        <w:spacing w:after="60"/>
        <w:rPr>
          <w:lang w:val="it-IT"/>
        </w:rPr>
      </w:pPr>
      <w:r w:rsidRPr="003F471F">
        <w:rPr>
          <w:rFonts w:cs="Tahoma"/>
          <w:lang w:val="it-IT"/>
        </w:rPr>
        <w:t>che autentica come requisito per utilizzare le applicazioni mentre si trova in sede OPPURE</w:t>
      </w:r>
    </w:p>
    <w:p w14:paraId="4BF9EAFA" w14:textId="77777777" w:rsidR="004641FD" w:rsidRPr="003F471F" w:rsidRDefault="004641FD" w:rsidP="00822871">
      <w:pPr>
        <w:numPr>
          <w:ilvl w:val="0"/>
          <w:numId w:val="19"/>
        </w:numPr>
        <w:spacing w:after="60"/>
        <w:rPr>
          <w:lang w:val="it-IT"/>
        </w:rPr>
      </w:pPr>
      <w:r w:rsidRPr="003F471F">
        <w:rPr>
          <w:rFonts w:cs="Tahoma"/>
          <w:lang w:val="it-IT"/>
        </w:rPr>
        <w:t>su cui installa agenti (ad esempio, antivirus, antimalware o altri agenti imposti dai criteri della società) OPPURE</w:t>
      </w:r>
    </w:p>
    <w:p w14:paraId="4DB85AFA" w14:textId="77777777" w:rsidR="004641FD" w:rsidRPr="003F471F" w:rsidRDefault="004641FD" w:rsidP="00822871">
      <w:pPr>
        <w:numPr>
          <w:ilvl w:val="0"/>
          <w:numId w:val="19"/>
        </w:numPr>
        <w:spacing w:after="60"/>
        <w:rPr>
          <w:lang w:val="it-IT"/>
        </w:rPr>
      </w:pPr>
      <w:r w:rsidRPr="003F471F">
        <w:rPr>
          <w:rFonts w:cs="Tahoma"/>
          <w:lang w:val="it-IT"/>
        </w:rPr>
        <w:t>al quale applica e per il quale rende attuabili* direttamente o indirettamente i criteri di gruppo OPPURE</w:t>
      </w:r>
    </w:p>
    <w:p w14:paraId="348700B6" w14:textId="77777777" w:rsidR="004641FD" w:rsidRPr="003F471F" w:rsidRDefault="004641FD" w:rsidP="00822871">
      <w:pPr>
        <w:numPr>
          <w:ilvl w:val="0"/>
          <w:numId w:val="19"/>
        </w:numPr>
        <w:spacing w:after="60"/>
        <w:rPr>
          <w:lang w:val="it-IT"/>
        </w:rPr>
      </w:pPr>
      <w:r w:rsidRPr="003F471F">
        <w:rPr>
          <w:rFonts w:cs="Tahoma"/>
          <w:lang w:val="it-IT"/>
        </w:rPr>
        <w:t>tramite il quale richiede o riceve dati e configura o fornisce istruzioni all</w:t>
      </w:r>
      <w:r w:rsidR="001C4212" w:rsidRPr="003F471F">
        <w:rPr>
          <w:rFonts w:cs="Tahoma"/>
          <w:lang w:val="it-IT"/>
        </w:rPr>
        <w:t>’</w:t>
      </w:r>
      <w:r w:rsidRPr="003F471F">
        <w:rPr>
          <w:rFonts w:cs="Tahoma"/>
          <w:lang w:val="it-IT"/>
        </w:rPr>
        <w:t>hardware o al software associato direttamente o indirettamente a un ambiente del sistema operativo OPPURE</w:t>
      </w:r>
    </w:p>
    <w:p w14:paraId="3A33226E" w14:textId="77777777" w:rsidR="004641FD" w:rsidRPr="003F471F" w:rsidRDefault="004641FD" w:rsidP="00822871">
      <w:pPr>
        <w:numPr>
          <w:ilvl w:val="0"/>
          <w:numId w:val="19"/>
        </w:numPr>
        <w:spacing w:after="60"/>
        <w:rPr>
          <w:lang w:val="it-IT"/>
        </w:rPr>
      </w:pPr>
      <w:r w:rsidRPr="003F471F">
        <w:rPr>
          <w:rFonts w:cs="Tahoma"/>
          <w:lang w:val="it-IT"/>
        </w:rPr>
        <w:t>che autorizza ad accedere a un</w:t>
      </w:r>
      <w:r w:rsidR="001C4212" w:rsidRPr="003F471F">
        <w:rPr>
          <w:rFonts w:cs="Tahoma"/>
          <w:lang w:val="it-IT"/>
        </w:rPr>
        <w:t>’</w:t>
      </w:r>
      <w:r w:rsidRPr="003F471F">
        <w:rPr>
          <w:rFonts w:cs="Tahoma"/>
          <w:lang w:val="it-IT"/>
        </w:rPr>
        <w:t>infrastruttura desktop virtuale (Virtual Desktop Infrastructure o</w:t>
      </w:r>
      <w:r w:rsidR="008432A1" w:rsidRPr="003F471F">
        <w:rPr>
          <w:rFonts w:cs="Tahoma"/>
          <w:lang w:val="it-IT"/>
        </w:rPr>
        <w:t> </w:t>
      </w:r>
      <w:r w:rsidRPr="003F471F">
        <w:rPr>
          <w:rFonts w:cs="Tahoma"/>
          <w:lang w:val="it-IT"/>
        </w:rPr>
        <w:t>VDI) esterna a Windows Software Assurance, Windows Intune (Per Dispositivo) o ai Diritti di</w:t>
      </w:r>
      <w:r w:rsidR="008432A1" w:rsidRPr="003F471F">
        <w:rPr>
          <w:rFonts w:cs="Tahoma"/>
          <w:lang w:val="it-IT"/>
        </w:rPr>
        <w:t> </w:t>
      </w:r>
      <w:r w:rsidRPr="003F471F">
        <w:rPr>
          <w:rFonts w:cs="Tahoma"/>
          <w:lang w:val="it-IT"/>
        </w:rPr>
        <w:t>Roaming per Windows Virtual Desktop Access.</w:t>
      </w:r>
    </w:p>
    <w:p w14:paraId="56BCA768" w14:textId="77777777" w:rsidR="00755633" w:rsidRPr="003F471F" w:rsidRDefault="00755633" w:rsidP="00755633">
      <w:pPr>
        <w:ind w:left="1440"/>
        <w:rPr>
          <w:lang w:val="it-IT"/>
        </w:rPr>
      </w:pPr>
    </w:p>
    <w:p w14:paraId="1E6F2BA2" w14:textId="77777777" w:rsidR="004641FD" w:rsidRPr="003F471F" w:rsidRDefault="004641FD" w:rsidP="004641FD">
      <w:pPr>
        <w:rPr>
          <w:lang w:val="it-IT"/>
        </w:rPr>
      </w:pPr>
      <w:r w:rsidRPr="003F471F">
        <w:rPr>
          <w:rFonts w:cs="Tahoma"/>
          <w:lang w:val="it-IT"/>
        </w:rPr>
        <w:t>Un dispositivo che accede solo a un</w:t>
      </w:r>
      <w:r w:rsidR="001C4212" w:rsidRPr="003F471F">
        <w:rPr>
          <w:rFonts w:cs="Tahoma"/>
          <w:lang w:val="it-IT"/>
        </w:rPr>
        <w:t>’</w:t>
      </w:r>
      <w:r w:rsidRPr="003F471F">
        <w:rPr>
          <w:rFonts w:cs="Tahoma"/>
          <w:lang w:val="it-IT"/>
        </w:rPr>
        <w:t>infrastruttura VDI ai sensi dei Diritti di Roaming o utilizza Windows To Go su un Dispositivo di Terzi Qualificante solo all</w:t>
      </w:r>
      <w:r w:rsidR="001C4212" w:rsidRPr="003F471F">
        <w:rPr>
          <w:rFonts w:cs="Tahoma"/>
          <w:lang w:val="it-IT"/>
        </w:rPr>
        <w:t>’</w:t>
      </w:r>
      <w:r w:rsidRPr="003F471F">
        <w:rPr>
          <w:rFonts w:cs="Tahoma"/>
          <w:lang w:val="it-IT"/>
        </w:rPr>
        <w:t>esterno dei locali della società, e non viene gestito per altri scopi nella modalità ivi descritta, non è considerato “gestito” ai fini dell</w:t>
      </w:r>
      <w:r w:rsidR="001C4212" w:rsidRPr="003F471F">
        <w:rPr>
          <w:rFonts w:cs="Tahoma"/>
          <w:lang w:val="it-IT"/>
        </w:rPr>
        <w:t>’</w:t>
      </w:r>
      <w:r w:rsidRPr="003F471F">
        <w:rPr>
          <w:rFonts w:cs="Tahoma"/>
          <w:lang w:val="it-IT"/>
        </w:rPr>
        <w:t>interpretazione della presente definizione.</w:t>
      </w:r>
    </w:p>
    <w:p w14:paraId="29E99A14" w14:textId="77777777" w:rsidR="00755633" w:rsidRPr="003F471F" w:rsidRDefault="00755633" w:rsidP="004641FD">
      <w:pPr>
        <w:rPr>
          <w:lang w:val="it-IT"/>
        </w:rPr>
      </w:pPr>
    </w:p>
    <w:p w14:paraId="01C8BBE6" w14:textId="77777777" w:rsidR="00371299" w:rsidRPr="003F471F" w:rsidRDefault="004641FD" w:rsidP="00510F6B">
      <w:pPr>
        <w:rPr>
          <w:lang w:val="it-IT"/>
        </w:rPr>
      </w:pPr>
      <w:r w:rsidRPr="003F471F">
        <w:rPr>
          <w:rFonts w:cs="Tahoma"/>
          <w:lang w:val="it-IT"/>
        </w:rPr>
        <w:t>*Una società titolare di Contratti Multilicenza che controlla la disponibilità di nuovi aggiornamenti per il software del sistema operativo o la protezione/i virus, e che informa l</w:t>
      </w:r>
      <w:r w:rsidR="001C4212" w:rsidRPr="003F471F">
        <w:rPr>
          <w:rFonts w:cs="Tahoma"/>
          <w:lang w:val="it-IT"/>
        </w:rPr>
        <w:t>’</w:t>
      </w:r>
      <w:r w:rsidRPr="003F471F">
        <w:rPr>
          <w:rFonts w:cs="Tahoma"/>
          <w:lang w:val="it-IT"/>
        </w:rPr>
        <w:t>utente solo nel caso in cui non siano aggiornati, non sta “attuando i criteri di gruppo” per gli scopi previsti dal presente esempio.</w:t>
      </w:r>
      <w:r w:rsidR="00E34ED3" w:rsidRPr="003F471F">
        <w:rPr>
          <w:rFonts w:cs="Tahoma"/>
          <w:lang w:val="it-IT"/>
        </w:rPr>
        <w:t xml:space="preserve"> </w:t>
      </w:r>
    </w:p>
    <w:p w14:paraId="0CDD16BD" w14:textId="77777777" w:rsidR="00991DD4" w:rsidRPr="003F471F" w:rsidRDefault="00991DD4" w:rsidP="00510F6B">
      <w:pPr>
        <w:rPr>
          <w:lang w:val="it-IT"/>
        </w:rPr>
      </w:pPr>
    </w:p>
    <w:p w14:paraId="18BDFC46" w14:textId="77777777" w:rsidR="00406CB0" w:rsidRPr="003F471F" w:rsidRDefault="00023FE7" w:rsidP="00406CB0">
      <w:pPr>
        <w:pStyle w:val="Heading3"/>
        <w:rPr>
          <w:lang w:val="it-IT"/>
        </w:rPr>
      </w:pPr>
      <w:bookmarkStart w:id="615" w:name="_Toc243157227"/>
      <w:bookmarkStart w:id="616" w:name="_Toc336338194"/>
      <w:bookmarkStart w:id="617" w:name="_Toc371663587"/>
      <w:r w:rsidRPr="003F471F">
        <w:rPr>
          <w:rFonts w:ascii="Tahoma" w:hAnsi="Tahoma"/>
          <w:sz w:val="24"/>
          <w:lang w:val="it-IT"/>
        </w:rPr>
        <w:t>Prodotti Qualificati per lo Sconto Up-to-Date (UTD)</w:t>
      </w:r>
      <w:bookmarkEnd w:id="615"/>
      <w:bookmarkEnd w:id="616"/>
      <w:bookmarkEnd w:id="617"/>
    </w:p>
    <w:p w14:paraId="4B83C8F6" w14:textId="77777777" w:rsidR="00406CB0" w:rsidRPr="003F471F" w:rsidRDefault="00406CB0" w:rsidP="00406CB0">
      <w:pPr>
        <w:pStyle w:val="Heading3"/>
        <w:rPr>
          <w:lang w:val="it-IT"/>
        </w:rPr>
      </w:pPr>
    </w:p>
    <w:p w14:paraId="19C15129" w14:textId="77777777" w:rsidR="00023FE7" w:rsidRPr="003F471F" w:rsidRDefault="00023FE7" w:rsidP="00477B4D">
      <w:pPr>
        <w:rPr>
          <w:lang w:val="it-IT"/>
        </w:rPr>
      </w:pPr>
      <w:r w:rsidRPr="003F471F">
        <w:rPr>
          <w:lang w:val="it-IT"/>
        </w:rPr>
        <w:t xml:space="preserve">Le società Open Value Subscription sono idonee allo Sconto UTD durante il primo anno del contratto “subscription”. Le società qualificanti potranno acquistare le Licenze UTD indicate di seguito, qualora siano in possesso della licenza per una delle versioni qualificanti corrispondenti precedenti o correnti tramite OEM, FPP o Contratti Multilicenza. </w:t>
      </w:r>
      <w:r w:rsidRPr="003F471F">
        <w:rPr>
          <w:color w:val="000000"/>
          <w:lang w:val="it-IT"/>
        </w:rPr>
        <w:t>A livello generale, lo sconto viene concesso solo alla versione corrente del prodotto o alla versione immediatamente precedente. Lo Sconto UTD è indipendente dalla piattaforma, pertanto anche Mac avrà diritto allo sconto.</w:t>
      </w:r>
    </w:p>
    <w:p w14:paraId="28534E23" w14:textId="77777777" w:rsidR="00C353DE" w:rsidRPr="003F471F" w:rsidRDefault="00C353DE">
      <w:pPr>
        <w:pStyle w:val="FootnoteBulletLevel1"/>
        <w:ind w:left="360" w:right="720" w:firstLine="0"/>
        <w:rPr>
          <w:rFonts w:ascii="Tahoma" w:hAnsi="Tahoma" w:cs="Tahoma"/>
          <w:color w:val="000000"/>
          <w:sz w:val="18"/>
          <w:szCs w:val="18"/>
          <w:lang w:val="it-IT"/>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58047D" w14:paraId="512D762E"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1EE9700E" w14:textId="77777777" w:rsidR="00023FE7" w:rsidRPr="0058047D" w:rsidRDefault="00023FE7">
            <w:pPr>
              <w:ind w:right="720"/>
              <w:jc w:val="center"/>
              <w:rPr>
                <w:rFonts w:eastAsia="Calibri" w:cs="Tahoma"/>
                <w:b/>
                <w:bCs/>
                <w:color w:val="404040"/>
              </w:rPr>
            </w:pPr>
            <w:r w:rsidRPr="0058047D">
              <w:rPr>
                <w:rFonts w:cs="Tahoma"/>
                <w:b/>
                <w:bCs/>
              </w:rPr>
              <w:t>Licenza UTD</w:t>
            </w:r>
          </w:p>
        </w:tc>
        <w:tc>
          <w:tcPr>
            <w:tcW w:w="4298" w:type="dxa"/>
            <w:tcBorders>
              <w:top w:val="single" w:sz="8" w:space="0" w:color="auto"/>
              <w:left w:val="nil"/>
              <w:bottom w:val="single" w:sz="8" w:space="0" w:color="auto"/>
              <w:right w:val="single" w:sz="8" w:space="0" w:color="auto"/>
            </w:tcBorders>
            <w:shd w:val="clear" w:color="auto" w:fill="FFCC99"/>
          </w:tcPr>
          <w:p w14:paraId="7C7C8CAB" w14:textId="77777777" w:rsidR="00023FE7" w:rsidRPr="0058047D" w:rsidRDefault="00023FE7">
            <w:pPr>
              <w:ind w:right="720"/>
              <w:jc w:val="center"/>
              <w:rPr>
                <w:rFonts w:eastAsia="Calibri" w:cs="Tahoma"/>
                <w:b/>
                <w:bCs/>
                <w:color w:val="404040"/>
              </w:rPr>
            </w:pPr>
            <w:r w:rsidRPr="0058047D">
              <w:rPr>
                <w:rFonts w:cs="Tahoma"/>
                <w:b/>
                <w:bCs/>
              </w:rPr>
              <w:t>Versione Qualificante</w:t>
            </w:r>
          </w:p>
        </w:tc>
      </w:tr>
      <w:tr w:rsidR="00023FE7" w:rsidRPr="0058047D" w14:paraId="13238768" w14:textId="77777777" w:rsidTr="0044720D">
        <w:trPr>
          <w:trHeight w:val="576"/>
        </w:trPr>
        <w:tc>
          <w:tcPr>
            <w:tcW w:w="3809" w:type="dxa"/>
            <w:tcBorders>
              <w:top w:val="nil"/>
              <w:left w:val="single" w:sz="8" w:space="0" w:color="auto"/>
              <w:bottom w:val="single" w:sz="8" w:space="0" w:color="auto"/>
              <w:right w:val="single" w:sz="8" w:space="0" w:color="auto"/>
            </w:tcBorders>
          </w:tcPr>
          <w:p w14:paraId="581B9881" w14:textId="77777777" w:rsidR="00023FE7" w:rsidRPr="0058047D" w:rsidRDefault="00023FE7" w:rsidP="00230E01">
            <w:pPr>
              <w:spacing w:before="60"/>
              <w:ind w:left="360" w:right="720"/>
              <w:jc w:val="center"/>
              <w:rPr>
                <w:rFonts w:eastAsia="Calibri" w:cs="Tahoma"/>
                <w:szCs w:val="18"/>
              </w:rPr>
            </w:pPr>
            <w:r w:rsidRPr="0058047D">
              <w:rPr>
                <w:rFonts w:cs="Tahoma"/>
                <w:szCs w:val="18"/>
              </w:rPr>
              <w:t>Core CAL (Dispositivo o Utente)</w:t>
            </w:r>
          </w:p>
        </w:tc>
        <w:tc>
          <w:tcPr>
            <w:tcW w:w="4298" w:type="dxa"/>
            <w:tcBorders>
              <w:top w:val="nil"/>
              <w:left w:val="nil"/>
              <w:bottom w:val="single" w:sz="8" w:space="0" w:color="auto"/>
              <w:right w:val="single" w:sz="8" w:space="0" w:color="auto"/>
            </w:tcBorders>
          </w:tcPr>
          <w:p w14:paraId="35B665E1" w14:textId="77777777" w:rsidR="00023FE7" w:rsidRPr="0058047D" w:rsidRDefault="00023FE7" w:rsidP="00230E01">
            <w:pPr>
              <w:pStyle w:val="Bulletedlistflush"/>
              <w:spacing w:before="60"/>
              <w:ind w:left="576" w:right="720" w:firstLine="0"/>
              <w:jc w:val="center"/>
            </w:pPr>
            <w:r w:rsidRPr="0058047D">
              <w:rPr>
                <w:rFonts w:ascii="Tahoma" w:hAnsi="Tahoma" w:cs="Tahoma"/>
                <w:sz w:val="18"/>
                <w:szCs w:val="18"/>
              </w:rPr>
              <w:t>Qualsiasi Core CAL</w:t>
            </w:r>
          </w:p>
          <w:p w14:paraId="316F3A7C" w14:textId="77777777" w:rsidR="00023FE7" w:rsidRPr="0058047D" w:rsidRDefault="00023FE7" w:rsidP="00230E01">
            <w:pPr>
              <w:pStyle w:val="Bulletedlistflush"/>
              <w:ind w:left="576" w:right="720" w:firstLine="0"/>
              <w:jc w:val="center"/>
              <w:rPr>
                <w:rFonts w:ascii="Tahoma" w:hAnsi="Tahoma" w:cs="Tahoma"/>
                <w:sz w:val="18"/>
                <w:szCs w:val="18"/>
              </w:rPr>
            </w:pPr>
          </w:p>
        </w:tc>
      </w:tr>
      <w:tr w:rsidR="00023FE7" w:rsidRPr="0058047D" w14:paraId="709859AC" w14:textId="77777777" w:rsidTr="0044720D">
        <w:trPr>
          <w:trHeight w:val="576"/>
        </w:trPr>
        <w:tc>
          <w:tcPr>
            <w:tcW w:w="3809" w:type="dxa"/>
            <w:tcBorders>
              <w:top w:val="nil"/>
              <w:left w:val="single" w:sz="8" w:space="0" w:color="auto"/>
              <w:bottom w:val="single" w:sz="8" w:space="0" w:color="auto"/>
              <w:right w:val="single" w:sz="8" w:space="0" w:color="auto"/>
            </w:tcBorders>
          </w:tcPr>
          <w:p w14:paraId="550E6AE2" w14:textId="77777777" w:rsidR="00023FE7" w:rsidRPr="0058047D" w:rsidRDefault="00023FE7" w:rsidP="008432A1">
            <w:pPr>
              <w:spacing w:before="60"/>
              <w:ind w:left="360" w:right="720"/>
              <w:jc w:val="center"/>
              <w:rPr>
                <w:rFonts w:eastAsia="Calibri" w:cs="Tahoma"/>
                <w:szCs w:val="18"/>
              </w:rPr>
            </w:pPr>
            <w:r w:rsidRPr="0058047D">
              <w:rPr>
                <w:rFonts w:cs="Tahoma"/>
                <w:szCs w:val="18"/>
              </w:rPr>
              <w:t>Enterprise CAL (Dispositivo o</w:t>
            </w:r>
            <w:r w:rsidR="008432A1">
              <w:rPr>
                <w:rFonts w:cs="Tahoma"/>
                <w:szCs w:val="18"/>
              </w:rPr>
              <w:t> </w:t>
            </w:r>
            <w:r w:rsidRPr="0058047D">
              <w:rPr>
                <w:rFonts w:cs="Tahoma"/>
                <w:szCs w:val="18"/>
              </w:rPr>
              <w:t>Utente)</w:t>
            </w:r>
          </w:p>
        </w:tc>
        <w:tc>
          <w:tcPr>
            <w:tcW w:w="4298" w:type="dxa"/>
            <w:tcBorders>
              <w:top w:val="nil"/>
              <w:left w:val="nil"/>
              <w:bottom w:val="single" w:sz="8" w:space="0" w:color="auto"/>
              <w:right w:val="single" w:sz="8" w:space="0" w:color="auto"/>
            </w:tcBorders>
          </w:tcPr>
          <w:p w14:paraId="25275298" w14:textId="77777777" w:rsidR="00023FE7" w:rsidRPr="0058047D" w:rsidRDefault="00023FE7" w:rsidP="00230E01">
            <w:pPr>
              <w:pStyle w:val="Bulletedlistflush"/>
              <w:spacing w:before="60"/>
              <w:ind w:left="576" w:right="720" w:firstLine="0"/>
              <w:jc w:val="center"/>
              <w:rPr>
                <w:rFonts w:ascii="Tahoma" w:hAnsi="Tahoma" w:cs="Tahoma"/>
                <w:sz w:val="18"/>
                <w:szCs w:val="18"/>
              </w:rPr>
            </w:pPr>
            <w:r w:rsidRPr="0058047D">
              <w:rPr>
                <w:rFonts w:ascii="Tahoma" w:hAnsi="Tahoma" w:cs="Tahoma"/>
                <w:sz w:val="18"/>
                <w:szCs w:val="18"/>
              </w:rPr>
              <w:t>Qualsiasi Enterprise CAL</w:t>
            </w:r>
          </w:p>
        </w:tc>
      </w:tr>
      <w:tr w:rsidR="0000615E" w:rsidRPr="0058047D" w14:paraId="1F2B06B2" w14:textId="77777777" w:rsidTr="0044720D">
        <w:trPr>
          <w:trHeight w:val="576"/>
        </w:trPr>
        <w:tc>
          <w:tcPr>
            <w:tcW w:w="3809" w:type="dxa"/>
            <w:tcBorders>
              <w:top w:val="nil"/>
              <w:left w:val="single" w:sz="8" w:space="0" w:color="auto"/>
              <w:bottom w:val="single" w:sz="8" w:space="0" w:color="auto"/>
              <w:right w:val="single" w:sz="8" w:space="0" w:color="auto"/>
            </w:tcBorders>
          </w:tcPr>
          <w:p w14:paraId="1FB50E21" w14:textId="77777777" w:rsidR="0000615E" w:rsidRPr="0058047D" w:rsidRDefault="0000615E" w:rsidP="00230E01">
            <w:pPr>
              <w:spacing w:before="60"/>
              <w:ind w:left="360" w:right="720"/>
              <w:jc w:val="center"/>
              <w:rPr>
                <w:rFonts w:eastAsia="Calibri" w:cs="Tahoma"/>
                <w:szCs w:val="18"/>
              </w:rPr>
            </w:pPr>
            <w:r w:rsidRPr="0058047D">
              <w:rPr>
                <w:rFonts w:cs="Tahoma"/>
                <w:szCs w:val="18"/>
              </w:rPr>
              <w:t>Office Professional Plus 2013</w:t>
            </w:r>
          </w:p>
        </w:tc>
        <w:tc>
          <w:tcPr>
            <w:tcW w:w="4298" w:type="dxa"/>
            <w:tcBorders>
              <w:top w:val="nil"/>
              <w:left w:val="nil"/>
              <w:bottom w:val="single" w:sz="8" w:space="0" w:color="auto"/>
              <w:right w:val="single" w:sz="8" w:space="0" w:color="auto"/>
            </w:tcBorders>
          </w:tcPr>
          <w:p w14:paraId="7FEBB82A" w14:textId="77777777" w:rsidR="008B2AA7" w:rsidRPr="003F471F" w:rsidRDefault="008B2AA7" w:rsidP="00230E01">
            <w:pPr>
              <w:pStyle w:val="Bulletedlistflush"/>
              <w:spacing w:before="60"/>
              <w:ind w:left="576" w:right="720" w:firstLine="0"/>
              <w:jc w:val="center"/>
              <w:rPr>
                <w:lang w:val="fr-FR"/>
              </w:rPr>
            </w:pPr>
            <w:r w:rsidRPr="003F471F">
              <w:rPr>
                <w:rFonts w:ascii="Tahoma" w:hAnsi="Tahoma" w:cs="Tahoma"/>
                <w:sz w:val="18"/>
                <w:szCs w:val="18"/>
                <w:lang w:val="fr-FR"/>
              </w:rPr>
              <w:t>Office Professional Plus 2013</w:t>
            </w:r>
          </w:p>
          <w:p w14:paraId="11051B99" w14:textId="77777777" w:rsidR="0000615E" w:rsidRPr="003F471F" w:rsidRDefault="0000615E" w:rsidP="00230E01">
            <w:pPr>
              <w:pStyle w:val="Bulletedlistflush"/>
              <w:ind w:left="576" w:right="720" w:firstLine="0"/>
              <w:jc w:val="center"/>
              <w:rPr>
                <w:lang w:val="fr-FR"/>
              </w:rPr>
            </w:pPr>
            <w:r w:rsidRPr="003F471F">
              <w:rPr>
                <w:rFonts w:ascii="Tahoma" w:hAnsi="Tahoma" w:cs="Tahoma"/>
                <w:sz w:val="18"/>
                <w:szCs w:val="18"/>
                <w:lang w:val="fr-FR"/>
              </w:rPr>
              <w:t>Office Professional Plus 2010</w:t>
            </w:r>
          </w:p>
          <w:p w14:paraId="0C006546" w14:textId="77777777" w:rsidR="002D0FAC" w:rsidRPr="0058047D" w:rsidRDefault="002D0FAC" w:rsidP="00230E01">
            <w:pPr>
              <w:pStyle w:val="Bulletedlistflush"/>
              <w:ind w:left="576" w:right="720" w:firstLine="0"/>
              <w:jc w:val="center"/>
            </w:pPr>
            <w:r w:rsidRPr="0058047D">
              <w:rPr>
                <w:rFonts w:ascii="Tahoma" w:hAnsi="Tahoma" w:cs="Tahoma"/>
                <w:sz w:val="18"/>
                <w:szCs w:val="18"/>
              </w:rPr>
              <w:t>Office 2013 Professional</w:t>
            </w:r>
          </w:p>
          <w:p w14:paraId="0639D3BF" w14:textId="77777777" w:rsidR="0000615E" w:rsidRPr="0058047D" w:rsidRDefault="0000615E" w:rsidP="00230E01">
            <w:pPr>
              <w:pStyle w:val="Bulletedlistflush"/>
              <w:ind w:left="576" w:right="720" w:firstLine="0"/>
              <w:jc w:val="center"/>
            </w:pPr>
            <w:r w:rsidRPr="0058047D">
              <w:rPr>
                <w:rFonts w:ascii="Tahoma" w:hAnsi="Tahoma" w:cs="Tahoma"/>
                <w:sz w:val="18"/>
                <w:szCs w:val="18"/>
              </w:rPr>
              <w:t>Office 2010 Professional</w:t>
            </w:r>
          </w:p>
          <w:p w14:paraId="737D0B65" w14:textId="77777777" w:rsidR="0000615E" w:rsidRPr="0058047D" w:rsidRDefault="0000615E" w:rsidP="008B2AA7">
            <w:pPr>
              <w:pStyle w:val="Bulletedlistflush"/>
              <w:ind w:left="576" w:right="720" w:firstLine="0"/>
              <w:jc w:val="center"/>
              <w:rPr>
                <w:rFonts w:ascii="Tahoma" w:hAnsi="Tahoma" w:cs="Tahoma"/>
                <w:sz w:val="18"/>
                <w:szCs w:val="18"/>
              </w:rPr>
            </w:pPr>
          </w:p>
        </w:tc>
      </w:tr>
      <w:tr w:rsidR="00023FE7" w:rsidRPr="0058047D" w14:paraId="6AD3A2F8" w14:textId="77777777" w:rsidTr="0044720D">
        <w:trPr>
          <w:trHeight w:val="576"/>
        </w:trPr>
        <w:tc>
          <w:tcPr>
            <w:tcW w:w="3809" w:type="dxa"/>
            <w:tcBorders>
              <w:top w:val="nil"/>
              <w:left w:val="single" w:sz="8" w:space="0" w:color="auto"/>
              <w:bottom w:val="single" w:sz="8" w:space="0" w:color="auto"/>
              <w:right w:val="single" w:sz="8" w:space="0" w:color="auto"/>
            </w:tcBorders>
          </w:tcPr>
          <w:p w14:paraId="50ACAECF" w14:textId="77777777" w:rsidR="00023FE7" w:rsidRPr="0058047D" w:rsidRDefault="00023FE7" w:rsidP="008432A1">
            <w:pPr>
              <w:spacing w:before="60"/>
              <w:ind w:left="360" w:right="720"/>
              <w:jc w:val="center"/>
              <w:rPr>
                <w:rFonts w:eastAsia="Calibri" w:cs="Tahoma"/>
                <w:color w:val="000000"/>
                <w:szCs w:val="18"/>
              </w:rPr>
            </w:pPr>
            <w:r w:rsidRPr="0058047D">
              <w:rPr>
                <w:rFonts w:cs="Tahoma"/>
                <w:color w:val="000000"/>
                <w:szCs w:val="18"/>
              </w:rPr>
              <w:t>CAL per Small Business Server Standard 2011 (Dispositivo o</w:t>
            </w:r>
            <w:r w:rsidR="008432A1">
              <w:rPr>
                <w:rFonts w:cs="Tahoma"/>
                <w:color w:val="000000"/>
                <w:szCs w:val="18"/>
              </w:rPr>
              <w:t> </w:t>
            </w:r>
            <w:r w:rsidRPr="0058047D">
              <w:rPr>
                <w:rFonts w:cs="Tahoma"/>
                <w:color w:val="000000"/>
                <w:szCs w:val="18"/>
              </w:rPr>
              <w:t>Utente)</w:t>
            </w:r>
          </w:p>
        </w:tc>
        <w:tc>
          <w:tcPr>
            <w:tcW w:w="4298" w:type="dxa"/>
            <w:tcBorders>
              <w:top w:val="nil"/>
              <w:left w:val="nil"/>
              <w:bottom w:val="single" w:sz="8" w:space="0" w:color="auto"/>
              <w:right w:val="single" w:sz="8" w:space="0" w:color="auto"/>
            </w:tcBorders>
          </w:tcPr>
          <w:p w14:paraId="0BBB145E" w14:textId="77777777" w:rsidR="00684C4D" w:rsidRPr="0058047D" w:rsidRDefault="00684C4D" w:rsidP="00230E01">
            <w:pPr>
              <w:spacing w:before="60"/>
              <w:ind w:left="576" w:right="720"/>
              <w:jc w:val="center"/>
            </w:pPr>
            <w:r w:rsidRPr="0058047D">
              <w:rPr>
                <w:rFonts w:eastAsia="Calibri" w:cs="Tahoma"/>
                <w:color w:val="000000"/>
                <w:szCs w:val="18"/>
              </w:rPr>
              <w:t>CAL per Windows Small Business Server 2011</w:t>
            </w:r>
          </w:p>
          <w:p w14:paraId="23091378" w14:textId="77777777" w:rsidR="00023FE7" w:rsidRPr="0058047D" w:rsidRDefault="00023FE7">
            <w:pPr>
              <w:pStyle w:val="Bulletedlistflush"/>
              <w:ind w:left="576" w:right="720" w:firstLine="0"/>
              <w:jc w:val="center"/>
            </w:pPr>
            <w:r w:rsidRPr="0058047D">
              <w:rPr>
                <w:rFonts w:ascii="Tahoma" w:hAnsi="Tahoma" w:cs="Tahoma"/>
                <w:color w:val="000000"/>
                <w:sz w:val="18"/>
                <w:szCs w:val="18"/>
              </w:rPr>
              <w:t>CAL per Windows Small Business Server Standard 2008</w:t>
            </w:r>
          </w:p>
          <w:p w14:paraId="2E3CBAB6" w14:textId="77777777" w:rsidR="00023FE7" w:rsidRPr="0058047D" w:rsidRDefault="00023FE7" w:rsidP="00230E01">
            <w:pPr>
              <w:pStyle w:val="Bulletedlistflush"/>
              <w:ind w:left="576" w:right="720" w:firstLine="0"/>
              <w:jc w:val="center"/>
              <w:rPr>
                <w:rFonts w:ascii="Tahoma" w:hAnsi="Tahoma" w:cs="Tahoma"/>
                <w:color w:val="000000"/>
                <w:sz w:val="18"/>
                <w:szCs w:val="18"/>
              </w:rPr>
            </w:pPr>
          </w:p>
        </w:tc>
      </w:tr>
      <w:tr w:rsidR="00023FE7" w:rsidRPr="0058047D" w14:paraId="5A41FBF0" w14:textId="77777777" w:rsidTr="0044720D">
        <w:trPr>
          <w:trHeight w:val="576"/>
        </w:trPr>
        <w:tc>
          <w:tcPr>
            <w:tcW w:w="3809" w:type="dxa"/>
            <w:tcBorders>
              <w:top w:val="nil"/>
              <w:left w:val="single" w:sz="8" w:space="0" w:color="auto"/>
              <w:bottom w:val="single" w:sz="8" w:space="0" w:color="auto"/>
              <w:right w:val="single" w:sz="8" w:space="0" w:color="auto"/>
            </w:tcBorders>
          </w:tcPr>
          <w:p w14:paraId="541FEF8A" w14:textId="77777777" w:rsidR="00023FE7" w:rsidRPr="0058047D" w:rsidRDefault="00023FE7" w:rsidP="008432A1">
            <w:pPr>
              <w:spacing w:before="60"/>
              <w:ind w:left="360" w:right="720"/>
              <w:jc w:val="center"/>
              <w:rPr>
                <w:rFonts w:eastAsia="Calibri" w:cs="Tahoma"/>
                <w:szCs w:val="18"/>
              </w:rPr>
            </w:pPr>
            <w:r w:rsidRPr="0058047D">
              <w:rPr>
                <w:rFonts w:cs="Tahoma"/>
                <w:szCs w:val="18"/>
              </w:rPr>
              <w:t>CAL per Small Business Server Premium 2011 (Dispositivo o</w:t>
            </w:r>
            <w:r w:rsidR="008432A1">
              <w:rPr>
                <w:rFonts w:cs="Tahoma"/>
                <w:szCs w:val="18"/>
              </w:rPr>
              <w:t> </w:t>
            </w:r>
            <w:r w:rsidRPr="0058047D">
              <w:rPr>
                <w:rFonts w:cs="Tahoma"/>
                <w:szCs w:val="18"/>
              </w:rPr>
              <w:t>Utente)</w:t>
            </w:r>
          </w:p>
        </w:tc>
        <w:tc>
          <w:tcPr>
            <w:tcW w:w="4298" w:type="dxa"/>
            <w:tcBorders>
              <w:top w:val="nil"/>
              <w:left w:val="nil"/>
              <w:bottom w:val="single" w:sz="8" w:space="0" w:color="auto"/>
              <w:right w:val="single" w:sz="8" w:space="0" w:color="auto"/>
            </w:tcBorders>
          </w:tcPr>
          <w:p w14:paraId="68356D41" w14:textId="77777777" w:rsidR="00684C4D" w:rsidRPr="0058047D" w:rsidRDefault="00684C4D" w:rsidP="00230E01">
            <w:pPr>
              <w:spacing w:before="60"/>
              <w:ind w:left="576" w:right="720"/>
              <w:jc w:val="center"/>
            </w:pPr>
            <w:r w:rsidRPr="0058047D">
              <w:rPr>
                <w:rFonts w:eastAsia="Calibri" w:cs="Tahoma"/>
                <w:color w:val="000000"/>
                <w:szCs w:val="18"/>
              </w:rPr>
              <w:t>CAL per Windows Small Business Server Premium 2011</w:t>
            </w:r>
          </w:p>
          <w:p w14:paraId="64AD3492" w14:textId="77777777" w:rsidR="00023FE7" w:rsidRPr="0058047D" w:rsidRDefault="00023FE7">
            <w:pPr>
              <w:pStyle w:val="Bulletedlistflush"/>
              <w:ind w:left="576" w:right="720" w:firstLine="0"/>
              <w:jc w:val="center"/>
            </w:pPr>
            <w:r w:rsidRPr="0058047D">
              <w:rPr>
                <w:rFonts w:ascii="Tahoma" w:hAnsi="Tahoma" w:cs="Tahoma"/>
                <w:color w:val="000000"/>
                <w:sz w:val="18"/>
                <w:szCs w:val="18"/>
              </w:rPr>
              <w:t>CAL per Windows Small Business Server Premium 2008</w:t>
            </w:r>
          </w:p>
          <w:p w14:paraId="63C6BCB3" w14:textId="77777777" w:rsidR="00023FE7" w:rsidRPr="0058047D" w:rsidRDefault="00023FE7" w:rsidP="00230E01">
            <w:pPr>
              <w:pStyle w:val="Bulletedlistflush"/>
              <w:ind w:left="576" w:right="720" w:firstLine="0"/>
              <w:jc w:val="center"/>
              <w:rPr>
                <w:rFonts w:ascii="Tahoma" w:hAnsi="Tahoma" w:cs="Tahoma"/>
                <w:sz w:val="18"/>
                <w:szCs w:val="18"/>
              </w:rPr>
            </w:pPr>
          </w:p>
        </w:tc>
      </w:tr>
      <w:tr w:rsidR="00023FE7" w:rsidRPr="0058047D" w14:paraId="45D44C12" w14:textId="77777777" w:rsidTr="0044720D">
        <w:trPr>
          <w:trHeight w:val="576"/>
        </w:trPr>
        <w:tc>
          <w:tcPr>
            <w:tcW w:w="3809" w:type="dxa"/>
            <w:tcBorders>
              <w:top w:val="nil"/>
              <w:left w:val="single" w:sz="8" w:space="0" w:color="auto"/>
              <w:bottom w:val="single" w:sz="8" w:space="0" w:color="auto"/>
              <w:right w:val="single" w:sz="8" w:space="0" w:color="auto"/>
            </w:tcBorders>
          </w:tcPr>
          <w:p w14:paraId="306B0905" w14:textId="77777777" w:rsidR="00023FE7" w:rsidRPr="0058047D" w:rsidRDefault="00023FE7" w:rsidP="00230E01">
            <w:pPr>
              <w:spacing w:before="60"/>
              <w:ind w:left="360" w:right="720"/>
              <w:jc w:val="center"/>
            </w:pPr>
            <w:r w:rsidRPr="0058047D">
              <w:rPr>
                <w:rFonts w:cs="Tahoma"/>
                <w:szCs w:val="18"/>
              </w:rPr>
              <w:t>CAL per Essential Business Server Standard 2008 (Dispositivo o</w:t>
            </w:r>
            <w:r w:rsidR="008432A1">
              <w:rPr>
                <w:rFonts w:cs="Tahoma"/>
                <w:szCs w:val="18"/>
              </w:rPr>
              <w:t> </w:t>
            </w:r>
            <w:r w:rsidRPr="0058047D">
              <w:rPr>
                <w:rFonts w:cs="Tahoma"/>
                <w:szCs w:val="18"/>
              </w:rPr>
              <w:t>Utente)</w:t>
            </w:r>
          </w:p>
          <w:p w14:paraId="1545CEB3" w14:textId="77777777" w:rsidR="00230E01" w:rsidRPr="0058047D"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14:paraId="32176040" w14:textId="77777777" w:rsidR="00023FE7" w:rsidRPr="0058047D" w:rsidRDefault="00023FE7" w:rsidP="00230E01">
            <w:pPr>
              <w:pStyle w:val="Bulletedlistflush"/>
              <w:spacing w:before="60"/>
              <w:ind w:left="576" w:right="720" w:firstLine="0"/>
              <w:jc w:val="center"/>
              <w:rPr>
                <w:rFonts w:ascii="Tahoma" w:hAnsi="Tahoma" w:cs="Tahoma"/>
                <w:sz w:val="18"/>
                <w:szCs w:val="18"/>
              </w:rPr>
            </w:pPr>
            <w:r w:rsidRPr="0058047D">
              <w:rPr>
                <w:rFonts w:ascii="Tahoma" w:hAnsi="Tahoma" w:cs="Tahoma"/>
                <w:sz w:val="18"/>
                <w:szCs w:val="18"/>
              </w:rPr>
              <w:t>CAL per Windows Essential Business Server Standard 2008</w:t>
            </w:r>
          </w:p>
        </w:tc>
      </w:tr>
      <w:tr w:rsidR="00023FE7" w:rsidRPr="0058047D" w14:paraId="2998257F" w14:textId="77777777" w:rsidTr="008432A1">
        <w:trPr>
          <w:cantSplit/>
          <w:trHeight w:val="576"/>
        </w:trPr>
        <w:tc>
          <w:tcPr>
            <w:tcW w:w="3809" w:type="dxa"/>
            <w:tcBorders>
              <w:top w:val="nil"/>
              <w:left w:val="single" w:sz="8" w:space="0" w:color="auto"/>
              <w:bottom w:val="single" w:sz="8" w:space="0" w:color="auto"/>
              <w:right w:val="single" w:sz="8" w:space="0" w:color="auto"/>
            </w:tcBorders>
          </w:tcPr>
          <w:p w14:paraId="7C7719B0" w14:textId="77777777" w:rsidR="00023FE7" w:rsidRPr="0058047D" w:rsidRDefault="00023FE7" w:rsidP="00230E01">
            <w:pPr>
              <w:spacing w:before="60"/>
              <w:ind w:left="360" w:right="720"/>
              <w:jc w:val="center"/>
            </w:pPr>
            <w:r w:rsidRPr="0058047D">
              <w:rPr>
                <w:rFonts w:cs="Tahoma"/>
                <w:szCs w:val="18"/>
              </w:rPr>
              <w:t>CAL per Essential Business Server Premium 2008 (Dispositivo o</w:t>
            </w:r>
            <w:r w:rsidR="008432A1">
              <w:rPr>
                <w:rFonts w:cs="Tahoma"/>
                <w:szCs w:val="18"/>
              </w:rPr>
              <w:t> </w:t>
            </w:r>
            <w:r w:rsidRPr="0058047D">
              <w:rPr>
                <w:rFonts w:cs="Tahoma"/>
                <w:szCs w:val="18"/>
              </w:rPr>
              <w:t>Utente)</w:t>
            </w:r>
          </w:p>
          <w:p w14:paraId="00217C43" w14:textId="77777777" w:rsidR="00230E01" w:rsidRPr="0058047D"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14:paraId="1FA8CB9E" w14:textId="77777777" w:rsidR="00023FE7" w:rsidRPr="0058047D" w:rsidRDefault="00023FE7" w:rsidP="00230E01">
            <w:pPr>
              <w:pStyle w:val="Bulletedlistflush"/>
              <w:spacing w:before="60"/>
              <w:ind w:left="576" w:right="720" w:firstLine="0"/>
              <w:jc w:val="center"/>
              <w:rPr>
                <w:rFonts w:ascii="Tahoma" w:hAnsi="Tahoma" w:cs="Tahoma"/>
                <w:sz w:val="18"/>
                <w:szCs w:val="18"/>
              </w:rPr>
            </w:pPr>
            <w:r w:rsidRPr="0058047D">
              <w:rPr>
                <w:rFonts w:ascii="Tahoma" w:hAnsi="Tahoma" w:cs="Tahoma"/>
                <w:sz w:val="18"/>
                <w:szCs w:val="18"/>
              </w:rPr>
              <w:t>CAL per Windows Essential Business Server Premium 2008</w:t>
            </w:r>
          </w:p>
        </w:tc>
      </w:tr>
      <w:tr w:rsidR="00023FE7" w:rsidRPr="0058047D" w14:paraId="20B4B42E" w14:textId="77777777" w:rsidTr="0044720D">
        <w:trPr>
          <w:trHeight w:val="576"/>
        </w:trPr>
        <w:tc>
          <w:tcPr>
            <w:tcW w:w="3809" w:type="dxa"/>
            <w:tcBorders>
              <w:top w:val="nil"/>
              <w:left w:val="single" w:sz="8" w:space="0" w:color="auto"/>
              <w:bottom w:val="single" w:sz="8" w:space="0" w:color="auto"/>
              <w:right w:val="single" w:sz="8" w:space="0" w:color="auto"/>
            </w:tcBorders>
          </w:tcPr>
          <w:p w14:paraId="4CE34ABC" w14:textId="77777777" w:rsidR="00023FE7" w:rsidRPr="0058047D" w:rsidRDefault="00023FE7" w:rsidP="008432A1">
            <w:pPr>
              <w:spacing w:before="60"/>
              <w:ind w:left="360" w:right="720"/>
              <w:jc w:val="center"/>
              <w:rPr>
                <w:rFonts w:eastAsia="Calibri" w:cs="Tahoma"/>
                <w:szCs w:val="18"/>
              </w:rPr>
            </w:pPr>
            <w:r w:rsidRPr="0058047D">
              <w:rPr>
                <w:rFonts w:cs="Tahoma"/>
                <w:szCs w:val="18"/>
              </w:rPr>
              <w:t>Aggiornamento per Windows</w:t>
            </w:r>
            <w:r w:rsidR="008432A1">
              <w:rPr>
                <w:rFonts w:cs="Tahoma"/>
                <w:szCs w:val="18"/>
              </w:rPr>
              <w:t> </w:t>
            </w:r>
            <w:r w:rsidRPr="0058047D">
              <w:rPr>
                <w:rFonts w:cs="Tahoma"/>
                <w:szCs w:val="18"/>
              </w:rPr>
              <w:t>8</w:t>
            </w:r>
            <w:r w:rsidR="00C86F50">
              <w:rPr>
                <w:rFonts w:cs="Tahoma"/>
                <w:szCs w:val="18"/>
              </w:rPr>
              <w:t>.1</w:t>
            </w:r>
            <w:r w:rsidR="008432A1">
              <w:rPr>
                <w:rFonts w:cs="Tahoma"/>
                <w:szCs w:val="18"/>
              </w:rPr>
              <w:t> </w:t>
            </w:r>
            <w:r w:rsidRPr="0058047D">
              <w:rPr>
                <w:rFonts w:cs="Tahoma"/>
                <w:szCs w:val="18"/>
              </w:rPr>
              <w:t>Pro</w:t>
            </w:r>
          </w:p>
        </w:tc>
        <w:tc>
          <w:tcPr>
            <w:tcW w:w="4298" w:type="dxa"/>
            <w:tcBorders>
              <w:top w:val="nil"/>
              <w:left w:val="nil"/>
              <w:bottom w:val="single" w:sz="8" w:space="0" w:color="auto"/>
              <w:right w:val="single" w:sz="8" w:space="0" w:color="auto"/>
            </w:tcBorders>
          </w:tcPr>
          <w:p w14:paraId="46B6E0B8" w14:textId="77777777" w:rsidR="008B6EDD" w:rsidRPr="0058047D" w:rsidRDefault="008B6EDD" w:rsidP="00230E01">
            <w:pPr>
              <w:pStyle w:val="Bulletedlistflush"/>
              <w:spacing w:before="60"/>
              <w:ind w:left="576" w:right="720" w:firstLine="0"/>
              <w:jc w:val="center"/>
            </w:pPr>
            <w:r w:rsidRPr="0058047D">
              <w:rPr>
                <w:rFonts w:ascii="Tahoma" w:hAnsi="Tahoma" w:cs="Tahoma"/>
                <w:sz w:val="18"/>
                <w:szCs w:val="18"/>
              </w:rPr>
              <w:t>Windows 8</w:t>
            </w:r>
            <w:r w:rsidR="00C86F50">
              <w:rPr>
                <w:rFonts w:ascii="Tahoma" w:hAnsi="Tahoma" w:cs="Tahoma"/>
                <w:sz w:val="18"/>
                <w:szCs w:val="18"/>
              </w:rPr>
              <w:t>.1</w:t>
            </w:r>
            <w:r w:rsidRPr="0058047D">
              <w:rPr>
                <w:rFonts w:ascii="Tahoma" w:hAnsi="Tahoma" w:cs="Tahoma"/>
                <w:sz w:val="18"/>
                <w:szCs w:val="18"/>
              </w:rPr>
              <w:t xml:space="preserve"> Pro</w:t>
            </w:r>
          </w:p>
          <w:p w14:paraId="70D7C530" w14:textId="77777777" w:rsidR="00023FE7" w:rsidRPr="0058047D" w:rsidRDefault="00023FE7" w:rsidP="00C86F50">
            <w:pPr>
              <w:pStyle w:val="Bulletedlistflush"/>
              <w:ind w:left="576" w:right="720" w:firstLine="0"/>
              <w:jc w:val="center"/>
              <w:rPr>
                <w:rFonts w:ascii="Tahoma" w:hAnsi="Tahoma" w:cs="Tahoma"/>
                <w:sz w:val="18"/>
                <w:szCs w:val="18"/>
              </w:rPr>
            </w:pPr>
            <w:r w:rsidRPr="0058047D">
              <w:rPr>
                <w:rFonts w:ascii="Tahoma" w:hAnsi="Tahoma" w:cs="Tahoma"/>
                <w:sz w:val="18"/>
                <w:szCs w:val="18"/>
              </w:rPr>
              <w:t xml:space="preserve">Windows </w:t>
            </w:r>
            <w:r w:rsidR="00C86F50">
              <w:rPr>
                <w:rFonts w:ascii="Tahoma" w:hAnsi="Tahoma" w:cs="Tahoma"/>
                <w:sz w:val="18"/>
                <w:szCs w:val="18"/>
              </w:rPr>
              <w:t>8</w:t>
            </w:r>
            <w:r w:rsidRPr="0058047D">
              <w:rPr>
                <w:rFonts w:ascii="Tahoma" w:hAnsi="Tahoma" w:cs="Tahoma"/>
                <w:sz w:val="18"/>
                <w:szCs w:val="18"/>
              </w:rPr>
              <w:t xml:space="preserve"> Pro</w:t>
            </w:r>
          </w:p>
        </w:tc>
      </w:tr>
    </w:tbl>
    <w:p w14:paraId="4F71185C" w14:textId="77777777" w:rsidR="00991DD4" w:rsidRPr="0058047D" w:rsidRDefault="00991DD4"/>
    <w:p w14:paraId="40C05E7C" w14:textId="77777777" w:rsidR="00456002" w:rsidRPr="003F471F" w:rsidRDefault="00456002" w:rsidP="00456002">
      <w:pPr>
        <w:pStyle w:val="Heading2"/>
        <w:ind w:left="0"/>
        <w:rPr>
          <w:lang w:val="it-IT"/>
        </w:rPr>
      </w:pPr>
      <w:bookmarkStart w:id="618" w:name="_Toc336338195"/>
      <w:bookmarkStart w:id="619" w:name="_Toc371663588"/>
      <w:r w:rsidRPr="003F471F">
        <w:rPr>
          <w:rFonts w:ascii="Tahoma" w:hAnsi="Tahoma" w:cs="Tahoma"/>
          <w:lang w:val="it-IT"/>
        </w:rPr>
        <w:t>Condizioni Aggiornate per i Programmi Contratto Enterprise e Contratto Subscription</w:t>
      </w:r>
      <w:bookmarkEnd w:id="618"/>
      <w:bookmarkEnd w:id="619"/>
    </w:p>
    <w:p w14:paraId="2EF58574" w14:textId="77777777" w:rsidR="00456002" w:rsidRPr="003F471F" w:rsidRDefault="00456002" w:rsidP="00456002">
      <w:pPr>
        <w:tabs>
          <w:tab w:val="left" w:pos="360"/>
        </w:tabs>
        <w:rPr>
          <w:lang w:val="it-IT"/>
        </w:rPr>
      </w:pPr>
    </w:p>
    <w:p w14:paraId="1C0D74C8" w14:textId="77777777" w:rsidR="00456002" w:rsidRPr="003F471F" w:rsidRDefault="00456002" w:rsidP="00F06EC5">
      <w:pPr>
        <w:keepNext/>
        <w:spacing w:after="60"/>
        <w:outlineLvl w:val="3"/>
        <w:rPr>
          <w:lang w:val="it-IT"/>
        </w:rPr>
      </w:pPr>
      <w:r w:rsidRPr="003F471F">
        <w:rPr>
          <w:rFonts w:cs="Tahoma"/>
          <w:b/>
          <w:szCs w:val="20"/>
          <w:lang w:val="it-IT"/>
        </w:rPr>
        <w:t>Servizi Online Enterprise che soddisfano i requisiti dei Prodotti Enterprise</w:t>
      </w:r>
    </w:p>
    <w:p w14:paraId="4B45D4A1" w14:textId="77777777" w:rsidR="00456002" w:rsidRPr="003F471F" w:rsidRDefault="00456002" w:rsidP="00366502">
      <w:pPr>
        <w:tabs>
          <w:tab w:val="left" w:pos="360"/>
        </w:tabs>
        <w:rPr>
          <w:lang w:val="it-IT"/>
        </w:rPr>
      </w:pPr>
      <w:r w:rsidRPr="003F471F">
        <w:rPr>
          <w:rFonts w:cs="Tahoma"/>
          <w:b/>
          <w:szCs w:val="20"/>
          <w:lang w:val="it-IT"/>
        </w:rPr>
        <w:t>Nota:</w:t>
      </w:r>
      <w:r w:rsidRPr="003F471F">
        <w:rPr>
          <w:rFonts w:cs="Tahoma"/>
          <w:szCs w:val="20"/>
          <w:lang w:val="it-IT"/>
        </w:rPr>
        <w:t xml:space="preserve"> quanto segue si applica alle società in possesso delle Iscrizioni Enterprise ed Enterprise Subscription che sono idonee ad acquistare i Servizi Online Enterprise. Le società che non sono certe della loro idoneità ad acquistare i</w:t>
      </w:r>
      <w:r w:rsidR="008432A1" w:rsidRPr="003F471F">
        <w:rPr>
          <w:rFonts w:cs="Tahoma"/>
          <w:szCs w:val="20"/>
          <w:lang w:val="it-IT"/>
        </w:rPr>
        <w:t> </w:t>
      </w:r>
      <w:r w:rsidRPr="003F471F">
        <w:rPr>
          <w:rFonts w:cs="Tahoma"/>
          <w:szCs w:val="20"/>
          <w:lang w:val="it-IT"/>
        </w:rPr>
        <w:t>Servizi Online Enterprise dovranno contattare il loro Software Advisor, Rivenditore o Account Manager designato da</w:t>
      </w:r>
      <w:r w:rsidR="008432A1" w:rsidRPr="003F471F">
        <w:rPr>
          <w:rFonts w:cs="Tahoma"/>
          <w:szCs w:val="20"/>
          <w:lang w:val="it-IT"/>
        </w:rPr>
        <w:t> </w:t>
      </w:r>
      <w:r w:rsidRPr="003F471F">
        <w:rPr>
          <w:rFonts w:cs="Tahoma"/>
          <w:szCs w:val="20"/>
          <w:lang w:val="it-IT"/>
        </w:rPr>
        <w:t>Microsoft per ulteriori informazioni.</w:t>
      </w:r>
      <w:r w:rsidR="00E34ED3" w:rsidRPr="003F471F">
        <w:rPr>
          <w:rFonts w:cs="Tahoma"/>
          <w:szCs w:val="20"/>
          <w:lang w:val="it-IT"/>
        </w:rPr>
        <w:t xml:space="preserve"> </w:t>
      </w:r>
    </w:p>
    <w:p w14:paraId="50FAF243" w14:textId="77777777" w:rsidR="00456002" w:rsidRPr="003F471F" w:rsidRDefault="00456002" w:rsidP="00366502">
      <w:pPr>
        <w:tabs>
          <w:tab w:val="left" w:pos="360"/>
        </w:tabs>
        <w:rPr>
          <w:lang w:val="it-IT"/>
        </w:rPr>
      </w:pPr>
    </w:p>
    <w:p w14:paraId="462CE302" w14:textId="77777777" w:rsidR="00456002" w:rsidRPr="003F471F" w:rsidRDefault="00456002" w:rsidP="00366502">
      <w:pPr>
        <w:tabs>
          <w:tab w:val="left" w:pos="360"/>
        </w:tabs>
        <w:rPr>
          <w:lang w:val="it-IT"/>
        </w:rPr>
      </w:pPr>
      <w:r w:rsidRPr="003F471F">
        <w:rPr>
          <w:rFonts w:cs="Tahoma"/>
          <w:szCs w:val="20"/>
          <w:lang w:val="it-IT"/>
        </w:rPr>
        <w:t>Una combinazione di Prodotti Enterprise e di Servizi Online Enterprise potrà essere utilizzata per soddisfare i requisiti dell</w:t>
      </w:r>
      <w:r w:rsidR="001C4212" w:rsidRPr="003F471F">
        <w:rPr>
          <w:rFonts w:cs="Tahoma"/>
          <w:szCs w:val="20"/>
          <w:lang w:val="it-IT"/>
        </w:rPr>
        <w:t>’</w:t>
      </w:r>
      <w:r w:rsidRPr="003F471F">
        <w:rPr>
          <w:rFonts w:cs="Tahoma"/>
          <w:szCs w:val="20"/>
          <w:lang w:val="it-IT"/>
        </w:rPr>
        <w:t>intera Organizzazione in un</w:t>
      </w:r>
      <w:r w:rsidR="001C4212" w:rsidRPr="003F471F">
        <w:rPr>
          <w:rFonts w:cs="Tahoma"/>
          <w:szCs w:val="20"/>
          <w:lang w:val="it-IT"/>
        </w:rPr>
        <w:t>’</w:t>
      </w:r>
      <w:r w:rsidRPr="003F471F">
        <w:rPr>
          <w:rFonts w:cs="Tahoma"/>
          <w:szCs w:val="20"/>
          <w:lang w:val="it-IT"/>
        </w:rPr>
        <w:t>Iscrizione Enterprise o Enterprise Subscription.</w:t>
      </w:r>
    </w:p>
    <w:p w14:paraId="430DA86E" w14:textId="77777777" w:rsidR="00456002" w:rsidRPr="003F471F" w:rsidRDefault="00456002" w:rsidP="00366502">
      <w:pPr>
        <w:tabs>
          <w:tab w:val="left" w:pos="360"/>
        </w:tabs>
        <w:rPr>
          <w:lang w:val="it-IT"/>
        </w:rPr>
      </w:pPr>
    </w:p>
    <w:p w14:paraId="7E036298" w14:textId="77777777" w:rsidR="00456002" w:rsidRPr="003F471F" w:rsidRDefault="00456002" w:rsidP="00366502">
      <w:pPr>
        <w:tabs>
          <w:tab w:val="left" w:pos="360"/>
        </w:tabs>
        <w:rPr>
          <w:lang w:val="it-IT"/>
        </w:rPr>
      </w:pPr>
      <w:r w:rsidRPr="003F471F">
        <w:rPr>
          <w:rFonts w:cs="Tahoma"/>
          <w:szCs w:val="20"/>
          <w:lang w:val="it-IT"/>
        </w:rPr>
        <w:t>Nella tabella che segue sono identificati i Servizi Online Enterprise e le eventuali CAL necessarie in grado di soddisfare il requisito per l</w:t>
      </w:r>
      <w:r w:rsidR="001C4212" w:rsidRPr="003F471F">
        <w:rPr>
          <w:rFonts w:cs="Tahoma"/>
          <w:szCs w:val="20"/>
          <w:lang w:val="it-IT"/>
        </w:rPr>
        <w:t>’</w:t>
      </w:r>
      <w:r w:rsidRPr="003F471F">
        <w:rPr>
          <w:rFonts w:cs="Tahoma"/>
          <w:szCs w:val="20"/>
          <w:lang w:val="it-IT"/>
        </w:rPr>
        <w:t>intera Organizzazione per i Prodotti Enterprise.</w:t>
      </w:r>
      <w:r w:rsidR="00E34ED3" w:rsidRPr="003F471F">
        <w:rPr>
          <w:rFonts w:cs="Tahoma"/>
          <w:szCs w:val="20"/>
          <w:lang w:val="it-IT"/>
        </w:rPr>
        <w:t xml:space="preserve"> </w:t>
      </w:r>
    </w:p>
    <w:p w14:paraId="62EA4ADE" w14:textId="77777777" w:rsidR="00456002" w:rsidRPr="003F471F" w:rsidRDefault="00456002" w:rsidP="0055442E">
      <w:pPr>
        <w:ind w:left="720"/>
        <w:rPr>
          <w:lang w:val="it-IT"/>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58047D" w14:paraId="38B40975"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514704FC" w14:textId="77777777" w:rsidR="00456002" w:rsidRPr="0058047D" w:rsidRDefault="00456002" w:rsidP="005C647E">
            <w:pPr>
              <w:keepNext/>
              <w:jc w:val="center"/>
              <w:rPr>
                <w:rFonts w:cs="Tahoma"/>
                <w:b/>
              </w:rPr>
            </w:pPr>
            <w:r w:rsidRPr="0058047D">
              <w:rPr>
                <w:rFonts w:cs="Tahoma"/>
                <w:b/>
              </w:rPr>
              <w:t>Prodotto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2C970553" w14:textId="77777777" w:rsidR="00456002" w:rsidRPr="0058047D" w:rsidRDefault="00456002" w:rsidP="005C647E">
            <w:pPr>
              <w:keepNext/>
              <w:jc w:val="center"/>
              <w:rPr>
                <w:rFonts w:cs="Tahoma"/>
                <w:b/>
              </w:rPr>
            </w:pPr>
            <w:r w:rsidRPr="0058047D">
              <w:rPr>
                <w:rFonts w:cs="Tahoma"/>
                <w:b/>
                <w:bCs/>
              </w:rPr>
              <w:t>Servizi Online Enterprise***</w:t>
            </w:r>
          </w:p>
        </w:tc>
      </w:tr>
      <w:tr w:rsidR="00E71EB9" w:rsidRPr="0058047D" w14:paraId="2C57A49C"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6DDBB234" w14:textId="77777777" w:rsidR="00E71EB9" w:rsidRPr="0058047D" w:rsidRDefault="00E71EB9" w:rsidP="005C647E">
            <w:pPr>
              <w:ind w:left="144"/>
              <w:rPr>
                <w:rFonts w:cs="Tahoma"/>
                <w:szCs w:val="18"/>
              </w:rPr>
            </w:pPr>
            <w:r w:rsidRPr="0058047D">
              <w:rPr>
                <w:rFonts w:cs="Tahoma"/>
                <w:szCs w:val="18"/>
              </w:rPr>
              <w:t>Office Professional Plus**</w:t>
            </w:r>
          </w:p>
        </w:tc>
        <w:tc>
          <w:tcPr>
            <w:tcW w:w="4157" w:type="dxa"/>
            <w:tcBorders>
              <w:top w:val="nil"/>
              <w:left w:val="nil"/>
              <w:bottom w:val="single" w:sz="4" w:space="0" w:color="auto"/>
              <w:right w:val="single" w:sz="8" w:space="0" w:color="auto"/>
            </w:tcBorders>
            <w:vAlign w:val="center"/>
          </w:tcPr>
          <w:p w14:paraId="205079E4" w14:textId="77777777" w:rsidR="00E71EB9" w:rsidRPr="0058047D" w:rsidRDefault="00E71EB9" w:rsidP="00346F4B">
            <w:pPr>
              <w:numPr>
                <w:ilvl w:val="0"/>
                <w:numId w:val="35"/>
              </w:numPr>
              <w:spacing w:after="60"/>
              <w:ind w:left="907"/>
            </w:pPr>
            <w:r w:rsidRPr="0058047D">
              <w:rPr>
                <w:rFonts w:cs="Tahoma"/>
                <w:color w:val="000000"/>
                <w:szCs w:val="18"/>
              </w:rPr>
              <w:t>Office 365 (Enterprise E3)</w:t>
            </w:r>
          </w:p>
          <w:p w14:paraId="4A60E330" w14:textId="77777777" w:rsidR="00E71EB9" w:rsidRPr="0058047D" w:rsidRDefault="00E71EB9" w:rsidP="00346F4B">
            <w:pPr>
              <w:numPr>
                <w:ilvl w:val="0"/>
                <w:numId w:val="35"/>
              </w:numPr>
              <w:spacing w:after="60"/>
              <w:ind w:left="907"/>
            </w:pPr>
            <w:r w:rsidRPr="0058047D">
              <w:rPr>
                <w:rFonts w:cs="Tahoma"/>
                <w:color w:val="000000"/>
                <w:szCs w:val="18"/>
              </w:rPr>
              <w:t xml:space="preserve">Office 365 (Enterprise E4) </w:t>
            </w:r>
          </w:p>
          <w:p w14:paraId="01F88D98" w14:textId="77777777" w:rsidR="00E71EB9" w:rsidRPr="0058047D" w:rsidRDefault="00E71EB9" w:rsidP="00346F4B">
            <w:pPr>
              <w:numPr>
                <w:ilvl w:val="0"/>
                <w:numId w:val="35"/>
              </w:numPr>
              <w:spacing w:after="60"/>
              <w:ind w:left="907"/>
            </w:pPr>
            <w:r w:rsidRPr="0058047D">
              <w:rPr>
                <w:rFonts w:cs="Tahoma"/>
                <w:color w:val="000000"/>
                <w:szCs w:val="18"/>
              </w:rPr>
              <w:t>Office 365 (Government G3)</w:t>
            </w:r>
          </w:p>
          <w:p w14:paraId="375CBBF0" w14:textId="77777777" w:rsidR="00E71EB9" w:rsidRPr="0058047D" w:rsidRDefault="00E71EB9" w:rsidP="00346F4B">
            <w:pPr>
              <w:numPr>
                <w:ilvl w:val="0"/>
                <w:numId w:val="35"/>
              </w:numPr>
              <w:spacing w:after="60"/>
              <w:ind w:left="907"/>
            </w:pPr>
            <w:r w:rsidRPr="0058047D">
              <w:rPr>
                <w:rFonts w:cs="Tahoma"/>
                <w:color w:val="000000"/>
                <w:szCs w:val="18"/>
              </w:rPr>
              <w:t>Office 365 (Government G4)</w:t>
            </w:r>
          </w:p>
          <w:p w14:paraId="7BA2B71C" w14:textId="77777777" w:rsidR="00C571BD" w:rsidRPr="0058047D" w:rsidRDefault="00C571BD" w:rsidP="00F06EC5">
            <w:pPr>
              <w:ind w:left="907"/>
              <w:rPr>
                <w:rFonts w:cs="Tahoma"/>
                <w:color w:val="000000"/>
                <w:szCs w:val="18"/>
              </w:rPr>
            </w:pPr>
          </w:p>
        </w:tc>
      </w:tr>
      <w:tr w:rsidR="00E71EB9" w:rsidRPr="0058047D" w14:paraId="3E589A04"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3952BCD4" w14:textId="77777777" w:rsidR="00E71EB9" w:rsidRPr="0058047D" w:rsidRDefault="00E71EB9" w:rsidP="005C647E">
            <w:pPr>
              <w:ind w:left="144"/>
              <w:rPr>
                <w:rFonts w:cs="Tahoma"/>
                <w:szCs w:val="18"/>
              </w:rPr>
            </w:pPr>
            <w:r w:rsidRPr="0058047D">
              <w:rPr>
                <w:rFonts w:cs="Tahoma"/>
                <w:szCs w:val="18"/>
              </w:rPr>
              <w:t>Core CAL Suite</w:t>
            </w:r>
          </w:p>
        </w:tc>
        <w:tc>
          <w:tcPr>
            <w:tcW w:w="4157" w:type="dxa"/>
            <w:tcBorders>
              <w:top w:val="nil"/>
              <w:left w:val="nil"/>
              <w:bottom w:val="single" w:sz="4" w:space="0" w:color="auto"/>
              <w:right w:val="single" w:sz="8" w:space="0" w:color="auto"/>
            </w:tcBorders>
            <w:vAlign w:val="center"/>
          </w:tcPr>
          <w:p w14:paraId="3622E7C9" w14:textId="77777777" w:rsidR="008368B4" w:rsidRPr="0058047D" w:rsidRDefault="008368B4" w:rsidP="00346F4B">
            <w:pPr>
              <w:numPr>
                <w:ilvl w:val="0"/>
                <w:numId w:val="35"/>
              </w:numPr>
              <w:spacing w:before="60" w:after="60"/>
              <w:ind w:left="907"/>
            </w:pPr>
            <w:r w:rsidRPr="0058047D">
              <w:rPr>
                <w:rFonts w:cs="Tahoma"/>
                <w:color w:val="000000"/>
                <w:szCs w:val="18"/>
              </w:rPr>
              <w:t>Office 365 (Enterprise E1)*</w:t>
            </w:r>
          </w:p>
          <w:p w14:paraId="7422CA88" w14:textId="77777777" w:rsidR="008368B4" w:rsidRPr="0058047D" w:rsidRDefault="008368B4" w:rsidP="00346F4B">
            <w:pPr>
              <w:numPr>
                <w:ilvl w:val="0"/>
                <w:numId w:val="35"/>
              </w:numPr>
              <w:spacing w:after="60"/>
            </w:pPr>
            <w:r w:rsidRPr="0058047D">
              <w:rPr>
                <w:rFonts w:cs="Tahoma"/>
                <w:color w:val="000000"/>
                <w:szCs w:val="18"/>
              </w:rPr>
              <w:t>Office 365 (Enterprise E3)*</w:t>
            </w:r>
          </w:p>
          <w:p w14:paraId="75C0AC4E" w14:textId="77777777" w:rsidR="008368B4" w:rsidRPr="0058047D" w:rsidRDefault="008368B4" w:rsidP="00346F4B">
            <w:pPr>
              <w:numPr>
                <w:ilvl w:val="0"/>
                <w:numId w:val="35"/>
              </w:numPr>
              <w:spacing w:after="60"/>
            </w:pPr>
            <w:r w:rsidRPr="0058047D">
              <w:rPr>
                <w:rFonts w:cs="Tahoma"/>
                <w:color w:val="000000"/>
                <w:szCs w:val="18"/>
              </w:rPr>
              <w:t>Office 365 (Enterprise E4)*</w:t>
            </w:r>
          </w:p>
          <w:p w14:paraId="7B9F1190" w14:textId="77777777" w:rsidR="008368B4" w:rsidRPr="0058047D" w:rsidRDefault="008368B4" w:rsidP="00346F4B">
            <w:pPr>
              <w:numPr>
                <w:ilvl w:val="0"/>
                <w:numId w:val="35"/>
              </w:numPr>
              <w:spacing w:after="60"/>
            </w:pPr>
            <w:r w:rsidRPr="0058047D">
              <w:rPr>
                <w:rFonts w:cs="Tahoma"/>
                <w:color w:val="000000"/>
                <w:szCs w:val="18"/>
              </w:rPr>
              <w:t>Office 365 (Government G1)*</w:t>
            </w:r>
          </w:p>
          <w:p w14:paraId="2071AA70" w14:textId="77777777" w:rsidR="008368B4" w:rsidRPr="0058047D" w:rsidRDefault="004D2744" w:rsidP="00346F4B">
            <w:pPr>
              <w:numPr>
                <w:ilvl w:val="0"/>
                <w:numId w:val="35"/>
              </w:numPr>
              <w:spacing w:after="60"/>
            </w:pPr>
            <w:r w:rsidRPr="0058047D">
              <w:rPr>
                <w:rFonts w:cs="Tahoma"/>
                <w:color w:val="000000"/>
                <w:szCs w:val="18"/>
              </w:rPr>
              <w:t>Office 365(Government G3)*</w:t>
            </w:r>
          </w:p>
          <w:p w14:paraId="43A45E88" w14:textId="77777777" w:rsidR="008368B4" w:rsidRPr="0058047D" w:rsidRDefault="008368B4" w:rsidP="00346F4B">
            <w:pPr>
              <w:numPr>
                <w:ilvl w:val="0"/>
                <w:numId w:val="35"/>
              </w:numPr>
              <w:spacing w:after="60"/>
            </w:pPr>
            <w:r w:rsidRPr="0058047D">
              <w:rPr>
                <w:rFonts w:cs="Tahoma"/>
                <w:color w:val="000000"/>
                <w:szCs w:val="18"/>
              </w:rPr>
              <w:t>Office 365 (Government G4)*</w:t>
            </w:r>
          </w:p>
          <w:p w14:paraId="13CB6B10" w14:textId="77777777" w:rsidR="00822871" w:rsidRPr="0058047D" w:rsidRDefault="00E71EB9" w:rsidP="00346F4B">
            <w:pPr>
              <w:numPr>
                <w:ilvl w:val="0"/>
                <w:numId w:val="35"/>
              </w:numPr>
              <w:spacing w:after="60"/>
            </w:pPr>
            <w:r w:rsidRPr="0058047D">
              <w:rPr>
                <w:rFonts w:cs="Tahoma"/>
                <w:color w:val="000000"/>
                <w:szCs w:val="18"/>
              </w:rPr>
              <w:t xml:space="preserve">Windows Intune* </w:t>
            </w:r>
          </w:p>
          <w:p w14:paraId="7DD70E9D" w14:textId="77777777" w:rsidR="00822871" w:rsidRPr="0058047D" w:rsidRDefault="00822871" w:rsidP="00F06EC5">
            <w:pPr>
              <w:ind w:left="907"/>
              <w:rPr>
                <w:rFonts w:cs="Tahoma"/>
                <w:color w:val="000000"/>
                <w:szCs w:val="18"/>
              </w:rPr>
            </w:pPr>
          </w:p>
        </w:tc>
      </w:tr>
      <w:tr w:rsidR="00E71EB9" w:rsidRPr="0058047D" w14:paraId="5E0B867B"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68196464" w14:textId="77777777" w:rsidR="00E71EB9" w:rsidRPr="0058047D" w:rsidRDefault="00E71EB9" w:rsidP="005C647E">
            <w:pPr>
              <w:ind w:left="144"/>
              <w:rPr>
                <w:rFonts w:cs="Tahoma"/>
                <w:szCs w:val="18"/>
              </w:rPr>
            </w:pPr>
            <w:r w:rsidRPr="0058047D">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14:paraId="312D4179" w14:textId="77777777" w:rsidR="008368B4" w:rsidRPr="0058047D" w:rsidRDefault="008368B4" w:rsidP="00346F4B">
            <w:pPr>
              <w:numPr>
                <w:ilvl w:val="0"/>
                <w:numId w:val="36"/>
              </w:numPr>
              <w:spacing w:before="60" w:after="60"/>
              <w:ind w:left="907"/>
            </w:pPr>
            <w:r w:rsidRPr="0058047D">
              <w:rPr>
                <w:rFonts w:eastAsia="Calibri" w:cs="Tahoma"/>
                <w:color w:val="000000"/>
                <w:szCs w:val="18"/>
              </w:rPr>
              <w:t xml:space="preserve">Office 365 </w:t>
            </w:r>
            <w:r w:rsidRPr="0058047D">
              <w:rPr>
                <w:rFonts w:cs="Tahoma"/>
                <w:color w:val="000000"/>
                <w:szCs w:val="18"/>
              </w:rPr>
              <w:t>(Enterprise E3)*</w:t>
            </w:r>
          </w:p>
          <w:p w14:paraId="30357D13" w14:textId="77777777" w:rsidR="008368B4" w:rsidRPr="0058047D" w:rsidRDefault="008368B4" w:rsidP="00346F4B">
            <w:pPr>
              <w:numPr>
                <w:ilvl w:val="0"/>
                <w:numId w:val="36"/>
              </w:numPr>
              <w:spacing w:after="60"/>
            </w:pPr>
            <w:r w:rsidRPr="0058047D">
              <w:rPr>
                <w:rFonts w:eastAsia="Calibri" w:cs="Tahoma"/>
                <w:color w:val="000000"/>
                <w:szCs w:val="18"/>
              </w:rPr>
              <w:t xml:space="preserve">Office 365 </w:t>
            </w:r>
            <w:r w:rsidRPr="0058047D">
              <w:rPr>
                <w:rFonts w:cs="Tahoma"/>
                <w:color w:val="000000"/>
                <w:szCs w:val="18"/>
              </w:rPr>
              <w:t>(Enterprise E4)*</w:t>
            </w:r>
          </w:p>
          <w:p w14:paraId="0F0C0BA3" w14:textId="77777777" w:rsidR="008368B4" w:rsidRPr="0058047D" w:rsidRDefault="008368B4" w:rsidP="00346F4B">
            <w:pPr>
              <w:numPr>
                <w:ilvl w:val="0"/>
                <w:numId w:val="36"/>
              </w:numPr>
              <w:spacing w:after="60"/>
            </w:pPr>
            <w:r w:rsidRPr="0058047D">
              <w:rPr>
                <w:rFonts w:eastAsia="Calibri" w:cs="Tahoma"/>
                <w:color w:val="000000"/>
                <w:szCs w:val="18"/>
              </w:rPr>
              <w:t xml:space="preserve">Office 365 </w:t>
            </w:r>
            <w:r w:rsidRPr="0058047D">
              <w:rPr>
                <w:rFonts w:cs="Tahoma"/>
                <w:color w:val="000000"/>
                <w:szCs w:val="18"/>
              </w:rPr>
              <w:t>(Government G3)*</w:t>
            </w:r>
          </w:p>
          <w:p w14:paraId="5C271580" w14:textId="77777777" w:rsidR="008368B4" w:rsidRPr="0058047D" w:rsidRDefault="008368B4" w:rsidP="00346F4B">
            <w:pPr>
              <w:numPr>
                <w:ilvl w:val="0"/>
                <w:numId w:val="36"/>
              </w:numPr>
              <w:spacing w:after="60"/>
            </w:pPr>
            <w:r w:rsidRPr="0058047D">
              <w:rPr>
                <w:rFonts w:eastAsia="Calibri" w:cs="Tahoma"/>
                <w:color w:val="000000"/>
                <w:szCs w:val="18"/>
              </w:rPr>
              <w:t xml:space="preserve">Office 365 </w:t>
            </w:r>
            <w:r w:rsidRPr="0058047D">
              <w:rPr>
                <w:rFonts w:cs="Tahoma"/>
                <w:color w:val="000000"/>
                <w:szCs w:val="18"/>
              </w:rPr>
              <w:t>(Government G4)*</w:t>
            </w:r>
          </w:p>
          <w:p w14:paraId="6270AC8F" w14:textId="77777777" w:rsidR="00822871" w:rsidRPr="0058047D" w:rsidRDefault="00E71EB9" w:rsidP="00346F4B">
            <w:pPr>
              <w:numPr>
                <w:ilvl w:val="0"/>
                <w:numId w:val="36"/>
              </w:numPr>
              <w:spacing w:after="60"/>
            </w:pPr>
            <w:r w:rsidRPr="0058047D">
              <w:rPr>
                <w:rFonts w:cs="Tahoma"/>
                <w:color w:val="000000"/>
                <w:szCs w:val="18"/>
              </w:rPr>
              <w:t>Windows Intune*</w:t>
            </w:r>
          </w:p>
          <w:p w14:paraId="1798DAB8" w14:textId="77777777" w:rsidR="00E71EB9" w:rsidRPr="0058047D" w:rsidRDefault="00E71EB9" w:rsidP="0038120B">
            <w:pPr>
              <w:ind w:left="907"/>
              <w:rPr>
                <w:rFonts w:cs="Tahoma"/>
                <w:color w:val="000000"/>
                <w:szCs w:val="18"/>
              </w:rPr>
            </w:pPr>
          </w:p>
        </w:tc>
      </w:tr>
    </w:tbl>
    <w:p w14:paraId="7B32FB04" w14:textId="77777777" w:rsidR="00456002" w:rsidRPr="003F471F" w:rsidRDefault="00456002" w:rsidP="00456002">
      <w:pPr>
        <w:tabs>
          <w:tab w:val="left" w:pos="360"/>
        </w:tabs>
        <w:ind w:left="720"/>
        <w:rPr>
          <w:lang w:val="it-IT"/>
        </w:rPr>
      </w:pPr>
      <w:r w:rsidRPr="003F471F">
        <w:rPr>
          <w:rFonts w:cs="Tahoma"/>
          <w:i/>
          <w:sz w:val="16"/>
          <w:szCs w:val="20"/>
          <w:lang w:val="it-IT"/>
        </w:rPr>
        <w:t>* Richiede la CAL Suite Bridge appropriata. Per ulteriori informazioni sulla CAL Suite Bridge, fare riferimento all</w:t>
      </w:r>
      <w:r w:rsidR="001C4212" w:rsidRPr="003F471F">
        <w:rPr>
          <w:rFonts w:cs="Tahoma"/>
          <w:i/>
          <w:sz w:val="16"/>
          <w:szCs w:val="20"/>
          <w:lang w:val="it-IT"/>
        </w:rPr>
        <w:t>’</w:t>
      </w:r>
      <w:r w:rsidRPr="003F471F">
        <w:rPr>
          <w:rFonts w:cs="Tahoma"/>
          <w:i/>
          <w:sz w:val="16"/>
          <w:szCs w:val="20"/>
          <w:lang w:val="it-IT"/>
        </w:rPr>
        <w:t>articolo relativo alle note del prodotto nel presente documento.</w:t>
      </w:r>
    </w:p>
    <w:p w14:paraId="6DD4BC97" w14:textId="77777777" w:rsidR="00456002" w:rsidRPr="003F471F" w:rsidRDefault="00456002" w:rsidP="00456002">
      <w:pPr>
        <w:tabs>
          <w:tab w:val="left" w:pos="360"/>
        </w:tabs>
        <w:ind w:left="720"/>
        <w:rPr>
          <w:lang w:val="it-IT"/>
        </w:rPr>
      </w:pPr>
      <w:r w:rsidRPr="003F471F">
        <w:rPr>
          <w:rFonts w:cs="Tahoma"/>
          <w:i/>
          <w:sz w:val="16"/>
          <w:szCs w:val="20"/>
          <w:lang w:val="it-IT"/>
        </w:rPr>
        <w:t>**Office 365 ProPlus e Windows VDA sono Prodotti Enterprise e possono soddisfare i requisiti per l</w:t>
      </w:r>
      <w:r w:rsidR="001C4212" w:rsidRPr="003F471F">
        <w:rPr>
          <w:rFonts w:cs="Tahoma"/>
          <w:i/>
          <w:sz w:val="16"/>
          <w:szCs w:val="20"/>
          <w:lang w:val="it-IT"/>
        </w:rPr>
        <w:t>’</w:t>
      </w:r>
      <w:r w:rsidRPr="003F471F">
        <w:rPr>
          <w:rFonts w:cs="Tahoma"/>
          <w:i/>
          <w:sz w:val="16"/>
          <w:szCs w:val="20"/>
          <w:lang w:val="it-IT"/>
        </w:rPr>
        <w:t>intera Organizzazione di Prodotti Enterprise.</w:t>
      </w:r>
    </w:p>
    <w:p w14:paraId="1553DBAD" w14:textId="77777777" w:rsidR="00456002" w:rsidRPr="003F471F" w:rsidRDefault="00456002" w:rsidP="00366502">
      <w:pPr>
        <w:tabs>
          <w:tab w:val="left" w:pos="360"/>
        </w:tabs>
        <w:ind w:left="720"/>
        <w:rPr>
          <w:lang w:val="it-IT"/>
        </w:rPr>
      </w:pPr>
      <w:r w:rsidRPr="003F471F">
        <w:rPr>
          <w:rFonts w:cs="Tahoma"/>
          <w:i/>
          <w:sz w:val="16"/>
          <w:szCs w:val="20"/>
          <w:lang w:val="it-IT"/>
        </w:rPr>
        <w:t>***I Servizi Online Enterprise includono solo USL complete.</w:t>
      </w:r>
      <w:r w:rsidR="00E34ED3" w:rsidRPr="003F471F">
        <w:rPr>
          <w:rFonts w:cs="Tahoma"/>
          <w:i/>
          <w:sz w:val="16"/>
          <w:szCs w:val="20"/>
          <w:lang w:val="it-IT"/>
        </w:rPr>
        <w:t xml:space="preserve"> </w:t>
      </w:r>
      <w:r w:rsidRPr="003F471F">
        <w:rPr>
          <w:rFonts w:cs="Tahoma"/>
          <w:i/>
          <w:sz w:val="16"/>
          <w:szCs w:val="20"/>
          <w:lang w:val="it-IT"/>
        </w:rPr>
        <w:t>Le USL per Software Assurance, il cui acquisto è subordinato a Core CAL o Enterprise CAL, non costituiscono Servizi Online Enterprise.</w:t>
      </w:r>
    </w:p>
    <w:p w14:paraId="4D1F4833" w14:textId="77777777" w:rsidR="00366502" w:rsidRPr="003F471F" w:rsidRDefault="00366502" w:rsidP="00456002">
      <w:pPr>
        <w:tabs>
          <w:tab w:val="left" w:pos="360"/>
        </w:tabs>
        <w:ind w:left="720"/>
        <w:rPr>
          <w:lang w:val="it-IT"/>
        </w:rPr>
      </w:pPr>
    </w:p>
    <w:p w14:paraId="4421A9E3" w14:textId="77777777" w:rsidR="008432A1" w:rsidRPr="003F471F" w:rsidRDefault="008432A1" w:rsidP="00456002">
      <w:pPr>
        <w:tabs>
          <w:tab w:val="left" w:pos="360"/>
        </w:tabs>
        <w:ind w:left="720"/>
        <w:rPr>
          <w:lang w:val="it-IT"/>
        </w:rPr>
      </w:pPr>
    </w:p>
    <w:p w14:paraId="5A7F4FBE" w14:textId="77777777" w:rsidR="00456002" w:rsidRPr="003F471F" w:rsidRDefault="00456002" w:rsidP="0055442E">
      <w:pPr>
        <w:tabs>
          <w:tab w:val="left" w:pos="360"/>
        </w:tabs>
        <w:spacing w:after="60"/>
        <w:rPr>
          <w:lang w:val="it-IT"/>
        </w:rPr>
      </w:pPr>
      <w:r w:rsidRPr="003F471F">
        <w:rPr>
          <w:rFonts w:cs="Tahoma"/>
          <w:b/>
          <w:szCs w:val="18"/>
          <w:lang w:val="it-IT"/>
        </w:rPr>
        <w:t>Transizioni Autorizzate</w:t>
      </w:r>
    </w:p>
    <w:p w14:paraId="6123038A" w14:textId="77777777" w:rsidR="00456002" w:rsidRPr="003F471F" w:rsidRDefault="0014632E" w:rsidP="00366502">
      <w:pPr>
        <w:tabs>
          <w:tab w:val="left" w:pos="360"/>
        </w:tabs>
        <w:rPr>
          <w:lang w:val="it-IT"/>
        </w:rPr>
      </w:pPr>
      <w:r w:rsidRPr="003F471F">
        <w:rPr>
          <w:rFonts w:cs="Tahoma"/>
          <w:b/>
          <w:szCs w:val="20"/>
          <w:lang w:val="it-IT"/>
        </w:rPr>
        <w:t xml:space="preserve">Nota: </w:t>
      </w:r>
      <w:r w:rsidRPr="003F471F">
        <w:rPr>
          <w:rFonts w:cs="Tahoma"/>
          <w:szCs w:val="20"/>
          <w:lang w:val="it-IT"/>
        </w:rPr>
        <w:t>quanto segue si applica alle società in possesso delle Iscrizioni Enterprise ed Enterprise Subscription che hanno i diritti di Transizione. Le società che non sono certe di disporre dei diritti di Transizione ai sensi della loro iscrizione dovranno contattare il loro Software Advisor, Rivenditore o Account Manager designato da Microsoft per ulteriori informazioni.</w:t>
      </w:r>
      <w:r w:rsidR="00E34ED3" w:rsidRPr="003F471F">
        <w:rPr>
          <w:rFonts w:cs="Tahoma"/>
          <w:szCs w:val="20"/>
          <w:lang w:val="it-IT"/>
        </w:rPr>
        <w:t xml:space="preserve"> </w:t>
      </w:r>
    </w:p>
    <w:p w14:paraId="174BA4F8" w14:textId="77777777" w:rsidR="00456002" w:rsidRPr="003F471F" w:rsidRDefault="00456002" w:rsidP="00366502">
      <w:pPr>
        <w:tabs>
          <w:tab w:val="left" w:pos="360"/>
        </w:tabs>
        <w:rPr>
          <w:lang w:val="it-IT"/>
        </w:rPr>
      </w:pPr>
    </w:p>
    <w:p w14:paraId="4C047DC8" w14:textId="77777777" w:rsidR="00456002" w:rsidRPr="003F471F" w:rsidRDefault="00456002" w:rsidP="00366502">
      <w:pPr>
        <w:tabs>
          <w:tab w:val="left" w:pos="360"/>
        </w:tabs>
        <w:rPr>
          <w:lang w:val="it-IT"/>
        </w:rPr>
      </w:pPr>
      <w:r w:rsidRPr="003F471F">
        <w:rPr>
          <w:rFonts w:cs="Tahoma"/>
          <w:szCs w:val="20"/>
          <w:lang w:val="it-IT"/>
        </w:rPr>
        <w:t>Nella tabella che segue sono identificati i prodotti idonei per la Transizione e le Transizioni autorizzate.</w:t>
      </w:r>
      <w:r w:rsidR="00E34ED3" w:rsidRPr="003F471F">
        <w:rPr>
          <w:rFonts w:cs="Tahoma"/>
          <w:szCs w:val="20"/>
          <w:lang w:val="it-IT"/>
        </w:rPr>
        <w:t xml:space="preserve"> </w:t>
      </w:r>
      <w:r w:rsidRPr="003F471F">
        <w:rPr>
          <w:rFonts w:cs="Tahoma"/>
          <w:szCs w:val="20"/>
          <w:lang w:val="it-IT"/>
        </w:rPr>
        <w:t>Sono inclusi prodotti soggetti alla transizione al momento dell</w:t>
      </w:r>
      <w:r w:rsidR="001C4212" w:rsidRPr="003F471F">
        <w:rPr>
          <w:rFonts w:cs="Tahoma"/>
          <w:szCs w:val="20"/>
          <w:lang w:val="it-IT"/>
        </w:rPr>
        <w:t>’</w:t>
      </w:r>
      <w:r w:rsidRPr="003F471F">
        <w:rPr>
          <w:rFonts w:cs="Tahoma"/>
          <w:szCs w:val="20"/>
          <w:lang w:val="it-IT"/>
        </w:rPr>
        <w:t>acquisto come parte di una desktop platform.</w:t>
      </w:r>
    </w:p>
    <w:p w14:paraId="635A4AA1" w14:textId="77777777" w:rsidR="00456002" w:rsidRPr="003F471F" w:rsidRDefault="00456002" w:rsidP="00456002">
      <w:pPr>
        <w:tabs>
          <w:tab w:val="left" w:pos="360"/>
        </w:tabs>
        <w:ind w:left="720"/>
        <w:rPr>
          <w:lang w:val="it-IT"/>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58047D" w14:paraId="5D4FE60A" w14:textId="77777777" w:rsidTr="008432A1">
        <w:trPr>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19EDEEB0" w14:textId="77777777" w:rsidR="00456002" w:rsidRPr="0058047D" w:rsidRDefault="00456002" w:rsidP="005C647E">
            <w:pPr>
              <w:keepNext/>
              <w:jc w:val="center"/>
              <w:rPr>
                <w:rFonts w:cs="Tahoma"/>
                <w:b/>
              </w:rPr>
            </w:pPr>
            <w:r w:rsidRPr="0058047D">
              <w:rPr>
                <w:rFonts w:cs="Tahoma"/>
                <w:b/>
              </w:rPr>
              <w:t>Prodotti per la Transizione</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57EA9480" w14:textId="77777777" w:rsidR="00456002" w:rsidRPr="0058047D" w:rsidRDefault="00456002" w:rsidP="005C647E">
            <w:pPr>
              <w:keepNext/>
              <w:jc w:val="center"/>
              <w:rPr>
                <w:rFonts w:cs="Tahoma"/>
                <w:b/>
              </w:rPr>
            </w:pPr>
            <w:r w:rsidRPr="0058047D">
              <w:rPr>
                <w:rFonts w:cs="Tahoma"/>
                <w:b/>
              </w:rPr>
              <w:t>Transizioni Autorizzate</w:t>
            </w:r>
          </w:p>
        </w:tc>
      </w:tr>
      <w:tr w:rsidR="00A32052" w:rsidRPr="0058047D" w14:paraId="1D8A5D95"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5D38EAEB" w14:textId="77777777" w:rsidR="00A32052" w:rsidRPr="0058047D" w:rsidRDefault="00A32052" w:rsidP="005C647E">
            <w:pPr>
              <w:spacing w:before="60" w:after="60"/>
              <w:ind w:left="144"/>
              <w:rPr>
                <w:rFonts w:cs="Tahoma"/>
              </w:rPr>
            </w:pPr>
            <w:r w:rsidRPr="0058047D">
              <w:rPr>
                <w:rFonts w:cs="Tahoma"/>
              </w:rPr>
              <w:t xml:space="preserve">Core CAL Suite </w:t>
            </w:r>
          </w:p>
        </w:tc>
        <w:tc>
          <w:tcPr>
            <w:tcW w:w="4334" w:type="dxa"/>
            <w:tcBorders>
              <w:top w:val="nil"/>
              <w:left w:val="nil"/>
              <w:bottom w:val="single" w:sz="8" w:space="0" w:color="auto"/>
              <w:right w:val="single" w:sz="8" w:space="0" w:color="auto"/>
            </w:tcBorders>
            <w:vAlign w:val="center"/>
          </w:tcPr>
          <w:p w14:paraId="6B9918AD" w14:textId="77777777" w:rsidR="008368B4" w:rsidRPr="0058047D" w:rsidRDefault="008368B4" w:rsidP="00346F4B">
            <w:pPr>
              <w:numPr>
                <w:ilvl w:val="0"/>
                <w:numId w:val="37"/>
              </w:numPr>
              <w:spacing w:before="60" w:after="60"/>
            </w:pPr>
            <w:r w:rsidRPr="0058047D">
              <w:rPr>
                <w:rFonts w:cs="Tahoma"/>
                <w:color w:val="000000"/>
                <w:szCs w:val="18"/>
              </w:rPr>
              <w:t>Office 365 (Enterprise E1)*</w:t>
            </w:r>
          </w:p>
          <w:p w14:paraId="6B54A6D9" w14:textId="77777777" w:rsidR="008368B4" w:rsidRPr="0058047D" w:rsidRDefault="008368B4" w:rsidP="00346F4B">
            <w:pPr>
              <w:numPr>
                <w:ilvl w:val="0"/>
                <w:numId w:val="37"/>
              </w:numPr>
              <w:spacing w:after="60"/>
            </w:pPr>
            <w:r w:rsidRPr="0058047D">
              <w:rPr>
                <w:rFonts w:cs="Tahoma"/>
                <w:color w:val="000000"/>
                <w:szCs w:val="18"/>
              </w:rPr>
              <w:t>Office 365 (Enterprise E3)*</w:t>
            </w:r>
          </w:p>
          <w:p w14:paraId="2991B25E" w14:textId="77777777" w:rsidR="008368B4" w:rsidRPr="0058047D" w:rsidRDefault="008368B4" w:rsidP="00346F4B">
            <w:pPr>
              <w:numPr>
                <w:ilvl w:val="0"/>
                <w:numId w:val="37"/>
              </w:numPr>
              <w:spacing w:after="60"/>
            </w:pPr>
            <w:r w:rsidRPr="0058047D">
              <w:rPr>
                <w:rFonts w:cs="Tahoma"/>
                <w:color w:val="000000"/>
                <w:szCs w:val="18"/>
              </w:rPr>
              <w:t>Office 365 (Enterprise E4)*</w:t>
            </w:r>
          </w:p>
          <w:p w14:paraId="55748A67" w14:textId="77777777" w:rsidR="008368B4" w:rsidRPr="0058047D" w:rsidRDefault="008368B4" w:rsidP="00346F4B">
            <w:pPr>
              <w:numPr>
                <w:ilvl w:val="0"/>
                <w:numId w:val="37"/>
              </w:numPr>
              <w:spacing w:after="60"/>
            </w:pPr>
            <w:r w:rsidRPr="0058047D">
              <w:rPr>
                <w:rFonts w:cs="Tahoma"/>
                <w:color w:val="000000"/>
                <w:szCs w:val="18"/>
              </w:rPr>
              <w:t>Office 365 (Government G1)*</w:t>
            </w:r>
          </w:p>
          <w:p w14:paraId="72EE6B7B" w14:textId="77777777" w:rsidR="008368B4" w:rsidRPr="0058047D" w:rsidRDefault="008368B4" w:rsidP="00346F4B">
            <w:pPr>
              <w:numPr>
                <w:ilvl w:val="0"/>
                <w:numId w:val="37"/>
              </w:numPr>
              <w:spacing w:after="60"/>
            </w:pPr>
            <w:r w:rsidRPr="0058047D">
              <w:rPr>
                <w:rFonts w:cs="Tahoma"/>
                <w:color w:val="000000"/>
                <w:szCs w:val="18"/>
              </w:rPr>
              <w:t>Office 365 (Government G3)*</w:t>
            </w:r>
          </w:p>
          <w:p w14:paraId="3F9E3443" w14:textId="77777777" w:rsidR="008368B4" w:rsidRPr="0058047D" w:rsidRDefault="008368B4" w:rsidP="00346F4B">
            <w:pPr>
              <w:numPr>
                <w:ilvl w:val="0"/>
                <w:numId w:val="37"/>
              </w:numPr>
              <w:spacing w:after="60"/>
            </w:pPr>
            <w:r w:rsidRPr="0058047D">
              <w:rPr>
                <w:rFonts w:cs="Tahoma"/>
                <w:color w:val="000000"/>
                <w:szCs w:val="18"/>
              </w:rPr>
              <w:t>Office 365 (Government G4)*</w:t>
            </w:r>
          </w:p>
          <w:p w14:paraId="3347BB71" w14:textId="77777777" w:rsidR="00A32052" w:rsidRPr="0058047D" w:rsidRDefault="00A32052" w:rsidP="00346F4B">
            <w:pPr>
              <w:numPr>
                <w:ilvl w:val="0"/>
                <w:numId w:val="37"/>
              </w:numPr>
              <w:ind w:right="144"/>
            </w:pPr>
            <w:r w:rsidRPr="0058047D">
              <w:rPr>
                <w:rFonts w:cs="Tahoma"/>
                <w:color w:val="000000"/>
              </w:rPr>
              <w:t>Windows Intune*</w:t>
            </w:r>
          </w:p>
          <w:p w14:paraId="61EEB45E" w14:textId="77777777" w:rsidR="00A32052" w:rsidRPr="0058047D" w:rsidRDefault="00A32052" w:rsidP="0055442E">
            <w:pPr>
              <w:ind w:left="720" w:right="144"/>
              <w:rPr>
                <w:rFonts w:cs="Tahoma"/>
                <w:color w:val="000000"/>
              </w:rPr>
            </w:pPr>
          </w:p>
        </w:tc>
      </w:tr>
      <w:tr w:rsidR="00A32052" w:rsidRPr="0058047D" w14:paraId="19DBC872"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6034D207" w14:textId="77777777" w:rsidR="00A32052" w:rsidRPr="0058047D" w:rsidRDefault="00A32052" w:rsidP="005C647E">
            <w:pPr>
              <w:spacing w:before="60" w:after="60"/>
              <w:ind w:left="144"/>
              <w:rPr>
                <w:rFonts w:cs="Tahoma"/>
              </w:rPr>
            </w:pPr>
            <w:r w:rsidRPr="0058047D">
              <w:rPr>
                <w:rFonts w:cs="Tahoma"/>
              </w:rPr>
              <w:t>Enterprise CAL Suite</w:t>
            </w:r>
          </w:p>
        </w:tc>
        <w:tc>
          <w:tcPr>
            <w:tcW w:w="4334" w:type="dxa"/>
            <w:tcBorders>
              <w:top w:val="nil"/>
              <w:left w:val="nil"/>
              <w:bottom w:val="single" w:sz="8" w:space="0" w:color="auto"/>
              <w:right w:val="single" w:sz="8" w:space="0" w:color="auto"/>
            </w:tcBorders>
            <w:vAlign w:val="center"/>
          </w:tcPr>
          <w:p w14:paraId="656A3985" w14:textId="77777777" w:rsidR="00A32052" w:rsidRPr="0058047D" w:rsidRDefault="00A32052" w:rsidP="00346F4B">
            <w:pPr>
              <w:numPr>
                <w:ilvl w:val="0"/>
                <w:numId w:val="37"/>
              </w:numPr>
              <w:spacing w:before="60" w:after="60"/>
            </w:pPr>
            <w:r w:rsidRPr="0058047D">
              <w:rPr>
                <w:rFonts w:cs="Tahoma"/>
                <w:color w:val="000000"/>
                <w:szCs w:val="18"/>
              </w:rPr>
              <w:t>Office 365 (Enterprise E3)*</w:t>
            </w:r>
          </w:p>
          <w:p w14:paraId="372DA17F" w14:textId="77777777" w:rsidR="00A32052" w:rsidRPr="0058047D" w:rsidRDefault="00A32052" w:rsidP="00346F4B">
            <w:pPr>
              <w:numPr>
                <w:ilvl w:val="0"/>
                <w:numId w:val="37"/>
              </w:numPr>
              <w:spacing w:after="60"/>
            </w:pPr>
            <w:r w:rsidRPr="0058047D">
              <w:rPr>
                <w:rFonts w:cs="Tahoma"/>
                <w:color w:val="000000"/>
                <w:szCs w:val="18"/>
              </w:rPr>
              <w:t>Office 365 (Enterprise E4)*</w:t>
            </w:r>
          </w:p>
          <w:p w14:paraId="6C995A7A" w14:textId="77777777" w:rsidR="004D2744" w:rsidRPr="0058047D" w:rsidRDefault="004D2744" w:rsidP="00346F4B">
            <w:pPr>
              <w:numPr>
                <w:ilvl w:val="0"/>
                <w:numId w:val="37"/>
              </w:numPr>
              <w:spacing w:after="60"/>
            </w:pPr>
            <w:r w:rsidRPr="0058047D">
              <w:rPr>
                <w:rFonts w:cs="Tahoma"/>
                <w:color w:val="000000"/>
                <w:szCs w:val="18"/>
              </w:rPr>
              <w:t>Office 365 (Enterprise G3)*</w:t>
            </w:r>
          </w:p>
          <w:p w14:paraId="5230F640" w14:textId="77777777" w:rsidR="004D2744" w:rsidRPr="0058047D" w:rsidRDefault="004D2744" w:rsidP="00346F4B">
            <w:pPr>
              <w:numPr>
                <w:ilvl w:val="0"/>
                <w:numId w:val="37"/>
              </w:numPr>
              <w:spacing w:after="60"/>
            </w:pPr>
            <w:r w:rsidRPr="0058047D">
              <w:rPr>
                <w:rFonts w:cs="Tahoma"/>
                <w:color w:val="000000"/>
                <w:szCs w:val="18"/>
              </w:rPr>
              <w:t>Office 365 (Enterprise G4)*</w:t>
            </w:r>
          </w:p>
          <w:p w14:paraId="3B63DFE0" w14:textId="77777777" w:rsidR="00A32052" w:rsidRPr="0058047D" w:rsidRDefault="00A32052" w:rsidP="00346F4B">
            <w:pPr>
              <w:numPr>
                <w:ilvl w:val="0"/>
                <w:numId w:val="37"/>
              </w:numPr>
              <w:ind w:right="144"/>
            </w:pPr>
            <w:r w:rsidRPr="0058047D">
              <w:rPr>
                <w:rFonts w:cs="Tahoma"/>
                <w:color w:val="000000"/>
              </w:rPr>
              <w:t>Windows</w:t>
            </w:r>
            <w:r w:rsidR="00E53A46" w:rsidRPr="0058047D">
              <w:rPr>
                <w:rFonts w:cs="Tahoma"/>
                <w:color w:val="000000"/>
                <w:vertAlign w:val="superscript"/>
              </w:rPr>
              <w:t>®</w:t>
            </w:r>
            <w:r w:rsidRPr="0058047D">
              <w:rPr>
                <w:rFonts w:cs="Tahoma"/>
                <w:color w:val="000000"/>
              </w:rPr>
              <w:t xml:space="preserve"> Intune*</w:t>
            </w:r>
          </w:p>
          <w:p w14:paraId="01905A10" w14:textId="77777777" w:rsidR="00A32052" w:rsidRPr="0058047D" w:rsidRDefault="00A32052" w:rsidP="00BD6C2C">
            <w:pPr>
              <w:ind w:right="144"/>
              <w:rPr>
                <w:rFonts w:cs="Tahoma"/>
                <w:color w:val="000000"/>
              </w:rPr>
            </w:pPr>
          </w:p>
        </w:tc>
      </w:tr>
      <w:tr w:rsidR="00A32052" w:rsidRPr="0058047D" w14:paraId="3F89F469"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1FA56C79" w14:textId="77777777" w:rsidR="00A32052" w:rsidRPr="0058047D" w:rsidRDefault="00A32052" w:rsidP="005C647E">
            <w:pPr>
              <w:spacing w:before="60" w:after="60"/>
              <w:ind w:left="144"/>
              <w:rPr>
                <w:rFonts w:cs="Tahoma"/>
              </w:rPr>
            </w:pPr>
            <w:r w:rsidRPr="0058047D">
              <w:rPr>
                <w:rFonts w:cs="Tahoma"/>
              </w:rPr>
              <w:t>Office Professional Plus</w:t>
            </w:r>
          </w:p>
        </w:tc>
        <w:tc>
          <w:tcPr>
            <w:tcW w:w="4334" w:type="dxa"/>
            <w:tcBorders>
              <w:top w:val="single" w:sz="8" w:space="0" w:color="auto"/>
              <w:left w:val="nil"/>
              <w:bottom w:val="nil"/>
              <w:right w:val="single" w:sz="8" w:space="0" w:color="auto"/>
            </w:tcBorders>
            <w:vAlign w:val="center"/>
          </w:tcPr>
          <w:p w14:paraId="283F1FA2" w14:textId="77777777" w:rsidR="00A32052" w:rsidRPr="0058047D" w:rsidRDefault="00A32052" w:rsidP="00346F4B">
            <w:pPr>
              <w:numPr>
                <w:ilvl w:val="0"/>
                <w:numId w:val="37"/>
              </w:numPr>
              <w:spacing w:after="60"/>
            </w:pPr>
            <w:r w:rsidRPr="0058047D">
              <w:rPr>
                <w:rFonts w:cs="Tahoma"/>
                <w:color w:val="000000"/>
                <w:szCs w:val="18"/>
              </w:rPr>
              <w:t>Office 365 (Enterprise E3)*</w:t>
            </w:r>
          </w:p>
          <w:p w14:paraId="18AD587E" w14:textId="77777777" w:rsidR="00A32052" w:rsidRPr="0058047D" w:rsidRDefault="00A32052" w:rsidP="00346F4B">
            <w:pPr>
              <w:numPr>
                <w:ilvl w:val="0"/>
                <w:numId w:val="37"/>
              </w:numPr>
              <w:spacing w:after="60"/>
            </w:pPr>
            <w:r w:rsidRPr="0058047D">
              <w:rPr>
                <w:rFonts w:cs="Tahoma"/>
                <w:color w:val="000000"/>
                <w:szCs w:val="18"/>
              </w:rPr>
              <w:t>Office 365 (Enterprise E4)*</w:t>
            </w:r>
          </w:p>
          <w:p w14:paraId="4D28924E" w14:textId="77777777" w:rsidR="00A32052" w:rsidRPr="0058047D" w:rsidRDefault="00A32052" w:rsidP="00346F4B">
            <w:pPr>
              <w:numPr>
                <w:ilvl w:val="0"/>
                <w:numId w:val="37"/>
              </w:numPr>
              <w:spacing w:after="60"/>
            </w:pPr>
            <w:r w:rsidRPr="0058047D">
              <w:rPr>
                <w:rFonts w:cs="Tahoma"/>
                <w:color w:val="000000"/>
                <w:szCs w:val="18"/>
              </w:rPr>
              <w:t>Office 365 (Government G3)</w:t>
            </w:r>
          </w:p>
          <w:p w14:paraId="2881A932" w14:textId="77777777" w:rsidR="00A32052" w:rsidRPr="0058047D" w:rsidRDefault="00A32052" w:rsidP="00346F4B">
            <w:pPr>
              <w:numPr>
                <w:ilvl w:val="0"/>
                <w:numId w:val="37"/>
              </w:numPr>
              <w:spacing w:after="60"/>
            </w:pPr>
            <w:r w:rsidRPr="0058047D">
              <w:rPr>
                <w:rFonts w:cs="Tahoma"/>
                <w:color w:val="000000"/>
                <w:szCs w:val="18"/>
              </w:rPr>
              <w:t>Office 365 (Government G4)</w:t>
            </w:r>
          </w:p>
          <w:p w14:paraId="11449FB6" w14:textId="77777777" w:rsidR="00A32052" w:rsidRPr="0058047D" w:rsidRDefault="004D2744" w:rsidP="00346F4B">
            <w:pPr>
              <w:numPr>
                <w:ilvl w:val="0"/>
                <w:numId w:val="37"/>
              </w:numPr>
              <w:spacing w:after="60"/>
            </w:pPr>
            <w:r w:rsidRPr="0058047D">
              <w:rPr>
                <w:rFonts w:cs="Tahoma"/>
                <w:color w:val="000000"/>
                <w:szCs w:val="18"/>
              </w:rPr>
              <w:t>Office 365 ProPlus**</w:t>
            </w:r>
          </w:p>
          <w:p w14:paraId="10AFB39B" w14:textId="77777777" w:rsidR="002D25C8" w:rsidRPr="0058047D" w:rsidRDefault="002D25C8" w:rsidP="0055442E">
            <w:pPr>
              <w:ind w:left="720"/>
              <w:rPr>
                <w:rFonts w:cs="Tahoma"/>
                <w:color w:val="000000"/>
              </w:rPr>
            </w:pPr>
          </w:p>
        </w:tc>
      </w:tr>
      <w:tr w:rsidR="00A32052" w:rsidRPr="0058047D" w14:paraId="328FA286"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2A723557" w14:textId="77777777" w:rsidR="00A32052" w:rsidRPr="0058047D" w:rsidRDefault="00A32052" w:rsidP="005C647E">
            <w:pPr>
              <w:spacing w:before="60" w:after="60"/>
              <w:ind w:left="144"/>
              <w:rPr>
                <w:rFonts w:cs="Tahoma"/>
              </w:rPr>
            </w:pPr>
            <w:r w:rsidRPr="0058047D">
              <w:rPr>
                <w:rFonts w:cs="Tahoma"/>
              </w:rPr>
              <w:t>Office Professional Plus e Core CAL Suite</w:t>
            </w:r>
          </w:p>
        </w:tc>
        <w:tc>
          <w:tcPr>
            <w:tcW w:w="4334" w:type="dxa"/>
            <w:tcBorders>
              <w:top w:val="single" w:sz="8" w:space="0" w:color="auto"/>
              <w:left w:val="nil"/>
              <w:bottom w:val="nil"/>
              <w:right w:val="single" w:sz="8" w:space="0" w:color="auto"/>
            </w:tcBorders>
            <w:vAlign w:val="center"/>
          </w:tcPr>
          <w:p w14:paraId="7A75123C" w14:textId="77777777" w:rsidR="008368B4" w:rsidRPr="0058047D" w:rsidRDefault="008368B4" w:rsidP="00346F4B">
            <w:pPr>
              <w:numPr>
                <w:ilvl w:val="0"/>
                <w:numId w:val="37"/>
              </w:numPr>
              <w:spacing w:after="60"/>
            </w:pPr>
            <w:r w:rsidRPr="0058047D">
              <w:rPr>
                <w:rFonts w:cs="Tahoma"/>
                <w:color w:val="000000"/>
                <w:szCs w:val="18"/>
              </w:rPr>
              <w:t>Office 365 (Enterprise E3)*</w:t>
            </w:r>
          </w:p>
          <w:p w14:paraId="78497A82" w14:textId="77777777" w:rsidR="008368B4" w:rsidRPr="0058047D" w:rsidRDefault="008368B4" w:rsidP="00346F4B">
            <w:pPr>
              <w:numPr>
                <w:ilvl w:val="0"/>
                <w:numId w:val="37"/>
              </w:numPr>
              <w:spacing w:after="60"/>
            </w:pPr>
            <w:r w:rsidRPr="0058047D">
              <w:rPr>
                <w:rFonts w:cs="Tahoma"/>
                <w:color w:val="000000"/>
                <w:szCs w:val="18"/>
              </w:rPr>
              <w:t>Office 365 (Enterprise E4)*</w:t>
            </w:r>
          </w:p>
          <w:p w14:paraId="35EDD107" w14:textId="77777777" w:rsidR="008368B4" w:rsidRPr="0058047D" w:rsidRDefault="008368B4" w:rsidP="00346F4B">
            <w:pPr>
              <w:numPr>
                <w:ilvl w:val="0"/>
                <w:numId w:val="37"/>
              </w:numPr>
              <w:spacing w:after="60"/>
            </w:pPr>
            <w:r w:rsidRPr="0058047D">
              <w:rPr>
                <w:rFonts w:cs="Tahoma"/>
                <w:color w:val="000000"/>
                <w:szCs w:val="18"/>
              </w:rPr>
              <w:t>Office 365 (Government G3)*</w:t>
            </w:r>
          </w:p>
          <w:p w14:paraId="7F78C07F" w14:textId="77777777" w:rsidR="008368B4" w:rsidRPr="0058047D" w:rsidRDefault="008368B4" w:rsidP="00346F4B">
            <w:pPr>
              <w:numPr>
                <w:ilvl w:val="0"/>
                <w:numId w:val="37"/>
              </w:numPr>
              <w:spacing w:after="60"/>
            </w:pPr>
            <w:r w:rsidRPr="0058047D">
              <w:rPr>
                <w:rFonts w:cs="Tahoma"/>
                <w:color w:val="000000"/>
                <w:szCs w:val="18"/>
              </w:rPr>
              <w:t>Office 365 (Government G4)*</w:t>
            </w:r>
          </w:p>
          <w:p w14:paraId="567DC8DD" w14:textId="77777777" w:rsidR="002D25C8" w:rsidRPr="0058047D" w:rsidRDefault="002D25C8" w:rsidP="0055442E">
            <w:pPr>
              <w:ind w:left="720"/>
              <w:rPr>
                <w:rFonts w:cs="Tahoma"/>
                <w:color w:val="000000"/>
              </w:rPr>
            </w:pPr>
          </w:p>
        </w:tc>
      </w:tr>
      <w:tr w:rsidR="00A32052" w:rsidRPr="0058047D" w14:paraId="525E3776"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B5AB928" w14:textId="77777777" w:rsidR="00A32052" w:rsidRPr="0058047D" w:rsidRDefault="00A32052" w:rsidP="008432A1">
            <w:pPr>
              <w:spacing w:before="60" w:after="60"/>
              <w:ind w:left="144"/>
              <w:rPr>
                <w:rFonts w:cs="Tahoma"/>
              </w:rPr>
            </w:pPr>
            <w:r w:rsidRPr="0058047D">
              <w:rPr>
                <w:rFonts w:cs="Tahoma"/>
              </w:rPr>
              <w:t>Office Professional Plus ed Enterprise CAL</w:t>
            </w:r>
            <w:r w:rsidR="008432A1">
              <w:rPr>
                <w:rFonts w:cs="Tahoma"/>
              </w:rPr>
              <w:t> </w:t>
            </w:r>
            <w:r w:rsidRPr="0058047D">
              <w:rPr>
                <w:rFonts w:cs="Tahoma"/>
              </w:rPr>
              <w:t>Suite</w:t>
            </w:r>
          </w:p>
        </w:tc>
        <w:tc>
          <w:tcPr>
            <w:tcW w:w="4334" w:type="dxa"/>
            <w:tcBorders>
              <w:top w:val="single" w:sz="8" w:space="0" w:color="auto"/>
              <w:left w:val="nil"/>
              <w:bottom w:val="single" w:sz="8" w:space="0" w:color="auto"/>
              <w:right w:val="single" w:sz="8" w:space="0" w:color="auto"/>
            </w:tcBorders>
            <w:vAlign w:val="center"/>
          </w:tcPr>
          <w:p w14:paraId="727E227F" w14:textId="77777777" w:rsidR="008368B4" w:rsidRPr="0058047D" w:rsidRDefault="008368B4" w:rsidP="00346F4B">
            <w:pPr>
              <w:numPr>
                <w:ilvl w:val="0"/>
                <w:numId w:val="37"/>
              </w:numPr>
              <w:spacing w:before="60" w:after="60"/>
            </w:pPr>
            <w:r w:rsidRPr="0058047D">
              <w:rPr>
                <w:rFonts w:cs="Tahoma"/>
                <w:color w:val="000000"/>
                <w:szCs w:val="18"/>
              </w:rPr>
              <w:t>Office 365 (Enterprise E3)*</w:t>
            </w:r>
          </w:p>
          <w:p w14:paraId="6BFE62B6" w14:textId="77777777" w:rsidR="008368B4" w:rsidRPr="0058047D" w:rsidRDefault="008368B4" w:rsidP="00346F4B">
            <w:pPr>
              <w:numPr>
                <w:ilvl w:val="0"/>
                <w:numId w:val="37"/>
              </w:numPr>
              <w:spacing w:after="60"/>
            </w:pPr>
            <w:r w:rsidRPr="0058047D">
              <w:rPr>
                <w:rFonts w:cs="Tahoma"/>
                <w:color w:val="000000"/>
                <w:szCs w:val="18"/>
              </w:rPr>
              <w:t>Office 365 (Enterprise E4)*</w:t>
            </w:r>
          </w:p>
          <w:p w14:paraId="191DD4A2" w14:textId="77777777" w:rsidR="008368B4" w:rsidRPr="0058047D" w:rsidRDefault="008368B4" w:rsidP="00346F4B">
            <w:pPr>
              <w:numPr>
                <w:ilvl w:val="0"/>
                <w:numId w:val="37"/>
              </w:numPr>
              <w:spacing w:after="60"/>
            </w:pPr>
            <w:r w:rsidRPr="0058047D">
              <w:rPr>
                <w:rFonts w:cs="Tahoma"/>
                <w:color w:val="000000"/>
                <w:szCs w:val="18"/>
              </w:rPr>
              <w:t>Office 365 (Government G3)*</w:t>
            </w:r>
          </w:p>
          <w:p w14:paraId="28730FB6" w14:textId="77777777" w:rsidR="008368B4" w:rsidRPr="0058047D" w:rsidRDefault="008368B4" w:rsidP="00346F4B">
            <w:pPr>
              <w:numPr>
                <w:ilvl w:val="0"/>
                <w:numId w:val="37"/>
              </w:numPr>
              <w:spacing w:after="60"/>
            </w:pPr>
            <w:r w:rsidRPr="0058047D">
              <w:rPr>
                <w:rFonts w:cs="Tahoma"/>
                <w:color w:val="000000"/>
                <w:szCs w:val="18"/>
              </w:rPr>
              <w:t>Office 365 (Government G4)*</w:t>
            </w:r>
          </w:p>
          <w:p w14:paraId="612E902F" w14:textId="77777777" w:rsidR="002D25C8" w:rsidRPr="0058047D" w:rsidRDefault="002D25C8" w:rsidP="0055442E">
            <w:pPr>
              <w:ind w:left="720"/>
              <w:rPr>
                <w:rFonts w:cs="Tahoma"/>
                <w:color w:val="000000"/>
              </w:rPr>
            </w:pPr>
          </w:p>
        </w:tc>
      </w:tr>
      <w:tr w:rsidR="00454646" w:rsidRPr="0058047D" w14:paraId="105BBB11"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3828249" w14:textId="77777777" w:rsidR="00454646" w:rsidRPr="0058047D" w:rsidRDefault="00454646" w:rsidP="00B1054F">
            <w:pPr>
              <w:spacing w:before="60" w:after="60"/>
              <w:ind w:left="144"/>
              <w:rPr>
                <w:rFonts w:cs="Tahoma"/>
              </w:rPr>
            </w:pPr>
            <w:r w:rsidRPr="0058047D">
              <w:rPr>
                <w:rFonts w:cs="Tahoma"/>
              </w:rPr>
              <w:t>Project Professional</w:t>
            </w:r>
          </w:p>
        </w:tc>
        <w:tc>
          <w:tcPr>
            <w:tcW w:w="4334" w:type="dxa"/>
            <w:tcBorders>
              <w:top w:val="single" w:sz="8" w:space="0" w:color="auto"/>
              <w:left w:val="nil"/>
              <w:bottom w:val="single" w:sz="8" w:space="0" w:color="auto"/>
              <w:right w:val="single" w:sz="8" w:space="0" w:color="auto"/>
            </w:tcBorders>
            <w:vAlign w:val="center"/>
          </w:tcPr>
          <w:p w14:paraId="40CCEAE2" w14:textId="77777777" w:rsidR="00454646" w:rsidRPr="0058047D" w:rsidRDefault="00454646" w:rsidP="00346F4B">
            <w:pPr>
              <w:numPr>
                <w:ilvl w:val="0"/>
                <w:numId w:val="37"/>
              </w:numPr>
              <w:spacing w:before="60" w:after="60"/>
              <w:rPr>
                <w:rFonts w:cs="Tahoma"/>
                <w:color w:val="000000" w:themeColor="text1"/>
              </w:rPr>
            </w:pPr>
            <w:r w:rsidRPr="0058047D">
              <w:rPr>
                <w:rFonts w:cs="Tahoma"/>
                <w:color w:val="000000" w:themeColor="text1"/>
              </w:rPr>
              <w:t>Project Pro per Office 365</w:t>
            </w:r>
          </w:p>
        </w:tc>
      </w:tr>
      <w:tr w:rsidR="00454646" w:rsidRPr="0058047D" w14:paraId="1057D85A"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A244249" w14:textId="77777777" w:rsidR="00454646" w:rsidRPr="0058047D" w:rsidRDefault="00454646" w:rsidP="00B1054F">
            <w:pPr>
              <w:spacing w:before="60" w:after="60"/>
              <w:ind w:left="144"/>
              <w:rPr>
                <w:rFonts w:cs="Tahoma"/>
              </w:rPr>
            </w:pPr>
            <w:r w:rsidRPr="0058047D">
              <w:rPr>
                <w:rFonts w:cs="Tahoma"/>
              </w:rPr>
              <w:t>CAL per Project Server</w:t>
            </w:r>
          </w:p>
        </w:tc>
        <w:tc>
          <w:tcPr>
            <w:tcW w:w="4334" w:type="dxa"/>
            <w:tcBorders>
              <w:top w:val="single" w:sz="8" w:space="0" w:color="auto"/>
              <w:left w:val="nil"/>
              <w:bottom w:val="single" w:sz="8" w:space="0" w:color="auto"/>
              <w:right w:val="single" w:sz="8" w:space="0" w:color="auto"/>
            </w:tcBorders>
            <w:vAlign w:val="center"/>
          </w:tcPr>
          <w:p w14:paraId="4C0FAC75" w14:textId="77777777" w:rsidR="00454646" w:rsidRPr="0058047D" w:rsidRDefault="00454646" w:rsidP="00346F4B">
            <w:pPr>
              <w:numPr>
                <w:ilvl w:val="0"/>
                <w:numId w:val="37"/>
              </w:numPr>
              <w:spacing w:before="60" w:after="60"/>
              <w:rPr>
                <w:rFonts w:cs="Tahoma"/>
                <w:color w:val="000000" w:themeColor="text1"/>
              </w:rPr>
            </w:pPr>
            <w:r w:rsidRPr="0058047D">
              <w:rPr>
                <w:rFonts w:cs="Tahoma"/>
                <w:color w:val="000000" w:themeColor="text1"/>
              </w:rPr>
              <w:t>Project Online</w:t>
            </w:r>
          </w:p>
        </w:tc>
      </w:tr>
      <w:tr w:rsidR="00454646" w:rsidRPr="0058047D" w14:paraId="28484319"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513B1FD" w14:textId="77777777" w:rsidR="00454646" w:rsidRPr="0058047D" w:rsidRDefault="00454646" w:rsidP="00B1054F">
            <w:pPr>
              <w:spacing w:before="60" w:after="60"/>
              <w:ind w:left="144"/>
              <w:rPr>
                <w:rFonts w:cs="Tahoma"/>
              </w:rPr>
            </w:pPr>
            <w:r w:rsidRPr="0058047D">
              <w:rPr>
                <w:rFonts w:cs="Tahoma"/>
              </w:rPr>
              <w:t>Visio Professional</w:t>
            </w:r>
          </w:p>
        </w:tc>
        <w:tc>
          <w:tcPr>
            <w:tcW w:w="4334" w:type="dxa"/>
            <w:tcBorders>
              <w:top w:val="single" w:sz="8" w:space="0" w:color="auto"/>
              <w:left w:val="nil"/>
              <w:bottom w:val="single" w:sz="8" w:space="0" w:color="auto"/>
              <w:right w:val="single" w:sz="8" w:space="0" w:color="auto"/>
            </w:tcBorders>
            <w:vAlign w:val="center"/>
          </w:tcPr>
          <w:p w14:paraId="2FA000B7" w14:textId="77777777" w:rsidR="00454646" w:rsidRPr="0058047D" w:rsidRDefault="00454646" w:rsidP="00346F4B">
            <w:pPr>
              <w:numPr>
                <w:ilvl w:val="0"/>
                <w:numId w:val="37"/>
              </w:numPr>
              <w:spacing w:before="60" w:after="60"/>
              <w:rPr>
                <w:rFonts w:cs="Tahoma"/>
                <w:color w:val="000000" w:themeColor="text1"/>
              </w:rPr>
            </w:pPr>
            <w:r w:rsidRPr="0058047D">
              <w:rPr>
                <w:rFonts w:cs="Tahoma"/>
                <w:color w:val="000000" w:themeColor="text1"/>
              </w:rPr>
              <w:t>Visio Pro per Office 365</w:t>
            </w:r>
          </w:p>
        </w:tc>
      </w:tr>
      <w:tr w:rsidR="00B1054F" w:rsidRPr="0058047D" w14:paraId="564B32A2"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7742EF05" w14:textId="77777777" w:rsidR="00B1054F" w:rsidRPr="0058047D" w:rsidRDefault="00B1054F" w:rsidP="00B1054F">
            <w:pPr>
              <w:spacing w:before="60" w:after="60"/>
              <w:ind w:left="144"/>
              <w:rPr>
                <w:rFonts w:cs="Tahoma"/>
              </w:rPr>
            </w:pPr>
            <w:r w:rsidRPr="0058047D">
              <w:rPr>
                <w:rFonts w:cs="Tahoma"/>
              </w:rPr>
              <w:t xml:space="preserve">Aggiornamento per Windows Pro </w:t>
            </w:r>
          </w:p>
        </w:tc>
        <w:tc>
          <w:tcPr>
            <w:tcW w:w="4334" w:type="dxa"/>
            <w:tcBorders>
              <w:top w:val="single" w:sz="8" w:space="0" w:color="auto"/>
              <w:left w:val="nil"/>
              <w:bottom w:val="single" w:sz="8" w:space="0" w:color="auto"/>
              <w:right w:val="single" w:sz="8" w:space="0" w:color="auto"/>
            </w:tcBorders>
            <w:vAlign w:val="center"/>
          </w:tcPr>
          <w:p w14:paraId="5DD883F5" w14:textId="77777777" w:rsidR="00B1054F" w:rsidRPr="0058047D" w:rsidRDefault="00B1054F" w:rsidP="00346F4B">
            <w:pPr>
              <w:numPr>
                <w:ilvl w:val="0"/>
                <w:numId w:val="37"/>
              </w:numPr>
              <w:spacing w:before="60" w:after="60"/>
              <w:rPr>
                <w:rFonts w:cs="Tahoma"/>
                <w:color w:val="000000"/>
                <w:szCs w:val="18"/>
              </w:rPr>
            </w:pPr>
            <w:r w:rsidRPr="0058047D">
              <w:rPr>
                <w:rFonts w:cs="Tahoma"/>
                <w:color w:val="000000" w:themeColor="text1"/>
              </w:rPr>
              <w:t>Windows Virtual Desktop Access</w:t>
            </w:r>
          </w:p>
        </w:tc>
      </w:tr>
      <w:tr w:rsidR="00B1054F" w:rsidRPr="0058047D" w14:paraId="0EBAE005"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DE24885" w14:textId="77777777" w:rsidR="00B1054F" w:rsidRPr="0058047D" w:rsidRDefault="00B1054F" w:rsidP="00B1054F">
            <w:pPr>
              <w:spacing w:before="60" w:after="60"/>
              <w:ind w:left="144"/>
              <w:rPr>
                <w:rFonts w:cs="Tahoma"/>
              </w:rPr>
            </w:pPr>
            <w:r w:rsidRPr="0058047D">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14:paraId="0D04DDBA" w14:textId="77777777" w:rsidR="00B1054F" w:rsidRPr="0058047D" w:rsidRDefault="00B1054F" w:rsidP="00346F4B">
            <w:pPr>
              <w:numPr>
                <w:ilvl w:val="0"/>
                <w:numId w:val="37"/>
              </w:numPr>
              <w:spacing w:before="60" w:after="60"/>
              <w:rPr>
                <w:rFonts w:cs="Tahoma"/>
                <w:color w:val="000000"/>
                <w:szCs w:val="18"/>
              </w:rPr>
            </w:pPr>
            <w:r w:rsidRPr="0058047D">
              <w:rPr>
                <w:rFonts w:cs="Tahoma"/>
                <w:color w:val="000000" w:themeColor="text1"/>
              </w:rPr>
              <w:t>Licenza “Subscription” per Windows Companion</w:t>
            </w:r>
          </w:p>
        </w:tc>
      </w:tr>
      <w:tr w:rsidR="00B1054F" w:rsidRPr="0058047D" w14:paraId="386D8295"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230E32E" w14:textId="77777777" w:rsidR="00B1054F" w:rsidRPr="0058047D" w:rsidRDefault="00B1054F" w:rsidP="00B1054F">
            <w:pPr>
              <w:spacing w:before="60" w:after="60"/>
              <w:ind w:left="144"/>
              <w:rPr>
                <w:rFonts w:cs="Tahoma"/>
              </w:rPr>
            </w:pPr>
            <w:r w:rsidRPr="0058047D">
              <w:rPr>
                <w:rFonts w:cs="Tahoma"/>
              </w:rPr>
              <w:t>Aggiornamento per Windows Pro</w:t>
            </w:r>
          </w:p>
        </w:tc>
        <w:tc>
          <w:tcPr>
            <w:tcW w:w="4334" w:type="dxa"/>
            <w:tcBorders>
              <w:top w:val="single" w:sz="8" w:space="0" w:color="auto"/>
              <w:left w:val="nil"/>
              <w:bottom w:val="single" w:sz="8" w:space="0" w:color="auto"/>
              <w:right w:val="single" w:sz="8" w:space="0" w:color="auto"/>
            </w:tcBorders>
            <w:vAlign w:val="center"/>
          </w:tcPr>
          <w:p w14:paraId="18881A81" w14:textId="77777777" w:rsidR="00B1054F" w:rsidRPr="0058047D" w:rsidRDefault="00B1054F" w:rsidP="00346F4B">
            <w:pPr>
              <w:numPr>
                <w:ilvl w:val="0"/>
                <w:numId w:val="37"/>
              </w:numPr>
              <w:spacing w:before="60" w:after="60"/>
              <w:rPr>
                <w:rFonts w:cs="Tahoma"/>
                <w:color w:val="000000"/>
                <w:szCs w:val="18"/>
              </w:rPr>
            </w:pPr>
            <w:r w:rsidRPr="0058047D">
              <w:rPr>
                <w:rFonts w:cs="Tahoma"/>
                <w:color w:val="000000" w:themeColor="text1"/>
              </w:rPr>
              <w:t>Licenza “Subscription” per Windows Companion</w:t>
            </w:r>
          </w:p>
        </w:tc>
      </w:tr>
    </w:tbl>
    <w:p w14:paraId="5C375F0D" w14:textId="77777777" w:rsidR="00456002" w:rsidRPr="0058047D" w:rsidRDefault="00456002" w:rsidP="00456002">
      <w:pPr>
        <w:tabs>
          <w:tab w:val="left" w:pos="360"/>
        </w:tabs>
        <w:ind w:left="720"/>
      </w:pPr>
      <w:r w:rsidRPr="0058047D">
        <w:rPr>
          <w:rFonts w:cs="Tahoma"/>
          <w:i/>
          <w:sz w:val="16"/>
          <w:szCs w:val="20"/>
        </w:rPr>
        <w:t>* Richiede la CAL Suite Bridge appropriata. Per ulteriori informazioni sulla CAL Suite Bridge, fare riferimento all</w:t>
      </w:r>
      <w:r w:rsidR="001C4212">
        <w:rPr>
          <w:rFonts w:cs="Tahoma"/>
          <w:i/>
          <w:sz w:val="16"/>
          <w:szCs w:val="20"/>
        </w:rPr>
        <w:t>’</w:t>
      </w:r>
      <w:r w:rsidRPr="0058047D">
        <w:rPr>
          <w:rFonts w:cs="Tahoma"/>
          <w:i/>
          <w:sz w:val="16"/>
          <w:szCs w:val="20"/>
        </w:rPr>
        <w:t>articolo relativo alle note del prodotto nel presente documento.</w:t>
      </w:r>
    </w:p>
    <w:p w14:paraId="53465628" w14:textId="77777777" w:rsidR="00252E73" w:rsidRPr="0058047D" w:rsidRDefault="00252E73" w:rsidP="00252E73">
      <w:pPr>
        <w:tabs>
          <w:tab w:val="left" w:pos="360"/>
        </w:tabs>
        <w:ind w:left="720"/>
      </w:pPr>
      <w:r w:rsidRPr="0058047D">
        <w:rPr>
          <w:rFonts w:cs="Tahoma"/>
          <w:i/>
          <w:sz w:val="16"/>
          <w:szCs w:val="20"/>
        </w:rPr>
        <w:t>**Office 365 ProPlus è un Prodotto Enterprise e può soddisfare anche il requisito per l</w:t>
      </w:r>
      <w:r w:rsidR="001C4212">
        <w:rPr>
          <w:rFonts w:cs="Tahoma"/>
          <w:i/>
          <w:sz w:val="16"/>
          <w:szCs w:val="20"/>
        </w:rPr>
        <w:t>’</w:t>
      </w:r>
      <w:r w:rsidRPr="0058047D">
        <w:rPr>
          <w:rFonts w:cs="Tahoma"/>
          <w:i/>
          <w:sz w:val="16"/>
          <w:szCs w:val="20"/>
        </w:rPr>
        <w:t>intera Organizzazione.</w:t>
      </w:r>
    </w:p>
    <w:p w14:paraId="4C640D9A" w14:textId="77777777" w:rsidR="008432A1" w:rsidRPr="0043735F" w:rsidRDefault="008432A1" w:rsidP="008432A1">
      <w:pPr>
        <w:tabs>
          <w:tab w:val="left" w:pos="360"/>
        </w:tabs>
        <w:ind w:left="720"/>
        <w:rPr>
          <w:rFonts w:cs="Tahoma"/>
          <w:i/>
          <w:sz w:val="16"/>
          <w:szCs w:val="20"/>
        </w:rPr>
      </w:pPr>
    </w:p>
    <w:p w14:paraId="356ABB51" w14:textId="77777777" w:rsidR="008432A1" w:rsidRPr="0043735F" w:rsidRDefault="008432A1" w:rsidP="008432A1">
      <w:pPr>
        <w:tabs>
          <w:tab w:val="left" w:pos="360"/>
        </w:tabs>
        <w:ind w:left="720"/>
        <w:rPr>
          <w:rFonts w:cs="Tahoma"/>
          <w:szCs w:val="20"/>
        </w:rPr>
      </w:pPr>
    </w:p>
    <w:p w14:paraId="5AA0DB41" w14:textId="77777777" w:rsidR="00456002" w:rsidRPr="0058047D" w:rsidRDefault="00456002" w:rsidP="00366502">
      <w:r w:rsidRPr="0058047D">
        <w:rPr>
          <w:rFonts w:cs="Tahoma"/>
          <w:szCs w:val="20"/>
        </w:rPr>
        <w:t>Altre Transizioni potranno essere aggiunte a discrezione di Microsoft.</w:t>
      </w:r>
      <w:r w:rsidR="00E34ED3" w:rsidRPr="0058047D">
        <w:rPr>
          <w:rFonts w:cs="Tahoma"/>
          <w:szCs w:val="20"/>
        </w:rPr>
        <w:t xml:space="preserve"> </w:t>
      </w:r>
      <w:r w:rsidRPr="0058047D">
        <w:rPr>
          <w:rFonts w:cs="Tahoma"/>
          <w:szCs w:val="20"/>
        </w:rPr>
        <w:t>Potranno applicarsi requisiti relativi alla licenza e corrispettivi aggiuntivi.</w:t>
      </w:r>
      <w:r w:rsidR="00E34ED3" w:rsidRPr="0058047D">
        <w:rPr>
          <w:rFonts w:cs="Tahoma"/>
          <w:szCs w:val="20"/>
        </w:rPr>
        <w:t xml:space="preserve"> </w:t>
      </w:r>
    </w:p>
    <w:p w14:paraId="68083BBB" w14:textId="77777777" w:rsidR="00456002" w:rsidRPr="0058047D" w:rsidRDefault="00456002" w:rsidP="00366502">
      <w:pPr>
        <w:outlineLvl w:val="2"/>
      </w:pPr>
    </w:p>
    <w:p w14:paraId="1EE85D16" w14:textId="77777777" w:rsidR="00456002" w:rsidRPr="0058047D" w:rsidRDefault="00456002" w:rsidP="0055442E">
      <w:pPr>
        <w:keepNext/>
        <w:tabs>
          <w:tab w:val="num" w:pos="720"/>
        </w:tabs>
        <w:spacing w:after="60"/>
        <w:outlineLvl w:val="3"/>
      </w:pPr>
      <w:r w:rsidRPr="0058047D">
        <w:rPr>
          <w:rFonts w:cs="Tahoma"/>
          <w:b/>
          <w:szCs w:val="20"/>
        </w:rPr>
        <w:t>Ordini annuali o true-up di Servizi Online</w:t>
      </w:r>
      <w:r w:rsidRPr="0058047D">
        <w:rPr>
          <w:rFonts w:eastAsia="Times New Roman" w:cs="Tahoma"/>
          <w:b/>
          <w:sz w:val="22"/>
          <w:szCs w:val="20"/>
        </w:rPr>
        <w:t xml:space="preserve"> </w:t>
      </w:r>
    </w:p>
    <w:p w14:paraId="5347DAE6" w14:textId="77777777" w:rsidR="00456002" w:rsidRPr="0058047D" w:rsidRDefault="00456002" w:rsidP="00366502">
      <w:r w:rsidRPr="0058047D">
        <w:rPr>
          <w:rFonts w:cs="Tahoma"/>
          <w:b/>
          <w:szCs w:val="20"/>
        </w:rPr>
        <w:t>Nota:</w:t>
      </w:r>
      <w:r w:rsidRPr="0058047D">
        <w:rPr>
          <w:rFonts w:cs="Tahoma"/>
          <w:szCs w:val="20"/>
        </w:rPr>
        <w:t xml:space="preserve"> quanto segue si applica alle società in possesso delle Iscrizioni Enterprise ed Enterprise Subscription che sono</w:t>
      </w:r>
      <w:r w:rsidR="008432A1">
        <w:rPr>
          <w:rFonts w:cs="Tahoma"/>
          <w:szCs w:val="20"/>
        </w:rPr>
        <w:t> </w:t>
      </w:r>
      <w:r w:rsidRPr="0058047D">
        <w:rPr>
          <w:rFonts w:cs="Tahoma"/>
          <w:szCs w:val="20"/>
        </w:rPr>
        <w:t>idonee a effettuare ordini annuali o true-up di servizi online. Le società che non sono certe della loro idoneità a</w:t>
      </w:r>
      <w:r w:rsidR="008432A1">
        <w:rPr>
          <w:rFonts w:cs="Tahoma"/>
          <w:szCs w:val="20"/>
        </w:rPr>
        <w:t> </w:t>
      </w:r>
      <w:r w:rsidRPr="0058047D">
        <w:rPr>
          <w:rFonts w:cs="Tahoma"/>
          <w:szCs w:val="20"/>
        </w:rPr>
        <w:t>effettuare ordini annuali o true-up di servizi online dovranno contattare il loro Software Advisor, Rivenditore o</w:t>
      </w:r>
      <w:r w:rsidR="008432A1">
        <w:rPr>
          <w:rFonts w:cs="Tahoma"/>
          <w:szCs w:val="20"/>
        </w:rPr>
        <w:t> </w:t>
      </w:r>
      <w:r w:rsidRPr="0058047D">
        <w:rPr>
          <w:rFonts w:cs="Tahoma"/>
          <w:szCs w:val="20"/>
        </w:rPr>
        <w:t>Account Manager designato da Microsoft per ulteriori informazioni.</w:t>
      </w:r>
    </w:p>
    <w:p w14:paraId="06A59575" w14:textId="77777777" w:rsidR="00456002" w:rsidRPr="0058047D" w:rsidRDefault="00456002" w:rsidP="00366502"/>
    <w:p w14:paraId="19634C33" w14:textId="77777777" w:rsidR="00456002" w:rsidRPr="0058047D" w:rsidRDefault="00456002" w:rsidP="00366502">
      <w:r w:rsidRPr="0058047D">
        <w:rPr>
          <w:rFonts w:cs="Tahoma"/>
          <w:szCs w:val="20"/>
        </w:rPr>
        <w:t>I seguenti Servizi Online sono idonei per l</w:t>
      </w:r>
      <w:r w:rsidR="001C4212">
        <w:rPr>
          <w:rFonts w:cs="Tahoma"/>
          <w:szCs w:val="20"/>
        </w:rPr>
        <w:t>’</w:t>
      </w:r>
      <w:r w:rsidRPr="0058047D">
        <w:rPr>
          <w:rFonts w:cs="Tahoma"/>
          <w:szCs w:val="20"/>
        </w:rPr>
        <w:t xml:space="preserve">ordine annuale o true-up di Servizi Online: </w:t>
      </w:r>
    </w:p>
    <w:p w14:paraId="116EF7D4" w14:textId="77777777" w:rsidR="00456002" w:rsidRPr="0058047D" w:rsidRDefault="00456002" w:rsidP="0055442E">
      <w:pPr>
        <w:ind w:left="720"/>
      </w:pPr>
    </w:p>
    <w:tbl>
      <w:tblPr>
        <w:tblW w:w="4373"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4014"/>
      </w:tblGrid>
      <w:tr w:rsidR="00456002" w:rsidRPr="0058047D" w14:paraId="79DCF714" w14:textId="77777777" w:rsidTr="00E91BD3">
        <w:trPr>
          <w:trHeight w:val="80"/>
          <w:tblHeader/>
        </w:trPr>
        <w:tc>
          <w:tcPr>
            <w:tcW w:w="5000" w:type="pct"/>
            <w:gridSpan w:val="2"/>
            <w:shd w:val="clear" w:color="auto" w:fill="FABF8F"/>
          </w:tcPr>
          <w:p w14:paraId="69263570" w14:textId="77777777" w:rsidR="00456002" w:rsidRPr="0058047D" w:rsidRDefault="00456002" w:rsidP="005C647E">
            <w:pPr>
              <w:jc w:val="center"/>
              <w:rPr>
                <w:rFonts w:cs="Tahoma"/>
                <w:b/>
              </w:rPr>
            </w:pPr>
            <w:r w:rsidRPr="0058047D">
              <w:rPr>
                <w:rFonts w:cs="Tahoma"/>
                <w:b/>
              </w:rPr>
              <w:t>Servizi Online</w:t>
            </w:r>
          </w:p>
        </w:tc>
      </w:tr>
      <w:tr w:rsidR="00456002" w:rsidRPr="0058047D" w14:paraId="3F1153E6" w14:textId="77777777" w:rsidTr="00E91BD3">
        <w:trPr>
          <w:trHeight w:val="219"/>
        </w:trPr>
        <w:tc>
          <w:tcPr>
            <w:tcW w:w="2546" w:type="pct"/>
          </w:tcPr>
          <w:p w14:paraId="2CFFC1F6" w14:textId="77777777" w:rsidR="00D85FDD" w:rsidRPr="0058047D" w:rsidRDefault="00D85FDD" w:rsidP="00A42F94">
            <w:pPr>
              <w:numPr>
                <w:ilvl w:val="0"/>
                <w:numId w:val="38"/>
              </w:numPr>
              <w:spacing w:before="80"/>
              <w:ind w:left="625" w:hanging="345"/>
              <w:jc w:val="both"/>
            </w:pPr>
            <w:r w:rsidRPr="0058047D">
              <w:rPr>
                <w:rFonts w:cs="Tahoma"/>
              </w:rPr>
              <w:t>Archiviazione</w:t>
            </w:r>
            <w:r w:rsidR="008432A1">
              <w:rPr>
                <w:rFonts w:cs="Tahoma"/>
              </w:rPr>
              <w:t> </w:t>
            </w:r>
            <w:r w:rsidRPr="0058047D">
              <w:rPr>
                <w:rFonts w:cs="Tahoma"/>
              </w:rPr>
              <w:t>Exchange</w:t>
            </w:r>
            <w:r w:rsidR="008432A1">
              <w:rPr>
                <w:rFonts w:cs="Tahoma"/>
              </w:rPr>
              <w:t> </w:t>
            </w:r>
            <w:r w:rsidRPr="0058047D">
              <w:rPr>
                <w:rFonts w:cs="Tahoma"/>
              </w:rPr>
              <w:t>Online</w:t>
            </w:r>
            <w:r w:rsidR="008432A1">
              <w:rPr>
                <w:rFonts w:cs="Tahoma"/>
              </w:rPr>
              <w:t> </w:t>
            </w:r>
            <w:r w:rsidRPr="0058047D">
              <w:rPr>
                <w:rFonts w:cs="Tahoma"/>
              </w:rPr>
              <w:t>per Exchange Online*</w:t>
            </w:r>
          </w:p>
          <w:p w14:paraId="6AC0D268" w14:textId="77777777" w:rsidR="00D85FDD" w:rsidRPr="0058047D" w:rsidRDefault="00D85FDD" w:rsidP="00A42F94">
            <w:pPr>
              <w:numPr>
                <w:ilvl w:val="0"/>
                <w:numId w:val="38"/>
              </w:numPr>
              <w:spacing w:before="80"/>
              <w:ind w:left="625" w:hanging="345"/>
              <w:jc w:val="both"/>
            </w:pPr>
            <w:r w:rsidRPr="0058047D">
              <w:rPr>
                <w:rFonts w:cs="Tahoma"/>
              </w:rPr>
              <w:t>Archiviazione</w:t>
            </w:r>
            <w:r w:rsidR="008432A1">
              <w:rPr>
                <w:rFonts w:cs="Tahoma"/>
              </w:rPr>
              <w:t> </w:t>
            </w:r>
            <w:r w:rsidRPr="0058047D">
              <w:rPr>
                <w:rFonts w:cs="Tahoma"/>
              </w:rPr>
              <w:t>Exchange</w:t>
            </w:r>
            <w:r w:rsidR="008432A1">
              <w:rPr>
                <w:rFonts w:cs="Tahoma"/>
              </w:rPr>
              <w:t> </w:t>
            </w:r>
            <w:r w:rsidRPr="0058047D">
              <w:rPr>
                <w:rFonts w:cs="Tahoma"/>
              </w:rPr>
              <w:t>Online</w:t>
            </w:r>
            <w:r w:rsidR="008432A1">
              <w:rPr>
                <w:rFonts w:cs="Tahoma"/>
              </w:rPr>
              <w:t> </w:t>
            </w:r>
            <w:r w:rsidRPr="0058047D">
              <w:rPr>
                <w:rFonts w:cs="Tahoma"/>
              </w:rPr>
              <w:t>per Exchange Server*</w:t>
            </w:r>
          </w:p>
          <w:p w14:paraId="0254CA09" w14:textId="77777777" w:rsidR="00456002" w:rsidRPr="0058047D" w:rsidRDefault="00456002" w:rsidP="00A42F94">
            <w:pPr>
              <w:numPr>
                <w:ilvl w:val="0"/>
                <w:numId w:val="38"/>
              </w:numPr>
              <w:spacing w:before="80"/>
              <w:ind w:left="625" w:hanging="345"/>
              <w:jc w:val="both"/>
            </w:pPr>
            <w:r w:rsidRPr="0058047D">
              <w:rPr>
                <w:rFonts w:cs="Tahoma"/>
              </w:rPr>
              <w:t>Chiosco Exchange Online*</w:t>
            </w:r>
          </w:p>
          <w:p w14:paraId="09D75E1D" w14:textId="77777777" w:rsidR="00456002" w:rsidRPr="0058047D" w:rsidRDefault="00456002" w:rsidP="00A42F94">
            <w:pPr>
              <w:numPr>
                <w:ilvl w:val="0"/>
                <w:numId w:val="38"/>
              </w:numPr>
              <w:spacing w:before="80"/>
              <w:ind w:left="625" w:hanging="345"/>
              <w:jc w:val="both"/>
            </w:pPr>
            <w:r w:rsidRPr="0058047D">
              <w:rPr>
                <w:rFonts w:cs="Tahoma"/>
              </w:rPr>
              <w:t>Exchange Online Piano 1*</w:t>
            </w:r>
          </w:p>
          <w:p w14:paraId="264243C6" w14:textId="77777777" w:rsidR="00456002" w:rsidRPr="0058047D" w:rsidRDefault="00456002" w:rsidP="00A42F94">
            <w:pPr>
              <w:numPr>
                <w:ilvl w:val="0"/>
                <w:numId w:val="38"/>
              </w:numPr>
              <w:spacing w:before="80"/>
              <w:ind w:left="625" w:hanging="345"/>
              <w:jc w:val="both"/>
            </w:pPr>
            <w:r w:rsidRPr="0058047D">
              <w:rPr>
                <w:rFonts w:cs="Tahoma"/>
              </w:rPr>
              <w:t>Exchange Online Piano 2*</w:t>
            </w:r>
          </w:p>
          <w:p w14:paraId="572EC71B" w14:textId="77777777" w:rsidR="00D85FDD" w:rsidRPr="0058047D" w:rsidRDefault="00D85FDD" w:rsidP="00A42F94">
            <w:pPr>
              <w:numPr>
                <w:ilvl w:val="0"/>
                <w:numId w:val="38"/>
              </w:numPr>
              <w:spacing w:before="80"/>
              <w:ind w:left="625" w:hanging="345"/>
              <w:jc w:val="both"/>
            </w:pPr>
            <w:r w:rsidRPr="0058047D">
              <w:rPr>
                <w:rFonts w:cs="Tahoma"/>
              </w:rPr>
              <w:t>Exchange Online Protection*</w:t>
            </w:r>
          </w:p>
          <w:p w14:paraId="38992CA4" w14:textId="77777777" w:rsidR="00456002" w:rsidRPr="0058047D" w:rsidRDefault="00456002" w:rsidP="00A42F94">
            <w:pPr>
              <w:numPr>
                <w:ilvl w:val="0"/>
                <w:numId w:val="38"/>
              </w:numPr>
              <w:spacing w:before="80"/>
              <w:ind w:left="625" w:hanging="345"/>
              <w:jc w:val="both"/>
            </w:pPr>
            <w:r w:rsidRPr="0058047D">
              <w:rPr>
                <w:rFonts w:cs="Tahoma"/>
              </w:rPr>
              <w:t>Lync Online Piano 1*</w:t>
            </w:r>
          </w:p>
          <w:p w14:paraId="675258DB" w14:textId="77777777" w:rsidR="00456002" w:rsidRPr="0058047D" w:rsidRDefault="00456002" w:rsidP="00A42F94">
            <w:pPr>
              <w:numPr>
                <w:ilvl w:val="0"/>
                <w:numId w:val="38"/>
              </w:numPr>
              <w:spacing w:before="80"/>
              <w:ind w:left="625" w:hanging="345"/>
              <w:jc w:val="both"/>
            </w:pPr>
            <w:r w:rsidRPr="0058047D">
              <w:rPr>
                <w:rFonts w:cs="Tahoma"/>
              </w:rPr>
              <w:t>Lync Online Piano 2*</w:t>
            </w:r>
          </w:p>
          <w:p w14:paraId="5D27BC1F" w14:textId="77777777" w:rsidR="00E77288" w:rsidRPr="0058047D" w:rsidRDefault="00E77288" w:rsidP="00A42F94">
            <w:pPr>
              <w:numPr>
                <w:ilvl w:val="0"/>
                <w:numId w:val="38"/>
              </w:numPr>
              <w:spacing w:before="80"/>
              <w:ind w:left="625" w:hanging="345"/>
              <w:jc w:val="both"/>
            </w:pPr>
            <w:r w:rsidRPr="0058047D">
              <w:rPr>
                <w:rFonts w:cs="Tahoma"/>
              </w:rPr>
              <w:t>Lync Online Piano 3*</w:t>
            </w:r>
          </w:p>
          <w:p w14:paraId="5868E70C" w14:textId="77777777" w:rsidR="00456002" w:rsidRPr="0058047D" w:rsidRDefault="00456002" w:rsidP="00A42F94">
            <w:pPr>
              <w:numPr>
                <w:ilvl w:val="0"/>
                <w:numId w:val="38"/>
              </w:numPr>
              <w:spacing w:before="80"/>
              <w:ind w:left="625" w:hanging="345"/>
              <w:jc w:val="both"/>
            </w:pPr>
            <w:r w:rsidRPr="0058047D">
              <w:rPr>
                <w:rFonts w:cs="Tahoma"/>
              </w:rPr>
              <w:t>Office 365 (Enterprise K1)*</w:t>
            </w:r>
          </w:p>
          <w:p w14:paraId="4B74A5E1" w14:textId="77777777" w:rsidR="00456002" w:rsidRPr="0058047D" w:rsidRDefault="00456002" w:rsidP="00A42F94">
            <w:pPr>
              <w:numPr>
                <w:ilvl w:val="0"/>
                <w:numId w:val="38"/>
              </w:numPr>
              <w:spacing w:before="80"/>
              <w:ind w:left="625" w:hanging="345"/>
              <w:jc w:val="both"/>
            </w:pPr>
            <w:r w:rsidRPr="0058047D">
              <w:rPr>
                <w:rFonts w:cs="Tahoma"/>
              </w:rPr>
              <w:t>Office 365 (Enterprise E1)</w:t>
            </w:r>
          </w:p>
          <w:p w14:paraId="550C7F81" w14:textId="77777777" w:rsidR="00456002" w:rsidRPr="0058047D" w:rsidRDefault="00456002" w:rsidP="00A42F94">
            <w:pPr>
              <w:numPr>
                <w:ilvl w:val="0"/>
                <w:numId w:val="38"/>
              </w:numPr>
              <w:spacing w:before="80"/>
              <w:ind w:left="625" w:hanging="345"/>
              <w:jc w:val="both"/>
            </w:pPr>
            <w:r w:rsidRPr="0058047D">
              <w:rPr>
                <w:rFonts w:cs="Tahoma"/>
              </w:rPr>
              <w:t>Office 365 (Enterprise E3)</w:t>
            </w:r>
          </w:p>
          <w:p w14:paraId="5B845EBD" w14:textId="77777777" w:rsidR="00456002" w:rsidRPr="0058047D" w:rsidRDefault="00456002" w:rsidP="00A42F94">
            <w:pPr>
              <w:numPr>
                <w:ilvl w:val="0"/>
                <w:numId w:val="38"/>
              </w:numPr>
              <w:spacing w:before="80"/>
              <w:ind w:left="625" w:hanging="345"/>
              <w:jc w:val="both"/>
              <w:rPr>
                <w:rFonts w:cs="Tahoma"/>
              </w:rPr>
            </w:pPr>
            <w:r w:rsidRPr="0058047D">
              <w:rPr>
                <w:rFonts w:cs="Tahoma"/>
              </w:rPr>
              <w:t>Office 365 (Enterprise E4)</w:t>
            </w:r>
          </w:p>
        </w:tc>
        <w:tc>
          <w:tcPr>
            <w:tcW w:w="2454" w:type="pct"/>
          </w:tcPr>
          <w:p w14:paraId="00336190" w14:textId="77777777" w:rsidR="00A32052" w:rsidRPr="0058047D" w:rsidRDefault="00A32052" w:rsidP="00346F4B">
            <w:pPr>
              <w:numPr>
                <w:ilvl w:val="0"/>
                <w:numId w:val="38"/>
              </w:numPr>
              <w:spacing w:before="80"/>
              <w:ind w:left="692"/>
              <w:jc w:val="both"/>
            </w:pPr>
            <w:r w:rsidRPr="0058047D">
              <w:rPr>
                <w:rFonts w:cs="Tahoma"/>
                <w:color w:val="000000"/>
              </w:rPr>
              <w:t>Office 365 (Government G1)</w:t>
            </w:r>
          </w:p>
          <w:p w14:paraId="4E32902D" w14:textId="77777777" w:rsidR="00A32052" w:rsidRPr="0058047D" w:rsidRDefault="00A32052" w:rsidP="00346F4B">
            <w:pPr>
              <w:numPr>
                <w:ilvl w:val="0"/>
                <w:numId w:val="38"/>
              </w:numPr>
              <w:spacing w:before="80"/>
              <w:ind w:left="692"/>
              <w:jc w:val="both"/>
            </w:pPr>
            <w:r w:rsidRPr="0058047D">
              <w:rPr>
                <w:rFonts w:cs="Tahoma"/>
                <w:color w:val="000000"/>
              </w:rPr>
              <w:t>Office 365 (Government G3)</w:t>
            </w:r>
          </w:p>
          <w:p w14:paraId="04D1F767" w14:textId="77777777" w:rsidR="00A32052" w:rsidRPr="0058047D" w:rsidRDefault="00A32052" w:rsidP="00346F4B">
            <w:pPr>
              <w:numPr>
                <w:ilvl w:val="0"/>
                <w:numId w:val="38"/>
              </w:numPr>
              <w:spacing w:before="80"/>
              <w:ind w:left="692"/>
              <w:jc w:val="both"/>
            </w:pPr>
            <w:r w:rsidRPr="0058047D">
              <w:rPr>
                <w:rFonts w:cs="Tahoma"/>
                <w:color w:val="000000"/>
              </w:rPr>
              <w:t>Office 365 (Government G4)</w:t>
            </w:r>
          </w:p>
          <w:p w14:paraId="060CDF3F" w14:textId="77777777" w:rsidR="00252E73" w:rsidRPr="0058047D" w:rsidRDefault="00252E73" w:rsidP="00346F4B">
            <w:pPr>
              <w:numPr>
                <w:ilvl w:val="0"/>
                <w:numId w:val="38"/>
              </w:numPr>
              <w:spacing w:before="80"/>
              <w:ind w:left="692"/>
              <w:jc w:val="both"/>
            </w:pPr>
            <w:r w:rsidRPr="0058047D">
              <w:rPr>
                <w:rFonts w:cs="Tahoma"/>
                <w:color w:val="000000"/>
              </w:rPr>
              <w:t>Office 365 ProPlus**</w:t>
            </w:r>
          </w:p>
          <w:p w14:paraId="36DD2989" w14:textId="77777777" w:rsidR="00456002" w:rsidRPr="0058047D" w:rsidRDefault="00456002" w:rsidP="00346F4B">
            <w:pPr>
              <w:numPr>
                <w:ilvl w:val="0"/>
                <w:numId w:val="38"/>
              </w:numPr>
              <w:spacing w:before="80"/>
              <w:ind w:left="692"/>
              <w:jc w:val="both"/>
            </w:pPr>
            <w:r w:rsidRPr="0058047D">
              <w:rPr>
                <w:rFonts w:cs="Tahoma"/>
                <w:color w:val="000000"/>
              </w:rPr>
              <w:t>Office Web Applications*</w:t>
            </w:r>
          </w:p>
          <w:p w14:paraId="5D8F48B4" w14:textId="77777777" w:rsidR="00454646" w:rsidRPr="0058047D" w:rsidRDefault="00454646" w:rsidP="00346F4B">
            <w:pPr>
              <w:numPr>
                <w:ilvl w:val="0"/>
                <w:numId w:val="38"/>
              </w:numPr>
              <w:spacing w:before="80"/>
              <w:ind w:left="692"/>
              <w:jc w:val="both"/>
            </w:pPr>
            <w:r w:rsidRPr="0058047D">
              <w:rPr>
                <w:rFonts w:cs="Tahoma"/>
                <w:color w:val="000000"/>
              </w:rPr>
              <w:t>Project Pro per Office 365*</w:t>
            </w:r>
          </w:p>
          <w:p w14:paraId="5CE51CB9" w14:textId="77777777" w:rsidR="00454646" w:rsidRPr="0058047D" w:rsidRDefault="00454646" w:rsidP="00346F4B">
            <w:pPr>
              <w:numPr>
                <w:ilvl w:val="0"/>
                <w:numId w:val="38"/>
              </w:numPr>
              <w:spacing w:before="80"/>
              <w:ind w:left="692"/>
              <w:jc w:val="both"/>
            </w:pPr>
            <w:r w:rsidRPr="0058047D">
              <w:rPr>
                <w:rFonts w:cs="Tahoma"/>
                <w:color w:val="000000"/>
              </w:rPr>
              <w:t>Project Online*</w:t>
            </w:r>
          </w:p>
          <w:p w14:paraId="5C8BBE4C" w14:textId="77777777" w:rsidR="00456002" w:rsidRPr="0058047D" w:rsidRDefault="00456002" w:rsidP="00346F4B">
            <w:pPr>
              <w:numPr>
                <w:ilvl w:val="0"/>
                <w:numId w:val="38"/>
              </w:numPr>
              <w:spacing w:before="80"/>
              <w:ind w:left="692"/>
              <w:jc w:val="both"/>
            </w:pPr>
            <w:r w:rsidRPr="0058047D">
              <w:rPr>
                <w:rFonts w:cs="Tahoma"/>
                <w:color w:val="000000"/>
              </w:rPr>
              <w:t>SharePoint Online Piano 1*</w:t>
            </w:r>
          </w:p>
          <w:p w14:paraId="78104252" w14:textId="77777777" w:rsidR="00456002" w:rsidRPr="0058047D" w:rsidRDefault="00456002" w:rsidP="00346F4B">
            <w:pPr>
              <w:numPr>
                <w:ilvl w:val="0"/>
                <w:numId w:val="38"/>
              </w:numPr>
              <w:spacing w:before="80"/>
              <w:ind w:left="692"/>
              <w:jc w:val="both"/>
            </w:pPr>
            <w:r w:rsidRPr="0058047D">
              <w:rPr>
                <w:rFonts w:cs="Tahoma"/>
                <w:color w:val="000000"/>
              </w:rPr>
              <w:t>SharePoint Online Piano 2*</w:t>
            </w:r>
          </w:p>
          <w:p w14:paraId="22CD4664" w14:textId="77777777" w:rsidR="00456002" w:rsidRPr="0058047D" w:rsidRDefault="00456002" w:rsidP="00346F4B">
            <w:pPr>
              <w:numPr>
                <w:ilvl w:val="0"/>
                <w:numId w:val="38"/>
              </w:numPr>
              <w:spacing w:before="80"/>
              <w:ind w:left="692"/>
              <w:jc w:val="both"/>
            </w:pPr>
            <w:r w:rsidRPr="0058047D">
              <w:rPr>
                <w:rFonts w:cs="Tahoma"/>
                <w:color w:val="000000"/>
              </w:rPr>
              <w:t>Accesso partner SharePoint Online*</w:t>
            </w:r>
          </w:p>
          <w:p w14:paraId="381234E2" w14:textId="77777777" w:rsidR="00454646" w:rsidRPr="0058047D" w:rsidRDefault="00454646" w:rsidP="00E91BD3">
            <w:pPr>
              <w:numPr>
                <w:ilvl w:val="0"/>
                <w:numId w:val="38"/>
              </w:numPr>
              <w:spacing w:before="80"/>
              <w:ind w:left="692"/>
            </w:pPr>
            <w:r w:rsidRPr="0058047D">
              <w:rPr>
                <w:rFonts w:cs="Tahoma"/>
                <w:color w:val="000000"/>
              </w:rPr>
              <w:t>Visio Pro per Office 365*</w:t>
            </w:r>
          </w:p>
          <w:p w14:paraId="2D8391AD" w14:textId="77777777" w:rsidR="00D8521B" w:rsidRPr="0058047D" w:rsidRDefault="00D8521B" w:rsidP="00E91BD3">
            <w:pPr>
              <w:numPr>
                <w:ilvl w:val="0"/>
                <w:numId w:val="38"/>
              </w:numPr>
              <w:spacing w:before="80"/>
              <w:ind w:left="692"/>
            </w:pPr>
            <w:r w:rsidRPr="0058047D">
              <w:rPr>
                <w:rFonts w:cs="Tahoma"/>
                <w:color w:val="000000"/>
              </w:rPr>
              <w:t>Windows Azure Active Directory Rights Management*</w:t>
            </w:r>
          </w:p>
          <w:p w14:paraId="2B786FF1" w14:textId="77777777" w:rsidR="00456002" w:rsidRPr="0058047D" w:rsidRDefault="00456002" w:rsidP="00E91BD3">
            <w:pPr>
              <w:numPr>
                <w:ilvl w:val="0"/>
                <w:numId w:val="38"/>
              </w:numPr>
              <w:spacing w:before="80"/>
              <w:ind w:left="692"/>
            </w:pPr>
            <w:r w:rsidRPr="0058047D">
              <w:rPr>
                <w:rFonts w:cs="Tahoma"/>
                <w:color w:val="000000"/>
              </w:rPr>
              <w:t>Windows Intune</w:t>
            </w:r>
          </w:p>
          <w:p w14:paraId="466B3F13" w14:textId="77777777" w:rsidR="00456002" w:rsidRPr="0058047D" w:rsidRDefault="00BD6C2C" w:rsidP="00E91BD3">
            <w:pPr>
              <w:numPr>
                <w:ilvl w:val="0"/>
                <w:numId w:val="38"/>
              </w:numPr>
              <w:spacing w:before="80"/>
              <w:ind w:left="692"/>
            </w:pPr>
            <w:r w:rsidRPr="0058047D">
              <w:rPr>
                <w:rFonts w:cs="Tahoma"/>
                <w:color w:val="000000"/>
              </w:rPr>
              <w:t>Componente Aggiuntivo per Windows</w:t>
            </w:r>
            <w:r w:rsidR="00E91BD3">
              <w:rPr>
                <w:rFonts w:cs="Tahoma"/>
                <w:color w:val="000000"/>
              </w:rPr>
              <w:t> </w:t>
            </w:r>
            <w:r w:rsidRPr="0058047D">
              <w:rPr>
                <w:rFonts w:cs="Tahoma"/>
                <w:color w:val="000000"/>
              </w:rPr>
              <w:t>Intune*, ***</w:t>
            </w:r>
          </w:p>
          <w:p w14:paraId="1B5FA388" w14:textId="77777777" w:rsidR="00F27B29" w:rsidRPr="0058047D" w:rsidRDefault="00F27B29" w:rsidP="00E91BD3">
            <w:pPr>
              <w:numPr>
                <w:ilvl w:val="0"/>
                <w:numId w:val="38"/>
              </w:numPr>
              <w:spacing w:before="80"/>
              <w:ind w:left="692"/>
              <w:rPr>
                <w:rFonts w:cs="Tahoma"/>
              </w:rPr>
            </w:pPr>
            <w:r w:rsidRPr="0058047D">
              <w:rPr>
                <w:rFonts w:cs="Tahoma"/>
                <w:color w:val="000000"/>
              </w:rPr>
              <w:t>Yammer Enterprise*</w:t>
            </w:r>
          </w:p>
        </w:tc>
      </w:tr>
    </w:tbl>
    <w:p w14:paraId="16CC80F0" w14:textId="77777777" w:rsidR="00456002" w:rsidRPr="0058047D" w:rsidRDefault="00456002" w:rsidP="00456002">
      <w:pPr>
        <w:tabs>
          <w:tab w:val="left" w:pos="360"/>
        </w:tabs>
        <w:ind w:left="720"/>
      </w:pPr>
      <w:r w:rsidRPr="0058047D">
        <w:rPr>
          <w:rFonts w:cs="Tahoma"/>
          <w:i/>
          <w:sz w:val="16"/>
          <w:szCs w:val="20"/>
        </w:rPr>
        <w:t>* Prodotto aggiuntivo</w:t>
      </w:r>
    </w:p>
    <w:p w14:paraId="3E7B3D9F" w14:textId="77777777" w:rsidR="00252E73" w:rsidRPr="0058047D" w:rsidRDefault="00252E73" w:rsidP="00252E73">
      <w:pPr>
        <w:tabs>
          <w:tab w:val="left" w:pos="360"/>
        </w:tabs>
        <w:ind w:left="720"/>
      </w:pPr>
      <w:r w:rsidRPr="0058047D">
        <w:rPr>
          <w:rFonts w:cs="Tahoma"/>
          <w:i/>
          <w:sz w:val="16"/>
          <w:szCs w:val="20"/>
        </w:rPr>
        <w:t>** Prodotto Enterprise</w:t>
      </w:r>
    </w:p>
    <w:p w14:paraId="18F7CCB7" w14:textId="77777777" w:rsidR="00456002" w:rsidRPr="0058047D" w:rsidRDefault="003929D1" w:rsidP="00456002">
      <w:pPr>
        <w:tabs>
          <w:tab w:val="left" w:pos="360"/>
        </w:tabs>
        <w:ind w:left="720"/>
      </w:pPr>
      <w:r w:rsidRPr="0058047D">
        <w:rPr>
          <w:rFonts w:cs="Tahoma"/>
          <w:i/>
          <w:sz w:val="16"/>
          <w:szCs w:val="20"/>
        </w:rPr>
        <w:t xml:space="preserve">*** </w:t>
      </w:r>
      <w:r w:rsidR="00E34ED3" w:rsidRPr="0058047D">
        <w:rPr>
          <w:rFonts w:cs="Tahoma"/>
          <w:i/>
          <w:sz w:val="16"/>
          <w:szCs w:val="20"/>
        </w:rPr>
        <w:t>“</w:t>
      </w:r>
      <w:r w:rsidRPr="0058047D">
        <w:rPr>
          <w:rFonts w:cs="Tahoma"/>
          <w:i/>
          <w:sz w:val="16"/>
          <w:szCs w:val="20"/>
        </w:rPr>
        <w:t>Componente Aggiuntivo per Windows Intune” è un</w:t>
      </w:r>
      <w:r w:rsidR="001C4212">
        <w:rPr>
          <w:rFonts w:cs="Tahoma"/>
          <w:i/>
          <w:sz w:val="16"/>
          <w:szCs w:val="20"/>
        </w:rPr>
        <w:t>’</w:t>
      </w:r>
      <w:r w:rsidRPr="0058047D">
        <w:rPr>
          <w:rFonts w:cs="Tahoma"/>
          <w:i/>
          <w:sz w:val="16"/>
          <w:szCs w:val="20"/>
        </w:rPr>
        <w:t>abbreviazione di Componente Aggiuntivo per Windows Intune per System Center Configuration Manager e System Center Endpoint Protection (Per Utente)</w:t>
      </w:r>
    </w:p>
    <w:p w14:paraId="757534AF" w14:textId="77777777" w:rsidR="003929D1" w:rsidRPr="0058047D" w:rsidRDefault="003929D1" w:rsidP="00A12176">
      <w:pPr>
        <w:tabs>
          <w:tab w:val="left" w:pos="360"/>
        </w:tabs>
      </w:pPr>
    </w:p>
    <w:p w14:paraId="2C732439" w14:textId="77777777" w:rsidR="00456002" w:rsidRPr="0058047D" w:rsidRDefault="00456002" w:rsidP="001E7C5F">
      <w:pPr>
        <w:tabs>
          <w:tab w:val="left" w:pos="360"/>
        </w:tabs>
        <w:spacing w:after="60"/>
      </w:pPr>
      <w:r w:rsidRPr="0058047D">
        <w:rPr>
          <w:rFonts w:cs="Tahoma"/>
          <w:b/>
          <w:szCs w:val="20"/>
        </w:rPr>
        <w:t>Riduzioni delle Licenze “Subscription”</w:t>
      </w:r>
    </w:p>
    <w:p w14:paraId="584161EB" w14:textId="77777777" w:rsidR="00456002" w:rsidRPr="0058047D" w:rsidRDefault="00456002" w:rsidP="00366502">
      <w:pPr>
        <w:tabs>
          <w:tab w:val="left" w:pos="360"/>
        </w:tabs>
      </w:pPr>
      <w:r w:rsidRPr="0058047D">
        <w:rPr>
          <w:rFonts w:cs="Tahoma"/>
          <w:b/>
          <w:szCs w:val="20"/>
        </w:rPr>
        <w:t>Nota:</w:t>
      </w:r>
      <w:r w:rsidRPr="0058047D">
        <w:rPr>
          <w:rFonts w:cs="Tahoma"/>
          <w:szCs w:val="20"/>
        </w:rPr>
        <w:t xml:space="preserve"> quanto segue si applica alle società Enterprise che sono idonee a riportare riduzioni alle quantità di Licenze “Subscription”. Le società che non sono certe della loro idoneità a riportare riduzioni alle quantità di Licenze “Subscription” dovranno contattare il loro Software Advisor, Rivenditore o Account Manager designato da Microsoft per ulteriori informazioni.</w:t>
      </w:r>
      <w:r w:rsidR="00E34ED3" w:rsidRPr="0058047D">
        <w:rPr>
          <w:rFonts w:cs="Tahoma"/>
          <w:szCs w:val="20"/>
        </w:rPr>
        <w:t xml:space="preserve"> </w:t>
      </w:r>
    </w:p>
    <w:p w14:paraId="5F564B96" w14:textId="77777777" w:rsidR="00456002" w:rsidRDefault="00456002" w:rsidP="00366502">
      <w:pPr>
        <w:tabs>
          <w:tab w:val="left" w:pos="360"/>
        </w:tabs>
      </w:pPr>
    </w:p>
    <w:p w14:paraId="0C9EA3D2" w14:textId="77777777" w:rsidR="008432A1" w:rsidRDefault="008432A1" w:rsidP="00366502">
      <w:pPr>
        <w:tabs>
          <w:tab w:val="left" w:pos="360"/>
        </w:tabs>
      </w:pPr>
    </w:p>
    <w:p w14:paraId="3CFF5919" w14:textId="77777777" w:rsidR="008432A1" w:rsidRDefault="008432A1" w:rsidP="00366502">
      <w:pPr>
        <w:tabs>
          <w:tab w:val="left" w:pos="360"/>
        </w:tabs>
      </w:pPr>
    </w:p>
    <w:p w14:paraId="2B09FB8F" w14:textId="77777777" w:rsidR="008432A1" w:rsidRDefault="008432A1" w:rsidP="00366502">
      <w:pPr>
        <w:tabs>
          <w:tab w:val="left" w:pos="360"/>
        </w:tabs>
      </w:pPr>
    </w:p>
    <w:p w14:paraId="390470DF" w14:textId="77777777" w:rsidR="008432A1" w:rsidRPr="0058047D" w:rsidRDefault="008432A1" w:rsidP="00366502">
      <w:pPr>
        <w:tabs>
          <w:tab w:val="left" w:pos="360"/>
        </w:tabs>
      </w:pPr>
    </w:p>
    <w:p w14:paraId="7A6ADF45" w14:textId="77777777" w:rsidR="00456002" w:rsidRPr="0058047D" w:rsidRDefault="00456002" w:rsidP="00366502">
      <w:pPr>
        <w:tabs>
          <w:tab w:val="left" w:pos="360"/>
        </w:tabs>
      </w:pPr>
      <w:r w:rsidRPr="0058047D">
        <w:rPr>
          <w:rFonts w:cs="Tahoma"/>
          <w:szCs w:val="20"/>
        </w:rPr>
        <w:t>Le seguenti Licenze “Subscription” sono idonee a essere soggette a modifiche relative alle quantità:</w:t>
      </w:r>
    </w:p>
    <w:p w14:paraId="7104461C" w14:textId="77777777" w:rsidR="00456002" w:rsidRPr="0058047D" w:rsidRDefault="00456002" w:rsidP="00456002">
      <w:pPr>
        <w:tabs>
          <w:tab w:val="left" w:pos="360"/>
        </w:tabs>
        <w:ind w:left="720"/>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58047D" w14:paraId="1B67D948" w14:textId="77777777" w:rsidTr="007E466C">
        <w:trPr>
          <w:trHeight w:val="80"/>
        </w:trPr>
        <w:tc>
          <w:tcPr>
            <w:tcW w:w="5000" w:type="pct"/>
            <w:gridSpan w:val="2"/>
            <w:shd w:val="clear" w:color="auto" w:fill="FABF8F"/>
          </w:tcPr>
          <w:p w14:paraId="4C029DAD" w14:textId="77777777" w:rsidR="00456002" w:rsidRPr="0058047D" w:rsidRDefault="00456002" w:rsidP="00B215EA">
            <w:pPr>
              <w:jc w:val="center"/>
              <w:rPr>
                <w:rFonts w:cs="Tahoma"/>
                <w:b/>
              </w:rPr>
            </w:pPr>
            <w:r w:rsidRPr="0058047D">
              <w:rPr>
                <w:rFonts w:cs="Tahoma"/>
                <w:b/>
              </w:rPr>
              <w:t>Sottoscrizioni Online</w:t>
            </w:r>
          </w:p>
        </w:tc>
      </w:tr>
      <w:tr w:rsidR="00456002" w:rsidRPr="0058047D" w14:paraId="7020BEF5" w14:textId="77777777" w:rsidTr="007E466C">
        <w:trPr>
          <w:trHeight w:val="219"/>
        </w:trPr>
        <w:tc>
          <w:tcPr>
            <w:tcW w:w="2500" w:type="pct"/>
          </w:tcPr>
          <w:p w14:paraId="7A07540D" w14:textId="77777777" w:rsidR="00D85FDD" w:rsidRPr="0058047D" w:rsidRDefault="00D85FDD" w:rsidP="00346F4B">
            <w:pPr>
              <w:numPr>
                <w:ilvl w:val="0"/>
                <w:numId w:val="38"/>
              </w:numPr>
              <w:spacing w:before="80"/>
            </w:pPr>
            <w:r w:rsidRPr="0058047D">
              <w:rPr>
                <w:rFonts w:cs="Tahoma"/>
              </w:rPr>
              <w:t>Archiviazione Exchange Online per Exchange Online*</w:t>
            </w:r>
          </w:p>
          <w:p w14:paraId="06308012" w14:textId="77777777" w:rsidR="00D85FDD" w:rsidRPr="0058047D" w:rsidRDefault="00D85FDD" w:rsidP="00346F4B">
            <w:pPr>
              <w:numPr>
                <w:ilvl w:val="0"/>
                <w:numId w:val="38"/>
              </w:numPr>
              <w:spacing w:before="80"/>
            </w:pPr>
            <w:r w:rsidRPr="0058047D">
              <w:rPr>
                <w:rFonts w:cs="Tahoma"/>
              </w:rPr>
              <w:t>Archiviazione Exchange Online per Exchange Server*</w:t>
            </w:r>
          </w:p>
          <w:p w14:paraId="0DADE412" w14:textId="77777777" w:rsidR="00456002" w:rsidRPr="0058047D" w:rsidRDefault="00456002" w:rsidP="00346F4B">
            <w:pPr>
              <w:numPr>
                <w:ilvl w:val="0"/>
                <w:numId w:val="38"/>
              </w:numPr>
              <w:spacing w:before="80"/>
            </w:pPr>
            <w:r w:rsidRPr="0058047D">
              <w:rPr>
                <w:rFonts w:cs="Tahoma"/>
              </w:rPr>
              <w:t>Chiosco Exchange Online*</w:t>
            </w:r>
          </w:p>
          <w:p w14:paraId="63133C7C" w14:textId="77777777" w:rsidR="00456002" w:rsidRPr="0058047D" w:rsidRDefault="00456002" w:rsidP="00346F4B">
            <w:pPr>
              <w:numPr>
                <w:ilvl w:val="0"/>
                <w:numId w:val="38"/>
              </w:numPr>
              <w:spacing w:before="80"/>
            </w:pPr>
            <w:r w:rsidRPr="0058047D">
              <w:rPr>
                <w:rFonts w:cs="Tahoma"/>
              </w:rPr>
              <w:t>Exchange Online Piano 1*</w:t>
            </w:r>
          </w:p>
          <w:p w14:paraId="740458DB" w14:textId="77777777" w:rsidR="00456002" w:rsidRPr="0058047D" w:rsidRDefault="00456002" w:rsidP="00346F4B">
            <w:pPr>
              <w:numPr>
                <w:ilvl w:val="0"/>
                <w:numId w:val="38"/>
              </w:numPr>
              <w:spacing w:before="80"/>
            </w:pPr>
            <w:r w:rsidRPr="0058047D">
              <w:rPr>
                <w:rFonts w:cs="Tahoma"/>
              </w:rPr>
              <w:t>Exchange Online Piano 2*</w:t>
            </w:r>
          </w:p>
          <w:p w14:paraId="65D1B468" w14:textId="77777777" w:rsidR="00D85FDD" w:rsidRPr="0058047D" w:rsidRDefault="00D85FDD" w:rsidP="00346F4B">
            <w:pPr>
              <w:numPr>
                <w:ilvl w:val="0"/>
                <w:numId w:val="38"/>
              </w:numPr>
              <w:spacing w:before="80"/>
            </w:pPr>
            <w:r w:rsidRPr="0058047D">
              <w:rPr>
                <w:rFonts w:cs="Tahoma"/>
              </w:rPr>
              <w:t>Exchange Online Protection*</w:t>
            </w:r>
          </w:p>
          <w:p w14:paraId="3902D485" w14:textId="77777777" w:rsidR="00456002" w:rsidRPr="0058047D" w:rsidRDefault="00456002" w:rsidP="00346F4B">
            <w:pPr>
              <w:numPr>
                <w:ilvl w:val="0"/>
                <w:numId w:val="38"/>
              </w:numPr>
              <w:spacing w:before="80"/>
            </w:pPr>
            <w:r w:rsidRPr="0058047D">
              <w:rPr>
                <w:rFonts w:cs="Tahoma"/>
              </w:rPr>
              <w:t>Lync Online Piano 1*</w:t>
            </w:r>
          </w:p>
          <w:p w14:paraId="3C9FCAE2" w14:textId="77777777" w:rsidR="00456002" w:rsidRPr="0058047D" w:rsidRDefault="00456002" w:rsidP="00346F4B">
            <w:pPr>
              <w:numPr>
                <w:ilvl w:val="0"/>
                <w:numId w:val="38"/>
              </w:numPr>
              <w:spacing w:before="80"/>
            </w:pPr>
            <w:r w:rsidRPr="0058047D">
              <w:rPr>
                <w:rFonts w:cs="Tahoma"/>
              </w:rPr>
              <w:t>Lync Online Piano 2*</w:t>
            </w:r>
          </w:p>
          <w:p w14:paraId="59370E67" w14:textId="77777777" w:rsidR="00E77288" w:rsidRPr="0058047D" w:rsidRDefault="00E77288" w:rsidP="00346F4B">
            <w:pPr>
              <w:numPr>
                <w:ilvl w:val="0"/>
                <w:numId w:val="38"/>
              </w:numPr>
              <w:spacing w:before="80"/>
            </w:pPr>
            <w:r w:rsidRPr="0058047D">
              <w:rPr>
                <w:rFonts w:cs="Tahoma"/>
              </w:rPr>
              <w:t>Lync Online Piano 3*</w:t>
            </w:r>
          </w:p>
          <w:p w14:paraId="30305824" w14:textId="77777777" w:rsidR="00456002" w:rsidRPr="0058047D" w:rsidRDefault="00456002" w:rsidP="00346F4B">
            <w:pPr>
              <w:numPr>
                <w:ilvl w:val="0"/>
                <w:numId w:val="38"/>
              </w:numPr>
              <w:spacing w:before="80"/>
            </w:pPr>
            <w:r w:rsidRPr="0058047D">
              <w:rPr>
                <w:rFonts w:cs="Tahoma"/>
              </w:rPr>
              <w:t>Office 365 (Enterprise K1)*</w:t>
            </w:r>
          </w:p>
          <w:p w14:paraId="49B224EF" w14:textId="77777777" w:rsidR="00456002" w:rsidRPr="0058047D" w:rsidRDefault="00456002" w:rsidP="00346F4B">
            <w:pPr>
              <w:numPr>
                <w:ilvl w:val="0"/>
                <w:numId w:val="38"/>
              </w:numPr>
              <w:spacing w:before="80"/>
            </w:pPr>
            <w:r w:rsidRPr="0058047D">
              <w:rPr>
                <w:rFonts w:cs="Tahoma"/>
              </w:rPr>
              <w:t>Office 365 (Enterprise E1)</w:t>
            </w:r>
          </w:p>
          <w:p w14:paraId="523FC615" w14:textId="77777777" w:rsidR="00456002" w:rsidRPr="0058047D" w:rsidRDefault="00456002" w:rsidP="00346F4B">
            <w:pPr>
              <w:numPr>
                <w:ilvl w:val="0"/>
                <w:numId w:val="38"/>
              </w:numPr>
              <w:spacing w:before="80"/>
            </w:pPr>
            <w:r w:rsidRPr="0058047D">
              <w:rPr>
                <w:rFonts w:cs="Tahoma"/>
              </w:rPr>
              <w:t>Office 365 (Enterprise E3)</w:t>
            </w:r>
          </w:p>
          <w:p w14:paraId="739EE4A0" w14:textId="77777777" w:rsidR="00456002" w:rsidRPr="0058047D" w:rsidRDefault="00456002" w:rsidP="00346F4B">
            <w:pPr>
              <w:numPr>
                <w:ilvl w:val="0"/>
                <w:numId w:val="38"/>
              </w:numPr>
              <w:spacing w:before="80"/>
            </w:pPr>
            <w:r w:rsidRPr="0058047D">
              <w:rPr>
                <w:rFonts w:cs="Tahoma"/>
              </w:rPr>
              <w:t>Office 365 (Enterprise E4)</w:t>
            </w:r>
          </w:p>
          <w:p w14:paraId="31B5B587" w14:textId="77777777" w:rsidR="005272FA" w:rsidRPr="0058047D" w:rsidRDefault="005272FA" w:rsidP="00346F4B">
            <w:pPr>
              <w:numPr>
                <w:ilvl w:val="0"/>
                <w:numId w:val="38"/>
              </w:numPr>
              <w:spacing w:before="80"/>
              <w:jc w:val="both"/>
            </w:pPr>
            <w:r w:rsidRPr="0058047D">
              <w:rPr>
                <w:rFonts w:cs="Tahoma"/>
                <w:color w:val="000000"/>
              </w:rPr>
              <w:t>Office 365 (Government G1)</w:t>
            </w:r>
          </w:p>
          <w:p w14:paraId="2301C8FF" w14:textId="77777777" w:rsidR="005272FA" w:rsidRPr="0058047D" w:rsidRDefault="005272FA" w:rsidP="00346F4B">
            <w:pPr>
              <w:numPr>
                <w:ilvl w:val="0"/>
                <w:numId w:val="38"/>
              </w:numPr>
              <w:spacing w:before="80"/>
              <w:jc w:val="both"/>
            </w:pPr>
            <w:r w:rsidRPr="0058047D">
              <w:rPr>
                <w:rFonts w:cs="Tahoma"/>
                <w:color w:val="000000"/>
              </w:rPr>
              <w:t>Office 365 (Government G3)</w:t>
            </w:r>
          </w:p>
          <w:p w14:paraId="1688A705" w14:textId="77777777" w:rsidR="005272FA" w:rsidRPr="0058047D" w:rsidRDefault="005272FA" w:rsidP="00346F4B">
            <w:pPr>
              <w:numPr>
                <w:ilvl w:val="0"/>
                <w:numId w:val="38"/>
              </w:numPr>
              <w:spacing w:before="80"/>
              <w:jc w:val="both"/>
            </w:pPr>
            <w:r w:rsidRPr="0058047D">
              <w:rPr>
                <w:rFonts w:cs="Tahoma"/>
                <w:color w:val="000000"/>
              </w:rPr>
              <w:t>Office 365 (Government G4)</w:t>
            </w:r>
          </w:p>
          <w:p w14:paraId="137C3021" w14:textId="77777777" w:rsidR="005272FA" w:rsidRPr="0058047D" w:rsidRDefault="005272FA" w:rsidP="007E466C">
            <w:pPr>
              <w:spacing w:before="80"/>
              <w:ind w:left="522"/>
              <w:rPr>
                <w:rFonts w:cs="Tahoma"/>
              </w:rPr>
            </w:pPr>
          </w:p>
        </w:tc>
        <w:tc>
          <w:tcPr>
            <w:tcW w:w="2500" w:type="pct"/>
          </w:tcPr>
          <w:p w14:paraId="1E4F1624" w14:textId="77777777" w:rsidR="00252E73" w:rsidRPr="0058047D" w:rsidRDefault="00252E73" w:rsidP="00346F4B">
            <w:pPr>
              <w:numPr>
                <w:ilvl w:val="0"/>
                <w:numId w:val="38"/>
              </w:numPr>
              <w:spacing w:before="80"/>
              <w:jc w:val="both"/>
            </w:pPr>
            <w:r w:rsidRPr="0058047D">
              <w:rPr>
                <w:rFonts w:cs="Tahoma"/>
                <w:color w:val="000000"/>
              </w:rPr>
              <w:t>Office 365 ProPlus**</w:t>
            </w:r>
          </w:p>
          <w:p w14:paraId="5B1126BD" w14:textId="77777777" w:rsidR="00456002" w:rsidRPr="0058047D" w:rsidRDefault="00456002" w:rsidP="00346F4B">
            <w:pPr>
              <w:numPr>
                <w:ilvl w:val="0"/>
                <w:numId w:val="38"/>
              </w:numPr>
              <w:spacing w:before="80"/>
              <w:jc w:val="both"/>
            </w:pPr>
            <w:r w:rsidRPr="0058047D">
              <w:rPr>
                <w:rFonts w:cs="Tahoma"/>
                <w:color w:val="000000"/>
              </w:rPr>
              <w:t>Office Web Applications*</w:t>
            </w:r>
          </w:p>
          <w:p w14:paraId="3C07FB53" w14:textId="77777777" w:rsidR="00CE1716" w:rsidRPr="0058047D" w:rsidRDefault="00CE1716" w:rsidP="00346F4B">
            <w:pPr>
              <w:numPr>
                <w:ilvl w:val="0"/>
                <w:numId w:val="38"/>
              </w:numPr>
              <w:spacing w:before="80"/>
              <w:jc w:val="both"/>
            </w:pPr>
            <w:r w:rsidRPr="0058047D">
              <w:rPr>
                <w:rFonts w:cs="Tahoma"/>
                <w:color w:val="000000"/>
              </w:rPr>
              <w:t>Project Online*</w:t>
            </w:r>
          </w:p>
          <w:p w14:paraId="194170C0" w14:textId="77777777" w:rsidR="005272FA" w:rsidRPr="0058047D" w:rsidRDefault="005272FA" w:rsidP="00346F4B">
            <w:pPr>
              <w:numPr>
                <w:ilvl w:val="0"/>
                <w:numId w:val="38"/>
              </w:numPr>
              <w:spacing w:before="80"/>
              <w:jc w:val="both"/>
            </w:pPr>
            <w:r w:rsidRPr="0058047D">
              <w:rPr>
                <w:rFonts w:cs="Tahoma"/>
                <w:color w:val="000000"/>
              </w:rPr>
              <w:t>Project Pro per Office 365*</w:t>
            </w:r>
          </w:p>
          <w:p w14:paraId="7E8F482B" w14:textId="77777777" w:rsidR="00456002" w:rsidRPr="0058047D" w:rsidRDefault="00456002" w:rsidP="00346F4B">
            <w:pPr>
              <w:numPr>
                <w:ilvl w:val="0"/>
                <w:numId w:val="38"/>
              </w:numPr>
              <w:spacing w:before="80"/>
              <w:jc w:val="both"/>
            </w:pPr>
            <w:r w:rsidRPr="0058047D">
              <w:rPr>
                <w:rFonts w:cs="Tahoma"/>
                <w:color w:val="000000"/>
              </w:rPr>
              <w:t>SharePoint Online Piano 1*</w:t>
            </w:r>
          </w:p>
          <w:p w14:paraId="59D09254" w14:textId="77777777" w:rsidR="00456002" w:rsidRPr="0058047D" w:rsidRDefault="00456002" w:rsidP="00E91BD3">
            <w:pPr>
              <w:numPr>
                <w:ilvl w:val="0"/>
                <w:numId w:val="38"/>
              </w:numPr>
              <w:spacing w:before="80"/>
            </w:pPr>
            <w:r w:rsidRPr="0058047D">
              <w:rPr>
                <w:rFonts w:cs="Tahoma"/>
                <w:color w:val="000000"/>
              </w:rPr>
              <w:t>SharePoint Online Piano 2*</w:t>
            </w:r>
          </w:p>
          <w:p w14:paraId="318A9255" w14:textId="77777777" w:rsidR="00456002" w:rsidRPr="0058047D" w:rsidRDefault="00456002" w:rsidP="00E91BD3">
            <w:pPr>
              <w:numPr>
                <w:ilvl w:val="0"/>
                <w:numId w:val="38"/>
              </w:numPr>
              <w:spacing w:before="80"/>
              <w:ind w:right="270"/>
            </w:pPr>
            <w:r w:rsidRPr="0058047D">
              <w:rPr>
                <w:rFonts w:cs="Tahoma"/>
                <w:color w:val="000000"/>
              </w:rPr>
              <w:t>Accesso partner SharePoint Online*</w:t>
            </w:r>
          </w:p>
          <w:p w14:paraId="2C1C9D59" w14:textId="77777777" w:rsidR="00D8521B" w:rsidRPr="0058047D" w:rsidRDefault="00D8521B" w:rsidP="00E91BD3">
            <w:pPr>
              <w:numPr>
                <w:ilvl w:val="0"/>
                <w:numId w:val="38"/>
              </w:numPr>
              <w:spacing w:before="80"/>
              <w:ind w:left="896"/>
            </w:pPr>
            <w:r w:rsidRPr="0058047D">
              <w:rPr>
                <w:rFonts w:cs="Tahoma"/>
                <w:color w:val="000000"/>
              </w:rPr>
              <w:t>Windows Azure Active Directory Rights Management*</w:t>
            </w:r>
          </w:p>
          <w:p w14:paraId="60CD2A55" w14:textId="77777777" w:rsidR="00402C7A" w:rsidRPr="0058047D" w:rsidRDefault="00402C7A" w:rsidP="00E91BD3">
            <w:pPr>
              <w:numPr>
                <w:ilvl w:val="0"/>
                <w:numId w:val="38"/>
              </w:numPr>
              <w:spacing w:before="80"/>
              <w:ind w:left="896"/>
            </w:pPr>
            <w:r w:rsidRPr="0058047D">
              <w:rPr>
                <w:rFonts w:cs="Tahoma"/>
                <w:color w:val="000000"/>
              </w:rPr>
              <w:t>Servizi di Windows Azure*</w:t>
            </w:r>
          </w:p>
          <w:p w14:paraId="39DDF843" w14:textId="77777777" w:rsidR="00456002" w:rsidRPr="0058047D" w:rsidRDefault="00456002" w:rsidP="00E91BD3">
            <w:pPr>
              <w:numPr>
                <w:ilvl w:val="0"/>
                <w:numId w:val="38"/>
              </w:numPr>
              <w:spacing w:before="80"/>
            </w:pPr>
            <w:r w:rsidRPr="0058047D">
              <w:rPr>
                <w:rFonts w:cs="Tahoma"/>
                <w:color w:val="000000"/>
              </w:rPr>
              <w:t>Windows Intune</w:t>
            </w:r>
          </w:p>
          <w:p w14:paraId="138A0613" w14:textId="77777777" w:rsidR="00456002" w:rsidRPr="0058047D" w:rsidRDefault="00456002" w:rsidP="00E91BD3">
            <w:pPr>
              <w:numPr>
                <w:ilvl w:val="0"/>
                <w:numId w:val="38"/>
              </w:numPr>
              <w:spacing w:before="80"/>
            </w:pPr>
            <w:r w:rsidRPr="0058047D">
              <w:rPr>
                <w:rFonts w:cs="Tahoma"/>
                <w:color w:val="000000"/>
              </w:rPr>
              <w:t>Componente aggiuntivo di Windows Intune*</w:t>
            </w:r>
          </w:p>
          <w:p w14:paraId="3117B150" w14:textId="77777777" w:rsidR="00A2058E" w:rsidRPr="0058047D" w:rsidRDefault="00A2058E" w:rsidP="00E91BD3">
            <w:pPr>
              <w:numPr>
                <w:ilvl w:val="0"/>
                <w:numId w:val="38"/>
              </w:numPr>
              <w:spacing w:before="80"/>
            </w:pPr>
            <w:r w:rsidRPr="0058047D">
              <w:rPr>
                <w:rFonts w:cs="Tahoma"/>
                <w:color w:val="000000"/>
              </w:rPr>
              <w:t>Microsoft Dynamics CRM Online*</w:t>
            </w:r>
          </w:p>
          <w:p w14:paraId="74FA1C8E" w14:textId="77777777" w:rsidR="005272FA" w:rsidRPr="0058047D" w:rsidRDefault="005272FA" w:rsidP="00E91BD3">
            <w:pPr>
              <w:numPr>
                <w:ilvl w:val="0"/>
                <w:numId w:val="38"/>
              </w:numPr>
              <w:spacing w:before="80"/>
            </w:pPr>
            <w:r w:rsidRPr="0058047D">
              <w:rPr>
                <w:rFonts w:cs="Tahoma"/>
                <w:color w:val="000000"/>
              </w:rPr>
              <w:t>Visio Pro per Office 365*</w:t>
            </w:r>
          </w:p>
          <w:p w14:paraId="3A267344" w14:textId="77777777" w:rsidR="00F27B29" w:rsidRPr="0058047D" w:rsidRDefault="00F27B29" w:rsidP="00E91BD3">
            <w:pPr>
              <w:numPr>
                <w:ilvl w:val="0"/>
                <w:numId w:val="38"/>
              </w:numPr>
              <w:spacing w:before="80" w:after="120"/>
              <w:rPr>
                <w:rFonts w:cs="Tahoma"/>
              </w:rPr>
            </w:pPr>
            <w:r w:rsidRPr="0058047D">
              <w:rPr>
                <w:rFonts w:cs="Tahoma"/>
                <w:color w:val="000000"/>
              </w:rPr>
              <w:t>Yammer Enterprise*</w:t>
            </w:r>
          </w:p>
        </w:tc>
      </w:tr>
    </w:tbl>
    <w:p w14:paraId="334AB33E" w14:textId="77777777" w:rsidR="00A12176" w:rsidRPr="0058047D" w:rsidRDefault="00456002" w:rsidP="001E7C5F">
      <w:pPr>
        <w:tabs>
          <w:tab w:val="left" w:pos="360"/>
        </w:tabs>
        <w:ind w:left="720"/>
      </w:pPr>
      <w:r w:rsidRPr="0058047D">
        <w:rPr>
          <w:rFonts w:cs="Tahoma"/>
          <w:i/>
          <w:sz w:val="16"/>
          <w:szCs w:val="20"/>
        </w:rPr>
        <w:t>* Prodotto aggiuntivo</w:t>
      </w:r>
      <w:bookmarkStart w:id="620" w:name="_Toc336338196"/>
    </w:p>
    <w:p w14:paraId="53CB1D46" w14:textId="77777777" w:rsidR="00B215EA" w:rsidRPr="0058047D" w:rsidRDefault="00252E73" w:rsidP="00B215EA">
      <w:pPr>
        <w:tabs>
          <w:tab w:val="left" w:pos="360"/>
        </w:tabs>
        <w:ind w:left="720"/>
      </w:pPr>
      <w:r w:rsidRPr="0058047D">
        <w:rPr>
          <w:rFonts w:cs="Tahoma"/>
          <w:i/>
          <w:sz w:val="16"/>
          <w:szCs w:val="20"/>
        </w:rPr>
        <w:t>** Prodotto Enterprise</w:t>
      </w:r>
    </w:p>
    <w:p w14:paraId="322EF8C5" w14:textId="77777777" w:rsidR="00B215EA" w:rsidRPr="0058047D" w:rsidRDefault="00B215EA" w:rsidP="00B215EA">
      <w:pPr>
        <w:tabs>
          <w:tab w:val="left" w:pos="360"/>
        </w:tabs>
        <w:spacing w:after="60"/>
      </w:pPr>
    </w:p>
    <w:p w14:paraId="4F0A7E73" w14:textId="77777777" w:rsidR="00B215EA" w:rsidRPr="0058047D" w:rsidRDefault="00B215EA" w:rsidP="00B215EA">
      <w:pPr>
        <w:tabs>
          <w:tab w:val="left" w:pos="360"/>
        </w:tabs>
        <w:spacing w:after="60"/>
      </w:pPr>
      <w:r w:rsidRPr="0058047D">
        <w:rPr>
          <w:rFonts w:cs="Tahoma"/>
          <w:b/>
          <w:szCs w:val="20"/>
        </w:rPr>
        <w:t xml:space="preserve">Riduzioni di Licenze </w:t>
      </w:r>
      <w:r w:rsidR="00E34ED3" w:rsidRPr="0058047D">
        <w:rPr>
          <w:rFonts w:cs="Tahoma"/>
          <w:b/>
          <w:szCs w:val="20"/>
        </w:rPr>
        <w:t>“</w:t>
      </w:r>
      <w:r w:rsidRPr="0058047D">
        <w:rPr>
          <w:rFonts w:cs="Tahoma"/>
          <w:b/>
          <w:szCs w:val="20"/>
        </w:rPr>
        <w:t>Subscription</w:t>
      </w:r>
      <w:r w:rsidR="00E34ED3" w:rsidRPr="0058047D">
        <w:rPr>
          <w:rFonts w:cs="Tahoma"/>
          <w:b/>
          <w:szCs w:val="20"/>
        </w:rPr>
        <w:t>”</w:t>
      </w:r>
      <w:r w:rsidRPr="0058047D">
        <w:rPr>
          <w:rFonts w:cs="Tahoma"/>
          <w:b/>
          <w:szCs w:val="20"/>
        </w:rPr>
        <w:t xml:space="preserve"> per Iscrizioni Server and Cloud</w:t>
      </w:r>
    </w:p>
    <w:p w14:paraId="60A1D64B" w14:textId="77777777" w:rsidR="00B215EA" w:rsidRPr="0058047D" w:rsidRDefault="00B215EA" w:rsidP="00B215EA">
      <w:pPr>
        <w:tabs>
          <w:tab w:val="left" w:pos="360"/>
        </w:tabs>
      </w:pPr>
      <w:r w:rsidRPr="0058047D">
        <w:rPr>
          <w:rFonts w:cs="Tahoma"/>
          <w:b/>
          <w:szCs w:val="20"/>
        </w:rPr>
        <w:t>Nota:</w:t>
      </w:r>
      <w:r w:rsidRPr="0058047D">
        <w:rPr>
          <w:rFonts w:cs="Tahoma"/>
          <w:szCs w:val="20"/>
        </w:rPr>
        <w:t xml:space="preserve"> quanto segue si applica alle società in possesso dell</w:t>
      </w:r>
      <w:r w:rsidR="001C4212">
        <w:rPr>
          <w:rFonts w:cs="Tahoma"/>
          <w:szCs w:val="20"/>
        </w:rPr>
        <w:t>’</w:t>
      </w:r>
      <w:r w:rsidRPr="0058047D">
        <w:rPr>
          <w:rFonts w:cs="Tahoma"/>
          <w:szCs w:val="20"/>
        </w:rPr>
        <w:t>Iscrizione Server and Cloud che sono idonee a riportare riduzioni alle quantità di Licenze “Subscription”. Le società che non sono certe della loro idoneità a riportare riduzioni alle quantità di Licenze “Subscription” dovranno contattare il loro Software Advisor, Rivenditore o Account Manager designato da Microsoft per ulteriori informazioni.</w:t>
      </w:r>
      <w:r w:rsidR="00E34ED3" w:rsidRPr="0058047D">
        <w:rPr>
          <w:rFonts w:cs="Tahoma"/>
          <w:szCs w:val="20"/>
        </w:rPr>
        <w:t xml:space="preserve"> </w:t>
      </w:r>
    </w:p>
    <w:p w14:paraId="3BA6F741" w14:textId="77777777" w:rsidR="00B215EA" w:rsidRPr="0058047D" w:rsidRDefault="00B215EA" w:rsidP="00B215EA">
      <w:pPr>
        <w:tabs>
          <w:tab w:val="left" w:pos="360"/>
        </w:tabs>
      </w:pPr>
    </w:p>
    <w:p w14:paraId="0F6843B2" w14:textId="77777777" w:rsidR="00B215EA" w:rsidRPr="0058047D" w:rsidRDefault="00B215EA" w:rsidP="00B215EA">
      <w:pPr>
        <w:tabs>
          <w:tab w:val="left" w:pos="360"/>
        </w:tabs>
      </w:pPr>
      <w:r w:rsidRPr="0058047D">
        <w:rPr>
          <w:rFonts w:cs="Tahoma"/>
          <w:szCs w:val="20"/>
        </w:rPr>
        <w:t xml:space="preserve">Le seguenti Licenze “Subscription” sono idonee a essere soggette a modifiche relative alle quantità di Licenze </w:t>
      </w:r>
      <w:r w:rsidR="00E34ED3" w:rsidRPr="0058047D">
        <w:rPr>
          <w:rFonts w:cs="Tahoma"/>
          <w:szCs w:val="20"/>
        </w:rPr>
        <w:t>“</w:t>
      </w:r>
      <w:r w:rsidRPr="0058047D">
        <w:rPr>
          <w:rFonts w:cs="Tahoma"/>
          <w:szCs w:val="20"/>
        </w:rPr>
        <w:t>Subscription</w:t>
      </w:r>
      <w:r w:rsidR="00E34ED3" w:rsidRPr="0058047D">
        <w:rPr>
          <w:rFonts w:cs="Tahoma"/>
          <w:szCs w:val="20"/>
        </w:rPr>
        <w:t>”</w:t>
      </w:r>
      <w:r w:rsidRPr="0058047D">
        <w:rPr>
          <w:rFonts w:cs="Tahoma"/>
          <w:szCs w:val="20"/>
        </w:rPr>
        <w:t xml:space="preserve"> dopo 12 mesi continuativi:</w:t>
      </w:r>
    </w:p>
    <w:p w14:paraId="2DF9B74B" w14:textId="77777777" w:rsidR="00B215EA" w:rsidRPr="0058047D" w:rsidRDefault="00B215EA" w:rsidP="00B215EA">
      <w:pPr>
        <w:tabs>
          <w:tab w:val="left" w:pos="360"/>
        </w:tabs>
        <w:ind w:left="720"/>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586"/>
        <w:gridCol w:w="4053"/>
      </w:tblGrid>
      <w:tr w:rsidR="00B215EA" w:rsidRPr="0058047D" w14:paraId="7F83BFEB" w14:textId="77777777" w:rsidTr="008432A1">
        <w:trPr>
          <w:trHeight w:val="80"/>
          <w:tblHeader/>
        </w:trPr>
        <w:tc>
          <w:tcPr>
            <w:tcW w:w="5000" w:type="pct"/>
            <w:gridSpan w:val="2"/>
            <w:shd w:val="clear" w:color="auto" w:fill="FABF8F"/>
          </w:tcPr>
          <w:p w14:paraId="5FF9717D" w14:textId="77777777" w:rsidR="00B215EA" w:rsidRPr="0058047D" w:rsidRDefault="00B215EA" w:rsidP="00892A1D">
            <w:pPr>
              <w:jc w:val="center"/>
              <w:rPr>
                <w:rFonts w:cs="Tahoma"/>
                <w:b/>
              </w:rPr>
            </w:pPr>
            <w:r w:rsidRPr="0058047D">
              <w:rPr>
                <w:rFonts w:cs="Tahoma"/>
                <w:b/>
              </w:rPr>
              <w:t>Sottoscrizioni Online</w:t>
            </w:r>
          </w:p>
        </w:tc>
      </w:tr>
      <w:tr w:rsidR="00B215EA" w:rsidRPr="0058047D" w14:paraId="33D20453" w14:textId="77777777" w:rsidTr="00E91BD3">
        <w:trPr>
          <w:trHeight w:val="219"/>
        </w:trPr>
        <w:tc>
          <w:tcPr>
            <w:tcW w:w="2654" w:type="pct"/>
          </w:tcPr>
          <w:p w14:paraId="7C668FB5" w14:textId="77777777" w:rsidR="00B215EA" w:rsidRPr="0058047D" w:rsidRDefault="00B215EA" w:rsidP="00E91BD3">
            <w:pPr>
              <w:numPr>
                <w:ilvl w:val="0"/>
                <w:numId w:val="38"/>
              </w:numPr>
              <w:spacing w:before="80"/>
              <w:ind w:right="181"/>
            </w:pPr>
            <w:r w:rsidRPr="0058047D">
              <w:rPr>
                <w:color w:val="000000"/>
              </w:rPr>
              <w:t>SQL Server Enterprise Per Core</w:t>
            </w:r>
            <w:r w:rsidRPr="0058047D">
              <w:rPr>
                <w:rFonts w:cs="Tahoma"/>
              </w:rPr>
              <w:t xml:space="preserve"> Subscription</w:t>
            </w:r>
          </w:p>
          <w:p w14:paraId="05A3FDFB" w14:textId="77777777" w:rsidR="00B215EA" w:rsidRPr="0058047D" w:rsidRDefault="00B215EA" w:rsidP="00E91BD3">
            <w:pPr>
              <w:numPr>
                <w:ilvl w:val="0"/>
                <w:numId w:val="38"/>
              </w:numPr>
              <w:spacing w:before="80"/>
              <w:ind w:right="181"/>
            </w:pPr>
            <w:r w:rsidRPr="0058047D">
              <w:rPr>
                <w:color w:val="000000"/>
              </w:rPr>
              <w:t>SQL Server Business Intelligence Server</w:t>
            </w:r>
            <w:r w:rsidRPr="0058047D">
              <w:rPr>
                <w:rFonts w:cs="Tahoma"/>
              </w:rPr>
              <w:t xml:space="preserve"> Subscription</w:t>
            </w:r>
          </w:p>
          <w:p w14:paraId="7F5336F5" w14:textId="77777777" w:rsidR="00B215EA" w:rsidRPr="0058047D" w:rsidRDefault="00B215EA" w:rsidP="00E91BD3">
            <w:pPr>
              <w:numPr>
                <w:ilvl w:val="0"/>
                <w:numId w:val="38"/>
              </w:numPr>
              <w:spacing w:before="80"/>
              <w:ind w:right="181"/>
            </w:pPr>
            <w:r w:rsidRPr="0058047D">
              <w:rPr>
                <w:color w:val="000000"/>
              </w:rPr>
              <w:t>SQL Server Standard Per Core</w:t>
            </w:r>
            <w:r w:rsidRPr="0058047D">
              <w:rPr>
                <w:rFonts w:cs="Tahoma"/>
              </w:rPr>
              <w:t xml:space="preserve"> Subscription</w:t>
            </w:r>
          </w:p>
          <w:p w14:paraId="36705EB9" w14:textId="77777777" w:rsidR="00B215EA" w:rsidRPr="0058047D" w:rsidRDefault="00B215EA" w:rsidP="00E91BD3">
            <w:pPr>
              <w:numPr>
                <w:ilvl w:val="0"/>
                <w:numId w:val="38"/>
              </w:numPr>
              <w:spacing w:before="80"/>
              <w:ind w:right="181"/>
            </w:pPr>
            <w:r w:rsidRPr="0058047D">
              <w:rPr>
                <w:color w:val="000000"/>
              </w:rPr>
              <w:t xml:space="preserve">SQL Server Standard </w:t>
            </w:r>
            <w:r w:rsidRPr="0058047D">
              <w:rPr>
                <w:rFonts w:cs="Tahoma"/>
              </w:rPr>
              <w:t>Subscription</w:t>
            </w:r>
          </w:p>
          <w:p w14:paraId="0FEEB3A8" w14:textId="77777777" w:rsidR="00B215EA" w:rsidRPr="0058047D" w:rsidRDefault="00B215EA" w:rsidP="00E91BD3">
            <w:pPr>
              <w:numPr>
                <w:ilvl w:val="0"/>
                <w:numId w:val="38"/>
              </w:numPr>
              <w:spacing w:before="80"/>
              <w:ind w:right="181"/>
            </w:pPr>
            <w:r w:rsidRPr="0058047D">
              <w:rPr>
                <w:color w:val="000000"/>
              </w:rPr>
              <w:t xml:space="preserve">BizTalk Server Enterprise Per Core </w:t>
            </w:r>
            <w:r w:rsidRPr="0058047D">
              <w:rPr>
                <w:rFonts w:cs="Tahoma"/>
              </w:rPr>
              <w:t>Subscription</w:t>
            </w:r>
          </w:p>
          <w:p w14:paraId="536EDC58" w14:textId="77777777" w:rsidR="00B215EA" w:rsidRPr="0058047D" w:rsidRDefault="00B215EA" w:rsidP="00E91BD3">
            <w:pPr>
              <w:numPr>
                <w:ilvl w:val="0"/>
                <w:numId w:val="38"/>
              </w:numPr>
              <w:spacing w:before="80"/>
              <w:ind w:right="181"/>
            </w:pPr>
            <w:r w:rsidRPr="0058047D">
              <w:rPr>
                <w:color w:val="000000"/>
              </w:rPr>
              <w:t>BizTalk Server Standard Per Core Subscription</w:t>
            </w:r>
          </w:p>
          <w:p w14:paraId="5F07EB2B" w14:textId="77777777" w:rsidR="00B215EA" w:rsidRPr="008432A1" w:rsidRDefault="00B215EA" w:rsidP="00E91BD3">
            <w:pPr>
              <w:numPr>
                <w:ilvl w:val="0"/>
                <w:numId w:val="38"/>
              </w:numPr>
              <w:spacing w:before="80"/>
              <w:ind w:right="181"/>
            </w:pPr>
            <w:r w:rsidRPr="0058047D">
              <w:rPr>
                <w:color w:val="000000"/>
              </w:rPr>
              <w:t>BizTalk Server Branch Per Core Subscription</w:t>
            </w:r>
          </w:p>
          <w:p w14:paraId="4DD5AA3C" w14:textId="77777777" w:rsidR="00B215EA" w:rsidRPr="0058047D" w:rsidRDefault="00B215EA" w:rsidP="00E91BD3">
            <w:pPr>
              <w:numPr>
                <w:ilvl w:val="0"/>
                <w:numId w:val="38"/>
              </w:numPr>
              <w:spacing w:before="80"/>
              <w:ind w:right="181"/>
            </w:pPr>
            <w:r w:rsidRPr="0058047D">
              <w:rPr>
                <w:color w:val="000000"/>
              </w:rPr>
              <w:t>Visual Studio Ultimate Subscription con MSDN</w:t>
            </w:r>
            <w:r w:rsidRPr="0058047D">
              <w:rPr>
                <w:rFonts w:cs="Tahoma"/>
              </w:rPr>
              <w:t xml:space="preserve"> </w:t>
            </w:r>
          </w:p>
          <w:p w14:paraId="18F0A2EE" w14:textId="77777777" w:rsidR="00B215EA" w:rsidRPr="0058047D" w:rsidRDefault="00B215EA" w:rsidP="00E91BD3">
            <w:pPr>
              <w:numPr>
                <w:ilvl w:val="0"/>
                <w:numId w:val="38"/>
              </w:numPr>
              <w:spacing w:before="80"/>
              <w:ind w:right="181"/>
            </w:pPr>
            <w:r w:rsidRPr="0058047D">
              <w:rPr>
                <w:color w:val="000000"/>
              </w:rPr>
              <w:t>Visual Studio Premium Subscription con MSDN</w:t>
            </w:r>
            <w:r w:rsidRPr="0058047D">
              <w:rPr>
                <w:rFonts w:cs="Tahoma"/>
              </w:rPr>
              <w:t xml:space="preserve"> </w:t>
            </w:r>
          </w:p>
          <w:p w14:paraId="62A743D9" w14:textId="77777777" w:rsidR="00B215EA" w:rsidRPr="0058047D" w:rsidRDefault="00B215EA" w:rsidP="00E91BD3">
            <w:pPr>
              <w:numPr>
                <w:ilvl w:val="0"/>
                <w:numId w:val="38"/>
              </w:numPr>
              <w:spacing w:before="80"/>
              <w:ind w:right="181"/>
            </w:pPr>
            <w:r w:rsidRPr="0058047D">
              <w:rPr>
                <w:color w:val="000000"/>
              </w:rPr>
              <w:t>Visual Studio Test Professional Subscription con MSDN</w:t>
            </w:r>
            <w:r w:rsidRPr="0058047D">
              <w:rPr>
                <w:rFonts w:cs="Tahoma"/>
              </w:rPr>
              <w:t xml:space="preserve"> </w:t>
            </w:r>
          </w:p>
          <w:p w14:paraId="45E2CF4C" w14:textId="77777777" w:rsidR="00B215EA" w:rsidRPr="0058047D" w:rsidRDefault="00B215EA" w:rsidP="00E91BD3">
            <w:pPr>
              <w:numPr>
                <w:ilvl w:val="0"/>
                <w:numId w:val="38"/>
              </w:numPr>
              <w:spacing w:before="80"/>
              <w:ind w:right="181"/>
            </w:pPr>
            <w:r w:rsidRPr="0058047D">
              <w:rPr>
                <w:color w:val="000000"/>
              </w:rPr>
              <w:t>Visual Studio Team Foundation Server CAL Subscription</w:t>
            </w:r>
          </w:p>
          <w:p w14:paraId="29376CEE" w14:textId="77777777" w:rsidR="00B215EA" w:rsidRPr="0058047D" w:rsidRDefault="00B215EA" w:rsidP="00E91BD3">
            <w:pPr>
              <w:numPr>
                <w:ilvl w:val="0"/>
                <w:numId w:val="38"/>
              </w:numPr>
              <w:spacing w:before="80"/>
              <w:ind w:right="181"/>
            </w:pPr>
            <w:r w:rsidRPr="0058047D">
              <w:rPr>
                <w:color w:val="000000"/>
              </w:rPr>
              <w:t>MSDN Platforms</w:t>
            </w:r>
            <w:r w:rsidRPr="0058047D">
              <w:rPr>
                <w:rFonts w:cs="Tahoma"/>
                <w:color w:val="000000"/>
              </w:rPr>
              <w:t xml:space="preserve"> Subscription </w:t>
            </w:r>
          </w:p>
          <w:p w14:paraId="4E5AA387" w14:textId="77777777" w:rsidR="00B215EA" w:rsidRPr="0058047D" w:rsidRDefault="00B215EA" w:rsidP="00E91BD3">
            <w:pPr>
              <w:numPr>
                <w:ilvl w:val="0"/>
                <w:numId w:val="38"/>
              </w:numPr>
              <w:spacing w:before="80"/>
              <w:ind w:right="181"/>
              <w:rPr>
                <w:rFonts w:cs="Tahoma"/>
                <w:color w:val="000000"/>
              </w:rPr>
            </w:pPr>
            <w:r w:rsidRPr="0058047D">
              <w:rPr>
                <w:color w:val="000000"/>
              </w:rPr>
              <w:t>Visual Studio Deployment Standard Subscription</w:t>
            </w:r>
            <w:r w:rsidRPr="0058047D">
              <w:rPr>
                <w:rFonts w:cs="Tahoma"/>
              </w:rPr>
              <w:t xml:space="preserve"> </w:t>
            </w:r>
          </w:p>
        </w:tc>
        <w:tc>
          <w:tcPr>
            <w:tcW w:w="2346" w:type="pct"/>
          </w:tcPr>
          <w:p w14:paraId="06404D4F" w14:textId="77777777" w:rsidR="00B215EA" w:rsidRPr="0058047D" w:rsidRDefault="00B215EA" w:rsidP="00E91BD3">
            <w:pPr>
              <w:numPr>
                <w:ilvl w:val="0"/>
                <w:numId w:val="38"/>
              </w:numPr>
              <w:spacing w:before="80"/>
            </w:pPr>
            <w:r w:rsidRPr="0058047D">
              <w:rPr>
                <w:color w:val="000000"/>
              </w:rPr>
              <w:t>Visual Studio Deployment Datacenter Subscription</w:t>
            </w:r>
            <w:r w:rsidRPr="0058047D">
              <w:rPr>
                <w:rFonts w:cs="Tahoma"/>
                <w:color w:val="000000"/>
              </w:rPr>
              <w:t xml:space="preserve"> </w:t>
            </w:r>
          </w:p>
          <w:p w14:paraId="6BE28C50" w14:textId="77777777" w:rsidR="00B215EA" w:rsidRPr="0058047D" w:rsidRDefault="00B215EA" w:rsidP="00E91BD3">
            <w:pPr>
              <w:numPr>
                <w:ilvl w:val="0"/>
                <w:numId w:val="38"/>
              </w:numPr>
              <w:spacing w:before="80"/>
            </w:pPr>
            <w:r w:rsidRPr="0058047D">
              <w:rPr>
                <w:color w:val="000000"/>
              </w:rPr>
              <w:t>SharePoint Server Subscription</w:t>
            </w:r>
            <w:r w:rsidRPr="0058047D">
              <w:rPr>
                <w:rFonts w:cs="Tahoma"/>
                <w:color w:val="000000"/>
              </w:rPr>
              <w:t xml:space="preserve"> </w:t>
            </w:r>
          </w:p>
          <w:p w14:paraId="6D2DD73D" w14:textId="77777777" w:rsidR="00B215EA" w:rsidRPr="0058047D" w:rsidRDefault="00B215EA" w:rsidP="00E91BD3">
            <w:pPr>
              <w:numPr>
                <w:ilvl w:val="0"/>
                <w:numId w:val="38"/>
              </w:numPr>
              <w:spacing w:before="80"/>
            </w:pPr>
            <w:r w:rsidRPr="0058047D">
              <w:rPr>
                <w:color w:val="000000"/>
              </w:rPr>
              <w:t>CIS Datacenter Subscription</w:t>
            </w:r>
          </w:p>
          <w:p w14:paraId="12A73ADF" w14:textId="77777777" w:rsidR="00B215EA" w:rsidRPr="0058047D" w:rsidRDefault="00B215EA" w:rsidP="00E91BD3">
            <w:pPr>
              <w:numPr>
                <w:ilvl w:val="0"/>
                <w:numId w:val="38"/>
              </w:numPr>
              <w:spacing w:before="80"/>
            </w:pPr>
            <w:r w:rsidRPr="0058047D">
              <w:rPr>
                <w:color w:val="000000"/>
              </w:rPr>
              <w:t>CIS Standard</w:t>
            </w:r>
            <w:r w:rsidRPr="0058047D">
              <w:rPr>
                <w:rFonts w:cs="Tahoma"/>
                <w:color w:val="000000"/>
              </w:rPr>
              <w:t xml:space="preserve"> Subscription</w:t>
            </w:r>
          </w:p>
          <w:p w14:paraId="348A2C4B" w14:textId="77777777" w:rsidR="00B215EA" w:rsidRPr="0058047D" w:rsidRDefault="00B215EA" w:rsidP="00E91BD3">
            <w:pPr>
              <w:spacing w:before="80" w:after="120"/>
              <w:ind w:left="882"/>
              <w:rPr>
                <w:rFonts w:cs="Tahoma"/>
              </w:rPr>
            </w:pPr>
          </w:p>
        </w:tc>
      </w:tr>
    </w:tbl>
    <w:p w14:paraId="1AFCBE25" w14:textId="77777777" w:rsidR="008432A1" w:rsidRDefault="008432A1" w:rsidP="008432A1">
      <w:pPr>
        <w:pStyle w:val="Heading2"/>
        <w:ind w:left="0"/>
        <w:rPr>
          <w:rFonts w:ascii="Tahoma" w:hAnsi="Tahoma" w:cs="Tahoma"/>
          <w:sz w:val="18"/>
        </w:rPr>
      </w:pPr>
    </w:p>
    <w:p w14:paraId="6D174AAF" w14:textId="77777777" w:rsidR="008432A1" w:rsidRPr="001E7C5F" w:rsidRDefault="008432A1" w:rsidP="008432A1">
      <w:pPr>
        <w:tabs>
          <w:tab w:val="left" w:pos="360"/>
        </w:tabs>
        <w:rPr>
          <w:rFonts w:cs="Tahoma"/>
          <w:i/>
          <w:sz w:val="16"/>
          <w:szCs w:val="20"/>
        </w:rPr>
      </w:pPr>
    </w:p>
    <w:p w14:paraId="31991316" w14:textId="77777777" w:rsidR="008432A1" w:rsidRPr="00A12176" w:rsidRDefault="008432A1" w:rsidP="008432A1">
      <w:pPr>
        <w:pStyle w:val="Heading2"/>
        <w:ind w:left="0"/>
        <w:rPr>
          <w:rFonts w:ascii="Tahoma" w:hAnsi="Tahoma" w:cs="Tahoma"/>
          <w:sz w:val="18"/>
        </w:rPr>
      </w:pPr>
    </w:p>
    <w:p w14:paraId="587E020A" w14:textId="77777777" w:rsidR="00456002" w:rsidRPr="0058047D" w:rsidRDefault="00456002" w:rsidP="00366502">
      <w:pPr>
        <w:pStyle w:val="Heading2"/>
        <w:ind w:left="0"/>
      </w:pPr>
      <w:bookmarkStart w:id="621" w:name="_Toc371663589"/>
      <w:r w:rsidRPr="0058047D">
        <w:rPr>
          <w:rFonts w:ascii="Tahoma" w:hAnsi="Tahoma" w:cs="Tahoma"/>
        </w:rPr>
        <w:t>Continuità del Servizio per Proroga del Periodo di Validità</w:t>
      </w:r>
      <w:bookmarkEnd w:id="620"/>
      <w:bookmarkEnd w:id="621"/>
      <w:r w:rsidRPr="0058047D">
        <w:rPr>
          <w:rFonts w:ascii="Tahoma" w:eastAsia="Times New Roman" w:hAnsi="Tahoma" w:cs="Tahoma"/>
          <w:sz w:val="20"/>
        </w:rPr>
        <w:t xml:space="preserve"> </w:t>
      </w:r>
    </w:p>
    <w:p w14:paraId="75212BAC" w14:textId="77777777" w:rsidR="00456002" w:rsidRPr="0058047D" w:rsidRDefault="00456002" w:rsidP="00366502">
      <w:pPr>
        <w:tabs>
          <w:tab w:val="left" w:pos="360"/>
        </w:tabs>
      </w:pPr>
    </w:p>
    <w:p w14:paraId="149550DC" w14:textId="77777777" w:rsidR="00456002" w:rsidRPr="0058047D" w:rsidRDefault="00456002" w:rsidP="00366502">
      <w:pPr>
        <w:tabs>
          <w:tab w:val="left" w:pos="360"/>
        </w:tabs>
      </w:pPr>
      <w:r w:rsidRPr="0058047D">
        <w:rPr>
          <w:rFonts w:cs="Tahoma"/>
          <w:b/>
          <w:szCs w:val="20"/>
        </w:rPr>
        <w:t>Nota:</w:t>
      </w:r>
      <w:r w:rsidRPr="0058047D">
        <w:rPr>
          <w:rFonts w:cs="Tahoma"/>
          <w:szCs w:val="20"/>
        </w:rPr>
        <w:t xml:space="preserve"> quanto segue si applica alle società in possesso delle Iscrizioni Enterprise ed Enterprise Subscription che sono idonee a continuare il servizio in seguito alla Proroga del Periodo di Validità. Le società che non sono certe della loro idoneità a continuare il servizio in seguito alla Proroga del Periodo di Validità dovranno contattare il loro Software Advisor, Rivenditore o Account Manager designato da Microsoft per ulteriori informazioni.</w:t>
      </w:r>
      <w:r w:rsidR="00E34ED3" w:rsidRPr="0058047D">
        <w:rPr>
          <w:rFonts w:cs="Tahoma"/>
          <w:szCs w:val="20"/>
        </w:rPr>
        <w:t xml:space="preserve"> </w:t>
      </w:r>
    </w:p>
    <w:p w14:paraId="3F4BC6A3" w14:textId="77777777" w:rsidR="00456002" w:rsidRPr="0058047D" w:rsidRDefault="00456002" w:rsidP="00366502">
      <w:pPr>
        <w:tabs>
          <w:tab w:val="left" w:pos="360"/>
        </w:tabs>
      </w:pPr>
    </w:p>
    <w:p w14:paraId="59103654" w14:textId="77777777" w:rsidR="00456002" w:rsidRPr="0058047D" w:rsidRDefault="00456002" w:rsidP="00366502">
      <w:pPr>
        <w:tabs>
          <w:tab w:val="left" w:pos="360"/>
        </w:tabs>
      </w:pPr>
      <w:r w:rsidRPr="0058047D">
        <w:rPr>
          <w:rFonts w:cs="Tahoma"/>
          <w:szCs w:val="20"/>
        </w:rPr>
        <w:t>I servizi online che seguono sono idonei per la Proroga del Periodo di Validità dei Servizi Online in conformità alle condizioni dei contratti multilicenza delle società. Il periodo di validità dell</w:t>
      </w:r>
      <w:r w:rsidR="001C4212">
        <w:rPr>
          <w:rFonts w:cs="Tahoma"/>
          <w:szCs w:val="20"/>
        </w:rPr>
        <w:t>’</w:t>
      </w:r>
      <w:r w:rsidRPr="0058047D">
        <w:rPr>
          <w:rFonts w:cs="Tahoma"/>
          <w:szCs w:val="20"/>
        </w:rPr>
        <w:t>abbonamento di una società ai servizi online dovrà terminare alla data di scadenza del contratto della società (“scadenza identica”) per potersi qualificare per Continuità del Servizio per Proroga del Periodo di Validità:</w:t>
      </w:r>
    </w:p>
    <w:p w14:paraId="5E01098F" w14:textId="77777777" w:rsidR="00456002" w:rsidRPr="0058047D" w:rsidRDefault="00456002" w:rsidP="0014632E">
      <w:pPr>
        <w:ind w:left="720"/>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58047D" w14:paraId="578C8852" w14:textId="77777777" w:rsidTr="005C647E">
        <w:trPr>
          <w:trHeight w:val="80"/>
          <w:tblHeader/>
        </w:trPr>
        <w:tc>
          <w:tcPr>
            <w:tcW w:w="5000" w:type="pct"/>
            <w:gridSpan w:val="2"/>
            <w:shd w:val="clear" w:color="auto" w:fill="FABF8F"/>
          </w:tcPr>
          <w:p w14:paraId="68D89301" w14:textId="77777777" w:rsidR="00456002" w:rsidRPr="0058047D" w:rsidRDefault="00456002" w:rsidP="005C647E">
            <w:pPr>
              <w:jc w:val="center"/>
              <w:rPr>
                <w:rFonts w:cs="Tahoma"/>
                <w:b/>
                <w:sz w:val="20"/>
              </w:rPr>
            </w:pPr>
            <w:r w:rsidRPr="0058047D">
              <w:rPr>
                <w:rFonts w:cs="Tahoma"/>
                <w:b/>
                <w:sz w:val="20"/>
              </w:rPr>
              <w:t>Servizi Online</w:t>
            </w:r>
          </w:p>
        </w:tc>
      </w:tr>
      <w:tr w:rsidR="00456002" w:rsidRPr="0058047D" w14:paraId="6A065CF4" w14:textId="77777777" w:rsidTr="005C647E">
        <w:trPr>
          <w:trHeight w:val="219"/>
        </w:trPr>
        <w:tc>
          <w:tcPr>
            <w:tcW w:w="2603" w:type="pct"/>
          </w:tcPr>
          <w:p w14:paraId="45568E67" w14:textId="77777777" w:rsidR="00D85FDD" w:rsidRPr="0058047D" w:rsidRDefault="00D85FDD" w:rsidP="00346F4B">
            <w:pPr>
              <w:keepNext/>
              <w:numPr>
                <w:ilvl w:val="0"/>
                <w:numId w:val="38"/>
              </w:numPr>
              <w:spacing w:before="80"/>
              <w:ind w:left="905" w:hanging="540"/>
              <w:jc w:val="both"/>
            </w:pPr>
            <w:r w:rsidRPr="0058047D">
              <w:rPr>
                <w:rFonts w:cs="Tahoma"/>
              </w:rPr>
              <w:t>Archiviazione</w:t>
            </w:r>
            <w:r w:rsidR="008432A1">
              <w:rPr>
                <w:rFonts w:cs="Tahoma"/>
              </w:rPr>
              <w:t> </w:t>
            </w:r>
            <w:r w:rsidRPr="0058047D">
              <w:rPr>
                <w:rFonts w:cs="Tahoma"/>
              </w:rPr>
              <w:t>Exchange</w:t>
            </w:r>
            <w:r w:rsidR="008432A1">
              <w:rPr>
                <w:rFonts w:cs="Tahoma"/>
              </w:rPr>
              <w:t> </w:t>
            </w:r>
            <w:r w:rsidRPr="0058047D">
              <w:rPr>
                <w:rFonts w:cs="Tahoma"/>
              </w:rPr>
              <w:t>Online</w:t>
            </w:r>
            <w:r w:rsidR="008432A1">
              <w:rPr>
                <w:rFonts w:cs="Tahoma"/>
              </w:rPr>
              <w:t> </w:t>
            </w:r>
            <w:r w:rsidRPr="0058047D">
              <w:rPr>
                <w:rFonts w:cs="Tahoma"/>
              </w:rPr>
              <w:t>per Exchange Online*</w:t>
            </w:r>
          </w:p>
          <w:p w14:paraId="24A1CC61" w14:textId="77777777" w:rsidR="00D85FDD" w:rsidRPr="0058047D" w:rsidRDefault="00D85FDD" w:rsidP="00346F4B">
            <w:pPr>
              <w:keepNext/>
              <w:numPr>
                <w:ilvl w:val="0"/>
                <w:numId w:val="38"/>
              </w:numPr>
              <w:spacing w:before="80"/>
              <w:ind w:left="905" w:hanging="540"/>
              <w:jc w:val="both"/>
            </w:pPr>
            <w:r w:rsidRPr="0058047D">
              <w:rPr>
                <w:rFonts w:cs="Tahoma"/>
              </w:rPr>
              <w:t>Archiviazione</w:t>
            </w:r>
            <w:r w:rsidR="008432A1">
              <w:rPr>
                <w:rFonts w:cs="Tahoma"/>
              </w:rPr>
              <w:t> </w:t>
            </w:r>
            <w:r w:rsidRPr="0058047D">
              <w:rPr>
                <w:rFonts w:cs="Tahoma"/>
              </w:rPr>
              <w:t>Exchange</w:t>
            </w:r>
            <w:r w:rsidR="008432A1">
              <w:rPr>
                <w:rFonts w:cs="Tahoma"/>
              </w:rPr>
              <w:t> </w:t>
            </w:r>
            <w:r w:rsidRPr="0058047D">
              <w:rPr>
                <w:rFonts w:cs="Tahoma"/>
              </w:rPr>
              <w:t>Online</w:t>
            </w:r>
            <w:r w:rsidR="008432A1">
              <w:rPr>
                <w:rFonts w:cs="Tahoma"/>
              </w:rPr>
              <w:t> </w:t>
            </w:r>
            <w:r w:rsidRPr="0058047D">
              <w:rPr>
                <w:rFonts w:cs="Tahoma"/>
              </w:rPr>
              <w:t xml:space="preserve">per Exchange Server* </w:t>
            </w:r>
          </w:p>
          <w:p w14:paraId="6E2A593C" w14:textId="77777777" w:rsidR="00456002" w:rsidRPr="0058047D" w:rsidRDefault="00456002" w:rsidP="00346F4B">
            <w:pPr>
              <w:keepNext/>
              <w:numPr>
                <w:ilvl w:val="0"/>
                <w:numId w:val="38"/>
              </w:numPr>
              <w:spacing w:before="80"/>
              <w:ind w:left="905" w:hanging="540"/>
              <w:jc w:val="both"/>
            </w:pPr>
            <w:r w:rsidRPr="0058047D">
              <w:rPr>
                <w:rFonts w:cs="Tahoma"/>
              </w:rPr>
              <w:t>Chiosco Exchange Online*</w:t>
            </w:r>
          </w:p>
          <w:p w14:paraId="69AE553F" w14:textId="77777777" w:rsidR="00456002" w:rsidRPr="0058047D" w:rsidRDefault="00456002" w:rsidP="00346F4B">
            <w:pPr>
              <w:keepNext/>
              <w:numPr>
                <w:ilvl w:val="0"/>
                <w:numId w:val="38"/>
              </w:numPr>
              <w:spacing w:before="80"/>
              <w:ind w:left="905" w:hanging="540"/>
              <w:jc w:val="both"/>
            </w:pPr>
            <w:r w:rsidRPr="0058047D">
              <w:rPr>
                <w:rFonts w:cs="Tahoma"/>
              </w:rPr>
              <w:t>Exchange Online Piano 1*</w:t>
            </w:r>
          </w:p>
          <w:p w14:paraId="600934DE" w14:textId="77777777" w:rsidR="00456002" w:rsidRPr="0058047D" w:rsidRDefault="00456002" w:rsidP="00346F4B">
            <w:pPr>
              <w:keepNext/>
              <w:numPr>
                <w:ilvl w:val="0"/>
                <w:numId w:val="38"/>
              </w:numPr>
              <w:spacing w:before="80"/>
              <w:ind w:left="905" w:hanging="540"/>
              <w:jc w:val="both"/>
            </w:pPr>
            <w:r w:rsidRPr="0058047D">
              <w:rPr>
                <w:rFonts w:cs="Tahoma"/>
              </w:rPr>
              <w:t>Exchange Online Piano 2*</w:t>
            </w:r>
          </w:p>
          <w:p w14:paraId="5C3E0077" w14:textId="77777777" w:rsidR="00D85FDD" w:rsidRPr="0058047D" w:rsidRDefault="00D85FDD" w:rsidP="00346F4B">
            <w:pPr>
              <w:keepNext/>
              <w:numPr>
                <w:ilvl w:val="0"/>
                <w:numId w:val="38"/>
              </w:numPr>
              <w:spacing w:before="80"/>
              <w:ind w:left="905" w:hanging="540"/>
              <w:jc w:val="both"/>
            </w:pPr>
            <w:r w:rsidRPr="0058047D">
              <w:rPr>
                <w:rFonts w:cs="Tahoma"/>
              </w:rPr>
              <w:t>Exchange Online Protection*</w:t>
            </w:r>
          </w:p>
          <w:p w14:paraId="51A4AA93" w14:textId="77777777" w:rsidR="00456002" w:rsidRPr="0058047D" w:rsidRDefault="00456002" w:rsidP="00346F4B">
            <w:pPr>
              <w:keepNext/>
              <w:numPr>
                <w:ilvl w:val="0"/>
                <w:numId w:val="38"/>
              </w:numPr>
              <w:spacing w:before="80"/>
              <w:ind w:left="905" w:hanging="540"/>
              <w:jc w:val="both"/>
            </w:pPr>
            <w:r w:rsidRPr="0058047D">
              <w:rPr>
                <w:rFonts w:cs="Tahoma"/>
              </w:rPr>
              <w:t>Lync Online Piano 1*</w:t>
            </w:r>
          </w:p>
          <w:p w14:paraId="35309EF9" w14:textId="77777777" w:rsidR="00456002" w:rsidRPr="0058047D" w:rsidRDefault="00456002" w:rsidP="00346F4B">
            <w:pPr>
              <w:keepNext/>
              <w:numPr>
                <w:ilvl w:val="0"/>
                <w:numId w:val="38"/>
              </w:numPr>
              <w:spacing w:before="80"/>
              <w:ind w:left="905" w:hanging="540"/>
              <w:jc w:val="both"/>
            </w:pPr>
            <w:r w:rsidRPr="0058047D">
              <w:rPr>
                <w:rFonts w:cs="Tahoma"/>
              </w:rPr>
              <w:t>Lync Online Piano 2*</w:t>
            </w:r>
          </w:p>
          <w:p w14:paraId="254F7A92" w14:textId="77777777" w:rsidR="00E77288" w:rsidRPr="0058047D" w:rsidRDefault="00E77288" w:rsidP="00346F4B">
            <w:pPr>
              <w:keepNext/>
              <w:numPr>
                <w:ilvl w:val="0"/>
                <w:numId w:val="38"/>
              </w:numPr>
              <w:spacing w:before="80"/>
              <w:ind w:left="905" w:hanging="540"/>
              <w:jc w:val="both"/>
            </w:pPr>
            <w:r w:rsidRPr="0058047D">
              <w:rPr>
                <w:rFonts w:cs="Tahoma"/>
              </w:rPr>
              <w:t>Lync Online Piano 3*</w:t>
            </w:r>
          </w:p>
          <w:p w14:paraId="751DEAC8" w14:textId="77777777" w:rsidR="00456002" w:rsidRPr="0058047D" w:rsidRDefault="00456002" w:rsidP="00346F4B">
            <w:pPr>
              <w:keepNext/>
              <w:numPr>
                <w:ilvl w:val="0"/>
                <w:numId w:val="38"/>
              </w:numPr>
              <w:spacing w:before="80"/>
              <w:ind w:left="905" w:hanging="540"/>
              <w:jc w:val="both"/>
            </w:pPr>
            <w:r w:rsidRPr="0058047D">
              <w:rPr>
                <w:rFonts w:cs="Tahoma"/>
              </w:rPr>
              <w:t>Office 365 (Enterprise K1)*</w:t>
            </w:r>
          </w:p>
          <w:p w14:paraId="17C50042" w14:textId="77777777" w:rsidR="00456002" w:rsidRPr="0058047D" w:rsidRDefault="00456002" w:rsidP="00346F4B">
            <w:pPr>
              <w:keepNext/>
              <w:numPr>
                <w:ilvl w:val="0"/>
                <w:numId w:val="38"/>
              </w:numPr>
              <w:spacing w:before="80"/>
              <w:ind w:left="905" w:hanging="540"/>
              <w:jc w:val="both"/>
            </w:pPr>
            <w:r w:rsidRPr="0058047D">
              <w:rPr>
                <w:rFonts w:cs="Tahoma"/>
              </w:rPr>
              <w:t>Office 365 (Enterprise E1)</w:t>
            </w:r>
          </w:p>
          <w:p w14:paraId="7BA7925B" w14:textId="77777777" w:rsidR="00456002" w:rsidRPr="0058047D" w:rsidRDefault="00456002" w:rsidP="00346F4B">
            <w:pPr>
              <w:keepNext/>
              <w:numPr>
                <w:ilvl w:val="0"/>
                <w:numId w:val="38"/>
              </w:numPr>
              <w:spacing w:before="80"/>
              <w:ind w:left="895" w:hanging="530"/>
              <w:jc w:val="both"/>
            </w:pPr>
            <w:r w:rsidRPr="0058047D">
              <w:rPr>
                <w:rFonts w:cs="Tahoma"/>
              </w:rPr>
              <w:t>Office 365 (Enterprise E3)</w:t>
            </w:r>
          </w:p>
          <w:p w14:paraId="66A6979B" w14:textId="77777777" w:rsidR="00456002" w:rsidRPr="0058047D" w:rsidRDefault="00456002" w:rsidP="00346F4B">
            <w:pPr>
              <w:keepNext/>
              <w:numPr>
                <w:ilvl w:val="0"/>
                <w:numId w:val="38"/>
              </w:numPr>
              <w:spacing w:before="80"/>
              <w:ind w:left="895" w:hanging="530"/>
              <w:jc w:val="both"/>
              <w:rPr>
                <w:rFonts w:cs="Tahoma"/>
              </w:rPr>
            </w:pPr>
            <w:r w:rsidRPr="0058047D">
              <w:rPr>
                <w:rFonts w:cs="Tahoma"/>
              </w:rPr>
              <w:t>Office 365 (Enterprise E4)</w:t>
            </w:r>
          </w:p>
        </w:tc>
        <w:tc>
          <w:tcPr>
            <w:tcW w:w="2397" w:type="pct"/>
          </w:tcPr>
          <w:p w14:paraId="2012FA8A" w14:textId="77777777" w:rsidR="00C177EF" w:rsidRPr="0058047D" w:rsidRDefault="00C177EF" w:rsidP="00346F4B">
            <w:pPr>
              <w:keepNext/>
              <w:numPr>
                <w:ilvl w:val="0"/>
                <w:numId w:val="38"/>
              </w:numPr>
              <w:spacing w:before="80"/>
              <w:ind w:left="725"/>
              <w:jc w:val="both"/>
            </w:pPr>
            <w:r w:rsidRPr="0058047D">
              <w:rPr>
                <w:rFonts w:cs="Tahoma"/>
              </w:rPr>
              <w:t>Microsoft Dynamics CRM Online*</w:t>
            </w:r>
          </w:p>
          <w:p w14:paraId="132242D2" w14:textId="77777777" w:rsidR="009E224B" w:rsidRPr="0058047D" w:rsidRDefault="009E224B" w:rsidP="00346F4B">
            <w:pPr>
              <w:keepNext/>
              <w:numPr>
                <w:ilvl w:val="0"/>
                <w:numId w:val="38"/>
              </w:numPr>
              <w:spacing w:before="80"/>
              <w:ind w:left="725"/>
              <w:jc w:val="both"/>
            </w:pPr>
            <w:r w:rsidRPr="0058047D">
              <w:rPr>
                <w:rFonts w:cs="Tahoma"/>
              </w:rPr>
              <w:t>Office 365 (Government G1)</w:t>
            </w:r>
          </w:p>
          <w:p w14:paraId="246A3F18" w14:textId="77777777" w:rsidR="009E224B" w:rsidRPr="0058047D" w:rsidRDefault="009E224B" w:rsidP="00346F4B">
            <w:pPr>
              <w:keepNext/>
              <w:numPr>
                <w:ilvl w:val="0"/>
                <w:numId w:val="38"/>
              </w:numPr>
              <w:spacing w:before="80"/>
              <w:ind w:left="725"/>
              <w:jc w:val="both"/>
            </w:pPr>
            <w:r w:rsidRPr="0058047D">
              <w:rPr>
                <w:rFonts w:cs="Tahoma"/>
              </w:rPr>
              <w:t>Office 365 (Government G3)</w:t>
            </w:r>
          </w:p>
          <w:p w14:paraId="1B03362A" w14:textId="77777777" w:rsidR="009E224B" w:rsidRPr="0058047D" w:rsidRDefault="009E224B" w:rsidP="00346F4B">
            <w:pPr>
              <w:keepNext/>
              <w:numPr>
                <w:ilvl w:val="0"/>
                <w:numId w:val="38"/>
              </w:numPr>
              <w:spacing w:before="80"/>
              <w:ind w:left="725"/>
              <w:jc w:val="both"/>
            </w:pPr>
            <w:r w:rsidRPr="0058047D">
              <w:rPr>
                <w:rFonts w:cs="Tahoma"/>
              </w:rPr>
              <w:t>Office 365 (Government G4)</w:t>
            </w:r>
          </w:p>
          <w:p w14:paraId="6541B6CF" w14:textId="77777777" w:rsidR="00456002" w:rsidRPr="0058047D" w:rsidRDefault="00456002" w:rsidP="00346F4B">
            <w:pPr>
              <w:keepNext/>
              <w:numPr>
                <w:ilvl w:val="0"/>
                <w:numId w:val="38"/>
              </w:numPr>
              <w:spacing w:before="80"/>
              <w:ind w:left="725"/>
              <w:jc w:val="both"/>
            </w:pPr>
            <w:r w:rsidRPr="0058047D">
              <w:rPr>
                <w:rFonts w:cs="Tahoma"/>
              </w:rPr>
              <w:t>Office Web Applications*</w:t>
            </w:r>
          </w:p>
          <w:p w14:paraId="250EFCF7" w14:textId="77777777" w:rsidR="00C177EF" w:rsidRPr="0058047D" w:rsidRDefault="00C177EF" w:rsidP="00346F4B">
            <w:pPr>
              <w:keepNext/>
              <w:numPr>
                <w:ilvl w:val="0"/>
                <w:numId w:val="38"/>
              </w:numPr>
              <w:spacing w:before="80"/>
              <w:ind w:left="725"/>
              <w:jc w:val="both"/>
            </w:pPr>
            <w:r w:rsidRPr="0058047D">
              <w:rPr>
                <w:rFonts w:cs="Tahoma"/>
              </w:rPr>
              <w:t>Project Online*</w:t>
            </w:r>
          </w:p>
          <w:p w14:paraId="4B0B5A6F" w14:textId="77777777" w:rsidR="00C177EF" w:rsidRPr="0058047D" w:rsidRDefault="00C177EF" w:rsidP="00346F4B">
            <w:pPr>
              <w:keepNext/>
              <w:numPr>
                <w:ilvl w:val="0"/>
                <w:numId w:val="38"/>
              </w:numPr>
              <w:spacing w:before="80"/>
              <w:ind w:left="725"/>
              <w:jc w:val="both"/>
            </w:pPr>
            <w:r w:rsidRPr="0058047D">
              <w:rPr>
                <w:rFonts w:cs="Tahoma"/>
              </w:rPr>
              <w:t>Project Pro per Office 365*</w:t>
            </w:r>
          </w:p>
          <w:p w14:paraId="0D9931D7" w14:textId="77777777" w:rsidR="00456002" w:rsidRPr="0058047D" w:rsidRDefault="00456002" w:rsidP="00346F4B">
            <w:pPr>
              <w:keepNext/>
              <w:numPr>
                <w:ilvl w:val="0"/>
                <w:numId w:val="38"/>
              </w:numPr>
              <w:spacing w:before="80"/>
              <w:ind w:left="725"/>
              <w:jc w:val="both"/>
            </w:pPr>
            <w:r w:rsidRPr="0058047D">
              <w:rPr>
                <w:rFonts w:cs="Tahoma"/>
              </w:rPr>
              <w:t>SharePoint Online Piano 1*</w:t>
            </w:r>
          </w:p>
          <w:p w14:paraId="4919AC98" w14:textId="77777777" w:rsidR="00456002" w:rsidRPr="0058047D" w:rsidRDefault="00456002" w:rsidP="00346F4B">
            <w:pPr>
              <w:keepNext/>
              <w:numPr>
                <w:ilvl w:val="0"/>
                <w:numId w:val="38"/>
              </w:numPr>
              <w:spacing w:before="80"/>
              <w:ind w:left="725"/>
              <w:jc w:val="both"/>
            </w:pPr>
            <w:r w:rsidRPr="0058047D">
              <w:rPr>
                <w:rFonts w:cs="Tahoma"/>
              </w:rPr>
              <w:t>SharePoint Online Piano 2*</w:t>
            </w:r>
          </w:p>
          <w:p w14:paraId="78FF127D" w14:textId="77777777" w:rsidR="00456002" w:rsidRPr="0058047D" w:rsidRDefault="00456002" w:rsidP="00346F4B">
            <w:pPr>
              <w:keepNext/>
              <w:numPr>
                <w:ilvl w:val="0"/>
                <w:numId w:val="38"/>
              </w:numPr>
              <w:spacing w:before="80"/>
              <w:ind w:left="725"/>
              <w:jc w:val="both"/>
            </w:pPr>
            <w:r w:rsidRPr="0058047D">
              <w:rPr>
                <w:rFonts w:cs="Tahoma"/>
              </w:rPr>
              <w:t>Accesso partner SharePoint Online*</w:t>
            </w:r>
          </w:p>
          <w:p w14:paraId="6C754C5B" w14:textId="77777777" w:rsidR="00C177EF" w:rsidRPr="0058047D" w:rsidRDefault="00C177EF" w:rsidP="00346F4B">
            <w:pPr>
              <w:keepNext/>
              <w:numPr>
                <w:ilvl w:val="0"/>
                <w:numId w:val="38"/>
              </w:numPr>
              <w:spacing w:before="80"/>
              <w:ind w:left="725"/>
              <w:jc w:val="both"/>
            </w:pPr>
            <w:r w:rsidRPr="0058047D">
              <w:rPr>
                <w:rFonts w:cs="Tahoma"/>
              </w:rPr>
              <w:t>Visio Pro per Office 365*</w:t>
            </w:r>
          </w:p>
          <w:p w14:paraId="6AFF1E24" w14:textId="77777777" w:rsidR="00D8521B" w:rsidRPr="0058047D" w:rsidRDefault="00D8521B" w:rsidP="00E91BD3">
            <w:pPr>
              <w:numPr>
                <w:ilvl w:val="0"/>
                <w:numId w:val="38"/>
              </w:numPr>
              <w:spacing w:before="80"/>
              <w:ind w:left="692"/>
            </w:pPr>
            <w:r w:rsidRPr="0058047D">
              <w:rPr>
                <w:rFonts w:cs="Tahoma"/>
                <w:color w:val="000000"/>
              </w:rPr>
              <w:t>Windows Azure Active Directory Rights Management*</w:t>
            </w:r>
          </w:p>
          <w:p w14:paraId="5834383F" w14:textId="77777777" w:rsidR="00776E3B" w:rsidRPr="0058047D" w:rsidRDefault="00776E3B" w:rsidP="00346F4B">
            <w:pPr>
              <w:keepNext/>
              <w:numPr>
                <w:ilvl w:val="0"/>
                <w:numId w:val="38"/>
              </w:numPr>
              <w:spacing w:before="80"/>
              <w:ind w:left="725"/>
              <w:jc w:val="both"/>
            </w:pPr>
            <w:r w:rsidRPr="0058047D">
              <w:rPr>
                <w:rFonts w:cs="Tahoma"/>
              </w:rPr>
              <w:t>Servizi di Windows Azure*</w:t>
            </w:r>
          </w:p>
          <w:p w14:paraId="665EBBC0" w14:textId="77777777" w:rsidR="00456002" w:rsidRPr="0058047D" w:rsidRDefault="00456002" w:rsidP="00346F4B">
            <w:pPr>
              <w:keepNext/>
              <w:numPr>
                <w:ilvl w:val="0"/>
                <w:numId w:val="38"/>
              </w:numPr>
              <w:spacing w:before="80"/>
              <w:ind w:left="720"/>
              <w:jc w:val="both"/>
            </w:pPr>
            <w:r w:rsidRPr="0058047D">
              <w:rPr>
                <w:rFonts w:cs="Tahoma"/>
              </w:rPr>
              <w:t>Windows Intune</w:t>
            </w:r>
          </w:p>
          <w:p w14:paraId="5B55A00C" w14:textId="77777777" w:rsidR="00456002" w:rsidRPr="0058047D" w:rsidRDefault="00456002" w:rsidP="00346F4B">
            <w:pPr>
              <w:keepNext/>
              <w:numPr>
                <w:ilvl w:val="0"/>
                <w:numId w:val="38"/>
              </w:numPr>
              <w:spacing w:before="80"/>
              <w:ind w:left="725"/>
              <w:jc w:val="both"/>
            </w:pPr>
            <w:r w:rsidRPr="0058047D">
              <w:rPr>
                <w:rFonts w:cs="Tahoma"/>
              </w:rPr>
              <w:t>Componente</w:t>
            </w:r>
            <w:r w:rsidR="008432A1">
              <w:rPr>
                <w:rFonts w:cs="Tahoma"/>
              </w:rPr>
              <w:t> </w:t>
            </w:r>
            <w:r w:rsidRPr="0058047D">
              <w:rPr>
                <w:rFonts w:cs="Tahoma"/>
              </w:rPr>
              <w:t>aggiuntivo</w:t>
            </w:r>
            <w:r w:rsidR="008432A1">
              <w:rPr>
                <w:rFonts w:cs="Tahoma"/>
              </w:rPr>
              <w:t> </w:t>
            </w:r>
            <w:r w:rsidRPr="0058047D">
              <w:rPr>
                <w:rFonts w:cs="Tahoma"/>
              </w:rPr>
              <w:t>di</w:t>
            </w:r>
            <w:r w:rsidR="008432A1">
              <w:rPr>
                <w:rFonts w:cs="Tahoma"/>
              </w:rPr>
              <w:t> </w:t>
            </w:r>
            <w:r w:rsidRPr="0058047D">
              <w:rPr>
                <w:rFonts w:cs="Tahoma"/>
              </w:rPr>
              <w:t>Windows Intune*</w:t>
            </w:r>
          </w:p>
          <w:p w14:paraId="7EE9CA64" w14:textId="77777777" w:rsidR="00F27B29" w:rsidRPr="0058047D" w:rsidRDefault="00F27B29" w:rsidP="00346F4B">
            <w:pPr>
              <w:keepNext/>
              <w:numPr>
                <w:ilvl w:val="0"/>
                <w:numId w:val="38"/>
              </w:numPr>
              <w:spacing w:before="80" w:after="120"/>
              <w:ind w:left="720"/>
              <w:jc w:val="both"/>
              <w:rPr>
                <w:rFonts w:cs="Tahoma"/>
              </w:rPr>
            </w:pPr>
            <w:r w:rsidRPr="0058047D">
              <w:rPr>
                <w:rFonts w:cs="Tahoma"/>
              </w:rPr>
              <w:t>Yammer Enterprise*</w:t>
            </w:r>
          </w:p>
        </w:tc>
      </w:tr>
    </w:tbl>
    <w:p w14:paraId="1128FBF2" w14:textId="77777777" w:rsidR="00776E3B" w:rsidRPr="0058047D" w:rsidRDefault="00776E3B" w:rsidP="00776E3B">
      <w:pPr>
        <w:tabs>
          <w:tab w:val="left" w:pos="360"/>
        </w:tabs>
        <w:ind w:left="720"/>
      </w:pPr>
      <w:r w:rsidRPr="0058047D">
        <w:rPr>
          <w:rFonts w:cs="Tahoma"/>
          <w:i/>
          <w:sz w:val="16"/>
          <w:szCs w:val="20"/>
        </w:rPr>
        <w:t>* Prodotto aggiuntivo</w:t>
      </w:r>
    </w:p>
    <w:p w14:paraId="6C563DB1" w14:textId="77777777" w:rsidR="00023FE7" w:rsidRPr="0058047D" w:rsidRDefault="00023FE7" w:rsidP="008432A1">
      <w:pPr>
        <w:pStyle w:val="Heading1"/>
        <w:spacing w:before="0"/>
      </w:pPr>
      <w:r w:rsidRPr="0058047D">
        <w:br w:type="page"/>
      </w:r>
      <w:bookmarkStart w:id="622" w:name="_Toc336338197"/>
      <w:bookmarkStart w:id="623" w:name="_Toc371663590"/>
      <w:r w:rsidRPr="0058047D">
        <w:t>ARTICOLO 4 - Tipi di Licenze e Corrispettivi</w:t>
      </w:r>
      <w:bookmarkEnd w:id="622"/>
      <w:bookmarkEnd w:id="623"/>
      <w:r w:rsidRPr="0058047D">
        <w:t xml:space="preserve"> </w:t>
      </w:r>
    </w:p>
    <w:p w14:paraId="438993C8" w14:textId="77777777" w:rsidR="00023FE7" w:rsidRPr="008432A1" w:rsidRDefault="00023FE7">
      <w:pPr>
        <w:pStyle w:val="Heading2"/>
        <w:ind w:left="0" w:right="720"/>
        <w:rPr>
          <w:rFonts w:ascii="Tahoma" w:hAnsi="Tahoma" w:cs="Tahoma"/>
        </w:rPr>
      </w:pPr>
    </w:p>
    <w:p w14:paraId="0FF72977" w14:textId="77777777" w:rsidR="00456002" w:rsidRPr="0058047D" w:rsidRDefault="00456002" w:rsidP="00456002">
      <w:pPr>
        <w:pStyle w:val="Heading2"/>
        <w:tabs>
          <w:tab w:val="left" w:pos="90"/>
        </w:tabs>
        <w:ind w:left="0" w:right="720"/>
      </w:pPr>
      <w:bookmarkStart w:id="624" w:name="_Toc336338198"/>
      <w:bookmarkStart w:id="625" w:name="_Toc371663591"/>
      <w:r w:rsidRPr="0058047D">
        <w:rPr>
          <w:rFonts w:ascii="Tahoma" w:hAnsi="Tahoma" w:cs="Tahoma"/>
        </w:rPr>
        <w:t>Corrispettivi</w:t>
      </w:r>
      <w:bookmarkEnd w:id="624"/>
      <w:bookmarkEnd w:id="625"/>
      <w:r w:rsidRPr="0058047D">
        <w:rPr>
          <w:rFonts w:ascii="Tahoma" w:hAnsi="Tahoma" w:cs="Tahoma"/>
        </w:rPr>
        <w:t> </w:t>
      </w:r>
    </w:p>
    <w:p w14:paraId="17FE6A7D" w14:textId="77777777" w:rsidR="00456002" w:rsidRPr="0058047D" w:rsidRDefault="00456002" w:rsidP="00ED589D">
      <w:pPr>
        <w:ind w:right="720"/>
      </w:pPr>
    </w:p>
    <w:p w14:paraId="1647EFFD" w14:textId="77777777" w:rsidR="00456002" w:rsidRPr="0058047D" w:rsidRDefault="00456002" w:rsidP="0014632E">
      <w:pPr>
        <w:pStyle w:val="AppendixBodyText"/>
        <w:spacing w:after="0"/>
        <w:ind w:right="720"/>
      </w:pPr>
      <w:r w:rsidRPr="0058047D">
        <w:rPr>
          <w:rFonts w:ascii="Tahoma" w:hAnsi="Tahoma" w:cs="Tahoma"/>
          <w:sz w:val="18"/>
        </w:rPr>
        <w:t>Questo tipo di prodotto è disponibile per alcuni Servizi Online e prodotti software.</w:t>
      </w:r>
      <w:r w:rsidR="00E34ED3" w:rsidRPr="0058047D">
        <w:rPr>
          <w:rFonts w:ascii="Tahoma" w:hAnsi="Tahoma" w:cs="Tahoma"/>
          <w:sz w:val="18"/>
        </w:rPr>
        <w:t xml:space="preserve"> </w:t>
      </w:r>
      <w:r w:rsidRPr="0058047D">
        <w:rPr>
          <w:rFonts w:ascii="Tahoma" w:hAnsi="Tahoma" w:cs="Tahoma"/>
          <w:sz w:val="18"/>
        </w:rPr>
        <w:t>Non dipende dalla versione, può essere associato a costi di configurazione o altre offerte, quali i pacchetti di attivazione.</w:t>
      </w:r>
      <w:r w:rsidR="00E34ED3" w:rsidRPr="0058047D">
        <w:rPr>
          <w:rFonts w:ascii="Tahoma" w:hAnsi="Tahoma" w:cs="Tahoma"/>
          <w:sz w:val="18"/>
        </w:rPr>
        <w:t xml:space="preserve"> </w:t>
      </w:r>
      <w:r w:rsidRPr="0058047D">
        <w:rPr>
          <w:rFonts w:ascii="Tahoma" w:hAnsi="Tahoma" w:cs="Tahoma"/>
          <w:sz w:val="18"/>
        </w:rPr>
        <w:t>A</w:t>
      </w:r>
      <w:r w:rsidR="008432A1">
        <w:rPr>
          <w:rFonts w:ascii="Tahoma" w:hAnsi="Tahoma" w:cs="Tahoma"/>
          <w:sz w:val="18"/>
        </w:rPr>
        <w:t> </w:t>
      </w:r>
      <w:r w:rsidRPr="0058047D">
        <w:rPr>
          <w:rFonts w:ascii="Tahoma" w:hAnsi="Tahoma" w:cs="Tahoma"/>
          <w:sz w:val="18"/>
        </w:rPr>
        <w:t>livello generale non concede il diritto di utilizzare un prodotto o un servizio online.</w:t>
      </w:r>
      <w:r w:rsidR="00E34ED3" w:rsidRPr="0058047D">
        <w:rPr>
          <w:rFonts w:ascii="Tahoma" w:hAnsi="Tahoma" w:cs="Tahoma"/>
          <w:sz w:val="18"/>
        </w:rPr>
        <w:t xml:space="preserve"> </w:t>
      </w:r>
      <w:r w:rsidRPr="0058047D">
        <w:rPr>
          <w:rFonts w:ascii="Tahoma" w:hAnsi="Tahoma" w:cs="Tahoma"/>
          <w:sz w:val="18"/>
        </w:rPr>
        <w:t>Analogamente, non offre alcun vantaggio o serve ad alcun scopo al di fuori del servizio o del software a cui corrisponde.</w:t>
      </w:r>
      <w:r w:rsidR="00E34ED3" w:rsidRPr="0058047D">
        <w:rPr>
          <w:rFonts w:ascii="Tahoma" w:hAnsi="Tahoma" w:cs="Tahoma"/>
          <w:sz w:val="18"/>
        </w:rPr>
        <w:t xml:space="preserve"> </w:t>
      </w:r>
      <w:r w:rsidRPr="0058047D">
        <w:rPr>
          <w:rFonts w:ascii="Tahoma" w:hAnsi="Tahoma" w:cs="Tahoma"/>
          <w:sz w:val="18"/>
        </w:rPr>
        <w:t>Disponibile nei seguenti programmi: Open, Open Value, Open Value Subscription, Select e Select Plus.</w:t>
      </w:r>
    </w:p>
    <w:p w14:paraId="60CE87B0" w14:textId="77777777" w:rsidR="00255158" w:rsidRPr="0058047D" w:rsidRDefault="00255158" w:rsidP="0014632E">
      <w:pPr>
        <w:ind w:right="720"/>
      </w:pPr>
    </w:p>
    <w:p w14:paraId="6E384F6A" w14:textId="77777777" w:rsidR="00456002" w:rsidRPr="0058047D" w:rsidRDefault="00456002" w:rsidP="00456002">
      <w:pPr>
        <w:pStyle w:val="Heading2"/>
        <w:tabs>
          <w:tab w:val="left" w:pos="90"/>
        </w:tabs>
        <w:ind w:left="0" w:right="720"/>
      </w:pPr>
      <w:bookmarkStart w:id="626" w:name="_Toc323819648"/>
      <w:bookmarkStart w:id="627" w:name="_Toc336338199"/>
      <w:bookmarkStart w:id="628" w:name="_Toc371663592"/>
      <w:r w:rsidRPr="0058047D">
        <w:rPr>
          <w:rFonts w:ascii="Tahoma" w:hAnsi="Tahoma" w:cs="Tahoma"/>
        </w:rPr>
        <w:t>Licenza</w:t>
      </w:r>
      <w:bookmarkEnd w:id="626"/>
      <w:bookmarkEnd w:id="627"/>
      <w:bookmarkEnd w:id="628"/>
    </w:p>
    <w:p w14:paraId="014B859B" w14:textId="77777777" w:rsidR="00456002" w:rsidRPr="0058047D" w:rsidRDefault="00456002" w:rsidP="00ED589D">
      <w:pPr>
        <w:pStyle w:val="AppendixIndent"/>
        <w:tabs>
          <w:tab w:val="left" w:pos="90"/>
        </w:tabs>
        <w:spacing w:before="0"/>
        <w:ind w:left="0" w:right="720"/>
      </w:pPr>
    </w:p>
    <w:p w14:paraId="49513498" w14:textId="77777777" w:rsidR="00456002" w:rsidRPr="0058047D" w:rsidRDefault="00456002" w:rsidP="0014632E">
      <w:pPr>
        <w:pStyle w:val="AppendixBodyText"/>
        <w:spacing w:after="0"/>
        <w:ind w:right="720"/>
      </w:pPr>
      <w:r w:rsidRPr="0058047D">
        <w:rPr>
          <w:rFonts w:ascii="Tahoma" w:hAnsi="Tahoma" w:cs="Tahoma"/>
          <w:sz w:val="18"/>
        </w:rPr>
        <w:t xml:space="preserve">Questo tipo di prodotto dipende dalla versione e concede il diritto di eseguire il prodotto per il quale viene ordinato. Disponibile nei seguenti programmi: </w:t>
      </w:r>
    </w:p>
    <w:p w14:paraId="4B5B8848" w14:textId="77777777" w:rsidR="00456002" w:rsidRPr="0058047D" w:rsidRDefault="00456002" w:rsidP="0014632E">
      <w:pPr>
        <w:pStyle w:val="AppendixIndent"/>
        <w:tabs>
          <w:tab w:val="left" w:pos="90"/>
        </w:tabs>
        <w:spacing w:before="0"/>
        <w:ind w:left="0" w:right="720"/>
      </w:pPr>
    </w:p>
    <w:p w14:paraId="11880807" w14:textId="77777777" w:rsidR="00456002" w:rsidRPr="0058047D" w:rsidRDefault="00456002" w:rsidP="00346F4B">
      <w:pPr>
        <w:pStyle w:val="AppendixBulletIndent"/>
        <w:numPr>
          <w:ilvl w:val="0"/>
          <w:numId w:val="59"/>
        </w:numPr>
        <w:tabs>
          <w:tab w:val="left" w:pos="90"/>
        </w:tabs>
        <w:spacing w:after="60"/>
        <w:ind w:left="1440" w:right="720"/>
      </w:pPr>
      <w:r w:rsidRPr="0058047D">
        <w:rPr>
          <w:rFonts w:ascii="Tahoma" w:hAnsi="Tahoma" w:cs="Tahoma"/>
          <w:sz w:val="18"/>
          <w:szCs w:val="18"/>
        </w:rPr>
        <w:t>Licenza Open</w:t>
      </w:r>
    </w:p>
    <w:p w14:paraId="2AA8AE2A" w14:textId="77777777" w:rsidR="00456002" w:rsidRPr="0058047D" w:rsidRDefault="00456002" w:rsidP="00346F4B">
      <w:pPr>
        <w:pStyle w:val="AppendixBulletIndent"/>
        <w:numPr>
          <w:ilvl w:val="0"/>
          <w:numId w:val="59"/>
        </w:numPr>
        <w:tabs>
          <w:tab w:val="left" w:pos="90"/>
        </w:tabs>
        <w:spacing w:after="60"/>
        <w:ind w:left="1440" w:right="720"/>
      </w:pPr>
      <w:r w:rsidRPr="0058047D">
        <w:rPr>
          <w:rFonts w:ascii="Tahoma" w:hAnsi="Tahoma" w:cs="Tahoma"/>
          <w:sz w:val="18"/>
          <w:szCs w:val="18"/>
        </w:rPr>
        <w:t xml:space="preserve">Open Value Subscription (solo per ordini buy-out) </w:t>
      </w:r>
    </w:p>
    <w:p w14:paraId="242E4EE3" w14:textId="77777777" w:rsidR="00456002" w:rsidRPr="0058047D" w:rsidRDefault="00456002" w:rsidP="00346F4B">
      <w:pPr>
        <w:pStyle w:val="AppendixBulletIndent"/>
        <w:numPr>
          <w:ilvl w:val="0"/>
          <w:numId w:val="59"/>
        </w:numPr>
        <w:tabs>
          <w:tab w:val="left" w:pos="90"/>
        </w:tabs>
        <w:spacing w:after="60"/>
        <w:ind w:left="1440" w:right="720"/>
      </w:pPr>
      <w:r w:rsidRPr="0058047D">
        <w:rPr>
          <w:rFonts w:ascii="Tahoma" w:hAnsi="Tahoma" w:cs="Tahoma"/>
          <w:sz w:val="18"/>
          <w:szCs w:val="18"/>
        </w:rPr>
        <w:t xml:space="preserve">Select </w:t>
      </w:r>
    </w:p>
    <w:p w14:paraId="1F9514D6" w14:textId="77777777" w:rsidR="00456002" w:rsidRPr="0058047D" w:rsidRDefault="00456002" w:rsidP="00346F4B">
      <w:pPr>
        <w:pStyle w:val="AppendixBulletIndent"/>
        <w:numPr>
          <w:ilvl w:val="0"/>
          <w:numId w:val="59"/>
        </w:numPr>
        <w:tabs>
          <w:tab w:val="left" w:pos="90"/>
        </w:tabs>
        <w:spacing w:after="60"/>
        <w:ind w:left="1440" w:right="720"/>
      </w:pPr>
      <w:r w:rsidRPr="0058047D">
        <w:rPr>
          <w:rFonts w:ascii="Tahoma" w:hAnsi="Tahoma" w:cs="Tahoma"/>
          <w:sz w:val="18"/>
          <w:szCs w:val="18"/>
        </w:rPr>
        <w:t>Select Plus</w:t>
      </w:r>
    </w:p>
    <w:p w14:paraId="354D1C53" w14:textId="77777777" w:rsidR="00456002" w:rsidRPr="0058047D" w:rsidRDefault="00B215EA" w:rsidP="00346F4B">
      <w:pPr>
        <w:pStyle w:val="AppendixBulletIndent"/>
        <w:numPr>
          <w:ilvl w:val="0"/>
          <w:numId w:val="59"/>
        </w:numPr>
        <w:tabs>
          <w:tab w:val="left" w:pos="90"/>
        </w:tabs>
        <w:spacing w:after="60"/>
        <w:ind w:left="1440" w:right="720"/>
      </w:pPr>
      <w:r w:rsidRPr="0058047D">
        <w:rPr>
          <w:rFonts w:ascii="Tahoma" w:hAnsi="Tahoma" w:cs="Tahoma"/>
          <w:sz w:val="18"/>
          <w:szCs w:val="18"/>
        </w:rPr>
        <w:t>Contratti Campus e School (solo per ordini buy-out)</w:t>
      </w:r>
    </w:p>
    <w:p w14:paraId="6A447A09" w14:textId="77777777" w:rsidR="00456002" w:rsidRPr="0058047D" w:rsidRDefault="00B215EA" w:rsidP="00346F4B">
      <w:pPr>
        <w:pStyle w:val="AppendixBulletIndent"/>
        <w:numPr>
          <w:ilvl w:val="0"/>
          <w:numId w:val="59"/>
        </w:numPr>
        <w:tabs>
          <w:tab w:val="left" w:pos="90"/>
        </w:tabs>
        <w:spacing w:after="60"/>
        <w:ind w:left="1440" w:right="720"/>
      </w:pPr>
      <w:r w:rsidRPr="0058047D">
        <w:rPr>
          <w:rFonts w:ascii="Tahoma" w:hAnsi="Tahoma" w:cs="Tahoma"/>
          <w:sz w:val="18"/>
          <w:szCs w:val="18"/>
        </w:rPr>
        <w:t>Enrollment for Education Solutions (solo per ordini buy-out)</w:t>
      </w:r>
    </w:p>
    <w:p w14:paraId="600A9BF6" w14:textId="77777777" w:rsidR="00456002" w:rsidRPr="0058047D" w:rsidRDefault="00456002" w:rsidP="00346F4B">
      <w:pPr>
        <w:pStyle w:val="AppendixBulletIndent"/>
        <w:numPr>
          <w:ilvl w:val="0"/>
          <w:numId w:val="59"/>
        </w:numPr>
        <w:tabs>
          <w:tab w:val="left" w:pos="90"/>
        </w:tabs>
        <w:ind w:left="1440" w:right="720"/>
      </w:pPr>
      <w:r w:rsidRPr="0058047D">
        <w:rPr>
          <w:rFonts w:ascii="Tahoma" w:hAnsi="Tahoma" w:cs="Tahoma"/>
          <w:sz w:val="18"/>
          <w:szCs w:val="18"/>
        </w:rPr>
        <w:t>Iscrizione Enterprise Subscription (solo per ordini buy-out)</w:t>
      </w:r>
    </w:p>
    <w:p w14:paraId="120E0D67" w14:textId="77777777" w:rsidR="00B215EA" w:rsidRPr="0058047D" w:rsidRDefault="00B215EA" w:rsidP="00346F4B">
      <w:pPr>
        <w:pStyle w:val="AppendixBulletIndent"/>
        <w:numPr>
          <w:ilvl w:val="0"/>
          <w:numId w:val="59"/>
        </w:numPr>
        <w:tabs>
          <w:tab w:val="left" w:pos="90"/>
        </w:tabs>
        <w:ind w:left="1440" w:right="720"/>
      </w:pPr>
      <w:r w:rsidRPr="0058047D">
        <w:rPr>
          <w:rFonts w:ascii="Tahoma" w:hAnsi="Tahoma" w:cs="Tahoma"/>
          <w:sz w:val="18"/>
          <w:szCs w:val="18"/>
        </w:rPr>
        <w:t>Iscrizione Server and Cloud (solo per ordini buy-out)</w:t>
      </w:r>
    </w:p>
    <w:p w14:paraId="4024E483" w14:textId="77777777" w:rsidR="00456002" w:rsidRPr="0058047D" w:rsidRDefault="00456002" w:rsidP="0014632E">
      <w:pPr>
        <w:pStyle w:val="AppendixIndent"/>
        <w:tabs>
          <w:tab w:val="left" w:pos="90"/>
        </w:tabs>
        <w:spacing w:before="0"/>
        <w:ind w:left="0" w:right="720"/>
      </w:pPr>
    </w:p>
    <w:p w14:paraId="625F42FD" w14:textId="77777777" w:rsidR="00456002" w:rsidRPr="0058047D" w:rsidRDefault="00456002" w:rsidP="0014632E">
      <w:pPr>
        <w:pStyle w:val="AppendixBodyText"/>
        <w:spacing w:after="0"/>
        <w:ind w:right="720"/>
      </w:pPr>
      <w:r w:rsidRPr="0058047D">
        <w:rPr>
          <w:rFonts w:ascii="Tahoma" w:hAnsi="Tahoma" w:cs="Tahoma"/>
          <w:sz w:val="18"/>
        </w:rPr>
        <w:t>Non esistono prerequisiti per una società che desidera acquistare una Licenza dei programmi Open License, Select e Select Plus.</w:t>
      </w:r>
      <w:r w:rsidR="00E34ED3" w:rsidRPr="0058047D">
        <w:rPr>
          <w:rFonts w:ascii="Tahoma" w:hAnsi="Tahoma" w:cs="Tahoma"/>
          <w:sz w:val="18"/>
        </w:rPr>
        <w:t xml:space="preserve"> </w:t>
      </w:r>
      <w:r w:rsidRPr="0058047D">
        <w:rPr>
          <w:rFonts w:ascii="Tahoma" w:hAnsi="Tahoma" w:cs="Tahoma"/>
          <w:sz w:val="18"/>
        </w:rPr>
        <w:t>Fare riferimento al contratto specifico per il programma per conoscere i criteri di idoneità per l</w:t>
      </w:r>
      <w:r w:rsidR="001C4212">
        <w:rPr>
          <w:rFonts w:ascii="Tahoma" w:hAnsi="Tahoma" w:cs="Tahoma"/>
          <w:sz w:val="18"/>
        </w:rPr>
        <w:t>’</w:t>
      </w:r>
      <w:r w:rsidRPr="0058047D">
        <w:rPr>
          <w:rFonts w:ascii="Tahoma" w:hAnsi="Tahoma" w:cs="Tahoma"/>
          <w:sz w:val="18"/>
        </w:rPr>
        <w:t>acquisto di una licenza perpetua tramite ordini buy-out.</w:t>
      </w:r>
    </w:p>
    <w:p w14:paraId="7B99D619" w14:textId="77777777" w:rsidR="00255158" w:rsidRPr="0058047D" w:rsidRDefault="00255158" w:rsidP="0014632E">
      <w:pPr>
        <w:pStyle w:val="AppendixIndent"/>
        <w:tabs>
          <w:tab w:val="left" w:pos="90"/>
        </w:tabs>
        <w:spacing w:before="0"/>
        <w:ind w:left="0" w:right="720"/>
      </w:pPr>
    </w:p>
    <w:p w14:paraId="57B77664" w14:textId="77777777" w:rsidR="00456002" w:rsidRPr="0058047D" w:rsidRDefault="00456002" w:rsidP="00456002">
      <w:pPr>
        <w:pStyle w:val="Heading2"/>
        <w:tabs>
          <w:tab w:val="left" w:pos="90"/>
        </w:tabs>
        <w:ind w:left="0" w:right="720"/>
      </w:pPr>
      <w:bookmarkStart w:id="629" w:name="_Toc323819649"/>
      <w:bookmarkStart w:id="630" w:name="_Toc336338200"/>
      <w:bookmarkStart w:id="631" w:name="_Toc371663593"/>
      <w:r w:rsidRPr="0058047D">
        <w:rPr>
          <w:rFonts w:ascii="Tahoma" w:hAnsi="Tahoma" w:cs="Tahoma"/>
        </w:rPr>
        <w:t>Licenza e Software Assurance (L&amp;SA)</w:t>
      </w:r>
      <w:bookmarkEnd w:id="629"/>
      <w:bookmarkEnd w:id="630"/>
      <w:bookmarkEnd w:id="631"/>
      <w:r w:rsidRPr="0058047D">
        <w:rPr>
          <w:rFonts w:ascii="Tahoma" w:hAnsi="Tahoma" w:cs="Tahoma"/>
        </w:rPr>
        <w:t xml:space="preserve"> </w:t>
      </w:r>
    </w:p>
    <w:p w14:paraId="3445B72A" w14:textId="77777777" w:rsidR="00456002" w:rsidRPr="0058047D" w:rsidRDefault="00456002" w:rsidP="00ED589D">
      <w:pPr>
        <w:pStyle w:val="AppendixIndent"/>
        <w:tabs>
          <w:tab w:val="left" w:pos="90"/>
        </w:tabs>
        <w:spacing w:before="0"/>
        <w:ind w:left="0" w:right="720"/>
      </w:pPr>
    </w:p>
    <w:p w14:paraId="7190A21E" w14:textId="77777777" w:rsidR="00456002" w:rsidRPr="0058047D" w:rsidRDefault="00456002" w:rsidP="0014632E">
      <w:pPr>
        <w:pStyle w:val="AppendixBodyText"/>
        <w:spacing w:after="0"/>
        <w:ind w:right="720"/>
      </w:pPr>
      <w:r w:rsidRPr="0058047D">
        <w:rPr>
          <w:rFonts w:ascii="Tahoma" w:hAnsi="Tahoma" w:cs="Tahoma"/>
          <w:sz w:val="18"/>
        </w:rPr>
        <w:t>Questo tipo di prodotto dipende dalla versione. Consente alle società di acquistare insieme la Licenza e</w:t>
      </w:r>
      <w:r w:rsidR="008432A1">
        <w:rPr>
          <w:rFonts w:ascii="Tahoma" w:hAnsi="Tahoma" w:cs="Tahoma"/>
          <w:sz w:val="18"/>
        </w:rPr>
        <w:t> </w:t>
      </w:r>
      <w:r w:rsidRPr="0058047D">
        <w:rPr>
          <w:rFonts w:ascii="Tahoma" w:hAnsi="Tahoma" w:cs="Tahoma"/>
          <w:sz w:val="18"/>
        </w:rPr>
        <w:t>Software Assurance. Disponibile nei seguenti programmi:</w:t>
      </w:r>
    </w:p>
    <w:p w14:paraId="54A84D43" w14:textId="77777777" w:rsidR="00456002" w:rsidRPr="0058047D" w:rsidRDefault="00456002" w:rsidP="0014632E">
      <w:pPr>
        <w:pStyle w:val="AppendixIndent"/>
        <w:tabs>
          <w:tab w:val="left" w:pos="90"/>
        </w:tabs>
        <w:spacing w:before="0"/>
        <w:ind w:left="0" w:right="720"/>
      </w:pPr>
    </w:p>
    <w:p w14:paraId="57A8E0A0" w14:textId="77777777" w:rsidR="00456002" w:rsidRPr="0058047D" w:rsidRDefault="00456002" w:rsidP="00346F4B">
      <w:pPr>
        <w:pStyle w:val="AppendixBulletIndent"/>
        <w:numPr>
          <w:ilvl w:val="0"/>
          <w:numId w:val="63"/>
        </w:numPr>
        <w:tabs>
          <w:tab w:val="left" w:pos="1440"/>
        </w:tabs>
        <w:spacing w:after="60"/>
        <w:ind w:left="1440" w:right="720"/>
      </w:pPr>
      <w:r w:rsidRPr="0058047D">
        <w:rPr>
          <w:rFonts w:ascii="Tahoma" w:hAnsi="Tahoma" w:cs="Tahoma"/>
          <w:sz w:val="18"/>
        </w:rPr>
        <w:t xml:space="preserve">Open License </w:t>
      </w:r>
    </w:p>
    <w:p w14:paraId="04BE3970" w14:textId="77777777" w:rsidR="00456002" w:rsidRPr="0058047D" w:rsidRDefault="00456002" w:rsidP="00346F4B">
      <w:pPr>
        <w:pStyle w:val="AppendixBulletIndent"/>
        <w:numPr>
          <w:ilvl w:val="0"/>
          <w:numId w:val="63"/>
        </w:numPr>
        <w:tabs>
          <w:tab w:val="left" w:pos="1440"/>
        </w:tabs>
        <w:spacing w:after="60"/>
        <w:ind w:left="1440" w:right="720"/>
      </w:pPr>
      <w:r w:rsidRPr="0058047D">
        <w:rPr>
          <w:rFonts w:ascii="Tahoma" w:hAnsi="Tahoma" w:cs="Tahoma"/>
          <w:sz w:val="18"/>
        </w:rPr>
        <w:t>Open Value</w:t>
      </w:r>
    </w:p>
    <w:p w14:paraId="10AE32F7" w14:textId="77777777" w:rsidR="00456002" w:rsidRPr="0058047D" w:rsidRDefault="00385C82" w:rsidP="00346F4B">
      <w:pPr>
        <w:pStyle w:val="AppendixBulletIndent"/>
        <w:numPr>
          <w:ilvl w:val="0"/>
          <w:numId w:val="63"/>
        </w:numPr>
        <w:tabs>
          <w:tab w:val="left" w:pos="1440"/>
        </w:tabs>
        <w:spacing w:after="60"/>
        <w:ind w:left="1440" w:right="720"/>
      </w:pPr>
      <w:r w:rsidRPr="0058047D">
        <w:rPr>
          <w:rFonts w:ascii="Tahoma" w:hAnsi="Tahoma" w:cs="Tahoma"/>
          <w:sz w:val="18"/>
        </w:rPr>
        <w:t>Open Value Subscription</w:t>
      </w:r>
    </w:p>
    <w:p w14:paraId="05E5E6D4" w14:textId="77777777" w:rsidR="00456002" w:rsidRPr="0058047D" w:rsidRDefault="00456002" w:rsidP="00346F4B">
      <w:pPr>
        <w:pStyle w:val="AppendixBulletIndent"/>
        <w:numPr>
          <w:ilvl w:val="0"/>
          <w:numId w:val="63"/>
        </w:numPr>
        <w:tabs>
          <w:tab w:val="left" w:pos="1440"/>
        </w:tabs>
        <w:spacing w:after="60"/>
        <w:ind w:left="1440" w:right="720"/>
      </w:pPr>
      <w:r w:rsidRPr="0058047D">
        <w:rPr>
          <w:rFonts w:ascii="Tahoma" w:hAnsi="Tahoma" w:cs="Tahoma"/>
          <w:sz w:val="18"/>
        </w:rPr>
        <w:t xml:space="preserve">Select </w:t>
      </w:r>
    </w:p>
    <w:p w14:paraId="5FD5163A" w14:textId="77777777" w:rsidR="00456002" w:rsidRPr="0058047D" w:rsidRDefault="00456002" w:rsidP="00346F4B">
      <w:pPr>
        <w:pStyle w:val="AppendixBulletIndent"/>
        <w:numPr>
          <w:ilvl w:val="0"/>
          <w:numId w:val="63"/>
        </w:numPr>
        <w:tabs>
          <w:tab w:val="left" w:pos="1440"/>
        </w:tabs>
        <w:spacing w:after="60"/>
        <w:ind w:left="1440" w:right="720"/>
      </w:pPr>
      <w:r w:rsidRPr="0058047D">
        <w:rPr>
          <w:rFonts w:ascii="Tahoma" w:hAnsi="Tahoma" w:cs="Tahoma"/>
          <w:sz w:val="18"/>
        </w:rPr>
        <w:t>Select Plus</w:t>
      </w:r>
    </w:p>
    <w:p w14:paraId="0CC2864A" w14:textId="77777777" w:rsidR="00456002" w:rsidRPr="0058047D" w:rsidRDefault="00456002" w:rsidP="00346F4B">
      <w:pPr>
        <w:pStyle w:val="AppendixBulletIndent"/>
        <w:numPr>
          <w:ilvl w:val="0"/>
          <w:numId w:val="63"/>
        </w:numPr>
        <w:tabs>
          <w:tab w:val="left" w:pos="1440"/>
        </w:tabs>
        <w:spacing w:after="60"/>
        <w:ind w:left="1440" w:right="720"/>
      </w:pPr>
      <w:r w:rsidRPr="0058047D">
        <w:rPr>
          <w:rFonts w:ascii="Tahoma" w:hAnsi="Tahoma" w:cs="Tahoma"/>
          <w:sz w:val="18"/>
        </w:rPr>
        <w:t>Iscrizione Enterprise</w:t>
      </w:r>
    </w:p>
    <w:p w14:paraId="1DA688D8" w14:textId="77777777" w:rsidR="00456002" w:rsidRPr="0058047D" w:rsidRDefault="00456002" w:rsidP="00346F4B">
      <w:pPr>
        <w:pStyle w:val="AppendixBulletIndent"/>
        <w:numPr>
          <w:ilvl w:val="0"/>
          <w:numId w:val="63"/>
        </w:numPr>
        <w:tabs>
          <w:tab w:val="left" w:pos="1440"/>
        </w:tabs>
        <w:ind w:left="1440" w:right="720"/>
      </w:pPr>
      <w:r w:rsidRPr="0058047D">
        <w:rPr>
          <w:rFonts w:ascii="Tahoma" w:hAnsi="Tahoma" w:cs="Tahoma"/>
          <w:sz w:val="18"/>
        </w:rPr>
        <w:t>Iscrizione Enterprise Subscription</w:t>
      </w:r>
    </w:p>
    <w:p w14:paraId="18DC96A5" w14:textId="77777777" w:rsidR="00B215EA" w:rsidRPr="0058047D" w:rsidRDefault="00B215EA" w:rsidP="00346F4B">
      <w:pPr>
        <w:pStyle w:val="AppendixBulletIndent"/>
        <w:numPr>
          <w:ilvl w:val="0"/>
          <w:numId w:val="63"/>
        </w:numPr>
        <w:tabs>
          <w:tab w:val="left" w:pos="1440"/>
        </w:tabs>
        <w:ind w:left="1440" w:right="720"/>
      </w:pPr>
      <w:r w:rsidRPr="0058047D">
        <w:rPr>
          <w:rFonts w:ascii="Tahoma" w:hAnsi="Tahoma" w:cs="Tahoma"/>
          <w:sz w:val="18"/>
        </w:rPr>
        <w:t>Iscrizione Server and Cloud</w:t>
      </w:r>
    </w:p>
    <w:p w14:paraId="618BF90D" w14:textId="77777777" w:rsidR="00456002" w:rsidRPr="0058047D" w:rsidRDefault="00456002" w:rsidP="00EF6A68">
      <w:pPr>
        <w:pStyle w:val="AppendixIndent"/>
        <w:tabs>
          <w:tab w:val="left" w:pos="90"/>
        </w:tabs>
        <w:spacing w:before="0"/>
        <w:ind w:left="0" w:right="720"/>
      </w:pPr>
    </w:p>
    <w:p w14:paraId="51DE6201" w14:textId="77777777" w:rsidR="00456002" w:rsidRPr="0058047D" w:rsidRDefault="00456002" w:rsidP="00EF6A68">
      <w:pPr>
        <w:pStyle w:val="AppendixBodyText"/>
        <w:spacing w:after="0"/>
        <w:ind w:right="720"/>
      </w:pPr>
      <w:r w:rsidRPr="0058047D">
        <w:rPr>
          <w:rFonts w:ascii="Tahoma" w:hAnsi="Tahoma" w:cs="Tahoma"/>
          <w:sz w:val="18"/>
        </w:rPr>
        <w:t>Non esistono prerequisiti per l</w:t>
      </w:r>
      <w:r w:rsidR="001C4212">
        <w:rPr>
          <w:rFonts w:ascii="Tahoma" w:hAnsi="Tahoma" w:cs="Tahoma"/>
          <w:sz w:val="18"/>
        </w:rPr>
        <w:t>’</w:t>
      </w:r>
      <w:r w:rsidRPr="0058047D">
        <w:rPr>
          <w:rFonts w:ascii="Tahoma" w:hAnsi="Tahoma" w:cs="Tahoma"/>
          <w:sz w:val="18"/>
        </w:rPr>
        <w:t>acquisto della Licenza. Software Assurance dovrà essere acquistata al momento dell</w:t>
      </w:r>
      <w:r w:rsidR="001C4212">
        <w:rPr>
          <w:rFonts w:ascii="Tahoma" w:hAnsi="Tahoma" w:cs="Tahoma"/>
          <w:sz w:val="18"/>
        </w:rPr>
        <w:t>’</w:t>
      </w:r>
      <w:r w:rsidRPr="0058047D">
        <w:rPr>
          <w:rFonts w:ascii="Tahoma" w:hAnsi="Tahoma" w:cs="Tahoma"/>
          <w:sz w:val="18"/>
        </w:rPr>
        <w:t>acquisto della Licenza corrispondente o al rinnovo di un periodo di validità della copertura Software Assurance in essere.</w:t>
      </w:r>
      <w:r w:rsidR="00E34ED3" w:rsidRPr="0058047D">
        <w:rPr>
          <w:rFonts w:ascii="Tahoma" w:hAnsi="Tahoma" w:cs="Tahoma"/>
          <w:sz w:val="18"/>
        </w:rPr>
        <w:t xml:space="preserve"> </w:t>
      </w:r>
      <w:r w:rsidRPr="0058047D">
        <w:rPr>
          <w:rFonts w:ascii="Tahoma" w:hAnsi="Tahoma" w:cs="Tahoma"/>
          <w:sz w:val="18"/>
        </w:rPr>
        <w:t>In tutti i Programmi per i Contratti Multilicenza, quando la società non soddisfa i criteri di idoneità per Software Assurance e desidera acquistare la copertura, dovrà acquistare l</w:t>
      </w:r>
      <w:r w:rsidR="001C4212">
        <w:rPr>
          <w:rFonts w:ascii="Tahoma" w:hAnsi="Tahoma" w:cs="Tahoma"/>
          <w:sz w:val="18"/>
        </w:rPr>
        <w:t>’</w:t>
      </w:r>
      <w:r w:rsidRPr="0058047D">
        <w:rPr>
          <w:rFonts w:ascii="Tahoma" w:hAnsi="Tahoma" w:cs="Tahoma"/>
          <w:sz w:val="18"/>
        </w:rPr>
        <w:t>offerta Licenza e Software Assurance.</w:t>
      </w:r>
    </w:p>
    <w:p w14:paraId="5B62AAFC" w14:textId="77777777" w:rsidR="00255158" w:rsidRDefault="00255158" w:rsidP="00EF6A68"/>
    <w:p w14:paraId="73467197" w14:textId="77777777" w:rsidR="008432A1" w:rsidRDefault="008432A1" w:rsidP="00EF6A68"/>
    <w:p w14:paraId="7080AB35" w14:textId="77777777" w:rsidR="008432A1" w:rsidRDefault="008432A1" w:rsidP="00EF6A68"/>
    <w:p w14:paraId="13350C1D" w14:textId="77777777" w:rsidR="008432A1" w:rsidRPr="0058047D" w:rsidRDefault="008432A1" w:rsidP="00EF6A68"/>
    <w:p w14:paraId="751E71C0" w14:textId="77777777" w:rsidR="00456002" w:rsidRPr="0058047D" w:rsidRDefault="00456002" w:rsidP="00456002">
      <w:pPr>
        <w:pStyle w:val="Heading2"/>
        <w:tabs>
          <w:tab w:val="left" w:pos="90"/>
        </w:tabs>
        <w:ind w:left="0" w:right="720"/>
      </w:pPr>
      <w:bookmarkStart w:id="632" w:name="_Toc323819650"/>
      <w:bookmarkStart w:id="633" w:name="_Toc336338201"/>
      <w:bookmarkStart w:id="634" w:name="_Toc371663594"/>
      <w:r w:rsidRPr="0058047D">
        <w:rPr>
          <w:rFonts w:ascii="Tahoma" w:hAnsi="Tahoma" w:cs="Tahoma"/>
        </w:rPr>
        <w:t>Software Assurance</w:t>
      </w:r>
      <w:bookmarkEnd w:id="632"/>
      <w:bookmarkEnd w:id="633"/>
      <w:bookmarkEnd w:id="634"/>
    </w:p>
    <w:p w14:paraId="2BFEBBF3" w14:textId="77777777" w:rsidR="00456002" w:rsidRPr="0058047D" w:rsidRDefault="00456002" w:rsidP="00EF6A68">
      <w:pPr>
        <w:pStyle w:val="AppendixBodyText"/>
        <w:tabs>
          <w:tab w:val="left" w:pos="90"/>
        </w:tabs>
        <w:spacing w:after="0"/>
        <w:ind w:right="720"/>
      </w:pPr>
    </w:p>
    <w:p w14:paraId="667D3403" w14:textId="77777777" w:rsidR="00456002" w:rsidRPr="0058047D" w:rsidRDefault="00456002" w:rsidP="00EF6A68">
      <w:pPr>
        <w:pStyle w:val="AppendixBodyText"/>
        <w:spacing w:after="0"/>
        <w:ind w:right="720"/>
      </w:pPr>
      <w:r w:rsidRPr="0058047D">
        <w:rPr>
          <w:rFonts w:ascii="Tahoma" w:hAnsi="Tahoma" w:cs="Tahoma"/>
          <w:sz w:val="18"/>
        </w:rPr>
        <w:t>Microsoft Software Assurance offre vantaggi che possono includere nuovi diritti sulle versioni e garantire l</w:t>
      </w:r>
      <w:r w:rsidR="001C4212">
        <w:rPr>
          <w:rFonts w:ascii="Tahoma" w:hAnsi="Tahoma" w:cs="Tahoma"/>
          <w:sz w:val="18"/>
        </w:rPr>
        <w:t>’</w:t>
      </w:r>
      <w:r w:rsidRPr="0058047D">
        <w:rPr>
          <w:rFonts w:ascii="Tahoma" w:hAnsi="Tahoma" w:cs="Tahoma"/>
          <w:sz w:val="18"/>
        </w:rPr>
        <w:t>accesso a tecnologie differenziate, nonché diritti aggiuntivi sull</w:t>
      </w:r>
      <w:r w:rsidR="001C4212">
        <w:rPr>
          <w:rFonts w:ascii="Tahoma" w:hAnsi="Tahoma" w:cs="Tahoma"/>
          <w:sz w:val="18"/>
        </w:rPr>
        <w:t>’</w:t>
      </w:r>
      <w:r w:rsidRPr="0058047D">
        <w:rPr>
          <w:rFonts w:ascii="Tahoma" w:hAnsi="Tahoma" w:cs="Tahoma"/>
          <w:sz w:val="18"/>
        </w:rPr>
        <w:t>utilizzo dei Prodotti per i quali viene acquistata. Altri vantaggi sono costituiti da pagamenti dilazionati, servizi di consulenza, formazione, supporto tecnico e accesso a offerte esclusive. Per dettagli su ciascun vantaggio e criterio, fare riferimento all</w:t>
      </w:r>
      <w:r w:rsidR="001C4212">
        <w:rPr>
          <w:rFonts w:ascii="Tahoma" w:hAnsi="Tahoma" w:cs="Tahoma"/>
          <w:sz w:val="18"/>
        </w:rPr>
        <w:t>’</w:t>
      </w:r>
      <w:r w:rsidRPr="0058047D">
        <w:rPr>
          <w:rFonts w:ascii="Tahoma" w:hAnsi="Tahoma" w:cs="Tahoma"/>
          <w:sz w:val="18"/>
        </w:rPr>
        <w:t>Articolo Vantaggi di Software Assurance (SA) più avanti nel presente documento.</w:t>
      </w:r>
    </w:p>
    <w:p w14:paraId="6C415604" w14:textId="77777777" w:rsidR="00456002" w:rsidRPr="0058047D" w:rsidRDefault="00456002" w:rsidP="00EF6A68">
      <w:pPr>
        <w:pStyle w:val="AppendixIndent"/>
        <w:tabs>
          <w:tab w:val="left" w:pos="90"/>
        </w:tabs>
        <w:spacing w:before="0"/>
        <w:ind w:left="0" w:right="720"/>
      </w:pPr>
    </w:p>
    <w:p w14:paraId="218DCC1E" w14:textId="77777777" w:rsidR="00456002" w:rsidRPr="0058047D" w:rsidRDefault="00456002" w:rsidP="00EF6A68">
      <w:pPr>
        <w:pStyle w:val="AppendixBodyText"/>
        <w:spacing w:after="0"/>
        <w:ind w:right="720"/>
      </w:pPr>
      <w:r w:rsidRPr="0058047D">
        <w:rPr>
          <w:rFonts w:ascii="Tahoma" w:hAnsi="Tahoma" w:cs="Tahoma"/>
          <w:sz w:val="18"/>
        </w:rPr>
        <w:t>Per dettagli sui diritti sull</w:t>
      </w:r>
      <w:r w:rsidR="001C4212">
        <w:rPr>
          <w:rFonts w:ascii="Tahoma" w:hAnsi="Tahoma" w:cs="Tahoma"/>
          <w:sz w:val="18"/>
        </w:rPr>
        <w:t>’</w:t>
      </w:r>
      <w:r w:rsidRPr="0058047D">
        <w:rPr>
          <w:rFonts w:ascii="Tahoma" w:hAnsi="Tahoma" w:cs="Tahoma"/>
          <w:sz w:val="18"/>
        </w:rPr>
        <w:t>utilizzo relativi ai vantaggi, fare riferimento ai Diritti di Utilizzo del Prodotto per Volume License. Software Assurance è disponibile nei seguenti programmi:</w:t>
      </w:r>
    </w:p>
    <w:p w14:paraId="57DC6DB1" w14:textId="77777777" w:rsidR="00456002" w:rsidRPr="0058047D" w:rsidRDefault="00456002" w:rsidP="00EF6A68">
      <w:pPr>
        <w:pStyle w:val="AppendixIndent"/>
        <w:tabs>
          <w:tab w:val="left" w:pos="90"/>
        </w:tabs>
        <w:spacing w:before="0"/>
        <w:ind w:left="0" w:right="720"/>
      </w:pPr>
    </w:p>
    <w:p w14:paraId="3E69147D" w14:textId="77777777" w:rsidR="00456002" w:rsidRPr="0058047D" w:rsidRDefault="00456002" w:rsidP="00346F4B">
      <w:pPr>
        <w:pStyle w:val="AppendixBulletIndent"/>
        <w:numPr>
          <w:ilvl w:val="0"/>
          <w:numId w:val="64"/>
        </w:numPr>
        <w:tabs>
          <w:tab w:val="left" w:pos="1440"/>
        </w:tabs>
        <w:spacing w:after="60"/>
        <w:ind w:left="1440" w:right="720"/>
      </w:pPr>
      <w:r w:rsidRPr="0058047D">
        <w:rPr>
          <w:rFonts w:ascii="Tahoma" w:hAnsi="Tahoma" w:cs="Tahoma"/>
          <w:sz w:val="18"/>
        </w:rPr>
        <w:t xml:space="preserve">Open License </w:t>
      </w:r>
    </w:p>
    <w:p w14:paraId="6043DC8B" w14:textId="77777777" w:rsidR="00456002" w:rsidRPr="0058047D" w:rsidRDefault="00456002" w:rsidP="00346F4B">
      <w:pPr>
        <w:pStyle w:val="AppendixBulletIndent"/>
        <w:numPr>
          <w:ilvl w:val="0"/>
          <w:numId w:val="64"/>
        </w:numPr>
        <w:tabs>
          <w:tab w:val="left" w:pos="1440"/>
        </w:tabs>
        <w:spacing w:after="60"/>
        <w:ind w:left="1440" w:right="720"/>
      </w:pPr>
      <w:r w:rsidRPr="0058047D">
        <w:rPr>
          <w:rFonts w:ascii="Tahoma" w:hAnsi="Tahoma" w:cs="Tahoma"/>
          <w:sz w:val="18"/>
        </w:rPr>
        <w:t xml:space="preserve">Open Value </w:t>
      </w:r>
    </w:p>
    <w:p w14:paraId="2670B83C" w14:textId="77777777" w:rsidR="00456002" w:rsidRPr="0058047D" w:rsidRDefault="00456002" w:rsidP="00346F4B">
      <w:pPr>
        <w:pStyle w:val="AppendixBulletIndent"/>
        <w:numPr>
          <w:ilvl w:val="0"/>
          <w:numId w:val="64"/>
        </w:numPr>
        <w:tabs>
          <w:tab w:val="left" w:pos="1440"/>
        </w:tabs>
        <w:spacing w:after="60"/>
        <w:ind w:left="1440" w:right="720"/>
      </w:pPr>
      <w:r w:rsidRPr="0058047D">
        <w:rPr>
          <w:rFonts w:ascii="Tahoma" w:hAnsi="Tahoma" w:cs="Tahoma"/>
          <w:sz w:val="18"/>
        </w:rPr>
        <w:t xml:space="preserve">Select </w:t>
      </w:r>
    </w:p>
    <w:p w14:paraId="4D589350" w14:textId="77777777" w:rsidR="00456002" w:rsidRPr="0058047D" w:rsidRDefault="00456002" w:rsidP="00346F4B">
      <w:pPr>
        <w:pStyle w:val="AppendixBulletIndent"/>
        <w:numPr>
          <w:ilvl w:val="0"/>
          <w:numId w:val="64"/>
        </w:numPr>
        <w:tabs>
          <w:tab w:val="left" w:pos="1440"/>
        </w:tabs>
        <w:spacing w:after="60"/>
        <w:ind w:left="1440" w:right="720"/>
      </w:pPr>
      <w:r w:rsidRPr="0058047D">
        <w:rPr>
          <w:rFonts w:ascii="Tahoma" w:hAnsi="Tahoma" w:cs="Tahoma"/>
          <w:sz w:val="18"/>
        </w:rPr>
        <w:t>Select Plus</w:t>
      </w:r>
    </w:p>
    <w:p w14:paraId="5A1842C5" w14:textId="77777777" w:rsidR="00456002" w:rsidRPr="0058047D" w:rsidRDefault="00456002" w:rsidP="00346F4B">
      <w:pPr>
        <w:pStyle w:val="AppendixBulletIndent"/>
        <w:numPr>
          <w:ilvl w:val="0"/>
          <w:numId w:val="64"/>
        </w:numPr>
        <w:tabs>
          <w:tab w:val="left" w:pos="1440"/>
        </w:tabs>
        <w:ind w:left="1440" w:right="720"/>
      </w:pPr>
      <w:r w:rsidRPr="0058047D">
        <w:rPr>
          <w:rFonts w:ascii="Tahoma" w:hAnsi="Tahoma" w:cs="Tahoma"/>
          <w:sz w:val="18"/>
        </w:rPr>
        <w:t>Iscrizione Enterprise</w:t>
      </w:r>
    </w:p>
    <w:p w14:paraId="6FC6702E" w14:textId="77777777" w:rsidR="00B215EA" w:rsidRPr="0058047D" w:rsidRDefault="00B215EA" w:rsidP="00346F4B">
      <w:pPr>
        <w:pStyle w:val="AppendixBulletIndent"/>
        <w:numPr>
          <w:ilvl w:val="0"/>
          <w:numId w:val="64"/>
        </w:numPr>
        <w:tabs>
          <w:tab w:val="left" w:pos="1440"/>
        </w:tabs>
        <w:ind w:left="1440" w:right="720"/>
      </w:pPr>
      <w:r w:rsidRPr="0058047D">
        <w:rPr>
          <w:rFonts w:ascii="Tahoma" w:hAnsi="Tahoma" w:cs="Tahoma"/>
          <w:sz w:val="18"/>
        </w:rPr>
        <w:t>Iscrizione Server and Cloud</w:t>
      </w:r>
    </w:p>
    <w:p w14:paraId="2ACA9524" w14:textId="77777777" w:rsidR="00456002" w:rsidRPr="0058047D" w:rsidRDefault="00456002" w:rsidP="00B147AB">
      <w:pPr>
        <w:pStyle w:val="AppendixIndent"/>
        <w:spacing w:before="0"/>
        <w:ind w:left="0" w:right="720"/>
      </w:pPr>
    </w:p>
    <w:p w14:paraId="38C84671" w14:textId="77777777" w:rsidR="00456002" w:rsidRPr="0058047D" w:rsidRDefault="00456002" w:rsidP="00B147AB">
      <w:pPr>
        <w:pStyle w:val="AppendixIndent"/>
        <w:spacing w:before="0"/>
        <w:ind w:left="0" w:right="720"/>
      </w:pPr>
      <w:r w:rsidRPr="0058047D">
        <w:rPr>
          <w:rFonts w:ascii="Tahoma" w:hAnsi="Tahoma" w:cs="Tahoma"/>
          <w:sz w:val="18"/>
        </w:rPr>
        <w:t>Esistono tre diversi livelli di impegno per cui una società può scegliere Software Assurance.</w:t>
      </w:r>
      <w:r w:rsidR="00E34ED3" w:rsidRPr="0058047D">
        <w:rPr>
          <w:rFonts w:ascii="Tahoma" w:hAnsi="Tahoma" w:cs="Tahoma"/>
          <w:sz w:val="18"/>
        </w:rPr>
        <w:t xml:space="preserve"> </w:t>
      </w:r>
      <w:r w:rsidRPr="0058047D">
        <w:rPr>
          <w:rFonts w:ascii="Tahoma" w:hAnsi="Tahoma" w:cs="Tahoma"/>
          <w:sz w:val="18"/>
        </w:rPr>
        <w:t>I livelli disponibili variano in base al programma.</w:t>
      </w:r>
      <w:r w:rsidR="00E34ED3" w:rsidRPr="0058047D">
        <w:rPr>
          <w:rFonts w:ascii="Tahoma" w:hAnsi="Tahoma" w:cs="Tahoma"/>
          <w:sz w:val="18"/>
        </w:rPr>
        <w:t xml:space="preserve"> </w:t>
      </w:r>
      <w:r w:rsidRPr="0058047D">
        <w:rPr>
          <w:rFonts w:ascii="Tahoma" w:hAnsi="Tahoma" w:cs="Tahoma"/>
          <w:sz w:val="18"/>
        </w:rPr>
        <w:t>Il livello di impegno di una società rispetto a Software Assurance è uno dei molteplici fattori che possono determinare l</w:t>
      </w:r>
      <w:r w:rsidR="001C4212">
        <w:rPr>
          <w:rFonts w:ascii="Tahoma" w:hAnsi="Tahoma" w:cs="Tahoma"/>
          <w:sz w:val="18"/>
        </w:rPr>
        <w:t>’</w:t>
      </w:r>
      <w:r w:rsidRPr="0058047D">
        <w:rPr>
          <w:rFonts w:ascii="Tahoma" w:hAnsi="Tahoma" w:cs="Tahoma"/>
          <w:sz w:val="18"/>
        </w:rPr>
        <w:t>idoneità della società a ottenere il vantaggio.</w:t>
      </w:r>
      <w:r w:rsidR="00E34ED3" w:rsidRPr="0058047D">
        <w:rPr>
          <w:rFonts w:ascii="Tahoma" w:hAnsi="Tahoma" w:cs="Tahoma"/>
          <w:sz w:val="18"/>
        </w:rPr>
        <w:t xml:space="preserve"> </w:t>
      </w:r>
      <w:r w:rsidRPr="0058047D">
        <w:rPr>
          <w:rFonts w:ascii="Tahoma" w:hAnsi="Tahoma" w:cs="Tahoma"/>
          <w:sz w:val="18"/>
        </w:rPr>
        <w:t>Una società può</w:t>
      </w:r>
    </w:p>
    <w:p w14:paraId="76433803" w14:textId="77777777" w:rsidR="004C08A3" w:rsidRPr="0058047D" w:rsidRDefault="004C08A3" w:rsidP="00B147AB">
      <w:pPr>
        <w:pStyle w:val="AppendixIndent"/>
        <w:spacing w:before="0"/>
        <w:ind w:left="0" w:right="720"/>
      </w:pPr>
    </w:p>
    <w:p w14:paraId="0BC8B890" w14:textId="77777777" w:rsidR="00456002" w:rsidRPr="0058047D" w:rsidRDefault="00456002" w:rsidP="00346F4B">
      <w:pPr>
        <w:pStyle w:val="AppendixIndent"/>
        <w:numPr>
          <w:ilvl w:val="0"/>
          <w:numId w:val="65"/>
        </w:numPr>
        <w:ind w:left="1440" w:right="720"/>
      </w:pPr>
      <w:r w:rsidRPr="0058047D">
        <w:rPr>
          <w:rFonts w:ascii="Tahoma" w:hAnsi="Tahoma" w:cs="Tahoma"/>
          <w:sz w:val="18"/>
        </w:rPr>
        <w:t>Impegnarsi ad assegnare Software Assurance a tutti i prodotti della piattaforma.</w:t>
      </w:r>
      <w:r w:rsidR="00E34ED3" w:rsidRPr="0058047D">
        <w:rPr>
          <w:rFonts w:ascii="Tahoma" w:hAnsi="Tahoma" w:cs="Tahoma"/>
          <w:sz w:val="18"/>
        </w:rPr>
        <w:t xml:space="preserve"> </w:t>
      </w:r>
      <w:r w:rsidRPr="0058047D">
        <w:rPr>
          <w:rFonts w:ascii="Tahoma" w:hAnsi="Tahoma" w:cs="Tahoma"/>
          <w:sz w:val="18"/>
        </w:rPr>
        <w:t>Ciò è più comune nel Contratto Enterprise e in Open Value.</w:t>
      </w:r>
    </w:p>
    <w:p w14:paraId="2E5D2E53" w14:textId="77777777" w:rsidR="00456002" w:rsidRPr="0058047D" w:rsidRDefault="00456002" w:rsidP="00346F4B">
      <w:pPr>
        <w:pStyle w:val="AppendixIndent"/>
        <w:numPr>
          <w:ilvl w:val="0"/>
          <w:numId w:val="65"/>
        </w:numPr>
        <w:ind w:left="1440" w:right="720"/>
      </w:pPr>
      <w:r w:rsidRPr="0058047D">
        <w:rPr>
          <w:rFonts w:ascii="Tahoma" w:hAnsi="Tahoma" w:cs="Tahoma"/>
          <w:sz w:val="18"/>
        </w:rPr>
        <w:t>Impegnarsi ad associare Software Assurance a tutti gli acquisti di un particolare pool di prodotti (Applicazioni, Sistemi o Server).</w:t>
      </w:r>
      <w:r w:rsidR="00E34ED3" w:rsidRPr="0058047D">
        <w:rPr>
          <w:rFonts w:ascii="Tahoma" w:hAnsi="Tahoma" w:cs="Tahoma"/>
          <w:sz w:val="18"/>
        </w:rPr>
        <w:t xml:space="preserve"> </w:t>
      </w:r>
      <w:r w:rsidRPr="0058047D">
        <w:rPr>
          <w:rFonts w:ascii="Tahoma" w:hAnsi="Tahoma" w:cs="Tahoma"/>
          <w:sz w:val="18"/>
        </w:rPr>
        <w:t>Questa modalità è nota come Partecipazione a Software Assurance (Software Assurance Membership o SAM) Non richiede un impegno a livello aziendale per Software Assurance, impegno che è invece necessario nel programma Select.</w:t>
      </w:r>
    </w:p>
    <w:p w14:paraId="47C700F7" w14:textId="77777777" w:rsidR="00456002" w:rsidRPr="0058047D" w:rsidRDefault="00456002" w:rsidP="00346F4B">
      <w:pPr>
        <w:pStyle w:val="AppendixIndent"/>
        <w:numPr>
          <w:ilvl w:val="0"/>
          <w:numId w:val="65"/>
        </w:numPr>
        <w:ind w:left="1440" w:right="720"/>
      </w:pPr>
      <w:r w:rsidRPr="0058047D">
        <w:rPr>
          <w:rFonts w:ascii="Tahoma" w:hAnsi="Tahoma" w:cs="Tahoma"/>
          <w:sz w:val="18"/>
        </w:rPr>
        <w:t>Acquistare Software Assurance per i singoli prodotti senza alcun impegno a estendere Software Assurance ad altri prodotti.</w:t>
      </w:r>
    </w:p>
    <w:p w14:paraId="387CE344" w14:textId="77777777" w:rsidR="0053106B" w:rsidRPr="0058047D" w:rsidRDefault="0053106B" w:rsidP="00EF6A68">
      <w:pPr>
        <w:pStyle w:val="AppendixBodyText"/>
        <w:spacing w:after="0"/>
        <w:ind w:right="720"/>
      </w:pPr>
    </w:p>
    <w:p w14:paraId="2A2771E2" w14:textId="77777777" w:rsidR="00456002" w:rsidRPr="0058047D" w:rsidRDefault="00456002" w:rsidP="00B147AB">
      <w:pPr>
        <w:pStyle w:val="AppendixBodyText"/>
        <w:spacing w:after="0"/>
        <w:ind w:right="720"/>
      </w:pPr>
      <w:r w:rsidRPr="0058047D">
        <w:rPr>
          <w:rFonts w:ascii="Tahoma" w:hAnsi="Tahoma" w:cs="Tahoma"/>
          <w:sz w:val="18"/>
        </w:rPr>
        <w:t>Software Assurance dovrà essere acquistata al momento dell</w:t>
      </w:r>
      <w:r w:rsidR="001C4212">
        <w:rPr>
          <w:rFonts w:ascii="Tahoma" w:hAnsi="Tahoma" w:cs="Tahoma"/>
          <w:sz w:val="18"/>
        </w:rPr>
        <w:t>’</w:t>
      </w:r>
      <w:r w:rsidRPr="0058047D">
        <w:rPr>
          <w:rFonts w:ascii="Tahoma" w:hAnsi="Tahoma" w:cs="Tahoma"/>
          <w:sz w:val="18"/>
        </w:rPr>
        <w:t>acquisto della Licenza o al rinnovo di un periodo di validità della copertura Software Assurance in essere.</w:t>
      </w:r>
      <w:r w:rsidR="00E34ED3" w:rsidRPr="0058047D">
        <w:rPr>
          <w:rFonts w:ascii="Tahoma" w:hAnsi="Tahoma" w:cs="Tahoma"/>
          <w:sz w:val="18"/>
        </w:rPr>
        <w:t xml:space="preserve"> </w:t>
      </w:r>
      <w:r w:rsidRPr="0058047D">
        <w:rPr>
          <w:rFonts w:ascii="Tahoma" w:hAnsi="Tahoma" w:cs="Tahoma"/>
          <w:sz w:val="18"/>
        </w:rPr>
        <w:t>Diversamente, per aggiornare la Licenza in un secondo momento (per un Sistema Operativo Desktop Windows, l</w:t>
      </w:r>
      <w:r w:rsidR="001C4212">
        <w:rPr>
          <w:rFonts w:ascii="Tahoma" w:hAnsi="Tahoma" w:cs="Tahoma"/>
          <w:sz w:val="18"/>
        </w:rPr>
        <w:t>’</w:t>
      </w:r>
      <w:r w:rsidRPr="0058047D">
        <w:rPr>
          <w:rFonts w:ascii="Tahoma" w:hAnsi="Tahoma" w:cs="Tahoma"/>
          <w:sz w:val="18"/>
        </w:rPr>
        <w:t>opzione è Aggiornamento e Software Assurance), la società dovrà acquistare una nuova Licenza o Licenza e Software Assurance.</w:t>
      </w:r>
      <w:r w:rsidR="00E34ED3" w:rsidRPr="0058047D">
        <w:rPr>
          <w:rFonts w:ascii="Tahoma" w:hAnsi="Tahoma" w:cs="Tahoma"/>
          <w:sz w:val="18"/>
        </w:rPr>
        <w:t xml:space="preserve"> </w:t>
      </w:r>
      <w:r w:rsidRPr="0058047D">
        <w:rPr>
          <w:rFonts w:ascii="Tahoma" w:hAnsi="Tahoma" w:cs="Tahoma"/>
          <w:sz w:val="18"/>
        </w:rPr>
        <w:t>Le società in possesso di EAP che hanno in precedenza rimandato l</w:t>
      </w:r>
      <w:r w:rsidR="001C4212">
        <w:rPr>
          <w:rFonts w:ascii="Tahoma" w:hAnsi="Tahoma" w:cs="Tahoma"/>
          <w:sz w:val="18"/>
        </w:rPr>
        <w:t>’</w:t>
      </w:r>
      <w:r w:rsidRPr="0058047D">
        <w:rPr>
          <w:rFonts w:ascii="Tahoma" w:hAnsi="Tahoma" w:cs="Tahoma"/>
          <w:sz w:val="18"/>
        </w:rPr>
        <w:t>acquisto delle Licenze tramite SKU SApriorL dovranno eseguire il buy-out delle loro Licenze prima di poter rinnovare la copertura SA.</w:t>
      </w:r>
      <w:r w:rsidR="00E34ED3" w:rsidRPr="0058047D">
        <w:rPr>
          <w:rFonts w:ascii="Tahoma" w:hAnsi="Tahoma" w:cs="Tahoma"/>
          <w:sz w:val="18"/>
        </w:rPr>
        <w:t xml:space="preserve"> </w:t>
      </w:r>
      <w:r w:rsidRPr="0058047D">
        <w:rPr>
          <w:rFonts w:ascii="Tahoma" w:hAnsi="Tahoma" w:cs="Tahoma"/>
          <w:sz w:val="18"/>
        </w:rPr>
        <w:t>Fare riferimento all</w:t>
      </w:r>
      <w:r w:rsidR="001C4212">
        <w:rPr>
          <w:rFonts w:ascii="Tahoma" w:hAnsi="Tahoma" w:cs="Tahoma"/>
          <w:sz w:val="18"/>
        </w:rPr>
        <w:t>’</w:t>
      </w:r>
      <w:r w:rsidRPr="0058047D">
        <w:rPr>
          <w:rFonts w:ascii="Tahoma" w:hAnsi="Tahoma" w:cs="Tahoma"/>
          <w:sz w:val="18"/>
        </w:rPr>
        <w:t>Articolo relativo alle regole per il rinnovo e al contratto specifico per il programma per conoscere i criteri di idoneità per l</w:t>
      </w:r>
      <w:r w:rsidR="001C4212">
        <w:rPr>
          <w:rFonts w:ascii="Tahoma" w:hAnsi="Tahoma" w:cs="Tahoma"/>
          <w:sz w:val="18"/>
        </w:rPr>
        <w:t>’</w:t>
      </w:r>
      <w:r w:rsidRPr="0058047D">
        <w:rPr>
          <w:rFonts w:ascii="Tahoma" w:hAnsi="Tahoma" w:cs="Tahoma"/>
          <w:sz w:val="18"/>
        </w:rPr>
        <w:t>acquisto di Software Assurance.</w:t>
      </w:r>
    </w:p>
    <w:p w14:paraId="4648BE32" w14:textId="77777777" w:rsidR="004C08A3" w:rsidRPr="0058047D" w:rsidRDefault="004C08A3" w:rsidP="00B147AB">
      <w:pPr>
        <w:pStyle w:val="AppendixBodyText"/>
        <w:spacing w:after="0"/>
        <w:ind w:right="720"/>
      </w:pPr>
    </w:p>
    <w:p w14:paraId="6FB56EDC" w14:textId="77777777" w:rsidR="00456002" w:rsidRPr="0058047D" w:rsidRDefault="00456002" w:rsidP="00B147AB">
      <w:pPr>
        <w:pStyle w:val="AppendixBodyText"/>
        <w:spacing w:after="0"/>
        <w:ind w:right="720"/>
      </w:pPr>
      <w:r w:rsidRPr="0058047D">
        <w:rPr>
          <w:rFonts w:ascii="Tahoma" w:hAnsi="Tahoma" w:cs="Tahoma"/>
          <w:sz w:val="18"/>
        </w:rPr>
        <w:t>Nell</w:t>
      </w:r>
      <w:r w:rsidR="001C4212">
        <w:rPr>
          <w:rFonts w:ascii="Tahoma" w:hAnsi="Tahoma" w:cs="Tahoma"/>
          <w:sz w:val="18"/>
        </w:rPr>
        <w:t>’</w:t>
      </w:r>
      <w:r w:rsidRPr="0058047D">
        <w:rPr>
          <w:rFonts w:ascii="Tahoma" w:hAnsi="Tahoma" w:cs="Tahoma"/>
          <w:sz w:val="18"/>
        </w:rPr>
        <w:t xml:space="preserve">eventualità di un trasferimento di Licenze perpetue, il cessionario potrà acquistare Software Assurance per tali Licenze trasferite entro 30 giorni dalla data del trasferimento e a condizioni che le License trasferite abbiano una copertura Software Assurance attiva al momento del trasferimento. </w:t>
      </w:r>
    </w:p>
    <w:p w14:paraId="1E6AE0F0" w14:textId="77777777" w:rsidR="004C08A3" w:rsidRPr="0058047D" w:rsidRDefault="004C08A3" w:rsidP="00B147AB">
      <w:pPr>
        <w:pStyle w:val="AppendixBodyText"/>
        <w:spacing w:after="0"/>
        <w:ind w:right="720"/>
      </w:pPr>
    </w:p>
    <w:p w14:paraId="05442A23" w14:textId="77777777" w:rsidR="00456002" w:rsidRPr="0058047D" w:rsidRDefault="00456002" w:rsidP="00B147AB">
      <w:pPr>
        <w:pStyle w:val="AppendixBodyText"/>
        <w:spacing w:after="0"/>
        <w:ind w:right="720"/>
      </w:pPr>
      <w:r w:rsidRPr="0058047D">
        <w:rPr>
          <w:rFonts w:ascii="Tahoma" w:hAnsi="Tahoma" w:cs="Tahoma"/>
          <w:sz w:val="18"/>
        </w:rPr>
        <w:t>Le società potranno avere la possibilità di ottenere Software Assurance per alcune licenze acquistate tramite il canale Retail (Full Packaged Product) o tramite un OEM. L</w:t>
      </w:r>
      <w:r w:rsidR="001C4212">
        <w:rPr>
          <w:rFonts w:ascii="Tahoma" w:hAnsi="Tahoma" w:cs="Tahoma"/>
          <w:sz w:val="18"/>
        </w:rPr>
        <w:t>’</w:t>
      </w:r>
      <w:r w:rsidRPr="0058047D">
        <w:rPr>
          <w:rFonts w:ascii="Tahoma" w:hAnsi="Tahoma" w:cs="Tahoma"/>
          <w:sz w:val="18"/>
        </w:rPr>
        <w:t>idoneità varia in base al programma, al pool di prodotti e all</w:t>
      </w:r>
      <w:r w:rsidR="001C4212">
        <w:rPr>
          <w:rFonts w:ascii="Tahoma" w:hAnsi="Tahoma" w:cs="Tahoma"/>
          <w:sz w:val="18"/>
        </w:rPr>
        <w:t>’</w:t>
      </w:r>
      <w:r w:rsidRPr="0058047D">
        <w:rPr>
          <w:rFonts w:ascii="Tahoma" w:hAnsi="Tahoma" w:cs="Tahoma"/>
          <w:sz w:val="18"/>
        </w:rPr>
        <w:t>origine della licenza (vedere di seguito).</w:t>
      </w:r>
      <w:r w:rsidR="00E34ED3" w:rsidRPr="0058047D">
        <w:rPr>
          <w:rFonts w:ascii="Tahoma" w:hAnsi="Tahoma" w:cs="Tahoma"/>
          <w:sz w:val="18"/>
        </w:rPr>
        <w:t xml:space="preserve"> </w:t>
      </w:r>
      <w:r w:rsidRPr="0058047D">
        <w:rPr>
          <w:rFonts w:ascii="Tahoma" w:hAnsi="Tahoma" w:cs="Tahoma"/>
          <w:sz w:val="18"/>
        </w:rPr>
        <w:t>In tutti i casi, salvo quanto diversamente indicato, solo le licenze per l</w:t>
      </w:r>
      <w:r w:rsidR="001C4212">
        <w:rPr>
          <w:rFonts w:ascii="Tahoma" w:hAnsi="Tahoma" w:cs="Tahoma"/>
          <w:sz w:val="18"/>
        </w:rPr>
        <w:t>’</w:t>
      </w:r>
      <w:r w:rsidRPr="0058047D">
        <w:rPr>
          <w:rFonts w:ascii="Tahoma" w:hAnsi="Tahoma" w:cs="Tahoma"/>
          <w:sz w:val="18"/>
        </w:rPr>
        <w:t>ultima versione di un prodotto sono idonee e la copertura Software Assurance dovrà essere acquistata entro 90 giorni dalla data in cui sono state acquistate le licenze. Ai sensi del programma Open Value, questa opzione si applica solo ai prodotti con l</w:t>
      </w:r>
      <w:r w:rsidR="001C4212">
        <w:rPr>
          <w:rFonts w:ascii="Tahoma" w:hAnsi="Tahoma" w:cs="Tahoma"/>
          <w:sz w:val="18"/>
        </w:rPr>
        <w:t>’</w:t>
      </w:r>
      <w:r w:rsidRPr="0058047D">
        <w:rPr>
          <w:rFonts w:ascii="Tahoma" w:hAnsi="Tahoma" w:cs="Tahoma"/>
          <w:sz w:val="18"/>
        </w:rPr>
        <w:t>opzione non per l</w:t>
      </w:r>
      <w:r w:rsidR="001C4212">
        <w:rPr>
          <w:rFonts w:ascii="Tahoma" w:hAnsi="Tahoma" w:cs="Tahoma"/>
          <w:sz w:val="18"/>
        </w:rPr>
        <w:t>’</w:t>
      </w:r>
      <w:r w:rsidRPr="0058047D">
        <w:rPr>
          <w:rFonts w:ascii="Tahoma" w:hAnsi="Tahoma" w:cs="Tahoma"/>
          <w:sz w:val="18"/>
        </w:rPr>
        <w:t>intera Organizzazione/non a livello Aziendale. Ai sensi dei Contratti Enterprise, si applica solo ai Prodotti Aggiuntivi entro 90 giorni. Le società che acquistano Software Assurance per OEM o licenze al dettaglio hanno la possibilità di installare e utilizzare software per Contratti Multilicenza per la versione corrente in qualsiasi momento.</w:t>
      </w:r>
      <w:r w:rsidR="00E34ED3" w:rsidRPr="0058047D">
        <w:rPr>
          <w:rFonts w:ascii="Tahoma" w:hAnsi="Tahoma" w:cs="Tahoma"/>
          <w:sz w:val="18"/>
        </w:rPr>
        <w:t xml:space="preserve"> </w:t>
      </w:r>
      <w:r w:rsidRPr="0058047D">
        <w:rPr>
          <w:rFonts w:ascii="Tahoma" w:hAnsi="Tahoma" w:cs="Tahoma"/>
          <w:sz w:val="18"/>
        </w:rPr>
        <w:t>In questo caso, l</w:t>
      </w:r>
      <w:r w:rsidR="001C4212">
        <w:rPr>
          <w:rFonts w:ascii="Tahoma" w:hAnsi="Tahoma" w:cs="Tahoma"/>
          <w:sz w:val="18"/>
        </w:rPr>
        <w:t>’</w:t>
      </w:r>
      <w:r w:rsidRPr="0058047D">
        <w:rPr>
          <w:rFonts w:ascii="Tahoma" w:hAnsi="Tahoma" w:cs="Tahoma"/>
          <w:sz w:val="18"/>
        </w:rPr>
        <w:t>utilizzo da parte della società del software è soggetto ai Diritti di Utilizzo del Prodotto per tale prodotto e alle condizioni del Contratto Multilicenza della società.</w:t>
      </w: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0"/>
        <w:gridCol w:w="1755"/>
        <w:gridCol w:w="2189"/>
        <w:gridCol w:w="2971"/>
      </w:tblGrid>
      <w:tr w:rsidR="00456002" w:rsidRPr="0058047D" w14:paraId="66807117" w14:textId="77777777" w:rsidTr="008432A1">
        <w:tc>
          <w:tcPr>
            <w:tcW w:w="1800" w:type="dxa"/>
            <w:tcBorders>
              <w:top w:val="single" w:sz="4" w:space="0" w:color="auto"/>
              <w:left w:val="single" w:sz="4" w:space="0" w:color="auto"/>
              <w:bottom w:val="single" w:sz="4" w:space="0" w:color="auto"/>
              <w:right w:val="single" w:sz="4" w:space="0" w:color="auto"/>
            </w:tcBorders>
            <w:shd w:val="clear" w:color="auto" w:fill="FFCC99"/>
            <w:vAlign w:val="center"/>
          </w:tcPr>
          <w:p w14:paraId="2311371D" w14:textId="77777777" w:rsidR="00456002" w:rsidRPr="0058047D" w:rsidRDefault="00456002" w:rsidP="005C647E">
            <w:pPr>
              <w:pStyle w:val="AppendixTableHeadings"/>
              <w:rPr>
                <w:rFonts w:ascii="Tahoma" w:hAnsi="Tahoma" w:cs="Tahoma"/>
                <w:sz w:val="20"/>
                <w:szCs w:val="20"/>
              </w:rPr>
            </w:pPr>
          </w:p>
        </w:tc>
        <w:tc>
          <w:tcPr>
            <w:tcW w:w="1755"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667C286D" w14:textId="77777777" w:rsidR="00456002" w:rsidRPr="0058047D" w:rsidRDefault="00456002" w:rsidP="005C647E">
            <w:pPr>
              <w:pStyle w:val="AppendixTableHeadings"/>
              <w:rPr>
                <w:rFonts w:ascii="Tahoma" w:hAnsi="Tahoma" w:cs="Tahoma"/>
                <w:sz w:val="20"/>
              </w:rPr>
            </w:pPr>
            <w:r w:rsidRPr="0058047D">
              <w:rPr>
                <w:rFonts w:ascii="Tahoma" w:hAnsi="Tahoma" w:cs="Tahoma"/>
                <w:sz w:val="20"/>
              </w:rPr>
              <w:t>Full Packaged Product</w:t>
            </w:r>
          </w:p>
        </w:tc>
        <w:tc>
          <w:tcPr>
            <w:tcW w:w="2189"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4427D615" w14:textId="77777777" w:rsidR="00456002" w:rsidRPr="0058047D" w:rsidRDefault="00456002" w:rsidP="005C647E">
            <w:pPr>
              <w:pStyle w:val="AppendixTableHeadings"/>
              <w:rPr>
                <w:rFonts w:ascii="Tahoma" w:hAnsi="Tahoma" w:cs="Tahoma"/>
                <w:sz w:val="20"/>
              </w:rPr>
            </w:pPr>
            <w:r w:rsidRPr="0058047D">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14:paraId="474CC077" w14:textId="77777777" w:rsidR="00456002" w:rsidRPr="0058047D" w:rsidRDefault="00456002" w:rsidP="005C647E">
            <w:pPr>
              <w:pStyle w:val="AppendixTableHeadings"/>
              <w:rPr>
                <w:rFonts w:ascii="Tahoma" w:hAnsi="Tahoma" w:cs="Tahoma"/>
                <w:sz w:val="20"/>
              </w:rPr>
            </w:pPr>
            <w:r w:rsidRPr="0058047D">
              <w:rPr>
                <w:rFonts w:ascii="Tahoma" w:hAnsi="Tahoma" w:cs="Tahoma"/>
                <w:sz w:val="20"/>
              </w:rPr>
              <w:t>Programmi</w:t>
            </w:r>
          </w:p>
        </w:tc>
      </w:tr>
      <w:tr w:rsidR="00456002" w:rsidRPr="0058047D" w14:paraId="46DBEF03" w14:textId="77777777" w:rsidTr="008432A1">
        <w:tc>
          <w:tcPr>
            <w:tcW w:w="1800" w:type="dxa"/>
            <w:tcBorders>
              <w:top w:val="single" w:sz="4" w:space="0" w:color="auto"/>
              <w:left w:val="single" w:sz="4" w:space="0" w:color="auto"/>
              <w:bottom w:val="single" w:sz="4" w:space="0" w:color="auto"/>
              <w:right w:val="single" w:sz="4" w:space="0" w:color="auto"/>
            </w:tcBorders>
            <w:vAlign w:val="center"/>
            <w:hideMark/>
          </w:tcPr>
          <w:p w14:paraId="687F73B8" w14:textId="77777777" w:rsidR="00456002" w:rsidRPr="0058047D" w:rsidRDefault="00456002" w:rsidP="005C647E">
            <w:pPr>
              <w:pStyle w:val="AppendixTableText"/>
              <w:rPr>
                <w:rFonts w:ascii="Tahoma" w:hAnsi="Tahoma" w:cs="Tahoma"/>
                <w:b/>
                <w:color w:val="000000"/>
                <w:sz w:val="20"/>
                <w:szCs w:val="20"/>
              </w:rPr>
            </w:pPr>
            <w:r w:rsidRPr="0058047D">
              <w:rPr>
                <w:rFonts w:ascii="Tahoma" w:hAnsi="Tahoma" w:cs="Tahoma"/>
                <w:b/>
                <w:color w:val="000000"/>
                <w:sz w:val="20"/>
                <w:szCs w:val="20"/>
              </w:rPr>
              <w:t xml:space="preserve">Pool di Applicazioni </w:t>
            </w:r>
          </w:p>
        </w:tc>
        <w:tc>
          <w:tcPr>
            <w:tcW w:w="1755" w:type="dxa"/>
            <w:tcBorders>
              <w:top w:val="single" w:sz="4" w:space="0" w:color="auto"/>
              <w:left w:val="single" w:sz="4" w:space="0" w:color="auto"/>
              <w:bottom w:val="single" w:sz="4" w:space="0" w:color="auto"/>
              <w:right w:val="single" w:sz="4" w:space="0" w:color="auto"/>
            </w:tcBorders>
            <w:vAlign w:val="center"/>
            <w:hideMark/>
          </w:tcPr>
          <w:p w14:paraId="7C87370D" w14:textId="77777777" w:rsidR="00456002" w:rsidRPr="0058047D" w:rsidRDefault="00456002" w:rsidP="005C647E">
            <w:pPr>
              <w:pStyle w:val="AppendixTableText"/>
              <w:rPr>
                <w:rFonts w:ascii="Tahoma" w:hAnsi="Tahoma" w:cs="Tahoma"/>
                <w:color w:val="000000"/>
              </w:rPr>
            </w:pPr>
            <w:r w:rsidRPr="0058047D">
              <w:rPr>
                <w:rFonts w:ascii="Tahoma" w:hAnsi="Tahoma" w:cs="Tahoma"/>
                <w:color w:val="000000"/>
              </w:rPr>
              <w:t xml:space="preserve">N/D </w:t>
            </w:r>
          </w:p>
        </w:tc>
        <w:tc>
          <w:tcPr>
            <w:tcW w:w="2189" w:type="dxa"/>
            <w:tcBorders>
              <w:top w:val="single" w:sz="4" w:space="0" w:color="auto"/>
              <w:left w:val="single" w:sz="4" w:space="0" w:color="auto"/>
              <w:bottom w:val="single" w:sz="4" w:space="0" w:color="auto"/>
              <w:right w:val="single" w:sz="4" w:space="0" w:color="auto"/>
            </w:tcBorders>
            <w:vAlign w:val="center"/>
            <w:hideMark/>
          </w:tcPr>
          <w:p w14:paraId="6A57EC6D" w14:textId="77777777" w:rsidR="00456002" w:rsidRPr="0058047D" w:rsidRDefault="00456002" w:rsidP="005C647E">
            <w:pPr>
              <w:pStyle w:val="AppendixTableText"/>
              <w:rPr>
                <w:rFonts w:ascii="Tahoma" w:hAnsi="Tahoma" w:cs="Tahoma"/>
                <w:color w:val="000000"/>
              </w:rPr>
            </w:pPr>
            <w:r w:rsidRPr="0058047D">
              <w:rPr>
                <w:rFonts w:ascii="Tahoma" w:hAnsi="Tahoma" w:cs="Tahoma"/>
                <w:color w:val="000000"/>
              </w:rPr>
              <w:t>SA disponibile solo nella modalità delineata sotto</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4A15F16E" w14:textId="77777777" w:rsidR="00456002" w:rsidRPr="0058047D" w:rsidRDefault="00456002" w:rsidP="005C647E">
            <w:pPr>
              <w:pStyle w:val="AppendixTableText"/>
              <w:jc w:val="left"/>
              <w:rPr>
                <w:rFonts w:ascii="Tahoma" w:hAnsi="Tahoma" w:cs="Tahoma"/>
                <w:color w:val="000000"/>
              </w:rPr>
            </w:pPr>
            <w:r w:rsidRPr="0058047D">
              <w:rPr>
                <w:rFonts w:ascii="Tahoma" w:hAnsi="Tahoma" w:cs="Tahoma"/>
                <w:color w:val="000000"/>
              </w:rPr>
              <w:t>Si applica a Open License, Select, Select Plus, all</w:t>
            </w:r>
            <w:r w:rsidR="001C4212">
              <w:rPr>
                <w:rFonts w:ascii="Tahoma" w:hAnsi="Tahoma" w:cs="Tahoma"/>
                <w:color w:val="000000"/>
              </w:rPr>
              <w:t>’</w:t>
            </w:r>
            <w:r w:rsidRPr="0058047D">
              <w:rPr>
                <w:rFonts w:ascii="Tahoma" w:hAnsi="Tahoma" w:cs="Tahoma"/>
                <w:color w:val="000000"/>
              </w:rPr>
              <w:t xml:space="preserve">opzione </w:t>
            </w:r>
            <w:r w:rsidRPr="0058047D">
              <w:rPr>
                <w:rFonts w:ascii="Tahoma" w:hAnsi="Tahoma" w:cs="Tahoma"/>
              </w:rPr>
              <w:t>non per l</w:t>
            </w:r>
            <w:r w:rsidR="001C4212">
              <w:rPr>
                <w:rFonts w:ascii="Tahoma" w:hAnsi="Tahoma" w:cs="Tahoma"/>
              </w:rPr>
              <w:t>’</w:t>
            </w:r>
            <w:r w:rsidRPr="0058047D">
              <w:rPr>
                <w:rFonts w:ascii="Tahoma" w:hAnsi="Tahoma" w:cs="Tahoma"/>
              </w:rPr>
              <w:t>intera organizzazione/non a livello aziendale</w:t>
            </w:r>
            <w:r w:rsidRPr="0058047D">
              <w:rPr>
                <w:rFonts w:ascii="Tahoma" w:hAnsi="Tahoma" w:cs="Tahoma"/>
                <w:color w:val="000000"/>
              </w:rPr>
              <w:t xml:space="preserve"> del programma Open Value e ai Prodotti Aggiuntivi dei Contratti Enterprise. Non si applica ai Prodotti Enterprise del programma Open Value e dei Contratti Enterprise</w:t>
            </w:r>
          </w:p>
        </w:tc>
      </w:tr>
      <w:tr w:rsidR="00456002" w:rsidRPr="0058047D" w14:paraId="3EEE128A" w14:textId="77777777" w:rsidTr="008432A1">
        <w:tc>
          <w:tcPr>
            <w:tcW w:w="1800" w:type="dxa"/>
            <w:tcBorders>
              <w:top w:val="single" w:sz="4" w:space="0" w:color="auto"/>
              <w:left w:val="single" w:sz="4" w:space="0" w:color="auto"/>
              <w:bottom w:val="single" w:sz="4" w:space="0" w:color="auto"/>
              <w:right w:val="single" w:sz="4" w:space="0" w:color="auto"/>
            </w:tcBorders>
            <w:vAlign w:val="center"/>
            <w:hideMark/>
          </w:tcPr>
          <w:p w14:paraId="7E6D2F10" w14:textId="77777777" w:rsidR="00456002" w:rsidRPr="0058047D" w:rsidRDefault="00456002" w:rsidP="005C647E">
            <w:pPr>
              <w:pStyle w:val="AppendixTableText"/>
              <w:rPr>
                <w:rFonts w:ascii="Tahoma" w:hAnsi="Tahoma" w:cs="Tahoma"/>
                <w:b/>
                <w:color w:val="000000"/>
                <w:sz w:val="20"/>
                <w:szCs w:val="20"/>
              </w:rPr>
            </w:pPr>
            <w:r w:rsidRPr="0058047D">
              <w:rPr>
                <w:rFonts w:ascii="Tahoma" w:hAnsi="Tahoma" w:cs="Tahoma"/>
                <w:b/>
                <w:color w:val="000000"/>
                <w:sz w:val="20"/>
                <w:szCs w:val="20"/>
              </w:rPr>
              <w:t xml:space="preserve">Pool di sistemi </w:t>
            </w:r>
          </w:p>
        </w:tc>
        <w:tc>
          <w:tcPr>
            <w:tcW w:w="1755" w:type="dxa"/>
            <w:tcBorders>
              <w:top w:val="single" w:sz="4" w:space="0" w:color="auto"/>
              <w:left w:val="single" w:sz="4" w:space="0" w:color="auto"/>
              <w:bottom w:val="single" w:sz="4" w:space="0" w:color="auto"/>
              <w:right w:val="single" w:sz="4" w:space="0" w:color="auto"/>
            </w:tcBorders>
            <w:vAlign w:val="center"/>
            <w:hideMark/>
          </w:tcPr>
          <w:p w14:paraId="3DB36502" w14:textId="77777777" w:rsidR="00456002" w:rsidRPr="0058047D" w:rsidRDefault="00456002" w:rsidP="005C647E">
            <w:pPr>
              <w:pStyle w:val="AppendixTableText"/>
              <w:rPr>
                <w:rFonts w:ascii="Tahoma" w:hAnsi="Tahoma" w:cs="Tahoma"/>
                <w:color w:val="000000"/>
              </w:rPr>
            </w:pPr>
            <w:r w:rsidRPr="0058047D">
              <w:rPr>
                <w:rFonts w:ascii="Tahoma" w:hAnsi="Tahoma" w:cs="Tahoma"/>
                <w:color w:val="000000"/>
              </w:rPr>
              <w:t xml:space="preserve">SA disponibile </w:t>
            </w:r>
          </w:p>
        </w:tc>
        <w:tc>
          <w:tcPr>
            <w:tcW w:w="2189" w:type="dxa"/>
            <w:tcBorders>
              <w:top w:val="single" w:sz="4" w:space="0" w:color="auto"/>
              <w:left w:val="single" w:sz="4" w:space="0" w:color="auto"/>
              <w:bottom w:val="single" w:sz="4" w:space="0" w:color="auto"/>
              <w:right w:val="single" w:sz="4" w:space="0" w:color="auto"/>
            </w:tcBorders>
            <w:vAlign w:val="center"/>
            <w:hideMark/>
          </w:tcPr>
          <w:p w14:paraId="2636E2A8" w14:textId="77777777" w:rsidR="00456002" w:rsidRPr="0058047D" w:rsidRDefault="00456002" w:rsidP="005C647E">
            <w:pPr>
              <w:pStyle w:val="AppendixTableText"/>
              <w:rPr>
                <w:rFonts w:ascii="Tahoma" w:hAnsi="Tahoma" w:cs="Tahoma"/>
                <w:color w:val="000000"/>
              </w:rPr>
            </w:pPr>
            <w:r w:rsidRPr="0058047D">
              <w:rPr>
                <w:rFonts w:ascii="Tahoma" w:hAnsi="Tahoma" w:cs="Tahoma"/>
                <w:color w:val="000000"/>
              </w:rPr>
              <w:t xml:space="preserve">SA disponibile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22A21436" w14:textId="77777777" w:rsidR="00456002" w:rsidRPr="0058047D" w:rsidRDefault="00456002" w:rsidP="005C647E">
            <w:pPr>
              <w:rPr>
                <w:rFonts w:cs="Tahoma"/>
                <w:color w:val="000000"/>
                <w:szCs w:val="18"/>
              </w:rPr>
            </w:pPr>
          </w:p>
        </w:tc>
      </w:tr>
      <w:tr w:rsidR="00456002" w:rsidRPr="0058047D" w14:paraId="4F8593EB" w14:textId="77777777" w:rsidTr="008432A1">
        <w:tc>
          <w:tcPr>
            <w:tcW w:w="1800" w:type="dxa"/>
            <w:tcBorders>
              <w:top w:val="single" w:sz="4" w:space="0" w:color="auto"/>
              <w:left w:val="single" w:sz="4" w:space="0" w:color="auto"/>
              <w:bottom w:val="single" w:sz="4" w:space="0" w:color="auto"/>
              <w:right w:val="single" w:sz="4" w:space="0" w:color="auto"/>
            </w:tcBorders>
            <w:vAlign w:val="center"/>
            <w:hideMark/>
          </w:tcPr>
          <w:p w14:paraId="4E4A1771" w14:textId="77777777" w:rsidR="00456002" w:rsidRPr="0058047D" w:rsidRDefault="00456002" w:rsidP="005C647E">
            <w:pPr>
              <w:pStyle w:val="AppendixTableText"/>
              <w:rPr>
                <w:rFonts w:ascii="Tahoma" w:hAnsi="Tahoma" w:cs="Tahoma"/>
                <w:b/>
                <w:color w:val="000000"/>
                <w:sz w:val="20"/>
                <w:szCs w:val="20"/>
              </w:rPr>
            </w:pPr>
            <w:r w:rsidRPr="0058047D">
              <w:rPr>
                <w:rFonts w:ascii="Tahoma" w:hAnsi="Tahoma" w:cs="Tahoma"/>
                <w:b/>
                <w:color w:val="000000"/>
                <w:sz w:val="20"/>
                <w:szCs w:val="20"/>
              </w:rPr>
              <w:t>Pool di Server</w:t>
            </w:r>
          </w:p>
        </w:tc>
        <w:tc>
          <w:tcPr>
            <w:tcW w:w="1755" w:type="dxa"/>
            <w:tcBorders>
              <w:top w:val="single" w:sz="4" w:space="0" w:color="auto"/>
              <w:left w:val="single" w:sz="4" w:space="0" w:color="auto"/>
              <w:bottom w:val="single" w:sz="4" w:space="0" w:color="auto"/>
              <w:right w:val="single" w:sz="4" w:space="0" w:color="auto"/>
            </w:tcBorders>
            <w:vAlign w:val="center"/>
            <w:hideMark/>
          </w:tcPr>
          <w:p w14:paraId="0B7225B1" w14:textId="77777777" w:rsidR="00456002" w:rsidRPr="0058047D" w:rsidRDefault="00456002" w:rsidP="005C647E">
            <w:pPr>
              <w:pStyle w:val="AppendixTableText"/>
              <w:rPr>
                <w:rFonts w:ascii="Tahoma" w:hAnsi="Tahoma" w:cs="Tahoma"/>
                <w:color w:val="000000"/>
              </w:rPr>
            </w:pPr>
            <w:r w:rsidRPr="0058047D">
              <w:rPr>
                <w:rFonts w:ascii="Tahoma" w:hAnsi="Tahoma" w:cs="Tahoma"/>
                <w:color w:val="000000"/>
              </w:rPr>
              <w:t xml:space="preserve">SA disponibile </w:t>
            </w:r>
          </w:p>
        </w:tc>
        <w:tc>
          <w:tcPr>
            <w:tcW w:w="2189" w:type="dxa"/>
            <w:tcBorders>
              <w:top w:val="single" w:sz="4" w:space="0" w:color="auto"/>
              <w:left w:val="single" w:sz="4" w:space="0" w:color="auto"/>
              <w:bottom w:val="single" w:sz="4" w:space="0" w:color="auto"/>
              <w:right w:val="single" w:sz="4" w:space="0" w:color="auto"/>
            </w:tcBorders>
            <w:vAlign w:val="center"/>
            <w:hideMark/>
          </w:tcPr>
          <w:p w14:paraId="351CB066" w14:textId="77777777" w:rsidR="00456002" w:rsidRPr="0058047D" w:rsidRDefault="00456002" w:rsidP="005C647E">
            <w:pPr>
              <w:pStyle w:val="AppendixTableText"/>
              <w:rPr>
                <w:rFonts w:ascii="Tahoma" w:hAnsi="Tahoma" w:cs="Tahoma"/>
                <w:color w:val="000000"/>
              </w:rPr>
            </w:pPr>
            <w:r w:rsidRPr="0058047D">
              <w:rPr>
                <w:rFonts w:ascii="Tahoma" w:hAnsi="Tahoma" w:cs="Tahoma"/>
                <w:color w:val="000000"/>
              </w:rPr>
              <w:t>SA disponibile</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28A7FC44" w14:textId="77777777" w:rsidR="00456002" w:rsidRPr="0058047D" w:rsidRDefault="00456002" w:rsidP="005C647E">
            <w:pPr>
              <w:rPr>
                <w:rFonts w:cs="Tahoma"/>
                <w:color w:val="000000"/>
                <w:szCs w:val="18"/>
              </w:rPr>
            </w:pPr>
          </w:p>
        </w:tc>
      </w:tr>
    </w:tbl>
    <w:p w14:paraId="528888B2" w14:textId="77777777" w:rsidR="00456002" w:rsidRPr="0058047D" w:rsidRDefault="00456002" w:rsidP="00456002">
      <w:pPr>
        <w:ind w:right="720"/>
      </w:pPr>
    </w:p>
    <w:p w14:paraId="5AF0E4D6" w14:textId="77777777" w:rsidR="00456002" w:rsidRPr="0058047D" w:rsidRDefault="00456002" w:rsidP="00B147AB">
      <w:pPr>
        <w:pStyle w:val="AppendixBodyText"/>
        <w:spacing w:after="0"/>
        <w:ind w:right="720"/>
      </w:pPr>
      <w:r w:rsidRPr="0058047D">
        <w:rPr>
          <w:rFonts w:ascii="Tahoma" w:hAnsi="Tahoma" w:cs="Tahoma"/>
          <w:sz w:val="18"/>
          <w:szCs w:val="18"/>
        </w:rPr>
        <w:t>Le società che acquistano Microsoft Office Professional 2013 da un OEM potranno acquistare Software Assurance per Microsoft Office Standard 2013 nell</w:t>
      </w:r>
      <w:r w:rsidR="001C4212">
        <w:rPr>
          <w:rFonts w:ascii="Tahoma" w:hAnsi="Tahoma" w:cs="Tahoma"/>
          <w:sz w:val="18"/>
          <w:szCs w:val="18"/>
        </w:rPr>
        <w:t>’</w:t>
      </w:r>
      <w:r w:rsidRPr="0058047D">
        <w:rPr>
          <w:rFonts w:ascii="Tahoma" w:hAnsi="Tahoma" w:cs="Tahoma"/>
          <w:sz w:val="18"/>
          <w:szCs w:val="18"/>
        </w:rPr>
        <w:t>ambito dei programmi Open License, Select e Select Plus e l</w:t>
      </w:r>
      <w:r w:rsidR="001C4212">
        <w:rPr>
          <w:rFonts w:ascii="Tahoma" w:hAnsi="Tahoma" w:cs="Tahoma"/>
          <w:sz w:val="18"/>
          <w:szCs w:val="18"/>
        </w:rPr>
        <w:t>’</w:t>
      </w:r>
      <w:r w:rsidRPr="0058047D">
        <w:rPr>
          <w:rFonts w:ascii="Tahoma" w:hAnsi="Tahoma" w:cs="Tahoma"/>
          <w:sz w:val="18"/>
          <w:szCs w:val="18"/>
        </w:rPr>
        <w:t>opzione non a livello aziendale ai sensi del programma Open Value entro 90 giorni dalla data di acquisto presso l</w:t>
      </w:r>
      <w:r w:rsidR="001C4212">
        <w:rPr>
          <w:rFonts w:ascii="Tahoma" w:hAnsi="Tahoma" w:cs="Tahoma"/>
          <w:sz w:val="18"/>
          <w:szCs w:val="18"/>
        </w:rPr>
        <w:t>’</w:t>
      </w:r>
      <w:r w:rsidRPr="0058047D">
        <w:rPr>
          <w:rFonts w:ascii="Tahoma" w:hAnsi="Tahoma" w:cs="Tahoma"/>
          <w:sz w:val="18"/>
          <w:szCs w:val="18"/>
        </w:rPr>
        <w:t>OEM. Le Product Key Card (PKC) Office sono considerate un</w:t>
      </w:r>
      <w:r w:rsidR="001C4212">
        <w:rPr>
          <w:rFonts w:ascii="Tahoma" w:hAnsi="Tahoma" w:cs="Tahoma"/>
          <w:sz w:val="18"/>
          <w:szCs w:val="18"/>
        </w:rPr>
        <w:t>’</w:t>
      </w:r>
      <w:r w:rsidRPr="0058047D">
        <w:rPr>
          <w:rFonts w:ascii="Tahoma" w:hAnsi="Tahoma" w:cs="Tahoma"/>
          <w:sz w:val="18"/>
          <w:szCs w:val="18"/>
        </w:rPr>
        <w:t>offerta Full Packaged Product (Dettaglio) e pertanto non sono idonee a beneficiare dell</w:t>
      </w:r>
      <w:r w:rsidR="001C4212">
        <w:rPr>
          <w:rFonts w:ascii="Tahoma" w:hAnsi="Tahoma" w:cs="Tahoma"/>
          <w:sz w:val="18"/>
          <w:szCs w:val="18"/>
        </w:rPr>
        <w:t>’</w:t>
      </w:r>
      <w:r w:rsidRPr="0058047D">
        <w:rPr>
          <w:rFonts w:ascii="Tahoma" w:hAnsi="Tahoma" w:cs="Tahoma"/>
          <w:sz w:val="18"/>
          <w:szCs w:val="18"/>
        </w:rPr>
        <w:t>opzione di acquisto di Software Assurance.</w:t>
      </w:r>
    </w:p>
    <w:p w14:paraId="6687CD37" w14:textId="77777777" w:rsidR="00255158" w:rsidRPr="0058047D" w:rsidRDefault="00255158" w:rsidP="00B147AB">
      <w:pPr>
        <w:pStyle w:val="AppendixBodyText"/>
        <w:spacing w:after="0"/>
        <w:ind w:right="720"/>
      </w:pPr>
    </w:p>
    <w:p w14:paraId="02D8B144" w14:textId="77777777" w:rsidR="00456002" w:rsidRPr="0058047D" w:rsidRDefault="00456002" w:rsidP="00456002">
      <w:pPr>
        <w:pStyle w:val="Heading2"/>
        <w:ind w:left="0" w:right="720"/>
      </w:pPr>
      <w:bookmarkStart w:id="635" w:name="_Toc323819651"/>
      <w:bookmarkStart w:id="636" w:name="_Toc336338202"/>
      <w:bookmarkStart w:id="637" w:name="_Toc371663595"/>
      <w:r w:rsidRPr="0058047D">
        <w:rPr>
          <w:rFonts w:ascii="Tahoma" w:hAnsi="Tahoma" w:cs="Tahoma"/>
        </w:rPr>
        <w:t>Licenze Step-Up</w:t>
      </w:r>
      <w:bookmarkEnd w:id="635"/>
      <w:bookmarkEnd w:id="636"/>
      <w:bookmarkEnd w:id="637"/>
    </w:p>
    <w:p w14:paraId="4E1541F6" w14:textId="77777777" w:rsidR="00456002" w:rsidRPr="0058047D" w:rsidRDefault="00456002" w:rsidP="00B147AB">
      <w:pPr>
        <w:ind w:right="720"/>
      </w:pPr>
    </w:p>
    <w:p w14:paraId="2090666B" w14:textId="77777777" w:rsidR="00456002" w:rsidRPr="0058047D" w:rsidRDefault="00456002" w:rsidP="00B147AB">
      <w:pPr>
        <w:pStyle w:val="AppendixIndent"/>
        <w:ind w:left="0" w:right="720"/>
      </w:pPr>
      <w:r w:rsidRPr="0058047D">
        <w:rPr>
          <w:rFonts w:ascii="Tahoma" w:hAnsi="Tahoma" w:cs="Tahoma"/>
          <w:sz w:val="18"/>
        </w:rPr>
        <w:t>Le società potranno migrare dall</w:t>
      </w:r>
      <w:r w:rsidR="001C4212">
        <w:rPr>
          <w:rFonts w:ascii="Tahoma" w:hAnsi="Tahoma" w:cs="Tahoma"/>
          <w:sz w:val="18"/>
        </w:rPr>
        <w:t>’</w:t>
      </w:r>
      <w:r w:rsidRPr="0058047D">
        <w:rPr>
          <w:rFonts w:ascii="Tahoma" w:hAnsi="Tahoma" w:cs="Tahoma"/>
          <w:sz w:val="18"/>
        </w:rPr>
        <w:t>edizione standard a un</w:t>
      </w:r>
      <w:r w:rsidR="001C4212">
        <w:rPr>
          <w:rFonts w:ascii="Tahoma" w:hAnsi="Tahoma" w:cs="Tahoma"/>
          <w:sz w:val="18"/>
        </w:rPr>
        <w:t>’</w:t>
      </w:r>
      <w:r w:rsidRPr="0058047D">
        <w:rPr>
          <w:rFonts w:ascii="Tahoma" w:hAnsi="Tahoma" w:cs="Tahoma"/>
          <w:sz w:val="18"/>
        </w:rPr>
        <w:t xml:space="preserve">edizione premium di determinati prodotti con una Licenza Step-Up. Le società dovranno disporre di una licenza </w:t>
      </w:r>
      <w:r w:rsidRPr="0058047D">
        <w:rPr>
          <w:rFonts w:ascii="Tahoma" w:hAnsi="Tahoma" w:cs="Tahoma"/>
          <w:sz w:val="18"/>
          <w:szCs w:val="18"/>
        </w:rPr>
        <w:t xml:space="preserve">con copertura Software </w:t>
      </w:r>
      <w:r w:rsidRPr="0058047D">
        <w:rPr>
          <w:rFonts w:ascii="Tahoma" w:hAnsi="Tahoma" w:cs="Tahoma"/>
          <w:color w:val="000000"/>
          <w:sz w:val="18"/>
          <w:szCs w:val="18"/>
        </w:rPr>
        <w:t>Assurance attiva per il prodotto qualificante, al fine di acquistare una Licenza Step-Up. La Licenza Step-Up dovrà essere acquistata, e sarà valida unicamente dopo l</w:t>
      </w:r>
      <w:r w:rsidR="001C4212">
        <w:rPr>
          <w:rFonts w:ascii="Tahoma" w:hAnsi="Tahoma" w:cs="Tahoma"/>
          <w:color w:val="000000"/>
          <w:sz w:val="18"/>
          <w:szCs w:val="18"/>
        </w:rPr>
        <w:t>’</w:t>
      </w:r>
      <w:r w:rsidRPr="0058047D">
        <w:rPr>
          <w:rFonts w:ascii="Tahoma" w:hAnsi="Tahoma" w:cs="Tahoma"/>
          <w:color w:val="000000"/>
          <w:sz w:val="18"/>
          <w:szCs w:val="18"/>
        </w:rPr>
        <w:t>acquisto, nell</w:t>
      </w:r>
      <w:r w:rsidR="001C4212">
        <w:rPr>
          <w:rFonts w:ascii="Tahoma" w:hAnsi="Tahoma" w:cs="Tahoma"/>
          <w:color w:val="000000"/>
          <w:sz w:val="18"/>
          <w:szCs w:val="18"/>
        </w:rPr>
        <w:t>’</w:t>
      </w:r>
      <w:r w:rsidRPr="0058047D">
        <w:rPr>
          <w:rFonts w:ascii="Tahoma" w:hAnsi="Tahoma" w:cs="Tahoma"/>
          <w:color w:val="000000"/>
          <w:sz w:val="18"/>
          <w:szCs w:val="18"/>
        </w:rPr>
        <w:t>ambito del medesimo contratto del Programma di Contratti Multilicenza e della medesima iscrizione, se disponibili, ai sensi dei quali è stata originariamente acquistata la copertura per la protezione dell</w:t>
      </w:r>
      <w:r w:rsidR="001C4212">
        <w:rPr>
          <w:rFonts w:ascii="Tahoma" w:hAnsi="Tahoma" w:cs="Tahoma"/>
          <w:color w:val="000000"/>
          <w:sz w:val="18"/>
          <w:szCs w:val="18"/>
        </w:rPr>
        <w:t>’</w:t>
      </w:r>
      <w:r w:rsidRPr="0058047D">
        <w:rPr>
          <w:rFonts w:ascii="Tahoma" w:hAnsi="Tahoma" w:cs="Tahoma"/>
          <w:color w:val="000000"/>
          <w:sz w:val="18"/>
          <w:szCs w:val="18"/>
        </w:rPr>
        <w:t xml:space="preserve">aggiornamento del prodotto qualificante. </w:t>
      </w:r>
      <w:r w:rsidRPr="0058047D">
        <w:rPr>
          <w:rFonts w:ascii="Tahoma" w:hAnsi="Tahoma" w:cs="Tahoma"/>
          <w:color w:val="000000"/>
          <w:sz w:val="18"/>
        </w:rPr>
        <w:t>Il diritto di utilizzo del software da parte della società ai sensi della Licenza Step-Up è subordinato al possesso e al mantenimento di una Licenza per il</w:t>
      </w:r>
      <w:r w:rsidRPr="0058047D">
        <w:rPr>
          <w:rFonts w:ascii="Tahoma" w:hAnsi="Tahoma" w:cs="Tahoma"/>
          <w:sz w:val="18"/>
        </w:rPr>
        <w:t xml:space="preserve"> prodotto qualificante. Le società non possono trasferire la Licenza per il prodotto qualificante separatamente dalla </w:t>
      </w:r>
      <w:r w:rsidRPr="0058047D">
        <w:rPr>
          <w:rFonts w:ascii="Tahoma" w:hAnsi="Tahoma" w:cs="Tahoma"/>
          <w:sz w:val="18"/>
          <w:szCs w:val="18"/>
        </w:rPr>
        <w:t>Licenza Step-Up.</w:t>
      </w:r>
      <w:r w:rsidR="00E34ED3" w:rsidRPr="0058047D">
        <w:rPr>
          <w:rFonts w:ascii="Tahoma" w:hAnsi="Tahoma" w:cs="Tahoma"/>
          <w:sz w:val="18"/>
          <w:szCs w:val="18"/>
        </w:rPr>
        <w:t xml:space="preserve"> </w:t>
      </w:r>
      <w:r w:rsidRPr="0058047D">
        <w:rPr>
          <w:rFonts w:ascii="Tahoma" w:hAnsi="Tahoma" w:cs="Tahoma"/>
          <w:sz w:val="18"/>
          <w:szCs w:val="18"/>
        </w:rPr>
        <w:t>Per ulteriori informazioni e per conoscere la disponibilità delle licenze, consultare il Documento relativo alla Licenza Step-up per Enterprise Edition nel quadro del Programma Volume License all</w:t>
      </w:r>
      <w:r w:rsidR="001C4212">
        <w:rPr>
          <w:rFonts w:ascii="Tahoma" w:hAnsi="Tahoma" w:cs="Tahoma"/>
          <w:sz w:val="18"/>
          <w:szCs w:val="18"/>
        </w:rPr>
        <w:t>’</w:t>
      </w:r>
      <w:r w:rsidRPr="0058047D">
        <w:rPr>
          <w:rFonts w:ascii="Tahoma" w:hAnsi="Tahoma" w:cs="Tahoma"/>
          <w:sz w:val="18"/>
          <w:szCs w:val="18"/>
        </w:rPr>
        <w:t xml:space="preserve">indirizzo: </w:t>
      </w:r>
      <w:r w:rsidR="008432A1" w:rsidRPr="00EB2B3F">
        <w:rPr>
          <w:rFonts w:ascii="Tahoma" w:hAnsi="Tahoma" w:cs="Tahoma"/>
          <w:sz w:val="18"/>
          <w:szCs w:val="18"/>
        </w:rPr>
        <w:t>http://</w:t>
      </w:r>
      <w:hyperlink r:id="rId21" w:history="1">
        <w:r w:rsidR="008432A1" w:rsidRPr="002E57CF">
          <w:rPr>
            <w:rStyle w:val="Hyperlink"/>
            <w:rFonts w:ascii="Tahoma" w:hAnsi="Tahoma" w:cs="Tahoma"/>
            <w:sz w:val="18"/>
            <w:szCs w:val="18"/>
          </w:rPr>
          <w:t>www.microsoft.com/licensing</w:t>
        </w:r>
      </w:hyperlink>
      <w:r w:rsidRPr="0058047D">
        <w:rPr>
          <w:rFonts w:ascii="Tahoma" w:hAnsi="Tahoma" w:cs="Tahoma"/>
          <w:sz w:val="18"/>
          <w:szCs w:val="18"/>
        </w:rPr>
        <w:t>.</w:t>
      </w:r>
    </w:p>
    <w:p w14:paraId="5EB5DE80" w14:textId="77777777" w:rsidR="00ED589D" w:rsidRPr="0058047D" w:rsidRDefault="00ED589D" w:rsidP="00ED589D"/>
    <w:p w14:paraId="0225C738" w14:textId="77777777" w:rsidR="00456002" w:rsidRPr="0058047D" w:rsidRDefault="00456002" w:rsidP="00456002">
      <w:pPr>
        <w:pStyle w:val="Heading2"/>
        <w:ind w:left="0" w:right="720"/>
      </w:pPr>
      <w:bookmarkStart w:id="638" w:name="_Toc323819652"/>
      <w:bookmarkStart w:id="639" w:name="_Toc336338203"/>
      <w:bookmarkStart w:id="640" w:name="_Toc371663596"/>
      <w:r w:rsidRPr="0058047D">
        <w:rPr>
          <w:rFonts w:ascii="Tahoma" w:hAnsi="Tahoma" w:cs="Tahoma"/>
        </w:rPr>
        <w:t>Licenze “Subscription”</w:t>
      </w:r>
      <w:bookmarkEnd w:id="638"/>
      <w:bookmarkEnd w:id="639"/>
      <w:bookmarkEnd w:id="640"/>
      <w:r w:rsidRPr="0058047D">
        <w:rPr>
          <w:rFonts w:ascii="Tahoma" w:hAnsi="Tahoma" w:cs="Tahoma"/>
        </w:rPr>
        <w:t xml:space="preserve"> </w:t>
      </w:r>
    </w:p>
    <w:p w14:paraId="7E586656" w14:textId="77777777" w:rsidR="00456002" w:rsidRPr="0058047D" w:rsidRDefault="00456002" w:rsidP="007C05C1">
      <w:pPr>
        <w:ind w:right="720"/>
      </w:pPr>
    </w:p>
    <w:p w14:paraId="205AFDE3" w14:textId="77777777" w:rsidR="00456002" w:rsidRPr="0058047D" w:rsidRDefault="00456002" w:rsidP="00B147AB">
      <w:pPr>
        <w:pStyle w:val="AppendixIndent"/>
        <w:spacing w:before="0"/>
        <w:ind w:left="0" w:right="720"/>
      </w:pPr>
      <w:r w:rsidRPr="0058047D">
        <w:rPr>
          <w:rFonts w:ascii="Tahoma" w:hAnsi="Tahoma" w:cs="Tahoma"/>
          <w:sz w:val="18"/>
        </w:rPr>
        <w:t>Questo tipo di prodotto è disponibile per i Servizi Online e per alcuni prodotti software, non dipende dalla versione e consente alle società di utilizzare il software e, nel caso di un Servizio Online, il servizio durante il</w:t>
      </w:r>
      <w:r w:rsidR="008432A1">
        <w:rPr>
          <w:rFonts w:ascii="Tahoma" w:hAnsi="Tahoma" w:cs="Tahoma"/>
          <w:sz w:val="18"/>
        </w:rPr>
        <w:t> </w:t>
      </w:r>
      <w:r w:rsidRPr="0058047D">
        <w:rPr>
          <w:rFonts w:ascii="Tahoma" w:hAnsi="Tahoma" w:cs="Tahoma"/>
          <w:sz w:val="18"/>
        </w:rPr>
        <w:t>periodo di validità dell</w:t>
      </w:r>
      <w:r w:rsidR="001C4212">
        <w:rPr>
          <w:rFonts w:ascii="Tahoma" w:hAnsi="Tahoma" w:cs="Tahoma"/>
          <w:sz w:val="18"/>
        </w:rPr>
        <w:t>’</w:t>
      </w:r>
      <w:r w:rsidRPr="0058047D">
        <w:rPr>
          <w:rFonts w:ascii="Tahoma" w:hAnsi="Tahoma" w:cs="Tahoma"/>
          <w:sz w:val="18"/>
        </w:rPr>
        <w:t>iscrizione Select o Enterprise oppure del contratto Open ai sensi del quale viene acquistato.</w:t>
      </w:r>
      <w:r w:rsidR="00E34ED3" w:rsidRPr="0058047D">
        <w:rPr>
          <w:rFonts w:ascii="Tahoma" w:hAnsi="Tahoma" w:cs="Tahoma"/>
          <w:sz w:val="18"/>
        </w:rPr>
        <w:t xml:space="preserve"> </w:t>
      </w:r>
      <w:r w:rsidRPr="0058047D">
        <w:rPr>
          <w:rFonts w:ascii="Tahoma" w:hAnsi="Tahoma" w:cs="Tahoma"/>
          <w:sz w:val="18"/>
        </w:rPr>
        <w:t>Le licenze “Subscription” acquistate ai sensi di un Contratto Enterprise o Enterprise Subscription dovranno essere acquistate in occasione del primo accesso al servizio e verranno suddivise in misura proporzionale sulla base del numero di mesi che rimangono alla scadenza del periodo di validità del contratto o dell</w:t>
      </w:r>
      <w:r w:rsidR="001C4212">
        <w:rPr>
          <w:rFonts w:ascii="Tahoma" w:hAnsi="Tahoma" w:cs="Tahoma"/>
          <w:sz w:val="18"/>
        </w:rPr>
        <w:t>’</w:t>
      </w:r>
      <w:r w:rsidRPr="0058047D">
        <w:rPr>
          <w:rFonts w:ascii="Tahoma" w:hAnsi="Tahoma" w:cs="Tahoma"/>
          <w:sz w:val="18"/>
        </w:rPr>
        <w:t xml:space="preserve">iscrizione. Disponibile nei seguenti programmi: </w:t>
      </w:r>
    </w:p>
    <w:p w14:paraId="5DCAB59F" w14:textId="77777777" w:rsidR="00456002" w:rsidRPr="0058047D" w:rsidRDefault="00456002" w:rsidP="00B147AB">
      <w:pPr>
        <w:pStyle w:val="AppendixIndent"/>
        <w:spacing w:before="0"/>
        <w:ind w:left="0" w:right="720"/>
      </w:pPr>
    </w:p>
    <w:p w14:paraId="44A66B87" w14:textId="77777777" w:rsidR="00456002" w:rsidRPr="0058047D" w:rsidRDefault="00456002" w:rsidP="00346F4B">
      <w:pPr>
        <w:pStyle w:val="AppendixBulletIndent"/>
        <w:numPr>
          <w:ilvl w:val="0"/>
          <w:numId w:val="66"/>
        </w:numPr>
        <w:tabs>
          <w:tab w:val="left" w:pos="1440"/>
        </w:tabs>
        <w:spacing w:after="60"/>
        <w:ind w:left="1440" w:right="720"/>
      </w:pPr>
      <w:r w:rsidRPr="0058047D">
        <w:rPr>
          <w:rFonts w:ascii="Tahoma" w:hAnsi="Tahoma" w:cs="Tahoma"/>
          <w:sz w:val="18"/>
        </w:rPr>
        <w:t>Open Value</w:t>
      </w:r>
    </w:p>
    <w:p w14:paraId="3F7800EB" w14:textId="77777777" w:rsidR="00456002" w:rsidRPr="0058047D" w:rsidRDefault="00456002" w:rsidP="00346F4B">
      <w:pPr>
        <w:pStyle w:val="AppendixBulletIndent"/>
        <w:numPr>
          <w:ilvl w:val="0"/>
          <w:numId w:val="66"/>
        </w:numPr>
        <w:tabs>
          <w:tab w:val="left" w:pos="1440"/>
        </w:tabs>
        <w:spacing w:after="60"/>
        <w:ind w:left="1440" w:right="720"/>
      </w:pPr>
      <w:r w:rsidRPr="0058047D">
        <w:rPr>
          <w:rFonts w:ascii="Tahoma" w:hAnsi="Tahoma" w:cs="Tahoma"/>
          <w:sz w:val="18"/>
        </w:rPr>
        <w:t xml:space="preserve">Open Value Subscription </w:t>
      </w:r>
    </w:p>
    <w:p w14:paraId="79C82044" w14:textId="77777777" w:rsidR="00456002" w:rsidRPr="0058047D" w:rsidRDefault="00456002" w:rsidP="00346F4B">
      <w:pPr>
        <w:pStyle w:val="AppendixBulletIndent"/>
        <w:numPr>
          <w:ilvl w:val="0"/>
          <w:numId w:val="66"/>
        </w:numPr>
        <w:tabs>
          <w:tab w:val="left" w:pos="1440"/>
        </w:tabs>
        <w:spacing w:after="60"/>
        <w:ind w:left="1440" w:right="720"/>
      </w:pPr>
      <w:r w:rsidRPr="0058047D">
        <w:rPr>
          <w:rFonts w:ascii="Tahoma" w:hAnsi="Tahoma" w:cs="Tahoma"/>
          <w:sz w:val="18"/>
        </w:rPr>
        <w:t xml:space="preserve">Select </w:t>
      </w:r>
    </w:p>
    <w:p w14:paraId="0D8ADC4C" w14:textId="77777777" w:rsidR="00456002" w:rsidRPr="0058047D" w:rsidRDefault="00456002" w:rsidP="00346F4B">
      <w:pPr>
        <w:pStyle w:val="AppendixBulletIndent"/>
        <w:numPr>
          <w:ilvl w:val="0"/>
          <w:numId w:val="66"/>
        </w:numPr>
        <w:tabs>
          <w:tab w:val="left" w:pos="1440"/>
        </w:tabs>
        <w:spacing w:after="60"/>
        <w:ind w:left="1440" w:right="720"/>
      </w:pPr>
      <w:r w:rsidRPr="0058047D">
        <w:rPr>
          <w:rFonts w:ascii="Tahoma" w:hAnsi="Tahoma" w:cs="Tahoma"/>
          <w:sz w:val="18"/>
        </w:rPr>
        <w:t>Select Plus</w:t>
      </w:r>
    </w:p>
    <w:p w14:paraId="2332125F" w14:textId="77777777" w:rsidR="00456002" w:rsidRPr="0058047D" w:rsidRDefault="00B215EA" w:rsidP="00346F4B">
      <w:pPr>
        <w:pStyle w:val="AppendixBulletIndent"/>
        <w:numPr>
          <w:ilvl w:val="0"/>
          <w:numId w:val="66"/>
        </w:numPr>
        <w:tabs>
          <w:tab w:val="left" w:pos="1440"/>
        </w:tabs>
        <w:spacing w:after="60"/>
        <w:ind w:left="1440" w:right="720"/>
      </w:pPr>
      <w:r w:rsidRPr="0058047D">
        <w:rPr>
          <w:rFonts w:ascii="Tahoma" w:hAnsi="Tahoma" w:cs="Tahoma"/>
          <w:sz w:val="18"/>
        </w:rPr>
        <w:t>Contratto Campus e School</w:t>
      </w:r>
    </w:p>
    <w:p w14:paraId="52F79A48" w14:textId="77777777" w:rsidR="00456002" w:rsidRPr="0058047D" w:rsidRDefault="00B215EA" w:rsidP="00346F4B">
      <w:pPr>
        <w:pStyle w:val="AppendixBulletIndent"/>
        <w:numPr>
          <w:ilvl w:val="0"/>
          <w:numId w:val="66"/>
        </w:numPr>
        <w:tabs>
          <w:tab w:val="left" w:pos="1440"/>
        </w:tabs>
        <w:spacing w:after="60"/>
        <w:ind w:left="1440" w:right="720"/>
      </w:pPr>
      <w:r w:rsidRPr="0058047D">
        <w:rPr>
          <w:rFonts w:ascii="Tahoma" w:hAnsi="Tahoma" w:cs="Tahoma"/>
          <w:sz w:val="18"/>
        </w:rPr>
        <w:t>Enrollment for Education Solutions</w:t>
      </w:r>
    </w:p>
    <w:p w14:paraId="7FE698D7" w14:textId="77777777" w:rsidR="00456002" w:rsidRPr="0058047D" w:rsidRDefault="00456002" w:rsidP="00346F4B">
      <w:pPr>
        <w:pStyle w:val="AppendixBulletIndent"/>
        <w:numPr>
          <w:ilvl w:val="0"/>
          <w:numId w:val="66"/>
        </w:numPr>
        <w:tabs>
          <w:tab w:val="left" w:pos="1440"/>
        </w:tabs>
        <w:spacing w:after="60"/>
        <w:ind w:left="1440" w:right="720"/>
      </w:pPr>
      <w:r w:rsidRPr="0058047D">
        <w:rPr>
          <w:rFonts w:ascii="Tahoma" w:hAnsi="Tahoma" w:cs="Tahoma"/>
          <w:sz w:val="18"/>
        </w:rPr>
        <w:t>Contratto Enterprise</w:t>
      </w:r>
    </w:p>
    <w:p w14:paraId="4C826465" w14:textId="77777777" w:rsidR="00456002" w:rsidRPr="0058047D" w:rsidRDefault="00456002" w:rsidP="00346F4B">
      <w:pPr>
        <w:pStyle w:val="AppendixIndent"/>
        <w:numPr>
          <w:ilvl w:val="0"/>
          <w:numId w:val="66"/>
        </w:numPr>
        <w:tabs>
          <w:tab w:val="left" w:pos="1440"/>
        </w:tabs>
        <w:spacing w:before="0"/>
        <w:ind w:left="1440" w:right="720"/>
      </w:pPr>
      <w:r w:rsidRPr="0058047D">
        <w:rPr>
          <w:rFonts w:ascii="Tahoma" w:hAnsi="Tahoma" w:cs="Tahoma"/>
          <w:sz w:val="18"/>
        </w:rPr>
        <w:t>Iscrizione Enterprise Subscription</w:t>
      </w:r>
    </w:p>
    <w:p w14:paraId="41524CEF" w14:textId="77777777" w:rsidR="00B215EA" w:rsidRPr="0058047D" w:rsidRDefault="00B215EA" w:rsidP="00346F4B">
      <w:pPr>
        <w:pStyle w:val="AppendixIndent"/>
        <w:numPr>
          <w:ilvl w:val="0"/>
          <w:numId w:val="66"/>
        </w:numPr>
        <w:tabs>
          <w:tab w:val="left" w:pos="1440"/>
        </w:tabs>
        <w:spacing w:before="0"/>
        <w:ind w:left="1440" w:right="720"/>
      </w:pPr>
      <w:r w:rsidRPr="0058047D">
        <w:rPr>
          <w:rFonts w:ascii="Tahoma" w:hAnsi="Tahoma" w:cs="Tahoma"/>
          <w:sz w:val="18"/>
        </w:rPr>
        <w:t>Iscrizione Server and Cloud</w:t>
      </w:r>
    </w:p>
    <w:p w14:paraId="0D5E494A" w14:textId="77777777" w:rsidR="00ED589D" w:rsidRDefault="00ED589D" w:rsidP="00B147AB"/>
    <w:p w14:paraId="752E54E6" w14:textId="77777777" w:rsidR="008432A1" w:rsidRDefault="008432A1" w:rsidP="00B147AB"/>
    <w:p w14:paraId="0D7C0487" w14:textId="77777777" w:rsidR="008432A1" w:rsidRPr="0058047D" w:rsidRDefault="008432A1" w:rsidP="00B147AB"/>
    <w:p w14:paraId="69C66404" w14:textId="77777777" w:rsidR="00456002" w:rsidRPr="0058047D" w:rsidRDefault="00456002" w:rsidP="00456002">
      <w:pPr>
        <w:pStyle w:val="Heading2"/>
        <w:ind w:left="0" w:right="720"/>
      </w:pPr>
      <w:bookmarkStart w:id="641" w:name="_Toc323819653"/>
      <w:bookmarkStart w:id="642" w:name="_Toc336338204"/>
      <w:bookmarkStart w:id="643" w:name="_Toc371663597"/>
      <w:r w:rsidRPr="0058047D">
        <w:rPr>
          <w:rFonts w:ascii="Tahoma" w:hAnsi="Tahoma" w:cs="Tahoma"/>
        </w:rPr>
        <w:t>Aggiornamento</w:t>
      </w:r>
      <w:bookmarkEnd w:id="641"/>
      <w:bookmarkEnd w:id="642"/>
      <w:bookmarkEnd w:id="643"/>
    </w:p>
    <w:p w14:paraId="7AF7D766" w14:textId="77777777" w:rsidR="00456002" w:rsidRPr="0058047D" w:rsidRDefault="00456002" w:rsidP="00B147AB">
      <w:pPr>
        <w:pStyle w:val="AppendixIndent"/>
        <w:spacing w:before="0"/>
        <w:ind w:left="0" w:right="720"/>
      </w:pPr>
    </w:p>
    <w:p w14:paraId="110F5E1E" w14:textId="77777777" w:rsidR="00456002" w:rsidRPr="00A13D1D" w:rsidRDefault="00A13D1D" w:rsidP="00B147AB">
      <w:pPr>
        <w:pStyle w:val="AppendixIndent"/>
        <w:spacing w:before="0"/>
        <w:ind w:left="0" w:right="720"/>
        <w:rPr>
          <w:sz w:val="18"/>
          <w:szCs w:val="18"/>
        </w:rPr>
      </w:pPr>
      <w:r w:rsidRPr="00A13D1D">
        <w:rPr>
          <w:rFonts w:ascii="Tahoma" w:hAnsi="Tahoma" w:cs="Tahoma"/>
          <w:sz w:val="18"/>
          <w:szCs w:val="18"/>
          <w:lang w:val="it-IT"/>
        </w:rPr>
        <w:t>Questo tipo di prodotto è disponibile solo per il Sistema Operativo Desktop Windows e per i Sistemi Operativi Integrati Windows, dipende dalla versione e concede il diritto di eseguire la versione del prodotto per il quale viene ordinata. Disponibile in uno o più dei seguenti programmi:*</w:t>
      </w:r>
    </w:p>
    <w:p w14:paraId="159A5455" w14:textId="77777777" w:rsidR="00456002" w:rsidRPr="0058047D" w:rsidRDefault="00456002" w:rsidP="00B147AB">
      <w:pPr>
        <w:pStyle w:val="AppendixIndent"/>
        <w:spacing w:before="0"/>
        <w:ind w:left="0" w:right="720"/>
      </w:pPr>
    </w:p>
    <w:p w14:paraId="5CA1F387" w14:textId="77777777" w:rsidR="00385C82" w:rsidRPr="0058047D" w:rsidRDefault="00385C82" w:rsidP="00346F4B">
      <w:pPr>
        <w:pStyle w:val="AppendixBulletIndent"/>
        <w:numPr>
          <w:ilvl w:val="0"/>
          <w:numId w:val="59"/>
        </w:numPr>
        <w:tabs>
          <w:tab w:val="left" w:pos="1440"/>
        </w:tabs>
        <w:spacing w:after="60"/>
        <w:ind w:left="1440" w:right="720"/>
      </w:pPr>
      <w:r w:rsidRPr="0058047D">
        <w:rPr>
          <w:rFonts w:ascii="Tahoma" w:hAnsi="Tahoma" w:cs="Tahoma"/>
          <w:sz w:val="18"/>
          <w:szCs w:val="18"/>
        </w:rPr>
        <w:t>Licenza Open</w:t>
      </w:r>
    </w:p>
    <w:p w14:paraId="4C087A27" w14:textId="77777777" w:rsidR="00385C82" w:rsidRPr="0058047D" w:rsidRDefault="00385C82" w:rsidP="00346F4B">
      <w:pPr>
        <w:pStyle w:val="AppendixBulletIndent"/>
        <w:numPr>
          <w:ilvl w:val="0"/>
          <w:numId w:val="59"/>
        </w:numPr>
        <w:tabs>
          <w:tab w:val="left" w:pos="1440"/>
        </w:tabs>
        <w:spacing w:after="60"/>
        <w:ind w:left="1440" w:right="720"/>
      </w:pPr>
      <w:r w:rsidRPr="0058047D">
        <w:rPr>
          <w:rFonts w:ascii="Tahoma" w:hAnsi="Tahoma" w:cs="Tahoma"/>
          <w:sz w:val="18"/>
          <w:szCs w:val="18"/>
        </w:rPr>
        <w:t xml:space="preserve">Open Value Subscription (solo per ordini buy-out) </w:t>
      </w:r>
    </w:p>
    <w:p w14:paraId="7C430A86" w14:textId="77777777" w:rsidR="00385C82" w:rsidRPr="0058047D" w:rsidRDefault="00385C82" w:rsidP="00346F4B">
      <w:pPr>
        <w:pStyle w:val="AppendixBulletIndent"/>
        <w:numPr>
          <w:ilvl w:val="0"/>
          <w:numId w:val="59"/>
        </w:numPr>
        <w:tabs>
          <w:tab w:val="left" w:pos="1440"/>
        </w:tabs>
        <w:spacing w:after="60"/>
        <w:ind w:left="1440" w:right="720"/>
      </w:pPr>
      <w:r w:rsidRPr="0058047D">
        <w:rPr>
          <w:rFonts w:ascii="Tahoma" w:hAnsi="Tahoma" w:cs="Tahoma"/>
          <w:sz w:val="18"/>
          <w:szCs w:val="18"/>
        </w:rPr>
        <w:t xml:space="preserve">Select </w:t>
      </w:r>
    </w:p>
    <w:p w14:paraId="32F7A726" w14:textId="77777777" w:rsidR="00385C82" w:rsidRPr="0058047D" w:rsidRDefault="00385C82" w:rsidP="00346F4B">
      <w:pPr>
        <w:pStyle w:val="AppendixBulletIndent"/>
        <w:numPr>
          <w:ilvl w:val="0"/>
          <w:numId w:val="59"/>
        </w:numPr>
        <w:tabs>
          <w:tab w:val="left" w:pos="1440"/>
        </w:tabs>
        <w:spacing w:after="60"/>
        <w:ind w:left="1440" w:right="720"/>
      </w:pPr>
      <w:r w:rsidRPr="0058047D">
        <w:rPr>
          <w:rFonts w:ascii="Tahoma" w:hAnsi="Tahoma" w:cs="Tahoma"/>
          <w:sz w:val="18"/>
          <w:szCs w:val="18"/>
        </w:rPr>
        <w:t>Select Plus</w:t>
      </w:r>
    </w:p>
    <w:p w14:paraId="61D42901" w14:textId="77777777" w:rsidR="00385C82" w:rsidRPr="0058047D" w:rsidRDefault="00B215EA" w:rsidP="00346F4B">
      <w:pPr>
        <w:pStyle w:val="AppendixBulletIndent"/>
        <w:numPr>
          <w:ilvl w:val="0"/>
          <w:numId w:val="59"/>
        </w:numPr>
        <w:tabs>
          <w:tab w:val="left" w:pos="1440"/>
        </w:tabs>
        <w:spacing w:after="60"/>
        <w:ind w:left="1440" w:right="720"/>
      </w:pPr>
      <w:r w:rsidRPr="0058047D">
        <w:rPr>
          <w:rFonts w:ascii="Tahoma" w:hAnsi="Tahoma" w:cs="Tahoma"/>
          <w:sz w:val="18"/>
          <w:szCs w:val="18"/>
        </w:rPr>
        <w:t>Contratti Campus e School (solo per ordini buy-out)</w:t>
      </w:r>
    </w:p>
    <w:p w14:paraId="23360127" w14:textId="77777777" w:rsidR="00385C82" w:rsidRPr="0058047D" w:rsidRDefault="00B215EA" w:rsidP="00346F4B">
      <w:pPr>
        <w:pStyle w:val="AppendixBulletIndent"/>
        <w:numPr>
          <w:ilvl w:val="0"/>
          <w:numId w:val="59"/>
        </w:numPr>
        <w:tabs>
          <w:tab w:val="left" w:pos="1440"/>
        </w:tabs>
        <w:spacing w:after="60"/>
        <w:ind w:left="1440" w:right="720"/>
      </w:pPr>
      <w:r w:rsidRPr="0058047D">
        <w:rPr>
          <w:rFonts w:ascii="Tahoma" w:hAnsi="Tahoma" w:cs="Tahoma"/>
          <w:sz w:val="18"/>
          <w:szCs w:val="18"/>
        </w:rPr>
        <w:t>Enrollment for Education Solutions (solo per ordini buy-out)</w:t>
      </w:r>
    </w:p>
    <w:p w14:paraId="69D6FD52" w14:textId="77777777" w:rsidR="00385C82" w:rsidRPr="0058047D" w:rsidRDefault="00385C82" w:rsidP="00346F4B">
      <w:pPr>
        <w:pStyle w:val="AppendixBulletIndent"/>
        <w:numPr>
          <w:ilvl w:val="0"/>
          <w:numId w:val="59"/>
        </w:numPr>
        <w:tabs>
          <w:tab w:val="left" w:pos="1440"/>
        </w:tabs>
        <w:ind w:left="1440" w:right="720"/>
      </w:pPr>
      <w:r w:rsidRPr="0058047D">
        <w:rPr>
          <w:rFonts w:ascii="Tahoma" w:hAnsi="Tahoma" w:cs="Tahoma"/>
          <w:sz w:val="18"/>
          <w:szCs w:val="18"/>
        </w:rPr>
        <w:t>Contratto Enterprise Subscription (solo per ordini buy-out)</w:t>
      </w:r>
    </w:p>
    <w:p w14:paraId="77C12FEB" w14:textId="77777777" w:rsidR="00A13D1D" w:rsidRPr="00A13D1D" w:rsidRDefault="00A13D1D" w:rsidP="00A13D1D">
      <w:pPr>
        <w:pStyle w:val="AppendixIndent"/>
        <w:spacing w:before="0"/>
        <w:ind w:left="720" w:right="720"/>
        <w:rPr>
          <w:sz w:val="18"/>
          <w:szCs w:val="18"/>
        </w:rPr>
      </w:pPr>
      <w:r w:rsidRPr="00A13D1D">
        <w:rPr>
          <w:rFonts w:ascii="Tahoma" w:hAnsi="Tahoma" w:cs="Tahoma"/>
          <w:sz w:val="18"/>
          <w:szCs w:val="18"/>
          <w:lang w:val="it-IT"/>
        </w:rPr>
        <w:t>*informazioni dettagliate sulla disponibilità sono riportate nella Tabella della Lista dei Prodotti</w:t>
      </w:r>
    </w:p>
    <w:p w14:paraId="4958313F" w14:textId="77777777" w:rsidR="00A13D1D" w:rsidRPr="0058047D" w:rsidRDefault="00A13D1D" w:rsidP="00B147AB">
      <w:pPr>
        <w:pStyle w:val="AppendixIndent"/>
        <w:spacing w:before="0"/>
        <w:ind w:left="0" w:right="720"/>
      </w:pPr>
    </w:p>
    <w:p w14:paraId="576626DC" w14:textId="77777777" w:rsidR="00456002" w:rsidRPr="0058047D" w:rsidRDefault="00A13D1D" w:rsidP="00B147AB">
      <w:pPr>
        <w:pStyle w:val="AppendixIndent"/>
        <w:spacing w:before="0"/>
        <w:ind w:left="0" w:right="720"/>
      </w:pPr>
      <w:r w:rsidRPr="00A13D1D">
        <w:rPr>
          <w:rFonts w:ascii="Tahoma" w:hAnsi="Tahoma" w:cs="Tahoma"/>
          <w:sz w:val="18"/>
          <w:szCs w:val="18"/>
          <w:lang w:val="it-IT"/>
        </w:rPr>
        <w:t>La società dovrà disporre di una licenza qualificante per il sistema operativo del desktop prima di acquistare la licenza di aggiornamento Windows Desktop Operating System Upgrade o Windows Embedded Operating System Upgrade.</w:t>
      </w:r>
      <w:r w:rsidR="00456002" w:rsidRPr="0058047D">
        <w:rPr>
          <w:rFonts w:ascii="Tahoma" w:hAnsi="Tahoma" w:cs="Tahoma"/>
          <w:sz w:val="18"/>
        </w:rPr>
        <w:t xml:space="preserve"> Nella sezione dei Prodotti Sistemi è disponibile un elenco dei sistemi operativi qualificanti per desktop, che varia in base al</w:t>
      </w:r>
      <w:r w:rsidR="008432A1">
        <w:rPr>
          <w:rFonts w:ascii="Tahoma" w:hAnsi="Tahoma" w:cs="Tahoma"/>
          <w:sz w:val="18"/>
        </w:rPr>
        <w:t> </w:t>
      </w:r>
      <w:r w:rsidR="00456002" w:rsidRPr="0058047D">
        <w:rPr>
          <w:rFonts w:ascii="Tahoma" w:hAnsi="Tahoma" w:cs="Tahoma"/>
          <w:sz w:val="18"/>
        </w:rPr>
        <w:t>programma e all</w:t>
      </w:r>
      <w:r w:rsidR="001C4212">
        <w:rPr>
          <w:rFonts w:ascii="Tahoma" w:hAnsi="Tahoma" w:cs="Tahoma"/>
          <w:sz w:val="18"/>
        </w:rPr>
        <w:t>’</w:t>
      </w:r>
      <w:r w:rsidR="00456002" w:rsidRPr="0058047D">
        <w:rPr>
          <w:rFonts w:ascii="Tahoma" w:hAnsi="Tahoma" w:cs="Tahoma"/>
          <w:sz w:val="18"/>
        </w:rPr>
        <w:t>ordine.</w:t>
      </w:r>
    </w:p>
    <w:p w14:paraId="04EDB21F" w14:textId="77777777" w:rsidR="001C1727" w:rsidRPr="0058047D" w:rsidRDefault="001C1727" w:rsidP="00862623">
      <w:bookmarkStart w:id="644" w:name="_Toc323819654"/>
      <w:bookmarkStart w:id="645" w:name="_Toc336338205"/>
    </w:p>
    <w:p w14:paraId="2DD70DD4" w14:textId="77777777" w:rsidR="00456002" w:rsidRPr="0058047D" w:rsidRDefault="00456002" w:rsidP="00862623">
      <w:pPr>
        <w:pStyle w:val="Heading2"/>
        <w:keepNext/>
        <w:ind w:left="0" w:right="720"/>
      </w:pPr>
      <w:bookmarkStart w:id="646" w:name="_Toc371663598"/>
      <w:r w:rsidRPr="0058047D">
        <w:rPr>
          <w:rFonts w:ascii="Tahoma" w:hAnsi="Tahoma" w:cs="Tahoma"/>
        </w:rPr>
        <w:t>Aggiornamento e Software Assurance</w:t>
      </w:r>
      <w:bookmarkEnd w:id="644"/>
      <w:bookmarkEnd w:id="645"/>
      <w:bookmarkEnd w:id="646"/>
      <w:r w:rsidRPr="0058047D">
        <w:rPr>
          <w:rFonts w:ascii="Tahoma" w:hAnsi="Tahoma" w:cs="Tahoma"/>
        </w:rPr>
        <w:t xml:space="preserve"> </w:t>
      </w:r>
    </w:p>
    <w:p w14:paraId="2E3A4B31" w14:textId="77777777" w:rsidR="00456002" w:rsidRPr="0058047D" w:rsidRDefault="00456002" w:rsidP="00862623">
      <w:pPr>
        <w:keepNext/>
        <w:ind w:right="720"/>
      </w:pPr>
    </w:p>
    <w:p w14:paraId="0D637417" w14:textId="77777777" w:rsidR="00456002" w:rsidRPr="0058047D" w:rsidRDefault="00A13D1D" w:rsidP="00B147AB">
      <w:pPr>
        <w:pStyle w:val="AppendixIndent"/>
        <w:spacing w:before="0"/>
        <w:ind w:left="0" w:right="720"/>
      </w:pPr>
      <w:r w:rsidRPr="00A13D1D">
        <w:rPr>
          <w:rFonts w:ascii="Tahoma" w:hAnsi="Tahoma" w:cs="Tahoma"/>
          <w:sz w:val="18"/>
          <w:szCs w:val="18"/>
          <w:lang w:val="it-IT"/>
        </w:rPr>
        <w:t>Questo tipo di prodotto è disponibile solo per il Sistema Operativo Desktop Windows e per i Sistemi Operativi Integrati Windows</w:t>
      </w:r>
      <w:r w:rsidR="00456002" w:rsidRPr="0058047D">
        <w:rPr>
          <w:rFonts w:ascii="Tahoma" w:hAnsi="Tahoma" w:cs="Tahoma"/>
          <w:sz w:val="18"/>
        </w:rPr>
        <w:t xml:space="preserve">, non dipende dalla versione e consente alle società di acquistare contemporaneamente Aggiornamento e Software Assurance per il sistema operativo desktop. </w:t>
      </w:r>
      <w:r w:rsidRPr="00A13D1D">
        <w:rPr>
          <w:rFonts w:ascii="Tahoma" w:hAnsi="Tahoma" w:cs="Tahoma"/>
          <w:sz w:val="18"/>
          <w:szCs w:val="18"/>
          <w:lang w:val="it-IT"/>
        </w:rPr>
        <w:t>Disponibile in uno o più dei seguenti programmi:*</w:t>
      </w:r>
    </w:p>
    <w:p w14:paraId="3B694F4D" w14:textId="77777777" w:rsidR="00116EDC" w:rsidRPr="0058047D" w:rsidRDefault="00116EDC" w:rsidP="00B147AB">
      <w:pPr>
        <w:pStyle w:val="AppendixIndent"/>
        <w:spacing w:before="0"/>
        <w:ind w:left="0" w:right="720"/>
      </w:pPr>
    </w:p>
    <w:p w14:paraId="5214189C" w14:textId="77777777" w:rsidR="00456002" w:rsidRPr="0058047D" w:rsidRDefault="00456002" w:rsidP="00346F4B">
      <w:pPr>
        <w:pStyle w:val="AppendixBulletIndent"/>
        <w:numPr>
          <w:ilvl w:val="0"/>
          <w:numId w:val="60"/>
        </w:numPr>
        <w:tabs>
          <w:tab w:val="clear" w:pos="360"/>
          <w:tab w:val="num" w:pos="1440"/>
        </w:tabs>
        <w:spacing w:after="60"/>
        <w:ind w:left="1440" w:right="720"/>
      </w:pPr>
      <w:r w:rsidRPr="0058047D">
        <w:rPr>
          <w:rFonts w:ascii="Tahoma" w:hAnsi="Tahoma" w:cs="Tahoma"/>
          <w:sz w:val="18"/>
        </w:rPr>
        <w:t>Licenza Open</w:t>
      </w:r>
    </w:p>
    <w:p w14:paraId="6800F821" w14:textId="77777777" w:rsidR="00456002" w:rsidRPr="0058047D" w:rsidRDefault="00456002" w:rsidP="00346F4B">
      <w:pPr>
        <w:pStyle w:val="AppendixBulletIndent"/>
        <w:numPr>
          <w:ilvl w:val="0"/>
          <w:numId w:val="60"/>
        </w:numPr>
        <w:tabs>
          <w:tab w:val="clear" w:pos="360"/>
          <w:tab w:val="num" w:pos="1440"/>
        </w:tabs>
        <w:spacing w:after="60"/>
        <w:ind w:left="1440" w:right="720"/>
      </w:pPr>
      <w:r w:rsidRPr="0058047D">
        <w:rPr>
          <w:rFonts w:ascii="Tahoma" w:hAnsi="Tahoma" w:cs="Tahoma"/>
          <w:sz w:val="18"/>
        </w:rPr>
        <w:t>Open Value</w:t>
      </w:r>
    </w:p>
    <w:p w14:paraId="083BF391" w14:textId="77777777" w:rsidR="00456002" w:rsidRPr="0058047D" w:rsidRDefault="00456002" w:rsidP="00346F4B">
      <w:pPr>
        <w:pStyle w:val="AppendixBulletIndent"/>
        <w:numPr>
          <w:ilvl w:val="0"/>
          <w:numId w:val="60"/>
        </w:numPr>
        <w:tabs>
          <w:tab w:val="clear" w:pos="360"/>
          <w:tab w:val="num" w:pos="1440"/>
        </w:tabs>
        <w:spacing w:after="60"/>
        <w:ind w:left="1440" w:right="720"/>
      </w:pPr>
      <w:r w:rsidRPr="0058047D">
        <w:rPr>
          <w:rFonts w:ascii="Tahoma" w:hAnsi="Tahoma" w:cs="Tahoma"/>
          <w:sz w:val="18"/>
        </w:rPr>
        <w:t>Open Value Subscription</w:t>
      </w:r>
    </w:p>
    <w:p w14:paraId="7EFBB287" w14:textId="77777777" w:rsidR="00456002" w:rsidRPr="0058047D" w:rsidRDefault="00456002" w:rsidP="00346F4B">
      <w:pPr>
        <w:pStyle w:val="AppendixBulletIndent"/>
        <w:numPr>
          <w:ilvl w:val="0"/>
          <w:numId w:val="60"/>
        </w:numPr>
        <w:tabs>
          <w:tab w:val="clear" w:pos="360"/>
          <w:tab w:val="num" w:pos="1440"/>
        </w:tabs>
        <w:spacing w:after="60"/>
        <w:ind w:left="1440" w:right="720"/>
      </w:pPr>
      <w:r w:rsidRPr="0058047D">
        <w:rPr>
          <w:rFonts w:ascii="Tahoma" w:hAnsi="Tahoma" w:cs="Tahoma"/>
          <w:sz w:val="18"/>
        </w:rPr>
        <w:t xml:space="preserve">Select </w:t>
      </w:r>
    </w:p>
    <w:p w14:paraId="18FCCF5E" w14:textId="77777777" w:rsidR="00456002" w:rsidRPr="0058047D" w:rsidRDefault="00456002" w:rsidP="00346F4B">
      <w:pPr>
        <w:pStyle w:val="AppendixBulletIndent"/>
        <w:numPr>
          <w:ilvl w:val="0"/>
          <w:numId w:val="60"/>
        </w:numPr>
        <w:tabs>
          <w:tab w:val="clear" w:pos="360"/>
          <w:tab w:val="num" w:pos="1440"/>
        </w:tabs>
        <w:spacing w:after="60"/>
        <w:ind w:left="1440" w:right="720"/>
      </w:pPr>
      <w:r w:rsidRPr="0058047D">
        <w:rPr>
          <w:rFonts w:ascii="Tahoma" w:hAnsi="Tahoma" w:cs="Tahoma"/>
          <w:sz w:val="18"/>
        </w:rPr>
        <w:t>Select Plus</w:t>
      </w:r>
    </w:p>
    <w:p w14:paraId="35AC1966" w14:textId="77777777" w:rsidR="00456002" w:rsidRPr="0058047D" w:rsidRDefault="00456002" w:rsidP="00346F4B">
      <w:pPr>
        <w:pStyle w:val="AppendixBulletIndent"/>
        <w:numPr>
          <w:ilvl w:val="0"/>
          <w:numId w:val="60"/>
        </w:numPr>
        <w:tabs>
          <w:tab w:val="clear" w:pos="360"/>
          <w:tab w:val="num" w:pos="1440"/>
        </w:tabs>
        <w:spacing w:after="60"/>
        <w:ind w:left="1440" w:right="720"/>
      </w:pPr>
      <w:r w:rsidRPr="0058047D">
        <w:rPr>
          <w:rFonts w:ascii="Tahoma" w:hAnsi="Tahoma" w:cs="Tahoma"/>
          <w:sz w:val="18"/>
        </w:rPr>
        <w:t>School</w:t>
      </w:r>
    </w:p>
    <w:p w14:paraId="26572623" w14:textId="77777777" w:rsidR="00456002" w:rsidRPr="0058047D" w:rsidRDefault="00892A1D" w:rsidP="00346F4B">
      <w:pPr>
        <w:pStyle w:val="AppendixBulletIndent"/>
        <w:numPr>
          <w:ilvl w:val="0"/>
          <w:numId w:val="60"/>
        </w:numPr>
        <w:tabs>
          <w:tab w:val="clear" w:pos="360"/>
          <w:tab w:val="num" w:pos="1440"/>
        </w:tabs>
        <w:spacing w:after="60"/>
        <w:ind w:left="1440" w:right="720"/>
      </w:pPr>
      <w:r w:rsidRPr="0058047D">
        <w:rPr>
          <w:rFonts w:ascii="Tahoma" w:hAnsi="Tahoma" w:cs="Tahoma"/>
          <w:sz w:val="18"/>
          <w:szCs w:val="18"/>
        </w:rPr>
        <w:t>Enrollment for Education Solutions</w:t>
      </w:r>
    </w:p>
    <w:p w14:paraId="785EDC83" w14:textId="77777777" w:rsidR="00456002" w:rsidRPr="0058047D" w:rsidRDefault="00456002" w:rsidP="00346F4B">
      <w:pPr>
        <w:pStyle w:val="AppendixBulletIndent"/>
        <w:numPr>
          <w:ilvl w:val="0"/>
          <w:numId w:val="60"/>
        </w:numPr>
        <w:tabs>
          <w:tab w:val="clear" w:pos="360"/>
          <w:tab w:val="num" w:pos="1440"/>
        </w:tabs>
        <w:spacing w:after="60"/>
        <w:ind w:left="1440" w:right="720"/>
      </w:pPr>
      <w:r w:rsidRPr="0058047D">
        <w:rPr>
          <w:rFonts w:ascii="Tahoma" w:hAnsi="Tahoma" w:cs="Tahoma"/>
          <w:sz w:val="18"/>
        </w:rPr>
        <w:t>Iscrizione Enterprise</w:t>
      </w:r>
    </w:p>
    <w:p w14:paraId="6A3E7896" w14:textId="77777777" w:rsidR="00456002" w:rsidRPr="0058047D" w:rsidRDefault="00456002" w:rsidP="00346F4B">
      <w:pPr>
        <w:pStyle w:val="AppendixBulletIndent"/>
        <w:numPr>
          <w:ilvl w:val="0"/>
          <w:numId w:val="60"/>
        </w:numPr>
        <w:tabs>
          <w:tab w:val="clear" w:pos="360"/>
          <w:tab w:val="num" w:pos="1440"/>
        </w:tabs>
        <w:ind w:left="1440" w:right="720"/>
      </w:pPr>
      <w:r w:rsidRPr="0058047D">
        <w:rPr>
          <w:rFonts w:ascii="Tahoma" w:hAnsi="Tahoma" w:cs="Tahoma"/>
          <w:sz w:val="18"/>
        </w:rPr>
        <w:t>Iscrizione Enterprise Subscription</w:t>
      </w:r>
    </w:p>
    <w:p w14:paraId="79A4FB04" w14:textId="77777777" w:rsidR="00A13D1D" w:rsidRPr="00A13D1D" w:rsidRDefault="00A13D1D" w:rsidP="00A13D1D">
      <w:pPr>
        <w:pStyle w:val="AppendixIndent"/>
        <w:spacing w:before="0"/>
        <w:ind w:left="720" w:right="720"/>
        <w:rPr>
          <w:sz w:val="18"/>
          <w:szCs w:val="18"/>
        </w:rPr>
      </w:pPr>
      <w:r w:rsidRPr="00A13D1D">
        <w:rPr>
          <w:rFonts w:ascii="Tahoma" w:hAnsi="Tahoma" w:cs="Tahoma"/>
          <w:sz w:val="18"/>
          <w:szCs w:val="18"/>
          <w:lang w:val="it-IT"/>
        </w:rPr>
        <w:t>*informazioni dettagliate sulla disponibilità sono riportate nella Tabella della Lista dei Prodotti</w:t>
      </w:r>
    </w:p>
    <w:p w14:paraId="493EB134" w14:textId="77777777" w:rsidR="00A13D1D" w:rsidRPr="0058047D" w:rsidRDefault="00A13D1D" w:rsidP="00B147AB">
      <w:pPr>
        <w:pStyle w:val="AppendixIndent"/>
        <w:spacing w:before="0"/>
        <w:ind w:left="0" w:right="720"/>
      </w:pPr>
    </w:p>
    <w:p w14:paraId="0520EF56" w14:textId="77777777" w:rsidR="00456002" w:rsidRPr="0058047D" w:rsidRDefault="00456002" w:rsidP="00ED589D">
      <w:pPr>
        <w:pStyle w:val="AppendixIndent"/>
        <w:spacing w:before="0"/>
        <w:ind w:left="0" w:right="720"/>
      </w:pPr>
      <w:r w:rsidRPr="0058047D">
        <w:rPr>
          <w:rFonts w:ascii="Tahoma" w:hAnsi="Tahoma" w:cs="Tahoma"/>
          <w:sz w:val="18"/>
        </w:rPr>
        <w:t>La società dovrà disporre della licenza qualificante per il sistema operativo desktop sottostante prima di acquistare l</w:t>
      </w:r>
      <w:r w:rsidR="001C4212">
        <w:rPr>
          <w:rFonts w:ascii="Tahoma" w:hAnsi="Tahoma" w:cs="Tahoma"/>
          <w:sz w:val="18"/>
        </w:rPr>
        <w:t>’</w:t>
      </w:r>
      <w:r w:rsidRPr="0058047D">
        <w:rPr>
          <w:rFonts w:ascii="Tahoma" w:hAnsi="Tahoma" w:cs="Tahoma"/>
          <w:sz w:val="18"/>
        </w:rPr>
        <w:t>aggiornamento. Software Assurance dovrà essere acquistata contemporaneamente all</w:t>
      </w:r>
      <w:r w:rsidR="001C4212">
        <w:rPr>
          <w:rFonts w:ascii="Tahoma" w:hAnsi="Tahoma" w:cs="Tahoma"/>
          <w:sz w:val="18"/>
        </w:rPr>
        <w:t>’</w:t>
      </w:r>
      <w:r w:rsidRPr="0058047D">
        <w:rPr>
          <w:rFonts w:ascii="Tahoma" w:hAnsi="Tahoma" w:cs="Tahoma"/>
          <w:sz w:val="18"/>
        </w:rPr>
        <w:t>acquisto dell</w:t>
      </w:r>
      <w:r w:rsidR="001C4212">
        <w:rPr>
          <w:rFonts w:ascii="Tahoma" w:hAnsi="Tahoma" w:cs="Tahoma"/>
          <w:sz w:val="18"/>
        </w:rPr>
        <w:t>’</w:t>
      </w:r>
      <w:r w:rsidRPr="0058047D">
        <w:rPr>
          <w:rFonts w:ascii="Tahoma" w:hAnsi="Tahoma" w:cs="Tahoma"/>
          <w:sz w:val="18"/>
        </w:rPr>
        <w:t>aggiornamento corrispondente, tranne nei programmi “Subscription” che prevedono l</w:t>
      </w:r>
      <w:r w:rsidR="001C4212">
        <w:rPr>
          <w:rFonts w:ascii="Tahoma" w:hAnsi="Tahoma" w:cs="Tahoma"/>
          <w:sz w:val="18"/>
        </w:rPr>
        <w:t>’</w:t>
      </w:r>
      <w:r w:rsidRPr="0058047D">
        <w:rPr>
          <w:rFonts w:ascii="Tahoma" w:hAnsi="Tahoma" w:cs="Tahoma"/>
          <w:sz w:val="18"/>
        </w:rPr>
        <w:t>acquisto dell</w:t>
      </w:r>
      <w:r w:rsidR="001C4212">
        <w:rPr>
          <w:rFonts w:ascii="Tahoma" w:hAnsi="Tahoma" w:cs="Tahoma"/>
          <w:sz w:val="18"/>
        </w:rPr>
        <w:t>’</w:t>
      </w:r>
      <w:r w:rsidRPr="0058047D">
        <w:rPr>
          <w:rFonts w:ascii="Tahoma" w:hAnsi="Tahoma" w:cs="Tahoma"/>
          <w:sz w:val="18"/>
        </w:rPr>
        <w:t>aggiornamento al rinnovo di un periodo di validità della copertura Software Assurance in essere.</w:t>
      </w:r>
    </w:p>
    <w:p w14:paraId="5B8A68BE" w14:textId="77777777" w:rsidR="00ED589D" w:rsidRPr="0058047D" w:rsidRDefault="00ED589D" w:rsidP="00B147AB">
      <w:pPr>
        <w:pStyle w:val="AppendixIndent"/>
        <w:spacing w:before="0"/>
        <w:ind w:left="0" w:right="720"/>
      </w:pPr>
    </w:p>
    <w:p w14:paraId="67E12B32" w14:textId="77777777" w:rsidR="00456002" w:rsidRPr="0058047D" w:rsidRDefault="00456002" w:rsidP="00456002">
      <w:pPr>
        <w:pStyle w:val="Heading2"/>
        <w:ind w:left="0" w:right="720"/>
      </w:pPr>
      <w:bookmarkStart w:id="647" w:name="_Toc323819656"/>
      <w:bookmarkStart w:id="648" w:name="_Toc336338206"/>
      <w:bookmarkStart w:id="649" w:name="_Toc371663599"/>
      <w:r w:rsidRPr="0058047D">
        <w:rPr>
          <w:rFonts w:ascii="Tahoma" w:hAnsi="Tahoma" w:cs="Tahoma"/>
        </w:rPr>
        <w:t>Licenze Work at Home</w:t>
      </w:r>
      <w:bookmarkEnd w:id="647"/>
      <w:bookmarkEnd w:id="648"/>
      <w:bookmarkEnd w:id="649"/>
    </w:p>
    <w:p w14:paraId="444305C4" w14:textId="77777777" w:rsidR="00456002" w:rsidRPr="0058047D" w:rsidRDefault="00456002" w:rsidP="00B147AB">
      <w:pPr>
        <w:ind w:right="720"/>
      </w:pPr>
    </w:p>
    <w:p w14:paraId="5A40F98F" w14:textId="77777777" w:rsidR="00456002" w:rsidRPr="0058047D" w:rsidRDefault="00456002" w:rsidP="00B147AB">
      <w:pPr>
        <w:pStyle w:val="AppendixIndent"/>
        <w:spacing w:before="0"/>
        <w:ind w:left="0" w:right="720"/>
      </w:pPr>
      <w:r w:rsidRPr="0058047D">
        <w:rPr>
          <w:rFonts w:ascii="Tahoma" w:hAnsi="Tahoma" w:cs="Tahoma"/>
          <w:sz w:val="18"/>
        </w:rPr>
        <w:t>Disponibile nei seguenti programmi:</w:t>
      </w:r>
    </w:p>
    <w:p w14:paraId="09B2B620" w14:textId="77777777" w:rsidR="00456002" w:rsidRPr="0058047D" w:rsidRDefault="00456002" w:rsidP="00B147AB">
      <w:pPr>
        <w:pStyle w:val="AppendixBulletIndent"/>
        <w:ind w:left="0" w:right="720" w:firstLine="0"/>
      </w:pPr>
    </w:p>
    <w:p w14:paraId="28018E91" w14:textId="77777777" w:rsidR="00456002" w:rsidRPr="0058047D" w:rsidRDefault="00456002" w:rsidP="00346F4B">
      <w:pPr>
        <w:pStyle w:val="AppendixBulletIndent"/>
        <w:numPr>
          <w:ilvl w:val="0"/>
          <w:numId w:val="62"/>
        </w:numPr>
        <w:tabs>
          <w:tab w:val="clear" w:pos="360"/>
          <w:tab w:val="num" w:pos="1440"/>
        </w:tabs>
        <w:spacing w:after="60"/>
        <w:ind w:left="1440" w:right="720"/>
      </w:pPr>
      <w:r w:rsidRPr="0058047D">
        <w:rPr>
          <w:rFonts w:ascii="Tahoma" w:hAnsi="Tahoma" w:cs="Tahoma"/>
          <w:sz w:val="18"/>
        </w:rPr>
        <w:t xml:space="preserve">Select </w:t>
      </w:r>
    </w:p>
    <w:p w14:paraId="5EC71934" w14:textId="77777777" w:rsidR="00456002" w:rsidRPr="0058047D" w:rsidRDefault="00456002" w:rsidP="00346F4B">
      <w:pPr>
        <w:pStyle w:val="AppendixBulletIndent"/>
        <w:numPr>
          <w:ilvl w:val="0"/>
          <w:numId w:val="62"/>
        </w:numPr>
        <w:tabs>
          <w:tab w:val="clear" w:pos="360"/>
          <w:tab w:val="num" w:pos="1440"/>
        </w:tabs>
        <w:spacing w:after="60"/>
        <w:ind w:left="1440" w:right="720"/>
      </w:pPr>
      <w:r w:rsidRPr="0058047D">
        <w:rPr>
          <w:rFonts w:ascii="Tahoma" w:hAnsi="Tahoma" w:cs="Tahoma"/>
          <w:sz w:val="18"/>
        </w:rPr>
        <w:t>Select Plus</w:t>
      </w:r>
    </w:p>
    <w:p w14:paraId="171ED981" w14:textId="77777777" w:rsidR="00456002" w:rsidRPr="0058047D" w:rsidRDefault="00456002" w:rsidP="00346F4B">
      <w:pPr>
        <w:pStyle w:val="AppendixBulletIndent"/>
        <w:numPr>
          <w:ilvl w:val="0"/>
          <w:numId w:val="62"/>
        </w:numPr>
        <w:tabs>
          <w:tab w:val="clear" w:pos="360"/>
          <w:tab w:val="num" w:pos="1440"/>
        </w:tabs>
        <w:ind w:left="1440" w:right="720"/>
      </w:pPr>
      <w:r w:rsidRPr="0058047D">
        <w:rPr>
          <w:rFonts w:ascii="Tahoma" w:hAnsi="Tahoma" w:cs="Tahoma"/>
          <w:sz w:val="18"/>
        </w:rPr>
        <w:t>Iscrizione Enterprise</w:t>
      </w:r>
    </w:p>
    <w:p w14:paraId="158AD5C6" w14:textId="77777777" w:rsidR="00456002" w:rsidRPr="0058047D" w:rsidRDefault="00456002" w:rsidP="00B147AB">
      <w:pPr>
        <w:pStyle w:val="AppendixBulletIndent"/>
        <w:ind w:left="0" w:right="720" w:firstLine="0"/>
      </w:pPr>
    </w:p>
    <w:p w14:paraId="0A37D158" w14:textId="77777777" w:rsidR="008432A1" w:rsidRPr="008432A1" w:rsidRDefault="00456002" w:rsidP="00A12176">
      <w:pPr>
        <w:rPr>
          <w:spacing w:val="-3"/>
        </w:rPr>
      </w:pPr>
      <w:r w:rsidRPr="008432A1">
        <w:rPr>
          <w:spacing w:val="-3"/>
        </w:rPr>
        <w:t>Una licenza Work at Home potrà essere acquistata solo insieme a un prodotto autorizzato a essere eseguito su un desktop At Work. L</w:t>
      </w:r>
      <w:r w:rsidR="001C4212">
        <w:rPr>
          <w:spacing w:val="-3"/>
        </w:rPr>
        <w:t>’</w:t>
      </w:r>
      <w:r w:rsidRPr="008432A1">
        <w:rPr>
          <w:spacing w:val="-3"/>
        </w:rPr>
        <w:t>offerta Work at Home non è un</w:t>
      </w:r>
      <w:r w:rsidR="001C4212">
        <w:rPr>
          <w:spacing w:val="-3"/>
        </w:rPr>
        <w:t>’</w:t>
      </w:r>
      <w:r w:rsidRPr="008432A1">
        <w:rPr>
          <w:spacing w:val="-3"/>
        </w:rPr>
        <w:t>offerta di un piano di acquisti per dipendenti. La società con licenza Select, Select Plus o con Contratto Enterprise (non il dipendente) mantiene i diritti sulla licenza Work at Home.</w:t>
      </w:r>
      <w:r w:rsidR="00E34ED3" w:rsidRPr="008432A1">
        <w:rPr>
          <w:spacing w:val="-3"/>
        </w:rPr>
        <w:t xml:space="preserve"> </w:t>
      </w:r>
      <w:r w:rsidRPr="008432A1">
        <w:rPr>
          <w:spacing w:val="-3"/>
        </w:rPr>
        <w:t>Per i diritti relativi alla licenza Work at Home di cui dispongono gli istituti accademici idonei, fare riferimento al Contratto/iscrizione.</w:t>
      </w:r>
      <w:r w:rsidR="00E34ED3" w:rsidRPr="008432A1">
        <w:rPr>
          <w:spacing w:val="-3"/>
        </w:rPr>
        <w:t xml:space="preserve"> </w:t>
      </w:r>
    </w:p>
    <w:p w14:paraId="1A66CA3A" w14:textId="77777777" w:rsidR="008432A1" w:rsidRDefault="00023FE7" w:rsidP="008432A1">
      <w:pPr>
        <w:pStyle w:val="Heading1"/>
        <w:spacing w:before="0"/>
        <w:rPr>
          <w:sz w:val="4"/>
          <w:szCs w:val="4"/>
        </w:rPr>
      </w:pPr>
      <w:bookmarkStart w:id="650" w:name="_Section_5_–"/>
      <w:bookmarkEnd w:id="650"/>
      <w:r w:rsidRPr="008432A1">
        <w:rPr>
          <w:sz w:val="4"/>
          <w:szCs w:val="4"/>
        </w:rPr>
        <w:br w:type="page"/>
      </w:r>
      <w:bookmarkStart w:id="651" w:name="_Toc336338207"/>
    </w:p>
    <w:p w14:paraId="7468E1D1" w14:textId="77777777" w:rsidR="00456002" w:rsidRPr="0058047D" w:rsidRDefault="00023FE7" w:rsidP="008432A1">
      <w:pPr>
        <w:pStyle w:val="Heading1"/>
        <w:spacing w:before="0"/>
      </w:pPr>
      <w:bookmarkStart w:id="652" w:name="_Articolo_5_-"/>
      <w:bookmarkStart w:id="653" w:name="_Toc371663600"/>
      <w:bookmarkEnd w:id="652"/>
      <w:r w:rsidRPr="0058047D">
        <w:t xml:space="preserve">Articolo 5 </w:t>
      </w:r>
      <w:bookmarkStart w:id="654" w:name="Sect5_OnlineServices"/>
      <w:r w:rsidR="008432A1" w:rsidRPr="0058047D">
        <w:t>-</w:t>
      </w:r>
      <w:r w:rsidRPr="0058047D">
        <w:t xml:space="preserve"> PREZZI DEI SERVIZI ONLINE e</w:t>
      </w:r>
      <w:r w:rsidR="008432A1">
        <w:t> </w:t>
      </w:r>
      <w:r w:rsidRPr="0058047D">
        <w:t>CONDIZIONI DI PAGAMENTO</w:t>
      </w:r>
      <w:bookmarkEnd w:id="651"/>
      <w:bookmarkEnd w:id="653"/>
      <w:bookmarkEnd w:id="654"/>
    </w:p>
    <w:p w14:paraId="76AC0B74" w14:textId="77777777" w:rsidR="00456002" w:rsidRPr="008432A1" w:rsidRDefault="00456002" w:rsidP="00456002">
      <w:pPr>
        <w:outlineLvl w:val="2"/>
        <w:rPr>
          <w:sz w:val="24"/>
          <w:szCs w:val="24"/>
        </w:rPr>
      </w:pPr>
    </w:p>
    <w:p w14:paraId="41405D26" w14:textId="77777777" w:rsidR="00D85FDD" w:rsidRPr="008432A1" w:rsidRDefault="00D85FDD" w:rsidP="003C3A72">
      <w:pPr>
        <w:pStyle w:val="Heading2"/>
        <w:ind w:left="0"/>
        <w:rPr>
          <w:sz w:val="32"/>
          <w:szCs w:val="32"/>
        </w:rPr>
      </w:pPr>
      <w:bookmarkStart w:id="655" w:name="_Toc371663601"/>
      <w:r w:rsidRPr="008432A1">
        <w:rPr>
          <w:rFonts w:ascii="Tahoma" w:hAnsi="Tahoma" w:cs="Tahoma"/>
          <w:sz w:val="32"/>
          <w:szCs w:val="32"/>
        </w:rPr>
        <w:t>Prezzi dei Servizi Online e Condizioni di Pagamento</w:t>
      </w:r>
      <w:bookmarkEnd w:id="655"/>
    </w:p>
    <w:p w14:paraId="5D4245F5" w14:textId="77777777" w:rsidR="00D85FDD" w:rsidRPr="0058047D" w:rsidRDefault="00D85FDD" w:rsidP="00212CC6">
      <w:pPr>
        <w:outlineLvl w:val="2"/>
      </w:pPr>
    </w:p>
    <w:p w14:paraId="5282A8F6" w14:textId="77777777" w:rsidR="00456002" w:rsidRPr="0058047D" w:rsidRDefault="00456002" w:rsidP="00212CC6">
      <w:pPr>
        <w:outlineLvl w:val="2"/>
      </w:pPr>
      <w:r w:rsidRPr="0058047D">
        <w:rPr>
          <w:rFonts w:cs="Tahoma"/>
          <w:szCs w:val="18"/>
        </w:rPr>
        <w:t>I Servizi Online sono prodotti, che includono software con servizi, disponibili con la formula cosiddetta “subscription” nella modalità descritta nei Diritti di Utilizzo del Prodotto e forniti online.</w:t>
      </w:r>
      <w:r w:rsidR="00E34ED3" w:rsidRPr="0058047D">
        <w:rPr>
          <w:rFonts w:cs="Tahoma"/>
          <w:szCs w:val="18"/>
        </w:rPr>
        <w:t xml:space="preserve"> </w:t>
      </w:r>
      <w:r w:rsidRPr="0058047D">
        <w:rPr>
          <w:rFonts w:cs="Tahoma"/>
          <w:szCs w:val="18"/>
        </w:rPr>
        <w:t>Alcuni contratti multilicenza indirizzano le società alla Lista dei Prodotti per un elenco di “Servizi Online” disponibili. Ai fini di tale riferimento, i Servizi Online includono:</w:t>
      </w:r>
    </w:p>
    <w:p w14:paraId="7998C0DA" w14:textId="77777777" w:rsidR="002D25C8" w:rsidRPr="0058047D" w:rsidRDefault="002D25C8" w:rsidP="00212CC6">
      <w:pPr>
        <w:outlineLvl w:val="2"/>
      </w:pPr>
    </w:p>
    <w:p w14:paraId="742B6314" w14:textId="77777777" w:rsidR="00073E15" w:rsidRPr="0058047D" w:rsidRDefault="00A0550D" w:rsidP="00A0550D">
      <w:pPr>
        <w:numPr>
          <w:ilvl w:val="0"/>
          <w:numId w:val="67"/>
        </w:numPr>
        <w:spacing w:after="60"/>
      </w:pPr>
      <w:r w:rsidRPr="0058047D">
        <w:rPr>
          <w:rFonts w:eastAsia="Calibri" w:cs="Tahoma"/>
          <w:color w:val="000000"/>
          <w:szCs w:val="18"/>
        </w:rPr>
        <w:t>Bing Maps Enterprise Platform</w:t>
      </w:r>
    </w:p>
    <w:p w14:paraId="3F84E815" w14:textId="77777777" w:rsidR="00A0550D" w:rsidRPr="0058047D" w:rsidRDefault="00A0550D" w:rsidP="00A0550D">
      <w:pPr>
        <w:numPr>
          <w:ilvl w:val="0"/>
          <w:numId w:val="67"/>
        </w:numPr>
        <w:spacing w:after="60"/>
      </w:pPr>
      <w:r w:rsidRPr="0058047D">
        <w:rPr>
          <w:rFonts w:eastAsia="Calibri" w:cs="Tahoma"/>
          <w:color w:val="000000"/>
          <w:szCs w:val="18"/>
        </w:rPr>
        <w:t>Bing Maps Mobile Asset Management Platform</w:t>
      </w:r>
    </w:p>
    <w:p w14:paraId="68C8442B" w14:textId="77777777" w:rsidR="00A0550D" w:rsidRPr="0058047D" w:rsidRDefault="00A0550D" w:rsidP="00A0550D">
      <w:pPr>
        <w:numPr>
          <w:ilvl w:val="0"/>
          <w:numId w:val="67"/>
        </w:numPr>
        <w:spacing w:after="60"/>
      </w:pPr>
      <w:r w:rsidRPr="0058047D">
        <w:rPr>
          <w:rFonts w:eastAsia="Calibri" w:cs="Tahoma"/>
          <w:color w:val="000000"/>
          <w:szCs w:val="18"/>
        </w:rPr>
        <w:t xml:space="preserve">Prevenzione delle Perdite di Dati </w:t>
      </w:r>
    </w:p>
    <w:p w14:paraId="65EC1DF4" w14:textId="77777777" w:rsidR="00A0550D" w:rsidRPr="0058047D" w:rsidRDefault="00A0550D" w:rsidP="00A0550D">
      <w:pPr>
        <w:numPr>
          <w:ilvl w:val="0"/>
          <w:numId w:val="67"/>
        </w:numPr>
        <w:spacing w:after="60"/>
      </w:pPr>
      <w:r w:rsidRPr="0058047D">
        <w:rPr>
          <w:rFonts w:eastAsia="Calibri" w:cs="Tahoma"/>
          <w:color w:val="000000"/>
          <w:szCs w:val="18"/>
        </w:rPr>
        <w:t xml:space="preserve">Duet Enterprise Online per Microsoft SharePoint e SAP </w:t>
      </w:r>
    </w:p>
    <w:p w14:paraId="2E460EE8" w14:textId="77777777" w:rsidR="00B00423" w:rsidRPr="0058047D" w:rsidRDefault="00B00423" w:rsidP="00B00423">
      <w:pPr>
        <w:numPr>
          <w:ilvl w:val="0"/>
          <w:numId w:val="67"/>
        </w:numPr>
        <w:spacing w:after="60"/>
      </w:pPr>
      <w:r w:rsidRPr="0058047D">
        <w:rPr>
          <w:rFonts w:eastAsia="Calibri" w:cs="Tahoma"/>
          <w:color w:val="000000"/>
          <w:szCs w:val="18"/>
        </w:rPr>
        <w:t>Exchange Hosted Encryption</w:t>
      </w:r>
      <w:r w:rsidR="00E34ED3" w:rsidRPr="0058047D">
        <w:rPr>
          <w:rFonts w:eastAsia="Calibri" w:cs="Tahoma"/>
          <w:color w:val="000000"/>
          <w:szCs w:val="18"/>
        </w:rPr>
        <w:t xml:space="preserve"> </w:t>
      </w:r>
    </w:p>
    <w:p w14:paraId="50B69805" w14:textId="77777777" w:rsidR="00A0550D" w:rsidRPr="0058047D" w:rsidRDefault="00A0550D" w:rsidP="00A0550D">
      <w:pPr>
        <w:numPr>
          <w:ilvl w:val="0"/>
          <w:numId w:val="67"/>
        </w:numPr>
        <w:spacing w:after="60"/>
      </w:pPr>
      <w:r w:rsidRPr="0058047D">
        <w:rPr>
          <w:rFonts w:eastAsia="Calibri" w:cs="Tahoma"/>
          <w:color w:val="000000"/>
          <w:szCs w:val="18"/>
        </w:rPr>
        <w:t xml:space="preserve">Archiviazione Exchange Online per Exchange Online </w:t>
      </w:r>
    </w:p>
    <w:p w14:paraId="07F2EB6F" w14:textId="77777777" w:rsidR="00456002" w:rsidRPr="0058047D" w:rsidRDefault="00456002" w:rsidP="00A0550D">
      <w:pPr>
        <w:numPr>
          <w:ilvl w:val="0"/>
          <w:numId w:val="67"/>
        </w:numPr>
        <w:spacing w:after="60"/>
      </w:pPr>
      <w:r w:rsidRPr="0058047D">
        <w:rPr>
          <w:rFonts w:eastAsia="Calibri" w:cs="Tahoma"/>
          <w:color w:val="000000"/>
          <w:szCs w:val="18"/>
        </w:rPr>
        <w:t>Archiviazione Exchange Online per Exchange Server</w:t>
      </w:r>
    </w:p>
    <w:p w14:paraId="0D3EBF38" w14:textId="77777777" w:rsidR="00456002" w:rsidRPr="0058047D" w:rsidRDefault="00456002" w:rsidP="00346F4B">
      <w:pPr>
        <w:numPr>
          <w:ilvl w:val="0"/>
          <w:numId w:val="67"/>
        </w:numPr>
        <w:spacing w:after="60"/>
      </w:pPr>
      <w:r w:rsidRPr="0058047D">
        <w:rPr>
          <w:rFonts w:eastAsia="Calibri" w:cs="Tahoma"/>
          <w:color w:val="000000"/>
          <w:szCs w:val="18"/>
        </w:rPr>
        <w:t xml:space="preserve">Chiosco Exchange Online, Piano 1 e Piano 2 </w:t>
      </w:r>
    </w:p>
    <w:p w14:paraId="3B3A7C2B" w14:textId="77777777" w:rsidR="00A0550D" w:rsidRPr="0058047D" w:rsidRDefault="00A0550D" w:rsidP="00A0550D">
      <w:pPr>
        <w:numPr>
          <w:ilvl w:val="0"/>
          <w:numId w:val="67"/>
        </w:numPr>
        <w:spacing w:after="60"/>
      </w:pPr>
      <w:r w:rsidRPr="0058047D">
        <w:rPr>
          <w:rFonts w:eastAsia="Calibri" w:cs="Tahoma"/>
          <w:color w:val="000000"/>
          <w:szCs w:val="18"/>
        </w:rPr>
        <w:t xml:space="preserve">Exchange Online Protection </w:t>
      </w:r>
    </w:p>
    <w:p w14:paraId="4DBA59A2" w14:textId="77777777" w:rsidR="00A0550D" w:rsidRPr="0058047D" w:rsidRDefault="00A0550D" w:rsidP="00A0550D">
      <w:pPr>
        <w:numPr>
          <w:ilvl w:val="0"/>
          <w:numId w:val="67"/>
        </w:numPr>
        <w:spacing w:after="60"/>
      </w:pPr>
      <w:r w:rsidRPr="0058047D">
        <w:rPr>
          <w:rFonts w:eastAsia="Calibri" w:cs="Tahoma"/>
          <w:color w:val="000000"/>
          <w:szCs w:val="18"/>
        </w:rPr>
        <w:t xml:space="preserve">Forefront Online Protection for Exchange </w:t>
      </w:r>
    </w:p>
    <w:p w14:paraId="010D77CB" w14:textId="77777777" w:rsidR="00A0550D" w:rsidRPr="0058047D" w:rsidRDefault="00A0550D" w:rsidP="00A0550D">
      <w:pPr>
        <w:numPr>
          <w:ilvl w:val="0"/>
          <w:numId w:val="67"/>
        </w:numPr>
        <w:spacing w:after="60"/>
      </w:pPr>
      <w:r w:rsidRPr="0058047D">
        <w:rPr>
          <w:rFonts w:eastAsia="Calibri" w:cs="Tahoma"/>
          <w:color w:val="000000"/>
          <w:szCs w:val="18"/>
        </w:rPr>
        <w:t xml:space="preserve">Groove Enterprise Services </w:t>
      </w:r>
    </w:p>
    <w:p w14:paraId="7CB95559" w14:textId="77777777" w:rsidR="00456002" w:rsidRPr="0058047D" w:rsidRDefault="00456002" w:rsidP="00A0550D">
      <w:pPr>
        <w:numPr>
          <w:ilvl w:val="0"/>
          <w:numId w:val="67"/>
        </w:numPr>
        <w:spacing w:after="60"/>
      </w:pPr>
      <w:r w:rsidRPr="0058047D">
        <w:rPr>
          <w:rFonts w:eastAsia="Calibri" w:cs="Tahoma"/>
          <w:color w:val="000000"/>
          <w:szCs w:val="18"/>
        </w:rPr>
        <w:t>Lync Online Piano 1, 2 e 3</w:t>
      </w:r>
    </w:p>
    <w:p w14:paraId="6D0C36C9" w14:textId="77777777" w:rsidR="00A0550D" w:rsidRPr="0058047D" w:rsidRDefault="00A0550D" w:rsidP="00A0550D">
      <w:pPr>
        <w:numPr>
          <w:ilvl w:val="0"/>
          <w:numId w:val="67"/>
        </w:numPr>
        <w:spacing w:after="60"/>
      </w:pPr>
      <w:r w:rsidRPr="0058047D">
        <w:rPr>
          <w:rFonts w:eastAsia="Calibri" w:cs="Tahoma"/>
          <w:color w:val="000000"/>
          <w:szCs w:val="18"/>
        </w:rPr>
        <w:t>Microsoft Dynamics CRM Online</w:t>
      </w:r>
    </w:p>
    <w:p w14:paraId="089EA15A" w14:textId="77777777" w:rsidR="00A0550D" w:rsidRPr="0058047D" w:rsidRDefault="00A0550D" w:rsidP="00A0550D">
      <w:pPr>
        <w:numPr>
          <w:ilvl w:val="0"/>
          <w:numId w:val="67"/>
        </w:numPr>
        <w:spacing w:after="60"/>
      </w:pPr>
      <w:r w:rsidRPr="0058047D">
        <w:rPr>
          <w:rFonts w:eastAsia="Calibri" w:cs="Tahoma"/>
          <w:color w:val="000000"/>
          <w:szCs w:val="18"/>
        </w:rPr>
        <w:t>Microsoft Learning E-Reference Library e IT Academy</w:t>
      </w:r>
    </w:p>
    <w:p w14:paraId="48A0B590" w14:textId="77777777" w:rsidR="00456002" w:rsidRPr="0058047D" w:rsidRDefault="00456002" w:rsidP="00A0550D">
      <w:pPr>
        <w:numPr>
          <w:ilvl w:val="0"/>
          <w:numId w:val="67"/>
        </w:numPr>
        <w:spacing w:after="60"/>
      </w:pPr>
      <w:r w:rsidRPr="0058047D">
        <w:rPr>
          <w:rFonts w:eastAsia="Calibri" w:cs="Tahoma"/>
          <w:color w:val="000000"/>
          <w:szCs w:val="18"/>
        </w:rPr>
        <w:t>Office 365 Enterprise K1, E1, E3 ed E4</w:t>
      </w:r>
    </w:p>
    <w:p w14:paraId="5862342C" w14:textId="77777777" w:rsidR="00061A45" w:rsidRPr="0058047D" w:rsidRDefault="008368B4" w:rsidP="00346F4B">
      <w:pPr>
        <w:numPr>
          <w:ilvl w:val="0"/>
          <w:numId w:val="67"/>
        </w:numPr>
        <w:spacing w:after="60"/>
      </w:pPr>
      <w:r w:rsidRPr="0058047D">
        <w:rPr>
          <w:rFonts w:eastAsia="Calibri" w:cs="Tahoma"/>
          <w:color w:val="000000"/>
          <w:szCs w:val="18"/>
        </w:rPr>
        <w:t>Office 365 ProPlus</w:t>
      </w:r>
    </w:p>
    <w:p w14:paraId="4A78542D" w14:textId="77777777" w:rsidR="00A0550D" w:rsidRPr="0058047D" w:rsidRDefault="00A0550D" w:rsidP="00A0550D">
      <w:pPr>
        <w:numPr>
          <w:ilvl w:val="0"/>
          <w:numId w:val="67"/>
        </w:numPr>
        <w:spacing w:after="60"/>
      </w:pPr>
      <w:r w:rsidRPr="0058047D">
        <w:rPr>
          <w:rFonts w:eastAsia="Calibri" w:cs="Tahoma"/>
          <w:color w:val="000000"/>
          <w:szCs w:val="18"/>
        </w:rPr>
        <w:t xml:space="preserve">Office Web Applications </w:t>
      </w:r>
    </w:p>
    <w:p w14:paraId="0542142C" w14:textId="77777777" w:rsidR="008368B4" w:rsidRPr="0058047D" w:rsidRDefault="008368B4" w:rsidP="00A0550D">
      <w:pPr>
        <w:numPr>
          <w:ilvl w:val="0"/>
          <w:numId w:val="67"/>
        </w:numPr>
        <w:spacing w:after="60"/>
      </w:pPr>
      <w:r w:rsidRPr="0058047D">
        <w:rPr>
          <w:rFonts w:eastAsia="Calibri" w:cs="Tahoma"/>
          <w:color w:val="000000"/>
          <w:szCs w:val="18"/>
        </w:rPr>
        <w:t>Project Online</w:t>
      </w:r>
    </w:p>
    <w:p w14:paraId="530C9CF2" w14:textId="77777777" w:rsidR="008368B4" w:rsidRPr="0058047D" w:rsidRDefault="008368B4" w:rsidP="00346F4B">
      <w:pPr>
        <w:numPr>
          <w:ilvl w:val="0"/>
          <w:numId w:val="67"/>
        </w:numPr>
        <w:spacing w:after="60"/>
      </w:pPr>
      <w:r w:rsidRPr="0058047D">
        <w:rPr>
          <w:rFonts w:eastAsia="Calibri" w:cs="Tahoma"/>
          <w:color w:val="000000"/>
          <w:szCs w:val="18"/>
        </w:rPr>
        <w:t>Project Pro per Office 365</w:t>
      </w:r>
    </w:p>
    <w:p w14:paraId="25EDDC43" w14:textId="77777777" w:rsidR="00456002" w:rsidRPr="0058047D" w:rsidRDefault="00456002" w:rsidP="00346F4B">
      <w:pPr>
        <w:numPr>
          <w:ilvl w:val="0"/>
          <w:numId w:val="67"/>
        </w:numPr>
        <w:spacing w:after="60"/>
      </w:pPr>
      <w:r w:rsidRPr="0058047D">
        <w:rPr>
          <w:rFonts w:eastAsia="Calibri" w:cs="Tahoma"/>
          <w:color w:val="000000"/>
          <w:szCs w:val="18"/>
        </w:rPr>
        <w:t xml:space="preserve">Chiosco SharePoint Online, Piano 1 e Piano 2 </w:t>
      </w:r>
    </w:p>
    <w:p w14:paraId="3127C2D8" w14:textId="77777777" w:rsidR="00456002" w:rsidRPr="0058047D" w:rsidRDefault="00456002" w:rsidP="00A0550D">
      <w:pPr>
        <w:numPr>
          <w:ilvl w:val="0"/>
          <w:numId w:val="67"/>
        </w:numPr>
        <w:spacing w:after="60"/>
      </w:pPr>
      <w:r w:rsidRPr="0058047D">
        <w:rPr>
          <w:rFonts w:eastAsia="Calibri" w:cs="Tahoma"/>
          <w:color w:val="000000"/>
          <w:szCs w:val="18"/>
        </w:rPr>
        <w:t xml:space="preserve">System Center Endpoint Protection </w:t>
      </w:r>
    </w:p>
    <w:p w14:paraId="5D6A9D67" w14:textId="77777777" w:rsidR="00B00423" w:rsidRPr="0058047D" w:rsidRDefault="00B00423" w:rsidP="00B00423">
      <w:pPr>
        <w:numPr>
          <w:ilvl w:val="0"/>
          <w:numId w:val="67"/>
        </w:numPr>
        <w:spacing w:after="60"/>
      </w:pPr>
      <w:r w:rsidRPr="0058047D">
        <w:rPr>
          <w:rFonts w:eastAsia="Calibri" w:cs="Tahoma"/>
          <w:color w:val="000000"/>
          <w:szCs w:val="18"/>
        </w:rPr>
        <w:t xml:space="preserve">Translator API </w:t>
      </w:r>
    </w:p>
    <w:p w14:paraId="5E255674" w14:textId="77777777" w:rsidR="008368B4" w:rsidRPr="0058047D" w:rsidRDefault="008368B4" w:rsidP="00B00423">
      <w:pPr>
        <w:numPr>
          <w:ilvl w:val="0"/>
          <w:numId w:val="67"/>
        </w:numPr>
        <w:spacing w:after="60"/>
      </w:pPr>
      <w:r w:rsidRPr="0058047D">
        <w:rPr>
          <w:rFonts w:eastAsia="Calibri" w:cs="Tahoma"/>
          <w:color w:val="000000"/>
          <w:szCs w:val="18"/>
        </w:rPr>
        <w:t>Visio Pro per Office 365</w:t>
      </w:r>
    </w:p>
    <w:p w14:paraId="59727868" w14:textId="77777777" w:rsidR="00073E15" w:rsidRPr="0058047D" w:rsidRDefault="00456002" w:rsidP="00B00423">
      <w:pPr>
        <w:numPr>
          <w:ilvl w:val="0"/>
          <w:numId w:val="67"/>
        </w:numPr>
        <w:spacing w:after="60"/>
      </w:pPr>
      <w:r w:rsidRPr="0058047D">
        <w:rPr>
          <w:rFonts w:eastAsia="Calibri" w:cs="Tahoma"/>
          <w:color w:val="000000"/>
          <w:szCs w:val="18"/>
        </w:rPr>
        <w:t>Windows Azure Active Directory Rights Management</w:t>
      </w:r>
    </w:p>
    <w:p w14:paraId="17820693" w14:textId="77777777" w:rsidR="00456002" w:rsidRPr="0058047D" w:rsidRDefault="00073E15" w:rsidP="00B00423">
      <w:pPr>
        <w:numPr>
          <w:ilvl w:val="0"/>
          <w:numId w:val="67"/>
        </w:numPr>
        <w:spacing w:after="60"/>
      </w:pPr>
      <w:r w:rsidRPr="0058047D">
        <w:rPr>
          <w:rFonts w:eastAsia="Calibri" w:cs="Tahoma"/>
          <w:color w:val="000000"/>
          <w:szCs w:val="18"/>
        </w:rPr>
        <w:t>Servizi di Windows Azure</w:t>
      </w:r>
    </w:p>
    <w:p w14:paraId="7242F23E" w14:textId="77777777" w:rsidR="00073E15" w:rsidRPr="0058047D" w:rsidRDefault="00456002" w:rsidP="00346F4B">
      <w:pPr>
        <w:numPr>
          <w:ilvl w:val="0"/>
          <w:numId w:val="67"/>
        </w:numPr>
        <w:spacing w:after="60"/>
      </w:pPr>
      <w:r w:rsidRPr="0058047D">
        <w:rPr>
          <w:rFonts w:eastAsia="Calibri" w:cs="Tahoma"/>
          <w:color w:val="000000"/>
          <w:szCs w:val="18"/>
        </w:rPr>
        <w:t>Windows Intune</w:t>
      </w:r>
    </w:p>
    <w:p w14:paraId="0D54213F" w14:textId="77777777" w:rsidR="00456002" w:rsidRPr="0058047D" w:rsidRDefault="003929D1" w:rsidP="00346F4B">
      <w:pPr>
        <w:numPr>
          <w:ilvl w:val="0"/>
          <w:numId w:val="67"/>
        </w:numPr>
        <w:spacing w:after="60"/>
      </w:pPr>
      <w:r w:rsidRPr="0058047D">
        <w:rPr>
          <w:rFonts w:eastAsia="Calibri" w:cs="Tahoma"/>
          <w:color w:val="000000"/>
          <w:szCs w:val="18"/>
        </w:rPr>
        <w:t>Componente Aggiuntivo per Windows Intune per System Center Configuration Manager e System Center EndPoint Protection</w:t>
      </w:r>
    </w:p>
    <w:p w14:paraId="6F8C36F0" w14:textId="77777777" w:rsidR="00B00423" w:rsidRPr="0058047D" w:rsidRDefault="00B00423" w:rsidP="00346F4B">
      <w:pPr>
        <w:numPr>
          <w:ilvl w:val="0"/>
          <w:numId w:val="67"/>
        </w:numPr>
        <w:spacing w:after="60"/>
      </w:pPr>
      <w:r w:rsidRPr="0058047D">
        <w:rPr>
          <w:rFonts w:eastAsia="Calibri" w:cs="Tahoma"/>
          <w:color w:val="000000"/>
          <w:szCs w:val="18"/>
        </w:rPr>
        <w:t>Yammer Enterprise</w:t>
      </w:r>
    </w:p>
    <w:p w14:paraId="71249935" w14:textId="77777777" w:rsidR="002D25C8" w:rsidRPr="0058047D" w:rsidRDefault="002D25C8" w:rsidP="00212CC6"/>
    <w:p w14:paraId="2416888E" w14:textId="77777777" w:rsidR="00456002" w:rsidRPr="0058047D" w:rsidRDefault="00456002" w:rsidP="00116EDC">
      <w:pPr>
        <w:outlineLvl w:val="2"/>
      </w:pPr>
      <w:r w:rsidRPr="0058047D">
        <w:rPr>
          <w:rFonts w:cs="Tahoma"/>
          <w:szCs w:val="18"/>
        </w:rPr>
        <w:t>Sono disponibili altre offerte oltre a queste che sono identificate nell</w:t>
      </w:r>
      <w:r w:rsidR="001C4212">
        <w:rPr>
          <w:rFonts w:cs="Tahoma"/>
          <w:szCs w:val="18"/>
        </w:rPr>
        <w:t>’</w:t>
      </w:r>
      <w:r w:rsidRPr="0058047D">
        <w:rPr>
          <w:rFonts w:cs="Tahoma"/>
          <w:szCs w:val="18"/>
        </w:rPr>
        <w:t>articolo Servizi Online dei Diritti di Utilizzo del Prodotto.</w:t>
      </w:r>
      <w:r w:rsidR="00E34ED3" w:rsidRPr="0058047D">
        <w:rPr>
          <w:rFonts w:cs="Tahoma"/>
          <w:szCs w:val="18"/>
        </w:rPr>
        <w:t xml:space="preserve"> </w:t>
      </w:r>
      <w:r w:rsidRPr="0058047D">
        <w:rPr>
          <w:rFonts w:cs="Tahoma"/>
          <w:szCs w:val="18"/>
        </w:rPr>
        <w:t>Gli articoli restanti di “Prezzi dei Servizi Online e Condizioni di Pagamento” si applicano sia ai Servizi Online identificati sopra per nome che a tali altre offerte.</w:t>
      </w:r>
    </w:p>
    <w:p w14:paraId="0F8184A2" w14:textId="77777777" w:rsidR="00116EDC" w:rsidRDefault="00116EDC" w:rsidP="00116EDC">
      <w:pPr>
        <w:outlineLvl w:val="2"/>
      </w:pPr>
    </w:p>
    <w:p w14:paraId="76C9F48B" w14:textId="77777777" w:rsidR="008432A1" w:rsidRDefault="008432A1" w:rsidP="00116EDC">
      <w:pPr>
        <w:outlineLvl w:val="2"/>
      </w:pPr>
    </w:p>
    <w:p w14:paraId="3CB77374" w14:textId="77777777" w:rsidR="008432A1" w:rsidRPr="0058047D" w:rsidRDefault="008432A1" w:rsidP="00116EDC">
      <w:pPr>
        <w:outlineLvl w:val="2"/>
      </w:pPr>
    </w:p>
    <w:p w14:paraId="64D505D3" w14:textId="77777777" w:rsidR="00456002" w:rsidRPr="0058047D" w:rsidRDefault="00456002" w:rsidP="00456002">
      <w:pPr>
        <w:pStyle w:val="Heading2"/>
        <w:ind w:left="0"/>
      </w:pPr>
      <w:bookmarkStart w:id="656" w:name="_Toc336338208"/>
      <w:bookmarkStart w:id="657" w:name="_Toc371663602"/>
      <w:r w:rsidRPr="0058047D">
        <w:rPr>
          <w:rFonts w:ascii="Tahoma" w:hAnsi="Tahoma" w:cs="Tahoma"/>
        </w:rPr>
        <w:t>Periodo di Validità dell</w:t>
      </w:r>
      <w:r w:rsidR="001C4212">
        <w:rPr>
          <w:rFonts w:ascii="Tahoma" w:hAnsi="Tahoma" w:cs="Tahoma"/>
        </w:rPr>
        <w:t>’</w:t>
      </w:r>
      <w:r w:rsidRPr="0058047D">
        <w:rPr>
          <w:rFonts w:ascii="Tahoma" w:hAnsi="Tahoma" w:cs="Tahoma"/>
        </w:rPr>
        <w:t>Abbonamento ai Servizi Online</w:t>
      </w:r>
      <w:bookmarkEnd w:id="656"/>
      <w:bookmarkEnd w:id="657"/>
    </w:p>
    <w:p w14:paraId="5B4D63F1" w14:textId="77777777" w:rsidR="00456002" w:rsidRPr="0058047D" w:rsidRDefault="00456002" w:rsidP="00116EDC">
      <w:pPr>
        <w:outlineLvl w:val="2"/>
      </w:pPr>
    </w:p>
    <w:p w14:paraId="42FFEACB" w14:textId="77777777" w:rsidR="006A5DAE" w:rsidRPr="0058047D" w:rsidRDefault="00456002" w:rsidP="006A5DAE">
      <w:pPr>
        <w:outlineLvl w:val="2"/>
      </w:pPr>
      <w:r w:rsidRPr="0058047D">
        <w:rPr>
          <w:rFonts w:cs="Tahoma"/>
          <w:szCs w:val="18"/>
        </w:rPr>
        <w:t>L</w:t>
      </w:r>
      <w:r w:rsidR="001C4212">
        <w:rPr>
          <w:rFonts w:cs="Tahoma"/>
          <w:szCs w:val="18"/>
        </w:rPr>
        <w:t>’</w:t>
      </w:r>
      <w:r w:rsidRPr="0058047D">
        <w:rPr>
          <w:rFonts w:cs="Tahoma"/>
          <w:szCs w:val="18"/>
        </w:rPr>
        <w:t>acquisto iniziale di un nuovo abbonamento per i servizi online determinerà il periodo di validità dell</w:t>
      </w:r>
      <w:r w:rsidR="001C4212">
        <w:rPr>
          <w:rFonts w:cs="Tahoma"/>
          <w:szCs w:val="18"/>
        </w:rPr>
        <w:t>’</w:t>
      </w:r>
      <w:r w:rsidRPr="0058047D">
        <w:rPr>
          <w:rFonts w:cs="Tahoma"/>
          <w:szCs w:val="18"/>
        </w:rPr>
        <w:t>abbonamento.</w:t>
      </w:r>
      <w:r w:rsidR="00E34ED3" w:rsidRPr="0058047D">
        <w:rPr>
          <w:rFonts w:cs="Tahoma"/>
          <w:szCs w:val="18"/>
        </w:rPr>
        <w:t xml:space="preserve"> </w:t>
      </w:r>
      <w:r w:rsidRPr="0058047D">
        <w:rPr>
          <w:rFonts w:cs="Tahoma"/>
          <w:szCs w:val="18"/>
        </w:rPr>
        <w:t>Alcuni servizi consentono a una società di scegliere un periodo di abbonamento annuale o un abbonamento che termini il giorno stesso della scadenza del periodo di validità del contratto o dell</w:t>
      </w:r>
      <w:r w:rsidR="001C4212">
        <w:rPr>
          <w:rFonts w:cs="Tahoma"/>
          <w:szCs w:val="18"/>
        </w:rPr>
        <w:t>’</w:t>
      </w:r>
      <w:r w:rsidRPr="0058047D">
        <w:rPr>
          <w:rFonts w:cs="Tahoma"/>
          <w:szCs w:val="18"/>
        </w:rPr>
        <w:t>iscrizione delle società (“scadenza identica”) come indicato nella seguente tabella.</w:t>
      </w:r>
      <w:r w:rsidR="00E34ED3" w:rsidRPr="0058047D">
        <w:rPr>
          <w:rFonts w:cs="Tahoma"/>
          <w:szCs w:val="18"/>
        </w:rPr>
        <w:t xml:space="preserve"> </w:t>
      </w:r>
      <w:r w:rsidRPr="0058047D">
        <w:rPr>
          <w:rFonts w:cs="Tahoma"/>
          <w:szCs w:val="18"/>
        </w:rPr>
        <w:t>Select Plus non offre la possibilità di periodi di validità con scadenza identica, ma consente alla società di scegliere tra periodi di validità dell</w:t>
      </w:r>
      <w:r w:rsidR="001C4212">
        <w:rPr>
          <w:rFonts w:cs="Tahoma"/>
          <w:szCs w:val="18"/>
        </w:rPr>
        <w:t>’</w:t>
      </w:r>
      <w:r w:rsidRPr="0058047D">
        <w:rPr>
          <w:rFonts w:cs="Tahoma"/>
          <w:szCs w:val="18"/>
        </w:rPr>
        <w:t>abbonamento della durata di 1 anno, 3 anni o</w:t>
      </w:r>
      <w:r w:rsidR="008432A1">
        <w:rPr>
          <w:rFonts w:cs="Tahoma"/>
          <w:szCs w:val="18"/>
        </w:rPr>
        <w:t> </w:t>
      </w:r>
      <w:r w:rsidRPr="0058047D">
        <w:rPr>
          <w:rFonts w:cs="Tahoma"/>
          <w:szCs w:val="18"/>
        </w:rPr>
        <w:t>di allineare il periodo di validità alla seconda ricorrenza a partire dalla data di inizio.</w:t>
      </w:r>
      <w:r w:rsidR="00E34ED3" w:rsidRPr="0058047D">
        <w:rPr>
          <w:rFonts w:cs="Tahoma"/>
          <w:szCs w:val="18"/>
        </w:rPr>
        <w:t xml:space="preserve"> </w:t>
      </w:r>
      <w:r w:rsidRPr="0058047D">
        <w:rPr>
          <w:rFonts w:cs="Tahoma"/>
          <w:szCs w:val="18"/>
        </w:rPr>
        <w:t>Il periodo di validità annuale dell</w:t>
      </w:r>
      <w:r w:rsidR="001C4212">
        <w:rPr>
          <w:rFonts w:cs="Tahoma"/>
          <w:szCs w:val="18"/>
        </w:rPr>
        <w:t>’</w:t>
      </w:r>
      <w:r w:rsidRPr="0058047D">
        <w:rPr>
          <w:rFonts w:cs="Tahoma"/>
          <w:szCs w:val="18"/>
        </w:rPr>
        <w:t>abbonamento potrebbe non allinearsi alla data di scadenza del contratto della società né terminare in tale data.</w:t>
      </w:r>
      <w:r w:rsidR="00E34ED3" w:rsidRPr="0058047D">
        <w:rPr>
          <w:rFonts w:cs="Tahoma"/>
          <w:szCs w:val="18"/>
        </w:rPr>
        <w:t xml:space="preserve"> </w:t>
      </w:r>
      <w:r w:rsidRPr="0058047D">
        <w:rPr>
          <w:rFonts w:cs="Tahoma"/>
          <w:szCs w:val="18"/>
        </w:rPr>
        <w:t>Qualora il periodo di validità dell</w:t>
      </w:r>
      <w:r w:rsidR="001C4212">
        <w:rPr>
          <w:rFonts w:cs="Tahoma"/>
          <w:szCs w:val="18"/>
        </w:rPr>
        <w:t>’</w:t>
      </w:r>
      <w:r w:rsidRPr="0058047D">
        <w:rPr>
          <w:rFonts w:cs="Tahoma"/>
          <w:szCs w:val="18"/>
        </w:rPr>
        <w:t>abbonamento annuale termini dopo il contratto, la società dovrà disporre di un contratto multilicenza (Volume Licensing) attivo per ordinare licenze aggiuntive o rinnovare il servizio.</w:t>
      </w:r>
      <w:r w:rsidR="00E34ED3" w:rsidRPr="0058047D">
        <w:rPr>
          <w:rFonts w:cs="Tahoma"/>
          <w:szCs w:val="18"/>
        </w:rPr>
        <w:t xml:space="preserve"> </w:t>
      </w:r>
      <w:r w:rsidRPr="0058047D">
        <w:rPr>
          <w:rFonts w:cs="Tahoma"/>
          <w:szCs w:val="18"/>
        </w:rPr>
        <w:t>Qualora la società effettui acquisti aggiuntivi di un servizio, il periodo di validità dell</w:t>
      </w:r>
      <w:r w:rsidR="001C4212">
        <w:rPr>
          <w:rFonts w:cs="Tahoma"/>
          <w:szCs w:val="18"/>
        </w:rPr>
        <w:t>’</w:t>
      </w:r>
      <w:r w:rsidRPr="0058047D">
        <w:rPr>
          <w:rFonts w:cs="Tahoma"/>
          <w:szCs w:val="18"/>
        </w:rPr>
        <w:t>abbonamento per l</w:t>
      </w:r>
      <w:r w:rsidR="001C4212">
        <w:rPr>
          <w:rFonts w:cs="Tahoma"/>
          <w:szCs w:val="18"/>
        </w:rPr>
        <w:t>’</w:t>
      </w:r>
      <w:r w:rsidRPr="0058047D">
        <w:rPr>
          <w:rFonts w:cs="Tahoma"/>
          <w:szCs w:val="18"/>
        </w:rPr>
        <w:t>acquisto aggiuntivo dovrà allinearsi al periodo di validità dell</w:t>
      </w:r>
      <w:r w:rsidR="001C4212">
        <w:rPr>
          <w:rFonts w:cs="Tahoma"/>
          <w:szCs w:val="18"/>
        </w:rPr>
        <w:t>’</w:t>
      </w:r>
      <w:r w:rsidRPr="0058047D">
        <w:rPr>
          <w:rFonts w:cs="Tahoma"/>
          <w:szCs w:val="18"/>
        </w:rPr>
        <w:t>abbonamento esistente della società per lo stesso servizio.</w:t>
      </w:r>
      <w:r w:rsidR="00E34ED3" w:rsidRPr="0058047D">
        <w:rPr>
          <w:rFonts w:cs="Tahoma"/>
          <w:szCs w:val="18"/>
        </w:rPr>
        <w:t xml:space="preserve"> </w:t>
      </w:r>
      <w:r w:rsidRPr="0058047D">
        <w:rPr>
          <w:rFonts w:cs="Tahoma"/>
          <w:szCs w:val="18"/>
        </w:rPr>
        <w:t>Nel caso in cui i</w:t>
      </w:r>
      <w:r w:rsidR="008432A1">
        <w:rPr>
          <w:rFonts w:cs="Tahoma"/>
          <w:szCs w:val="18"/>
        </w:rPr>
        <w:t> </w:t>
      </w:r>
      <w:r w:rsidRPr="0058047D">
        <w:rPr>
          <w:rFonts w:cs="Tahoma"/>
          <w:szCs w:val="18"/>
        </w:rPr>
        <w:t>prezzi degli ordini aggiuntivi di prodotti o servizi non siano indicati nel contratto esistente della società, il prezzo addebitato alla parte che riceverà la fattura per le quantità di servizi aggiuntivi sarà identico al prezzo dell</w:t>
      </w:r>
      <w:r w:rsidR="001C4212">
        <w:rPr>
          <w:rFonts w:cs="Tahoma"/>
          <w:szCs w:val="18"/>
        </w:rPr>
        <w:t>’</w:t>
      </w:r>
      <w:r w:rsidRPr="0058047D">
        <w:rPr>
          <w:rFonts w:cs="Tahoma"/>
          <w:szCs w:val="18"/>
        </w:rPr>
        <w:t>acquisto iniziale.</w:t>
      </w:r>
      <w:r w:rsidR="00E34ED3" w:rsidRPr="0058047D">
        <w:rPr>
          <w:rFonts w:cs="Tahoma"/>
          <w:szCs w:val="18"/>
        </w:rPr>
        <w:t xml:space="preserve"> </w:t>
      </w:r>
      <w:r w:rsidRPr="0058047D">
        <w:rPr>
          <w:rFonts w:cs="Tahoma"/>
          <w:szCs w:val="18"/>
        </w:rPr>
        <w:t>Informazioni specifiche sui Servizi di Windows Azure sono disponibili nell</w:t>
      </w:r>
      <w:r w:rsidR="001C4212">
        <w:rPr>
          <w:rFonts w:cs="Tahoma"/>
          <w:szCs w:val="18"/>
        </w:rPr>
        <w:t>’</w:t>
      </w:r>
      <w:r w:rsidRPr="0058047D">
        <w:rPr>
          <w:rFonts w:cs="Tahoma"/>
          <w:szCs w:val="18"/>
        </w:rPr>
        <w:t xml:space="preserve">Articolo corrispondente che segue. </w:t>
      </w:r>
    </w:p>
    <w:p w14:paraId="6EDF4A34" w14:textId="77777777" w:rsidR="00456002" w:rsidRPr="0058047D" w:rsidRDefault="00456002" w:rsidP="00212CC6"/>
    <w:p w14:paraId="072EB2A4" w14:textId="77777777" w:rsidR="001C1727" w:rsidRPr="0058047D" w:rsidRDefault="001C1727"/>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58047D" w14:paraId="1E6EF5F7"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2587F9E6" w14:textId="77777777" w:rsidR="00456002" w:rsidRPr="0058047D" w:rsidRDefault="00456002" w:rsidP="005C647E">
            <w:pPr>
              <w:jc w:val="center"/>
              <w:rPr>
                <w:rFonts w:eastAsia="Calibri" w:cs="Tahoma"/>
                <w:b/>
                <w:bCs/>
                <w:sz w:val="20"/>
                <w:szCs w:val="18"/>
              </w:rPr>
            </w:pPr>
            <w:r w:rsidRPr="0058047D">
              <w:rPr>
                <w:rFonts w:eastAsia="Calibri" w:cs="Tahoma"/>
                <w:b/>
                <w:bCs/>
                <w:sz w:val="20"/>
                <w:szCs w:val="18"/>
              </w:rPr>
              <w:t>Servizi Online disponibili sia per Periodi di Validità Abbonamento di 1 anno che quelli con Scadenze Identiche</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6C8AA87F" w14:textId="77777777" w:rsidR="00456002" w:rsidRPr="0058047D" w:rsidRDefault="00456002" w:rsidP="005C647E">
            <w:pPr>
              <w:jc w:val="center"/>
              <w:rPr>
                <w:rFonts w:eastAsia="Calibri" w:cs="Tahoma"/>
                <w:b/>
                <w:bCs/>
                <w:sz w:val="20"/>
                <w:szCs w:val="18"/>
              </w:rPr>
            </w:pPr>
            <w:r w:rsidRPr="0058047D">
              <w:rPr>
                <w:rFonts w:eastAsia="Calibri" w:cs="Tahoma"/>
                <w:b/>
                <w:bCs/>
                <w:sz w:val="20"/>
                <w:szCs w:val="18"/>
              </w:rPr>
              <w:t>Servizi Online disponibili solo per Periodi di Validità Abbonamento con Scadenze Identiche</w:t>
            </w:r>
          </w:p>
        </w:tc>
      </w:tr>
      <w:tr w:rsidR="00456002" w:rsidRPr="0058047D" w14:paraId="4B309EB1"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1DED8E1" w14:textId="77777777" w:rsidR="00456002" w:rsidRPr="0058047D" w:rsidRDefault="00456002" w:rsidP="00346F4B">
            <w:pPr>
              <w:numPr>
                <w:ilvl w:val="0"/>
                <w:numId w:val="68"/>
              </w:numPr>
              <w:spacing w:after="60"/>
              <w:ind w:left="720" w:right="259"/>
            </w:pPr>
            <w:r w:rsidRPr="0058047D">
              <w:rPr>
                <w:rFonts w:eastAsia="Calibri" w:cs="Tahoma"/>
                <w:color w:val="000000"/>
                <w:szCs w:val="18"/>
              </w:rPr>
              <w:t>Bing Maps Enterprise</w:t>
            </w:r>
          </w:p>
          <w:p w14:paraId="7D32E289" w14:textId="77777777" w:rsidR="00AD481C" w:rsidRPr="0058047D" w:rsidRDefault="00AD481C" w:rsidP="00346F4B">
            <w:pPr>
              <w:numPr>
                <w:ilvl w:val="0"/>
                <w:numId w:val="68"/>
              </w:numPr>
              <w:spacing w:after="60"/>
              <w:ind w:left="720" w:right="259"/>
            </w:pPr>
            <w:r w:rsidRPr="0058047D">
              <w:rPr>
                <w:rFonts w:eastAsia="Calibri" w:cs="Tahoma"/>
                <w:color w:val="000000"/>
                <w:szCs w:val="18"/>
              </w:rPr>
              <w:t>Bing Maps Mobile Asset Management</w:t>
            </w:r>
          </w:p>
          <w:p w14:paraId="2429A7D1" w14:textId="77777777" w:rsidR="00456002" w:rsidRPr="0058047D" w:rsidRDefault="00456002" w:rsidP="00346F4B">
            <w:pPr>
              <w:numPr>
                <w:ilvl w:val="0"/>
                <w:numId w:val="68"/>
              </w:numPr>
              <w:spacing w:after="60"/>
              <w:ind w:left="720" w:right="259"/>
            </w:pPr>
            <w:r w:rsidRPr="0058047D">
              <w:rPr>
                <w:rFonts w:eastAsia="Calibri" w:cs="Tahoma"/>
                <w:color w:val="000000"/>
                <w:szCs w:val="18"/>
              </w:rPr>
              <w:t>Forefront Protection 2010 for Exchange Server</w:t>
            </w:r>
          </w:p>
          <w:p w14:paraId="6D17D51D" w14:textId="77777777" w:rsidR="00456002" w:rsidRPr="0058047D" w:rsidRDefault="00456002" w:rsidP="00346F4B">
            <w:pPr>
              <w:numPr>
                <w:ilvl w:val="0"/>
                <w:numId w:val="68"/>
              </w:numPr>
              <w:spacing w:after="60"/>
              <w:ind w:left="720" w:right="259"/>
            </w:pPr>
            <w:r w:rsidRPr="0058047D">
              <w:rPr>
                <w:rFonts w:eastAsia="Calibri" w:cs="Tahoma"/>
                <w:color w:val="000000"/>
                <w:szCs w:val="18"/>
              </w:rPr>
              <w:t xml:space="preserve">Forefront Protection 2010 for SharePoint </w:t>
            </w:r>
          </w:p>
          <w:p w14:paraId="4657B1B8" w14:textId="77777777" w:rsidR="00456002" w:rsidRPr="0058047D" w:rsidRDefault="00456002" w:rsidP="00346F4B">
            <w:pPr>
              <w:numPr>
                <w:ilvl w:val="0"/>
                <w:numId w:val="68"/>
              </w:numPr>
              <w:spacing w:after="60"/>
              <w:ind w:left="720" w:right="259"/>
            </w:pPr>
            <w:r w:rsidRPr="0058047D">
              <w:rPr>
                <w:rFonts w:eastAsia="Calibri" w:cs="Tahoma"/>
                <w:color w:val="000000"/>
                <w:szCs w:val="18"/>
              </w:rPr>
              <w:t>Forefront Protection Suite</w:t>
            </w:r>
          </w:p>
          <w:p w14:paraId="2D49C72C" w14:textId="77777777" w:rsidR="00456002" w:rsidRPr="0058047D" w:rsidRDefault="00456002" w:rsidP="00346F4B">
            <w:pPr>
              <w:numPr>
                <w:ilvl w:val="0"/>
                <w:numId w:val="68"/>
              </w:numPr>
              <w:spacing w:after="60"/>
              <w:ind w:left="720" w:right="259"/>
            </w:pPr>
            <w:r w:rsidRPr="0058047D">
              <w:rPr>
                <w:rFonts w:eastAsia="Calibri" w:cs="Tahoma"/>
                <w:color w:val="000000"/>
                <w:szCs w:val="18"/>
              </w:rPr>
              <w:t>Forefront Security for Office Communications Server</w:t>
            </w:r>
          </w:p>
          <w:p w14:paraId="026AA8F9" w14:textId="77777777" w:rsidR="00456002" w:rsidRPr="0058047D" w:rsidRDefault="00456002" w:rsidP="00346F4B">
            <w:pPr>
              <w:numPr>
                <w:ilvl w:val="0"/>
                <w:numId w:val="68"/>
              </w:numPr>
              <w:spacing w:after="60"/>
              <w:ind w:left="720" w:right="259"/>
            </w:pPr>
            <w:r w:rsidRPr="0058047D">
              <w:rPr>
                <w:rFonts w:eastAsia="Calibri" w:cs="Tahoma"/>
                <w:color w:val="000000"/>
                <w:szCs w:val="18"/>
              </w:rPr>
              <w:t>Forefront Threat Management Gateway Web Protection Service</w:t>
            </w:r>
          </w:p>
          <w:p w14:paraId="50E0FE98" w14:textId="77777777" w:rsidR="00456002" w:rsidRPr="0058047D" w:rsidRDefault="00456002" w:rsidP="00346F4B">
            <w:pPr>
              <w:numPr>
                <w:ilvl w:val="0"/>
                <w:numId w:val="68"/>
              </w:numPr>
              <w:spacing w:after="60"/>
              <w:ind w:left="720" w:right="259"/>
            </w:pPr>
            <w:r w:rsidRPr="0058047D">
              <w:rPr>
                <w:rFonts w:eastAsia="Calibri" w:cs="Tahoma"/>
                <w:color w:val="000000"/>
                <w:szCs w:val="18"/>
              </w:rPr>
              <w:t>Lync Server Public Instant Messaging Connectivity con America Online (AOL) Instant Messaging Service e Windows Live Messenger Service</w:t>
            </w:r>
          </w:p>
          <w:p w14:paraId="6293F884" w14:textId="77777777" w:rsidR="00456002" w:rsidRPr="0058047D" w:rsidRDefault="00456002" w:rsidP="00346F4B">
            <w:pPr>
              <w:numPr>
                <w:ilvl w:val="0"/>
                <w:numId w:val="68"/>
              </w:numPr>
              <w:spacing w:after="60"/>
              <w:ind w:left="720" w:right="259"/>
            </w:pPr>
            <w:r w:rsidRPr="0058047D">
              <w:rPr>
                <w:rFonts w:eastAsia="Calibri" w:cs="Tahoma"/>
                <w:color w:val="000000"/>
                <w:szCs w:val="18"/>
              </w:rPr>
              <w:t xml:space="preserve">Lync Server Public Instant Messaging Connectivity con il Servizio Yahoo Instant Messaging </w:t>
            </w:r>
          </w:p>
          <w:p w14:paraId="61B1D4FD" w14:textId="77777777" w:rsidR="00456002" w:rsidRPr="0058047D" w:rsidRDefault="00456002" w:rsidP="00346F4B">
            <w:pPr>
              <w:numPr>
                <w:ilvl w:val="0"/>
                <w:numId w:val="68"/>
              </w:numPr>
              <w:spacing w:after="60"/>
              <w:ind w:left="720" w:right="259"/>
            </w:pPr>
            <w:r w:rsidRPr="0058047D">
              <w:rPr>
                <w:rFonts w:eastAsia="Calibri" w:cs="Tahoma"/>
                <w:color w:val="000000"/>
                <w:szCs w:val="18"/>
              </w:rPr>
              <w:t>Microsoft Exchange Hosted Encryption</w:t>
            </w:r>
            <w:r w:rsidR="00E34ED3" w:rsidRPr="0058047D">
              <w:rPr>
                <w:rFonts w:eastAsia="Calibri" w:cs="Tahoma"/>
                <w:color w:val="000000"/>
                <w:szCs w:val="18"/>
              </w:rPr>
              <w:t xml:space="preserve"> </w:t>
            </w:r>
          </w:p>
          <w:p w14:paraId="7E44E378" w14:textId="77777777" w:rsidR="00456002" w:rsidRPr="0058047D" w:rsidRDefault="00456002" w:rsidP="00346F4B">
            <w:pPr>
              <w:numPr>
                <w:ilvl w:val="0"/>
                <w:numId w:val="68"/>
              </w:numPr>
              <w:spacing w:after="60"/>
              <w:ind w:left="720" w:right="259"/>
            </w:pPr>
            <w:r w:rsidRPr="0058047D">
              <w:rPr>
                <w:rFonts w:eastAsia="Calibri" w:cs="Tahoma"/>
                <w:color w:val="000000"/>
                <w:szCs w:val="18"/>
              </w:rPr>
              <w:t>Microsoft Learning</w:t>
            </w:r>
          </w:p>
          <w:p w14:paraId="33D77293" w14:textId="77777777" w:rsidR="00456002" w:rsidRPr="0058047D" w:rsidRDefault="00456002" w:rsidP="00346F4B">
            <w:pPr>
              <w:numPr>
                <w:ilvl w:val="0"/>
                <w:numId w:val="68"/>
              </w:numPr>
              <w:spacing w:after="60"/>
              <w:ind w:left="720" w:right="259"/>
            </w:pPr>
            <w:r w:rsidRPr="0058047D">
              <w:rPr>
                <w:rFonts w:eastAsia="Calibri" w:cs="Tahoma"/>
                <w:color w:val="000000"/>
                <w:szCs w:val="18"/>
              </w:rPr>
              <w:t>Office Groove Enterprise Services</w:t>
            </w:r>
          </w:p>
          <w:p w14:paraId="6B532E2B" w14:textId="77777777" w:rsidR="00456002" w:rsidRPr="0058047D" w:rsidRDefault="00456002" w:rsidP="00346F4B">
            <w:pPr>
              <w:numPr>
                <w:ilvl w:val="0"/>
                <w:numId w:val="68"/>
              </w:numPr>
              <w:spacing w:after="60"/>
              <w:ind w:left="720" w:right="259"/>
            </w:pPr>
            <w:r w:rsidRPr="0058047D">
              <w:rPr>
                <w:rFonts w:eastAsia="Calibri" w:cs="Tahoma"/>
                <w:color w:val="000000"/>
                <w:szCs w:val="18"/>
              </w:rPr>
              <w:t>System Center 2012 Endpoint Protection</w:t>
            </w:r>
          </w:p>
          <w:p w14:paraId="711F0D5F" w14:textId="77777777" w:rsidR="00456002" w:rsidRPr="0058047D" w:rsidRDefault="00456002" w:rsidP="000347DA">
            <w:pPr>
              <w:spacing w:after="60"/>
              <w:ind w:left="720" w:right="259"/>
              <w:rPr>
                <w:rFonts w:eastAsia="Calibri"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4F50E920" w14:textId="77777777" w:rsidR="00456002" w:rsidRPr="0058047D" w:rsidRDefault="001B413E" w:rsidP="00346F4B">
            <w:pPr>
              <w:numPr>
                <w:ilvl w:val="0"/>
                <w:numId w:val="69"/>
              </w:numPr>
              <w:spacing w:after="60"/>
              <w:ind w:left="576" w:right="187"/>
            </w:pPr>
            <w:r w:rsidRPr="0058047D">
              <w:rPr>
                <w:rFonts w:eastAsia="Calibri" w:cs="Tahoma"/>
                <w:color w:val="000000"/>
                <w:szCs w:val="18"/>
              </w:rPr>
              <w:t xml:space="preserve">Microsoft Dynamics CRM Online </w:t>
            </w:r>
          </w:p>
          <w:p w14:paraId="6E0C54F4" w14:textId="77777777" w:rsidR="00456002" w:rsidRPr="0058047D" w:rsidRDefault="00456002" w:rsidP="00346F4B">
            <w:pPr>
              <w:numPr>
                <w:ilvl w:val="0"/>
                <w:numId w:val="69"/>
              </w:numPr>
              <w:spacing w:after="60"/>
              <w:ind w:left="576" w:right="187"/>
            </w:pPr>
            <w:r w:rsidRPr="0058047D">
              <w:rPr>
                <w:rFonts w:eastAsia="Calibri" w:cs="Tahoma"/>
                <w:color w:val="000000"/>
                <w:szCs w:val="18"/>
              </w:rPr>
              <w:t>Dynamics Mobile</w:t>
            </w:r>
          </w:p>
          <w:p w14:paraId="6A23F6CB" w14:textId="77777777" w:rsidR="00456002" w:rsidRPr="0058047D" w:rsidRDefault="00456002" w:rsidP="00346F4B">
            <w:pPr>
              <w:numPr>
                <w:ilvl w:val="0"/>
                <w:numId w:val="69"/>
              </w:numPr>
              <w:spacing w:after="60"/>
              <w:ind w:left="576" w:right="187"/>
            </w:pPr>
            <w:r w:rsidRPr="0058047D">
              <w:rPr>
                <w:rFonts w:eastAsia="Calibri" w:cs="Tahoma"/>
                <w:color w:val="000000"/>
                <w:szCs w:val="18"/>
              </w:rPr>
              <w:t>Dynamics Onprem Mobile</w:t>
            </w:r>
          </w:p>
          <w:p w14:paraId="00BFC828" w14:textId="77777777" w:rsidR="009B3FA2" w:rsidRPr="0058047D" w:rsidRDefault="009B3FA2" w:rsidP="00346F4B">
            <w:pPr>
              <w:numPr>
                <w:ilvl w:val="0"/>
                <w:numId w:val="69"/>
              </w:numPr>
              <w:spacing w:after="60"/>
              <w:ind w:left="576" w:right="187"/>
            </w:pPr>
            <w:r w:rsidRPr="0058047D">
              <w:rPr>
                <w:rFonts w:eastAsia="Calibri" w:cs="Tahoma"/>
                <w:color w:val="000000"/>
                <w:szCs w:val="18"/>
              </w:rPr>
              <w:t>Archiviazione Exchange Online per Exchange Online</w:t>
            </w:r>
          </w:p>
          <w:p w14:paraId="586E440D" w14:textId="77777777" w:rsidR="00456002" w:rsidRPr="0058047D" w:rsidRDefault="00456002" w:rsidP="00346F4B">
            <w:pPr>
              <w:numPr>
                <w:ilvl w:val="0"/>
                <w:numId w:val="69"/>
              </w:numPr>
              <w:spacing w:after="60"/>
              <w:ind w:left="576" w:right="187"/>
            </w:pPr>
            <w:r w:rsidRPr="0058047D">
              <w:rPr>
                <w:rFonts w:eastAsia="Calibri" w:cs="Tahoma"/>
                <w:color w:val="000000"/>
                <w:szCs w:val="18"/>
              </w:rPr>
              <w:t>Archiviazione Exchange Online per Exchange Server</w:t>
            </w:r>
          </w:p>
          <w:p w14:paraId="1935964B" w14:textId="77777777" w:rsidR="00456002" w:rsidRPr="0058047D" w:rsidRDefault="00456002" w:rsidP="00346F4B">
            <w:pPr>
              <w:numPr>
                <w:ilvl w:val="0"/>
                <w:numId w:val="69"/>
              </w:numPr>
              <w:spacing w:after="60"/>
              <w:ind w:left="576" w:right="187"/>
            </w:pPr>
            <w:r w:rsidRPr="0058047D">
              <w:rPr>
                <w:rFonts w:eastAsia="Calibri" w:cs="Tahoma"/>
                <w:color w:val="000000"/>
                <w:szCs w:val="18"/>
              </w:rPr>
              <w:t>Chiosco Exchange Online, Piano 1 e</w:t>
            </w:r>
            <w:r w:rsidR="00856C12">
              <w:rPr>
                <w:rFonts w:eastAsia="Calibri" w:cs="Tahoma"/>
                <w:color w:val="000000"/>
                <w:szCs w:val="18"/>
              </w:rPr>
              <w:t> </w:t>
            </w:r>
            <w:r w:rsidRPr="0058047D">
              <w:rPr>
                <w:rFonts w:eastAsia="Calibri" w:cs="Tahoma"/>
                <w:color w:val="000000"/>
                <w:szCs w:val="18"/>
              </w:rPr>
              <w:t>Piano</w:t>
            </w:r>
            <w:r w:rsidR="00856C12">
              <w:rPr>
                <w:rFonts w:eastAsia="Calibri" w:cs="Tahoma"/>
                <w:color w:val="000000"/>
                <w:szCs w:val="18"/>
              </w:rPr>
              <w:t> </w:t>
            </w:r>
            <w:r w:rsidRPr="0058047D">
              <w:rPr>
                <w:rFonts w:eastAsia="Calibri" w:cs="Tahoma"/>
                <w:color w:val="000000"/>
                <w:szCs w:val="18"/>
              </w:rPr>
              <w:t xml:space="preserve">2 </w:t>
            </w:r>
          </w:p>
          <w:p w14:paraId="37D38BF2" w14:textId="77777777" w:rsidR="00343766" w:rsidRPr="0058047D" w:rsidRDefault="00343766" w:rsidP="00346F4B">
            <w:pPr>
              <w:numPr>
                <w:ilvl w:val="0"/>
                <w:numId w:val="69"/>
              </w:numPr>
              <w:spacing w:after="60"/>
              <w:ind w:left="576" w:right="187"/>
            </w:pPr>
            <w:r w:rsidRPr="0058047D">
              <w:rPr>
                <w:rFonts w:eastAsia="Calibri" w:cs="Tahoma"/>
                <w:color w:val="000000"/>
                <w:szCs w:val="18"/>
              </w:rPr>
              <w:t>Exchange Online Protection</w:t>
            </w:r>
          </w:p>
          <w:p w14:paraId="49AC8E71" w14:textId="77777777" w:rsidR="00456002" w:rsidRPr="0058047D" w:rsidRDefault="00456002" w:rsidP="00346F4B">
            <w:pPr>
              <w:numPr>
                <w:ilvl w:val="0"/>
                <w:numId w:val="69"/>
              </w:numPr>
              <w:spacing w:after="60"/>
              <w:ind w:left="576" w:right="187"/>
            </w:pPr>
            <w:r w:rsidRPr="0058047D">
              <w:rPr>
                <w:rFonts w:eastAsia="Calibri" w:cs="Tahoma"/>
                <w:color w:val="000000"/>
                <w:szCs w:val="18"/>
              </w:rPr>
              <w:t>Lync Online Piano 1, 2 e 3</w:t>
            </w:r>
          </w:p>
          <w:p w14:paraId="7BE1627C" w14:textId="77777777" w:rsidR="009B3FA2" w:rsidRPr="0058047D" w:rsidRDefault="00456002" w:rsidP="00346F4B">
            <w:pPr>
              <w:numPr>
                <w:ilvl w:val="0"/>
                <w:numId w:val="69"/>
              </w:numPr>
              <w:spacing w:after="60"/>
              <w:ind w:left="576" w:right="187"/>
            </w:pPr>
            <w:r w:rsidRPr="0058047D">
              <w:rPr>
                <w:rFonts w:eastAsia="Calibri" w:cs="Tahoma"/>
                <w:color w:val="000000"/>
                <w:szCs w:val="18"/>
              </w:rPr>
              <w:t>Office 365 Education A2, A3 e A4</w:t>
            </w:r>
          </w:p>
          <w:p w14:paraId="108C1C4C" w14:textId="77777777" w:rsidR="00456002" w:rsidRPr="0058047D" w:rsidRDefault="009B3FA2" w:rsidP="00346F4B">
            <w:pPr>
              <w:numPr>
                <w:ilvl w:val="0"/>
                <w:numId w:val="69"/>
              </w:numPr>
              <w:spacing w:after="60"/>
              <w:ind w:left="576" w:right="187"/>
            </w:pPr>
            <w:r w:rsidRPr="0058047D">
              <w:rPr>
                <w:rFonts w:eastAsia="Calibri" w:cs="Tahoma"/>
                <w:color w:val="000000"/>
                <w:szCs w:val="18"/>
              </w:rPr>
              <w:t>Office 365 Enterprise K1, E1, E3 ed E4</w:t>
            </w:r>
          </w:p>
          <w:p w14:paraId="6A263CCA" w14:textId="77777777" w:rsidR="00061A45" w:rsidRPr="0058047D" w:rsidRDefault="008368B4" w:rsidP="00346F4B">
            <w:pPr>
              <w:numPr>
                <w:ilvl w:val="0"/>
                <w:numId w:val="69"/>
              </w:numPr>
              <w:spacing w:after="60"/>
              <w:ind w:left="576" w:right="187"/>
            </w:pPr>
            <w:r w:rsidRPr="0058047D">
              <w:rPr>
                <w:rFonts w:eastAsia="Calibri" w:cs="Tahoma"/>
                <w:color w:val="000000"/>
                <w:szCs w:val="18"/>
              </w:rPr>
              <w:t>Office 365 ProPlus</w:t>
            </w:r>
          </w:p>
          <w:p w14:paraId="57F6FF87" w14:textId="77777777" w:rsidR="00456002" w:rsidRPr="0058047D" w:rsidRDefault="00456002" w:rsidP="00346F4B">
            <w:pPr>
              <w:numPr>
                <w:ilvl w:val="0"/>
                <w:numId w:val="69"/>
              </w:numPr>
              <w:spacing w:after="60"/>
              <w:ind w:left="576" w:right="187"/>
            </w:pPr>
            <w:r w:rsidRPr="0058047D">
              <w:rPr>
                <w:rFonts w:eastAsia="Calibri" w:cs="Tahoma"/>
                <w:color w:val="000000"/>
                <w:szCs w:val="18"/>
              </w:rPr>
              <w:t>Office Web Applications</w:t>
            </w:r>
          </w:p>
          <w:p w14:paraId="39B5B855" w14:textId="77777777" w:rsidR="008368B4" w:rsidRPr="0058047D" w:rsidRDefault="008368B4" w:rsidP="00346F4B">
            <w:pPr>
              <w:numPr>
                <w:ilvl w:val="0"/>
                <w:numId w:val="69"/>
              </w:numPr>
              <w:spacing w:after="60"/>
              <w:ind w:left="576" w:right="187"/>
            </w:pPr>
            <w:r w:rsidRPr="0058047D">
              <w:rPr>
                <w:rFonts w:eastAsia="Calibri" w:cs="Tahoma"/>
                <w:color w:val="000000"/>
                <w:szCs w:val="18"/>
              </w:rPr>
              <w:t>Project Online</w:t>
            </w:r>
          </w:p>
          <w:p w14:paraId="0B6D6A00" w14:textId="77777777" w:rsidR="008368B4" w:rsidRPr="0058047D" w:rsidRDefault="008368B4" w:rsidP="00346F4B">
            <w:pPr>
              <w:numPr>
                <w:ilvl w:val="0"/>
                <w:numId w:val="69"/>
              </w:numPr>
              <w:spacing w:after="60"/>
              <w:ind w:left="576" w:right="187"/>
            </w:pPr>
            <w:r w:rsidRPr="0058047D">
              <w:rPr>
                <w:rFonts w:eastAsia="Calibri" w:cs="Tahoma"/>
                <w:color w:val="000000"/>
                <w:szCs w:val="18"/>
              </w:rPr>
              <w:t>Project Pro per Office 365</w:t>
            </w:r>
          </w:p>
          <w:p w14:paraId="7F8842A9" w14:textId="77777777" w:rsidR="00523BAF" w:rsidRPr="0058047D" w:rsidRDefault="00456002" w:rsidP="00523BAF">
            <w:pPr>
              <w:numPr>
                <w:ilvl w:val="0"/>
                <w:numId w:val="69"/>
              </w:numPr>
              <w:spacing w:after="60"/>
              <w:ind w:left="576" w:right="187"/>
            </w:pPr>
            <w:r w:rsidRPr="0058047D">
              <w:rPr>
                <w:rFonts w:eastAsia="Calibri" w:cs="Tahoma"/>
                <w:color w:val="000000"/>
                <w:szCs w:val="18"/>
              </w:rPr>
              <w:t>SharePoint Online Piano 1 e Piano 2</w:t>
            </w:r>
          </w:p>
          <w:p w14:paraId="2972443C" w14:textId="77777777" w:rsidR="00456002" w:rsidRPr="0058047D" w:rsidRDefault="00523BAF" w:rsidP="00523BAF">
            <w:pPr>
              <w:numPr>
                <w:ilvl w:val="0"/>
                <w:numId w:val="69"/>
              </w:numPr>
              <w:spacing w:after="60"/>
              <w:ind w:left="576" w:right="187"/>
            </w:pPr>
            <w:r w:rsidRPr="0058047D">
              <w:rPr>
                <w:rFonts w:eastAsia="Calibri" w:cs="Tahoma"/>
                <w:color w:val="000000"/>
                <w:szCs w:val="18"/>
              </w:rPr>
              <w:t xml:space="preserve">Visio Pro per Office 365 </w:t>
            </w:r>
          </w:p>
          <w:p w14:paraId="1FB06892" w14:textId="77777777" w:rsidR="00D8521B" w:rsidRPr="0058047D" w:rsidRDefault="00D8521B" w:rsidP="00346F4B">
            <w:pPr>
              <w:numPr>
                <w:ilvl w:val="0"/>
                <w:numId w:val="69"/>
              </w:numPr>
              <w:spacing w:after="60"/>
              <w:ind w:left="576" w:right="187"/>
            </w:pPr>
            <w:r w:rsidRPr="0058047D">
              <w:rPr>
                <w:rFonts w:eastAsia="Calibri" w:cs="Tahoma"/>
                <w:color w:val="000000"/>
                <w:szCs w:val="18"/>
              </w:rPr>
              <w:t>Windows Azure Active Directory Rights Management</w:t>
            </w:r>
          </w:p>
          <w:p w14:paraId="4DA87A69" w14:textId="77777777" w:rsidR="002653EB" w:rsidRPr="0058047D" w:rsidRDefault="002653EB" w:rsidP="00346F4B">
            <w:pPr>
              <w:numPr>
                <w:ilvl w:val="0"/>
                <w:numId w:val="69"/>
              </w:numPr>
              <w:spacing w:after="60"/>
              <w:ind w:left="576" w:right="187"/>
            </w:pPr>
            <w:r w:rsidRPr="0058047D">
              <w:rPr>
                <w:rFonts w:eastAsia="Calibri" w:cs="Tahoma"/>
                <w:color w:val="000000"/>
                <w:szCs w:val="18"/>
              </w:rPr>
              <w:t>Servizi di Windows Azure</w:t>
            </w:r>
          </w:p>
          <w:p w14:paraId="536CF206" w14:textId="77777777" w:rsidR="00456002" w:rsidRPr="0058047D" w:rsidRDefault="00456002" w:rsidP="00346F4B">
            <w:pPr>
              <w:numPr>
                <w:ilvl w:val="0"/>
                <w:numId w:val="69"/>
              </w:numPr>
              <w:spacing w:after="60"/>
              <w:ind w:left="576" w:right="187"/>
            </w:pPr>
            <w:r w:rsidRPr="0058047D">
              <w:rPr>
                <w:rFonts w:eastAsia="Calibri" w:cs="Tahoma"/>
                <w:color w:val="000000"/>
                <w:szCs w:val="18"/>
              </w:rPr>
              <w:t>Windows Intune</w:t>
            </w:r>
          </w:p>
          <w:p w14:paraId="158DAEE4" w14:textId="77777777" w:rsidR="00456002" w:rsidRPr="0058047D" w:rsidRDefault="003929D1" w:rsidP="00346F4B">
            <w:pPr>
              <w:numPr>
                <w:ilvl w:val="0"/>
                <w:numId w:val="69"/>
              </w:numPr>
              <w:spacing w:after="60"/>
              <w:ind w:left="576" w:right="187"/>
            </w:pPr>
            <w:r w:rsidRPr="0058047D">
              <w:rPr>
                <w:rFonts w:eastAsia="Calibri" w:cs="Tahoma"/>
                <w:color w:val="000000"/>
                <w:szCs w:val="18"/>
              </w:rPr>
              <w:t>Componente Aggiuntivo di Windows Intune</w:t>
            </w:r>
          </w:p>
          <w:p w14:paraId="777B2B14" w14:textId="77777777" w:rsidR="009B3FA2" w:rsidRPr="0058047D" w:rsidRDefault="009B3FA2" w:rsidP="00346F4B">
            <w:pPr>
              <w:numPr>
                <w:ilvl w:val="0"/>
                <w:numId w:val="69"/>
              </w:numPr>
              <w:spacing w:after="60"/>
              <w:ind w:left="576" w:right="187"/>
              <w:rPr>
                <w:rFonts w:eastAsia="Calibri" w:cs="Tahoma"/>
                <w:szCs w:val="18"/>
              </w:rPr>
            </w:pPr>
            <w:r w:rsidRPr="0058047D">
              <w:rPr>
                <w:rFonts w:eastAsia="Calibri" w:cs="Tahoma"/>
                <w:color w:val="000000"/>
                <w:szCs w:val="18"/>
              </w:rPr>
              <w:t>Yammer Enterprise</w:t>
            </w:r>
          </w:p>
        </w:tc>
      </w:tr>
    </w:tbl>
    <w:p w14:paraId="2344D308" w14:textId="77777777" w:rsidR="00171817" w:rsidRDefault="00171817" w:rsidP="00212CC6">
      <w:pPr>
        <w:pStyle w:val="Heading2"/>
        <w:ind w:left="0"/>
      </w:pPr>
    </w:p>
    <w:p w14:paraId="22608E82" w14:textId="77777777" w:rsidR="00856C12" w:rsidRDefault="00856C12" w:rsidP="00856C12"/>
    <w:p w14:paraId="6D47D855" w14:textId="77777777" w:rsidR="00856C12" w:rsidRDefault="00856C12" w:rsidP="00856C12"/>
    <w:p w14:paraId="78431D2D" w14:textId="77777777" w:rsidR="00856C12" w:rsidRPr="00856C12" w:rsidRDefault="00856C12" w:rsidP="00856C12"/>
    <w:p w14:paraId="41C3418E" w14:textId="77777777" w:rsidR="00456002" w:rsidRPr="0058047D" w:rsidRDefault="00456002" w:rsidP="00171817">
      <w:pPr>
        <w:pStyle w:val="Heading2"/>
        <w:ind w:left="0"/>
      </w:pPr>
      <w:bookmarkStart w:id="658" w:name="_Toc336338209"/>
      <w:bookmarkStart w:id="659" w:name="_Toc371663603"/>
      <w:r w:rsidRPr="0058047D">
        <w:rPr>
          <w:rFonts w:ascii="Tahoma" w:hAnsi="Tahoma" w:cs="Tahoma"/>
        </w:rPr>
        <w:t>Acquisti e Rinnovo Automatico di Servizi Online</w:t>
      </w:r>
      <w:bookmarkEnd w:id="658"/>
      <w:bookmarkEnd w:id="659"/>
      <w:r w:rsidRPr="0058047D">
        <w:rPr>
          <w:rFonts w:ascii="Tahoma" w:hAnsi="Tahoma" w:cs="Tahoma"/>
        </w:rPr>
        <w:t xml:space="preserve"> </w:t>
      </w:r>
    </w:p>
    <w:p w14:paraId="7AB6C850" w14:textId="77777777" w:rsidR="00456002" w:rsidRPr="0058047D" w:rsidRDefault="00456002" w:rsidP="00171817">
      <w:pPr>
        <w:outlineLvl w:val="2"/>
      </w:pPr>
    </w:p>
    <w:p w14:paraId="512F9C33" w14:textId="77777777" w:rsidR="00456002" w:rsidRPr="0058047D" w:rsidRDefault="00456002" w:rsidP="00212CC6">
      <w:pPr>
        <w:outlineLvl w:val="2"/>
      </w:pPr>
      <w:r w:rsidRPr="0058047D">
        <w:rPr>
          <w:rFonts w:cs="Tahoma"/>
          <w:szCs w:val="18"/>
        </w:rPr>
        <w:t>Le società dovranno disporre di un Contratto Multilicenza (Volume Licensing) attivo per ordinare o rinnovare gli abbonamenti ai servizi online di Volume License.</w:t>
      </w:r>
      <w:r w:rsidR="00E34ED3" w:rsidRPr="0058047D">
        <w:rPr>
          <w:rFonts w:cs="Tahoma"/>
          <w:szCs w:val="18"/>
        </w:rPr>
        <w:t xml:space="preserve"> </w:t>
      </w:r>
      <w:r w:rsidRPr="0058047D">
        <w:rPr>
          <w:rFonts w:cs="Tahoma"/>
          <w:szCs w:val="18"/>
        </w:rPr>
        <w:t>Un abbonamento ai servizi online si rinnova automaticamente il giorno successivo alla scadenza del periodo di validità, a meno che la società non scelga di non rinnovare annullando l</w:t>
      </w:r>
      <w:r w:rsidR="001C4212">
        <w:rPr>
          <w:rFonts w:cs="Tahoma"/>
          <w:szCs w:val="18"/>
        </w:rPr>
        <w:t>’</w:t>
      </w:r>
      <w:r w:rsidRPr="0058047D">
        <w:rPr>
          <w:rFonts w:cs="Tahoma"/>
          <w:szCs w:val="18"/>
        </w:rPr>
        <w:t xml:space="preserve">opzione di </w:t>
      </w:r>
      <w:r w:rsidRPr="0058047D">
        <w:rPr>
          <w:rFonts w:cs="Tahoma"/>
          <w:color w:val="000000"/>
          <w:szCs w:val="18"/>
        </w:rPr>
        <w:t xml:space="preserve">rinnovo </w:t>
      </w:r>
      <w:r w:rsidRPr="0058047D">
        <w:rPr>
          <w:bCs/>
          <w:color w:val="000000"/>
        </w:rPr>
        <w:t>automatico almeno 5</w:t>
      </w:r>
      <w:r w:rsidRPr="0058047D">
        <w:rPr>
          <w:b/>
          <w:bCs/>
          <w:color w:val="1F497D"/>
        </w:rPr>
        <w:t xml:space="preserve"> </w:t>
      </w:r>
      <w:r w:rsidRPr="0058047D">
        <w:rPr>
          <w:rFonts w:cs="Tahoma"/>
          <w:szCs w:val="18"/>
        </w:rPr>
        <w:t>giorni prima della scadenza dell</w:t>
      </w:r>
      <w:r w:rsidR="001C4212">
        <w:rPr>
          <w:rFonts w:cs="Tahoma"/>
          <w:szCs w:val="18"/>
        </w:rPr>
        <w:t>’</w:t>
      </w:r>
      <w:r w:rsidRPr="0058047D">
        <w:rPr>
          <w:rFonts w:cs="Tahoma"/>
          <w:szCs w:val="18"/>
        </w:rPr>
        <w:t>abbonamento.</w:t>
      </w:r>
      <w:r w:rsidR="00E34ED3" w:rsidRPr="0058047D">
        <w:rPr>
          <w:rFonts w:cs="Tahoma"/>
          <w:szCs w:val="18"/>
        </w:rPr>
        <w:t xml:space="preserve"> </w:t>
      </w:r>
      <w:r w:rsidRPr="0058047D">
        <w:rPr>
          <w:rFonts w:cs="Tahoma"/>
          <w:szCs w:val="18"/>
        </w:rPr>
        <w:t>In occasione del rinnovo automatico Microsoft fatturerà alla parte interessata il numero di licenze in scadenza con periodo di validità dell</w:t>
      </w:r>
      <w:r w:rsidR="001C4212">
        <w:rPr>
          <w:rFonts w:cs="Tahoma"/>
          <w:szCs w:val="18"/>
        </w:rPr>
        <w:t>’</w:t>
      </w:r>
      <w:r w:rsidRPr="0058047D">
        <w:rPr>
          <w:rFonts w:cs="Tahoma"/>
          <w:szCs w:val="18"/>
        </w:rPr>
        <w:t>abbonamento identico, qualora il contratto iniziale della società rimanga attivo.</w:t>
      </w:r>
      <w:r w:rsidR="00E34ED3" w:rsidRPr="0058047D">
        <w:rPr>
          <w:rFonts w:cs="Tahoma"/>
          <w:szCs w:val="18"/>
        </w:rPr>
        <w:t xml:space="preserve"> </w:t>
      </w:r>
      <w:r w:rsidRPr="0058047D">
        <w:rPr>
          <w:rFonts w:cs="Tahoma"/>
          <w:szCs w:val="18"/>
        </w:rPr>
        <w:t>Gli abbonamenti ai servizi online per gli enti pubblici e gli istituti didattici non si rinnoveranno automaticamente a meno che la società non scelga l</w:t>
      </w:r>
      <w:r w:rsidR="001C4212">
        <w:rPr>
          <w:rFonts w:cs="Tahoma"/>
          <w:szCs w:val="18"/>
        </w:rPr>
        <w:t>’</w:t>
      </w:r>
      <w:r w:rsidRPr="0058047D">
        <w:rPr>
          <w:rFonts w:cs="Tahoma"/>
          <w:szCs w:val="18"/>
        </w:rPr>
        <w:t>opzione di rinnovo automatico.</w:t>
      </w:r>
      <w:r w:rsidR="00E34ED3" w:rsidRPr="0058047D">
        <w:rPr>
          <w:rFonts w:cs="Tahoma"/>
          <w:szCs w:val="18"/>
        </w:rPr>
        <w:t xml:space="preserve"> </w:t>
      </w:r>
      <w:r w:rsidRPr="0058047D">
        <w:rPr>
          <w:rFonts w:cs="Tahoma"/>
          <w:szCs w:val="18"/>
        </w:rPr>
        <w:t>Al momento del rinnovo i prezzi vengono ridefiniti.</w:t>
      </w:r>
      <w:r w:rsidR="00E34ED3" w:rsidRPr="0058047D">
        <w:rPr>
          <w:rFonts w:cs="Tahoma"/>
          <w:szCs w:val="18"/>
        </w:rPr>
        <w:t xml:space="preserve"> </w:t>
      </w:r>
      <w:r w:rsidRPr="0058047D">
        <w:rPr>
          <w:rFonts w:cs="Tahoma"/>
          <w:szCs w:val="18"/>
        </w:rPr>
        <w:t>L</w:t>
      </w:r>
      <w:r w:rsidR="001C4212">
        <w:rPr>
          <w:rFonts w:cs="Tahoma"/>
          <w:szCs w:val="18"/>
        </w:rPr>
        <w:t>’</w:t>
      </w:r>
      <w:r w:rsidRPr="0058047D">
        <w:rPr>
          <w:rFonts w:cs="Tahoma"/>
          <w:szCs w:val="18"/>
        </w:rPr>
        <w:t>opzione di rinnovo automatico non è disponibile per i Servizi di Windows Azure.</w:t>
      </w:r>
    </w:p>
    <w:p w14:paraId="2A88232D" w14:textId="77777777" w:rsidR="00116EDC" w:rsidRPr="0058047D" w:rsidRDefault="00116EDC" w:rsidP="00116EDC"/>
    <w:p w14:paraId="43BA363C" w14:textId="77777777" w:rsidR="00456002" w:rsidRPr="0058047D" w:rsidRDefault="00456002" w:rsidP="00171817">
      <w:pPr>
        <w:pStyle w:val="Heading2"/>
        <w:ind w:left="0"/>
      </w:pPr>
      <w:bookmarkStart w:id="660" w:name="_Toc336338210"/>
      <w:bookmarkStart w:id="661" w:name="_Toc371663604"/>
      <w:r w:rsidRPr="0058047D">
        <w:rPr>
          <w:rFonts w:ascii="Tahoma" w:hAnsi="Tahoma" w:cs="Tahoma"/>
        </w:rPr>
        <w:t>Gestione degli Stati di Rinnovo e di Rinnovo Automatico</w:t>
      </w:r>
      <w:bookmarkEnd w:id="660"/>
      <w:bookmarkEnd w:id="661"/>
    </w:p>
    <w:p w14:paraId="59BF812C" w14:textId="77777777" w:rsidR="00456002" w:rsidRPr="0058047D" w:rsidRDefault="00456002" w:rsidP="00171817">
      <w:pPr>
        <w:outlineLvl w:val="2"/>
      </w:pPr>
    </w:p>
    <w:p w14:paraId="22CB6BF9" w14:textId="77777777" w:rsidR="00456002" w:rsidRPr="0058047D" w:rsidRDefault="00456002" w:rsidP="00171817">
      <w:pPr>
        <w:outlineLvl w:val="2"/>
      </w:pPr>
      <w:r w:rsidRPr="0058047D">
        <w:rPr>
          <w:rFonts w:cs="Tahoma"/>
          <w:szCs w:val="18"/>
        </w:rPr>
        <w:t>Le società riceveranno comunicazioni relative ai rinnovi prima della scadenza dei periodi di validità degli abbonamenti ai servizi online.</w:t>
      </w:r>
      <w:r w:rsidR="00E34ED3" w:rsidRPr="0058047D">
        <w:rPr>
          <w:rFonts w:cs="Tahoma"/>
          <w:szCs w:val="18"/>
        </w:rPr>
        <w:t xml:space="preserve"> </w:t>
      </w:r>
      <w:r w:rsidRPr="0058047D">
        <w:rPr>
          <w:rFonts w:cs="Tahoma"/>
          <w:szCs w:val="18"/>
        </w:rPr>
        <w:t>Le società possono annullare il rinnovo o cambiare un ordine di rinnovo automatico intervenendo almeno 30 giorni prima della scadenza del periodo di validità dell</w:t>
      </w:r>
      <w:r w:rsidR="001C4212">
        <w:rPr>
          <w:rFonts w:cs="Tahoma"/>
          <w:szCs w:val="18"/>
        </w:rPr>
        <w:t>’</w:t>
      </w:r>
      <w:r w:rsidRPr="0058047D">
        <w:rPr>
          <w:rFonts w:cs="Tahoma"/>
          <w:szCs w:val="18"/>
        </w:rPr>
        <w:t>abbonamento.</w:t>
      </w:r>
      <w:r w:rsidR="00E34ED3" w:rsidRPr="0058047D">
        <w:rPr>
          <w:rFonts w:cs="Tahoma"/>
          <w:szCs w:val="18"/>
        </w:rPr>
        <w:t xml:space="preserve"> </w:t>
      </w:r>
      <w:r w:rsidRPr="0058047D">
        <w:rPr>
          <w:rFonts w:cs="Tahoma"/>
          <w:szCs w:val="18"/>
        </w:rPr>
        <w:t>Le società possono inoltre cambiare l</w:t>
      </w:r>
      <w:r w:rsidR="001C4212">
        <w:rPr>
          <w:rFonts w:cs="Tahoma"/>
          <w:szCs w:val="18"/>
        </w:rPr>
        <w:t>’</w:t>
      </w:r>
      <w:r w:rsidRPr="0058047D">
        <w:rPr>
          <w:rFonts w:cs="Tahoma"/>
          <w:szCs w:val="18"/>
        </w:rPr>
        <w:t>ordine di rinnovo effettuando un ordine al rivenditore 30 giorni prima della scadenza dell</w:t>
      </w:r>
      <w:r w:rsidR="001C4212">
        <w:rPr>
          <w:rFonts w:cs="Tahoma"/>
          <w:szCs w:val="18"/>
        </w:rPr>
        <w:t>’</w:t>
      </w:r>
      <w:r w:rsidRPr="0058047D">
        <w:rPr>
          <w:rFonts w:cs="Tahoma"/>
          <w:szCs w:val="18"/>
        </w:rPr>
        <w:t>abbonamento.</w:t>
      </w:r>
      <w:r w:rsidR="00E34ED3" w:rsidRPr="0058047D">
        <w:rPr>
          <w:rFonts w:cs="Tahoma"/>
          <w:szCs w:val="18"/>
        </w:rPr>
        <w:t xml:space="preserve"> </w:t>
      </w:r>
      <w:r w:rsidRPr="0058047D">
        <w:rPr>
          <w:rFonts w:cs="Tahoma"/>
          <w:szCs w:val="18"/>
        </w:rPr>
        <w:t>Le società potranno annullare il rinnovo di un abbonamento dandone comunicazione scritta a Microsoft con un preavviso di</w:t>
      </w:r>
      <w:r w:rsidR="00856C12">
        <w:rPr>
          <w:rFonts w:cs="Tahoma"/>
          <w:szCs w:val="18"/>
        </w:rPr>
        <w:t> </w:t>
      </w:r>
      <w:r w:rsidRPr="0058047D">
        <w:rPr>
          <w:rFonts w:cs="Tahoma"/>
          <w:szCs w:val="18"/>
        </w:rPr>
        <w:t>30</w:t>
      </w:r>
      <w:r w:rsidR="00856C12">
        <w:rPr>
          <w:rFonts w:cs="Tahoma"/>
          <w:szCs w:val="18"/>
        </w:rPr>
        <w:t> </w:t>
      </w:r>
      <w:r w:rsidRPr="0058047D">
        <w:rPr>
          <w:rFonts w:cs="Tahoma"/>
          <w:szCs w:val="18"/>
        </w:rPr>
        <w:t>giorni tramite un modulo disponibile presso il rivenditore Microsoft o all</w:t>
      </w:r>
      <w:r w:rsidR="001C4212">
        <w:rPr>
          <w:rFonts w:cs="Tahoma"/>
          <w:szCs w:val="18"/>
        </w:rPr>
        <w:t>’</w:t>
      </w:r>
      <w:r w:rsidRPr="0058047D">
        <w:rPr>
          <w:rFonts w:cs="Tahoma"/>
          <w:szCs w:val="18"/>
        </w:rPr>
        <w:t xml:space="preserve">indirizzo </w:t>
      </w:r>
      <w:r w:rsidR="00856C12" w:rsidRPr="00052DA2">
        <w:rPr>
          <w:rFonts w:cs="Tahoma"/>
          <w:szCs w:val="18"/>
        </w:rPr>
        <w:t>http://microsoft.com/licensing/contracts</w:t>
      </w:r>
      <w:r w:rsidRPr="0058047D">
        <w:rPr>
          <w:rFonts w:cs="Tahoma"/>
          <w:szCs w:val="18"/>
        </w:rPr>
        <w:t>.</w:t>
      </w:r>
      <w:r w:rsidR="00E34ED3" w:rsidRPr="0058047D">
        <w:rPr>
          <w:rFonts w:cs="Tahoma"/>
          <w:szCs w:val="18"/>
        </w:rPr>
        <w:t xml:space="preserve"> </w:t>
      </w:r>
      <w:r w:rsidRPr="0058047D">
        <w:rPr>
          <w:rFonts w:cs="Tahoma"/>
          <w:szCs w:val="18"/>
        </w:rPr>
        <w:t>Tutti i rinnovi dei servizi danno inizio a un nuovo periodo di validità dell</w:t>
      </w:r>
      <w:r w:rsidR="001C4212">
        <w:rPr>
          <w:rFonts w:cs="Tahoma"/>
          <w:szCs w:val="18"/>
        </w:rPr>
        <w:t>’</w:t>
      </w:r>
      <w:r w:rsidRPr="0058047D">
        <w:rPr>
          <w:rFonts w:cs="Tahoma"/>
          <w:szCs w:val="18"/>
        </w:rPr>
        <w:t>abbonamento che parte il primo giorno del mese solare successivo alla scadenza del precedente periodo di validità dell</w:t>
      </w:r>
      <w:r w:rsidR="001C4212">
        <w:rPr>
          <w:rFonts w:cs="Tahoma"/>
          <w:szCs w:val="18"/>
        </w:rPr>
        <w:t>’</w:t>
      </w:r>
      <w:r w:rsidRPr="0058047D">
        <w:rPr>
          <w:rFonts w:cs="Tahoma"/>
          <w:szCs w:val="18"/>
        </w:rPr>
        <w:t>abbonamento.</w:t>
      </w:r>
    </w:p>
    <w:p w14:paraId="70F9F404" w14:textId="77777777" w:rsidR="00456002" w:rsidRPr="0058047D" w:rsidRDefault="00456002" w:rsidP="00171817">
      <w:pPr>
        <w:outlineLvl w:val="2"/>
      </w:pPr>
    </w:p>
    <w:p w14:paraId="40131F03" w14:textId="77777777" w:rsidR="00456002" w:rsidRPr="0058047D" w:rsidRDefault="00456002" w:rsidP="00171817">
      <w:pPr>
        <w:outlineLvl w:val="2"/>
      </w:pPr>
      <w:r w:rsidRPr="0058047D">
        <w:rPr>
          <w:rFonts w:cs="Tahoma"/>
          <w:szCs w:val="18"/>
        </w:rPr>
        <w:t>Le società potranno aumentare l</w:t>
      </w:r>
      <w:r w:rsidR="001C4212">
        <w:rPr>
          <w:rFonts w:cs="Tahoma"/>
          <w:szCs w:val="18"/>
        </w:rPr>
        <w:t>’</w:t>
      </w:r>
      <w:r w:rsidRPr="0058047D">
        <w:rPr>
          <w:rFonts w:cs="Tahoma"/>
          <w:szCs w:val="18"/>
        </w:rPr>
        <w:t>impegno relativo all</w:t>
      </w:r>
      <w:r w:rsidR="001C4212">
        <w:rPr>
          <w:rFonts w:cs="Tahoma"/>
          <w:szCs w:val="18"/>
        </w:rPr>
        <w:t>’</w:t>
      </w:r>
      <w:r w:rsidRPr="0058047D">
        <w:rPr>
          <w:rFonts w:cs="Tahoma"/>
          <w:szCs w:val="18"/>
        </w:rPr>
        <w:t>abbonamento ai servizi online, ma non potranno ridurlo durante il periodo di validità dello stesso, a meno che i loro contratti non consentano tale riduzione. Per garantire l</w:t>
      </w:r>
      <w:r w:rsidR="001C4212">
        <w:rPr>
          <w:rFonts w:cs="Tahoma"/>
          <w:szCs w:val="18"/>
        </w:rPr>
        <w:t>’</w:t>
      </w:r>
      <w:r w:rsidRPr="0058047D">
        <w:rPr>
          <w:rFonts w:cs="Tahoma"/>
          <w:szCs w:val="18"/>
        </w:rPr>
        <w:t>erogazione del servizio agli utenti aggiuntivi, la società dovrà effettuare un ordine per ogni incremento nel servizio in abbonamento.</w:t>
      </w:r>
      <w:r w:rsidR="00E34ED3" w:rsidRPr="0058047D">
        <w:rPr>
          <w:rFonts w:cs="Tahoma"/>
          <w:szCs w:val="18"/>
        </w:rPr>
        <w:t xml:space="preserve"> </w:t>
      </w:r>
    </w:p>
    <w:p w14:paraId="38997CBF" w14:textId="77777777" w:rsidR="00BD1A6A" w:rsidRPr="0058047D" w:rsidRDefault="00BD1A6A" w:rsidP="00456002">
      <w:pPr>
        <w:pStyle w:val="Heading2"/>
        <w:ind w:left="0"/>
      </w:pPr>
      <w:bookmarkStart w:id="662" w:name="_Toc336338211"/>
    </w:p>
    <w:p w14:paraId="7353903D" w14:textId="77777777" w:rsidR="00BD1A6A" w:rsidRPr="0058047D" w:rsidRDefault="00BD1A6A"/>
    <w:p w14:paraId="67D160BB" w14:textId="77777777" w:rsidR="00456002" w:rsidRPr="0058047D" w:rsidRDefault="00456002" w:rsidP="00456002">
      <w:pPr>
        <w:pStyle w:val="Heading2"/>
        <w:ind w:left="0"/>
      </w:pPr>
      <w:bookmarkStart w:id="663" w:name="_Toc371663605"/>
      <w:r w:rsidRPr="0058047D">
        <w:rPr>
          <w:rFonts w:ascii="Tahoma" w:hAnsi="Tahoma" w:cs="Tahoma"/>
        </w:rPr>
        <w:t>Annullamento dei Servizi Online</w:t>
      </w:r>
      <w:bookmarkEnd w:id="662"/>
      <w:bookmarkEnd w:id="663"/>
    </w:p>
    <w:p w14:paraId="6678C76A" w14:textId="77777777" w:rsidR="00456002" w:rsidRPr="0058047D" w:rsidRDefault="00456002" w:rsidP="00456002">
      <w:pPr>
        <w:outlineLvl w:val="2"/>
      </w:pPr>
    </w:p>
    <w:p w14:paraId="42871369" w14:textId="77777777" w:rsidR="00456002" w:rsidRPr="0058047D" w:rsidRDefault="00456002" w:rsidP="00116EDC">
      <w:pPr>
        <w:outlineLvl w:val="2"/>
      </w:pPr>
      <w:r w:rsidRPr="0058047D">
        <w:rPr>
          <w:rFonts w:cs="Tahoma"/>
          <w:szCs w:val="18"/>
        </w:rPr>
        <w:t>Le sottoscrizioni relative a un servizio online potranno essere annullati entro trenta (30) giorni dal primo ordine iniziale o dalla prima prenotazione della licenza di un servizio senza alcuna penale.</w:t>
      </w:r>
      <w:r w:rsidR="00E34ED3" w:rsidRPr="0058047D">
        <w:rPr>
          <w:rFonts w:cs="Tahoma"/>
          <w:szCs w:val="18"/>
        </w:rPr>
        <w:t xml:space="preserve"> </w:t>
      </w:r>
      <w:r w:rsidRPr="0058047D">
        <w:rPr>
          <w:rFonts w:cs="Tahoma"/>
          <w:szCs w:val="18"/>
        </w:rPr>
        <w:t>Fare riferimento agli articoli specifici riguardanti i prodotti della presente Lista dei Prodotti per prendere visione delle eventuali condizioni aggiuntive relative all</w:t>
      </w:r>
      <w:r w:rsidR="001C4212">
        <w:rPr>
          <w:rFonts w:cs="Tahoma"/>
          <w:szCs w:val="18"/>
        </w:rPr>
        <w:t>’</w:t>
      </w:r>
      <w:r w:rsidRPr="0058047D">
        <w:rPr>
          <w:rFonts w:cs="Tahoma"/>
          <w:szCs w:val="18"/>
        </w:rPr>
        <w:t>annullamento.</w:t>
      </w:r>
    </w:p>
    <w:p w14:paraId="53007E2E" w14:textId="77777777" w:rsidR="00116EDC" w:rsidRPr="0058047D" w:rsidRDefault="00116EDC" w:rsidP="00116EDC">
      <w:pPr>
        <w:outlineLvl w:val="2"/>
      </w:pPr>
    </w:p>
    <w:p w14:paraId="54F59F26" w14:textId="77777777" w:rsidR="00456002" w:rsidRPr="0058047D" w:rsidRDefault="00456002" w:rsidP="00456002">
      <w:pPr>
        <w:pStyle w:val="Heading2"/>
        <w:ind w:left="0"/>
      </w:pPr>
      <w:bookmarkStart w:id="664" w:name="_Toc328145982"/>
      <w:bookmarkStart w:id="665" w:name="_Toc336338212"/>
      <w:bookmarkStart w:id="666" w:name="_Toc371663606"/>
      <w:r w:rsidRPr="0058047D">
        <w:rPr>
          <w:rFonts w:ascii="Tahoma" w:hAnsi="Tahoma" w:cs="Tahoma"/>
        </w:rPr>
        <w:t>Opzioni relative alle Condizioni di Pagamento dei Servizi Online</w:t>
      </w:r>
      <w:bookmarkEnd w:id="664"/>
      <w:bookmarkEnd w:id="665"/>
      <w:bookmarkEnd w:id="666"/>
    </w:p>
    <w:p w14:paraId="6DE758FB" w14:textId="77777777" w:rsidR="00456002" w:rsidRPr="0058047D" w:rsidRDefault="00456002" w:rsidP="00856C12">
      <w:pPr>
        <w:outlineLvl w:val="2"/>
      </w:pPr>
    </w:p>
    <w:p w14:paraId="5F4D8FC4" w14:textId="77777777" w:rsidR="00456002" w:rsidRPr="0058047D" w:rsidRDefault="00456002" w:rsidP="00456002">
      <w:pPr>
        <w:outlineLvl w:val="2"/>
      </w:pPr>
      <w:r w:rsidRPr="0058047D">
        <w:rPr>
          <w:rFonts w:cs="Tahoma"/>
          <w:szCs w:val="18"/>
        </w:rPr>
        <w:t>Le società dovranno pagare gli abbonamenti annuali ai servizi online per intero all</w:t>
      </w:r>
      <w:r w:rsidR="001C4212">
        <w:rPr>
          <w:rFonts w:cs="Tahoma"/>
          <w:szCs w:val="18"/>
        </w:rPr>
        <w:t>’</w:t>
      </w:r>
      <w:r w:rsidRPr="0058047D">
        <w:rPr>
          <w:rFonts w:cs="Tahoma"/>
          <w:szCs w:val="18"/>
        </w:rPr>
        <w:t>inizio del periodo di validità dell</w:t>
      </w:r>
      <w:r w:rsidR="001C4212">
        <w:rPr>
          <w:rFonts w:cs="Tahoma"/>
          <w:szCs w:val="18"/>
        </w:rPr>
        <w:t>’</w:t>
      </w:r>
      <w:r w:rsidRPr="0058047D">
        <w:rPr>
          <w:rFonts w:cs="Tahoma"/>
          <w:szCs w:val="18"/>
        </w:rPr>
        <w:t>abbonamento.</w:t>
      </w:r>
      <w:r w:rsidR="00E34ED3" w:rsidRPr="0058047D">
        <w:rPr>
          <w:rFonts w:cs="Tahoma"/>
          <w:szCs w:val="18"/>
        </w:rPr>
        <w:t xml:space="preserve"> </w:t>
      </w:r>
      <w:r w:rsidRPr="0058047D">
        <w:rPr>
          <w:rFonts w:cs="Tahoma"/>
          <w:szCs w:val="18"/>
        </w:rPr>
        <w:t>Le società che scelgono periodi di validità degli abbonamenti con scadenze identiche o di “allinearsi alla seconda Ricorrenza” in Select Plus, hanno le seguenti due possibilità di pagamento: (1) Pagamento totale al momento dell</w:t>
      </w:r>
      <w:r w:rsidR="001C4212">
        <w:rPr>
          <w:rFonts w:cs="Tahoma"/>
          <w:szCs w:val="18"/>
        </w:rPr>
        <w:t>’</w:t>
      </w:r>
      <w:r w:rsidRPr="0058047D">
        <w:rPr>
          <w:rFonts w:cs="Tahoma"/>
          <w:szCs w:val="18"/>
        </w:rPr>
        <w:t>ordine che copre tutto il periodo di validità dell</w:t>
      </w:r>
      <w:r w:rsidR="001C4212">
        <w:rPr>
          <w:rFonts w:cs="Tahoma"/>
          <w:szCs w:val="18"/>
        </w:rPr>
        <w:t>’</w:t>
      </w:r>
      <w:r w:rsidRPr="0058047D">
        <w:rPr>
          <w:rFonts w:cs="Tahoma"/>
          <w:szCs w:val="18"/>
        </w:rPr>
        <w:t>abbonamento o (2) pagamenti dilazionati, di</w:t>
      </w:r>
      <w:r w:rsidR="00856C12">
        <w:rPr>
          <w:rFonts w:cs="Tahoma"/>
          <w:szCs w:val="18"/>
        </w:rPr>
        <w:t> </w:t>
      </w:r>
      <w:r w:rsidRPr="0058047D">
        <w:rPr>
          <w:rFonts w:cs="Tahoma"/>
          <w:szCs w:val="18"/>
        </w:rPr>
        <w:t>cui il primo pagamento al momento dell</w:t>
      </w:r>
      <w:r w:rsidR="001C4212">
        <w:rPr>
          <w:rFonts w:cs="Tahoma"/>
          <w:szCs w:val="18"/>
        </w:rPr>
        <w:t>’</w:t>
      </w:r>
      <w:r w:rsidRPr="0058047D">
        <w:rPr>
          <w:rFonts w:cs="Tahoma"/>
          <w:szCs w:val="18"/>
        </w:rPr>
        <w:t>ordine che copre la parte restante dell</w:t>
      </w:r>
      <w:r w:rsidR="001C4212">
        <w:rPr>
          <w:rFonts w:cs="Tahoma"/>
          <w:szCs w:val="18"/>
        </w:rPr>
        <w:t>’</w:t>
      </w:r>
      <w:r w:rsidRPr="0058047D">
        <w:rPr>
          <w:rFonts w:cs="Tahoma"/>
          <w:szCs w:val="18"/>
        </w:rPr>
        <w:t>anno contrattuale corrente e il pagamento o i pagamenti residui in scadenza a ogni ricorrenza della data di entrata in vigore del contratto (per Select Plus, al posto della ricorrenza del contratto viene utilizzata la ricorrenza della consociata).</w:t>
      </w:r>
      <w:r w:rsidR="00E34ED3" w:rsidRPr="0058047D">
        <w:rPr>
          <w:rFonts w:cs="Tahoma"/>
          <w:szCs w:val="18"/>
        </w:rPr>
        <w:t xml:space="preserve"> </w:t>
      </w:r>
      <w:r w:rsidRPr="0058047D">
        <w:rPr>
          <w:rFonts w:cs="Tahoma"/>
          <w:szCs w:val="18"/>
        </w:rPr>
        <w:t>Una terza opzione aggiuntiva è disponibile per le società con contratti Select Plus: il primo pagamento della ricorrenza dell</w:t>
      </w:r>
      <w:r w:rsidR="001C4212">
        <w:rPr>
          <w:rFonts w:cs="Tahoma"/>
          <w:szCs w:val="18"/>
        </w:rPr>
        <w:t>’</w:t>
      </w:r>
      <w:r w:rsidRPr="0058047D">
        <w:rPr>
          <w:rFonts w:cs="Tahoma"/>
          <w:szCs w:val="18"/>
        </w:rPr>
        <w:t>ordine al momento dell</w:t>
      </w:r>
      <w:r w:rsidR="001C4212">
        <w:rPr>
          <w:rFonts w:cs="Tahoma"/>
          <w:szCs w:val="18"/>
        </w:rPr>
        <w:t>’</w:t>
      </w:r>
      <w:r w:rsidRPr="0058047D">
        <w:rPr>
          <w:rFonts w:cs="Tahoma"/>
          <w:szCs w:val="18"/>
        </w:rPr>
        <w:t>ordine che copre 12 mesi e uno o più pagamenti residui in scadenza in occasione di ogni ricorrenza dell</w:t>
      </w:r>
      <w:r w:rsidR="001C4212">
        <w:rPr>
          <w:rFonts w:cs="Tahoma"/>
          <w:szCs w:val="18"/>
        </w:rPr>
        <w:t>’</w:t>
      </w:r>
      <w:r w:rsidRPr="0058047D">
        <w:rPr>
          <w:rFonts w:cs="Tahoma"/>
          <w:szCs w:val="18"/>
        </w:rPr>
        <w:t>ordine (l</w:t>
      </w:r>
      <w:r w:rsidR="001C4212">
        <w:rPr>
          <w:rFonts w:cs="Tahoma"/>
          <w:szCs w:val="18"/>
        </w:rPr>
        <w:t>’</w:t>
      </w:r>
      <w:r w:rsidRPr="0058047D">
        <w:rPr>
          <w:rFonts w:cs="Tahoma"/>
          <w:szCs w:val="18"/>
        </w:rPr>
        <w:t>ultimo pagamento coprirà il periodo residuo che va dalla ricorrenza dell</w:t>
      </w:r>
      <w:r w:rsidR="001C4212">
        <w:rPr>
          <w:rFonts w:cs="Tahoma"/>
          <w:szCs w:val="18"/>
        </w:rPr>
        <w:t>’</w:t>
      </w:r>
      <w:r w:rsidRPr="0058047D">
        <w:rPr>
          <w:rFonts w:cs="Tahoma"/>
          <w:szCs w:val="18"/>
        </w:rPr>
        <w:t>ordine alla data di scadenza della</w:t>
      </w:r>
      <w:r w:rsidR="00856C12">
        <w:rPr>
          <w:rFonts w:cs="Tahoma"/>
          <w:szCs w:val="18"/>
        </w:rPr>
        <w:t> </w:t>
      </w:r>
      <w:r w:rsidRPr="0058047D">
        <w:rPr>
          <w:rFonts w:cs="Tahoma"/>
          <w:szCs w:val="18"/>
        </w:rPr>
        <w:t>copertura dell</w:t>
      </w:r>
      <w:r w:rsidR="001C4212">
        <w:rPr>
          <w:rFonts w:cs="Tahoma"/>
          <w:szCs w:val="18"/>
        </w:rPr>
        <w:t>’</w:t>
      </w:r>
      <w:r w:rsidRPr="0058047D">
        <w:rPr>
          <w:rFonts w:cs="Tahoma"/>
          <w:szCs w:val="18"/>
        </w:rPr>
        <w:t>abbonamento).</w:t>
      </w:r>
    </w:p>
    <w:p w14:paraId="3D913256" w14:textId="77777777" w:rsidR="00456002" w:rsidRPr="0058047D" w:rsidRDefault="00456002" w:rsidP="00456002">
      <w:pPr>
        <w:outlineLvl w:val="2"/>
      </w:pPr>
    </w:p>
    <w:p w14:paraId="0644E8CF" w14:textId="77777777" w:rsidR="00456002" w:rsidRPr="0058047D" w:rsidRDefault="00456002" w:rsidP="00456002">
      <w:pPr>
        <w:outlineLvl w:val="2"/>
      </w:pPr>
      <w:r w:rsidRPr="0058047D">
        <w:rPr>
          <w:rFonts w:cs="Tahoma"/>
          <w:szCs w:val="18"/>
        </w:rPr>
        <w:t>Inoltre, le società Open Value potranno scegliere anche di pagare mensilmente.</w:t>
      </w:r>
      <w:r w:rsidR="00E34ED3" w:rsidRPr="0058047D">
        <w:rPr>
          <w:rFonts w:cs="Tahoma"/>
          <w:szCs w:val="18"/>
        </w:rPr>
        <w:t xml:space="preserve"> </w:t>
      </w:r>
      <w:r w:rsidRPr="0058047D">
        <w:rPr>
          <w:rFonts w:cs="Tahoma"/>
          <w:szCs w:val="18"/>
        </w:rPr>
        <w:t>Per quanto riguarda l</w:t>
      </w:r>
      <w:r w:rsidR="001C4212">
        <w:rPr>
          <w:rFonts w:cs="Tahoma"/>
          <w:szCs w:val="18"/>
        </w:rPr>
        <w:t>’</w:t>
      </w:r>
      <w:r w:rsidRPr="0058047D">
        <w:rPr>
          <w:rFonts w:cs="Tahoma"/>
          <w:szCs w:val="18"/>
        </w:rPr>
        <w:t>opzione relativa al pagamento mensile, durante il periodo di validità dell</w:t>
      </w:r>
      <w:r w:rsidR="001C4212">
        <w:rPr>
          <w:rFonts w:cs="Tahoma"/>
          <w:szCs w:val="18"/>
        </w:rPr>
        <w:t>’</w:t>
      </w:r>
      <w:r w:rsidRPr="0058047D">
        <w:rPr>
          <w:rFonts w:cs="Tahoma"/>
          <w:szCs w:val="18"/>
        </w:rPr>
        <w:t>abbonamento alla parte interessata che partecipa verrà fatturata mensilmente la quantità di abbonamenti che la società avrà ordinato.</w:t>
      </w:r>
    </w:p>
    <w:p w14:paraId="1CA3FF54" w14:textId="77777777" w:rsidR="00456002" w:rsidRDefault="00456002" w:rsidP="00456002">
      <w:pPr>
        <w:outlineLvl w:val="2"/>
      </w:pPr>
    </w:p>
    <w:p w14:paraId="5A8700D9" w14:textId="77777777" w:rsidR="00856C12" w:rsidRDefault="00856C12" w:rsidP="00456002">
      <w:pPr>
        <w:outlineLvl w:val="2"/>
      </w:pPr>
    </w:p>
    <w:p w14:paraId="08385BAD" w14:textId="77777777" w:rsidR="00856C12" w:rsidRPr="0058047D" w:rsidRDefault="00856C12" w:rsidP="00456002">
      <w:pPr>
        <w:outlineLvl w:val="2"/>
      </w:pPr>
    </w:p>
    <w:p w14:paraId="7521C354" w14:textId="77777777" w:rsidR="00456002" w:rsidRPr="0058047D" w:rsidRDefault="00456002" w:rsidP="00456002">
      <w:pPr>
        <w:outlineLvl w:val="2"/>
      </w:pPr>
      <w:r w:rsidRPr="0058047D">
        <w:rPr>
          <w:rFonts w:cs="Tahoma"/>
          <w:szCs w:val="18"/>
        </w:rPr>
        <w:t>I prezzi e le condizioni di pagamento per gli abbonamenti acquistati presso i rivenditori sono stabiliti tramite un contratto tra la società e il suo rivenditore.</w:t>
      </w:r>
      <w:r w:rsidR="00E34ED3" w:rsidRPr="0058047D">
        <w:rPr>
          <w:rFonts w:cs="Tahoma"/>
          <w:szCs w:val="18"/>
        </w:rPr>
        <w:t xml:space="preserve"> </w:t>
      </w:r>
      <w:r w:rsidRPr="0058047D">
        <w:rPr>
          <w:rFonts w:cs="Tahoma"/>
          <w:szCs w:val="18"/>
        </w:rPr>
        <w:t>A meno che la società non abbia stipulato una Modifica all</w:t>
      </w:r>
      <w:r w:rsidR="001C4212">
        <w:rPr>
          <w:rFonts w:cs="Tahoma"/>
          <w:szCs w:val="18"/>
        </w:rPr>
        <w:t>’</w:t>
      </w:r>
      <w:r w:rsidRPr="0058047D">
        <w:rPr>
          <w:rFonts w:cs="Tahoma"/>
          <w:szCs w:val="18"/>
        </w:rPr>
        <w:t>Iscrizione Enterprise, Aggiunta di Servizi Online Enterprise, nonostante quanto diversamente stabilito nel contratto, una società potrà utilizzare per la prima volta l</w:t>
      </w:r>
      <w:r w:rsidR="001C4212">
        <w:rPr>
          <w:rFonts w:cs="Tahoma"/>
          <w:szCs w:val="18"/>
        </w:rPr>
        <w:t>’</w:t>
      </w:r>
      <w:r w:rsidRPr="0058047D">
        <w:rPr>
          <w:rFonts w:cs="Tahoma"/>
          <w:szCs w:val="18"/>
        </w:rPr>
        <w:t>abbonamento solo dopo aver ordinato un abbonamento ai servizi online.</w:t>
      </w:r>
      <w:r w:rsidR="00E34ED3" w:rsidRPr="0058047D">
        <w:rPr>
          <w:rFonts w:cs="Tahoma"/>
          <w:szCs w:val="18"/>
        </w:rPr>
        <w:t xml:space="preserve"> </w:t>
      </w:r>
      <w:r w:rsidRPr="0058047D">
        <w:rPr>
          <w:rFonts w:cs="Tahoma"/>
          <w:szCs w:val="18"/>
        </w:rPr>
        <w:t>La società che ha sottoscritto un Contratto Enterprise non potrà inviare un ordine true-up di licenze “Subscription” aggiuntive.</w:t>
      </w:r>
      <w:r w:rsidR="00E34ED3" w:rsidRPr="0058047D">
        <w:rPr>
          <w:rFonts w:cs="Tahoma"/>
          <w:szCs w:val="18"/>
        </w:rPr>
        <w:t xml:space="preserve"> </w:t>
      </w:r>
    </w:p>
    <w:p w14:paraId="2B4F524C" w14:textId="77777777" w:rsidR="00456002" w:rsidRPr="0058047D" w:rsidRDefault="00456002" w:rsidP="00DF28F2">
      <w:pPr>
        <w:outlineLvl w:val="2"/>
      </w:pPr>
    </w:p>
    <w:p w14:paraId="1D14ECED" w14:textId="77777777" w:rsidR="00456002" w:rsidRPr="0058047D" w:rsidRDefault="006A5DAE" w:rsidP="00116EDC">
      <w:pPr>
        <w:outlineLvl w:val="2"/>
      </w:pPr>
      <w:r w:rsidRPr="0058047D">
        <w:rPr>
          <w:rFonts w:cs="Tahoma"/>
          <w:szCs w:val="18"/>
        </w:rPr>
        <w:t>Informazioni specifiche sui Servizi di Windows Azure sono disponibili nell</w:t>
      </w:r>
      <w:r w:rsidR="001C4212">
        <w:rPr>
          <w:rFonts w:cs="Tahoma"/>
          <w:szCs w:val="18"/>
        </w:rPr>
        <w:t>’</w:t>
      </w:r>
      <w:r w:rsidRPr="0058047D">
        <w:rPr>
          <w:rFonts w:cs="Tahoma"/>
          <w:szCs w:val="18"/>
        </w:rPr>
        <w:t>Articolo corrispondente che segue.</w:t>
      </w:r>
    </w:p>
    <w:p w14:paraId="46D2063B" w14:textId="77777777" w:rsidR="00116EDC" w:rsidRPr="0058047D" w:rsidRDefault="00116EDC" w:rsidP="00116EDC">
      <w:pPr>
        <w:outlineLvl w:val="2"/>
      </w:pPr>
    </w:p>
    <w:p w14:paraId="0245DFE0" w14:textId="77777777" w:rsidR="00456002" w:rsidRPr="0058047D" w:rsidRDefault="00456002" w:rsidP="00456002">
      <w:pPr>
        <w:pStyle w:val="Heading2"/>
        <w:ind w:left="0"/>
      </w:pPr>
      <w:bookmarkStart w:id="667" w:name="_Toc328145983"/>
      <w:bookmarkStart w:id="668" w:name="_Toc336338213"/>
      <w:bookmarkStart w:id="669" w:name="_Toc371663607"/>
      <w:r w:rsidRPr="0058047D">
        <w:rPr>
          <w:rFonts w:ascii="Tahoma" w:hAnsi="Tahoma" w:cs="Tahoma"/>
        </w:rPr>
        <w:t>Requisiti di Acquisto Minimo per i Servizi Online in Volume Licensing</w:t>
      </w:r>
      <w:bookmarkEnd w:id="667"/>
      <w:bookmarkEnd w:id="668"/>
      <w:bookmarkEnd w:id="669"/>
    </w:p>
    <w:p w14:paraId="4DAA5111" w14:textId="77777777" w:rsidR="00456002" w:rsidRPr="0058047D" w:rsidRDefault="00456002" w:rsidP="00DF28F2">
      <w:pPr>
        <w:outlineLvl w:val="2"/>
      </w:pPr>
    </w:p>
    <w:p w14:paraId="19F4D7F7" w14:textId="77777777" w:rsidR="00116EDC" w:rsidRPr="0058047D" w:rsidRDefault="00456002" w:rsidP="00116EDC">
      <w:pPr>
        <w:outlineLvl w:val="2"/>
      </w:pPr>
      <w:r w:rsidRPr="0058047D">
        <w:rPr>
          <w:rFonts w:cs="Tahoma"/>
          <w:szCs w:val="18"/>
        </w:rPr>
        <w:t>Una società si qualifica per il programma Open Value con un acquisto minimo di 5 licenze.</w:t>
      </w:r>
      <w:r w:rsidR="00E34ED3" w:rsidRPr="0058047D">
        <w:rPr>
          <w:rFonts w:cs="Tahoma"/>
          <w:szCs w:val="18"/>
        </w:rPr>
        <w:t xml:space="preserve"> </w:t>
      </w:r>
      <w:r w:rsidRPr="0058047D">
        <w:rPr>
          <w:rFonts w:cs="Tahoma"/>
          <w:szCs w:val="18"/>
        </w:rPr>
        <w:t>Tale regola si applica anche quando si conta il numero di Licenze di Sottoscrizione Utente per i Servizi Online (USL).</w:t>
      </w:r>
      <w:r w:rsidR="00E34ED3" w:rsidRPr="0058047D">
        <w:rPr>
          <w:rFonts w:cs="Tahoma"/>
          <w:szCs w:val="18"/>
        </w:rPr>
        <w:t xml:space="preserve"> </w:t>
      </w:r>
      <w:r w:rsidRPr="0058047D">
        <w:rPr>
          <w:rFonts w:cs="Tahoma"/>
          <w:szCs w:val="18"/>
        </w:rPr>
        <w:t>Una USL contribuisce al raggiungimento della quantità minima di 5 licenze.</w:t>
      </w:r>
      <w:r w:rsidR="00E34ED3" w:rsidRPr="0058047D">
        <w:rPr>
          <w:rFonts w:cs="Tahoma"/>
          <w:szCs w:val="18"/>
        </w:rPr>
        <w:t xml:space="preserve"> </w:t>
      </w:r>
      <w:r w:rsidRPr="0058047D">
        <w:rPr>
          <w:rFonts w:cs="Tahoma"/>
          <w:szCs w:val="18"/>
        </w:rPr>
        <w:t>Un ordine di 5 USL soddisfa il requisito minimo del programma Open Value.</w:t>
      </w:r>
      <w:r w:rsidR="00E34ED3" w:rsidRPr="0058047D">
        <w:rPr>
          <w:rFonts w:cs="Tahoma"/>
          <w:szCs w:val="18"/>
        </w:rPr>
        <w:t xml:space="preserve"> </w:t>
      </w:r>
      <w:r w:rsidRPr="0058047D">
        <w:rPr>
          <w:rFonts w:cs="Tahoma"/>
          <w:szCs w:val="18"/>
        </w:rPr>
        <w:t>Tuttavia, 5 USL da sole non soddisfano il requisito minimo per il programma Open Value a livello aziendale e Open Value Subscription.</w:t>
      </w:r>
      <w:r w:rsidR="00E34ED3" w:rsidRPr="0058047D">
        <w:rPr>
          <w:rFonts w:cs="Tahoma"/>
          <w:szCs w:val="18"/>
        </w:rPr>
        <w:t xml:space="preserve"> </w:t>
      </w:r>
      <w:r w:rsidRPr="0058047D">
        <w:rPr>
          <w:rFonts w:cs="Tahoma"/>
          <w:szCs w:val="18"/>
        </w:rPr>
        <w:t>Per OV (a livello aziendale) e OV Subscription l</w:t>
      </w:r>
      <w:r w:rsidR="001C4212">
        <w:rPr>
          <w:rFonts w:cs="Tahoma"/>
          <w:szCs w:val="18"/>
        </w:rPr>
        <w:t>’</w:t>
      </w:r>
      <w:r w:rsidRPr="0058047D">
        <w:rPr>
          <w:rFonts w:cs="Tahoma"/>
          <w:szCs w:val="18"/>
        </w:rPr>
        <w:t>ordine iniziale dovrà includere almeno 5 Licenze Piattaforma Desktop o Componente Desktop, oltre ad eventuali USL.</w:t>
      </w:r>
      <w:r w:rsidR="00E34ED3" w:rsidRPr="0058047D">
        <w:rPr>
          <w:rFonts w:cs="Tahoma"/>
          <w:szCs w:val="18"/>
        </w:rPr>
        <w:t xml:space="preserve"> </w:t>
      </w:r>
    </w:p>
    <w:p w14:paraId="610DE097" w14:textId="77777777" w:rsidR="00116EDC" w:rsidRPr="0058047D" w:rsidRDefault="00116EDC" w:rsidP="00116EDC">
      <w:pPr>
        <w:outlineLvl w:val="2"/>
      </w:pPr>
    </w:p>
    <w:p w14:paraId="6C6DF418" w14:textId="77777777" w:rsidR="00776E3B" w:rsidRPr="0058047D" w:rsidRDefault="00776E3B" w:rsidP="00776E3B">
      <w:pPr>
        <w:pStyle w:val="Heading3"/>
      </w:pPr>
      <w:bookmarkStart w:id="670" w:name="_Toc336338214"/>
      <w:bookmarkStart w:id="671" w:name="_Toc371663608"/>
      <w:r w:rsidRPr="0058047D">
        <w:rPr>
          <w:rFonts w:ascii="Tahoma" w:hAnsi="Tahoma" w:cs="Tahoma"/>
          <w:sz w:val="24"/>
        </w:rPr>
        <w:t>Servizi di Windows Azure</w:t>
      </w:r>
      <w:bookmarkEnd w:id="670"/>
      <w:bookmarkEnd w:id="671"/>
    </w:p>
    <w:p w14:paraId="513A247E" w14:textId="77777777" w:rsidR="00776E3B" w:rsidRPr="0058047D" w:rsidRDefault="00776E3B" w:rsidP="00DF28F2">
      <w:pPr>
        <w:outlineLvl w:val="1"/>
      </w:pPr>
    </w:p>
    <w:p w14:paraId="3E96E5A4" w14:textId="77777777" w:rsidR="006A5DAE" w:rsidRPr="0058047D" w:rsidRDefault="005242EC" w:rsidP="005242EC">
      <w:pPr>
        <w:spacing w:after="60"/>
        <w:outlineLvl w:val="1"/>
      </w:pPr>
      <w:r w:rsidRPr="0058047D">
        <w:rPr>
          <w:rFonts w:cs="Tahoma"/>
          <w:b/>
          <w:szCs w:val="18"/>
        </w:rPr>
        <w:t>Definizioni</w:t>
      </w:r>
    </w:p>
    <w:p w14:paraId="3DF4A5B0" w14:textId="77777777" w:rsidR="006A5DAE" w:rsidRPr="0058047D" w:rsidRDefault="006A5DAE" w:rsidP="006A5DAE">
      <w:pPr>
        <w:outlineLvl w:val="1"/>
      </w:pPr>
      <w:r w:rsidRPr="0058047D">
        <w:rPr>
          <w:rFonts w:cs="Tahoma"/>
          <w:szCs w:val="18"/>
          <w:u w:val="single"/>
        </w:rPr>
        <w:t>Tariffe di Impegno</w:t>
      </w:r>
      <w:r w:rsidRPr="0058047D">
        <w:rPr>
          <w:rFonts w:cs="Tahoma"/>
          <w:b/>
          <w:szCs w:val="18"/>
        </w:rPr>
        <w:t xml:space="preserve"> </w:t>
      </w:r>
      <w:r w:rsidRPr="0058047D">
        <w:rPr>
          <w:rFonts w:cs="Tahoma"/>
          <w:szCs w:val="18"/>
        </w:rPr>
        <w:t>indica i prezzi per l</w:t>
      </w:r>
      <w:r w:rsidR="001C4212">
        <w:rPr>
          <w:rFonts w:cs="Tahoma"/>
          <w:szCs w:val="18"/>
        </w:rPr>
        <w:t>’</w:t>
      </w:r>
      <w:r w:rsidRPr="0058047D">
        <w:rPr>
          <w:rFonts w:cs="Tahoma"/>
          <w:szCs w:val="18"/>
        </w:rPr>
        <w:t>utilizzo dei Servizi Windows Azure fino al raggiungimento dell</w:t>
      </w:r>
      <w:r w:rsidR="001C4212">
        <w:rPr>
          <w:rFonts w:cs="Tahoma"/>
          <w:szCs w:val="18"/>
        </w:rPr>
        <w:t>’</w:t>
      </w:r>
      <w:r w:rsidRPr="0058047D">
        <w:rPr>
          <w:rFonts w:cs="Tahoma"/>
          <w:szCs w:val="18"/>
        </w:rPr>
        <w:t>Impegno Annuale Allocato.</w:t>
      </w:r>
    </w:p>
    <w:p w14:paraId="6D8513FF" w14:textId="77777777" w:rsidR="006A5DAE" w:rsidRPr="0058047D" w:rsidRDefault="006A5DAE" w:rsidP="006A5DAE">
      <w:pPr>
        <w:outlineLvl w:val="1"/>
      </w:pPr>
    </w:p>
    <w:p w14:paraId="255D0D48" w14:textId="77777777" w:rsidR="006A5DAE" w:rsidRPr="0058047D" w:rsidRDefault="006A5DAE" w:rsidP="006A5DAE">
      <w:pPr>
        <w:outlineLvl w:val="1"/>
      </w:pPr>
      <w:r w:rsidRPr="0058047D">
        <w:rPr>
          <w:rFonts w:cs="Tahoma"/>
          <w:szCs w:val="18"/>
          <w:u w:val="single"/>
        </w:rPr>
        <w:t>Tariffe di Consumo</w:t>
      </w:r>
      <w:r w:rsidRPr="0058047D">
        <w:rPr>
          <w:rFonts w:cs="Tahoma"/>
          <w:szCs w:val="18"/>
        </w:rPr>
        <w:t xml:space="preserve"> indica i prezzi per l</w:t>
      </w:r>
      <w:r w:rsidR="001C4212">
        <w:rPr>
          <w:rFonts w:cs="Tahoma"/>
          <w:szCs w:val="18"/>
        </w:rPr>
        <w:t>’</w:t>
      </w:r>
      <w:r w:rsidRPr="0058047D">
        <w:rPr>
          <w:rFonts w:cs="Tahoma"/>
          <w:szCs w:val="18"/>
        </w:rPr>
        <w:t>utilizzo dei Servizi Windows Azure che eccede l</w:t>
      </w:r>
      <w:r w:rsidR="001C4212">
        <w:rPr>
          <w:rFonts w:cs="Tahoma"/>
          <w:szCs w:val="18"/>
        </w:rPr>
        <w:t>’</w:t>
      </w:r>
      <w:r w:rsidRPr="0058047D">
        <w:rPr>
          <w:rFonts w:cs="Tahoma"/>
          <w:szCs w:val="18"/>
        </w:rPr>
        <w:t>Impegno Annuale Allocato. Le</w:t>
      </w:r>
      <w:r w:rsidR="00856C12">
        <w:rPr>
          <w:rFonts w:cs="Tahoma"/>
          <w:szCs w:val="18"/>
        </w:rPr>
        <w:t> </w:t>
      </w:r>
      <w:r w:rsidRPr="0058047D">
        <w:rPr>
          <w:rFonts w:cs="Tahoma"/>
          <w:szCs w:val="18"/>
        </w:rPr>
        <w:t>Tariffe di Consumo possono inoltre essere indicate come “Tariffe di Eccedenza” o “Eccedenza” in altri documenti Microsoft o Windows Azure. Le Tariffe di Impegno sono uguali alle Tariffe di Consumo.</w:t>
      </w:r>
    </w:p>
    <w:p w14:paraId="7DD34F81" w14:textId="77777777" w:rsidR="006A5DAE" w:rsidRPr="0058047D" w:rsidRDefault="006A5DAE" w:rsidP="006A5DAE">
      <w:pPr>
        <w:outlineLvl w:val="1"/>
      </w:pPr>
    </w:p>
    <w:p w14:paraId="2E9E0B97" w14:textId="77777777" w:rsidR="006A5DAE" w:rsidRPr="0058047D" w:rsidRDefault="006A5DAE" w:rsidP="006A5DAE">
      <w:pPr>
        <w:outlineLvl w:val="1"/>
      </w:pPr>
      <w:r w:rsidRPr="0058047D">
        <w:rPr>
          <w:rFonts w:cs="Tahoma"/>
          <w:szCs w:val="18"/>
          <w:u w:val="single"/>
        </w:rPr>
        <w:t>Impegno Monetario</w:t>
      </w:r>
      <w:r w:rsidRPr="0058047D">
        <w:rPr>
          <w:rFonts w:cs="Tahoma"/>
          <w:szCs w:val="18"/>
        </w:rPr>
        <w:t xml:space="preserve"> indica l</w:t>
      </w:r>
      <w:r w:rsidR="001C4212">
        <w:rPr>
          <w:rFonts w:cs="Tahoma"/>
          <w:szCs w:val="18"/>
        </w:rPr>
        <w:t>’</w:t>
      </w:r>
      <w:r w:rsidRPr="0058047D">
        <w:rPr>
          <w:rFonts w:cs="Tahoma"/>
          <w:szCs w:val="18"/>
        </w:rPr>
        <w:t>importo monetario totale che una società s</w:t>
      </w:r>
      <w:r w:rsidR="001C4212">
        <w:rPr>
          <w:rFonts w:cs="Tahoma"/>
          <w:szCs w:val="18"/>
        </w:rPr>
        <w:t>’</w:t>
      </w:r>
      <w:r w:rsidRPr="0058047D">
        <w:rPr>
          <w:rFonts w:cs="Tahoma"/>
          <w:szCs w:val="18"/>
        </w:rPr>
        <w:t>impegna a pagare nel periodo di validità dell</w:t>
      </w:r>
      <w:r w:rsidR="001C4212">
        <w:rPr>
          <w:rFonts w:cs="Tahoma"/>
          <w:szCs w:val="18"/>
        </w:rPr>
        <w:t>’</w:t>
      </w:r>
      <w:r w:rsidRPr="0058047D">
        <w:rPr>
          <w:rFonts w:cs="Tahoma"/>
          <w:szCs w:val="18"/>
        </w:rPr>
        <w:t>abbonamento per l</w:t>
      </w:r>
      <w:r w:rsidR="001C4212">
        <w:rPr>
          <w:rFonts w:cs="Tahoma"/>
          <w:szCs w:val="18"/>
        </w:rPr>
        <w:t>’</w:t>
      </w:r>
      <w:r w:rsidRPr="0058047D">
        <w:rPr>
          <w:rFonts w:cs="Tahoma"/>
          <w:szCs w:val="18"/>
        </w:rPr>
        <w:t>utilizzo dei Servizi Windows Azure.</w:t>
      </w:r>
    </w:p>
    <w:p w14:paraId="002F5FEC" w14:textId="77777777" w:rsidR="00BD1A6A" w:rsidRPr="0058047D" w:rsidRDefault="00BD1A6A" w:rsidP="006A5DAE">
      <w:pPr>
        <w:outlineLvl w:val="1"/>
      </w:pPr>
    </w:p>
    <w:p w14:paraId="347F9FD3" w14:textId="77777777" w:rsidR="006A5DAE" w:rsidRPr="0058047D" w:rsidRDefault="006A5DAE" w:rsidP="006A5DAE">
      <w:pPr>
        <w:outlineLvl w:val="1"/>
      </w:pPr>
      <w:r w:rsidRPr="0058047D">
        <w:rPr>
          <w:rFonts w:cs="Tahoma"/>
          <w:szCs w:val="18"/>
          <w:u w:val="single"/>
        </w:rPr>
        <w:t>Impegno Annuale Allocato</w:t>
      </w:r>
      <w:r w:rsidRPr="0058047D">
        <w:rPr>
          <w:rFonts w:cs="Tahoma"/>
          <w:szCs w:val="18"/>
        </w:rPr>
        <w:t xml:space="preserve"> indica la parte di Impegno Monetario allocato annualmente durante il periodo di validità dell</w:t>
      </w:r>
      <w:r w:rsidR="001C4212">
        <w:rPr>
          <w:rFonts w:cs="Tahoma"/>
          <w:szCs w:val="18"/>
        </w:rPr>
        <w:t>’</w:t>
      </w:r>
      <w:r w:rsidRPr="0058047D">
        <w:rPr>
          <w:rFonts w:cs="Tahoma"/>
          <w:szCs w:val="18"/>
        </w:rPr>
        <w:t>Iscrizione.</w:t>
      </w:r>
    </w:p>
    <w:p w14:paraId="1F23393F" w14:textId="77777777" w:rsidR="002653EB" w:rsidRPr="0058047D" w:rsidRDefault="002653EB" w:rsidP="006A5DAE">
      <w:pPr>
        <w:outlineLvl w:val="1"/>
      </w:pPr>
    </w:p>
    <w:p w14:paraId="2557F4B7" w14:textId="77777777" w:rsidR="002653EB" w:rsidRPr="0058047D" w:rsidRDefault="002653EB" w:rsidP="006A5DAE">
      <w:pPr>
        <w:outlineLvl w:val="1"/>
      </w:pPr>
      <w:r w:rsidRPr="0058047D">
        <w:rPr>
          <w:rFonts w:cs="Tahoma"/>
          <w:szCs w:val="18"/>
        </w:rPr>
        <w:t>Consumo Autorizzato indica l</w:t>
      </w:r>
      <w:r w:rsidR="001C4212">
        <w:rPr>
          <w:rFonts w:cs="Tahoma"/>
          <w:szCs w:val="18"/>
        </w:rPr>
        <w:t>’</w:t>
      </w:r>
      <w:r w:rsidRPr="0058047D">
        <w:rPr>
          <w:rFonts w:cs="Tahoma"/>
          <w:szCs w:val="18"/>
        </w:rPr>
        <w:t>utilizzo in eccesso rispetto all</w:t>
      </w:r>
      <w:r w:rsidR="001C4212">
        <w:rPr>
          <w:rFonts w:cs="Tahoma"/>
          <w:szCs w:val="18"/>
        </w:rPr>
        <w:t>’</w:t>
      </w:r>
      <w:r w:rsidRPr="0058047D">
        <w:rPr>
          <w:rFonts w:cs="Tahoma"/>
          <w:szCs w:val="18"/>
        </w:rPr>
        <w:t>Impegno Annuale Allocato per il quale una società riceverà fattura su base annuale quando ottenuto in licenza ai sensi di un Contratto Enterprise Diretto.</w:t>
      </w:r>
    </w:p>
    <w:p w14:paraId="3A53C741" w14:textId="77777777" w:rsidR="001C1727" w:rsidRPr="0058047D" w:rsidRDefault="001C1727"/>
    <w:p w14:paraId="3B0FD9FC" w14:textId="77777777" w:rsidR="006A5DAE" w:rsidRPr="0058047D" w:rsidRDefault="006A5DAE" w:rsidP="005242EC">
      <w:pPr>
        <w:spacing w:after="60"/>
        <w:outlineLvl w:val="1"/>
      </w:pPr>
      <w:r w:rsidRPr="0058047D">
        <w:rPr>
          <w:rFonts w:cs="Tahoma"/>
          <w:b/>
          <w:szCs w:val="18"/>
        </w:rPr>
        <w:t>Periodo di Validità dell</w:t>
      </w:r>
      <w:r w:rsidR="001C4212">
        <w:rPr>
          <w:rFonts w:cs="Tahoma"/>
          <w:b/>
          <w:szCs w:val="18"/>
        </w:rPr>
        <w:t>’</w:t>
      </w:r>
      <w:r w:rsidRPr="0058047D">
        <w:rPr>
          <w:rFonts w:cs="Tahoma"/>
          <w:b/>
          <w:szCs w:val="18"/>
        </w:rPr>
        <w:t>Abbonamento</w:t>
      </w:r>
    </w:p>
    <w:p w14:paraId="6A2A7C6D" w14:textId="77777777" w:rsidR="006A5DAE" w:rsidRPr="0058047D" w:rsidRDefault="006A5DAE" w:rsidP="006A5DAE">
      <w:pPr>
        <w:outlineLvl w:val="1"/>
      </w:pPr>
      <w:r w:rsidRPr="0058047D">
        <w:rPr>
          <w:rFonts w:cs="Tahoma"/>
          <w:szCs w:val="18"/>
        </w:rPr>
        <w:t>Le società che usufruiscono dei Servizi Windows Azure potranno effettuare la sottoscrizione solo per un periodo che termini il giorno stesso della data di scadenza dell</w:t>
      </w:r>
      <w:r w:rsidR="001C4212">
        <w:rPr>
          <w:rFonts w:cs="Tahoma"/>
          <w:szCs w:val="18"/>
        </w:rPr>
        <w:t>’</w:t>
      </w:r>
      <w:r w:rsidRPr="0058047D">
        <w:rPr>
          <w:rFonts w:cs="Tahoma"/>
          <w:szCs w:val="18"/>
        </w:rPr>
        <w:t xml:space="preserve">iscrizione delle società (“scadenza identica”). </w:t>
      </w:r>
      <w:r w:rsidRPr="0058047D">
        <w:t>Mancano ancora due mesi alla scadenza del periodo di validità dell</w:t>
      </w:r>
      <w:r w:rsidR="001C4212">
        <w:t>’</w:t>
      </w:r>
      <w:r w:rsidRPr="0058047D">
        <w:t>iscrizione delle società</w:t>
      </w:r>
      <w:r w:rsidRPr="0058047D">
        <w:rPr>
          <w:rFonts w:cs="Tahoma"/>
          <w:szCs w:val="18"/>
        </w:rPr>
        <w:t>.</w:t>
      </w:r>
    </w:p>
    <w:p w14:paraId="7AF4404E" w14:textId="77777777" w:rsidR="006A5DAE" w:rsidRPr="0058047D" w:rsidRDefault="006A5DAE" w:rsidP="006A5DAE"/>
    <w:p w14:paraId="0753E0F5" w14:textId="77777777" w:rsidR="006A5DAE" w:rsidRPr="0058047D" w:rsidRDefault="005242EC" w:rsidP="005242EC">
      <w:pPr>
        <w:spacing w:after="60"/>
        <w:outlineLvl w:val="1"/>
      </w:pPr>
      <w:r w:rsidRPr="0058047D">
        <w:rPr>
          <w:rFonts w:cs="Tahoma"/>
          <w:b/>
          <w:szCs w:val="18"/>
        </w:rPr>
        <w:t>Impegno Monetario</w:t>
      </w:r>
    </w:p>
    <w:p w14:paraId="37E9CAC8" w14:textId="77777777" w:rsidR="006A5DAE" w:rsidRPr="0058047D" w:rsidRDefault="006A5DAE" w:rsidP="006A5DAE">
      <w:pPr>
        <w:outlineLvl w:val="1"/>
      </w:pPr>
      <w:r w:rsidRPr="0058047D">
        <w:rPr>
          <w:rFonts w:cs="Tahoma"/>
          <w:szCs w:val="18"/>
        </w:rPr>
        <w:t>L</w:t>
      </w:r>
      <w:r w:rsidR="001C4212">
        <w:rPr>
          <w:rFonts w:cs="Tahoma"/>
          <w:szCs w:val="18"/>
        </w:rPr>
        <w:t>’</w:t>
      </w:r>
      <w:r w:rsidRPr="0058047D">
        <w:rPr>
          <w:rFonts w:cs="Tahoma"/>
          <w:szCs w:val="18"/>
        </w:rPr>
        <w:t>ordine iniziale delle società dovrà includere un Impegno Monetario e potrà essere presentato in qualsiasi momento prima dell</w:t>
      </w:r>
      <w:r w:rsidR="001C4212">
        <w:rPr>
          <w:rFonts w:cs="Tahoma"/>
          <w:szCs w:val="18"/>
        </w:rPr>
        <w:t>’</w:t>
      </w:r>
      <w:r w:rsidRPr="0058047D">
        <w:rPr>
          <w:rFonts w:cs="Tahoma"/>
          <w:szCs w:val="18"/>
        </w:rPr>
        <w:t>ultimo mese del periodo di validità dell</w:t>
      </w:r>
      <w:r w:rsidR="001C4212">
        <w:rPr>
          <w:rFonts w:cs="Tahoma"/>
          <w:szCs w:val="18"/>
        </w:rPr>
        <w:t>’</w:t>
      </w:r>
      <w:r w:rsidRPr="0058047D">
        <w:rPr>
          <w:rFonts w:cs="Tahoma"/>
          <w:szCs w:val="18"/>
        </w:rPr>
        <w:t>iscrizione. L</w:t>
      </w:r>
      <w:r w:rsidR="001C4212">
        <w:rPr>
          <w:rFonts w:cs="Tahoma"/>
          <w:szCs w:val="18"/>
        </w:rPr>
        <w:t>’</w:t>
      </w:r>
      <w:r w:rsidRPr="0058047D">
        <w:rPr>
          <w:rFonts w:cs="Tahoma"/>
          <w:szCs w:val="18"/>
        </w:rPr>
        <w:t>Impegno Monetario previsto dalla sottoscrizione con scadenza identica verrà allocato in misura proporzionale durante il periodo di validità dell</w:t>
      </w:r>
      <w:r w:rsidR="001C4212">
        <w:rPr>
          <w:rFonts w:cs="Tahoma"/>
          <w:szCs w:val="18"/>
        </w:rPr>
        <w:t>’</w:t>
      </w:r>
      <w:r w:rsidRPr="0058047D">
        <w:rPr>
          <w:rFonts w:cs="Tahoma"/>
          <w:szCs w:val="18"/>
        </w:rPr>
        <w:t>iscrizione.</w:t>
      </w:r>
    </w:p>
    <w:p w14:paraId="1F1521D7" w14:textId="77777777" w:rsidR="002653EB" w:rsidRPr="0058047D" w:rsidRDefault="002653EB" w:rsidP="006A5DAE">
      <w:pPr>
        <w:outlineLvl w:val="1"/>
      </w:pPr>
    </w:p>
    <w:p w14:paraId="08BFFE04" w14:textId="77777777" w:rsidR="002653EB" w:rsidRPr="0058047D" w:rsidRDefault="002653EB" w:rsidP="006A5DAE">
      <w:pPr>
        <w:outlineLvl w:val="1"/>
      </w:pPr>
      <w:r w:rsidRPr="0058047D">
        <w:rPr>
          <w:rFonts w:cs="Tahoma"/>
          <w:szCs w:val="18"/>
        </w:rPr>
        <w:t>L</w:t>
      </w:r>
      <w:r w:rsidR="001C4212">
        <w:rPr>
          <w:rFonts w:cs="Tahoma"/>
          <w:szCs w:val="18"/>
        </w:rPr>
        <w:t>’</w:t>
      </w:r>
      <w:r w:rsidRPr="0058047D">
        <w:rPr>
          <w:rFonts w:cs="Tahoma"/>
          <w:szCs w:val="18"/>
        </w:rPr>
        <w:t>importo della fattura di ciascun Impegno Monetario non verrà applicato all</w:t>
      </w:r>
      <w:r w:rsidR="001C4212">
        <w:rPr>
          <w:rFonts w:cs="Tahoma"/>
          <w:szCs w:val="18"/>
        </w:rPr>
        <w:t>’</w:t>
      </w:r>
      <w:r w:rsidRPr="0058047D">
        <w:rPr>
          <w:rFonts w:cs="Tahoma"/>
          <w:szCs w:val="18"/>
        </w:rPr>
        <w:t>utilizzo prima della data della copertura relativa a quella fattura.</w:t>
      </w:r>
    </w:p>
    <w:p w14:paraId="488088D0" w14:textId="77777777" w:rsidR="006A5DAE" w:rsidRPr="0058047D" w:rsidRDefault="006A5DAE" w:rsidP="006A5DAE">
      <w:pPr>
        <w:outlineLvl w:val="1"/>
      </w:pPr>
    </w:p>
    <w:p w14:paraId="060D7798" w14:textId="77777777" w:rsidR="006A5DAE" w:rsidRPr="0058047D" w:rsidRDefault="006A5DAE" w:rsidP="006A5DAE">
      <w:r w:rsidRPr="0058047D">
        <w:t>Le società potranno incrementare il proprio Impegno Monetario in qualsiasi momento effettuando ordini aggiuntivi.</w:t>
      </w:r>
      <w:r w:rsidR="00E34ED3" w:rsidRPr="0058047D">
        <w:t xml:space="preserve"> </w:t>
      </w:r>
      <w:r w:rsidRPr="0058047D">
        <w:t>Gli Impegni Annuali verranno incrementati dall</w:t>
      </w:r>
      <w:r w:rsidR="001C4212">
        <w:t>’</w:t>
      </w:r>
      <w:r w:rsidRPr="0058047D">
        <w:t>importo dell</w:t>
      </w:r>
      <w:r w:rsidR="001C4212">
        <w:t>’</w:t>
      </w:r>
      <w:r w:rsidRPr="0058047D">
        <w:t>ordine aggiuntivo moltiplicato per dodici diviso per il numero di mesi interi residui nell</w:t>
      </w:r>
      <w:r w:rsidR="001C4212">
        <w:t>’</w:t>
      </w:r>
      <w:r w:rsidRPr="0058047D">
        <w:t>anno in cui è stato effettuato l</w:t>
      </w:r>
      <w:r w:rsidR="001C4212">
        <w:t>’</w:t>
      </w:r>
      <w:r w:rsidRPr="0058047D">
        <w:t>ordine aggiuntivo.</w:t>
      </w:r>
    </w:p>
    <w:p w14:paraId="4DB1C880" w14:textId="77777777" w:rsidR="002653EB" w:rsidRPr="0058047D" w:rsidRDefault="002653EB" w:rsidP="006A5DAE"/>
    <w:p w14:paraId="3865BEE0" w14:textId="77777777" w:rsidR="002653EB" w:rsidRPr="0058047D" w:rsidRDefault="002653EB" w:rsidP="006A5DAE">
      <w:r w:rsidRPr="0058047D">
        <w:t>Le società sono idonee a riportare riduzione nell</w:t>
      </w:r>
      <w:r w:rsidR="001C4212">
        <w:t>’</w:t>
      </w:r>
      <w:r w:rsidRPr="0058047D">
        <w:t>Impegno Monetario futuro in base all</w:t>
      </w:r>
      <w:r w:rsidR="001C4212">
        <w:t>’</w:t>
      </w:r>
      <w:r w:rsidRPr="0058047D">
        <w:t xml:space="preserve">Articolo 3: Riduzioni delle Licenze </w:t>
      </w:r>
      <w:r w:rsidR="00E34ED3" w:rsidRPr="0058047D">
        <w:t>“</w:t>
      </w:r>
      <w:r w:rsidRPr="0058047D">
        <w:t>Subscription</w:t>
      </w:r>
      <w:r w:rsidR="00E34ED3" w:rsidRPr="0058047D">
        <w:t>”</w:t>
      </w:r>
      <w:r w:rsidRPr="0058047D">
        <w:t>.</w:t>
      </w:r>
    </w:p>
    <w:p w14:paraId="32587230" w14:textId="77777777" w:rsidR="006A5DAE" w:rsidRPr="0058047D" w:rsidRDefault="006A5DAE" w:rsidP="006A5DAE"/>
    <w:p w14:paraId="06217AFA" w14:textId="77777777" w:rsidR="006A5DAE" w:rsidRPr="0058047D" w:rsidRDefault="006A5DAE" w:rsidP="006A5DAE">
      <w:pPr>
        <w:outlineLvl w:val="1"/>
      </w:pPr>
      <w:r w:rsidRPr="0058047D">
        <w:rPr>
          <w:rFonts w:cs="Tahoma"/>
          <w:szCs w:val="18"/>
        </w:rPr>
        <w:t xml:space="preserve">Le società dovranno consumare il loro </w:t>
      </w:r>
      <w:r w:rsidRPr="0058047D">
        <w:t>Impegno Annuale Allocato</w:t>
      </w:r>
      <w:r w:rsidRPr="0058047D">
        <w:rPr>
          <w:rFonts w:cs="Tahoma"/>
          <w:szCs w:val="18"/>
        </w:rPr>
        <w:t xml:space="preserve"> ogni anno entro l</w:t>
      </w:r>
      <w:r w:rsidR="001C4212">
        <w:rPr>
          <w:rFonts w:cs="Tahoma"/>
          <w:szCs w:val="18"/>
        </w:rPr>
        <w:t>’</w:t>
      </w:r>
      <w:r w:rsidRPr="0058047D">
        <w:rPr>
          <w:rFonts w:cs="Tahoma"/>
          <w:szCs w:val="18"/>
        </w:rPr>
        <w:t>ultimo giorno del mese precedente la ricorrenza annuale dell</w:t>
      </w:r>
      <w:r w:rsidR="001C4212">
        <w:rPr>
          <w:rFonts w:cs="Tahoma"/>
          <w:szCs w:val="18"/>
        </w:rPr>
        <w:t>’</w:t>
      </w:r>
      <w:r w:rsidRPr="0058047D">
        <w:rPr>
          <w:rFonts w:cs="Tahoma"/>
          <w:szCs w:val="18"/>
        </w:rPr>
        <w:t>iscrizione. L</w:t>
      </w:r>
      <w:r w:rsidR="001C4212">
        <w:rPr>
          <w:rFonts w:cs="Tahoma"/>
          <w:szCs w:val="18"/>
        </w:rPr>
        <w:t>’</w:t>
      </w:r>
      <w:r w:rsidRPr="0058047D">
        <w:rPr>
          <w:rFonts w:cs="Tahoma"/>
          <w:szCs w:val="18"/>
        </w:rPr>
        <w:t>eventuale parte non utilizzata dell</w:t>
      </w:r>
      <w:r w:rsidR="001C4212">
        <w:rPr>
          <w:rFonts w:cs="Tahoma"/>
          <w:szCs w:val="18"/>
        </w:rPr>
        <w:t>’</w:t>
      </w:r>
      <w:r w:rsidRPr="0058047D">
        <w:t xml:space="preserve">Impegno Annuale Anticipato </w:t>
      </w:r>
      <w:r w:rsidRPr="0058047D">
        <w:rPr>
          <w:rFonts w:cs="Tahoma"/>
          <w:szCs w:val="18"/>
        </w:rPr>
        <w:t>andrà</w:t>
      </w:r>
      <w:r w:rsidRPr="0058047D">
        <w:t xml:space="preserve"> persa</w:t>
      </w:r>
      <w:r w:rsidRPr="0058047D">
        <w:rPr>
          <w:rFonts w:cs="Tahoma"/>
          <w:szCs w:val="18"/>
        </w:rPr>
        <w:t xml:space="preserve">. </w:t>
      </w:r>
    </w:p>
    <w:p w14:paraId="4D776CA3" w14:textId="77777777" w:rsidR="002653EB" w:rsidRPr="0058047D" w:rsidRDefault="002653EB" w:rsidP="006A5DAE">
      <w:pPr>
        <w:outlineLvl w:val="1"/>
      </w:pPr>
    </w:p>
    <w:p w14:paraId="798F7C4F" w14:textId="77777777" w:rsidR="002653EB" w:rsidRPr="0058047D" w:rsidRDefault="002653EB" w:rsidP="006A5DAE">
      <w:pPr>
        <w:outlineLvl w:val="1"/>
      </w:pPr>
      <w:r w:rsidRPr="0058047D">
        <w:rPr>
          <w:rFonts w:cs="Tahoma"/>
          <w:szCs w:val="18"/>
        </w:rPr>
        <w:t>Ogni anno la società potrà utilizzare il Consumo Autorizzato entro l</w:t>
      </w:r>
      <w:r w:rsidR="001C4212">
        <w:rPr>
          <w:rFonts w:cs="Tahoma"/>
          <w:szCs w:val="18"/>
        </w:rPr>
        <w:t>’</w:t>
      </w:r>
      <w:r w:rsidRPr="0058047D">
        <w:rPr>
          <w:rFonts w:cs="Tahoma"/>
          <w:szCs w:val="18"/>
        </w:rPr>
        <w:t>ultimo giorno del mese precedente la ricorrenza annuale dell</w:t>
      </w:r>
      <w:r w:rsidR="001C4212">
        <w:rPr>
          <w:rFonts w:cs="Tahoma"/>
          <w:szCs w:val="18"/>
        </w:rPr>
        <w:t>’</w:t>
      </w:r>
      <w:r w:rsidRPr="0058047D">
        <w:rPr>
          <w:rFonts w:cs="Tahoma"/>
          <w:szCs w:val="18"/>
        </w:rPr>
        <w:t>iscrizione. L</w:t>
      </w:r>
      <w:r w:rsidR="001C4212">
        <w:rPr>
          <w:rFonts w:cs="Tahoma"/>
          <w:szCs w:val="18"/>
        </w:rPr>
        <w:t>’</w:t>
      </w:r>
      <w:r w:rsidRPr="0058047D">
        <w:rPr>
          <w:rFonts w:cs="Tahoma"/>
          <w:szCs w:val="18"/>
        </w:rPr>
        <w:t>eventuale parte non utilizzata del Consumo Autorizzato andrà persa.</w:t>
      </w:r>
    </w:p>
    <w:p w14:paraId="10A0CD66" w14:textId="77777777" w:rsidR="006A5DAE" w:rsidRPr="0058047D" w:rsidRDefault="006A5DAE" w:rsidP="006A5DAE"/>
    <w:p w14:paraId="03F48EB6" w14:textId="77777777" w:rsidR="006A5DAE" w:rsidRPr="0058047D" w:rsidRDefault="005242EC" w:rsidP="005242EC">
      <w:pPr>
        <w:spacing w:after="60"/>
        <w:outlineLvl w:val="1"/>
      </w:pPr>
      <w:r w:rsidRPr="0058047D">
        <w:rPr>
          <w:rFonts w:cs="Tahoma"/>
          <w:b/>
          <w:szCs w:val="18"/>
        </w:rPr>
        <w:t xml:space="preserve">Pagamento e Corrispettivi </w:t>
      </w:r>
    </w:p>
    <w:p w14:paraId="581388A0" w14:textId="77777777" w:rsidR="005D54B5" w:rsidRPr="0058047D" w:rsidRDefault="005D54B5" w:rsidP="006A5DAE">
      <w:r w:rsidRPr="0058047D">
        <w:t>I Tassi di Pagamento sono uguali alle Tariffe di Consumo.</w:t>
      </w:r>
    </w:p>
    <w:p w14:paraId="006D37EC" w14:textId="77777777" w:rsidR="005D54B5" w:rsidRPr="0058047D" w:rsidRDefault="005D54B5" w:rsidP="006A5DAE"/>
    <w:p w14:paraId="79070B62" w14:textId="77777777" w:rsidR="005D54B5" w:rsidRPr="0058047D" w:rsidRDefault="005D54B5" w:rsidP="006A5DAE">
      <w:r w:rsidRPr="0058047D">
        <w:t>Il Consumo Autorizzato è pari al cinquanta percento dell</w:t>
      </w:r>
      <w:r w:rsidR="001C4212">
        <w:t>’</w:t>
      </w:r>
      <w:r w:rsidRPr="0058047D">
        <w:t>Impegno Annuale Allocato. Ad esempio, per un Impegno Annuale Allocato di 100.000 USD, il Consumo Autorizzato sarebbe pari a 50.000 USD.</w:t>
      </w:r>
    </w:p>
    <w:p w14:paraId="1E4CA6B7" w14:textId="77777777" w:rsidR="005D54B5" w:rsidRPr="0058047D" w:rsidRDefault="005D54B5" w:rsidP="006A5DAE"/>
    <w:p w14:paraId="7DA48016" w14:textId="77777777" w:rsidR="006A5DAE" w:rsidRPr="0058047D" w:rsidRDefault="005D54B5" w:rsidP="006A5DAE">
      <w:r w:rsidRPr="0058047D">
        <w:t>I</w:t>
      </w:r>
      <w:r w:rsidRPr="0058047D">
        <w:rPr>
          <w:rFonts w:cs="Tahoma"/>
          <w:szCs w:val="18"/>
        </w:rPr>
        <w:t xml:space="preserve">l </w:t>
      </w:r>
      <w:r w:rsidRPr="0058047D">
        <w:t>primo Impegno Annuale Allocato verrà fatturato immediatamente e i futuri Impegni Annuali Allocati verranno fatturati in occasione della ricorrenza annuale della data di entrata in vigore dell</w:t>
      </w:r>
      <w:r w:rsidR="001C4212">
        <w:t>’</w:t>
      </w:r>
      <w:r w:rsidRPr="0058047D">
        <w:t>iscrizione. In alternativa, le società potranno scegliere di pagare l</w:t>
      </w:r>
      <w:r w:rsidR="001C4212">
        <w:t>’</w:t>
      </w:r>
      <w:r w:rsidRPr="0058047D">
        <w:t>intero Impegno Monetario all</w:t>
      </w:r>
      <w:r w:rsidR="001C4212">
        <w:t>’</w:t>
      </w:r>
      <w:r w:rsidRPr="0058047D">
        <w:t>atto dell</w:t>
      </w:r>
      <w:r w:rsidR="001C4212">
        <w:t>’</w:t>
      </w:r>
      <w:r w:rsidRPr="0058047D">
        <w:t>effettuazione dell</w:t>
      </w:r>
      <w:r w:rsidR="001C4212">
        <w:t>’</w:t>
      </w:r>
      <w:r w:rsidRPr="0058047D">
        <w:t>ordine iniziale.</w:t>
      </w:r>
    </w:p>
    <w:p w14:paraId="2AD2C261" w14:textId="77777777" w:rsidR="006A5DAE" w:rsidRPr="0058047D" w:rsidRDefault="006A5DAE" w:rsidP="006A5DAE"/>
    <w:p w14:paraId="7277DCC6" w14:textId="77777777" w:rsidR="005D54B5" w:rsidRPr="0058047D" w:rsidRDefault="006A5DAE" w:rsidP="006A5DAE">
      <w:r w:rsidRPr="0058047D">
        <w:t>Ogni mese Microsoft dedurrà dall</w:t>
      </w:r>
      <w:r w:rsidR="001C4212">
        <w:t>’</w:t>
      </w:r>
      <w:r w:rsidRPr="0058047D">
        <w:t>Impegno Annuale Allocato il valore monetario corrispondente all</w:t>
      </w:r>
      <w:r w:rsidR="001C4212">
        <w:t>’</w:t>
      </w:r>
      <w:r w:rsidRPr="0058047D">
        <w:t>utilizzo dei Servizi di Windows Azure da parte di una società. Una volta azzerato il saldo dell</w:t>
      </w:r>
      <w:r w:rsidR="001C4212">
        <w:t>’</w:t>
      </w:r>
      <w:r w:rsidRPr="0058047D">
        <w:t>Impegno Annuale Allocato della società, l</w:t>
      </w:r>
      <w:r w:rsidR="001C4212">
        <w:t>’</w:t>
      </w:r>
      <w:r w:rsidRPr="0058047D">
        <w:t xml:space="preserve">eventuale utilizzo aggiuntivo del mese verrà fatturato alle Tariffe di Consumo. </w:t>
      </w:r>
    </w:p>
    <w:p w14:paraId="7B5D9A74" w14:textId="77777777" w:rsidR="005D54B5" w:rsidRPr="0058047D" w:rsidRDefault="005D54B5" w:rsidP="006A5DAE"/>
    <w:p w14:paraId="50FB3E2A" w14:textId="77777777" w:rsidR="006A5DAE" w:rsidRPr="0058047D" w:rsidRDefault="005D54B5" w:rsidP="006A5DAE">
      <w:r w:rsidRPr="0058047D">
        <w:t>Qualora l</w:t>
      </w:r>
      <w:r w:rsidR="001C4212">
        <w:t>’</w:t>
      </w:r>
      <w:r w:rsidRPr="0058047D">
        <w:t>utilizzo da parte della società sia superiore all</w:t>
      </w:r>
      <w:r w:rsidR="001C4212">
        <w:t>’</w:t>
      </w:r>
      <w:r w:rsidRPr="0058047D">
        <w:t>Impegno Annuale Allocato più il Consumo Autorizzato, tutto l</w:t>
      </w:r>
      <w:r w:rsidR="001C4212">
        <w:t>’</w:t>
      </w:r>
      <w:r w:rsidRPr="0058047D">
        <w:t>utilizzo che eccede l</w:t>
      </w:r>
      <w:r w:rsidR="001C4212">
        <w:t>’</w:t>
      </w:r>
      <w:r w:rsidRPr="0058047D">
        <w:t>Impegno Annuale Allocato verrà fatturato, in base alle Tariffe di Consumo, alla società o al rivenditore al termine di ciascun trimestre dell</w:t>
      </w:r>
      <w:r w:rsidR="001C4212">
        <w:t>’</w:t>
      </w:r>
      <w:r w:rsidRPr="0058047D">
        <w:t>iscrizione.</w:t>
      </w:r>
    </w:p>
    <w:p w14:paraId="518CABFF" w14:textId="77777777" w:rsidR="006A5DAE" w:rsidRPr="0058047D" w:rsidRDefault="006A5DAE" w:rsidP="006A5DAE"/>
    <w:p w14:paraId="1CAF2E34" w14:textId="77777777" w:rsidR="0006338A" w:rsidRPr="0058047D" w:rsidRDefault="0006338A" w:rsidP="006A5DAE">
      <w:r w:rsidRPr="0058047D">
        <w:t>Qualora l</w:t>
      </w:r>
      <w:r w:rsidR="001C4212">
        <w:t>’</w:t>
      </w:r>
      <w:r w:rsidRPr="0058047D">
        <w:t>utilizzo da parte della società sia inferiore all</w:t>
      </w:r>
      <w:r w:rsidR="001C4212">
        <w:t>’</w:t>
      </w:r>
      <w:r w:rsidRPr="0058047D">
        <w:t>Impegno Annuale Allocato più il Consumo Autorizzato, qualsiasi utilizzo che eccede l</w:t>
      </w:r>
      <w:r w:rsidR="001C4212">
        <w:t>’</w:t>
      </w:r>
      <w:r w:rsidRPr="0058047D">
        <w:t>Impegno Annuale Allocato verrà fatturato, in base alle Tariffe di Consumo, alla società o al rivenditore in occasione della ricorrenza annuale della data di entrata in vigore per gli Anni 1 e 2 al termine del periodo di sottoscrizione dell</w:t>
      </w:r>
      <w:r w:rsidR="001C4212">
        <w:t>’</w:t>
      </w:r>
      <w:r w:rsidRPr="0058047D">
        <w:t>Anno 3.</w:t>
      </w:r>
    </w:p>
    <w:p w14:paraId="078C4F32" w14:textId="77777777" w:rsidR="0006338A" w:rsidRPr="0058047D" w:rsidRDefault="0006338A" w:rsidP="006A5DAE"/>
    <w:p w14:paraId="2CC6DD86" w14:textId="77777777" w:rsidR="006A5DAE" w:rsidRPr="0058047D" w:rsidRDefault="006A5DAE" w:rsidP="006A5DAE">
      <w:r w:rsidRPr="0058047D">
        <w:t>L</w:t>
      </w:r>
      <w:r w:rsidR="001C4212">
        <w:t>’</w:t>
      </w:r>
      <w:r w:rsidRPr="0058047D">
        <w:t>utilizzo dei Servizi Windows Azure dopo la scadenza o il termine del periodo di sottoscrizione di una società verrà fatturato alla società o al rivenditore in base alle Tariffe di Consumo in vigore in quel momento con cadenza trimestrale.</w:t>
      </w:r>
    </w:p>
    <w:p w14:paraId="642D2589" w14:textId="77777777" w:rsidR="006A5DAE" w:rsidRPr="0058047D" w:rsidRDefault="006A5DAE" w:rsidP="006A5DAE"/>
    <w:p w14:paraId="3305DA07" w14:textId="77777777" w:rsidR="006A5DAE" w:rsidRPr="0058047D" w:rsidRDefault="006A5DAE" w:rsidP="006A5DAE">
      <w:r w:rsidRPr="0058047D">
        <w:t>Microsoft potrà abbassare i prezzi per i singoli Servizi di Windows Azure durante il periodo di validità dell</w:t>
      </w:r>
      <w:r w:rsidR="001C4212">
        <w:t>’</w:t>
      </w:r>
      <w:r w:rsidRPr="0058047D">
        <w:t>iscrizione di</w:t>
      </w:r>
      <w:r w:rsidR="00856C12">
        <w:t> </w:t>
      </w:r>
      <w:r w:rsidRPr="0058047D">
        <w:t>una società.</w:t>
      </w:r>
      <w:r w:rsidR="00E34ED3" w:rsidRPr="0058047D">
        <w:t xml:space="preserve"> </w:t>
      </w:r>
      <w:r w:rsidRPr="0058047D">
        <w:t>Per le società che acquistano i Servizi di Windows Azure direttamente da Microsoft, l</w:t>
      </w:r>
      <w:r w:rsidR="001C4212">
        <w:t>’</w:t>
      </w:r>
      <w:r w:rsidRPr="0058047D">
        <w:t>Elenco Prezzi Cliente (Customer Price Sheet) potrà indicare un prezzo maggiore al prezzo corrente in quel momento. Microsoft potrà concedere i prezzi inferiori a quelle società durante il periodo in cui sono in vigore. Microsoft comunicherà alle società eventuali variazioni di questo tipo.</w:t>
      </w:r>
    </w:p>
    <w:p w14:paraId="028A0F8B" w14:textId="77777777" w:rsidR="006A5DAE" w:rsidRPr="0058047D" w:rsidRDefault="006A5DAE" w:rsidP="006A5DAE"/>
    <w:p w14:paraId="0583088A" w14:textId="77777777" w:rsidR="006A5DAE" w:rsidRPr="0058047D" w:rsidRDefault="006A5DAE" w:rsidP="006A5DAE">
      <w:r w:rsidRPr="0058047D">
        <w:rPr>
          <w:rFonts w:cs="Tahoma"/>
          <w:szCs w:val="18"/>
        </w:rPr>
        <w:t>I prezzi e le condizioni di pagamento per gli abbonamenti acquistati presso i rivenditori sono stabiliti tramite un contratto tra la società e il suo rivenditore.</w:t>
      </w:r>
      <w:r w:rsidR="00E34ED3" w:rsidRPr="0058047D">
        <w:rPr>
          <w:rFonts w:cs="Tahoma"/>
          <w:szCs w:val="18"/>
        </w:rPr>
        <w:t xml:space="preserve"> </w:t>
      </w:r>
      <w:r w:rsidRPr="0058047D">
        <w:rPr>
          <w:rFonts w:cs="Tahoma"/>
          <w:szCs w:val="18"/>
        </w:rPr>
        <w:t xml:space="preserve">Il </w:t>
      </w:r>
      <w:r w:rsidRPr="0058047D">
        <w:rPr>
          <w:iCs/>
        </w:rPr>
        <w:t>rivenditore di una società fornirà informazioni aggiuntive relativamente alle procedure di effettuazione degli ordini per i Servizi Windows Azure.</w:t>
      </w:r>
      <w:r w:rsidR="00E34ED3" w:rsidRPr="0058047D">
        <w:rPr>
          <w:iCs/>
        </w:rPr>
        <w:t xml:space="preserve"> </w:t>
      </w:r>
      <w:r w:rsidRPr="0058047D">
        <w:rPr>
          <w:iCs/>
        </w:rPr>
        <w:t xml:space="preserve">I prezzi e le condizioni di fatturazione per tutti i Servizi di Windows Azure saranno disciplinati da un contratto specifico tra la società e il relativo rivenditore. </w:t>
      </w:r>
      <w:r w:rsidRPr="0058047D">
        <w:t>Microsoft potrà ribassare i prezzi per i singoli Servizi di Windows Azure durante il periodo di validità dell</w:t>
      </w:r>
      <w:r w:rsidR="001C4212">
        <w:t>’</w:t>
      </w:r>
      <w:r w:rsidRPr="0058047D">
        <w:t>iscrizione di</w:t>
      </w:r>
      <w:r w:rsidR="00856C12">
        <w:t> </w:t>
      </w:r>
      <w:r w:rsidRPr="0058047D">
        <w:t>una società e potrà concedere i prezzi inferiori al rivenditore della società durante il periodo in cui sono in vigore. Microsoft comunicherà al rivenditore della società eventuali variazioni di questo tipo. La società e il rivenditore stabiliranno il prezzo effettivo e l</w:t>
      </w:r>
      <w:r w:rsidR="001C4212">
        <w:t>’</w:t>
      </w:r>
      <w:r w:rsidRPr="0058047D">
        <w:t>applicabilità di qualsiasi variazione di prezzo.</w:t>
      </w:r>
    </w:p>
    <w:p w14:paraId="0EEB3CBA" w14:textId="77777777" w:rsidR="00BD1A6A" w:rsidRPr="0058047D" w:rsidRDefault="00BD1A6A"/>
    <w:p w14:paraId="71856494" w14:textId="77777777" w:rsidR="0067627F" w:rsidRPr="0058047D" w:rsidRDefault="0067627F" w:rsidP="00776E3B"/>
    <w:p w14:paraId="25707B7D" w14:textId="77777777" w:rsidR="00456002" w:rsidRPr="0058047D" w:rsidRDefault="00456002" w:rsidP="00456002">
      <w:pPr>
        <w:pStyle w:val="Heading2"/>
        <w:ind w:left="0"/>
      </w:pPr>
      <w:bookmarkStart w:id="672" w:name="_Toc328145984"/>
      <w:bookmarkStart w:id="673" w:name="_Toc336338215"/>
      <w:bookmarkStart w:id="674" w:name="_Toc371663609"/>
      <w:r w:rsidRPr="0058047D">
        <w:rPr>
          <w:rFonts w:ascii="Tahoma" w:hAnsi="Tahoma" w:cs="Tahoma"/>
        </w:rPr>
        <w:t>Disponibilità internazionale del Servizio Online</w:t>
      </w:r>
      <w:bookmarkEnd w:id="672"/>
      <w:bookmarkEnd w:id="673"/>
      <w:bookmarkEnd w:id="674"/>
      <w:r w:rsidRPr="0058047D">
        <w:rPr>
          <w:rFonts w:ascii="Tahoma" w:hAnsi="Tahoma" w:cs="Tahoma"/>
        </w:rPr>
        <w:t xml:space="preserve"> </w:t>
      </w:r>
    </w:p>
    <w:p w14:paraId="673E3410" w14:textId="77777777" w:rsidR="00456002" w:rsidRPr="0058047D" w:rsidRDefault="00456002" w:rsidP="00DF28F2">
      <w:pPr>
        <w:outlineLvl w:val="2"/>
      </w:pPr>
    </w:p>
    <w:p w14:paraId="586038DB" w14:textId="77777777" w:rsidR="0067627F" w:rsidRPr="0058047D" w:rsidRDefault="00456002" w:rsidP="0067627F">
      <w:pPr>
        <w:outlineLvl w:val="2"/>
      </w:pPr>
      <w:r w:rsidRPr="0058047D">
        <w:rPr>
          <w:rFonts w:cs="Tahoma"/>
          <w:szCs w:val="18"/>
        </w:rPr>
        <w:t xml:space="preserve">Per un elenco dei Paesi in cui sono disponibili i Servizi Online, visitare la pagina </w:t>
      </w:r>
      <w:hyperlink r:id="rId22" w:anchor="international" w:history="1">
        <w:r w:rsidR="00856C12">
          <w:rPr>
            <w:rStyle w:val="Hyperlink"/>
          </w:rPr>
          <w:t>http://www.microsoft.com/online/faq.aspx#international</w:t>
        </w:r>
      </w:hyperlink>
      <w:r w:rsidRPr="0058047D">
        <w:rPr>
          <w:color w:val="000000"/>
        </w:rPr>
        <w:t>.</w:t>
      </w:r>
      <w:r w:rsidR="00E34ED3" w:rsidRPr="0058047D">
        <w:rPr>
          <w:color w:val="000000"/>
        </w:rPr>
        <w:t xml:space="preserve"> </w:t>
      </w:r>
    </w:p>
    <w:p w14:paraId="7E720ABD" w14:textId="77777777" w:rsidR="0067627F" w:rsidRDefault="0067627F" w:rsidP="0067627F">
      <w:pPr>
        <w:outlineLvl w:val="2"/>
      </w:pPr>
    </w:p>
    <w:p w14:paraId="7812E50D" w14:textId="77777777" w:rsidR="00856C12" w:rsidRDefault="00856C12" w:rsidP="0067627F">
      <w:pPr>
        <w:outlineLvl w:val="2"/>
      </w:pPr>
    </w:p>
    <w:p w14:paraId="07EA0F40" w14:textId="77777777" w:rsidR="00856C12" w:rsidRDefault="00856C12" w:rsidP="0067627F">
      <w:pPr>
        <w:outlineLvl w:val="2"/>
      </w:pPr>
    </w:p>
    <w:p w14:paraId="3957B08A" w14:textId="77777777" w:rsidR="00856C12" w:rsidRPr="0058047D" w:rsidRDefault="00856C12" w:rsidP="0067627F">
      <w:pPr>
        <w:outlineLvl w:val="2"/>
      </w:pPr>
    </w:p>
    <w:p w14:paraId="741C7100" w14:textId="77777777" w:rsidR="00456002" w:rsidRPr="0058047D" w:rsidRDefault="00456002" w:rsidP="00456002">
      <w:pPr>
        <w:pStyle w:val="Heading2"/>
        <w:ind w:left="0"/>
      </w:pPr>
      <w:bookmarkStart w:id="675" w:name="_Toc328145985"/>
      <w:bookmarkStart w:id="676" w:name="_Toc336338216"/>
      <w:bookmarkStart w:id="677" w:name="_Toc371663610"/>
      <w:r w:rsidRPr="0058047D">
        <w:rPr>
          <w:rFonts w:ascii="Tahoma" w:hAnsi="Tahoma" w:cs="Tahoma"/>
        </w:rPr>
        <w:t>Condizioni Aggiuntive per i Servizi Online</w:t>
      </w:r>
      <w:bookmarkEnd w:id="675"/>
      <w:bookmarkEnd w:id="676"/>
      <w:bookmarkEnd w:id="677"/>
    </w:p>
    <w:p w14:paraId="02280929" w14:textId="77777777" w:rsidR="00456002" w:rsidRPr="0058047D" w:rsidRDefault="00456002" w:rsidP="00DF28F2">
      <w:pPr>
        <w:outlineLvl w:val="2"/>
      </w:pPr>
    </w:p>
    <w:p w14:paraId="54F41C9F" w14:textId="77777777" w:rsidR="00456002" w:rsidRPr="0058047D" w:rsidRDefault="00456002" w:rsidP="00CF3FEE">
      <w:r w:rsidRPr="0058047D">
        <w:t>La presente Lista dei Prodotti potrà contenere informazioni aggiuntive su prodotti specifici.</w:t>
      </w:r>
      <w:r w:rsidR="00E34ED3" w:rsidRPr="0058047D">
        <w:t xml:space="preserve"> </w:t>
      </w:r>
      <w:r w:rsidRPr="0058047D">
        <w:t>Per ulteriori dettagli, fare riferimento alle sezioni relative ai prodotti del presente documento.</w:t>
      </w:r>
    </w:p>
    <w:p w14:paraId="33FAD87B" w14:textId="77777777" w:rsidR="00456002" w:rsidRPr="0058047D" w:rsidRDefault="00456002" w:rsidP="00CF3FEE"/>
    <w:p w14:paraId="394FB390" w14:textId="77777777" w:rsidR="00456002" w:rsidRPr="0058047D" w:rsidRDefault="00456002" w:rsidP="00CF3FEE">
      <w:r w:rsidRPr="0058047D">
        <w:t xml:space="preserve">Il documento Diritti di Utilizzo del Prodotto disponibile alla pagina </w:t>
      </w:r>
      <w:r w:rsidR="00856C12" w:rsidRPr="001409EF">
        <w:t>http://www.microsoftvolumelicensing.com/userights/PUR.aspx</w:t>
      </w:r>
      <w:r w:rsidRPr="0058047D">
        <w:t xml:space="preserve"> contiene altre condizioni generali e specifiche dei prodotti che disciplinano l</w:t>
      </w:r>
      <w:r w:rsidR="001C4212">
        <w:t>’</w:t>
      </w:r>
      <w:r w:rsidRPr="0058047D">
        <w:t>uso dei servizi online.</w:t>
      </w:r>
      <w:r w:rsidR="00E34ED3" w:rsidRPr="0058047D">
        <w:t xml:space="preserve"> </w:t>
      </w:r>
      <w:r w:rsidRPr="0058047D">
        <w:t>I diritti di utilizzo del prodotto relativi ai servizi online sono soggetti a</w:t>
      </w:r>
      <w:r w:rsidR="00856C12">
        <w:t> </w:t>
      </w:r>
      <w:r w:rsidRPr="0058047D">
        <w:t>modifica come illustrato nell</w:t>
      </w:r>
      <w:r w:rsidR="001C4212">
        <w:t>’</w:t>
      </w:r>
      <w:r w:rsidRPr="0058047D">
        <w:t>articolo Servizi Online di tale documento.</w:t>
      </w:r>
    </w:p>
    <w:p w14:paraId="41A85CBA" w14:textId="77777777" w:rsidR="00456002" w:rsidRPr="0058047D" w:rsidRDefault="00456002" w:rsidP="00CF3FEE"/>
    <w:p w14:paraId="72FA14FF" w14:textId="77777777" w:rsidR="00026546" w:rsidRPr="0058047D" w:rsidRDefault="00456002" w:rsidP="005B372B">
      <w:bookmarkStart w:id="678" w:name="_Toc325313160"/>
      <w:r w:rsidRPr="0058047D">
        <w:t>I Prezzi e le Condizioni di Pagamento di cui sopra per i Servizi Online non si applicano ai Servizi Online ottenuti ai sensi del Contratto Microsoft Online Subscription.</w:t>
      </w:r>
      <w:r w:rsidR="00E34ED3" w:rsidRPr="0058047D">
        <w:t xml:space="preserve"> </w:t>
      </w:r>
      <w:r w:rsidRPr="0058047D">
        <w:t>Tutte le condizioni applicabili ai Servizi Online ottenuti ai sensi del Contratto Microsoft Online Subscription sono contenute nel contratto stesso e sul Portale per i Clienti dei Microsoft Online Services.</w:t>
      </w:r>
      <w:bookmarkEnd w:id="678"/>
    </w:p>
    <w:p w14:paraId="7F047B23" w14:textId="77777777" w:rsidR="00676723" w:rsidRPr="0058047D" w:rsidRDefault="00676723">
      <w:bookmarkStart w:id="679" w:name="_Supplemental_Terms_For"/>
      <w:bookmarkStart w:id="680" w:name="_Toc336338217"/>
      <w:bookmarkEnd w:id="679"/>
      <w:r w:rsidRPr="0058047D">
        <w:br w:type="page"/>
      </w:r>
    </w:p>
    <w:p w14:paraId="69F4DB55" w14:textId="77777777" w:rsidR="00023FE7" w:rsidRPr="0058047D" w:rsidRDefault="00A33112" w:rsidP="00856C12">
      <w:pPr>
        <w:pStyle w:val="Heading1"/>
        <w:spacing w:before="0"/>
      </w:pPr>
      <w:bookmarkStart w:id="681" w:name="_Toc371663611"/>
      <w:r w:rsidRPr="0058047D">
        <w:t>ARTICOLO 6 - Regole per il Rinnovo di</w:t>
      </w:r>
      <w:r w:rsidR="00856C12">
        <w:t> </w:t>
      </w:r>
      <w:r w:rsidRPr="0058047D">
        <w:t>Software Assurance</w:t>
      </w:r>
      <w:bookmarkEnd w:id="680"/>
      <w:bookmarkEnd w:id="681"/>
    </w:p>
    <w:p w14:paraId="718F4230" w14:textId="77777777" w:rsidR="00865A60" w:rsidRPr="00856C12" w:rsidRDefault="00865A60" w:rsidP="00865A60">
      <w:pPr>
        <w:rPr>
          <w:sz w:val="24"/>
          <w:szCs w:val="24"/>
        </w:rPr>
      </w:pPr>
    </w:p>
    <w:p w14:paraId="1FEB2460" w14:textId="77777777" w:rsidR="00171817" w:rsidRPr="0058047D" w:rsidRDefault="00171817" w:rsidP="00171817">
      <w:pPr>
        <w:pStyle w:val="Heading4"/>
        <w:tabs>
          <w:tab w:val="clear" w:pos="720"/>
          <w:tab w:val="num" w:pos="0"/>
        </w:tabs>
        <w:ind w:left="0" w:firstLine="0"/>
      </w:pPr>
      <w:bookmarkStart w:id="682" w:name="_Toc323159745"/>
      <w:bookmarkStart w:id="683" w:name="_Toc336338218"/>
      <w:bookmarkStart w:id="684" w:name="_Toc371663612"/>
      <w:r w:rsidRPr="0058047D">
        <w:rPr>
          <w:rFonts w:ascii="Tahoma" w:hAnsi="Tahoma" w:cs="Tahoma"/>
          <w:sz w:val="24"/>
        </w:rPr>
        <w:t>Licenza Open</w:t>
      </w:r>
      <w:bookmarkEnd w:id="682"/>
      <w:bookmarkEnd w:id="683"/>
      <w:bookmarkEnd w:id="684"/>
    </w:p>
    <w:p w14:paraId="1ADF30F2" w14:textId="77777777" w:rsidR="00171817" w:rsidRPr="0058047D" w:rsidRDefault="00171817" w:rsidP="00865A60">
      <w:pPr>
        <w:pStyle w:val="Heading4"/>
        <w:tabs>
          <w:tab w:val="clear" w:pos="720"/>
          <w:tab w:val="num" w:pos="0"/>
        </w:tabs>
        <w:spacing w:before="0"/>
        <w:ind w:left="0" w:firstLine="0"/>
      </w:pPr>
    </w:p>
    <w:p w14:paraId="7F6584FC" w14:textId="77777777" w:rsidR="00171817" w:rsidRPr="0058047D" w:rsidRDefault="00171817" w:rsidP="005242EC">
      <w:pPr>
        <w:pStyle w:val="StyleHeading22Left138Firstline0"/>
        <w:tabs>
          <w:tab w:val="num" w:pos="0"/>
        </w:tabs>
        <w:ind w:left="0"/>
        <w:jc w:val="left"/>
      </w:pPr>
      <w:r w:rsidRPr="0058047D">
        <w:rPr>
          <w:rFonts w:ascii="Tahoma" w:hAnsi="Tahoma" w:cs="Tahoma"/>
          <w:sz w:val="18"/>
        </w:rPr>
        <w:t>La copertura Software Assurance ordinata in base a un numero di autorizzazione Open License termina alla scadenza di tale numero. Per effettuare il rinnovo della copertura, le società dovranno presentare al rivenditore un ordine di rinnovo di Software Assurance per tutte le copie di tutti i prodotti per i quali desiderano rinnovare la copertura entro i</w:t>
      </w:r>
      <w:r w:rsidR="00856C12">
        <w:rPr>
          <w:rFonts w:ascii="Tahoma" w:hAnsi="Tahoma" w:cs="Tahoma"/>
          <w:sz w:val="18"/>
        </w:rPr>
        <w:t> </w:t>
      </w:r>
      <w:r w:rsidRPr="0058047D">
        <w:rPr>
          <w:rFonts w:ascii="Tahoma" w:hAnsi="Tahoma" w:cs="Tahoma"/>
          <w:sz w:val="18"/>
        </w:rPr>
        <w:t>90 giorni successivi alla data di scadenza del numero di autorizzazione. Le società potranno ordinare Software Assurance senza dovere contemporaneamente ordinare una Licenza a condizione che la copertura Software Assurance venga rinnovata nella modalità indicata sopra. La nuova copertura Software Assurance inizierà alla data di</w:t>
      </w:r>
      <w:r w:rsidR="00856C12">
        <w:rPr>
          <w:rFonts w:ascii="Tahoma" w:hAnsi="Tahoma" w:cs="Tahoma"/>
          <w:sz w:val="18"/>
        </w:rPr>
        <w:t> </w:t>
      </w:r>
      <w:r w:rsidRPr="0058047D">
        <w:rPr>
          <w:rFonts w:ascii="Tahoma" w:hAnsi="Tahoma" w:cs="Tahoma"/>
          <w:sz w:val="18"/>
        </w:rPr>
        <w:t>entrata in vigore del nuovo numero di autorizzazione.</w:t>
      </w:r>
    </w:p>
    <w:p w14:paraId="74ABA5EA" w14:textId="77777777" w:rsidR="00865A60" w:rsidRPr="0058047D" w:rsidRDefault="00865A60" w:rsidP="005242EC">
      <w:pPr>
        <w:pStyle w:val="AppendIndentSub"/>
        <w:ind w:left="0"/>
      </w:pPr>
    </w:p>
    <w:p w14:paraId="7808F146" w14:textId="77777777" w:rsidR="00171817" w:rsidRPr="0058047D" w:rsidRDefault="00171817" w:rsidP="002171C3">
      <w:pPr>
        <w:pStyle w:val="Heading4"/>
        <w:ind w:left="360"/>
      </w:pPr>
      <w:bookmarkStart w:id="685" w:name="_Toc336338219"/>
      <w:bookmarkStart w:id="686" w:name="_Toc371663613"/>
      <w:r w:rsidRPr="0058047D">
        <w:rPr>
          <w:rFonts w:ascii="Tahoma" w:hAnsi="Tahoma" w:cs="Tahoma"/>
          <w:sz w:val="24"/>
        </w:rPr>
        <w:t>Open Value 20xx</w:t>
      </w:r>
      <w:bookmarkEnd w:id="685"/>
      <w:bookmarkEnd w:id="686"/>
    </w:p>
    <w:p w14:paraId="0A1D0098" w14:textId="77777777" w:rsidR="00171817" w:rsidRPr="0058047D" w:rsidRDefault="00171817" w:rsidP="00171817">
      <w:pPr>
        <w:tabs>
          <w:tab w:val="num" w:pos="0"/>
        </w:tabs>
      </w:pPr>
    </w:p>
    <w:p w14:paraId="15AC8BEE" w14:textId="77777777" w:rsidR="00171817" w:rsidRPr="0058047D" w:rsidRDefault="00171817" w:rsidP="005242EC">
      <w:pPr>
        <w:keepNext/>
        <w:tabs>
          <w:tab w:val="num" w:pos="720"/>
        </w:tabs>
        <w:spacing w:after="60"/>
        <w:ind w:left="360" w:hanging="360"/>
        <w:outlineLvl w:val="3"/>
      </w:pPr>
      <w:r w:rsidRPr="0058047D">
        <w:rPr>
          <w:b/>
          <w:szCs w:val="20"/>
        </w:rPr>
        <w:t xml:space="preserve">Rinnovo della Copertura ai sensi del Medesimo Contratto </w:t>
      </w:r>
    </w:p>
    <w:p w14:paraId="1780F298" w14:textId="77777777" w:rsidR="00171817" w:rsidRPr="0058047D" w:rsidRDefault="00171817" w:rsidP="00171817">
      <w:pPr>
        <w:tabs>
          <w:tab w:val="num" w:pos="0"/>
        </w:tabs>
      </w:pPr>
      <w:r w:rsidRPr="0058047D">
        <w:rPr>
          <w:rFonts w:cs="Tahoma"/>
          <w:szCs w:val="20"/>
        </w:rPr>
        <w:t>La copertura Software Assurance ordinata ai sensi di un contratto Open Value terminerà alla scadenza o alla risoluzione di tale contratto. Le società riceveranno una comunicazione scritta delle opzioni di rinnovo 60 giorni prima della scadenza del contratto. Le società potranno scegliere di rinnovare il loro contratto per i successivi 36 mesi solari completi. Per rinnovare la copertura Software Assurance, le società dovranno presentare un ordine di rinnovo prima della scadenza del periodo di validità precedente.</w:t>
      </w:r>
      <w:r w:rsidR="00E34ED3" w:rsidRPr="0058047D">
        <w:rPr>
          <w:rFonts w:cs="Tahoma"/>
          <w:szCs w:val="20"/>
        </w:rPr>
        <w:t xml:space="preserve"> </w:t>
      </w:r>
      <w:r w:rsidRPr="0058047D">
        <w:rPr>
          <w:rFonts w:cs="Tahoma"/>
          <w:szCs w:val="20"/>
        </w:rPr>
        <w:t>Qualora una società abbia scelto l</w:t>
      </w:r>
      <w:r w:rsidR="001C4212">
        <w:rPr>
          <w:rFonts w:cs="Tahoma"/>
          <w:szCs w:val="20"/>
        </w:rPr>
        <w:t>’</w:t>
      </w:r>
      <w:r w:rsidRPr="0058047D">
        <w:rPr>
          <w:rFonts w:cs="Tahoma"/>
          <w:szCs w:val="20"/>
        </w:rPr>
        <w:t>opzione a livello aziendale, tale società dovrà ordinare Software Assurance per tutte le copie dei prodotti per le quali desidera questo tipo di opzione. Qualora una società non abbia scelto l</w:t>
      </w:r>
      <w:r w:rsidR="001C4212">
        <w:rPr>
          <w:rFonts w:cs="Tahoma"/>
          <w:szCs w:val="20"/>
        </w:rPr>
        <w:t>’</w:t>
      </w:r>
      <w:r w:rsidRPr="0058047D">
        <w:rPr>
          <w:rFonts w:cs="Tahoma"/>
          <w:szCs w:val="20"/>
        </w:rPr>
        <w:t>opzione a livello aziendale, tale società potrà rinnovare la copertura per qualsiasi numero di licenze a cui ha effettuato in precedenza l</w:t>
      </w:r>
      <w:r w:rsidR="001C4212">
        <w:rPr>
          <w:rFonts w:cs="Tahoma"/>
          <w:szCs w:val="20"/>
        </w:rPr>
        <w:t>’</w:t>
      </w:r>
      <w:r w:rsidRPr="0058047D">
        <w:rPr>
          <w:rFonts w:cs="Tahoma"/>
          <w:szCs w:val="20"/>
        </w:rPr>
        <w:t xml:space="preserve">iscrizione. Ciascun periodo di rinnovo avrà inizio il giorno successivo alla scadenza del precedente periodo di validità. Le società potranno ordinare Software Assurance senza dovere contemporaneamente ordinare una Licenza a condizione che la copertura Software Assurance venga rinnovata nella modalità indicata sopra. </w:t>
      </w:r>
    </w:p>
    <w:p w14:paraId="48E76F7C" w14:textId="77777777" w:rsidR="00171817" w:rsidRPr="0058047D" w:rsidRDefault="00171817" w:rsidP="00171817">
      <w:pPr>
        <w:tabs>
          <w:tab w:val="num" w:pos="0"/>
        </w:tabs>
      </w:pPr>
    </w:p>
    <w:p w14:paraId="71ACBFB6" w14:textId="77777777" w:rsidR="00171817" w:rsidRPr="0058047D" w:rsidRDefault="00171817" w:rsidP="005242EC">
      <w:pPr>
        <w:keepNext/>
        <w:tabs>
          <w:tab w:val="num" w:pos="720"/>
        </w:tabs>
        <w:spacing w:after="60"/>
        <w:ind w:left="360" w:hanging="360"/>
        <w:outlineLvl w:val="3"/>
      </w:pPr>
      <w:r w:rsidRPr="0058047D">
        <w:rPr>
          <w:b/>
          <w:szCs w:val="20"/>
        </w:rPr>
        <w:t>Rinnovo della Copertura con un Contratto Separato</w:t>
      </w:r>
    </w:p>
    <w:p w14:paraId="0B4396E4" w14:textId="77777777" w:rsidR="00171817" w:rsidRPr="0058047D" w:rsidRDefault="00171817" w:rsidP="00865A60">
      <w:pPr>
        <w:tabs>
          <w:tab w:val="num" w:pos="0"/>
        </w:tabs>
      </w:pPr>
      <w:r w:rsidRPr="0058047D">
        <w:rPr>
          <w:rFonts w:cs="Tahoma"/>
          <w:szCs w:val="20"/>
        </w:rPr>
        <w:t>La società potrà rinnovare Software Assurance per qualsiasi prodotto senza dovere ordinare contemporaneamente una Licenza nel caso in cui abbia ottenuto una licenza perpetua e Software Assurance per quel prodotto ai sensi di un</w:t>
      </w:r>
      <w:r w:rsidR="00856C12">
        <w:rPr>
          <w:rFonts w:cs="Tahoma"/>
          <w:szCs w:val="20"/>
        </w:rPr>
        <w:t> </w:t>
      </w:r>
      <w:r w:rsidRPr="0058047D">
        <w:rPr>
          <w:rFonts w:cs="Tahoma"/>
          <w:szCs w:val="20"/>
        </w:rPr>
        <w:t>contratto precedente e il nuovo contratto della società entri in vigore non oltre il giorno successivo alla data di scadenza del contratto precedente.</w:t>
      </w:r>
      <w:r w:rsidR="00E34ED3" w:rsidRPr="0058047D">
        <w:rPr>
          <w:rFonts w:cs="Tahoma"/>
          <w:szCs w:val="20"/>
        </w:rPr>
        <w:t xml:space="preserve"> </w:t>
      </w:r>
      <w:r w:rsidRPr="0058047D">
        <w:rPr>
          <w:rFonts w:cs="Tahoma"/>
          <w:szCs w:val="20"/>
        </w:rPr>
        <w:t>L</w:t>
      </w:r>
      <w:r w:rsidR="001C4212">
        <w:rPr>
          <w:rFonts w:cs="Tahoma"/>
          <w:szCs w:val="20"/>
        </w:rPr>
        <w:t>’</w:t>
      </w:r>
      <w:r w:rsidRPr="0058047D">
        <w:rPr>
          <w:rFonts w:cs="Tahoma"/>
          <w:szCs w:val="20"/>
        </w:rPr>
        <w:t>ordine di rinnovo di Software Assurance dovrà essere effettuato prima della scadenza della copertura Software Assurance ai sensi di un contratto precedente, ad eccezione del Contratto Open License. In tal caso le società potranno inviare l</w:t>
      </w:r>
      <w:r w:rsidR="001C4212">
        <w:rPr>
          <w:rFonts w:cs="Tahoma"/>
          <w:szCs w:val="20"/>
        </w:rPr>
        <w:t>’</w:t>
      </w:r>
      <w:r w:rsidRPr="0058047D">
        <w:rPr>
          <w:rFonts w:cs="Tahoma"/>
          <w:szCs w:val="20"/>
        </w:rPr>
        <w:t xml:space="preserve">ordine fino a 90 giorni dopo la data di scadenza. </w:t>
      </w:r>
    </w:p>
    <w:p w14:paraId="3B00605A" w14:textId="77777777" w:rsidR="00865A60" w:rsidRPr="0058047D" w:rsidRDefault="00865A60" w:rsidP="005242EC">
      <w:pPr>
        <w:tabs>
          <w:tab w:val="num" w:pos="0"/>
        </w:tabs>
      </w:pPr>
    </w:p>
    <w:p w14:paraId="187D2707" w14:textId="77777777" w:rsidR="00171817" w:rsidRPr="0058047D" w:rsidRDefault="00171817" w:rsidP="002171C3">
      <w:pPr>
        <w:pStyle w:val="Heading4"/>
        <w:ind w:left="360"/>
      </w:pPr>
      <w:bookmarkStart w:id="687" w:name="_Toc323159746"/>
      <w:bookmarkStart w:id="688" w:name="_Toc336338220"/>
      <w:bookmarkStart w:id="689" w:name="_Toc371663614"/>
      <w:r w:rsidRPr="0058047D">
        <w:rPr>
          <w:rFonts w:ascii="Tahoma" w:hAnsi="Tahoma" w:cs="Tahoma"/>
          <w:sz w:val="24"/>
        </w:rPr>
        <w:t>Select 20xx</w:t>
      </w:r>
      <w:bookmarkEnd w:id="687"/>
      <w:bookmarkEnd w:id="688"/>
      <w:bookmarkEnd w:id="689"/>
    </w:p>
    <w:p w14:paraId="144EF237" w14:textId="77777777" w:rsidR="00171817" w:rsidRPr="0058047D" w:rsidRDefault="00171817" w:rsidP="00171817">
      <w:pPr>
        <w:tabs>
          <w:tab w:val="num" w:pos="0"/>
        </w:tabs>
      </w:pPr>
    </w:p>
    <w:p w14:paraId="33AEE413" w14:textId="77777777" w:rsidR="00171817" w:rsidRPr="0058047D" w:rsidRDefault="00171817" w:rsidP="005242EC">
      <w:pPr>
        <w:pStyle w:val="Heading4"/>
        <w:spacing w:before="0" w:after="60"/>
        <w:ind w:left="360"/>
      </w:pPr>
      <w:bookmarkStart w:id="690" w:name="_Toc323159747"/>
      <w:bookmarkStart w:id="691" w:name="_Toc328145990"/>
      <w:bookmarkStart w:id="692" w:name="_Toc336338221"/>
      <w:bookmarkStart w:id="693" w:name="_Toc371663615"/>
      <w:r w:rsidRPr="0058047D">
        <w:rPr>
          <w:rFonts w:ascii="Tahoma" w:hAnsi="Tahoma"/>
          <w:sz w:val="18"/>
        </w:rPr>
        <w:t>Rinnovo della Copertura ai sensi del Medesimo Contratto</w:t>
      </w:r>
      <w:bookmarkEnd w:id="690"/>
      <w:bookmarkEnd w:id="691"/>
      <w:bookmarkEnd w:id="692"/>
      <w:bookmarkEnd w:id="693"/>
      <w:r w:rsidRPr="0058047D">
        <w:rPr>
          <w:rFonts w:ascii="Tahoma" w:hAnsi="Tahoma"/>
          <w:sz w:val="18"/>
        </w:rPr>
        <w:t xml:space="preserve"> </w:t>
      </w:r>
    </w:p>
    <w:p w14:paraId="57707A4D" w14:textId="77777777" w:rsidR="00171817" w:rsidRPr="0058047D" w:rsidRDefault="00171817" w:rsidP="00171817">
      <w:pPr>
        <w:pStyle w:val="styleheading22left138firstline00"/>
        <w:tabs>
          <w:tab w:val="num" w:pos="0"/>
        </w:tabs>
        <w:snapToGrid w:val="0"/>
        <w:ind w:left="0"/>
        <w:jc w:val="left"/>
      </w:pPr>
      <w:r w:rsidRPr="0058047D">
        <w:rPr>
          <w:rFonts w:ascii="Tahoma" w:hAnsi="Tahoma" w:cs="Tahoma"/>
          <w:sz w:val="18"/>
        </w:rPr>
        <w:t>La copertura Software Assurance ordinata in base alle iscrizioni ai sensi di un contratto Select terminerà alla scadenza o alla risoluzione del contratto stesso oppure alla scadenza dell</w:t>
      </w:r>
      <w:r w:rsidR="001C4212">
        <w:rPr>
          <w:rFonts w:ascii="Tahoma" w:hAnsi="Tahoma" w:cs="Tahoma"/>
          <w:sz w:val="18"/>
        </w:rPr>
        <w:t>’</w:t>
      </w:r>
      <w:r w:rsidRPr="0058047D">
        <w:rPr>
          <w:rFonts w:ascii="Tahoma" w:hAnsi="Tahoma" w:cs="Tahoma"/>
          <w:sz w:val="18"/>
        </w:rPr>
        <w:t>iscrizione applicabile, se precedente. Le società riceveranno una comunicazione scritta delle opzioni di rinnovo 60 giorni prima della scadenza del loro contratto. Le società potranno scegliere di rinnovare il loro contratto per i successivi 12 o 36 mesi solari completi. Per rinnovare la copertura Software Assurance per tutte le copie a cui è stata effettuata in precedenza l</w:t>
      </w:r>
      <w:r w:rsidR="001C4212">
        <w:rPr>
          <w:rFonts w:ascii="Tahoma" w:hAnsi="Tahoma" w:cs="Tahoma"/>
          <w:sz w:val="18"/>
        </w:rPr>
        <w:t>’</w:t>
      </w:r>
      <w:r w:rsidRPr="0058047D">
        <w:rPr>
          <w:rFonts w:ascii="Tahoma" w:hAnsi="Tahoma" w:cs="Tahoma"/>
          <w:sz w:val="18"/>
        </w:rPr>
        <w:t>iscrizione, una società dovrà presentare un ordine di rinnovo a Microsoft tramite il proprio rivenditore prima della scadenza del precedente periodo di validità. Gli ordini di rinnovo dovranno coprire l</w:t>
      </w:r>
      <w:r w:rsidR="001C4212">
        <w:rPr>
          <w:rFonts w:ascii="Tahoma" w:hAnsi="Tahoma" w:cs="Tahoma"/>
          <w:sz w:val="18"/>
        </w:rPr>
        <w:t>’</w:t>
      </w:r>
      <w:r w:rsidRPr="0058047D">
        <w:rPr>
          <w:rFonts w:ascii="Tahoma" w:hAnsi="Tahoma" w:cs="Tahoma"/>
          <w:sz w:val="18"/>
        </w:rPr>
        <w:t xml:space="preserve">intero periodo di validità. Ciascun periodo di rinnovo avrà inizio il giorno successivo alla scadenza del precedente periodo di validità. </w:t>
      </w:r>
    </w:p>
    <w:p w14:paraId="1110CE2B" w14:textId="77777777" w:rsidR="00973A93" w:rsidRDefault="00973A93">
      <w:bookmarkStart w:id="694" w:name="_Toc323159748"/>
      <w:bookmarkStart w:id="695" w:name="_Toc336338222"/>
    </w:p>
    <w:p w14:paraId="4CC1F434" w14:textId="77777777" w:rsidR="00856C12" w:rsidRDefault="00856C12"/>
    <w:p w14:paraId="47C24BA7" w14:textId="77777777" w:rsidR="00856C12" w:rsidRDefault="00856C12"/>
    <w:p w14:paraId="03DD1A91" w14:textId="77777777" w:rsidR="00856C12" w:rsidRDefault="00856C12"/>
    <w:p w14:paraId="5450D86F" w14:textId="77777777" w:rsidR="00856C12" w:rsidRPr="0058047D" w:rsidRDefault="00856C12"/>
    <w:p w14:paraId="3C8BF729" w14:textId="77777777" w:rsidR="00171817" w:rsidRPr="0058047D" w:rsidRDefault="00171817" w:rsidP="005242EC">
      <w:pPr>
        <w:pStyle w:val="Heading4"/>
        <w:spacing w:before="0" w:after="60"/>
        <w:ind w:left="360"/>
      </w:pPr>
      <w:bookmarkStart w:id="696" w:name="_Toc371663616"/>
      <w:r w:rsidRPr="0058047D">
        <w:rPr>
          <w:rFonts w:ascii="Tahoma" w:hAnsi="Tahoma"/>
          <w:sz w:val="18"/>
        </w:rPr>
        <w:t>Rinnovo della Copertura con un Contratto Separato</w:t>
      </w:r>
      <w:bookmarkEnd w:id="694"/>
      <w:bookmarkEnd w:id="695"/>
      <w:bookmarkEnd w:id="696"/>
    </w:p>
    <w:p w14:paraId="6095BBC1" w14:textId="77777777" w:rsidR="00171817" w:rsidRPr="0058047D" w:rsidRDefault="00171817" w:rsidP="0063466C">
      <w:pPr>
        <w:pStyle w:val="styleheading22left138firstline00"/>
        <w:tabs>
          <w:tab w:val="num" w:pos="0"/>
        </w:tabs>
        <w:snapToGrid w:val="0"/>
        <w:ind w:left="0"/>
        <w:jc w:val="left"/>
      </w:pPr>
      <w:r w:rsidRPr="0058047D">
        <w:rPr>
          <w:rFonts w:ascii="Tahoma" w:hAnsi="Tahoma" w:cs="Tahoma"/>
          <w:sz w:val="18"/>
        </w:rPr>
        <w:t>Le società potranno ordinare Software Assurance senza dovere contemporaneamente ordinare una Licenza per le copie di prodotti per le quali hanno in precedenza ottenuto licenze perpetue tramite Software Assurance in altri programmi per Contratti Multilicenza, a condizione che (i) la nuova iscrizione entri in vigore entro il giorno successivo alla data di scadenza di Software Assurance e (ii) la consociata iscritta effettui il suo ordine di Software Assurance nel momento stesso in cui presenta la sua nuova iscrizione a Microsoft tramite il proprio Rivenditore. L</w:t>
      </w:r>
      <w:r w:rsidR="001C4212">
        <w:rPr>
          <w:rFonts w:ascii="Tahoma" w:hAnsi="Tahoma" w:cs="Tahoma"/>
          <w:sz w:val="18"/>
        </w:rPr>
        <w:t>’</w:t>
      </w:r>
      <w:r w:rsidRPr="0058047D">
        <w:rPr>
          <w:rFonts w:ascii="Tahoma" w:hAnsi="Tahoma" w:cs="Tahoma"/>
          <w:sz w:val="18"/>
        </w:rPr>
        <w:t>ordine di rinnovo di Software Assurance dovrà essere effettuato prima della scadenza della copertura ai sensi del contratto precedente, ad eccezione del Contratto Open License. In tal caso le società potranno inviare l</w:t>
      </w:r>
      <w:r w:rsidR="001C4212">
        <w:rPr>
          <w:rFonts w:ascii="Tahoma" w:hAnsi="Tahoma" w:cs="Tahoma"/>
          <w:sz w:val="18"/>
        </w:rPr>
        <w:t>’</w:t>
      </w:r>
      <w:r w:rsidRPr="0058047D">
        <w:rPr>
          <w:rFonts w:ascii="Tahoma" w:hAnsi="Tahoma" w:cs="Tahoma"/>
          <w:sz w:val="18"/>
        </w:rPr>
        <w:t>ordine fino a 90 giorni dopo la data di scadenza.</w:t>
      </w:r>
    </w:p>
    <w:p w14:paraId="6B50CF79" w14:textId="77777777" w:rsidR="00865A60" w:rsidRPr="0058047D" w:rsidRDefault="00865A60" w:rsidP="0063466C">
      <w:pPr>
        <w:outlineLvl w:val="2"/>
      </w:pPr>
    </w:p>
    <w:p w14:paraId="16345889" w14:textId="77777777" w:rsidR="00171817" w:rsidRPr="0058047D" w:rsidRDefault="00171817" w:rsidP="002171C3">
      <w:pPr>
        <w:pStyle w:val="Heading4"/>
        <w:ind w:left="360"/>
      </w:pPr>
      <w:bookmarkStart w:id="697" w:name="_Toc336338223"/>
      <w:bookmarkStart w:id="698" w:name="_Toc371663617"/>
      <w:r w:rsidRPr="0058047D">
        <w:rPr>
          <w:rFonts w:ascii="Tahoma" w:hAnsi="Tahoma" w:cs="Tahoma"/>
          <w:sz w:val="24"/>
        </w:rPr>
        <w:t>Select Plus 20xx</w:t>
      </w:r>
      <w:bookmarkEnd w:id="697"/>
      <w:bookmarkEnd w:id="698"/>
    </w:p>
    <w:p w14:paraId="713531BE" w14:textId="77777777" w:rsidR="00171817" w:rsidRPr="0058047D" w:rsidRDefault="00171817" w:rsidP="00171817"/>
    <w:p w14:paraId="20C24C26" w14:textId="77777777" w:rsidR="00171817" w:rsidRPr="0058047D" w:rsidRDefault="00171817" w:rsidP="0063466C">
      <w:pPr>
        <w:spacing w:after="60"/>
      </w:pPr>
      <w:r w:rsidRPr="0058047D">
        <w:rPr>
          <w:b/>
          <w:bCs/>
        </w:rPr>
        <w:t xml:space="preserve">Rinnovo della Copertura ai sensi del Medesimo Contratto </w:t>
      </w:r>
    </w:p>
    <w:p w14:paraId="58F006AD" w14:textId="77777777" w:rsidR="00171817" w:rsidRPr="0058047D" w:rsidRDefault="00171817" w:rsidP="00171817">
      <w:r w:rsidRPr="0058047D">
        <w:rPr>
          <w:iCs/>
        </w:rPr>
        <w:t>A partire dal 1 marzo 2011, la copertura iniziale</w:t>
      </w:r>
      <w:r w:rsidRPr="0058047D">
        <w:rPr>
          <w:i/>
          <w:iCs/>
        </w:rPr>
        <w:t xml:space="preserve"> </w:t>
      </w:r>
      <w:r w:rsidRPr="0058047D">
        <w:t>Software Assurance (nuova o rinnovata) ai sensi di una registrazione Select Plus terminerà dopo 24 mesi più il numero di mesi che va dalla data di inizio della copertura Software Assurance alla successiva “ricorrenza della consociata” (si tratta di un mese definito dalla società in cui verranno prese le decisioni annuali in merito ai rinnovi). Le società e i Partner riceveranno una comunicazione scritta delle opzioni di rinnovo prima della scadenza della copertura Software Assurance. Per rinnovare la copertura Software Assurance per tutte le copie ordinate in precedenza, una società dovrà presentare un ordine di rinnovo a Microsoft tramite il proprio rivenditore prima della scadenza del precedente periodo di validità della copertura Software Assurance. Gli ordini di rinnovo dovranno coprire l</w:t>
      </w:r>
      <w:r w:rsidR="001C4212">
        <w:t>’</w:t>
      </w:r>
      <w:r w:rsidRPr="0058047D">
        <w:t xml:space="preserve">intero periodo di validità di 36 mesi. Ciascun periodo di rinnovo avrà inizio il giorno successivo alla scadenza del precedente periodo di validità. </w:t>
      </w:r>
    </w:p>
    <w:p w14:paraId="0B3CEF85" w14:textId="77777777" w:rsidR="00171817" w:rsidRPr="0058047D" w:rsidRDefault="00171817" w:rsidP="00171817"/>
    <w:p w14:paraId="3BBD7E89" w14:textId="77777777" w:rsidR="00171817" w:rsidRPr="0058047D" w:rsidRDefault="00171817" w:rsidP="0063466C">
      <w:pPr>
        <w:spacing w:after="60"/>
      </w:pPr>
      <w:r w:rsidRPr="0058047D">
        <w:rPr>
          <w:b/>
          <w:bCs/>
        </w:rPr>
        <w:t>Rinnovo della Copertura con un Contratto Separato</w:t>
      </w:r>
    </w:p>
    <w:p w14:paraId="6FAC109A" w14:textId="77777777" w:rsidR="00171817" w:rsidRPr="0058047D" w:rsidRDefault="00171817" w:rsidP="0063466C">
      <w:r w:rsidRPr="0058047D">
        <w:t>Le società potranno ordinare Software Assurance senza dovere contemporaneamente ordinare una Licenza per le copie di prodotti per le quali abbiano in precedenza ottenuto licenze perpetue tramite Software Assurance in altri Programmi per i Contratti Multilicenza, a condizione che il nuovo ordine diventi effettivo entro il giorno successivo alla</w:t>
      </w:r>
      <w:r w:rsidR="00856C12">
        <w:t> </w:t>
      </w:r>
      <w:r w:rsidRPr="0058047D">
        <w:t>data di scadenza di Software Assurance. L</w:t>
      </w:r>
      <w:r w:rsidR="001C4212">
        <w:t>’</w:t>
      </w:r>
      <w:r w:rsidRPr="0058047D">
        <w:t>ordine di rinnovo di Software Assurance dovrà essere effettuato prima della scadenza della copertura ai sensi del contratto precedente, ad eccezione del Contratto Open License. In tal caso</w:t>
      </w:r>
      <w:r w:rsidR="00856C12">
        <w:t> </w:t>
      </w:r>
      <w:r w:rsidRPr="0058047D">
        <w:t>le società potranno inviare l</w:t>
      </w:r>
      <w:r w:rsidR="001C4212">
        <w:t>’</w:t>
      </w:r>
      <w:r w:rsidRPr="0058047D">
        <w:t>ordine fino a 90 giorni dopo la data di scadenza.</w:t>
      </w:r>
    </w:p>
    <w:p w14:paraId="3705E50C" w14:textId="77777777" w:rsidR="00865A60" w:rsidRPr="0058047D" w:rsidRDefault="00865A60" w:rsidP="00865A60">
      <w:pPr>
        <w:tabs>
          <w:tab w:val="num" w:pos="0"/>
        </w:tabs>
      </w:pPr>
    </w:p>
    <w:p w14:paraId="7830D5FF" w14:textId="77777777" w:rsidR="00171817" w:rsidRPr="0058047D" w:rsidRDefault="00171817" w:rsidP="002171C3">
      <w:pPr>
        <w:pStyle w:val="Heading4"/>
        <w:ind w:hanging="720"/>
      </w:pPr>
      <w:bookmarkStart w:id="699" w:name="_Toc336338224"/>
      <w:bookmarkStart w:id="700" w:name="_Toc371663618"/>
      <w:r w:rsidRPr="0058047D">
        <w:rPr>
          <w:rFonts w:ascii="Tahoma" w:hAnsi="Tahoma" w:cs="Tahoma"/>
          <w:sz w:val="24"/>
          <w:szCs w:val="22"/>
        </w:rPr>
        <w:t>Contratto Enterprise 2011 e versioni successive</w:t>
      </w:r>
      <w:bookmarkEnd w:id="699"/>
      <w:bookmarkEnd w:id="700"/>
    </w:p>
    <w:p w14:paraId="048E9346" w14:textId="77777777" w:rsidR="00171817" w:rsidRPr="0058047D" w:rsidRDefault="00171817" w:rsidP="00865A60">
      <w:pPr>
        <w:outlineLvl w:val="2"/>
      </w:pPr>
    </w:p>
    <w:p w14:paraId="6CB48CD0" w14:textId="77777777" w:rsidR="00171817" w:rsidRPr="0058047D" w:rsidRDefault="00171817" w:rsidP="0063466C">
      <w:pPr>
        <w:keepNext/>
        <w:tabs>
          <w:tab w:val="num" w:pos="720"/>
        </w:tabs>
        <w:spacing w:after="60"/>
        <w:ind w:left="360" w:hanging="360"/>
        <w:outlineLvl w:val="3"/>
      </w:pPr>
      <w:r w:rsidRPr="0058047D">
        <w:rPr>
          <w:b/>
          <w:szCs w:val="20"/>
        </w:rPr>
        <w:t>Rinnovo della Copertura ai sensi del Medesimo Contratto</w:t>
      </w:r>
    </w:p>
    <w:p w14:paraId="658B0417" w14:textId="77777777" w:rsidR="00171817" w:rsidRPr="0058047D" w:rsidRDefault="00171817" w:rsidP="00171817">
      <w:pPr>
        <w:tabs>
          <w:tab w:val="num" w:pos="0"/>
        </w:tabs>
      </w:pPr>
      <w:r w:rsidRPr="0058047D">
        <w:rPr>
          <w:rFonts w:cs="Tahoma"/>
          <w:szCs w:val="20"/>
        </w:rPr>
        <w:t>Alla scadenza dell</w:t>
      </w:r>
      <w:r w:rsidR="001C4212">
        <w:rPr>
          <w:rFonts w:cs="Tahoma"/>
          <w:szCs w:val="20"/>
        </w:rPr>
        <w:t>’</w:t>
      </w:r>
      <w:r w:rsidRPr="0058047D">
        <w:rPr>
          <w:rFonts w:cs="Tahoma"/>
          <w:szCs w:val="20"/>
        </w:rPr>
        <w:t>iscrizione la società è idonea al rinnovo dei prezzi del Contratto Enterprise, che si basano solo su Software Assurance. Le società riceveranno una comunicazione scritta delle opzioni di rinnovo prima della scadenza della loro iscrizione. Le società potranno scegliere di rinnovare la loro iscrizione per un periodo di validità successivo di 36 mesi solari completi. Dopo il periodo di rinnovo, per rinnovare la copertura Software Assurance, la società dovrà sottoscrivere una nuova Iscrizione. Per rinnovare la copertura Software Assurance ai sensi della medesima iscrizione, le società dovranno presentare un ordine di rinnovo per Software Assurance (a seconda dei casi) per 1) tutti i prodotti Enterprise, i Prodotti della Piattaforma Applicativa, i Prodotti Core Infrastructure e Prodotti Aggiuntivi per i</w:t>
      </w:r>
      <w:r w:rsidR="00856C12">
        <w:rPr>
          <w:rFonts w:cs="Tahoma"/>
          <w:szCs w:val="20"/>
        </w:rPr>
        <w:t> </w:t>
      </w:r>
      <w:r w:rsidRPr="0058047D">
        <w:rPr>
          <w:rFonts w:cs="Tahoma"/>
          <w:szCs w:val="20"/>
        </w:rPr>
        <w:t>quali desiderano eseguire il rinnovo ed 2) eventuali Servizi Online, che consentono di tenere traccia delle transazioni (se applicabile).</w:t>
      </w:r>
      <w:r w:rsidR="00E34ED3" w:rsidRPr="0058047D">
        <w:rPr>
          <w:rFonts w:cs="Tahoma"/>
          <w:szCs w:val="20"/>
        </w:rPr>
        <w:t xml:space="preserve"> </w:t>
      </w:r>
      <w:r w:rsidRPr="0058047D">
        <w:rPr>
          <w:rFonts w:cs="Tahoma"/>
          <w:szCs w:val="20"/>
        </w:rPr>
        <w:t>Tale ordine dovrà essere presentato prima della scadenza del precedente periodo di validità. Il periodo di rinnovo avrà inizio il giorno successivo alla scadenza del precedente periodo di validità. Per informazioni su</w:t>
      </w:r>
      <w:r w:rsidR="00856C12">
        <w:rPr>
          <w:rFonts w:cs="Tahoma"/>
          <w:szCs w:val="20"/>
        </w:rPr>
        <w:t> </w:t>
      </w:r>
      <w:r w:rsidRPr="0058047D">
        <w:rPr>
          <w:rFonts w:cs="Tahoma"/>
          <w:szCs w:val="20"/>
        </w:rPr>
        <w:t>come rinnovare la copertura Software Assurance ai sensi di una successiva iscrizione, vedere di seguito.</w:t>
      </w:r>
    </w:p>
    <w:p w14:paraId="2128E25D" w14:textId="77777777" w:rsidR="00171817" w:rsidRPr="0058047D" w:rsidRDefault="00171817" w:rsidP="00171817">
      <w:pPr>
        <w:tabs>
          <w:tab w:val="num" w:pos="0"/>
        </w:tabs>
      </w:pPr>
    </w:p>
    <w:p w14:paraId="3880D4DD" w14:textId="77777777" w:rsidR="00171817" w:rsidRPr="0058047D" w:rsidRDefault="00171817" w:rsidP="0063466C">
      <w:pPr>
        <w:keepNext/>
        <w:tabs>
          <w:tab w:val="num" w:pos="720"/>
        </w:tabs>
        <w:spacing w:after="60"/>
        <w:ind w:left="360" w:hanging="360"/>
        <w:outlineLvl w:val="3"/>
      </w:pPr>
      <w:r w:rsidRPr="0058047D">
        <w:rPr>
          <w:b/>
          <w:szCs w:val="20"/>
        </w:rPr>
        <w:t>Rinnovo della Copertura con un Contratto Separato</w:t>
      </w:r>
    </w:p>
    <w:p w14:paraId="4172FC46" w14:textId="77777777" w:rsidR="00171817" w:rsidRPr="0058047D" w:rsidRDefault="00171817" w:rsidP="00171817">
      <w:pPr>
        <w:tabs>
          <w:tab w:val="num" w:pos="0"/>
        </w:tabs>
      </w:pPr>
      <w:r w:rsidRPr="0058047D">
        <w:rPr>
          <w:rFonts w:cs="Tahoma"/>
          <w:color w:val="000000"/>
          <w:szCs w:val="20"/>
        </w:rPr>
        <w:t>La società potrà ordinare Software Assurance per qualsiasi prodotto senza dover contemporaneamente ordinare una Licenza a condizione che abbia ottenuto licenze perpetue per tale prodotto e la copertura Software Assurance sia attiva al momento del rinnovo.</w:t>
      </w:r>
      <w:r w:rsidR="00E34ED3" w:rsidRPr="0058047D">
        <w:rPr>
          <w:rFonts w:cs="Tahoma"/>
          <w:color w:val="000000"/>
          <w:szCs w:val="20"/>
        </w:rPr>
        <w:t xml:space="preserve"> </w:t>
      </w:r>
      <w:r w:rsidRPr="0058047D">
        <w:rPr>
          <w:rFonts w:cs="Tahoma"/>
          <w:color w:val="000000"/>
          <w:szCs w:val="20"/>
        </w:rPr>
        <w:t>Per i Prodotti Aggiuntivi, poiché</w:t>
      </w:r>
      <w:r w:rsidRPr="0058047D">
        <w:rPr>
          <w:rFonts w:cs="Tahoma"/>
          <w:color w:val="000000"/>
          <w:szCs w:val="24"/>
        </w:rPr>
        <w:t xml:space="preserve"> la copertura viene rinnovata da un Contratto Open License, la società potrà inviare l</w:t>
      </w:r>
      <w:r w:rsidR="001C4212">
        <w:rPr>
          <w:rFonts w:cs="Tahoma"/>
          <w:color w:val="000000"/>
          <w:szCs w:val="24"/>
        </w:rPr>
        <w:t>’</w:t>
      </w:r>
      <w:r w:rsidRPr="0058047D">
        <w:rPr>
          <w:rFonts w:cs="Tahoma"/>
          <w:color w:val="000000"/>
          <w:szCs w:val="24"/>
        </w:rPr>
        <w:t>ordine fino a 90 giorni dopo la data di scadenza.</w:t>
      </w:r>
      <w:r w:rsidR="00E34ED3" w:rsidRPr="0058047D">
        <w:rPr>
          <w:rFonts w:cs="Tahoma"/>
          <w:color w:val="000000"/>
          <w:szCs w:val="24"/>
        </w:rPr>
        <w:t xml:space="preserve"> </w:t>
      </w:r>
    </w:p>
    <w:p w14:paraId="7344E909" w14:textId="77777777" w:rsidR="00171817" w:rsidRPr="0058047D" w:rsidRDefault="00171817" w:rsidP="00171817">
      <w:pPr>
        <w:tabs>
          <w:tab w:val="num" w:pos="0"/>
        </w:tabs>
      </w:pPr>
    </w:p>
    <w:p w14:paraId="35ACF5C8" w14:textId="77777777" w:rsidR="00171817" w:rsidRPr="0058047D" w:rsidRDefault="00171817" w:rsidP="0063466C">
      <w:pPr>
        <w:keepNext/>
        <w:tabs>
          <w:tab w:val="num" w:pos="720"/>
        </w:tabs>
        <w:spacing w:after="60"/>
        <w:ind w:left="360" w:hanging="360"/>
        <w:outlineLvl w:val="3"/>
      </w:pPr>
      <w:r w:rsidRPr="0058047D">
        <w:rPr>
          <w:b/>
          <w:szCs w:val="20"/>
        </w:rPr>
        <w:t xml:space="preserve">Enrollment for Application Platform </w:t>
      </w:r>
    </w:p>
    <w:p w14:paraId="475DC8B5" w14:textId="77777777" w:rsidR="00171817" w:rsidRPr="0058047D" w:rsidRDefault="00171817" w:rsidP="00171817">
      <w:pPr>
        <w:tabs>
          <w:tab w:val="num" w:pos="0"/>
        </w:tabs>
      </w:pPr>
      <w:r w:rsidRPr="0058047D">
        <w:rPr>
          <w:rFonts w:cs="Tahoma"/>
          <w:szCs w:val="20"/>
        </w:rPr>
        <w:t>Le società potranno ordinare solo Software Assurance per i prodotti disponibili, senza dover contemporaneamente ordinare una nuova Licenza, come previsto nelle condizioni di iscrizione.</w:t>
      </w:r>
    </w:p>
    <w:p w14:paraId="73E9936E" w14:textId="77777777" w:rsidR="00B215EA" w:rsidRPr="0058047D" w:rsidRDefault="00B215EA" w:rsidP="00171817">
      <w:pPr>
        <w:tabs>
          <w:tab w:val="num" w:pos="0"/>
        </w:tabs>
      </w:pPr>
    </w:p>
    <w:p w14:paraId="62C9CE55" w14:textId="77777777" w:rsidR="00B215EA" w:rsidRPr="0058047D" w:rsidRDefault="00B215EA" w:rsidP="00B215EA">
      <w:pPr>
        <w:keepNext/>
        <w:tabs>
          <w:tab w:val="num" w:pos="720"/>
        </w:tabs>
        <w:spacing w:after="60"/>
        <w:ind w:left="360" w:hanging="360"/>
        <w:outlineLvl w:val="3"/>
      </w:pPr>
      <w:r w:rsidRPr="0058047D">
        <w:rPr>
          <w:b/>
          <w:szCs w:val="20"/>
        </w:rPr>
        <w:t xml:space="preserve">Iscrizione Server and Cloud </w:t>
      </w:r>
    </w:p>
    <w:p w14:paraId="72FD77F4" w14:textId="77777777" w:rsidR="00B215EA" w:rsidRPr="0058047D" w:rsidRDefault="00B215EA" w:rsidP="00B215EA">
      <w:pPr>
        <w:tabs>
          <w:tab w:val="num" w:pos="0"/>
        </w:tabs>
      </w:pPr>
      <w:r w:rsidRPr="0058047D">
        <w:rPr>
          <w:rFonts w:cs="Tahoma"/>
          <w:szCs w:val="20"/>
        </w:rPr>
        <w:t xml:space="preserve">Le società potranno ordinare solo Software Assurance per i prodotti disponibili, senza dover contemporaneamente ordinare una nuova Licenza, come previsto nelle condizioni di iscrizione. </w:t>
      </w:r>
      <w:r w:rsidRPr="0058047D">
        <w:t>Le società in possesso di EAP che hanno in precedenza rimandato l</w:t>
      </w:r>
      <w:r w:rsidR="001C4212">
        <w:t>’</w:t>
      </w:r>
      <w:r w:rsidRPr="0058047D">
        <w:t>acquisto delle Licenze tramite SKU SApriorL dovranno eseguire il buy-out delle loro Licenze prima di poter rinnovare la copertura SA.</w:t>
      </w:r>
    </w:p>
    <w:p w14:paraId="00EFCD1F" w14:textId="77777777" w:rsidR="00B215EA" w:rsidRPr="0058047D" w:rsidRDefault="00B215EA" w:rsidP="00171817">
      <w:pPr>
        <w:tabs>
          <w:tab w:val="num" w:pos="0"/>
        </w:tabs>
      </w:pPr>
    </w:p>
    <w:p w14:paraId="0A9CCCF2" w14:textId="77777777" w:rsidR="00BD1A6A" w:rsidRPr="0058047D" w:rsidRDefault="00BD1A6A" w:rsidP="00865A60">
      <w:bookmarkStart w:id="701" w:name="_Toc336338225"/>
    </w:p>
    <w:p w14:paraId="3C6F199C" w14:textId="77777777" w:rsidR="00171817" w:rsidRPr="0058047D" w:rsidRDefault="00171817" w:rsidP="00951852">
      <w:pPr>
        <w:pStyle w:val="Heading4"/>
        <w:ind w:left="360"/>
      </w:pPr>
      <w:bookmarkStart w:id="702" w:name="_Toc371663619"/>
      <w:r w:rsidRPr="0058047D">
        <w:rPr>
          <w:rFonts w:ascii="Tahoma" w:hAnsi="Tahoma" w:cs="Tahoma"/>
          <w:sz w:val="24"/>
        </w:rPr>
        <w:t>Contratto Enterprise Prima del 2011</w:t>
      </w:r>
      <w:bookmarkEnd w:id="701"/>
      <w:bookmarkEnd w:id="702"/>
    </w:p>
    <w:p w14:paraId="0D3655C5" w14:textId="77777777" w:rsidR="00171817" w:rsidRPr="0058047D" w:rsidRDefault="00171817" w:rsidP="00171817">
      <w:pPr>
        <w:tabs>
          <w:tab w:val="num" w:pos="0"/>
        </w:tabs>
      </w:pPr>
    </w:p>
    <w:p w14:paraId="78852B7F" w14:textId="77777777" w:rsidR="00171817" w:rsidRPr="0058047D" w:rsidRDefault="00171817" w:rsidP="00171817">
      <w:pPr>
        <w:tabs>
          <w:tab w:val="num" w:pos="0"/>
        </w:tabs>
      </w:pPr>
      <w:r w:rsidRPr="0058047D">
        <w:rPr>
          <w:rFonts w:cs="Tahoma"/>
          <w:szCs w:val="20"/>
        </w:rPr>
        <w:t>Alla scadenza dell</w:t>
      </w:r>
      <w:r w:rsidR="001C4212">
        <w:rPr>
          <w:rFonts w:cs="Tahoma"/>
          <w:szCs w:val="20"/>
        </w:rPr>
        <w:t>’</w:t>
      </w:r>
      <w:r w:rsidRPr="0058047D">
        <w:rPr>
          <w:rFonts w:cs="Tahoma"/>
          <w:szCs w:val="20"/>
        </w:rPr>
        <w:t>iscrizione la società è idonea al rinnovo dei prezzi del Contratto Enterprise, che si basano solo su Software Assurance. Le società riceveranno una comunicazione scritta delle opzioni di rinnovo 60 giorni prima della scadenza della loro iscrizione.</w:t>
      </w:r>
      <w:r w:rsidR="00E34ED3" w:rsidRPr="0058047D">
        <w:rPr>
          <w:rFonts w:cs="Tahoma"/>
          <w:szCs w:val="20"/>
        </w:rPr>
        <w:t xml:space="preserve"> </w:t>
      </w:r>
      <w:r w:rsidRPr="0058047D">
        <w:rPr>
          <w:rFonts w:cs="Tahoma"/>
          <w:szCs w:val="20"/>
        </w:rPr>
        <w:t>Per eseguire il rinnovo, le società dovranno sottoscrivere un</w:t>
      </w:r>
      <w:r w:rsidR="001C4212">
        <w:rPr>
          <w:rFonts w:cs="Tahoma"/>
          <w:szCs w:val="20"/>
        </w:rPr>
        <w:t>’</w:t>
      </w:r>
      <w:r w:rsidRPr="0058047D">
        <w:rPr>
          <w:rFonts w:cs="Tahoma"/>
          <w:szCs w:val="20"/>
        </w:rPr>
        <w:t xml:space="preserve">Iscrizione e un Contratto Enterprise 2011 o versione successiva nuovi. Il periodo di rinnovo avrà inizio il giorno successivo alla scadenza del precedente periodo di validità. </w:t>
      </w:r>
    </w:p>
    <w:p w14:paraId="27E2AB89" w14:textId="77777777" w:rsidR="00171817" w:rsidRPr="0058047D" w:rsidRDefault="00171817" w:rsidP="00171817">
      <w:pPr>
        <w:tabs>
          <w:tab w:val="num" w:pos="0"/>
        </w:tabs>
      </w:pPr>
    </w:p>
    <w:p w14:paraId="3DDB7F1C" w14:textId="77777777" w:rsidR="003E606C" w:rsidRPr="0058047D" w:rsidRDefault="00171817" w:rsidP="0063466C">
      <w:pPr>
        <w:tabs>
          <w:tab w:val="num" w:pos="0"/>
        </w:tabs>
        <w:spacing w:after="60"/>
      </w:pPr>
      <w:r w:rsidRPr="0058047D">
        <w:rPr>
          <w:rFonts w:cs="Tahoma"/>
          <w:b/>
          <w:szCs w:val="20"/>
        </w:rPr>
        <w:t>Enrollment for Application Platform</w:t>
      </w:r>
    </w:p>
    <w:p w14:paraId="28A834EF" w14:textId="77777777" w:rsidR="00171817" w:rsidRPr="0058047D" w:rsidRDefault="00171817" w:rsidP="0063466C">
      <w:pPr>
        <w:tabs>
          <w:tab w:val="num" w:pos="0"/>
        </w:tabs>
      </w:pPr>
      <w:r w:rsidRPr="0058047D">
        <w:rPr>
          <w:rFonts w:cs="Tahoma"/>
          <w:szCs w:val="20"/>
        </w:rPr>
        <w:t>Le società potranno ordinare solo Software Assurance per i prodotti disponibili, senza dover contemporaneamente ordinare una nuova Licenza, come previsto nelle condizioni di iscrizione.</w:t>
      </w:r>
    </w:p>
    <w:p w14:paraId="58036D8B" w14:textId="77777777" w:rsidR="00865A60" w:rsidRPr="0058047D" w:rsidRDefault="00865A60" w:rsidP="00865A60"/>
    <w:p w14:paraId="168E5A98" w14:textId="77777777" w:rsidR="00B215EA" w:rsidRPr="0058047D" w:rsidRDefault="00B215EA" w:rsidP="00B215EA">
      <w:pPr>
        <w:keepNext/>
        <w:tabs>
          <w:tab w:val="num" w:pos="720"/>
        </w:tabs>
        <w:spacing w:after="60"/>
        <w:ind w:left="360" w:hanging="360"/>
        <w:outlineLvl w:val="3"/>
      </w:pPr>
      <w:r w:rsidRPr="0058047D">
        <w:rPr>
          <w:b/>
          <w:szCs w:val="20"/>
        </w:rPr>
        <w:t xml:space="preserve">Iscrizione Server and Cloud </w:t>
      </w:r>
    </w:p>
    <w:p w14:paraId="6E363EAD" w14:textId="77777777" w:rsidR="00B215EA" w:rsidRPr="0058047D" w:rsidRDefault="00B215EA" w:rsidP="00B215EA">
      <w:r w:rsidRPr="0058047D">
        <w:rPr>
          <w:rFonts w:cs="Tahoma"/>
          <w:szCs w:val="20"/>
        </w:rPr>
        <w:t xml:space="preserve">Le società potranno ordinare solo Software Assurance per i prodotti disponibili, senza dover contemporaneamente ordinare una nuova Licenza, come previsto nelle condizioni di iscrizione. </w:t>
      </w:r>
      <w:r w:rsidRPr="0058047D">
        <w:t>Le società in possesso di EAP che hanno in precedenza rimandato l</w:t>
      </w:r>
      <w:r w:rsidR="001C4212">
        <w:t>’</w:t>
      </w:r>
      <w:r w:rsidRPr="0058047D">
        <w:t>acquisto delle Licenze tramite SKU SApriorL dovranno eseguire il buy-out delle loro Licenze prima di poter rinnovare la copertura SA.</w:t>
      </w:r>
    </w:p>
    <w:p w14:paraId="320F5B4D" w14:textId="77777777" w:rsidR="00B215EA" w:rsidRPr="0058047D" w:rsidRDefault="00B215EA" w:rsidP="00865A60"/>
    <w:p w14:paraId="122E548B" w14:textId="77777777" w:rsidR="00171817" w:rsidRPr="0058047D" w:rsidRDefault="00171817" w:rsidP="00951852">
      <w:pPr>
        <w:pStyle w:val="Heading4"/>
        <w:ind w:left="360"/>
      </w:pPr>
      <w:bookmarkStart w:id="703" w:name="_Toc323159750"/>
      <w:bookmarkStart w:id="704" w:name="_Toc336338226"/>
      <w:bookmarkStart w:id="705" w:name="_Toc371663620"/>
      <w:r w:rsidRPr="0058047D">
        <w:rPr>
          <w:rFonts w:ascii="Tahoma" w:hAnsi="Tahoma" w:cs="Tahoma"/>
          <w:sz w:val="24"/>
        </w:rPr>
        <w:t>Rinnovo Incrociato dei Programmi</w:t>
      </w:r>
      <w:bookmarkEnd w:id="703"/>
      <w:bookmarkEnd w:id="704"/>
      <w:bookmarkEnd w:id="705"/>
    </w:p>
    <w:p w14:paraId="166E1B7C" w14:textId="77777777" w:rsidR="00171817" w:rsidRPr="0058047D" w:rsidRDefault="00171817" w:rsidP="00171817">
      <w:pPr>
        <w:tabs>
          <w:tab w:val="num" w:pos="0"/>
        </w:tabs>
      </w:pPr>
    </w:p>
    <w:p w14:paraId="1921265C" w14:textId="77777777" w:rsidR="00171817" w:rsidRPr="0058047D" w:rsidRDefault="00171817" w:rsidP="00171817">
      <w:pPr>
        <w:pStyle w:val="AppendIndentSub"/>
        <w:tabs>
          <w:tab w:val="num" w:pos="0"/>
        </w:tabs>
        <w:ind w:left="0"/>
      </w:pPr>
      <w:r w:rsidRPr="0058047D">
        <w:rPr>
          <w:rFonts w:ascii="Tahoma" w:hAnsi="Tahoma" w:cs="Tahoma"/>
          <w:sz w:val="18"/>
        </w:rPr>
        <w:t>Come eccezione alle regole precedenti le società potranno rinnovare la copertura Software Assurance tramite l</w:t>
      </w:r>
      <w:r w:rsidR="001C4212">
        <w:rPr>
          <w:rFonts w:ascii="Tahoma" w:hAnsi="Tahoma" w:cs="Tahoma"/>
          <w:sz w:val="18"/>
        </w:rPr>
        <w:t>’</w:t>
      </w:r>
      <w:r w:rsidRPr="0058047D">
        <w:rPr>
          <w:rFonts w:ascii="Tahoma" w:hAnsi="Tahoma" w:cs="Tahoma"/>
          <w:sz w:val="18"/>
        </w:rPr>
        <w:t>acquisto della stessa ai sensi di un contratto Open Value, Select, Select Plus o iscrizione Enterprise. Per le società che rinnovano Software Assurance ai sensi di un</w:t>
      </w:r>
      <w:r w:rsidR="001C4212">
        <w:rPr>
          <w:rFonts w:ascii="Tahoma" w:hAnsi="Tahoma" w:cs="Tahoma"/>
          <w:sz w:val="18"/>
        </w:rPr>
        <w:t>’</w:t>
      </w:r>
      <w:r w:rsidRPr="0058047D">
        <w:rPr>
          <w:rFonts w:ascii="Tahoma" w:hAnsi="Tahoma" w:cs="Tahoma"/>
          <w:sz w:val="18"/>
        </w:rPr>
        <w:t>iscrizione Enterprise esistente, l</w:t>
      </w:r>
      <w:r w:rsidR="001C4212">
        <w:rPr>
          <w:rFonts w:ascii="Tahoma" w:hAnsi="Tahoma" w:cs="Tahoma"/>
          <w:sz w:val="18"/>
        </w:rPr>
        <w:t>’</w:t>
      </w:r>
      <w:r w:rsidRPr="0058047D">
        <w:rPr>
          <w:rFonts w:ascii="Tahoma" w:hAnsi="Tahoma" w:cs="Tahoma"/>
          <w:sz w:val="18"/>
        </w:rPr>
        <w:t>eccezione si applica solo ai prodotti aggiuntivi e ai prodotti che non rientrano nell</w:t>
      </w:r>
      <w:r w:rsidR="001C4212">
        <w:rPr>
          <w:rFonts w:ascii="Tahoma" w:hAnsi="Tahoma" w:cs="Tahoma"/>
          <w:sz w:val="18"/>
        </w:rPr>
        <w:t>’</w:t>
      </w:r>
      <w:r w:rsidRPr="0058047D">
        <w:rPr>
          <w:rFonts w:ascii="Tahoma" w:hAnsi="Tahoma" w:cs="Tahoma"/>
          <w:sz w:val="18"/>
        </w:rPr>
        <w:t>impegno a livello aziendale. Le società dovranno effettuare un ordine di Software Assurance prima della data di scadenza della copertura precedente ai sensi di un contratto o un</w:t>
      </w:r>
      <w:r w:rsidR="001C4212">
        <w:rPr>
          <w:rFonts w:ascii="Tahoma" w:hAnsi="Tahoma" w:cs="Tahoma"/>
          <w:sz w:val="18"/>
        </w:rPr>
        <w:t>’</w:t>
      </w:r>
      <w:r w:rsidRPr="0058047D">
        <w:rPr>
          <w:rFonts w:ascii="Tahoma" w:hAnsi="Tahoma" w:cs="Tahoma"/>
          <w:sz w:val="18"/>
        </w:rPr>
        <w:t xml:space="preserve">iscrizione in essere. </w:t>
      </w:r>
    </w:p>
    <w:p w14:paraId="27C967BF" w14:textId="77777777" w:rsidR="00171817" w:rsidRPr="0058047D" w:rsidRDefault="00171817" w:rsidP="00171817">
      <w:pPr>
        <w:pStyle w:val="AppendIndentSub"/>
        <w:tabs>
          <w:tab w:val="num" w:pos="0"/>
        </w:tabs>
        <w:ind w:left="0"/>
      </w:pPr>
    </w:p>
    <w:p w14:paraId="749DD96F" w14:textId="77777777" w:rsidR="00171817" w:rsidRPr="0058047D" w:rsidRDefault="00171817" w:rsidP="00171817">
      <w:pPr>
        <w:pStyle w:val="AppendIndentSub"/>
        <w:tabs>
          <w:tab w:val="num" w:pos="0"/>
        </w:tabs>
        <w:ind w:left="0"/>
      </w:pPr>
      <w:r w:rsidRPr="0058047D">
        <w:rPr>
          <w:rFonts w:ascii="Tahoma" w:hAnsi="Tahoma" w:cs="Tahoma"/>
          <w:sz w:val="18"/>
          <w:szCs w:val="18"/>
        </w:rPr>
        <w:t>Per tutti i programmi, ad eccezione di Select Plus, l</w:t>
      </w:r>
      <w:r w:rsidR="001C4212">
        <w:rPr>
          <w:rFonts w:ascii="Tahoma" w:hAnsi="Tahoma" w:cs="Tahoma"/>
          <w:sz w:val="18"/>
          <w:szCs w:val="18"/>
        </w:rPr>
        <w:t>’</w:t>
      </w:r>
      <w:r w:rsidRPr="0058047D">
        <w:rPr>
          <w:rFonts w:ascii="Tahoma" w:hAnsi="Tahoma" w:cs="Tahoma"/>
          <w:sz w:val="18"/>
          <w:szCs w:val="18"/>
        </w:rPr>
        <w:t>ordine dovrà riguardare il periodo di validità residuo del contratto o dell</w:t>
      </w:r>
      <w:r w:rsidR="001C4212">
        <w:rPr>
          <w:rFonts w:ascii="Tahoma" w:hAnsi="Tahoma" w:cs="Tahoma"/>
          <w:sz w:val="18"/>
          <w:szCs w:val="18"/>
        </w:rPr>
        <w:t>’</w:t>
      </w:r>
      <w:r w:rsidRPr="0058047D">
        <w:rPr>
          <w:rFonts w:ascii="Tahoma" w:hAnsi="Tahoma" w:cs="Tahoma"/>
          <w:sz w:val="18"/>
          <w:szCs w:val="18"/>
        </w:rPr>
        <w:t>iscrizione in essere (ad esempio, SA x il numero di anni residui del periodo di validità dell</w:t>
      </w:r>
      <w:r w:rsidR="001C4212">
        <w:rPr>
          <w:rFonts w:ascii="Tahoma" w:hAnsi="Tahoma" w:cs="Tahoma"/>
          <w:sz w:val="18"/>
          <w:szCs w:val="18"/>
        </w:rPr>
        <w:t>’</w:t>
      </w:r>
      <w:r w:rsidRPr="0058047D">
        <w:rPr>
          <w:rFonts w:ascii="Tahoma" w:hAnsi="Tahoma" w:cs="Tahoma"/>
          <w:sz w:val="18"/>
          <w:szCs w:val="18"/>
        </w:rPr>
        <w:t>iscrizione a partire dalla data dell</w:t>
      </w:r>
      <w:r w:rsidR="001C4212">
        <w:rPr>
          <w:rFonts w:ascii="Tahoma" w:hAnsi="Tahoma" w:cs="Tahoma"/>
          <w:sz w:val="18"/>
          <w:szCs w:val="18"/>
        </w:rPr>
        <w:t>’</w:t>
      </w:r>
      <w:r w:rsidRPr="0058047D">
        <w:rPr>
          <w:rFonts w:ascii="Tahoma" w:hAnsi="Tahoma" w:cs="Tahoma"/>
          <w:sz w:val="18"/>
          <w:szCs w:val="18"/>
        </w:rPr>
        <w:t>ordine, incluso l</w:t>
      </w:r>
      <w:r w:rsidR="001C4212">
        <w:rPr>
          <w:rFonts w:ascii="Tahoma" w:hAnsi="Tahoma" w:cs="Tahoma"/>
          <w:sz w:val="18"/>
          <w:szCs w:val="18"/>
        </w:rPr>
        <w:t>’</w:t>
      </w:r>
      <w:r w:rsidRPr="0058047D">
        <w:rPr>
          <w:rFonts w:ascii="Tahoma" w:hAnsi="Tahoma" w:cs="Tahoma"/>
          <w:sz w:val="18"/>
          <w:szCs w:val="18"/>
        </w:rPr>
        <w:t>eventuale anno parziale). In Select Plus il periodo di validità dell</w:t>
      </w:r>
      <w:r w:rsidR="001C4212">
        <w:rPr>
          <w:rFonts w:ascii="Tahoma" w:hAnsi="Tahoma" w:cs="Tahoma"/>
          <w:sz w:val="18"/>
          <w:szCs w:val="18"/>
        </w:rPr>
        <w:t>’</w:t>
      </w:r>
      <w:r w:rsidRPr="0058047D">
        <w:rPr>
          <w:rFonts w:ascii="Tahoma" w:hAnsi="Tahoma" w:cs="Tahoma"/>
          <w:sz w:val="18"/>
          <w:szCs w:val="18"/>
        </w:rPr>
        <w:t>ordine sarà di 36</w:t>
      </w:r>
      <w:r w:rsidR="00856C12">
        <w:rPr>
          <w:rFonts w:ascii="Tahoma" w:hAnsi="Tahoma" w:cs="Tahoma"/>
          <w:sz w:val="18"/>
          <w:szCs w:val="18"/>
        </w:rPr>
        <w:t> </w:t>
      </w:r>
      <w:r w:rsidRPr="0058047D">
        <w:rPr>
          <w:rFonts w:ascii="Tahoma" w:hAnsi="Tahoma" w:cs="Tahoma"/>
          <w:sz w:val="18"/>
          <w:szCs w:val="18"/>
        </w:rPr>
        <w:t>mesi.</w:t>
      </w:r>
      <w:r w:rsidR="00E34ED3" w:rsidRPr="0058047D">
        <w:rPr>
          <w:rFonts w:ascii="Tahoma" w:hAnsi="Tahoma" w:cs="Tahoma"/>
          <w:sz w:val="18"/>
          <w:szCs w:val="18"/>
        </w:rPr>
        <w:t xml:space="preserve"> </w:t>
      </w:r>
      <w:r w:rsidRPr="0058047D">
        <w:rPr>
          <w:rFonts w:ascii="Tahoma" w:hAnsi="Tahoma" w:cs="Tahoma"/>
          <w:sz w:val="18"/>
          <w:szCs w:val="18"/>
        </w:rPr>
        <w:t>Poiché i prezzi di Software Assurance non saranno suddivisi in misura proporzionale per l</w:t>
      </w:r>
      <w:r w:rsidR="001C4212">
        <w:rPr>
          <w:rFonts w:ascii="Tahoma" w:hAnsi="Tahoma" w:cs="Tahoma"/>
          <w:sz w:val="18"/>
          <w:szCs w:val="18"/>
        </w:rPr>
        <w:t>’</w:t>
      </w:r>
      <w:r w:rsidRPr="0058047D">
        <w:rPr>
          <w:rFonts w:ascii="Tahoma" w:hAnsi="Tahoma" w:cs="Tahoma"/>
          <w:sz w:val="18"/>
          <w:szCs w:val="18"/>
        </w:rPr>
        <w:t>eventuale anno parziale di copertura, le società dovranno programmare gli ordini tenendo conto delle ricorrenze della data di entrata in vigore del contratto in essere. Per le versioni del Contratto 2008 e precedenti, qualora la copertura venga rinnovata nei 30 giorni precedenti (90 giorni se il rinnovo viene effettuato sulla base del Programma Open License), essa sarà attiva durante il periodo di tempo che intercorre tra la data di scadenza della precedente e la data di inizio di quella nuova. Le società saranno idonee a ricevere gli aggiornamenti resi disponibili durante tale periodo a condizione che la copertura venga rinnovata. </w:t>
      </w:r>
    </w:p>
    <w:p w14:paraId="66AB695D" w14:textId="77777777" w:rsidR="00023FE7" w:rsidRPr="0058047D" w:rsidRDefault="00023FE7">
      <w:pPr>
        <w:pStyle w:val="AppendixIndent"/>
        <w:tabs>
          <w:tab w:val="num" w:pos="0"/>
        </w:tabs>
        <w:ind w:left="0"/>
      </w:pPr>
    </w:p>
    <w:p w14:paraId="58F6004E" w14:textId="77777777" w:rsidR="00023FE7" w:rsidRPr="0058047D" w:rsidRDefault="00023FE7">
      <w:r w:rsidRPr="0058047D">
        <w:rPr>
          <w:rFonts w:cs="Tahoma"/>
        </w:rPr>
        <w:br w:type="page"/>
      </w:r>
    </w:p>
    <w:p w14:paraId="7076A346" w14:textId="77777777" w:rsidR="00EA1A1E" w:rsidRPr="0058047D" w:rsidRDefault="00EA1A1E" w:rsidP="00856C12">
      <w:pPr>
        <w:pStyle w:val="Heading1"/>
        <w:spacing w:before="0"/>
      </w:pPr>
      <w:bookmarkStart w:id="706" w:name="_Toc336338227"/>
      <w:bookmarkStart w:id="707" w:name="_Toc371663621"/>
      <w:r w:rsidRPr="0058047D">
        <w:t>ARTICOLO 7 - Vantaggi del Programma, di</w:t>
      </w:r>
      <w:r w:rsidR="00856C12">
        <w:t> </w:t>
      </w:r>
      <w:r w:rsidRPr="0058047D">
        <w:t>Software Assurance (SA) e dei Servizi Online (OLS)</w:t>
      </w:r>
      <w:bookmarkEnd w:id="706"/>
      <w:bookmarkEnd w:id="707"/>
    </w:p>
    <w:p w14:paraId="1262A6B3" w14:textId="77777777" w:rsidR="00EA1A1E" w:rsidRPr="00856C12" w:rsidRDefault="00EA1A1E" w:rsidP="00EA1A1E">
      <w:pPr>
        <w:rPr>
          <w:sz w:val="24"/>
          <w:szCs w:val="24"/>
        </w:rPr>
      </w:pPr>
    </w:p>
    <w:p w14:paraId="6DA1D4A7" w14:textId="77777777" w:rsidR="00E7419A" w:rsidRPr="0058047D" w:rsidRDefault="00EB3A5F" w:rsidP="00E7419A">
      <w:pPr>
        <w:spacing w:after="60"/>
      </w:pPr>
      <w:r w:rsidRPr="0058047D">
        <w:rPr>
          <w:rFonts w:cs="Tahoma"/>
          <w:szCs w:val="20"/>
        </w:rPr>
        <w:t>Nel presente Articolo sono illustrati i vantaggi del Programma, di Software Assurance e dei Servizi Online.</w:t>
      </w:r>
      <w:r w:rsidR="00E34ED3" w:rsidRPr="0058047D">
        <w:rPr>
          <w:rFonts w:cs="Tahoma"/>
          <w:szCs w:val="20"/>
        </w:rPr>
        <w:t xml:space="preserve"> </w:t>
      </w:r>
    </w:p>
    <w:p w14:paraId="7467EA46" w14:textId="77777777" w:rsidR="00EB3A5F" w:rsidRPr="0058047D" w:rsidRDefault="00EB3A5F" w:rsidP="00E7419A">
      <w:pPr>
        <w:spacing w:after="60"/>
      </w:pPr>
    </w:p>
    <w:p w14:paraId="519376F1" w14:textId="77777777" w:rsidR="00EB3A5F" w:rsidRPr="0058047D" w:rsidRDefault="00EB3A5F" w:rsidP="00EB3A5F">
      <w:pPr>
        <w:jc w:val="both"/>
      </w:pPr>
      <w:r w:rsidRPr="0058047D">
        <w:rPr>
          <w:b/>
        </w:rPr>
        <w:t>Questi vantaggi sono disponibili esclusivamente nell</w:t>
      </w:r>
      <w:r w:rsidR="001C4212">
        <w:rPr>
          <w:b/>
        </w:rPr>
        <w:t>’</w:t>
      </w:r>
      <w:r w:rsidRPr="0058047D">
        <w:rPr>
          <w:b/>
        </w:rPr>
        <w:t>Iscrizione Server and Cloud (SCE) ai sensi di</w:t>
      </w:r>
      <w:r w:rsidR="00856C12">
        <w:rPr>
          <w:b/>
        </w:rPr>
        <w:t> </w:t>
      </w:r>
      <w:r w:rsidRPr="0058047D">
        <w:rPr>
          <w:b/>
        </w:rPr>
        <w:t>un</w:t>
      </w:r>
      <w:r w:rsidR="00856C12">
        <w:rPr>
          <w:b/>
        </w:rPr>
        <w:t> </w:t>
      </w:r>
      <w:r w:rsidRPr="0058047D">
        <w:rPr>
          <w:b/>
        </w:rPr>
        <w:t>Contratto Enterprise.</w:t>
      </w:r>
    </w:p>
    <w:p w14:paraId="2146CA9A" w14:textId="77777777" w:rsidR="00EB3A5F" w:rsidRPr="0058047D" w:rsidRDefault="00EB3A5F" w:rsidP="00EB3A5F">
      <w:pPr>
        <w:jc w:val="both"/>
      </w:pPr>
      <w:r w:rsidRPr="0058047D">
        <w:t> </w:t>
      </w:r>
    </w:p>
    <w:p w14:paraId="33D741A0" w14:textId="77777777" w:rsidR="00EB3A5F" w:rsidRPr="0058047D" w:rsidRDefault="00EB3A5F" w:rsidP="00EB3A5F">
      <w:r w:rsidRPr="0058047D">
        <w:t>Le società in possesso di una SCE, che hanno soddisfatto i requisiti di copertura e hanno effettuato l</w:t>
      </w:r>
      <w:r w:rsidR="001C4212">
        <w:t>’</w:t>
      </w:r>
      <w:r w:rsidRPr="0058047D">
        <w:t>iscrizione al</w:t>
      </w:r>
      <w:r w:rsidR="00856C12">
        <w:t> </w:t>
      </w:r>
      <w:r w:rsidRPr="0058047D">
        <w:t>componente Core Infrastructure sono idonee a installare e gestire il prodotto System Center nei componenti dell</w:t>
      </w:r>
      <w:r w:rsidR="001C4212">
        <w:t>’</w:t>
      </w:r>
      <w:r w:rsidRPr="0058047D">
        <w:t>Ambiente del Sistema Operativo Virtuale (OSE Virtuale) in Windows Azure. Questo vantaggio consentirà alle società di gestire fino a 10 istanze idonee di OSE Virtuali in Windows Azure per ciascuna licenza CIS iscritta al SCE.</w:t>
      </w:r>
      <w:r w:rsidR="00E34ED3" w:rsidRPr="0058047D">
        <w:t xml:space="preserve"> </w:t>
      </w:r>
    </w:p>
    <w:p w14:paraId="63FD5C22" w14:textId="77777777" w:rsidR="00EB3A5F" w:rsidRPr="0058047D" w:rsidRDefault="00EB3A5F" w:rsidP="00EB3A5F">
      <w:r w:rsidRPr="0058047D">
        <w:t> </w:t>
      </w:r>
    </w:p>
    <w:p w14:paraId="09C4695C" w14:textId="77777777" w:rsidR="00EB3A5F" w:rsidRPr="0058047D" w:rsidRDefault="00EB3A5F" w:rsidP="00EB3A5F">
      <w:pPr>
        <w:spacing w:line="276" w:lineRule="auto"/>
        <w:jc w:val="both"/>
      </w:pPr>
      <w:r w:rsidRPr="0058047D">
        <w:t>Istanze dell</w:t>
      </w:r>
      <w:r w:rsidR="001C4212">
        <w:t>’</w:t>
      </w:r>
      <w:r w:rsidRPr="0058047D">
        <w:t>OSE Virtuale di Windows Azure idonee:</w:t>
      </w:r>
    </w:p>
    <w:p w14:paraId="4F0A9C34" w14:textId="77777777" w:rsidR="00EB3A5F" w:rsidRPr="0058047D" w:rsidRDefault="00EB3A5F" w:rsidP="00EB3A5F">
      <w:pPr>
        <w:spacing w:after="60"/>
        <w:ind w:left="1440" w:hanging="360"/>
      </w:pPr>
      <w:r w:rsidRPr="0058047D">
        <w:rPr>
          <w:rFonts w:ascii="Webdings" w:hAnsi="Webdings"/>
          <w:color w:val="FF6600"/>
          <w:sz w:val="24"/>
          <w:szCs w:val="24"/>
        </w:rPr>
        <w:t></w:t>
      </w:r>
      <w:r w:rsidR="00E34ED3" w:rsidRPr="0058047D">
        <w:rPr>
          <w:rFonts w:ascii="Times New Roman" w:hAnsi="Times New Roman"/>
          <w:color w:val="FF6600"/>
          <w:sz w:val="14"/>
          <w:szCs w:val="14"/>
        </w:rPr>
        <w:t xml:space="preserve"> </w:t>
      </w:r>
      <w:r w:rsidRPr="0058047D">
        <w:t>Istanze di Macchine Virtuali Windows</w:t>
      </w:r>
    </w:p>
    <w:p w14:paraId="6517500E" w14:textId="77777777" w:rsidR="00EB3A5F" w:rsidRPr="0058047D" w:rsidRDefault="00EB3A5F" w:rsidP="00EB3A5F">
      <w:pPr>
        <w:spacing w:after="60"/>
        <w:ind w:left="1440" w:hanging="360"/>
      </w:pPr>
      <w:r w:rsidRPr="0058047D">
        <w:rPr>
          <w:rFonts w:ascii="Webdings" w:hAnsi="Webdings"/>
          <w:color w:val="FF6600"/>
          <w:sz w:val="24"/>
          <w:szCs w:val="24"/>
        </w:rPr>
        <w:t></w:t>
      </w:r>
      <w:r w:rsidR="00E34ED3" w:rsidRPr="0058047D">
        <w:rPr>
          <w:rFonts w:ascii="Times New Roman" w:hAnsi="Times New Roman"/>
          <w:color w:val="FF6600"/>
          <w:sz w:val="14"/>
          <w:szCs w:val="14"/>
        </w:rPr>
        <w:t xml:space="preserve"> </w:t>
      </w:r>
      <w:r w:rsidRPr="0058047D">
        <w:rPr>
          <w:color w:val="000000"/>
        </w:rPr>
        <w:t>Istanze di Servizi Cloud (ruolo Web e ruolo Worker)</w:t>
      </w:r>
    </w:p>
    <w:p w14:paraId="4A6708C5" w14:textId="77777777" w:rsidR="00EB3A5F" w:rsidRPr="0058047D" w:rsidRDefault="00EB3A5F" w:rsidP="00EB3A5F">
      <w:pPr>
        <w:spacing w:after="60"/>
        <w:ind w:left="1440" w:hanging="360"/>
      </w:pPr>
      <w:r w:rsidRPr="0058047D">
        <w:rPr>
          <w:rFonts w:ascii="Webdings" w:hAnsi="Webdings"/>
          <w:color w:val="FF6600"/>
          <w:sz w:val="24"/>
          <w:szCs w:val="24"/>
        </w:rPr>
        <w:t></w:t>
      </w:r>
      <w:r w:rsidR="00E34ED3" w:rsidRPr="0058047D">
        <w:rPr>
          <w:rFonts w:ascii="Times New Roman" w:hAnsi="Times New Roman"/>
          <w:color w:val="FF6600"/>
          <w:sz w:val="14"/>
          <w:szCs w:val="14"/>
        </w:rPr>
        <w:t xml:space="preserve"> </w:t>
      </w:r>
      <w:r w:rsidRPr="0058047D">
        <w:t>Account di Archiviazione</w:t>
      </w:r>
    </w:p>
    <w:p w14:paraId="6DC845AE" w14:textId="77777777" w:rsidR="00EB3A5F" w:rsidRPr="0058047D" w:rsidRDefault="00EB3A5F" w:rsidP="00EB3A5F">
      <w:pPr>
        <w:spacing w:after="60"/>
        <w:ind w:left="1440" w:hanging="360"/>
      </w:pPr>
      <w:r w:rsidRPr="0058047D">
        <w:rPr>
          <w:rFonts w:ascii="Webdings" w:hAnsi="Webdings"/>
          <w:color w:val="FF6600"/>
          <w:sz w:val="24"/>
          <w:szCs w:val="24"/>
        </w:rPr>
        <w:t></w:t>
      </w:r>
      <w:r w:rsidR="00E34ED3" w:rsidRPr="0058047D">
        <w:rPr>
          <w:rFonts w:ascii="Times New Roman" w:hAnsi="Times New Roman"/>
          <w:color w:val="FF6600"/>
          <w:sz w:val="14"/>
          <w:szCs w:val="14"/>
        </w:rPr>
        <w:t xml:space="preserve"> </w:t>
      </w:r>
      <w:r w:rsidRPr="0058047D">
        <w:t>Database SQL</w:t>
      </w:r>
    </w:p>
    <w:p w14:paraId="3726156E" w14:textId="77777777" w:rsidR="00EB3A5F" w:rsidRPr="0058047D" w:rsidRDefault="00EB3A5F" w:rsidP="000347DA">
      <w:pPr>
        <w:spacing w:after="60"/>
        <w:ind w:left="1440" w:hanging="360"/>
      </w:pPr>
      <w:r w:rsidRPr="0058047D">
        <w:rPr>
          <w:rFonts w:ascii="Webdings" w:hAnsi="Webdings"/>
          <w:color w:val="FF6600"/>
          <w:sz w:val="24"/>
          <w:szCs w:val="24"/>
        </w:rPr>
        <w:t></w:t>
      </w:r>
      <w:r w:rsidR="00E34ED3" w:rsidRPr="0058047D">
        <w:rPr>
          <w:rFonts w:ascii="Times New Roman" w:hAnsi="Times New Roman"/>
          <w:color w:val="FF6600"/>
          <w:sz w:val="14"/>
          <w:szCs w:val="14"/>
        </w:rPr>
        <w:t xml:space="preserve"> </w:t>
      </w:r>
      <w:r w:rsidRPr="0058047D">
        <w:t>Istanze di Siti Web</w:t>
      </w:r>
    </w:p>
    <w:p w14:paraId="4B10E21F" w14:textId="77777777" w:rsidR="00EA1A1E" w:rsidRPr="0058047D" w:rsidRDefault="00EA1A1E" w:rsidP="00BA0707"/>
    <w:p w14:paraId="61BF8BD6" w14:textId="77777777" w:rsidR="003E606C" w:rsidRPr="0058047D" w:rsidRDefault="003E606C" w:rsidP="0063466C">
      <w:pPr>
        <w:spacing w:after="60"/>
      </w:pPr>
      <w:r w:rsidRPr="0058047D">
        <w:rPr>
          <w:rFonts w:cs="Tahoma"/>
          <w:b/>
          <w:szCs w:val="20"/>
        </w:rPr>
        <w:t>Vantaggi di Software Assurance</w:t>
      </w:r>
    </w:p>
    <w:p w14:paraId="0C648303" w14:textId="77777777" w:rsidR="00E7419A" w:rsidRPr="0058047D" w:rsidRDefault="00E7419A" w:rsidP="0063466C">
      <w:r w:rsidRPr="0058047D">
        <w:rPr>
          <w:rFonts w:cs="Tahoma"/>
          <w:szCs w:val="20"/>
        </w:rPr>
        <w:t>Questi vantaggi variano in base al prodotto e al pool di prodotti. L</w:t>
      </w:r>
      <w:r w:rsidR="001C4212">
        <w:rPr>
          <w:rFonts w:cs="Tahoma"/>
          <w:szCs w:val="20"/>
        </w:rPr>
        <w:t>’</w:t>
      </w:r>
      <w:r w:rsidRPr="0058047D">
        <w:rPr>
          <w:rFonts w:cs="Tahoma"/>
          <w:szCs w:val="20"/>
        </w:rPr>
        <w:t>accesso da parte delle società e i relativi diritti di</w:t>
      </w:r>
      <w:r w:rsidR="00856C12">
        <w:rPr>
          <w:rFonts w:cs="Tahoma"/>
          <w:szCs w:val="20"/>
        </w:rPr>
        <w:t> </w:t>
      </w:r>
      <w:r w:rsidRPr="0058047D">
        <w:rPr>
          <w:rFonts w:cs="Tahoma"/>
          <w:szCs w:val="20"/>
        </w:rPr>
        <w:t>utilizzo dei loro vantaggi di Software Assurance terminano, in genere, alla scadenza della copertura Software Assurance. La maggior parte dei vantaggi Software Assurance viene assegnata all</w:t>
      </w:r>
      <w:r w:rsidR="001C4212">
        <w:rPr>
          <w:rFonts w:cs="Tahoma"/>
          <w:szCs w:val="20"/>
        </w:rPr>
        <w:t>’</w:t>
      </w:r>
      <w:r w:rsidRPr="0058047D">
        <w:rPr>
          <w:rFonts w:cs="Tahoma"/>
          <w:szCs w:val="20"/>
        </w:rPr>
        <w:t>inizio del periodo di copertura.</w:t>
      </w:r>
      <w:r w:rsidR="00E34ED3" w:rsidRPr="0058047D">
        <w:rPr>
          <w:rFonts w:cs="Tahoma"/>
          <w:szCs w:val="20"/>
        </w:rPr>
        <w:t xml:space="preserve"> </w:t>
      </w:r>
      <w:r w:rsidRPr="0058047D">
        <w:rPr>
          <w:rFonts w:cs="Tahoma"/>
          <w:szCs w:val="20"/>
        </w:rPr>
        <w:t>Le eventuali modifiche verificatesi durante il periodo di copertura (ad esempio acquisti aggiuntivi, resi o transizioni dei servizi online) potranno comportare variazioni nell</w:t>
      </w:r>
      <w:r w:rsidR="001C4212">
        <w:rPr>
          <w:rFonts w:cs="Tahoma"/>
          <w:szCs w:val="20"/>
        </w:rPr>
        <w:t>’</w:t>
      </w:r>
      <w:r w:rsidRPr="0058047D">
        <w:rPr>
          <w:rFonts w:cs="Tahoma"/>
          <w:szCs w:val="20"/>
        </w:rPr>
        <w:t>idoneità a ricevere i vantaggi.</w:t>
      </w:r>
    </w:p>
    <w:p w14:paraId="0702BDA5" w14:textId="77777777" w:rsidR="00BA0707" w:rsidRPr="0058047D" w:rsidRDefault="00BA0707" w:rsidP="00BA0707"/>
    <w:p w14:paraId="0F321539" w14:textId="77777777" w:rsidR="0063466C" w:rsidRPr="0058047D" w:rsidRDefault="0063466C" w:rsidP="0063466C">
      <w:pPr>
        <w:spacing w:after="60"/>
      </w:pPr>
      <w:r w:rsidRPr="0058047D">
        <w:rPr>
          <w:rFonts w:cs="Tahoma"/>
          <w:b/>
          <w:szCs w:val="20"/>
        </w:rPr>
        <w:t>Vantaggi dei Servizi Online</w:t>
      </w:r>
    </w:p>
    <w:p w14:paraId="0F64DA9E" w14:textId="77777777" w:rsidR="00E7419A" w:rsidRPr="0058047D" w:rsidRDefault="009F1A2B" w:rsidP="0063466C">
      <w:r w:rsidRPr="0058047D">
        <w:rPr>
          <w:rFonts w:cs="Tahoma"/>
          <w:szCs w:val="20"/>
        </w:rPr>
        <w:t>Tali vantaggi variano in base al prodotto.</w:t>
      </w:r>
      <w:r w:rsidR="00E34ED3" w:rsidRPr="0058047D">
        <w:rPr>
          <w:rFonts w:cs="Tahoma"/>
          <w:szCs w:val="20"/>
        </w:rPr>
        <w:t xml:space="preserve"> </w:t>
      </w:r>
      <w:r w:rsidRPr="0058047D">
        <w:rPr>
          <w:rFonts w:cs="Tahoma"/>
          <w:szCs w:val="20"/>
        </w:rPr>
        <w:t>L</w:t>
      </w:r>
      <w:r w:rsidR="001C4212">
        <w:rPr>
          <w:rFonts w:cs="Tahoma"/>
          <w:szCs w:val="20"/>
        </w:rPr>
        <w:t>’</w:t>
      </w:r>
      <w:r w:rsidRPr="0058047D">
        <w:rPr>
          <w:rFonts w:cs="Tahoma"/>
          <w:szCs w:val="20"/>
        </w:rPr>
        <w:t xml:space="preserve">accesso da parte delle società e i relativi diritti di utilizzo dei loro vantaggi dei Servizi Online terminano alla scadenza della rispettiva licenza di abbonamento ai servizi online. </w:t>
      </w:r>
    </w:p>
    <w:p w14:paraId="2B2387A3" w14:textId="77777777" w:rsidR="009F1A2B" w:rsidRPr="0058047D" w:rsidRDefault="009F1A2B" w:rsidP="0063466C"/>
    <w:p w14:paraId="0D174073" w14:textId="77777777" w:rsidR="00E7419A" w:rsidRPr="0058047D" w:rsidRDefault="00E7419A" w:rsidP="0063466C">
      <w:r w:rsidRPr="0058047D">
        <w:rPr>
          <w:rFonts w:cs="Tahoma"/>
          <w:szCs w:val="20"/>
        </w:rPr>
        <w:t xml:space="preserve"> Eventuali eccezioni alle regole precedenti sono riportate negli articoli che seguono riguardanti i singoli vantaggi.</w:t>
      </w:r>
      <w:r w:rsidR="00E34ED3" w:rsidRPr="0058047D">
        <w:rPr>
          <w:rFonts w:cs="Tahoma"/>
          <w:szCs w:val="20"/>
        </w:rPr>
        <w:t xml:space="preserve"> </w:t>
      </w:r>
      <w:r w:rsidRPr="0058047D">
        <w:rPr>
          <w:rFonts w:cs="Tahoma"/>
          <w:szCs w:val="20"/>
        </w:rPr>
        <w:t>I</w:t>
      </w:r>
      <w:r w:rsidR="00856C12">
        <w:rPr>
          <w:rFonts w:cs="Tahoma"/>
          <w:szCs w:val="20"/>
        </w:rPr>
        <w:t> </w:t>
      </w:r>
      <w:r w:rsidRPr="0058047D">
        <w:rPr>
          <w:rFonts w:cs="Tahoma"/>
          <w:szCs w:val="20"/>
        </w:rPr>
        <w:t xml:space="preserve">vantaggi sono soggetti a modifiche e possono essere interrotti senza preavviso e in qualsiasi momento. La disponibilità dei vantaggi varia in base al programma, alla regione, alle opzioni di adempimento e alla lingua. </w:t>
      </w:r>
    </w:p>
    <w:p w14:paraId="50103326" w14:textId="77777777" w:rsidR="00023FE7" w:rsidRPr="0058047D" w:rsidRDefault="00023FE7" w:rsidP="0063466C">
      <w:pPr>
        <w:pStyle w:val="AppendixBodyText"/>
        <w:spacing w:after="0"/>
      </w:pPr>
    </w:p>
    <w:p w14:paraId="18871B90" w14:textId="77777777" w:rsidR="00023FE7" w:rsidRPr="0058047D" w:rsidRDefault="00023FE7" w:rsidP="0063466C">
      <w:pPr>
        <w:pStyle w:val="AppendixBodyText"/>
        <w:spacing w:after="0"/>
      </w:pPr>
      <w:r w:rsidRPr="0058047D">
        <w:rPr>
          <w:rFonts w:ascii="Tahoma" w:hAnsi="Tahoma" w:cs="Tahoma"/>
          <w:sz w:val="18"/>
        </w:rPr>
        <w:t>I vantaggi di Software Assurance e dei Servizi Online sono allocati nei diversi programmi secondo la modalità visualizzata nella seguente tabella:</w:t>
      </w:r>
    </w:p>
    <w:p w14:paraId="1239263A" w14:textId="77777777" w:rsidR="00023FE7" w:rsidRPr="0058047D" w:rsidRDefault="00023FE7" w:rsidP="00BA0707">
      <w:pPr>
        <w:pStyle w:val="AppendixBodyText"/>
        <w:spacing w:after="0"/>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287"/>
        <w:gridCol w:w="1458"/>
        <w:gridCol w:w="1665"/>
        <w:gridCol w:w="2403"/>
        <w:gridCol w:w="1377"/>
      </w:tblGrid>
      <w:tr w:rsidR="009233CA" w:rsidRPr="0058047D" w14:paraId="035C3001" w14:textId="77777777" w:rsidTr="00856C12">
        <w:trPr>
          <w:trHeight w:val="178"/>
        </w:trPr>
        <w:tc>
          <w:tcPr>
            <w:tcW w:w="1447" w:type="dxa"/>
            <w:shd w:val="clear" w:color="auto" w:fill="FFCC99"/>
            <w:vAlign w:val="center"/>
          </w:tcPr>
          <w:p w14:paraId="357C3A6A" w14:textId="77777777" w:rsidR="00394D2B" w:rsidRPr="0058047D" w:rsidRDefault="00394D2B" w:rsidP="00FF3343">
            <w:pPr>
              <w:pStyle w:val="AppendixTableHeadings"/>
              <w:jc w:val="left"/>
              <w:rPr>
                <w:rFonts w:ascii="Tahoma" w:hAnsi="Tahoma" w:cs="Tahoma"/>
                <w:sz w:val="20"/>
                <w:szCs w:val="20"/>
              </w:rPr>
            </w:pPr>
            <w:r w:rsidRPr="0058047D">
              <w:rPr>
                <w:rFonts w:ascii="Tahoma" w:hAnsi="Tahoma" w:cs="Tahoma"/>
                <w:sz w:val="20"/>
                <w:szCs w:val="20"/>
              </w:rPr>
              <w:t>Programmi</w:t>
            </w:r>
          </w:p>
        </w:tc>
        <w:tc>
          <w:tcPr>
            <w:tcW w:w="1287" w:type="dxa"/>
            <w:shd w:val="clear" w:color="auto" w:fill="FFCC99"/>
            <w:vAlign w:val="center"/>
          </w:tcPr>
          <w:p w14:paraId="79D9C8F3" w14:textId="77777777" w:rsidR="00394D2B" w:rsidRPr="0058047D" w:rsidRDefault="00394D2B" w:rsidP="00FF3343">
            <w:pPr>
              <w:pStyle w:val="AppendixTableHeadings"/>
              <w:jc w:val="left"/>
              <w:rPr>
                <w:rFonts w:ascii="Tahoma" w:hAnsi="Tahoma" w:cs="Tahoma"/>
                <w:sz w:val="20"/>
                <w:szCs w:val="20"/>
              </w:rPr>
            </w:pPr>
            <w:r w:rsidRPr="0058047D">
              <w:rPr>
                <w:rFonts w:ascii="Tahoma" w:hAnsi="Tahoma" w:cs="Tahoma"/>
                <w:sz w:val="20"/>
                <w:szCs w:val="20"/>
              </w:rPr>
              <w:t>Licenza Open</w:t>
            </w:r>
          </w:p>
        </w:tc>
        <w:tc>
          <w:tcPr>
            <w:tcW w:w="1458" w:type="dxa"/>
            <w:shd w:val="clear" w:color="auto" w:fill="FFCC99"/>
            <w:vAlign w:val="center"/>
          </w:tcPr>
          <w:p w14:paraId="32FF0751" w14:textId="77777777" w:rsidR="00394D2B" w:rsidRPr="0058047D" w:rsidRDefault="00394D2B" w:rsidP="00FF3343">
            <w:pPr>
              <w:pStyle w:val="AppendixTableHeadings"/>
              <w:jc w:val="left"/>
              <w:rPr>
                <w:rFonts w:ascii="Tahoma" w:hAnsi="Tahoma" w:cs="Tahoma"/>
                <w:sz w:val="20"/>
                <w:szCs w:val="20"/>
              </w:rPr>
            </w:pPr>
            <w:r w:rsidRPr="0058047D">
              <w:rPr>
                <w:rFonts w:ascii="Tahoma" w:hAnsi="Tahoma" w:cs="Tahoma"/>
                <w:sz w:val="20"/>
                <w:szCs w:val="20"/>
              </w:rPr>
              <w:t>Open Value</w:t>
            </w:r>
          </w:p>
        </w:tc>
        <w:tc>
          <w:tcPr>
            <w:tcW w:w="1665" w:type="dxa"/>
            <w:shd w:val="clear" w:color="auto" w:fill="FFCC99"/>
            <w:vAlign w:val="center"/>
          </w:tcPr>
          <w:p w14:paraId="7CC87DC5" w14:textId="77777777" w:rsidR="00394D2B" w:rsidRPr="0058047D" w:rsidRDefault="00394D2B" w:rsidP="00FF3343">
            <w:pPr>
              <w:pStyle w:val="AppendixTableHeadings"/>
              <w:jc w:val="left"/>
              <w:rPr>
                <w:rFonts w:ascii="Tahoma" w:hAnsi="Tahoma" w:cs="Tahoma"/>
                <w:sz w:val="20"/>
                <w:szCs w:val="20"/>
              </w:rPr>
            </w:pPr>
            <w:r w:rsidRPr="0058047D">
              <w:rPr>
                <w:rFonts w:ascii="Tahoma" w:hAnsi="Tahoma" w:cs="Tahoma"/>
                <w:sz w:val="20"/>
                <w:szCs w:val="20"/>
              </w:rPr>
              <w:t>Open Value Subscription - Education Solutions</w:t>
            </w:r>
          </w:p>
        </w:tc>
        <w:tc>
          <w:tcPr>
            <w:tcW w:w="2403" w:type="dxa"/>
            <w:shd w:val="clear" w:color="auto" w:fill="FFCC99"/>
            <w:vAlign w:val="center"/>
          </w:tcPr>
          <w:p w14:paraId="328DFC7B" w14:textId="77777777" w:rsidR="00394D2B" w:rsidRPr="0058047D" w:rsidRDefault="00394D2B" w:rsidP="00FF3343">
            <w:pPr>
              <w:pStyle w:val="AppendixTableHeadings"/>
              <w:jc w:val="left"/>
            </w:pPr>
            <w:r w:rsidRPr="0058047D">
              <w:rPr>
                <w:rFonts w:ascii="Tahoma" w:hAnsi="Tahoma" w:cs="Tahoma"/>
                <w:sz w:val="20"/>
                <w:szCs w:val="20"/>
              </w:rPr>
              <w:t>Select*</w:t>
            </w:r>
          </w:p>
          <w:p w14:paraId="0C1BD5BA" w14:textId="77777777" w:rsidR="00394D2B" w:rsidRPr="0058047D" w:rsidRDefault="00394D2B" w:rsidP="00FF3343">
            <w:pPr>
              <w:pStyle w:val="AppendixTableHeadings"/>
              <w:jc w:val="left"/>
            </w:pPr>
            <w:r w:rsidRPr="0058047D">
              <w:rPr>
                <w:rFonts w:ascii="Tahoma" w:hAnsi="Tahoma" w:cs="Tahoma"/>
                <w:sz w:val="20"/>
                <w:szCs w:val="20"/>
              </w:rPr>
              <w:t>Contratto Enterprise</w:t>
            </w:r>
          </w:p>
          <w:p w14:paraId="22E2E849" w14:textId="77777777" w:rsidR="00394D2B" w:rsidRPr="0058047D" w:rsidRDefault="00394D2B" w:rsidP="00FF3343">
            <w:pPr>
              <w:pStyle w:val="AppendixTableHeadings"/>
              <w:jc w:val="left"/>
            </w:pPr>
            <w:r w:rsidRPr="0058047D">
              <w:rPr>
                <w:rFonts w:ascii="Tahoma" w:hAnsi="Tahoma" w:cs="Tahoma"/>
                <w:sz w:val="20"/>
                <w:szCs w:val="20"/>
              </w:rPr>
              <w:t>Enrollment for Education Solutions ai</w:t>
            </w:r>
            <w:r w:rsidR="00856C12">
              <w:rPr>
                <w:rFonts w:ascii="Tahoma" w:hAnsi="Tahoma" w:cs="Tahoma"/>
                <w:sz w:val="20"/>
                <w:szCs w:val="20"/>
              </w:rPr>
              <w:t> </w:t>
            </w:r>
            <w:r w:rsidRPr="0058047D">
              <w:rPr>
                <w:rFonts w:ascii="Tahoma" w:hAnsi="Tahoma" w:cs="Tahoma"/>
                <w:sz w:val="20"/>
                <w:szCs w:val="20"/>
              </w:rPr>
              <w:t>sensi del Contratto Campus e</w:t>
            </w:r>
          </w:p>
          <w:p w14:paraId="75F5F655" w14:textId="77777777" w:rsidR="00394D2B" w:rsidRPr="0058047D" w:rsidRDefault="00394D2B" w:rsidP="00FF3343">
            <w:pPr>
              <w:pStyle w:val="AppendixTableHeadings"/>
              <w:jc w:val="left"/>
              <w:rPr>
                <w:rFonts w:ascii="Tahoma" w:hAnsi="Tahoma" w:cs="Tahoma"/>
                <w:sz w:val="20"/>
                <w:szCs w:val="20"/>
              </w:rPr>
            </w:pPr>
            <w:r w:rsidRPr="0058047D">
              <w:rPr>
                <w:rFonts w:ascii="Tahoma" w:hAnsi="Tahoma" w:cs="Tahoma"/>
                <w:sz w:val="20"/>
                <w:szCs w:val="20"/>
              </w:rPr>
              <w:t>School</w:t>
            </w:r>
          </w:p>
        </w:tc>
        <w:tc>
          <w:tcPr>
            <w:tcW w:w="1377" w:type="dxa"/>
            <w:shd w:val="clear" w:color="auto" w:fill="FFCC99"/>
            <w:vAlign w:val="center"/>
          </w:tcPr>
          <w:p w14:paraId="77F81575" w14:textId="77777777" w:rsidR="00394D2B" w:rsidRPr="0058047D" w:rsidRDefault="00394D2B" w:rsidP="007E466C">
            <w:pPr>
              <w:pStyle w:val="AppendixTableHeadings"/>
              <w:rPr>
                <w:rFonts w:ascii="Tahoma" w:hAnsi="Tahoma" w:cs="Tahoma"/>
                <w:sz w:val="20"/>
                <w:szCs w:val="20"/>
              </w:rPr>
            </w:pPr>
            <w:r w:rsidRPr="0058047D">
              <w:rPr>
                <w:rFonts w:ascii="Tahoma" w:hAnsi="Tahoma" w:cs="Tahoma"/>
                <w:sz w:val="20"/>
                <w:szCs w:val="20"/>
              </w:rPr>
              <w:t>Select Plus</w:t>
            </w:r>
          </w:p>
        </w:tc>
      </w:tr>
      <w:tr w:rsidR="009233CA" w:rsidRPr="0058047D" w14:paraId="799C2032" w14:textId="77777777" w:rsidTr="00856C12">
        <w:trPr>
          <w:trHeight w:val="369"/>
        </w:trPr>
        <w:tc>
          <w:tcPr>
            <w:tcW w:w="1447" w:type="dxa"/>
            <w:vAlign w:val="center"/>
          </w:tcPr>
          <w:p w14:paraId="02AA4BA4" w14:textId="77777777" w:rsidR="00394D2B" w:rsidRPr="0058047D" w:rsidRDefault="00394D2B">
            <w:pPr>
              <w:pStyle w:val="AppendixTableText"/>
              <w:rPr>
                <w:rFonts w:ascii="Tahoma" w:hAnsi="Tahoma" w:cs="Tahoma"/>
                <w:szCs w:val="20"/>
              </w:rPr>
            </w:pPr>
            <w:r w:rsidRPr="0058047D">
              <w:rPr>
                <w:rFonts w:ascii="Tahoma" w:hAnsi="Tahoma" w:cs="Tahoma"/>
                <w:szCs w:val="20"/>
              </w:rPr>
              <w:t>I vantaggi sono disponibili in base a:</w:t>
            </w:r>
          </w:p>
        </w:tc>
        <w:tc>
          <w:tcPr>
            <w:tcW w:w="1287" w:type="dxa"/>
            <w:vAlign w:val="center"/>
          </w:tcPr>
          <w:p w14:paraId="5A248BAC" w14:textId="77777777" w:rsidR="00394D2B" w:rsidRPr="0058047D" w:rsidRDefault="00394D2B">
            <w:pPr>
              <w:pStyle w:val="AppendixTableText"/>
              <w:rPr>
                <w:rFonts w:ascii="Tahoma" w:hAnsi="Tahoma" w:cs="Tahoma"/>
                <w:szCs w:val="20"/>
              </w:rPr>
            </w:pPr>
            <w:r w:rsidRPr="0058047D">
              <w:rPr>
                <w:rFonts w:ascii="Tahoma" w:hAnsi="Tahoma" w:cs="Tahoma"/>
                <w:szCs w:val="20"/>
              </w:rPr>
              <w:t>Numero di licenza</w:t>
            </w:r>
          </w:p>
        </w:tc>
        <w:tc>
          <w:tcPr>
            <w:tcW w:w="1458" w:type="dxa"/>
            <w:vAlign w:val="center"/>
          </w:tcPr>
          <w:p w14:paraId="470F2F10" w14:textId="77777777" w:rsidR="00394D2B" w:rsidRPr="0058047D" w:rsidRDefault="00394D2B">
            <w:pPr>
              <w:pStyle w:val="AppendixTableText"/>
              <w:rPr>
                <w:rFonts w:ascii="Tahoma" w:hAnsi="Tahoma" w:cs="Tahoma"/>
                <w:szCs w:val="20"/>
              </w:rPr>
            </w:pPr>
            <w:r w:rsidRPr="0058047D">
              <w:rPr>
                <w:rFonts w:ascii="Tahoma" w:hAnsi="Tahoma" w:cs="Tahoma"/>
                <w:szCs w:val="20"/>
              </w:rPr>
              <w:t>Contratto</w:t>
            </w:r>
          </w:p>
        </w:tc>
        <w:tc>
          <w:tcPr>
            <w:tcW w:w="1665" w:type="dxa"/>
            <w:vAlign w:val="center"/>
          </w:tcPr>
          <w:p w14:paraId="2C8D40AC" w14:textId="77777777" w:rsidR="00394D2B" w:rsidRPr="0058047D" w:rsidRDefault="00394D2B" w:rsidP="00394D2B">
            <w:pPr>
              <w:pStyle w:val="AppendixTableText"/>
              <w:rPr>
                <w:rFonts w:ascii="Tahoma" w:hAnsi="Tahoma" w:cs="Tahoma"/>
                <w:szCs w:val="20"/>
              </w:rPr>
            </w:pPr>
            <w:r w:rsidRPr="0058047D">
              <w:rPr>
                <w:rFonts w:ascii="Tahoma" w:hAnsi="Tahoma" w:cs="Tahoma"/>
                <w:szCs w:val="20"/>
              </w:rPr>
              <w:t>Contratto</w:t>
            </w:r>
          </w:p>
        </w:tc>
        <w:tc>
          <w:tcPr>
            <w:tcW w:w="2403" w:type="dxa"/>
            <w:vAlign w:val="center"/>
          </w:tcPr>
          <w:p w14:paraId="41F6C161" w14:textId="77777777" w:rsidR="00394D2B" w:rsidRPr="0058047D" w:rsidRDefault="00394D2B">
            <w:pPr>
              <w:pStyle w:val="AppendixTableText"/>
              <w:rPr>
                <w:rFonts w:ascii="Tahoma" w:hAnsi="Tahoma" w:cs="Tahoma"/>
                <w:szCs w:val="20"/>
              </w:rPr>
            </w:pPr>
            <w:r w:rsidRPr="0058047D">
              <w:rPr>
                <w:rFonts w:ascii="Tahoma" w:hAnsi="Tahoma" w:cs="Tahoma"/>
                <w:szCs w:val="20"/>
              </w:rPr>
              <w:t>Qualificante</w:t>
            </w:r>
          </w:p>
        </w:tc>
        <w:tc>
          <w:tcPr>
            <w:tcW w:w="1377" w:type="dxa"/>
          </w:tcPr>
          <w:p w14:paraId="3265773D" w14:textId="77777777" w:rsidR="00394D2B" w:rsidRPr="0058047D" w:rsidRDefault="00394D2B">
            <w:pPr>
              <w:pStyle w:val="AppendixTableText"/>
              <w:rPr>
                <w:rFonts w:ascii="Tahoma" w:hAnsi="Tahoma" w:cs="Tahoma"/>
                <w:szCs w:val="20"/>
              </w:rPr>
            </w:pPr>
            <w:r w:rsidRPr="0058047D">
              <w:rPr>
                <w:rFonts w:ascii="Tahoma" w:hAnsi="Tahoma" w:cs="Tahoma"/>
                <w:szCs w:val="20"/>
              </w:rPr>
              <w:t>Consociata Registrata</w:t>
            </w:r>
          </w:p>
        </w:tc>
      </w:tr>
    </w:tbl>
    <w:p w14:paraId="758C117A" w14:textId="77777777" w:rsidR="00023FE7" w:rsidRPr="0058047D" w:rsidRDefault="00023FE7" w:rsidP="0063466C">
      <w:pPr>
        <w:pStyle w:val="AppendixBodyText"/>
        <w:spacing w:after="0"/>
        <w:ind w:right="403"/>
      </w:pPr>
      <w:r w:rsidRPr="0058047D">
        <w:rPr>
          <w:rFonts w:ascii="Tahoma" w:hAnsi="Tahoma" w:cs="Tahoma"/>
          <w:b/>
          <w:i/>
          <w:sz w:val="16"/>
          <w:szCs w:val="16"/>
        </w:rPr>
        <w:t>Nota:</w:t>
      </w:r>
      <w:r w:rsidRPr="0058047D">
        <w:rPr>
          <w:rFonts w:ascii="Tahoma" w:hAnsi="Tahoma" w:cs="Tahoma"/>
          <w:i/>
          <w:sz w:val="16"/>
          <w:szCs w:val="16"/>
        </w:rPr>
        <w:t xml:space="preserve"> *le società che stipulano Contratti Enterprise Volume Licensing per la sanità canadese riceveranno vantaggi di SA conformi ai vantaggi SA disponibili per le società che acquistano prodotti attraverso Microsoft Open Value.</w:t>
      </w:r>
    </w:p>
    <w:p w14:paraId="19876424" w14:textId="77777777" w:rsidR="00023FE7" w:rsidRPr="0058047D" w:rsidRDefault="00023FE7" w:rsidP="0063466C">
      <w:pPr>
        <w:pStyle w:val="AppendixBodyText"/>
        <w:spacing w:after="0"/>
      </w:pPr>
      <w:r w:rsidRPr="0058047D">
        <w:rPr>
          <w:rFonts w:ascii="Tahoma" w:hAnsi="Tahoma" w:cs="Tahoma"/>
          <w:sz w:val="18"/>
        </w:rPr>
        <w:t>Nella tabella che segue sono illustrati i vantaggi di Software Assurance e dei Servizi Online.</w:t>
      </w:r>
      <w:r w:rsidR="00E34ED3" w:rsidRPr="0058047D">
        <w:rPr>
          <w:rFonts w:ascii="Tahoma" w:hAnsi="Tahoma" w:cs="Tahoma"/>
          <w:sz w:val="18"/>
        </w:rPr>
        <w:t xml:space="preserve"> </w:t>
      </w:r>
      <w:r w:rsidRPr="0058047D">
        <w:rPr>
          <w:rFonts w:ascii="Tahoma" w:hAnsi="Tahoma" w:cs="Tahoma"/>
          <w:sz w:val="18"/>
        </w:rPr>
        <w:t>Alcuni vantaggi corrispondono a licenze individuali per le quali è stata acquistata la copertura Software Assurance.</w:t>
      </w:r>
      <w:r w:rsidR="00E34ED3" w:rsidRPr="0058047D">
        <w:rPr>
          <w:rFonts w:ascii="Tahoma" w:hAnsi="Tahoma" w:cs="Tahoma"/>
          <w:sz w:val="18"/>
        </w:rPr>
        <w:t xml:space="preserve"> </w:t>
      </w:r>
      <w:r w:rsidRPr="0058047D">
        <w:rPr>
          <w:rFonts w:ascii="Tahoma" w:hAnsi="Tahoma" w:cs="Tahoma"/>
          <w:sz w:val="18"/>
        </w:rPr>
        <w:t>La copertura Software Assurance attiva o altra protezione dell</w:t>
      </w:r>
      <w:r w:rsidR="001C4212">
        <w:rPr>
          <w:rFonts w:ascii="Tahoma" w:hAnsi="Tahoma" w:cs="Tahoma"/>
          <w:sz w:val="18"/>
        </w:rPr>
        <w:t>’</w:t>
      </w:r>
      <w:r w:rsidRPr="0058047D">
        <w:rPr>
          <w:rFonts w:ascii="Tahoma" w:hAnsi="Tahoma" w:cs="Tahoma"/>
          <w:sz w:val="18"/>
        </w:rPr>
        <w:t>aggiornamento per qualsiasi prodotto qualificante, indipendentemente dalla versione del prodotto in uso presso la società, rende idonea la società a ottenere tali vantaggi.</w:t>
      </w:r>
      <w:r w:rsidR="00E34ED3" w:rsidRPr="0058047D">
        <w:rPr>
          <w:rFonts w:ascii="Tahoma" w:hAnsi="Tahoma" w:cs="Tahoma"/>
          <w:sz w:val="18"/>
        </w:rPr>
        <w:t xml:space="preserve"> </w:t>
      </w:r>
      <w:r w:rsidRPr="0058047D">
        <w:rPr>
          <w:rFonts w:ascii="Tahoma" w:hAnsi="Tahoma" w:cs="Tahoma"/>
          <w:sz w:val="18"/>
        </w:rPr>
        <w:t>I prodotti qualificanti sono indicati nella sezione relativa a ogni prodotto.</w:t>
      </w:r>
      <w:r w:rsidR="00E34ED3" w:rsidRPr="0058047D">
        <w:rPr>
          <w:rFonts w:ascii="Tahoma" w:hAnsi="Tahoma" w:cs="Tahoma"/>
          <w:sz w:val="18"/>
        </w:rPr>
        <w:t xml:space="preserve"> </w:t>
      </w:r>
      <w:r w:rsidRPr="0058047D">
        <w:rPr>
          <w:rFonts w:ascii="Tahoma" w:hAnsi="Tahoma" w:cs="Tahoma"/>
          <w:sz w:val="18"/>
        </w:rPr>
        <w:t>Alcuni vantaggi sono concessi sulla base della spesa SA effettuata dalla società per un determinato gruppo di prodotti qualificanti all</w:t>
      </w:r>
      <w:r w:rsidR="001C4212">
        <w:rPr>
          <w:rFonts w:ascii="Tahoma" w:hAnsi="Tahoma" w:cs="Tahoma"/>
          <w:sz w:val="18"/>
        </w:rPr>
        <w:t>’</w:t>
      </w:r>
      <w:r w:rsidRPr="0058047D">
        <w:rPr>
          <w:rFonts w:ascii="Tahoma" w:hAnsi="Tahoma" w:cs="Tahoma"/>
          <w:sz w:val="18"/>
        </w:rPr>
        <w:t>interno di un pool.</w:t>
      </w:r>
      <w:r w:rsidR="00E34ED3" w:rsidRPr="0058047D">
        <w:rPr>
          <w:rFonts w:ascii="Tahoma" w:hAnsi="Tahoma" w:cs="Tahoma"/>
          <w:sz w:val="18"/>
        </w:rPr>
        <w:t xml:space="preserve"> </w:t>
      </w:r>
      <w:r w:rsidRPr="0058047D">
        <w:rPr>
          <w:rFonts w:ascii="Tahoma" w:hAnsi="Tahoma" w:cs="Tahoma"/>
          <w:sz w:val="18"/>
        </w:rPr>
        <w:t>A questo proposito, “spesa SA” non significa letteralmente i soldi effettivi spesi dalla società.</w:t>
      </w:r>
      <w:r w:rsidR="00E34ED3" w:rsidRPr="0058047D">
        <w:rPr>
          <w:rFonts w:ascii="Tahoma" w:hAnsi="Tahoma" w:cs="Tahoma"/>
          <w:sz w:val="18"/>
        </w:rPr>
        <w:t xml:space="preserve"> </w:t>
      </w:r>
      <w:r w:rsidRPr="0058047D">
        <w:rPr>
          <w:rFonts w:ascii="Tahoma" w:hAnsi="Tahoma" w:cs="Tahoma"/>
          <w:sz w:val="18"/>
        </w:rPr>
        <w:t>Al contrario, indica l</w:t>
      </w:r>
      <w:r w:rsidR="001C4212">
        <w:rPr>
          <w:rFonts w:ascii="Tahoma" w:hAnsi="Tahoma" w:cs="Tahoma"/>
          <w:sz w:val="18"/>
        </w:rPr>
        <w:t>’</w:t>
      </w:r>
      <w:r w:rsidRPr="0058047D">
        <w:rPr>
          <w:rFonts w:ascii="Tahoma" w:hAnsi="Tahoma" w:cs="Tahoma"/>
          <w:sz w:val="18"/>
        </w:rPr>
        <w:t>importo approssimativo della spesa che una società ha sostenuto per fornire la copertura Software Assurance a tali prodotti ai sensi dell</w:t>
      </w:r>
      <w:r w:rsidR="001C4212">
        <w:rPr>
          <w:rFonts w:ascii="Tahoma" w:hAnsi="Tahoma" w:cs="Tahoma"/>
          <w:sz w:val="18"/>
        </w:rPr>
        <w:t>’</w:t>
      </w:r>
      <w:r w:rsidRPr="0058047D">
        <w:rPr>
          <w:rFonts w:ascii="Tahoma" w:hAnsi="Tahoma" w:cs="Tahoma"/>
          <w:sz w:val="18"/>
        </w:rPr>
        <w:t xml:space="preserve">iscrizione </w:t>
      </w:r>
      <w:r w:rsidRPr="0058047D">
        <w:rPr>
          <w:rFonts w:ascii="Tahoma" w:hAnsi="Tahoma" w:cs="Tahoma"/>
          <w:sz w:val="18"/>
          <w:szCs w:val="18"/>
        </w:rPr>
        <w:t>Select o Enterprise, della registrazione Select Plus o del contratto Open (ad esempio, per gli acquisti solo di SA e gli acquisti del componente SA di L&amp;SA).</w:t>
      </w:r>
      <w:r w:rsidR="00E34ED3" w:rsidRPr="0058047D">
        <w:rPr>
          <w:rFonts w:ascii="Tahoma" w:hAnsi="Tahoma" w:cs="Tahoma"/>
          <w:sz w:val="18"/>
          <w:szCs w:val="18"/>
        </w:rPr>
        <w:t xml:space="preserve"> </w:t>
      </w:r>
      <w:r w:rsidRPr="0058047D">
        <w:rPr>
          <w:rFonts w:ascii="Tahoma" w:hAnsi="Tahoma" w:cs="Tahoma"/>
          <w:sz w:val="18"/>
          <w:szCs w:val="18"/>
        </w:rPr>
        <w:t>Per le società che partecipano ai programmi “subscription”, rappresenta l</w:t>
      </w:r>
      <w:r w:rsidR="001C4212">
        <w:rPr>
          <w:rFonts w:ascii="Tahoma" w:hAnsi="Tahoma" w:cs="Tahoma"/>
          <w:sz w:val="18"/>
          <w:szCs w:val="18"/>
        </w:rPr>
        <w:t>’</w:t>
      </w:r>
      <w:r w:rsidRPr="0058047D">
        <w:rPr>
          <w:rFonts w:ascii="Tahoma" w:hAnsi="Tahoma" w:cs="Tahoma"/>
          <w:sz w:val="18"/>
          <w:szCs w:val="18"/>
        </w:rPr>
        <w:t>importo approssimativo della spesa totale che la società ha dovuto affrontare per ottenere in licenza tali prodotti ai sensi della sua iscrizione o del suo contratto.</w:t>
      </w:r>
      <w:r w:rsidR="00E34ED3" w:rsidRPr="0058047D">
        <w:rPr>
          <w:rFonts w:ascii="Tahoma" w:hAnsi="Tahoma" w:cs="Tahoma"/>
          <w:sz w:val="18"/>
          <w:szCs w:val="18"/>
        </w:rPr>
        <w:t xml:space="preserve"> </w:t>
      </w:r>
      <w:r w:rsidRPr="0058047D">
        <w:rPr>
          <w:rFonts w:ascii="Tahoma" w:hAnsi="Tahoma" w:cs="Tahoma"/>
          <w:sz w:val="18"/>
          <w:szCs w:val="18"/>
        </w:rPr>
        <w:t>Altri vantaggi corrispondono alla Partecipazione a Software Assurance; tale Partecipazione per il pool di prodotti applicabili rende idonea la società a ricevere questi vantaggi.</w:t>
      </w:r>
    </w:p>
    <w:p w14:paraId="7A19856D" w14:textId="77777777" w:rsidR="00023FE7" w:rsidRPr="0058047D" w:rsidRDefault="00023FE7" w:rsidP="0063466C">
      <w:pPr>
        <w:pStyle w:val="AppendixBodyText"/>
        <w:spacing w:after="0"/>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4B4C79" w:rsidRPr="0058047D" w14:paraId="12ED193B" w14:textId="77777777" w:rsidTr="007E466C">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14:paraId="4020AA52" w14:textId="77777777" w:rsidR="004B4C79" w:rsidRPr="0058047D" w:rsidRDefault="004B4C79" w:rsidP="00E06FE8">
            <w:pPr>
              <w:pStyle w:val="AppendixTableHeadings"/>
              <w:rPr>
                <w:rFonts w:ascii="Tahoma" w:hAnsi="Tahoma" w:cs="Tahoma"/>
                <w:sz w:val="20"/>
                <w:szCs w:val="20"/>
              </w:rPr>
            </w:pPr>
            <w:r w:rsidRPr="0058047D">
              <w:rPr>
                <w:rFonts w:ascii="Tahoma" w:hAnsi="Tahoma" w:cs="Tahoma"/>
                <w:sz w:val="20"/>
                <w:szCs w:val="20"/>
              </w:rPr>
              <w:t>Benefici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4032F237" w14:textId="77777777" w:rsidR="004B4C79" w:rsidRPr="0058047D" w:rsidRDefault="004B4C79" w:rsidP="00E06FE8">
            <w:pPr>
              <w:pStyle w:val="AppendixTableHeadings"/>
              <w:rPr>
                <w:rFonts w:ascii="Tahoma" w:hAnsi="Tahoma" w:cs="Tahoma"/>
                <w:sz w:val="20"/>
                <w:szCs w:val="20"/>
              </w:rPr>
            </w:pPr>
            <w:r w:rsidRPr="0058047D">
              <w:rPr>
                <w:rFonts w:ascii="Tahoma" w:hAnsi="Tahoma" w:cs="Tahoma"/>
                <w:sz w:val="20"/>
                <w:szCs w:val="20"/>
              </w:rPr>
              <w:t>Pool di Applicazioni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7D830D6E" w14:textId="77777777" w:rsidR="004B4C79" w:rsidRPr="0058047D" w:rsidRDefault="004B4C79" w:rsidP="00E06FE8">
            <w:pPr>
              <w:pStyle w:val="AppendixTableHeadings"/>
              <w:rPr>
                <w:rFonts w:ascii="Tahoma" w:hAnsi="Tahoma" w:cs="Tahoma"/>
                <w:sz w:val="20"/>
                <w:szCs w:val="20"/>
              </w:rPr>
            </w:pPr>
            <w:r w:rsidRPr="0058047D">
              <w:rPr>
                <w:rFonts w:ascii="Tahoma" w:hAnsi="Tahoma" w:cs="Tahoma"/>
                <w:sz w:val="20"/>
                <w:szCs w:val="20"/>
              </w:rPr>
              <w:t>Pool di Sistemi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27A732EB" w14:textId="77777777" w:rsidR="004B4C79" w:rsidRPr="0058047D" w:rsidRDefault="004B4C79" w:rsidP="00E06FE8">
            <w:pPr>
              <w:pStyle w:val="AppendixTableHeadings"/>
              <w:rPr>
                <w:rFonts w:ascii="Tahoma" w:hAnsi="Tahoma" w:cs="Tahoma"/>
                <w:sz w:val="20"/>
                <w:szCs w:val="20"/>
              </w:rPr>
            </w:pPr>
            <w:r w:rsidRPr="0058047D">
              <w:rPr>
                <w:rFonts w:ascii="Tahoma" w:hAnsi="Tahoma" w:cs="Tahoma"/>
                <w:sz w:val="20"/>
                <w:szCs w:val="20"/>
              </w:rPr>
              <w:t>Pool di Server</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545921E2" w14:textId="77777777" w:rsidR="004B4C79" w:rsidRPr="0058047D" w:rsidRDefault="006705D4" w:rsidP="00E06FE8">
            <w:pPr>
              <w:pStyle w:val="AppendixTableHeadings"/>
              <w:rPr>
                <w:rFonts w:ascii="Tahoma" w:hAnsi="Tahoma" w:cs="Tahoma"/>
                <w:sz w:val="20"/>
                <w:szCs w:val="20"/>
              </w:rPr>
            </w:pPr>
            <w:r w:rsidRPr="0058047D">
              <w:rPr>
                <w:rFonts w:ascii="Tahoma" w:hAnsi="Tahoma" w:cs="Tahoma"/>
                <w:sz w:val="20"/>
                <w:szCs w:val="20"/>
              </w:rPr>
              <w:t>Windows Intune (Per Dispositivo)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7A75C3FF" w14:textId="77777777" w:rsidR="004B4C79" w:rsidRPr="0058047D" w:rsidRDefault="004B4C79" w:rsidP="00E06FE8">
            <w:pPr>
              <w:pStyle w:val="AppendixTableHeadings"/>
              <w:rPr>
                <w:rFonts w:ascii="Tahoma" w:hAnsi="Tahoma" w:cs="Tahoma"/>
                <w:sz w:val="20"/>
                <w:szCs w:val="20"/>
              </w:rPr>
            </w:pPr>
            <w:r w:rsidRPr="0058047D">
              <w:rPr>
                <w:rFonts w:ascii="Tahoma" w:hAnsi="Tahoma" w:cs="Tahoma"/>
                <w:sz w:val="20"/>
                <w:szCs w:val="20"/>
              </w:rPr>
              <w:t>Office 365</w:t>
            </w:r>
          </w:p>
        </w:tc>
      </w:tr>
      <w:tr w:rsidR="004B4C79" w:rsidRPr="0058047D" w14:paraId="758B15A8" w14:textId="77777777" w:rsidTr="007E466C">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2CEDAF32" w14:textId="77777777" w:rsidR="004B4C79" w:rsidRPr="0058047D" w:rsidRDefault="004B4C79">
            <w:pPr>
              <w:pStyle w:val="AppendixTableText"/>
              <w:jc w:val="left"/>
              <w:rPr>
                <w:rFonts w:ascii="Tahoma" w:hAnsi="Tahoma" w:cs="Tahoma"/>
              </w:rPr>
            </w:pPr>
            <w:r w:rsidRPr="0058047D">
              <w:rPr>
                <w:rFonts w:ascii="Tahoma" w:hAnsi="Tahoma" w:cs="Tahoma"/>
              </w:rPr>
              <w:t>Diritti su Versioni Nuove</w:t>
            </w:r>
          </w:p>
        </w:tc>
        <w:tc>
          <w:tcPr>
            <w:tcW w:w="1530" w:type="dxa"/>
            <w:tcBorders>
              <w:top w:val="single" w:sz="8" w:space="0" w:color="auto"/>
              <w:left w:val="nil"/>
              <w:bottom w:val="single" w:sz="4" w:space="0" w:color="auto"/>
              <w:right w:val="single" w:sz="4" w:space="0" w:color="auto"/>
            </w:tcBorders>
            <w:vAlign w:val="center"/>
          </w:tcPr>
          <w:p w14:paraId="3566E4EF" w14:textId="77777777" w:rsidR="004B4C79" w:rsidRPr="0058047D" w:rsidRDefault="004B4C79" w:rsidP="00E06FE8">
            <w:pPr>
              <w:pStyle w:val="AppendixTableText"/>
              <w:rPr>
                <w:rFonts w:ascii="Tahoma" w:hAnsi="Tahoma" w:cs="Tahoma"/>
              </w:rPr>
            </w:pPr>
            <w:r w:rsidRPr="0058047D">
              <w:rPr>
                <w:rFonts w:ascii="Tahoma" w:hAnsi="Tahoma" w:cs="Tahoma"/>
              </w:rPr>
              <w:t>Sì</w:t>
            </w:r>
          </w:p>
        </w:tc>
        <w:tc>
          <w:tcPr>
            <w:tcW w:w="1530" w:type="dxa"/>
            <w:tcBorders>
              <w:top w:val="single" w:sz="8" w:space="0" w:color="auto"/>
              <w:left w:val="nil"/>
              <w:bottom w:val="single" w:sz="4" w:space="0" w:color="auto"/>
              <w:right w:val="single" w:sz="4" w:space="0" w:color="auto"/>
            </w:tcBorders>
            <w:vAlign w:val="center"/>
          </w:tcPr>
          <w:p w14:paraId="47698183" w14:textId="77777777" w:rsidR="004B4C79" w:rsidRPr="0058047D" w:rsidRDefault="004B4C79" w:rsidP="00E06FE8">
            <w:pPr>
              <w:pStyle w:val="AppendixTableText"/>
              <w:rPr>
                <w:rFonts w:ascii="Tahoma" w:hAnsi="Tahoma" w:cs="Tahoma"/>
              </w:rPr>
            </w:pPr>
            <w:r w:rsidRPr="0058047D">
              <w:rPr>
                <w:rFonts w:ascii="Tahoma" w:hAnsi="Tahoma" w:cs="Tahoma"/>
              </w:rPr>
              <w:t>Sì</w:t>
            </w:r>
          </w:p>
        </w:tc>
        <w:tc>
          <w:tcPr>
            <w:tcW w:w="1530" w:type="dxa"/>
            <w:tcBorders>
              <w:top w:val="single" w:sz="8" w:space="0" w:color="auto"/>
              <w:left w:val="nil"/>
              <w:bottom w:val="single" w:sz="4" w:space="0" w:color="auto"/>
              <w:right w:val="single" w:sz="4" w:space="0" w:color="auto"/>
            </w:tcBorders>
            <w:vAlign w:val="center"/>
          </w:tcPr>
          <w:p w14:paraId="359A4C84" w14:textId="77777777" w:rsidR="004B4C79" w:rsidRPr="0058047D" w:rsidRDefault="004B4C79" w:rsidP="00E06FE8">
            <w:pPr>
              <w:pStyle w:val="AppendixTableText"/>
              <w:rPr>
                <w:rFonts w:ascii="Tahoma" w:hAnsi="Tahoma" w:cs="Tahoma"/>
              </w:rPr>
            </w:pPr>
            <w:r w:rsidRPr="0058047D">
              <w:rPr>
                <w:rFonts w:ascii="Tahoma" w:hAnsi="Tahoma" w:cs="Tahoma"/>
              </w:rPr>
              <w:t>Sì</w:t>
            </w:r>
          </w:p>
        </w:tc>
        <w:tc>
          <w:tcPr>
            <w:tcW w:w="1530" w:type="dxa"/>
            <w:tcBorders>
              <w:top w:val="single" w:sz="8" w:space="0" w:color="auto"/>
              <w:left w:val="nil"/>
              <w:bottom w:val="single" w:sz="4" w:space="0" w:color="auto"/>
              <w:right w:val="single" w:sz="4" w:space="0" w:color="auto"/>
            </w:tcBorders>
            <w:vAlign w:val="center"/>
          </w:tcPr>
          <w:p w14:paraId="7B763A31" w14:textId="77777777" w:rsidR="004B4C79" w:rsidRPr="0058047D" w:rsidRDefault="00302B84" w:rsidP="00E06FE8">
            <w:pPr>
              <w:pStyle w:val="AppendixTableText"/>
              <w:rPr>
                <w:rFonts w:ascii="Tahoma" w:hAnsi="Tahoma" w:cs="Tahoma"/>
              </w:rPr>
            </w:pPr>
            <w:r w:rsidRPr="0058047D">
              <w:rPr>
                <w:rFonts w:ascii="Tahoma" w:hAnsi="Tahoma" w:cs="Tahoma"/>
              </w:rPr>
              <w:t>Sì</w:t>
            </w:r>
          </w:p>
        </w:tc>
        <w:tc>
          <w:tcPr>
            <w:tcW w:w="1440" w:type="dxa"/>
            <w:tcBorders>
              <w:top w:val="single" w:sz="8" w:space="0" w:color="auto"/>
              <w:left w:val="nil"/>
              <w:bottom w:val="single" w:sz="4" w:space="0" w:color="auto"/>
              <w:right w:val="single" w:sz="4" w:space="0" w:color="auto"/>
            </w:tcBorders>
            <w:vAlign w:val="center"/>
          </w:tcPr>
          <w:p w14:paraId="01A36CA1" w14:textId="77777777" w:rsidR="004B4C79" w:rsidRPr="0058047D" w:rsidRDefault="00302B84" w:rsidP="00E06FE8">
            <w:pPr>
              <w:pStyle w:val="AppendixTableText"/>
              <w:rPr>
                <w:rFonts w:ascii="Tahoma" w:hAnsi="Tahoma" w:cs="Tahoma"/>
              </w:rPr>
            </w:pPr>
            <w:r w:rsidRPr="0058047D">
              <w:rPr>
                <w:rFonts w:ascii="Tahoma" w:hAnsi="Tahoma" w:cs="Tahoma"/>
              </w:rPr>
              <w:t>Sì</w:t>
            </w:r>
          </w:p>
        </w:tc>
      </w:tr>
      <w:tr w:rsidR="004B4C79" w:rsidRPr="0058047D" w14:paraId="2C21D670"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73CABE92" w14:textId="77777777" w:rsidR="004B4C79" w:rsidRPr="0058047D" w:rsidRDefault="004B4C79">
            <w:pPr>
              <w:pStyle w:val="AppendixTableText"/>
              <w:jc w:val="left"/>
              <w:rPr>
                <w:rFonts w:ascii="Tahoma" w:hAnsi="Tahoma" w:cs="Tahoma"/>
              </w:rPr>
            </w:pPr>
            <w:r w:rsidRPr="0058047D">
              <w:rPr>
                <w:rFonts w:ascii="Tahoma" w:hAnsi="Tahoma" w:cs="Tahoma"/>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14:paraId="43FDEC09" w14:textId="77777777" w:rsidR="004B4C79" w:rsidRPr="0058047D" w:rsidRDefault="004B4C79" w:rsidP="00E06FE8">
            <w:pPr>
              <w:pStyle w:val="AppendixTableText"/>
              <w:rPr>
                <w:rFonts w:ascii="Tahoma" w:hAnsi="Tahoma" w:cs="Tahoma"/>
              </w:rPr>
            </w:pPr>
            <w:r w:rsidRPr="0058047D">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14:paraId="7F54FEFD" w14:textId="77777777" w:rsidR="004B4C79" w:rsidRPr="0058047D"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7AC73B6C" w14:textId="77777777" w:rsidR="004B4C79" w:rsidRPr="0058047D"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14:paraId="483FA6D4" w14:textId="77777777" w:rsidR="004B4C79" w:rsidRPr="0058047D"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4CEFF1F3" w14:textId="77777777" w:rsidR="004B4C79" w:rsidRPr="0058047D" w:rsidRDefault="004B4C79" w:rsidP="00E06FE8">
            <w:pPr>
              <w:pStyle w:val="AppendixTableText"/>
              <w:rPr>
                <w:rStyle w:val="CommentReference"/>
                <w:rFonts w:ascii="Tahoma" w:hAnsi="Tahoma" w:cs="Tahoma"/>
                <w:sz w:val="18"/>
                <w:szCs w:val="18"/>
              </w:rPr>
            </w:pPr>
            <w:r w:rsidRPr="0058047D">
              <w:rPr>
                <w:rFonts w:ascii="Tahoma" w:hAnsi="Tahoma" w:cs="Tahoma"/>
              </w:rPr>
              <w:t>Sì</w:t>
            </w:r>
          </w:p>
        </w:tc>
      </w:tr>
      <w:tr w:rsidR="004B4C79" w:rsidRPr="0058047D" w14:paraId="16978C69"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92C5464" w14:textId="77777777" w:rsidR="004B4C79" w:rsidRPr="0058047D" w:rsidRDefault="00E7419A">
            <w:pPr>
              <w:pStyle w:val="AppendixTableText"/>
              <w:jc w:val="left"/>
              <w:rPr>
                <w:rFonts w:ascii="Tahoma" w:hAnsi="Tahoma" w:cs="Tahoma"/>
              </w:rPr>
            </w:pPr>
            <w:r w:rsidRPr="0058047D">
              <w:rPr>
                <w:rFonts w:ascii="Tahoma" w:hAnsi="Tahoma" w:cs="Tahoma"/>
              </w:rPr>
              <w:t>Planning Services</w:t>
            </w:r>
          </w:p>
        </w:tc>
        <w:tc>
          <w:tcPr>
            <w:tcW w:w="1530" w:type="dxa"/>
            <w:tcBorders>
              <w:top w:val="single" w:sz="6" w:space="0" w:color="auto"/>
              <w:left w:val="single" w:sz="6" w:space="0" w:color="auto"/>
              <w:bottom w:val="single" w:sz="6" w:space="0" w:color="auto"/>
              <w:right w:val="single" w:sz="6" w:space="0" w:color="auto"/>
            </w:tcBorders>
            <w:vAlign w:val="center"/>
          </w:tcPr>
          <w:p w14:paraId="24AE41AB" w14:textId="77777777" w:rsidR="004B4C79" w:rsidRPr="0058047D" w:rsidRDefault="004B4C79" w:rsidP="00E06FE8">
            <w:pPr>
              <w:pStyle w:val="AppendixTableText"/>
              <w:rPr>
                <w:rFonts w:ascii="Tahoma" w:hAnsi="Tahoma" w:cs="Tahoma"/>
              </w:rPr>
            </w:pPr>
            <w:r w:rsidRPr="0058047D">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14:paraId="4C19FF95" w14:textId="77777777" w:rsidR="004B4C79" w:rsidRPr="0058047D"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1C6ED564" w14:textId="77777777" w:rsidR="004B4C79" w:rsidRPr="0058047D" w:rsidRDefault="004B4C79" w:rsidP="00E06FE8">
            <w:pPr>
              <w:pStyle w:val="AppendixTableText"/>
              <w:rPr>
                <w:rStyle w:val="CommentReference"/>
                <w:rFonts w:ascii="Tahoma" w:hAnsi="Tahoma" w:cs="Tahoma"/>
                <w:sz w:val="18"/>
                <w:szCs w:val="18"/>
              </w:rPr>
            </w:pPr>
            <w:r w:rsidRPr="0058047D">
              <w:rPr>
                <w:rStyle w:val="CommentReference"/>
                <w:rFonts w:ascii="Tahoma" w:hAnsi="Tahoma" w:cs="Tahoma"/>
                <w:sz w:val="18"/>
                <w:szCs w:val="18"/>
              </w:rPr>
              <w:t>Sì</w:t>
            </w:r>
          </w:p>
        </w:tc>
        <w:tc>
          <w:tcPr>
            <w:tcW w:w="1530" w:type="dxa"/>
            <w:tcBorders>
              <w:top w:val="single" w:sz="6" w:space="0" w:color="auto"/>
              <w:left w:val="single" w:sz="6" w:space="0" w:color="auto"/>
              <w:bottom w:val="single" w:sz="6" w:space="0" w:color="auto"/>
              <w:right w:val="single" w:sz="4" w:space="0" w:color="auto"/>
            </w:tcBorders>
            <w:vAlign w:val="center"/>
          </w:tcPr>
          <w:p w14:paraId="62FD2422" w14:textId="77777777" w:rsidR="004B4C79" w:rsidRPr="0058047D"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24601F25" w14:textId="77777777" w:rsidR="004B4C79" w:rsidRPr="0058047D" w:rsidRDefault="004B4C79" w:rsidP="00E06FE8">
            <w:pPr>
              <w:pStyle w:val="AppendixTableText"/>
              <w:rPr>
                <w:rStyle w:val="CommentReference"/>
                <w:rFonts w:ascii="Tahoma" w:hAnsi="Tahoma" w:cs="Tahoma"/>
                <w:sz w:val="18"/>
                <w:szCs w:val="18"/>
              </w:rPr>
            </w:pPr>
          </w:p>
        </w:tc>
      </w:tr>
      <w:tr w:rsidR="004B4C79" w:rsidRPr="0058047D" w14:paraId="1A87EBEC"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4EF253F0" w14:textId="77777777" w:rsidR="004B4C79" w:rsidRPr="0058047D" w:rsidRDefault="004B4C79" w:rsidP="008D0051">
            <w:pPr>
              <w:pStyle w:val="AppendixTableText"/>
              <w:jc w:val="left"/>
              <w:rPr>
                <w:rFonts w:ascii="Tahoma" w:hAnsi="Tahoma" w:cs="Tahoma"/>
              </w:rPr>
            </w:pPr>
            <w:r w:rsidRPr="0058047D">
              <w:rPr>
                <w:rFonts w:ascii="Tahoma" w:hAnsi="Tahoma" w:cs="Tahoma"/>
              </w:rPr>
              <w:t>Enterprise Edition Rights</w:t>
            </w:r>
          </w:p>
        </w:tc>
        <w:tc>
          <w:tcPr>
            <w:tcW w:w="1530" w:type="dxa"/>
            <w:tcBorders>
              <w:top w:val="nil"/>
              <w:left w:val="nil"/>
              <w:bottom w:val="single" w:sz="4" w:space="0" w:color="auto"/>
              <w:right w:val="single" w:sz="4" w:space="0" w:color="auto"/>
            </w:tcBorders>
            <w:vAlign w:val="center"/>
          </w:tcPr>
          <w:p w14:paraId="418AF614" w14:textId="77777777" w:rsidR="004B4C79" w:rsidRPr="0058047D"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0B0F3995" w14:textId="77777777" w:rsidR="004B4C79" w:rsidRPr="0058047D" w:rsidRDefault="004B4C79" w:rsidP="00E06FE8">
            <w:pPr>
              <w:pStyle w:val="AppendixTableText"/>
              <w:rPr>
                <w:rFonts w:ascii="Tahoma" w:hAnsi="Tahoma" w:cs="Tahoma"/>
              </w:rPr>
            </w:pPr>
            <w:r w:rsidRPr="0058047D">
              <w:rPr>
                <w:rFonts w:ascii="Tahoma" w:hAnsi="Tahoma" w:cs="Tahoma"/>
              </w:rPr>
              <w:t>Sì</w:t>
            </w:r>
          </w:p>
        </w:tc>
        <w:tc>
          <w:tcPr>
            <w:tcW w:w="1530" w:type="dxa"/>
            <w:tcBorders>
              <w:top w:val="nil"/>
              <w:left w:val="nil"/>
              <w:bottom w:val="single" w:sz="4" w:space="0" w:color="auto"/>
              <w:right w:val="single" w:sz="4" w:space="0" w:color="auto"/>
            </w:tcBorders>
            <w:vAlign w:val="center"/>
          </w:tcPr>
          <w:p w14:paraId="6220B436" w14:textId="77777777" w:rsidR="004B4C79" w:rsidRPr="0058047D"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BAE6678" w14:textId="77777777" w:rsidR="004B4C79" w:rsidRPr="0058047D" w:rsidRDefault="004B4C79" w:rsidP="00E06FE8">
            <w:pPr>
              <w:pStyle w:val="AppendixTableText"/>
              <w:rPr>
                <w:rFonts w:ascii="Tahoma" w:hAnsi="Tahoma" w:cs="Tahoma"/>
              </w:rPr>
            </w:pPr>
            <w:r w:rsidRPr="0058047D">
              <w:rPr>
                <w:rFonts w:ascii="Tahoma" w:hAnsi="Tahoma" w:cs="Tahoma"/>
              </w:rPr>
              <w:t>Sì</w:t>
            </w:r>
          </w:p>
        </w:tc>
        <w:tc>
          <w:tcPr>
            <w:tcW w:w="1440" w:type="dxa"/>
            <w:tcBorders>
              <w:top w:val="nil"/>
              <w:left w:val="nil"/>
              <w:bottom w:val="single" w:sz="4" w:space="0" w:color="auto"/>
              <w:right w:val="single" w:sz="4" w:space="0" w:color="auto"/>
            </w:tcBorders>
            <w:vAlign w:val="center"/>
          </w:tcPr>
          <w:p w14:paraId="0C9DBDD2" w14:textId="77777777" w:rsidR="004B4C79" w:rsidRPr="0058047D" w:rsidRDefault="004B4C79" w:rsidP="00E06FE8">
            <w:pPr>
              <w:pStyle w:val="AppendixTableText"/>
              <w:rPr>
                <w:rFonts w:ascii="Tahoma" w:hAnsi="Tahoma" w:cs="Tahoma"/>
              </w:rPr>
            </w:pPr>
          </w:p>
        </w:tc>
      </w:tr>
      <w:tr w:rsidR="004B4C79" w:rsidRPr="0058047D" w14:paraId="625CFDC2"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6B726CE9" w14:textId="77777777" w:rsidR="004B4C79" w:rsidRPr="0058047D" w:rsidRDefault="004B4C79">
            <w:pPr>
              <w:pStyle w:val="AppendixTableText"/>
              <w:jc w:val="left"/>
              <w:rPr>
                <w:rFonts w:ascii="Tahoma" w:hAnsi="Tahoma" w:cs="Tahoma"/>
              </w:rPr>
            </w:pPr>
            <w:r w:rsidRPr="0058047D">
              <w:rPr>
                <w:rFonts w:ascii="Tahoma" w:hAnsi="Tahoma" w:cs="Tahoma"/>
              </w:rPr>
              <w:t>Voucher Corsi</w:t>
            </w:r>
          </w:p>
        </w:tc>
        <w:tc>
          <w:tcPr>
            <w:tcW w:w="1530" w:type="dxa"/>
            <w:tcBorders>
              <w:top w:val="nil"/>
              <w:left w:val="nil"/>
              <w:bottom w:val="single" w:sz="4" w:space="0" w:color="auto"/>
              <w:right w:val="single" w:sz="4" w:space="0" w:color="auto"/>
            </w:tcBorders>
            <w:vAlign w:val="center"/>
          </w:tcPr>
          <w:p w14:paraId="1FC91EFB" w14:textId="77777777" w:rsidR="004B4C79" w:rsidRPr="0058047D" w:rsidRDefault="004B4C79" w:rsidP="00E06FE8">
            <w:pPr>
              <w:pStyle w:val="AppendixTableText"/>
              <w:rPr>
                <w:rFonts w:ascii="Tahoma" w:hAnsi="Tahoma" w:cs="Tahoma"/>
              </w:rPr>
            </w:pPr>
            <w:r w:rsidRPr="0058047D">
              <w:rPr>
                <w:rFonts w:ascii="Tahoma" w:hAnsi="Tahoma" w:cs="Tahoma"/>
              </w:rPr>
              <w:t>Sì</w:t>
            </w:r>
          </w:p>
        </w:tc>
        <w:tc>
          <w:tcPr>
            <w:tcW w:w="1530" w:type="dxa"/>
            <w:tcBorders>
              <w:top w:val="nil"/>
              <w:left w:val="nil"/>
              <w:bottom w:val="single" w:sz="4" w:space="0" w:color="auto"/>
              <w:right w:val="single" w:sz="4" w:space="0" w:color="auto"/>
            </w:tcBorders>
            <w:vAlign w:val="center"/>
          </w:tcPr>
          <w:p w14:paraId="01B6523D" w14:textId="77777777" w:rsidR="004B4C79" w:rsidRPr="0058047D" w:rsidRDefault="004B4C79" w:rsidP="00E06FE8">
            <w:pPr>
              <w:pStyle w:val="AppendixTableText"/>
              <w:rPr>
                <w:rFonts w:ascii="Tahoma" w:hAnsi="Tahoma" w:cs="Tahoma"/>
              </w:rPr>
            </w:pPr>
            <w:r w:rsidRPr="0058047D">
              <w:rPr>
                <w:rFonts w:ascii="Tahoma" w:hAnsi="Tahoma" w:cs="Tahoma"/>
              </w:rPr>
              <w:t>Sì</w:t>
            </w:r>
          </w:p>
        </w:tc>
        <w:tc>
          <w:tcPr>
            <w:tcW w:w="1530" w:type="dxa"/>
            <w:tcBorders>
              <w:top w:val="nil"/>
              <w:left w:val="nil"/>
              <w:bottom w:val="single" w:sz="4" w:space="0" w:color="auto"/>
              <w:right w:val="single" w:sz="4" w:space="0" w:color="auto"/>
            </w:tcBorders>
            <w:vAlign w:val="center"/>
          </w:tcPr>
          <w:p w14:paraId="4A7D9379" w14:textId="77777777" w:rsidR="004B4C79" w:rsidRPr="0058047D"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4E8F7455" w14:textId="77777777" w:rsidR="004B4C79" w:rsidRPr="0058047D"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706EB685" w14:textId="77777777" w:rsidR="004B4C79" w:rsidRPr="0058047D" w:rsidRDefault="004B4C79" w:rsidP="00E06FE8">
            <w:pPr>
              <w:pStyle w:val="AppendixTableText"/>
              <w:rPr>
                <w:rFonts w:ascii="Tahoma" w:hAnsi="Tahoma" w:cs="Tahoma"/>
              </w:rPr>
            </w:pPr>
          </w:p>
        </w:tc>
      </w:tr>
      <w:tr w:rsidR="004B4C79" w:rsidRPr="0058047D" w14:paraId="6508ADC6"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247FD59E" w14:textId="77777777" w:rsidR="004B4C79" w:rsidRPr="0058047D" w:rsidRDefault="004B4C79">
            <w:pPr>
              <w:pStyle w:val="AppendixTableText"/>
              <w:jc w:val="left"/>
              <w:rPr>
                <w:rFonts w:ascii="Tahoma" w:hAnsi="Tahoma" w:cs="Tahoma"/>
              </w:rPr>
            </w:pPr>
            <w:r w:rsidRPr="0058047D">
              <w:rPr>
                <w:rFonts w:ascii="Tahoma" w:hAnsi="Tahoma" w:cs="Tahoma"/>
              </w:rPr>
              <w:t>E-Learning</w:t>
            </w:r>
          </w:p>
        </w:tc>
        <w:tc>
          <w:tcPr>
            <w:tcW w:w="1530" w:type="dxa"/>
            <w:tcBorders>
              <w:top w:val="nil"/>
              <w:left w:val="nil"/>
              <w:bottom w:val="single" w:sz="4" w:space="0" w:color="auto"/>
              <w:right w:val="single" w:sz="4" w:space="0" w:color="auto"/>
            </w:tcBorders>
            <w:vAlign w:val="center"/>
          </w:tcPr>
          <w:p w14:paraId="5732D594" w14:textId="77777777" w:rsidR="004B4C79" w:rsidRPr="0058047D" w:rsidRDefault="004B4C79" w:rsidP="00E06FE8">
            <w:pPr>
              <w:pStyle w:val="AppendixTableText"/>
              <w:rPr>
                <w:rFonts w:ascii="Tahoma" w:hAnsi="Tahoma" w:cs="Tahoma"/>
              </w:rPr>
            </w:pPr>
            <w:r w:rsidRPr="0058047D">
              <w:rPr>
                <w:rFonts w:ascii="Tahoma" w:hAnsi="Tahoma" w:cs="Tahoma"/>
              </w:rPr>
              <w:t>Sì</w:t>
            </w:r>
          </w:p>
        </w:tc>
        <w:tc>
          <w:tcPr>
            <w:tcW w:w="1530" w:type="dxa"/>
            <w:tcBorders>
              <w:top w:val="nil"/>
              <w:left w:val="nil"/>
              <w:bottom w:val="single" w:sz="4" w:space="0" w:color="auto"/>
              <w:right w:val="single" w:sz="4" w:space="0" w:color="auto"/>
            </w:tcBorders>
            <w:vAlign w:val="center"/>
          </w:tcPr>
          <w:p w14:paraId="54387E09" w14:textId="77777777" w:rsidR="004B4C79" w:rsidRPr="0058047D" w:rsidRDefault="004B4C79" w:rsidP="00E06FE8">
            <w:pPr>
              <w:pStyle w:val="AppendixTableText"/>
              <w:rPr>
                <w:rFonts w:ascii="Tahoma" w:hAnsi="Tahoma" w:cs="Tahoma"/>
              </w:rPr>
            </w:pPr>
            <w:r w:rsidRPr="0058047D">
              <w:rPr>
                <w:rFonts w:ascii="Tahoma" w:hAnsi="Tahoma" w:cs="Tahoma"/>
              </w:rPr>
              <w:t>Sì</w:t>
            </w:r>
          </w:p>
        </w:tc>
        <w:tc>
          <w:tcPr>
            <w:tcW w:w="1530" w:type="dxa"/>
            <w:tcBorders>
              <w:top w:val="nil"/>
              <w:left w:val="nil"/>
              <w:bottom w:val="single" w:sz="4" w:space="0" w:color="auto"/>
              <w:right w:val="single" w:sz="4" w:space="0" w:color="auto"/>
            </w:tcBorders>
            <w:vAlign w:val="center"/>
          </w:tcPr>
          <w:p w14:paraId="1647EEFF" w14:textId="77777777" w:rsidR="004B4C79" w:rsidRPr="0058047D" w:rsidRDefault="004B4C79" w:rsidP="00E06FE8">
            <w:pPr>
              <w:pStyle w:val="AppendixTableText"/>
              <w:rPr>
                <w:rFonts w:ascii="Tahoma" w:hAnsi="Tahoma" w:cs="Tahoma"/>
              </w:rPr>
            </w:pPr>
            <w:r w:rsidRPr="0058047D">
              <w:rPr>
                <w:rFonts w:ascii="Tahoma" w:hAnsi="Tahoma" w:cs="Tahoma"/>
              </w:rPr>
              <w:t>Sì</w:t>
            </w:r>
          </w:p>
        </w:tc>
        <w:tc>
          <w:tcPr>
            <w:tcW w:w="1530" w:type="dxa"/>
            <w:tcBorders>
              <w:top w:val="nil"/>
              <w:left w:val="nil"/>
              <w:bottom w:val="single" w:sz="4" w:space="0" w:color="auto"/>
              <w:right w:val="single" w:sz="4" w:space="0" w:color="auto"/>
            </w:tcBorders>
            <w:vAlign w:val="center"/>
          </w:tcPr>
          <w:p w14:paraId="60A86A4D" w14:textId="77777777" w:rsidR="004B4C79" w:rsidRPr="0058047D" w:rsidRDefault="004B4C79" w:rsidP="00E06FE8">
            <w:pPr>
              <w:pStyle w:val="AppendixTableText"/>
              <w:rPr>
                <w:rFonts w:ascii="Tahoma" w:hAnsi="Tahoma" w:cs="Tahoma"/>
              </w:rPr>
            </w:pPr>
            <w:r w:rsidRPr="0058047D">
              <w:rPr>
                <w:rFonts w:ascii="Tahoma" w:hAnsi="Tahoma" w:cs="Tahoma"/>
              </w:rPr>
              <w:t>Sì</w:t>
            </w:r>
          </w:p>
        </w:tc>
        <w:tc>
          <w:tcPr>
            <w:tcW w:w="1440" w:type="dxa"/>
            <w:tcBorders>
              <w:top w:val="nil"/>
              <w:left w:val="nil"/>
              <w:bottom w:val="single" w:sz="4" w:space="0" w:color="auto"/>
              <w:right w:val="single" w:sz="4" w:space="0" w:color="auto"/>
            </w:tcBorders>
            <w:vAlign w:val="center"/>
          </w:tcPr>
          <w:p w14:paraId="3802F89F" w14:textId="77777777" w:rsidR="004B4C79" w:rsidRPr="0058047D" w:rsidRDefault="004B4C79" w:rsidP="00E06FE8">
            <w:pPr>
              <w:pStyle w:val="AppendixTableText"/>
              <w:rPr>
                <w:rFonts w:ascii="Tahoma" w:hAnsi="Tahoma" w:cs="Tahoma"/>
              </w:rPr>
            </w:pPr>
            <w:r w:rsidRPr="0058047D">
              <w:rPr>
                <w:rFonts w:ascii="Tahoma" w:hAnsi="Tahoma" w:cs="Tahoma"/>
              </w:rPr>
              <w:t>Sì</w:t>
            </w:r>
          </w:p>
        </w:tc>
      </w:tr>
      <w:tr w:rsidR="004B4C79" w:rsidRPr="0058047D" w14:paraId="122A1B7F"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18FF5FBF" w14:textId="77777777" w:rsidR="004B4C79" w:rsidRPr="0058047D" w:rsidRDefault="004B4C79">
            <w:pPr>
              <w:pStyle w:val="AppendixTableText"/>
              <w:jc w:val="left"/>
              <w:rPr>
                <w:rFonts w:ascii="Tahoma" w:hAnsi="Tahoma" w:cs="Tahoma"/>
              </w:rPr>
            </w:pPr>
            <w:r w:rsidRPr="0058047D">
              <w:rPr>
                <w:rFonts w:ascii="Tahoma" w:hAnsi="Tahoma" w:cs="Tahoma"/>
              </w:rPr>
              <w:t>Home Use Program</w:t>
            </w:r>
          </w:p>
        </w:tc>
        <w:tc>
          <w:tcPr>
            <w:tcW w:w="1530" w:type="dxa"/>
            <w:tcBorders>
              <w:top w:val="nil"/>
              <w:left w:val="nil"/>
              <w:bottom w:val="single" w:sz="4" w:space="0" w:color="auto"/>
              <w:right w:val="single" w:sz="4" w:space="0" w:color="auto"/>
            </w:tcBorders>
            <w:vAlign w:val="center"/>
          </w:tcPr>
          <w:p w14:paraId="1808DB8F" w14:textId="77777777" w:rsidR="004B4C79" w:rsidRPr="0058047D" w:rsidRDefault="004B4C79" w:rsidP="00E06FE8">
            <w:pPr>
              <w:pStyle w:val="AppendixTableText"/>
              <w:rPr>
                <w:rFonts w:ascii="Tahoma" w:hAnsi="Tahoma" w:cs="Tahoma"/>
              </w:rPr>
            </w:pPr>
            <w:r w:rsidRPr="0058047D">
              <w:rPr>
                <w:rFonts w:ascii="Tahoma" w:hAnsi="Tahoma" w:cs="Tahoma"/>
              </w:rPr>
              <w:t>Sì</w:t>
            </w:r>
          </w:p>
        </w:tc>
        <w:tc>
          <w:tcPr>
            <w:tcW w:w="1530" w:type="dxa"/>
            <w:tcBorders>
              <w:top w:val="nil"/>
              <w:left w:val="nil"/>
              <w:bottom w:val="single" w:sz="4" w:space="0" w:color="auto"/>
              <w:right w:val="single" w:sz="4" w:space="0" w:color="auto"/>
            </w:tcBorders>
            <w:vAlign w:val="center"/>
          </w:tcPr>
          <w:p w14:paraId="26DBC721" w14:textId="77777777" w:rsidR="004B4C79" w:rsidRPr="0058047D"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8731015" w14:textId="77777777" w:rsidR="004B4C79" w:rsidRPr="0058047D"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13CE053" w14:textId="77777777" w:rsidR="004B4C79" w:rsidRPr="0058047D"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2776C32B" w14:textId="77777777" w:rsidR="004B4C79" w:rsidRPr="0058047D" w:rsidRDefault="004B4C79" w:rsidP="00E06FE8">
            <w:pPr>
              <w:pStyle w:val="AppendixTableText"/>
              <w:rPr>
                <w:rFonts w:ascii="Tahoma" w:hAnsi="Tahoma" w:cs="Tahoma"/>
              </w:rPr>
            </w:pPr>
          </w:p>
        </w:tc>
      </w:tr>
      <w:tr w:rsidR="004B4C79" w:rsidRPr="0058047D" w14:paraId="3455993D"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746D8690" w14:textId="77777777" w:rsidR="004B4C79" w:rsidRPr="0058047D" w:rsidRDefault="004B4C79">
            <w:pPr>
              <w:pStyle w:val="AppendixTableText"/>
              <w:jc w:val="left"/>
              <w:rPr>
                <w:rFonts w:ascii="Tahoma" w:hAnsi="Tahoma" w:cs="Tahoma"/>
              </w:rPr>
            </w:pPr>
            <w:r w:rsidRPr="0058047D">
              <w:rPr>
                <w:rFonts w:ascii="Tahoma" w:hAnsi="Tahoma" w:cs="Tahoma"/>
              </w:rPr>
              <w:t>Enterprise Source Licensing Program</w:t>
            </w:r>
          </w:p>
        </w:tc>
        <w:tc>
          <w:tcPr>
            <w:tcW w:w="1530" w:type="dxa"/>
            <w:tcBorders>
              <w:top w:val="nil"/>
              <w:left w:val="nil"/>
              <w:bottom w:val="single" w:sz="4" w:space="0" w:color="auto"/>
              <w:right w:val="single" w:sz="4" w:space="0" w:color="auto"/>
            </w:tcBorders>
            <w:vAlign w:val="center"/>
          </w:tcPr>
          <w:p w14:paraId="28D041B1" w14:textId="77777777" w:rsidR="004B4C79" w:rsidRPr="0058047D"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874F50C" w14:textId="77777777" w:rsidR="004B4C79" w:rsidRPr="0058047D" w:rsidRDefault="004B4C79" w:rsidP="00E06FE8">
            <w:pPr>
              <w:pStyle w:val="AppendixTableText"/>
              <w:rPr>
                <w:rFonts w:ascii="Tahoma" w:hAnsi="Tahoma" w:cs="Tahoma"/>
              </w:rPr>
            </w:pPr>
            <w:r w:rsidRPr="0058047D">
              <w:rPr>
                <w:rFonts w:ascii="Tahoma" w:hAnsi="Tahoma" w:cs="Tahoma"/>
              </w:rPr>
              <w:t>Sì</w:t>
            </w:r>
            <w:r w:rsidR="00A13D1D" w:rsidRPr="0058047D">
              <w:rPr>
                <w:rFonts w:ascii="Tahoma" w:hAnsi="Tahoma" w:cs="Tahoma"/>
                <w:vertAlign w:val="superscript"/>
              </w:rPr>
              <w:t>1</w:t>
            </w:r>
          </w:p>
        </w:tc>
        <w:tc>
          <w:tcPr>
            <w:tcW w:w="1530" w:type="dxa"/>
            <w:tcBorders>
              <w:top w:val="nil"/>
              <w:left w:val="nil"/>
              <w:bottom w:val="single" w:sz="4" w:space="0" w:color="auto"/>
              <w:right w:val="single" w:sz="4" w:space="0" w:color="auto"/>
            </w:tcBorders>
            <w:vAlign w:val="center"/>
          </w:tcPr>
          <w:p w14:paraId="19E9ADB8" w14:textId="77777777" w:rsidR="004B4C79" w:rsidRPr="0058047D"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34BA35F3" w14:textId="77777777" w:rsidR="004B4C79" w:rsidRPr="0058047D"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66B47767" w14:textId="77777777" w:rsidR="004B4C79" w:rsidRPr="0058047D" w:rsidRDefault="004B4C79" w:rsidP="00E06FE8">
            <w:pPr>
              <w:pStyle w:val="AppendixTableText"/>
              <w:rPr>
                <w:rFonts w:ascii="Tahoma" w:hAnsi="Tahoma" w:cs="Tahoma"/>
              </w:rPr>
            </w:pPr>
          </w:p>
        </w:tc>
      </w:tr>
      <w:tr w:rsidR="004B4C79" w:rsidRPr="0058047D" w14:paraId="54E9875D"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2E48570" w14:textId="77777777" w:rsidR="004B4C79" w:rsidRPr="0058047D" w:rsidRDefault="004B4C79" w:rsidP="00856C12">
            <w:pPr>
              <w:pStyle w:val="AppendixTableText"/>
              <w:jc w:val="left"/>
              <w:rPr>
                <w:rFonts w:ascii="Tahoma" w:hAnsi="Tahoma" w:cs="Tahoma"/>
              </w:rPr>
            </w:pPr>
            <w:r w:rsidRPr="0058047D">
              <w:rPr>
                <w:rFonts w:ascii="Tahoma" w:hAnsi="Tahoma" w:cs="Tahoma"/>
              </w:rPr>
              <w:t>Supporto per la Risoluzione dei Problemi</w:t>
            </w:r>
            <w:r w:rsidR="00856C12">
              <w:rPr>
                <w:rFonts w:ascii="Tahoma" w:hAnsi="Tahoma" w:cs="Tahoma"/>
              </w:rPr>
              <w:t> </w:t>
            </w:r>
            <w:r w:rsidRPr="0058047D">
              <w:rPr>
                <w:rFonts w:ascii="Tahoma" w:hAnsi="Tahoma" w:cs="Tahoma"/>
              </w:rPr>
              <w:t>24x7</w:t>
            </w:r>
          </w:p>
        </w:tc>
        <w:tc>
          <w:tcPr>
            <w:tcW w:w="1530" w:type="dxa"/>
            <w:tcBorders>
              <w:top w:val="single" w:sz="6" w:space="0" w:color="auto"/>
              <w:left w:val="single" w:sz="6" w:space="0" w:color="auto"/>
              <w:bottom w:val="single" w:sz="6" w:space="0" w:color="auto"/>
              <w:right w:val="single" w:sz="6" w:space="0" w:color="auto"/>
            </w:tcBorders>
            <w:vAlign w:val="center"/>
          </w:tcPr>
          <w:p w14:paraId="23DFF015" w14:textId="77777777" w:rsidR="004B4C79" w:rsidRPr="0058047D" w:rsidRDefault="004B4C79" w:rsidP="00E06FE8">
            <w:pPr>
              <w:pStyle w:val="AppendixTableText"/>
              <w:rPr>
                <w:rFonts w:ascii="Tahoma" w:hAnsi="Tahoma" w:cs="Tahoma"/>
              </w:rPr>
            </w:pPr>
            <w:r w:rsidRPr="0058047D">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14:paraId="610A19A9" w14:textId="77777777" w:rsidR="004B4C79" w:rsidRPr="0058047D" w:rsidRDefault="004B4C79" w:rsidP="00E06FE8">
            <w:pPr>
              <w:pStyle w:val="AppendixTableText"/>
              <w:rPr>
                <w:rFonts w:ascii="Tahoma" w:hAnsi="Tahoma" w:cs="Tahoma"/>
              </w:rPr>
            </w:pPr>
            <w:r w:rsidRPr="0058047D">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14:paraId="5B8765E6" w14:textId="77777777" w:rsidR="004B4C79" w:rsidRPr="0058047D" w:rsidRDefault="004B4C79" w:rsidP="00E06FE8">
            <w:pPr>
              <w:pStyle w:val="AppendixTableText"/>
              <w:rPr>
                <w:rStyle w:val="CommentReference"/>
                <w:rFonts w:ascii="Tahoma" w:hAnsi="Tahoma" w:cs="Tahoma"/>
                <w:sz w:val="18"/>
                <w:szCs w:val="18"/>
              </w:rPr>
            </w:pPr>
            <w:r w:rsidRPr="0058047D">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14:paraId="745D0BE8" w14:textId="77777777" w:rsidR="004B4C79" w:rsidRPr="0058047D"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309EBDF1" w14:textId="77777777" w:rsidR="004B4C79" w:rsidRPr="0058047D" w:rsidRDefault="004B4C79" w:rsidP="00E06FE8">
            <w:pPr>
              <w:pStyle w:val="AppendixTableText"/>
              <w:rPr>
                <w:rFonts w:ascii="Tahoma" w:hAnsi="Tahoma" w:cs="Tahoma"/>
              </w:rPr>
            </w:pPr>
          </w:p>
        </w:tc>
      </w:tr>
      <w:tr w:rsidR="00620185" w:rsidRPr="0058047D" w14:paraId="3125955E"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1DFAD932" w14:textId="77777777" w:rsidR="00620185" w:rsidRPr="0058047D" w:rsidRDefault="00620185">
            <w:pPr>
              <w:pStyle w:val="AppendixTableText"/>
              <w:jc w:val="left"/>
              <w:rPr>
                <w:rFonts w:ascii="Tahoma" w:hAnsi="Tahoma" w:cs="Tahoma"/>
              </w:rPr>
            </w:pPr>
            <w:r w:rsidRPr="0058047D">
              <w:rPr>
                <w:rFonts w:ascii="Tahoma" w:hAnsi="Tahoma" w:cs="Tahoma"/>
              </w:rPr>
              <w:t>System Center Advisor</w:t>
            </w:r>
          </w:p>
        </w:tc>
        <w:tc>
          <w:tcPr>
            <w:tcW w:w="1530" w:type="dxa"/>
            <w:tcBorders>
              <w:top w:val="nil"/>
              <w:left w:val="nil"/>
              <w:bottom w:val="single" w:sz="4" w:space="0" w:color="auto"/>
              <w:right w:val="single" w:sz="4" w:space="0" w:color="auto"/>
            </w:tcBorders>
            <w:vAlign w:val="center"/>
          </w:tcPr>
          <w:p w14:paraId="3B6B27E9" w14:textId="77777777" w:rsidR="00620185" w:rsidRPr="0058047D"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8E6D9D5" w14:textId="77777777" w:rsidR="00620185" w:rsidRPr="0058047D"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6B3F7F17" w14:textId="77777777" w:rsidR="00620185" w:rsidRPr="0058047D" w:rsidRDefault="00620185" w:rsidP="00E06FE8">
            <w:pPr>
              <w:pStyle w:val="AppendixTableText"/>
              <w:rPr>
                <w:rFonts w:ascii="Tahoma" w:hAnsi="Tahoma" w:cs="Tahoma"/>
              </w:rPr>
            </w:pPr>
            <w:r w:rsidRPr="0058047D">
              <w:rPr>
                <w:rFonts w:ascii="Tahoma" w:hAnsi="Tahoma" w:cs="Tahoma"/>
              </w:rPr>
              <w:t>Sì</w:t>
            </w:r>
          </w:p>
        </w:tc>
        <w:tc>
          <w:tcPr>
            <w:tcW w:w="1530" w:type="dxa"/>
            <w:tcBorders>
              <w:top w:val="nil"/>
              <w:left w:val="nil"/>
              <w:bottom w:val="single" w:sz="4" w:space="0" w:color="auto"/>
              <w:right w:val="single" w:sz="4" w:space="0" w:color="auto"/>
            </w:tcBorders>
            <w:vAlign w:val="center"/>
          </w:tcPr>
          <w:p w14:paraId="7DFB96D4" w14:textId="77777777" w:rsidR="00620185" w:rsidRPr="0058047D"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37D63E6C" w14:textId="77777777" w:rsidR="00620185" w:rsidRPr="0058047D" w:rsidRDefault="00620185" w:rsidP="00E06FE8">
            <w:pPr>
              <w:pStyle w:val="AppendixTableText"/>
              <w:rPr>
                <w:rFonts w:ascii="Tahoma" w:hAnsi="Tahoma" w:cs="Tahoma"/>
              </w:rPr>
            </w:pPr>
          </w:p>
        </w:tc>
      </w:tr>
      <w:tr w:rsidR="00E06FE8" w:rsidRPr="0058047D" w14:paraId="2ED08482"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09E012B7" w14:textId="77777777" w:rsidR="00E06FE8" w:rsidRPr="0058047D" w:rsidRDefault="00E06FE8">
            <w:pPr>
              <w:pStyle w:val="AppendixTableText"/>
              <w:jc w:val="left"/>
              <w:rPr>
                <w:rFonts w:ascii="Tahoma" w:hAnsi="Tahoma" w:cs="Tahoma"/>
              </w:rPr>
            </w:pPr>
            <w:r w:rsidRPr="0058047D">
              <w:rPr>
                <w:rFonts w:ascii="Tahoma" w:hAnsi="Tahoma" w:cs="Tahoma"/>
              </w:rPr>
              <w:t>System Center Global Service Monitor</w:t>
            </w:r>
          </w:p>
        </w:tc>
        <w:tc>
          <w:tcPr>
            <w:tcW w:w="1530" w:type="dxa"/>
            <w:tcBorders>
              <w:top w:val="nil"/>
              <w:left w:val="nil"/>
              <w:bottom w:val="single" w:sz="4" w:space="0" w:color="auto"/>
              <w:right w:val="single" w:sz="4" w:space="0" w:color="auto"/>
            </w:tcBorders>
            <w:vAlign w:val="center"/>
          </w:tcPr>
          <w:p w14:paraId="743AA89B" w14:textId="77777777" w:rsidR="00E06FE8" w:rsidRPr="0058047D"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09633002" w14:textId="77777777" w:rsidR="00E06FE8" w:rsidRPr="0058047D"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3D356D35" w14:textId="77777777" w:rsidR="00E06FE8" w:rsidRPr="0058047D" w:rsidRDefault="00E06FE8" w:rsidP="00E06FE8">
            <w:pPr>
              <w:pStyle w:val="AppendixTableText"/>
              <w:rPr>
                <w:rFonts w:ascii="Tahoma" w:hAnsi="Tahoma" w:cs="Tahoma"/>
              </w:rPr>
            </w:pPr>
            <w:r w:rsidRPr="0058047D">
              <w:rPr>
                <w:rFonts w:ascii="Tahoma" w:hAnsi="Tahoma" w:cs="Tahoma"/>
              </w:rPr>
              <w:t>Sì</w:t>
            </w:r>
          </w:p>
        </w:tc>
        <w:tc>
          <w:tcPr>
            <w:tcW w:w="1530" w:type="dxa"/>
            <w:tcBorders>
              <w:top w:val="nil"/>
              <w:left w:val="nil"/>
              <w:bottom w:val="single" w:sz="4" w:space="0" w:color="auto"/>
              <w:right w:val="single" w:sz="4" w:space="0" w:color="auto"/>
            </w:tcBorders>
            <w:vAlign w:val="center"/>
          </w:tcPr>
          <w:p w14:paraId="45AB51BC" w14:textId="77777777" w:rsidR="00E06FE8" w:rsidRPr="0058047D"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586B7E13" w14:textId="77777777" w:rsidR="00E06FE8" w:rsidRPr="0058047D" w:rsidRDefault="00E06FE8" w:rsidP="00E06FE8">
            <w:pPr>
              <w:pStyle w:val="AppendixTableText"/>
              <w:rPr>
                <w:rFonts w:ascii="Tahoma" w:hAnsi="Tahoma" w:cs="Tahoma"/>
              </w:rPr>
            </w:pPr>
          </w:p>
        </w:tc>
      </w:tr>
      <w:tr w:rsidR="004B4C79" w:rsidRPr="0058047D" w14:paraId="5F36141F"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10782E65" w14:textId="77777777" w:rsidR="004B4C79" w:rsidRPr="0058047D" w:rsidRDefault="004B4C79">
            <w:pPr>
              <w:pStyle w:val="AppendixTableText"/>
              <w:jc w:val="left"/>
              <w:rPr>
                <w:rFonts w:ascii="Tahoma" w:hAnsi="Tahoma" w:cs="Tahoma"/>
              </w:rPr>
            </w:pPr>
            <w:r w:rsidRPr="0058047D">
              <w:rPr>
                <w:rFonts w:ascii="Tahoma" w:hAnsi="Tahoma" w:cs="Tahoma"/>
              </w:rPr>
              <w:t>Back-up per Ripristino di Emergenza “a Freddo”</w:t>
            </w:r>
          </w:p>
        </w:tc>
        <w:tc>
          <w:tcPr>
            <w:tcW w:w="1530" w:type="dxa"/>
            <w:tcBorders>
              <w:top w:val="nil"/>
              <w:left w:val="nil"/>
              <w:bottom w:val="single" w:sz="4" w:space="0" w:color="auto"/>
              <w:right w:val="single" w:sz="4" w:space="0" w:color="auto"/>
            </w:tcBorders>
            <w:vAlign w:val="center"/>
          </w:tcPr>
          <w:p w14:paraId="6D9890E3" w14:textId="77777777" w:rsidR="004B4C79" w:rsidRPr="0058047D"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0FB3726" w14:textId="77777777" w:rsidR="004B4C79" w:rsidRPr="0058047D"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07F68D3" w14:textId="77777777" w:rsidR="004B4C79" w:rsidRPr="0058047D" w:rsidRDefault="004B4C79" w:rsidP="00E06FE8">
            <w:pPr>
              <w:pStyle w:val="AppendixTableText"/>
              <w:rPr>
                <w:rFonts w:ascii="Tahoma" w:hAnsi="Tahoma" w:cs="Tahoma"/>
              </w:rPr>
            </w:pPr>
            <w:r w:rsidRPr="0058047D">
              <w:rPr>
                <w:rFonts w:ascii="Tahoma" w:hAnsi="Tahoma" w:cs="Tahoma"/>
              </w:rPr>
              <w:t>Sì</w:t>
            </w:r>
          </w:p>
        </w:tc>
        <w:tc>
          <w:tcPr>
            <w:tcW w:w="1530" w:type="dxa"/>
            <w:tcBorders>
              <w:top w:val="nil"/>
              <w:left w:val="nil"/>
              <w:bottom w:val="single" w:sz="4" w:space="0" w:color="auto"/>
              <w:right w:val="single" w:sz="4" w:space="0" w:color="auto"/>
            </w:tcBorders>
            <w:vAlign w:val="center"/>
          </w:tcPr>
          <w:p w14:paraId="02E52D17" w14:textId="77777777" w:rsidR="004B4C79" w:rsidRPr="0058047D"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2CFF74F1" w14:textId="77777777" w:rsidR="004B4C79" w:rsidRPr="0058047D" w:rsidRDefault="004B4C79" w:rsidP="00E06FE8">
            <w:pPr>
              <w:pStyle w:val="AppendixTableText"/>
              <w:rPr>
                <w:rFonts w:ascii="Tahoma" w:hAnsi="Tahoma" w:cs="Tahoma"/>
              </w:rPr>
            </w:pPr>
          </w:p>
        </w:tc>
      </w:tr>
      <w:tr w:rsidR="004B4C79" w:rsidRPr="0058047D" w14:paraId="3AC6327D" w14:textId="77777777" w:rsidTr="007E466C">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38AEE08C" w14:textId="77777777" w:rsidR="004B4C79" w:rsidRPr="0058047D" w:rsidRDefault="004B4C79">
            <w:pPr>
              <w:pStyle w:val="AppendixTableText"/>
              <w:jc w:val="left"/>
              <w:rPr>
                <w:rFonts w:ascii="Tahoma" w:hAnsi="Tahoma" w:cs="Tahoma"/>
              </w:rPr>
            </w:pPr>
            <w:r w:rsidRPr="0058047D">
              <w:rPr>
                <w:rFonts w:ascii="Tahoma" w:hAnsi="Tahoma" w:cs="Tahoma"/>
              </w:rPr>
              <w:t>Servizi in Abbonamento TechNet SA</w:t>
            </w:r>
          </w:p>
        </w:tc>
        <w:tc>
          <w:tcPr>
            <w:tcW w:w="1530" w:type="dxa"/>
            <w:tcBorders>
              <w:top w:val="single" w:sz="4" w:space="0" w:color="auto"/>
              <w:left w:val="nil"/>
              <w:bottom w:val="single" w:sz="4" w:space="0" w:color="auto"/>
              <w:right w:val="single" w:sz="4" w:space="0" w:color="auto"/>
            </w:tcBorders>
            <w:vAlign w:val="center"/>
          </w:tcPr>
          <w:p w14:paraId="27E93B4B" w14:textId="77777777" w:rsidR="004B4C79" w:rsidRPr="0058047D" w:rsidRDefault="004B4C79" w:rsidP="00E06FE8">
            <w:pPr>
              <w:pStyle w:val="AppendixTableText"/>
              <w:rPr>
                <w:rFonts w:ascii="Tahoma" w:hAnsi="Tahoma" w:cs="Tahoma"/>
              </w:rPr>
            </w:pPr>
            <w:r w:rsidRPr="0058047D">
              <w:rPr>
                <w:rFonts w:ascii="Tahoma" w:hAnsi="Tahoma" w:cs="Tahoma"/>
              </w:rPr>
              <w:t>Sì</w:t>
            </w:r>
          </w:p>
        </w:tc>
        <w:tc>
          <w:tcPr>
            <w:tcW w:w="1530" w:type="dxa"/>
            <w:tcBorders>
              <w:top w:val="single" w:sz="4" w:space="0" w:color="auto"/>
              <w:left w:val="nil"/>
              <w:bottom w:val="single" w:sz="4" w:space="0" w:color="auto"/>
              <w:right w:val="single" w:sz="4" w:space="0" w:color="auto"/>
            </w:tcBorders>
            <w:vAlign w:val="center"/>
          </w:tcPr>
          <w:p w14:paraId="39947D52" w14:textId="77777777" w:rsidR="004B4C79" w:rsidRPr="0058047D" w:rsidRDefault="004B4C79" w:rsidP="00E06FE8">
            <w:pPr>
              <w:pStyle w:val="AppendixTableText"/>
              <w:rPr>
                <w:rFonts w:ascii="Tahoma" w:hAnsi="Tahoma" w:cs="Tahoma"/>
              </w:rPr>
            </w:pPr>
            <w:r w:rsidRPr="0058047D">
              <w:rPr>
                <w:rFonts w:ascii="Tahoma" w:hAnsi="Tahoma" w:cs="Tahoma"/>
              </w:rPr>
              <w:t>Sì</w:t>
            </w:r>
          </w:p>
        </w:tc>
        <w:tc>
          <w:tcPr>
            <w:tcW w:w="1530" w:type="dxa"/>
            <w:tcBorders>
              <w:top w:val="single" w:sz="4" w:space="0" w:color="auto"/>
              <w:left w:val="nil"/>
              <w:bottom w:val="single" w:sz="4" w:space="0" w:color="auto"/>
              <w:right w:val="single" w:sz="4" w:space="0" w:color="auto"/>
            </w:tcBorders>
            <w:vAlign w:val="center"/>
          </w:tcPr>
          <w:p w14:paraId="10987ACC" w14:textId="77777777" w:rsidR="004B4C79" w:rsidRPr="0058047D" w:rsidRDefault="004B4C79" w:rsidP="00E06FE8">
            <w:pPr>
              <w:pStyle w:val="AppendixTableText"/>
              <w:rPr>
                <w:rFonts w:ascii="Tahoma" w:hAnsi="Tahoma" w:cs="Tahoma"/>
              </w:rPr>
            </w:pPr>
            <w:r w:rsidRPr="0058047D">
              <w:rPr>
                <w:rFonts w:ascii="Tahoma" w:hAnsi="Tahoma" w:cs="Tahoma"/>
              </w:rPr>
              <w:t>Sì</w:t>
            </w:r>
          </w:p>
        </w:tc>
        <w:tc>
          <w:tcPr>
            <w:tcW w:w="1530" w:type="dxa"/>
            <w:tcBorders>
              <w:top w:val="single" w:sz="4" w:space="0" w:color="auto"/>
              <w:left w:val="nil"/>
              <w:bottom w:val="single" w:sz="4" w:space="0" w:color="auto"/>
              <w:right w:val="single" w:sz="4" w:space="0" w:color="auto"/>
            </w:tcBorders>
            <w:vAlign w:val="center"/>
          </w:tcPr>
          <w:p w14:paraId="44ABACF1" w14:textId="77777777" w:rsidR="004B4C79" w:rsidRPr="0058047D"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14:paraId="0916624F" w14:textId="77777777" w:rsidR="004B4C79" w:rsidRPr="0058047D" w:rsidRDefault="004B4C79" w:rsidP="00E06FE8">
            <w:pPr>
              <w:pStyle w:val="AppendixTableText"/>
              <w:rPr>
                <w:rFonts w:ascii="Tahoma" w:hAnsi="Tahoma" w:cs="Tahoma"/>
              </w:rPr>
            </w:pPr>
          </w:p>
        </w:tc>
      </w:tr>
      <w:tr w:rsidR="004B4C79" w:rsidRPr="0058047D" w14:paraId="1D8D0C6A"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608BAB51" w14:textId="77777777" w:rsidR="004B4C79" w:rsidRPr="0058047D" w:rsidRDefault="004B4C79">
            <w:pPr>
              <w:pStyle w:val="AppendixTableText"/>
              <w:jc w:val="left"/>
              <w:rPr>
                <w:rFonts w:ascii="Tahoma" w:hAnsi="Tahoma" w:cs="Tahoma"/>
              </w:rPr>
            </w:pPr>
            <w:r w:rsidRPr="0058047D">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14:paraId="69382E52" w14:textId="77777777" w:rsidR="004B4C79" w:rsidRPr="0058047D"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2B55EF36" w14:textId="77777777" w:rsidR="004B4C79" w:rsidRPr="0058047D"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AC6A1EB" w14:textId="77777777" w:rsidR="004B4C79" w:rsidRPr="0058047D" w:rsidRDefault="004B4C79" w:rsidP="00E06FE8">
            <w:pPr>
              <w:pStyle w:val="AppendixTableText"/>
              <w:rPr>
                <w:rFonts w:ascii="Tahoma" w:hAnsi="Tahoma" w:cs="Tahoma"/>
              </w:rPr>
            </w:pPr>
            <w:r w:rsidRPr="0058047D">
              <w:rPr>
                <w:rFonts w:ascii="Tahoma" w:hAnsi="Tahoma" w:cs="Tahoma"/>
              </w:rPr>
              <w:t>Sì</w:t>
            </w:r>
          </w:p>
        </w:tc>
        <w:tc>
          <w:tcPr>
            <w:tcW w:w="1530" w:type="dxa"/>
            <w:tcBorders>
              <w:top w:val="nil"/>
              <w:left w:val="nil"/>
              <w:bottom w:val="single" w:sz="4" w:space="0" w:color="auto"/>
              <w:right w:val="single" w:sz="4" w:space="0" w:color="auto"/>
            </w:tcBorders>
            <w:vAlign w:val="center"/>
          </w:tcPr>
          <w:p w14:paraId="513E69CB" w14:textId="77777777" w:rsidR="004B4C79" w:rsidRPr="0058047D"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626D7E24" w14:textId="77777777" w:rsidR="004B4C79" w:rsidRPr="0058047D" w:rsidRDefault="004B4C79" w:rsidP="00E06FE8">
            <w:pPr>
              <w:pStyle w:val="AppendixTableText"/>
              <w:rPr>
                <w:rFonts w:ascii="Tahoma" w:hAnsi="Tahoma" w:cs="Tahoma"/>
              </w:rPr>
            </w:pPr>
          </w:p>
        </w:tc>
      </w:tr>
      <w:tr w:rsidR="004B4C79" w:rsidRPr="0058047D" w14:paraId="23EC0FE3" w14:textId="77777777" w:rsidTr="007E466C">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4721F01C" w14:textId="77777777" w:rsidR="004B4C79" w:rsidRPr="0058047D" w:rsidRDefault="004B4C79" w:rsidP="005F52C6">
            <w:pPr>
              <w:pStyle w:val="AppendixTableText"/>
              <w:jc w:val="left"/>
              <w:rPr>
                <w:rFonts w:ascii="Tahoma" w:hAnsi="Tahoma" w:cs="Tahoma"/>
              </w:rPr>
            </w:pPr>
            <w:r w:rsidRPr="0058047D">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14:paraId="7C054573" w14:textId="77777777" w:rsidR="004B4C79" w:rsidRPr="0058047D"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71464077" w14:textId="77777777" w:rsidR="004B4C79" w:rsidRPr="0058047D" w:rsidRDefault="004B4C79" w:rsidP="00E06FE8">
            <w:pPr>
              <w:pStyle w:val="AppendixTableText"/>
              <w:rPr>
                <w:rFonts w:ascii="Tahoma" w:hAnsi="Tahoma" w:cs="Tahoma"/>
              </w:rPr>
            </w:pPr>
            <w:r w:rsidRPr="0058047D">
              <w:rPr>
                <w:rFonts w:ascii="Tahoma" w:hAnsi="Tahoma" w:cs="Tahoma"/>
              </w:rPr>
              <w:t>Sì</w:t>
            </w:r>
            <w:r w:rsidRPr="0058047D">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2F240074" w14:textId="77777777" w:rsidR="004B4C79" w:rsidRPr="0058047D"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13323949" w14:textId="77777777" w:rsidR="004B4C79" w:rsidRPr="0058047D" w:rsidRDefault="004B4C79" w:rsidP="00E06FE8">
            <w:pPr>
              <w:pStyle w:val="AppendixTableText"/>
              <w:rPr>
                <w:rFonts w:ascii="Tahoma" w:hAnsi="Tahoma" w:cs="Tahoma"/>
              </w:rPr>
            </w:pPr>
            <w:r w:rsidRPr="0058047D">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14:paraId="08CC6284" w14:textId="77777777" w:rsidR="004B4C79" w:rsidRPr="0058047D" w:rsidRDefault="004B4C79" w:rsidP="00E06FE8">
            <w:pPr>
              <w:pStyle w:val="AppendixTableText"/>
              <w:rPr>
                <w:rFonts w:ascii="Tahoma" w:hAnsi="Tahoma" w:cs="Tahoma"/>
              </w:rPr>
            </w:pPr>
          </w:p>
        </w:tc>
      </w:tr>
      <w:tr w:rsidR="004B4C79" w:rsidRPr="0058047D" w14:paraId="4962E51F"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22A3834" w14:textId="77777777" w:rsidR="004B4C79" w:rsidRPr="0058047D" w:rsidRDefault="004B4C79">
            <w:pPr>
              <w:pStyle w:val="AppendixTableText"/>
              <w:jc w:val="left"/>
              <w:rPr>
                <w:rFonts w:ascii="Tahoma" w:hAnsi="Tahoma" w:cs="Tahoma"/>
              </w:rPr>
            </w:pPr>
            <w:r w:rsidRPr="0058047D">
              <w:rPr>
                <w:rFonts w:ascii="Tahoma" w:hAnsi="Tahoma" w:cs="Tahoma"/>
              </w:rPr>
              <w:t>Supporto HotFix Esteso</w:t>
            </w:r>
          </w:p>
        </w:tc>
        <w:tc>
          <w:tcPr>
            <w:tcW w:w="1530" w:type="dxa"/>
            <w:tcBorders>
              <w:top w:val="single" w:sz="6" w:space="0" w:color="auto"/>
              <w:left w:val="single" w:sz="6" w:space="0" w:color="auto"/>
              <w:bottom w:val="single" w:sz="6" w:space="0" w:color="auto"/>
              <w:right w:val="single" w:sz="6" w:space="0" w:color="auto"/>
            </w:tcBorders>
            <w:vAlign w:val="center"/>
          </w:tcPr>
          <w:p w14:paraId="18BAFA56" w14:textId="77777777" w:rsidR="004B4C79" w:rsidRPr="0058047D" w:rsidRDefault="004B4C79" w:rsidP="00E06FE8">
            <w:pPr>
              <w:pStyle w:val="AppendixTableText"/>
              <w:rPr>
                <w:rFonts w:ascii="Tahoma" w:hAnsi="Tahoma" w:cs="Tahoma"/>
              </w:rPr>
            </w:pPr>
            <w:r w:rsidRPr="0058047D">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14:paraId="582267BE" w14:textId="77777777" w:rsidR="004B4C79" w:rsidRPr="0058047D" w:rsidRDefault="004B4C79" w:rsidP="00E06FE8">
            <w:pPr>
              <w:pStyle w:val="AppendixTableText"/>
              <w:rPr>
                <w:rFonts w:ascii="Tahoma" w:hAnsi="Tahoma" w:cs="Tahoma"/>
              </w:rPr>
            </w:pPr>
            <w:r w:rsidRPr="0058047D">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14:paraId="3AF2CE33" w14:textId="77777777" w:rsidR="004B4C79" w:rsidRPr="0058047D" w:rsidRDefault="004B4C79" w:rsidP="00E06FE8">
            <w:pPr>
              <w:pStyle w:val="AppendixTableText"/>
              <w:rPr>
                <w:rStyle w:val="CommentReference"/>
                <w:rFonts w:ascii="Tahoma" w:hAnsi="Tahoma" w:cs="Tahoma"/>
                <w:sz w:val="18"/>
                <w:szCs w:val="18"/>
              </w:rPr>
            </w:pPr>
            <w:r w:rsidRPr="0058047D">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14:paraId="0FDD3CC4" w14:textId="77777777" w:rsidR="004B4C79" w:rsidRPr="0058047D" w:rsidRDefault="004B4C79" w:rsidP="00E06FE8">
            <w:pPr>
              <w:pStyle w:val="AppendixTableText"/>
              <w:rPr>
                <w:rFonts w:ascii="Tahoma" w:hAnsi="Tahoma" w:cs="Tahoma"/>
              </w:rPr>
            </w:pPr>
            <w:r w:rsidRPr="0058047D">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14:paraId="3570F48F" w14:textId="77777777" w:rsidR="004B4C79" w:rsidRPr="0058047D" w:rsidRDefault="004B4C79" w:rsidP="00E06FE8">
            <w:pPr>
              <w:pStyle w:val="AppendixTableText"/>
              <w:rPr>
                <w:rFonts w:ascii="Tahoma" w:hAnsi="Tahoma" w:cs="Tahoma"/>
              </w:rPr>
            </w:pPr>
          </w:p>
        </w:tc>
      </w:tr>
      <w:tr w:rsidR="004B4C79" w:rsidRPr="0058047D" w14:paraId="0C5DBCD3"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71FCA190" w14:textId="77777777" w:rsidR="004B4C79" w:rsidRPr="0058047D" w:rsidRDefault="004B4C79">
            <w:pPr>
              <w:pStyle w:val="AppendixTableText"/>
              <w:jc w:val="left"/>
              <w:rPr>
                <w:rFonts w:ascii="Tahoma" w:hAnsi="Tahoma" w:cs="Tahoma"/>
                <w:color w:val="000000"/>
              </w:rPr>
            </w:pPr>
            <w:r w:rsidRPr="0058047D">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14:paraId="03CF0036" w14:textId="77777777" w:rsidR="004B4C79" w:rsidRPr="0058047D"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3747C480" w14:textId="77777777" w:rsidR="004B4C79" w:rsidRPr="0058047D" w:rsidRDefault="004B4C79" w:rsidP="00E06FE8">
            <w:pPr>
              <w:pStyle w:val="AppendixTableText"/>
              <w:spacing w:after="120"/>
              <w:rPr>
                <w:rFonts w:ascii="Tahoma" w:hAnsi="Tahoma" w:cs="Tahoma"/>
                <w:color w:val="000000"/>
              </w:rPr>
            </w:pPr>
            <w:r w:rsidRPr="0058047D">
              <w:rPr>
                <w:rFonts w:ascii="Tahoma" w:hAnsi="Tahoma" w:cs="Tahoma"/>
                <w:color w:val="000000"/>
              </w:rPr>
              <w:t>Sì</w:t>
            </w:r>
            <w:r w:rsidRPr="0058047D">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574A34C5" w14:textId="77777777" w:rsidR="004B4C79" w:rsidRPr="0058047D"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54D75457" w14:textId="77777777" w:rsidR="004B4C79" w:rsidRPr="0058047D" w:rsidRDefault="004B4C79" w:rsidP="00E06FE8">
            <w:pPr>
              <w:pStyle w:val="AppendixTableText"/>
              <w:spacing w:before="120"/>
              <w:rPr>
                <w:rFonts w:ascii="Tahoma" w:hAnsi="Tahoma" w:cs="Tahoma"/>
                <w:color w:val="000000"/>
              </w:rPr>
            </w:pPr>
            <w:r w:rsidRPr="0058047D">
              <w:rPr>
                <w:rFonts w:ascii="Tahoma" w:hAnsi="Tahoma" w:cs="Tahoma"/>
                <w:color w:val="000000"/>
              </w:rPr>
              <w:t>Sì</w:t>
            </w:r>
          </w:p>
        </w:tc>
        <w:tc>
          <w:tcPr>
            <w:tcW w:w="1440" w:type="dxa"/>
            <w:tcBorders>
              <w:top w:val="single" w:sz="6" w:space="0" w:color="auto"/>
              <w:left w:val="single" w:sz="6" w:space="0" w:color="auto"/>
              <w:bottom w:val="single" w:sz="6" w:space="0" w:color="auto"/>
              <w:right w:val="single" w:sz="4" w:space="0" w:color="auto"/>
            </w:tcBorders>
            <w:vAlign w:val="center"/>
          </w:tcPr>
          <w:p w14:paraId="63CB6139" w14:textId="77777777" w:rsidR="004B4C79" w:rsidRPr="0058047D" w:rsidRDefault="004B4C79" w:rsidP="00E06FE8">
            <w:pPr>
              <w:pStyle w:val="AppendixTableText"/>
              <w:spacing w:before="120"/>
              <w:rPr>
                <w:rFonts w:ascii="Tahoma" w:hAnsi="Tahoma" w:cs="Tahoma"/>
                <w:color w:val="000000"/>
              </w:rPr>
            </w:pPr>
          </w:p>
        </w:tc>
      </w:tr>
      <w:tr w:rsidR="004B4C79" w:rsidRPr="0058047D" w14:paraId="2346B027"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03219A76" w14:textId="77777777" w:rsidR="004B4C79" w:rsidRPr="0058047D" w:rsidRDefault="00E7419A" w:rsidP="00E7419A">
            <w:pPr>
              <w:pStyle w:val="AppendixTableText"/>
              <w:jc w:val="left"/>
              <w:rPr>
                <w:rFonts w:ascii="Tahoma" w:hAnsi="Tahoma" w:cs="Tahoma"/>
                <w:color w:val="000000"/>
              </w:rPr>
            </w:pPr>
            <w:r w:rsidRPr="0058047D">
              <w:rPr>
                <w:rFonts w:ascii="Tahoma" w:hAnsi="Tahoma" w:cs="Tahoma"/>
                <w:color w:val="000000"/>
              </w:rPr>
              <w:t>Diritti di Virtualizzazione per Windows Desktops</w:t>
            </w:r>
          </w:p>
        </w:tc>
        <w:tc>
          <w:tcPr>
            <w:tcW w:w="1530" w:type="dxa"/>
            <w:tcBorders>
              <w:top w:val="single" w:sz="6" w:space="0" w:color="auto"/>
              <w:left w:val="single" w:sz="6" w:space="0" w:color="auto"/>
              <w:bottom w:val="single" w:sz="6" w:space="0" w:color="auto"/>
              <w:right w:val="single" w:sz="6" w:space="0" w:color="auto"/>
            </w:tcBorders>
            <w:vAlign w:val="center"/>
          </w:tcPr>
          <w:p w14:paraId="3B2F4FFF" w14:textId="77777777" w:rsidR="004B4C79" w:rsidRPr="0058047D"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211CCD25" w14:textId="77777777" w:rsidR="004B4C79" w:rsidRPr="0058047D" w:rsidRDefault="004B4C79" w:rsidP="00E06FE8">
            <w:pPr>
              <w:pStyle w:val="AppendixTableText"/>
              <w:spacing w:after="120"/>
              <w:rPr>
                <w:rFonts w:ascii="Tahoma" w:hAnsi="Tahoma" w:cs="Tahoma"/>
                <w:color w:val="000000"/>
              </w:rPr>
            </w:pPr>
            <w:r w:rsidRPr="0058047D">
              <w:rPr>
                <w:rFonts w:ascii="Tahoma" w:hAnsi="Tahoma" w:cs="Tahoma"/>
                <w:color w:val="000000"/>
              </w:rPr>
              <w:t>Sì</w:t>
            </w:r>
            <w:r w:rsidRPr="0058047D">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68F6D74F" w14:textId="77777777" w:rsidR="004B4C79" w:rsidRPr="0058047D"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60AEEDDB" w14:textId="77777777" w:rsidR="004B4C79" w:rsidRPr="0058047D" w:rsidRDefault="004B4C79" w:rsidP="00E06FE8">
            <w:pPr>
              <w:pStyle w:val="AppendixTableText"/>
              <w:spacing w:before="120"/>
              <w:rPr>
                <w:rFonts w:ascii="Tahoma" w:hAnsi="Tahoma" w:cs="Tahoma"/>
                <w:color w:val="000000"/>
              </w:rPr>
            </w:pPr>
            <w:r w:rsidRPr="0058047D">
              <w:rPr>
                <w:rFonts w:ascii="Tahoma" w:hAnsi="Tahoma" w:cs="Tahoma"/>
                <w:color w:val="000000"/>
              </w:rPr>
              <w:t>Sì</w:t>
            </w:r>
          </w:p>
        </w:tc>
        <w:tc>
          <w:tcPr>
            <w:tcW w:w="1440" w:type="dxa"/>
            <w:tcBorders>
              <w:top w:val="single" w:sz="6" w:space="0" w:color="auto"/>
              <w:left w:val="single" w:sz="6" w:space="0" w:color="auto"/>
              <w:bottom w:val="single" w:sz="6" w:space="0" w:color="auto"/>
              <w:right w:val="single" w:sz="4" w:space="0" w:color="auto"/>
            </w:tcBorders>
            <w:vAlign w:val="center"/>
          </w:tcPr>
          <w:p w14:paraId="31E7C393" w14:textId="77777777" w:rsidR="004B4C79" w:rsidRPr="0058047D" w:rsidRDefault="004B4C79" w:rsidP="00E06FE8">
            <w:pPr>
              <w:pStyle w:val="AppendixTableText"/>
              <w:spacing w:before="120"/>
              <w:rPr>
                <w:rFonts w:ascii="Tahoma" w:hAnsi="Tahoma" w:cs="Tahoma"/>
                <w:color w:val="000000"/>
              </w:rPr>
            </w:pPr>
          </w:p>
        </w:tc>
      </w:tr>
      <w:tr w:rsidR="004B4C79" w:rsidRPr="0058047D" w14:paraId="73FB78CB"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9E08229" w14:textId="77777777" w:rsidR="004B4C79" w:rsidRPr="0058047D" w:rsidRDefault="004B4C79">
            <w:pPr>
              <w:pStyle w:val="AppendixTableText"/>
              <w:jc w:val="left"/>
              <w:rPr>
                <w:rFonts w:ascii="Tahoma" w:hAnsi="Tahoma" w:cs="Tahoma"/>
                <w:color w:val="000000"/>
              </w:rPr>
            </w:pPr>
            <w:r w:rsidRPr="0058047D">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14:paraId="64EE4F5C" w14:textId="77777777" w:rsidR="004B4C79" w:rsidRPr="0058047D"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25676EEA" w14:textId="77777777" w:rsidR="004B4C79" w:rsidRPr="0058047D" w:rsidRDefault="004B4C79" w:rsidP="00E06FE8">
            <w:pPr>
              <w:pStyle w:val="AppendixTableText"/>
              <w:spacing w:after="120"/>
              <w:rPr>
                <w:rFonts w:ascii="Tahoma" w:hAnsi="Tahoma" w:cs="Tahoma"/>
                <w:color w:val="000000"/>
              </w:rPr>
            </w:pPr>
            <w:r w:rsidRPr="0058047D">
              <w:rPr>
                <w:rFonts w:ascii="Tahoma" w:hAnsi="Tahoma" w:cs="Tahoma"/>
                <w:color w:val="000000"/>
              </w:rPr>
              <w:t>Sì</w:t>
            </w:r>
            <w:r w:rsidRPr="0058047D">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0C16CF78" w14:textId="77777777" w:rsidR="004B4C79" w:rsidRPr="0058047D"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6221D481" w14:textId="77777777" w:rsidR="004B4C79" w:rsidRPr="0058047D" w:rsidRDefault="004B4C79" w:rsidP="00E06FE8">
            <w:pPr>
              <w:pStyle w:val="AppendixTableText"/>
              <w:spacing w:before="120"/>
              <w:rPr>
                <w:rFonts w:ascii="Tahoma" w:hAnsi="Tahoma" w:cs="Tahoma"/>
                <w:color w:val="000000"/>
              </w:rPr>
            </w:pPr>
            <w:r w:rsidRPr="0058047D">
              <w:rPr>
                <w:rFonts w:ascii="Tahoma" w:hAnsi="Tahoma" w:cs="Tahoma"/>
                <w:color w:val="000000"/>
              </w:rPr>
              <w:t>Sì</w:t>
            </w:r>
          </w:p>
        </w:tc>
        <w:tc>
          <w:tcPr>
            <w:tcW w:w="1440" w:type="dxa"/>
            <w:tcBorders>
              <w:top w:val="single" w:sz="6" w:space="0" w:color="auto"/>
              <w:left w:val="single" w:sz="6" w:space="0" w:color="auto"/>
              <w:bottom w:val="single" w:sz="6" w:space="0" w:color="auto"/>
              <w:right w:val="single" w:sz="4" w:space="0" w:color="auto"/>
            </w:tcBorders>
            <w:vAlign w:val="center"/>
          </w:tcPr>
          <w:p w14:paraId="46E2559E" w14:textId="77777777" w:rsidR="004B4C79" w:rsidRPr="0058047D" w:rsidRDefault="004B4C79" w:rsidP="00E06FE8">
            <w:pPr>
              <w:pStyle w:val="AppendixTableText"/>
              <w:spacing w:before="120"/>
              <w:rPr>
                <w:rFonts w:ascii="Tahoma" w:hAnsi="Tahoma" w:cs="Tahoma"/>
                <w:color w:val="000000"/>
              </w:rPr>
            </w:pPr>
          </w:p>
        </w:tc>
      </w:tr>
      <w:tr w:rsidR="004B4C79" w:rsidRPr="0058047D" w14:paraId="6B291852"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1560141" w14:textId="77777777" w:rsidR="004B4C79" w:rsidRPr="0058047D" w:rsidRDefault="004B4C79">
            <w:pPr>
              <w:pStyle w:val="AppendixTableText"/>
              <w:jc w:val="left"/>
              <w:rPr>
                <w:rFonts w:ascii="Tahoma" w:hAnsi="Tahoma" w:cs="Tahoma"/>
              </w:rPr>
            </w:pPr>
            <w:r w:rsidRPr="0058047D">
              <w:rPr>
                <w:rFonts w:ascii="Tahoma" w:hAnsi="Tahoma" w:cs="Tahoma"/>
              </w:rPr>
              <w:t>Licenza Step-Up</w:t>
            </w:r>
          </w:p>
        </w:tc>
        <w:tc>
          <w:tcPr>
            <w:tcW w:w="1530" w:type="dxa"/>
            <w:tcBorders>
              <w:top w:val="single" w:sz="6" w:space="0" w:color="auto"/>
              <w:left w:val="single" w:sz="6" w:space="0" w:color="auto"/>
              <w:bottom w:val="single" w:sz="6" w:space="0" w:color="auto"/>
              <w:right w:val="single" w:sz="6" w:space="0" w:color="auto"/>
            </w:tcBorders>
            <w:vAlign w:val="center"/>
          </w:tcPr>
          <w:p w14:paraId="2B7AD7AE" w14:textId="77777777" w:rsidR="004B4C79" w:rsidRPr="0058047D" w:rsidRDefault="004B4C79" w:rsidP="00E06FE8">
            <w:pPr>
              <w:pStyle w:val="AppendixTableText"/>
              <w:rPr>
                <w:rFonts w:ascii="Tahoma" w:hAnsi="Tahoma" w:cs="Tahoma"/>
              </w:rPr>
            </w:pPr>
            <w:r w:rsidRPr="0058047D">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14:paraId="22B1097A" w14:textId="77777777" w:rsidR="004B4C79" w:rsidRPr="0058047D" w:rsidRDefault="004B4C79" w:rsidP="00E06FE8">
            <w:pPr>
              <w:pStyle w:val="AppendixTableText"/>
              <w:rPr>
                <w:rFonts w:ascii="Tahoma" w:hAnsi="Tahoma" w:cs="Tahoma"/>
              </w:rPr>
            </w:pPr>
            <w:r w:rsidRPr="0058047D">
              <w:rPr>
                <w:rFonts w:ascii="Tahoma" w:hAnsi="Tahoma" w:cs="Tahoma"/>
              </w:rPr>
              <w:t>No</w:t>
            </w:r>
          </w:p>
        </w:tc>
        <w:tc>
          <w:tcPr>
            <w:tcW w:w="1530" w:type="dxa"/>
            <w:tcBorders>
              <w:top w:val="single" w:sz="6" w:space="0" w:color="auto"/>
              <w:left w:val="single" w:sz="6" w:space="0" w:color="auto"/>
              <w:bottom w:val="single" w:sz="6" w:space="0" w:color="auto"/>
              <w:right w:val="single" w:sz="4" w:space="0" w:color="auto"/>
            </w:tcBorders>
            <w:vAlign w:val="center"/>
          </w:tcPr>
          <w:p w14:paraId="7CC549EF" w14:textId="77777777" w:rsidR="004B4C79" w:rsidRPr="0058047D" w:rsidRDefault="004B4C79" w:rsidP="00E06FE8">
            <w:pPr>
              <w:pStyle w:val="AppendixTableText"/>
              <w:rPr>
                <w:rFonts w:ascii="Tahoma" w:hAnsi="Tahoma" w:cs="Tahoma"/>
              </w:rPr>
            </w:pPr>
            <w:r w:rsidRPr="0058047D">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14:paraId="37B25401" w14:textId="77777777" w:rsidR="004B4C79" w:rsidRPr="0058047D"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4F4D7FB5" w14:textId="77777777" w:rsidR="004B4C79" w:rsidRPr="0058047D" w:rsidRDefault="004B4C79" w:rsidP="00E06FE8">
            <w:pPr>
              <w:pStyle w:val="AppendixTableText"/>
              <w:rPr>
                <w:rFonts w:ascii="Tahoma" w:hAnsi="Tahoma" w:cs="Tahoma"/>
              </w:rPr>
            </w:pPr>
          </w:p>
        </w:tc>
      </w:tr>
      <w:tr w:rsidR="00870095" w:rsidRPr="0058047D" w14:paraId="0BC2FC61"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296EC44" w14:textId="77777777" w:rsidR="00870095" w:rsidRPr="0058047D" w:rsidRDefault="00870095">
            <w:pPr>
              <w:pStyle w:val="AppendixTableText"/>
              <w:jc w:val="left"/>
              <w:rPr>
                <w:rFonts w:ascii="Tahoma" w:hAnsi="Tahoma" w:cs="Tahoma"/>
              </w:rPr>
            </w:pPr>
            <w:r w:rsidRPr="0058047D">
              <w:rPr>
                <w:rFonts w:ascii="Tahoma" w:hAnsi="Tahoma" w:cs="Tahoma"/>
              </w:rPr>
              <w:t>Enterprise Sideloading</w:t>
            </w:r>
          </w:p>
        </w:tc>
        <w:tc>
          <w:tcPr>
            <w:tcW w:w="1530" w:type="dxa"/>
            <w:tcBorders>
              <w:top w:val="single" w:sz="6" w:space="0" w:color="auto"/>
              <w:left w:val="single" w:sz="6" w:space="0" w:color="auto"/>
              <w:bottom w:val="single" w:sz="6" w:space="0" w:color="auto"/>
              <w:right w:val="single" w:sz="6" w:space="0" w:color="auto"/>
            </w:tcBorders>
            <w:vAlign w:val="center"/>
          </w:tcPr>
          <w:p w14:paraId="12F2A487" w14:textId="77777777" w:rsidR="00870095" w:rsidRPr="0058047D"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019E8EE3" w14:textId="77777777" w:rsidR="00870095" w:rsidRPr="0058047D" w:rsidRDefault="00870095" w:rsidP="00E06FE8">
            <w:pPr>
              <w:pStyle w:val="AppendixTableText"/>
              <w:rPr>
                <w:rFonts w:ascii="Tahoma" w:hAnsi="Tahoma" w:cs="Tahoma"/>
              </w:rPr>
            </w:pPr>
            <w:r w:rsidRPr="0058047D">
              <w:rPr>
                <w:rFonts w:ascii="Tahoma" w:hAnsi="Tahoma" w:cs="Tahoma"/>
              </w:rPr>
              <w:t>Sì</w:t>
            </w:r>
            <w:r w:rsidRPr="0058047D">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3ADC44A6" w14:textId="77777777" w:rsidR="00870095" w:rsidRPr="0058047D"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2F427843" w14:textId="77777777" w:rsidR="00870095" w:rsidRPr="0058047D" w:rsidRDefault="00175615" w:rsidP="00E06FE8">
            <w:pPr>
              <w:pStyle w:val="AppendixTableText"/>
              <w:rPr>
                <w:rFonts w:ascii="Tahoma" w:hAnsi="Tahoma" w:cs="Tahoma"/>
              </w:rPr>
            </w:pPr>
            <w:r w:rsidRPr="0058047D">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14:paraId="240C6D1F" w14:textId="77777777" w:rsidR="00870095" w:rsidRPr="0058047D" w:rsidRDefault="00870095" w:rsidP="00E06FE8">
            <w:pPr>
              <w:pStyle w:val="AppendixTableText"/>
              <w:rPr>
                <w:rFonts w:ascii="Tahoma" w:hAnsi="Tahoma" w:cs="Tahoma"/>
              </w:rPr>
            </w:pPr>
          </w:p>
        </w:tc>
      </w:tr>
      <w:tr w:rsidR="00175615" w:rsidRPr="0058047D" w14:paraId="3FB93FFE" w14:textId="77777777" w:rsidTr="00856C12">
        <w:trPr>
          <w:cantSplit/>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258DEF8" w14:textId="77777777" w:rsidR="00175615" w:rsidRPr="0058047D" w:rsidRDefault="00175615">
            <w:pPr>
              <w:pStyle w:val="AppendixTableText"/>
              <w:jc w:val="left"/>
              <w:rPr>
                <w:rFonts w:ascii="Tahoma" w:hAnsi="Tahoma" w:cs="Tahoma"/>
              </w:rPr>
            </w:pPr>
            <w:r w:rsidRPr="0058047D">
              <w:rPr>
                <w:rFonts w:ascii="Tahoma" w:hAnsi="Tahoma" w:cs="Tahoma"/>
              </w:rPr>
              <w:t>Licenza “Subscription” per Windows Companion</w:t>
            </w:r>
          </w:p>
        </w:tc>
        <w:tc>
          <w:tcPr>
            <w:tcW w:w="1530" w:type="dxa"/>
            <w:tcBorders>
              <w:top w:val="single" w:sz="6" w:space="0" w:color="auto"/>
              <w:left w:val="single" w:sz="6" w:space="0" w:color="auto"/>
              <w:bottom w:val="single" w:sz="6" w:space="0" w:color="auto"/>
              <w:right w:val="single" w:sz="6" w:space="0" w:color="auto"/>
            </w:tcBorders>
            <w:vAlign w:val="center"/>
          </w:tcPr>
          <w:p w14:paraId="366E9FBE" w14:textId="77777777" w:rsidR="00175615" w:rsidRPr="0058047D"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4CF31915" w14:textId="77777777" w:rsidR="00175615" w:rsidRPr="0058047D" w:rsidRDefault="00175615" w:rsidP="00E06FE8">
            <w:pPr>
              <w:pStyle w:val="AppendixTableText"/>
              <w:rPr>
                <w:rFonts w:ascii="Tahoma" w:hAnsi="Tahoma" w:cs="Tahoma"/>
              </w:rPr>
            </w:pPr>
            <w:r w:rsidRPr="0058047D">
              <w:rPr>
                <w:rFonts w:ascii="Tahoma" w:hAnsi="Tahoma" w:cs="Tahoma"/>
              </w:rPr>
              <w:t>Sì</w:t>
            </w:r>
            <w:r w:rsidRPr="0058047D">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25162B66" w14:textId="77777777" w:rsidR="00175615" w:rsidRPr="0058047D"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5E8BA9B1" w14:textId="77777777" w:rsidR="00175615" w:rsidRPr="0058047D" w:rsidRDefault="00175615" w:rsidP="00E06FE8">
            <w:pPr>
              <w:pStyle w:val="AppendixTableText"/>
              <w:rPr>
                <w:rFonts w:ascii="Tahoma" w:hAnsi="Tahoma" w:cs="Tahoma"/>
              </w:rPr>
            </w:pPr>
            <w:r w:rsidRPr="0058047D">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14:paraId="2EF9C9A3" w14:textId="77777777" w:rsidR="00175615" w:rsidRPr="0058047D" w:rsidRDefault="00175615" w:rsidP="00E06FE8">
            <w:pPr>
              <w:pStyle w:val="AppendixTableText"/>
              <w:rPr>
                <w:rFonts w:ascii="Tahoma" w:hAnsi="Tahoma" w:cs="Tahoma"/>
              </w:rPr>
            </w:pPr>
          </w:p>
        </w:tc>
      </w:tr>
    </w:tbl>
    <w:p w14:paraId="40D8BB94" w14:textId="77777777" w:rsidR="00023FE7" w:rsidRPr="00856C12" w:rsidRDefault="00023FE7">
      <w:pPr>
        <w:pStyle w:val="AppendixBodyText"/>
        <w:ind w:right="180"/>
        <w:rPr>
          <w:sz w:val="16"/>
          <w:szCs w:val="16"/>
        </w:rPr>
      </w:pPr>
      <w:r w:rsidRPr="00856C12">
        <w:rPr>
          <w:rFonts w:ascii="Tahoma" w:hAnsi="Tahoma" w:cs="Tahoma"/>
          <w:i/>
          <w:sz w:val="16"/>
          <w:szCs w:val="16"/>
        </w:rPr>
        <w:t>*Sì nella tabella significa Partecipazione a Software Assurance. L</w:t>
      </w:r>
      <w:r w:rsidR="001C4212">
        <w:rPr>
          <w:rFonts w:ascii="Tahoma" w:hAnsi="Tahoma" w:cs="Tahoma"/>
          <w:i/>
          <w:sz w:val="16"/>
          <w:szCs w:val="16"/>
        </w:rPr>
        <w:t>’</w:t>
      </w:r>
      <w:r w:rsidRPr="00856C12">
        <w:rPr>
          <w:rFonts w:ascii="Tahoma" w:hAnsi="Tahoma" w:cs="Tahoma"/>
          <w:i/>
          <w:sz w:val="16"/>
          <w:szCs w:val="16"/>
        </w:rPr>
        <w:t>acquisto di Software Assurance, la spesa SA per i prodotti qualificanti all</w:t>
      </w:r>
      <w:r w:rsidR="001C4212">
        <w:rPr>
          <w:rFonts w:ascii="Tahoma" w:hAnsi="Tahoma" w:cs="Tahoma"/>
          <w:i/>
          <w:sz w:val="16"/>
          <w:szCs w:val="16"/>
        </w:rPr>
        <w:t>’</w:t>
      </w:r>
      <w:r w:rsidRPr="00856C12">
        <w:rPr>
          <w:rFonts w:ascii="Tahoma" w:hAnsi="Tahoma" w:cs="Tahoma"/>
          <w:i/>
          <w:sz w:val="16"/>
          <w:szCs w:val="16"/>
        </w:rPr>
        <w:t>interno del pool indicato o l</w:t>
      </w:r>
      <w:r w:rsidR="001C4212">
        <w:rPr>
          <w:rFonts w:ascii="Tahoma" w:hAnsi="Tahoma" w:cs="Tahoma"/>
          <w:i/>
          <w:sz w:val="16"/>
          <w:szCs w:val="16"/>
        </w:rPr>
        <w:t>’</w:t>
      </w:r>
      <w:r w:rsidRPr="00856C12">
        <w:rPr>
          <w:rFonts w:ascii="Tahoma" w:hAnsi="Tahoma" w:cs="Tahoma"/>
          <w:i/>
          <w:sz w:val="16"/>
          <w:szCs w:val="16"/>
        </w:rPr>
        <w:t>acquisto di famiglie di prodotti Windows Intune (Per Dispositivo)/Office 365 qualificanti rendono idonea la società a ottenere il vantaggio.</w:t>
      </w:r>
    </w:p>
    <w:p w14:paraId="55A10178" w14:textId="77777777" w:rsidR="00023FE7" w:rsidRPr="00856C12" w:rsidRDefault="00023FE7">
      <w:pPr>
        <w:pStyle w:val="AppendixBodyText"/>
        <w:ind w:right="180"/>
        <w:rPr>
          <w:sz w:val="16"/>
          <w:szCs w:val="16"/>
        </w:rPr>
      </w:pPr>
      <w:r w:rsidRPr="00856C12">
        <w:rPr>
          <w:rFonts w:ascii="Tahoma" w:hAnsi="Tahoma" w:cs="Tahoma"/>
          <w:i/>
          <w:sz w:val="16"/>
          <w:szCs w:val="16"/>
        </w:rPr>
        <w:t>*Microsoft potrà trattenere o interrompere, in qualsiasi momento, i vantaggi relativi alla Partecipazione a Software Assurance disponibili ai sensi della quarta iscrizione e di ogni iscrizione successiva in base al medesimo contratto Select, qualora tale azione sia ragionevole dal punto di vista commerciale.</w:t>
      </w:r>
    </w:p>
    <w:p w14:paraId="1CC2373B" w14:textId="77777777" w:rsidR="00023FE7" w:rsidRPr="00856C12" w:rsidRDefault="00302B84" w:rsidP="0063466C">
      <w:pPr>
        <w:pStyle w:val="AppendixBodyText"/>
        <w:spacing w:after="0"/>
        <w:rPr>
          <w:sz w:val="16"/>
          <w:szCs w:val="16"/>
        </w:rPr>
      </w:pPr>
      <w:r w:rsidRPr="00856C12">
        <w:rPr>
          <w:rFonts w:ascii="Tahoma" w:hAnsi="Tahoma" w:cs="Tahoma"/>
          <w:i/>
          <w:sz w:val="16"/>
          <w:szCs w:val="16"/>
        </w:rPr>
        <w:t>***Generalmente, le offerte di sottoscrizione che includono componenti software che contengono software con versione includeranno i diritti delle nuove versioni per tali componenti.</w:t>
      </w:r>
    </w:p>
    <w:p w14:paraId="61CD95B8" w14:textId="77777777" w:rsidR="00E0729E" w:rsidRPr="00856C12" w:rsidRDefault="00E0729E" w:rsidP="00E0729E">
      <w:pPr>
        <w:pStyle w:val="AppendixBodyText"/>
        <w:spacing w:after="0"/>
        <w:rPr>
          <w:sz w:val="16"/>
          <w:szCs w:val="16"/>
        </w:rPr>
      </w:pPr>
      <w:r w:rsidRPr="00856C12">
        <w:rPr>
          <w:rFonts w:ascii="Tahoma" w:hAnsi="Tahoma" w:cs="Tahoma"/>
          <w:vertAlign w:val="superscript"/>
        </w:rPr>
        <w:t>1</w:t>
      </w:r>
      <w:r w:rsidRPr="00856C12">
        <w:rPr>
          <w:rFonts w:ascii="Tahoma" w:hAnsi="Tahoma" w:cs="Tahoma"/>
          <w:i/>
          <w:sz w:val="16"/>
          <w:szCs w:val="16"/>
        </w:rPr>
        <w:t>Non è un vantaggio SA per i prodotti Windows Embedded 8</w:t>
      </w:r>
      <w:r w:rsidR="00A13D1D">
        <w:rPr>
          <w:rFonts w:ascii="Tahoma" w:hAnsi="Tahoma" w:cs="Tahoma"/>
          <w:i/>
          <w:sz w:val="16"/>
          <w:szCs w:val="16"/>
        </w:rPr>
        <w:t>.1</w:t>
      </w:r>
      <w:r w:rsidRPr="00856C12">
        <w:rPr>
          <w:rFonts w:ascii="Tahoma" w:hAnsi="Tahoma" w:cs="Tahoma"/>
          <w:i/>
          <w:sz w:val="16"/>
          <w:szCs w:val="16"/>
        </w:rPr>
        <w:t>.</w:t>
      </w:r>
    </w:p>
    <w:p w14:paraId="26F59208" w14:textId="77777777" w:rsidR="00E0729E" w:rsidRPr="00856C12" w:rsidRDefault="00E0729E" w:rsidP="00E0729E">
      <w:pPr>
        <w:pStyle w:val="AppendixBodyText"/>
        <w:spacing w:after="0"/>
        <w:rPr>
          <w:sz w:val="16"/>
          <w:szCs w:val="16"/>
        </w:rPr>
      </w:pPr>
      <w:r w:rsidRPr="00856C12">
        <w:rPr>
          <w:rFonts w:ascii="Tahoma" w:hAnsi="Tahoma" w:cs="Tahoma"/>
          <w:vertAlign w:val="superscript"/>
        </w:rPr>
        <w:t>2</w:t>
      </w:r>
      <w:r w:rsidRPr="00856C12">
        <w:rPr>
          <w:rFonts w:ascii="Tahoma" w:hAnsi="Tahoma" w:cs="Tahoma"/>
          <w:i/>
          <w:sz w:val="16"/>
          <w:szCs w:val="16"/>
        </w:rPr>
        <w:t>SA per i prodotti Windows Embedded 8</w:t>
      </w:r>
      <w:r w:rsidR="00A13D1D">
        <w:rPr>
          <w:rFonts w:ascii="Tahoma" w:hAnsi="Tahoma" w:cs="Tahoma"/>
          <w:i/>
          <w:sz w:val="16"/>
          <w:szCs w:val="16"/>
        </w:rPr>
        <w:t>.1</w:t>
      </w:r>
      <w:r w:rsidRPr="00856C12">
        <w:rPr>
          <w:rFonts w:ascii="Tahoma" w:hAnsi="Tahoma" w:cs="Tahoma"/>
          <w:i/>
          <w:sz w:val="16"/>
          <w:szCs w:val="16"/>
        </w:rPr>
        <w:t xml:space="preserve"> concede diritti di virtualizzazione locali, ma non l</w:t>
      </w:r>
      <w:r w:rsidR="001C4212">
        <w:rPr>
          <w:rFonts w:ascii="Tahoma" w:hAnsi="Tahoma" w:cs="Tahoma"/>
          <w:i/>
          <w:sz w:val="16"/>
          <w:szCs w:val="16"/>
        </w:rPr>
        <w:t>’</w:t>
      </w:r>
      <w:r w:rsidRPr="00856C12">
        <w:rPr>
          <w:rFonts w:ascii="Tahoma" w:hAnsi="Tahoma" w:cs="Tahoma"/>
          <w:i/>
          <w:sz w:val="16"/>
          <w:szCs w:val="16"/>
        </w:rPr>
        <w:t>accesso a istanze virtualizzate remote del software.</w:t>
      </w:r>
    </w:p>
    <w:p w14:paraId="35EFFCBF" w14:textId="77777777" w:rsidR="00302B84" w:rsidRPr="0058047D" w:rsidRDefault="00302B84" w:rsidP="0045693C"/>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58047D" w14:paraId="2A30E3C8" w14:textId="77777777" w:rsidTr="0044720D">
        <w:trPr>
          <w:trHeight w:val="60"/>
        </w:trPr>
        <w:tc>
          <w:tcPr>
            <w:tcW w:w="8280" w:type="dxa"/>
            <w:shd w:val="clear" w:color="auto" w:fill="FFCC99"/>
            <w:vAlign w:val="center"/>
          </w:tcPr>
          <w:p w14:paraId="52BFFBEF" w14:textId="77777777" w:rsidR="00AD6AD6" w:rsidRPr="0058047D" w:rsidRDefault="00AD6AD6" w:rsidP="004B54F7">
            <w:pPr>
              <w:pStyle w:val="AppendixTableHeadings"/>
              <w:rPr>
                <w:rFonts w:ascii="Tahoma" w:hAnsi="Tahoma" w:cs="Tahoma"/>
                <w:sz w:val="20"/>
                <w:szCs w:val="20"/>
              </w:rPr>
            </w:pPr>
            <w:r w:rsidRPr="0058047D">
              <w:rPr>
                <w:rFonts w:ascii="Tahoma" w:hAnsi="Tahoma" w:cs="Tahoma"/>
                <w:sz w:val="20"/>
                <w:szCs w:val="20"/>
              </w:rPr>
              <w:t>Prodotti del Pool di Applicazioni Office System</w:t>
            </w:r>
          </w:p>
        </w:tc>
      </w:tr>
      <w:tr w:rsidR="00AD6AD6" w:rsidRPr="0058047D" w14:paraId="41F06A79" w14:textId="77777777" w:rsidTr="0044720D">
        <w:trPr>
          <w:trHeight w:val="438"/>
        </w:trPr>
        <w:tc>
          <w:tcPr>
            <w:tcW w:w="8280" w:type="dxa"/>
            <w:vAlign w:val="center"/>
          </w:tcPr>
          <w:p w14:paraId="309F2EF9" w14:textId="77777777" w:rsidR="00AD6AD6" w:rsidRPr="0058047D" w:rsidRDefault="00AD6AD6" w:rsidP="004B54F7">
            <w:pPr>
              <w:spacing w:line="240" w:lineRule="atLeast"/>
            </w:pPr>
            <w:r w:rsidRPr="0058047D">
              <w:rPr>
                <w:rFonts w:cs="Tahoma"/>
                <w:color w:val="000000"/>
                <w:szCs w:val="18"/>
              </w:rPr>
              <w:t>Office Standard 2013</w:t>
            </w:r>
          </w:p>
          <w:p w14:paraId="65D9CC97" w14:textId="77777777" w:rsidR="00AD6AD6" w:rsidRPr="0058047D" w:rsidRDefault="00AD6AD6" w:rsidP="004B54F7">
            <w:pPr>
              <w:spacing w:line="240" w:lineRule="atLeast"/>
            </w:pPr>
            <w:r w:rsidRPr="0058047D">
              <w:rPr>
                <w:rFonts w:cs="Tahoma"/>
                <w:color w:val="000000"/>
                <w:szCs w:val="18"/>
              </w:rPr>
              <w:t xml:space="preserve">Office Professional Plus 2013 </w:t>
            </w:r>
          </w:p>
          <w:p w14:paraId="6F8A974B" w14:textId="77777777" w:rsidR="00AD6AD6" w:rsidRPr="0058047D" w:rsidRDefault="00AD6AD6" w:rsidP="004B54F7">
            <w:pPr>
              <w:spacing w:line="240" w:lineRule="atLeast"/>
            </w:pPr>
            <w:r w:rsidRPr="0058047D">
              <w:rPr>
                <w:rFonts w:cs="Tahoma"/>
                <w:color w:val="000000"/>
                <w:szCs w:val="18"/>
              </w:rPr>
              <w:t>Project Standard 2013</w:t>
            </w:r>
          </w:p>
          <w:p w14:paraId="32DAFB4D" w14:textId="77777777" w:rsidR="00AD6AD6" w:rsidRPr="0058047D" w:rsidRDefault="00AD6AD6" w:rsidP="004B54F7">
            <w:pPr>
              <w:spacing w:line="240" w:lineRule="atLeast"/>
            </w:pPr>
            <w:r w:rsidRPr="0058047D">
              <w:rPr>
                <w:rFonts w:cs="Tahoma"/>
                <w:color w:val="000000"/>
                <w:szCs w:val="18"/>
              </w:rPr>
              <w:t>Project Professional 2013</w:t>
            </w:r>
          </w:p>
          <w:p w14:paraId="15E797E9" w14:textId="77777777" w:rsidR="00AD6AD6" w:rsidRPr="0058047D" w:rsidRDefault="00AD6AD6" w:rsidP="004B54F7">
            <w:pPr>
              <w:spacing w:line="240" w:lineRule="atLeast"/>
            </w:pPr>
            <w:r w:rsidRPr="0058047D">
              <w:rPr>
                <w:rFonts w:cs="Tahoma"/>
                <w:color w:val="000000"/>
                <w:szCs w:val="18"/>
              </w:rPr>
              <w:t>Visio</w:t>
            </w:r>
            <w:r w:rsidR="00E53A46" w:rsidRPr="0058047D">
              <w:rPr>
                <w:rFonts w:cs="Tahoma"/>
                <w:color w:val="000000"/>
                <w:szCs w:val="18"/>
                <w:vertAlign w:val="superscript"/>
              </w:rPr>
              <w:t>®</w:t>
            </w:r>
            <w:r w:rsidRPr="0058047D">
              <w:rPr>
                <w:rFonts w:cs="Tahoma"/>
                <w:color w:val="000000"/>
                <w:szCs w:val="18"/>
              </w:rPr>
              <w:t xml:space="preserve"> Standard 2013</w:t>
            </w:r>
          </w:p>
          <w:p w14:paraId="70BB7E70" w14:textId="77777777" w:rsidR="00AD6AD6" w:rsidRPr="0058047D" w:rsidRDefault="00AD6AD6" w:rsidP="004B54F7">
            <w:pPr>
              <w:spacing w:line="240" w:lineRule="atLeast"/>
            </w:pPr>
            <w:r w:rsidRPr="0058047D">
              <w:rPr>
                <w:rFonts w:cs="Tahoma"/>
                <w:color w:val="000000"/>
                <w:szCs w:val="18"/>
              </w:rPr>
              <w:t>Visio</w:t>
            </w:r>
            <w:r w:rsidR="00E53A46" w:rsidRPr="0058047D">
              <w:rPr>
                <w:rFonts w:cs="Tahoma"/>
                <w:color w:val="000000"/>
                <w:szCs w:val="18"/>
                <w:vertAlign w:val="superscript"/>
              </w:rPr>
              <w:t>®</w:t>
            </w:r>
            <w:r w:rsidRPr="0058047D">
              <w:rPr>
                <w:rFonts w:cs="Tahoma"/>
                <w:color w:val="000000"/>
                <w:szCs w:val="18"/>
              </w:rPr>
              <w:t xml:space="preserve"> Professional 2013</w:t>
            </w:r>
          </w:p>
          <w:p w14:paraId="63EE82C0" w14:textId="77777777" w:rsidR="00AD6AD6" w:rsidRPr="0058047D" w:rsidRDefault="00AD6AD6" w:rsidP="004B54F7">
            <w:pPr>
              <w:spacing w:line="240" w:lineRule="atLeast"/>
            </w:pPr>
            <w:r w:rsidRPr="0058047D">
              <w:rPr>
                <w:rFonts w:cs="Tahoma"/>
                <w:color w:val="000000"/>
                <w:szCs w:val="18"/>
              </w:rPr>
              <w:t>Access 2013</w:t>
            </w:r>
          </w:p>
          <w:p w14:paraId="501AE786" w14:textId="77777777" w:rsidR="00AD6AD6" w:rsidRPr="0058047D" w:rsidRDefault="00AD6AD6" w:rsidP="004B54F7">
            <w:pPr>
              <w:spacing w:line="240" w:lineRule="atLeast"/>
            </w:pPr>
            <w:r w:rsidRPr="0058047D">
              <w:rPr>
                <w:rFonts w:cs="Tahoma"/>
                <w:color w:val="000000"/>
                <w:szCs w:val="18"/>
              </w:rPr>
              <w:t xml:space="preserve">Excel 2013 </w:t>
            </w:r>
          </w:p>
          <w:p w14:paraId="3330EF79" w14:textId="77777777" w:rsidR="00AD6AD6" w:rsidRPr="0058047D" w:rsidRDefault="00AD6AD6" w:rsidP="004B54F7">
            <w:pPr>
              <w:spacing w:line="240" w:lineRule="atLeast"/>
            </w:pPr>
            <w:r w:rsidRPr="0058047D">
              <w:rPr>
                <w:rFonts w:cs="Tahoma"/>
                <w:color w:val="000000"/>
                <w:szCs w:val="18"/>
              </w:rPr>
              <w:t>InfoPath</w:t>
            </w:r>
            <w:r w:rsidR="00E53A46" w:rsidRPr="0058047D">
              <w:rPr>
                <w:rFonts w:cs="Tahoma"/>
                <w:color w:val="000000"/>
                <w:szCs w:val="18"/>
                <w:vertAlign w:val="superscript"/>
              </w:rPr>
              <w:t>®</w:t>
            </w:r>
            <w:r w:rsidRPr="0058047D">
              <w:rPr>
                <w:rFonts w:cs="Tahoma"/>
                <w:color w:val="000000"/>
                <w:szCs w:val="18"/>
              </w:rPr>
              <w:t xml:space="preserve"> 2013</w:t>
            </w:r>
          </w:p>
          <w:p w14:paraId="775FCF18" w14:textId="77777777" w:rsidR="00AD6AD6" w:rsidRPr="0058047D" w:rsidRDefault="00AD6AD6" w:rsidP="004B54F7">
            <w:pPr>
              <w:spacing w:line="240" w:lineRule="atLeast"/>
            </w:pPr>
            <w:r w:rsidRPr="0058047D">
              <w:rPr>
                <w:rFonts w:cs="Tahoma"/>
                <w:color w:val="000000"/>
                <w:szCs w:val="18"/>
              </w:rPr>
              <w:t>Lync 2013</w:t>
            </w:r>
          </w:p>
          <w:p w14:paraId="3198B944" w14:textId="77777777" w:rsidR="00AD6AD6" w:rsidRPr="0058047D" w:rsidRDefault="00AD6AD6" w:rsidP="004B54F7">
            <w:pPr>
              <w:spacing w:line="240" w:lineRule="atLeast"/>
            </w:pPr>
            <w:r w:rsidRPr="0058047D">
              <w:rPr>
                <w:rFonts w:cs="Tahoma"/>
                <w:color w:val="000000"/>
                <w:szCs w:val="18"/>
              </w:rPr>
              <w:t>OneNote™ 2013</w:t>
            </w:r>
          </w:p>
          <w:p w14:paraId="4B082EC2" w14:textId="77777777" w:rsidR="00AD6AD6" w:rsidRPr="0058047D" w:rsidRDefault="00AD6AD6" w:rsidP="004B54F7">
            <w:pPr>
              <w:spacing w:line="240" w:lineRule="atLeast"/>
            </w:pPr>
            <w:r w:rsidRPr="0058047D">
              <w:rPr>
                <w:rFonts w:cs="Tahoma"/>
                <w:color w:val="000000"/>
                <w:szCs w:val="18"/>
              </w:rPr>
              <w:t>Outlook</w:t>
            </w:r>
            <w:r w:rsidR="00E53A46" w:rsidRPr="0058047D">
              <w:rPr>
                <w:rFonts w:cs="Tahoma"/>
                <w:color w:val="000000"/>
                <w:szCs w:val="18"/>
                <w:vertAlign w:val="superscript"/>
              </w:rPr>
              <w:t>®</w:t>
            </w:r>
            <w:r w:rsidRPr="0058047D">
              <w:rPr>
                <w:rFonts w:cs="Tahoma"/>
                <w:color w:val="000000"/>
                <w:szCs w:val="18"/>
              </w:rPr>
              <w:t xml:space="preserve"> 2013</w:t>
            </w:r>
          </w:p>
          <w:p w14:paraId="13F6A624" w14:textId="77777777" w:rsidR="00AD6AD6" w:rsidRPr="0058047D" w:rsidRDefault="00AD6AD6" w:rsidP="004B54F7">
            <w:pPr>
              <w:spacing w:line="240" w:lineRule="atLeast"/>
            </w:pPr>
            <w:r w:rsidRPr="0058047D">
              <w:rPr>
                <w:rFonts w:cs="Tahoma"/>
                <w:color w:val="000000"/>
                <w:szCs w:val="18"/>
              </w:rPr>
              <w:t>PowerPoint</w:t>
            </w:r>
            <w:r w:rsidR="00E53A46" w:rsidRPr="0058047D">
              <w:rPr>
                <w:rFonts w:cs="Tahoma"/>
                <w:color w:val="000000"/>
                <w:szCs w:val="18"/>
                <w:vertAlign w:val="superscript"/>
              </w:rPr>
              <w:t>®</w:t>
            </w:r>
            <w:r w:rsidRPr="0058047D">
              <w:rPr>
                <w:rFonts w:cs="Tahoma"/>
                <w:color w:val="000000"/>
                <w:szCs w:val="18"/>
              </w:rPr>
              <w:t xml:space="preserve"> 2013</w:t>
            </w:r>
          </w:p>
          <w:p w14:paraId="78506880" w14:textId="77777777" w:rsidR="00AD6AD6" w:rsidRPr="0058047D" w:rsidRDefault="00AD6AD6" w:rsidP="004B54F7">
            <w:pPr>
              <w:spacing w:line="240" w:lineRule="atLeast"/>
            </w:pPr>
            <w:r w:rsidRPr="0058047D">
              <w:rPr>
                <w:rFonts w:cs="Tahoma"/>
                <w:color w:val="000000"/>
                <w:szCs w:val="18"/>
              </w:rPr>
              <w:t>Publisher 2013</w:t>
            </w:r>
          </w:p>
          <w:p w14:paraId="3FC5E3E5" w14:textId="77777777" w:rsidR="00AD6AD6" w:rsidRPr="0058047D" w:rsidRDefault="00AD6AD6" w:rsidP="004B54F7">
            <w:pPr>
              <w:spacing w:line="240" w:lineRule="atLeast"/>
            </w:pPr>
            <w:r w:rsidRPr="0058047D">
              <w:rPr>
                <w:rFonts w:cs="Tahoma"/>
                <w:color w:val="000000"/>
                <w:szCs w:val="18"/>
              </w:rPr>
              <w:t>Word 2013</w:t>
            </w:r>
          </w:p>
          <w:p w14:paraId="25C4A986" w14:textId="77777777" w:rsidR="00AD6AD6" w:rsidRPr="0058047D" w:rsidRDefault="00AD6AD6" w:rsidP="004B54F7">
            <w:pPr>
              <w:spacing w:line="240" w:lineRule="atLeast"/>
            </w:pPr>
            <w:r w:rsidRPr="0058047D">
              <w:rPr>
                <w:rFonts w:cs="Tahoma"/>
                <w:color w:val="000000"/>
                <w:szCs w:val="18"/>
              </w:rPr>
              <w:t xml:space="preserve">Office per Mac Standard 2011 </w:t>
            </w:r>
          </w:p>
          <w:p w14:paraId="04A851A6" w14:textId="77777777" w:rsidR="00AD6AD6" w:rsidRPr="0058047D" w:rsidRDefault="00AD6AD6" w:rsidP="004B54F7">
            <w:pPr>
              <w:spacing w:line="240" w:lineRule="atLeast"/>
            </w:pPr>
            <w:r w:rsidRPr="0058047D">
              <w:rPr>
                <w:rFonts w:cs="Tahoma"/>
                <w:color w:val="000000"/>
                <w:szCs w:val="18"/>
              </w:rPr>
              <w:t>Lync per Mac 2011</w:t>
            </w:r>
          </w:p>
          <w:p w14:paraId="48510A39" w14:textId="77777777" w:rsidR="00061A45" w:rsidRPr="0058047D" w:rsidRDefault="007C4ADB" w:rsidP="004B54F7">
            <w:pPr>
              <w:spacing w:line="240" w:lineRule="atLeast"/>
            </w:pPr>
            <w:r w:rsidRPr="0058047D">
              <w:rPr>
                <w:rFonts w:cs="Tahoma"/>
                <w:color w:val="000000"/>
                <w:szCs w:val="18"/>
              </w:rPr>
              <w:t>Outlook per Mac 2011</w:t>
            </w:r>
          </w:p>
          <w:p w14:paraId="6801FA08" w14:textId="77777777" w:rsidR="00AD6AD6" w:rsidRPr="0058047D" w:rsidRDefault="00AD6AD6" w:rsidP="004B54F7">
            <w:pPr>
              <w:spacing w:line="240" w:lineRule="atLeast"/>
            </w:pPr>
            <w:r w:rsidRPr="0058047D">
              <w:rPr>
                <w:rFonts w:cs="Tahoma"/>
                <w:color w:val="000000"/>
                <w:szCs w:val="18"/>
              </w:rPr>
              <w:t>Powerpoint per Mac 2011</w:t>
            </w:r>
          </w:p>
          <w:p w14:paraId="2EE1F021" w14:textId="77777777" w:rsidR="00AD6AD6" w:rsidRPr="0058047D" w:rsidRDefault="00AD6AD6" w:rsidP="004B54F7">
            <w:pPr>
              <w:spacing w:line="240" w:lineRule="atLeast"/>
            </w:pPr>
            <w:r w:rsidRPr="0058047D">
              <w:rPr>
                <w:rFonts w:cs="Tahoma"/>
                <w:color w:val="000000"/>
                <w:szCs w:val="18"/>
              </w:rPr>
              <w:t>Excel per Mac 2011</w:t>
            </w:r>
          </w:p>
          <w:p w14:paraId="2CC5F90E" w14:textId="77777777" w:rsidR="00AD6AD6" w:rsidRPr="0058047D" w:rsidRDefault="00AD6AD6" w:rsidP="004B54F7">
            <w:pPr>
              <w:spacing w:line="240" w:lineRule="atLeast"/>
              <w:rPr>
                <w:rFonts w:cs="Tahoma"/>
                <w:color w:val="000000"/>
                <w:szCs w:val="18"/>
              </w:rPr>
            </w:pPr>
            <w:r w:rsidRPr="0058047D">
              <w:rPr>
                <w:rFonts w:cs="Tahoma"/>
                <w:color w:val="000000"/>
                <w:szCs w:val="18"/>
              </w:rPr>
              <w:t>Word per Mac 2011</w:t>
            </w:r>
          </w:p>
        </w:tc>
      </w:tr>
    </w:tbl>
    <w:p w14:paraId="3F317C5F" w14:textId="77777777" w:rsidR="00D8064F" w:rsidRPr="0058047D" w:rsidRDefault="00AD6AD6" w:rsidP="0044720D">
      <w:pPr>
        <w:pStyle w:val="AppendixBodyText"/>
        <w:spacing w:after="0"/>
        <w:ind w:firstLine="550"/>
      </w:pPr>
      <w:r w:rsidRPr="0058047D">
        <w:rPr>
          <w:rFonts w:ascii="Tahoma" w:hAnsi="Tahoma" w:cs="Tahoma"/>
          <w:b/>
          <w:i/>
          <w:sz w:val="16"/>
          <w:szCs w:val="16"/>
        </w:rPr>
        <w:t>Nota:</w:t>
      </w:r>
      <w:r w:rsidRPr="0058047D">
        <w:rPr>
          <w:rFonts w:ascii="Tahoma" w:hAnsi="Tahoma" w:cs="Tahoma"/>
          <w:i/>
          <w:sz w:val="16"/>
          <w:szCs w:val="16"/>
        </w:rPr>
        <w:t xml:space="preserve"> la lista dei prodotti del Pool di Applicazioni Office System è soggetta a modifica.</w:t>
      </w:r>
    </w:p>
    <w:p w14:paraId="687D2F3C" w14:textId="77777777" w:rsidR="00BA0707" w:rsidRPr="0058047D" w:rsidRDefault="00BA0707" w:rsidP="0063466C">
      <w:pPr>
        <w:pStyle w:val="AppendixBodyText"/>
        <w:spacing w:after="0"/>
      </w:pPr>
    </w:p>
    <w:p w14:paraId="258A1220" w14:textId="77777777" w:rsidR="00023FE7" w:rsidRPr="0058047D" w:rsidRDefault="00023FE7">
      <w:pPr>
        <w:pStyle w:val="Heading2"/>
        <w:ind w:left="0"/>
      </w:pPr>
      <w:bookmarkStart w:id="708" w:name="_Toc336338228"/>
      <w:bookmarkStart w:id="709" w:name="_Toc371663622"/>
      <w:r w:rsidRPr="0058047D">
        <w:rPr>
          <w:rFonts w:ascii="Tahoma" w:hAnsi="Tahoma"/>
        </w:rPr>
        <w:t>Diritti su Versioni Nuove</w:t>
      </w:r>
      <w:bookmarkEnd w:id="708"/>
      <w:bookmarkEnd w:id="709"/>
    </w:p>
    <w:p w14:paraId="3CE61CBC" w14:textId="77777777" w:rsidR="00023FE7" w:rsidRPr="0058047D" w:rsidRDefault="00023FE7" w:rsidP="00BA0707"/>
    <w:p w14:paraId="62E91A3B" w14:textId="77777777" w:rsidR="00023FE7" w:rsidRPr="0058047D" w:rsidRDefault="00023FE7" w:rsidP="0063466C">
      <w:pPr>
        <w:pStyle w:val="AppendixBodyText"/>
        <w:spacing w:after="0"/>
      </w:pPr>
      <w:r w:rsidRPr="0058047D">
        <w:rPr>
          <w:rFonts w:ascii="Tahoma" w:hAnsi="Tahoma" w:cs="Tahoma"/>
          <w:color w:val="000000"/>
          <w:sz w:val="18"/>
        </w:rPr>
        <w:t>Le società con copertura Software Assurance sono idonee ad effettuare l</w:t>
      </w:r>
      <w:r w:rsidR="001C4212">
        <w:rPr>
          <w:rFonts w:ascii="Tahoma" w:hAnsi="Tahoma" w:cs="Tahoma"/>
          <w:color w:val="000000"/>
          <w:sz w:val="18"/>
        </w:rPr>
        <w:t>’</w:t>
      </w:r>
      <w:r w:rsidRPr="0058047D">
        <w:rPr>
          <w:rFonts w:ascii="Tahoma" w:hAnsi="Tahoma" w:cs="Tahoma"/>
          <w:color w:val="000000"/>
          <w:sz w:val="18"/>
        </w:rPr>
        <w:t>aggiornamento a nuove versioni del software con licenza reso disponibile durante il periodo di validità della copertura Software Assurance.</w:t>
      </w:r>
      <w:r w:rsidR="00E34ED3" w:rsidRPr="0058047D">
        <w:rPr>
          <w:rFonts w:ascii="Tahoma" w:hAnsi="Tahoma" w:cs="Tahoma"/>
          <w:color w:val="000000"/>
          <w:sz w:val="18"/>
        </w:rPr>
        <w:t xml:space="preserve"> </w:t>
      </w:r>
      <w:r w:rsidRPr="0058047D">
        <w:rPr>
          <w:rFonts w:ascii="Tahoma" w:hAnsi="Tahoma" w:cs="Tahoma"/>
          <w:color w:val="000000"/>
          <w:sz w:val="18"/>
        </w:rPr>
        <w:t>Diritti su Versioni Nuove, in relazione al prodotto con licenza sottostante per il quale viene ordinata la copertura Software Assurance, significa il diritto di effettuare l</w:t>
      </w:r>
      <w:r w:rsidR="001C4212">
        <w:rPr>
          <w:rFonts w:ascii="Tahoma" w:hAnsi="Tahoma" w:cs="Tahoma"/>
          <w:color w:val="000000"/>
          <w:sz w:val="18"/>
        </w:rPr>
        <w:t>’</w:t>
      </w:r>
      <w:r w:rsidRPr="0058047D">
        <w:rPr>
          <w:rFonts w:ascii="Tahoma" w:hAnsi="Tahoma" w:cs="Tahoma"/>
          <w:color w:val="000000"/>
          <w:sz w:val="18"/>
        </w:rPr>
        <w:t>aggiornamento e di eseguire al posto del prodotto con licenza sottostante l</w:t>
      </w:r>
      <w:r w:rsidR="001C4212">
        <w:rPr>
          <w:rFonts w:ascii="Tahoma" w:hAnsi="Tahoma" w:cs="Tahoma"/>
          <w:color w:val="000000"/>
          <w:sz w:val="18"/>
        </w:rPr>
        <w:t>’</w:t>
      </w:r>
      <w:r w:rsidRPr="0058047D">
        <w:rPr>
          <w:rFonts w:ascii="Tahoma" w:hAnsi="Tahoma" w:cs="Tahoma"/>
          <w:color w:val="000000"/>
          <w:sz w:val="18"/>
        </w:rPr>
        <w:t>ultima versione di tale prodotto che Microsoft rende disponibile durante il periodo di copertura.</w:t>
      </w:r>
      <w:r w:rsidR="00E34ED3" w:rsidRPr="0058047D">
        <w:rPr>
          <w:rFonts w:ascii="Tahoma" w:hAnsi="Tahoma" w:cs="Tahoma"/>
          <w:color w:val="000000"/>
          <w:sz w:val="18"/>
        </w:rPr>
        <w:t xml:space="preserve"> </w:t>
      </w:r>
      <w:r w:rsidRPr="0058047D">
        <w:rPr>
          <w:rFonts w:ascii="Tahoma" w:hAnsi="Tahoma" w:cs="Tahoma"/>
          <w:color w:val="000000"/>
          <w:sz w:val="18"/>
        </w:rPr>
        <w:t>Ad esempio, qualora una nuova versione di Microsoft Office venga resa disponibile durante il periodo di validità della copertura, le licenze verranno automaticamente aggiornate alla nuova versione. Le società che acquistano licenze perpetue tramite Software Assurance possono distribuire gli aggiornamenti dopo la scadenza della copertura.</w:t>
      </w:r>
    </w:p>
    <w:p w14:paraId="23A043A5" w14:textId="77777777" w:rsidR="00BA0707" w:rsidRDefault="00BA0707" w:rsidP="0063466C">
      <w:pPr>
        <w:pStyle w:val="AppendixBodyText"/>
        <w:spacing w:after="0"/>
      </w:pPr>
    </w:p>
    <w:p w14:paraId="564FCE3B" w14:textId="77777777" w:rsidR="00856C12" w:rsidRDefault="00856C12" w:rsidP="0063466C">
      <w:pPr>
        <w:pStyle w:val="AppendixBodyText"/>
        <w:spacing w:after="0"/>
      </w:pPr>
    </w:p>
    <w:p w14:paraId="4EA79D9A" w14:textId="77777777" w:rsidR="00856C12" w:rsidRPr="0058047D" w:rsidRDefault="00856C12" w:rsidP="0063466C">
      <w:pPr>
        <w:pStyle w:val="AppendixBodyText"/>
        <w:spacing w:after="0"/>
      </w:pPr>
    </w:p>
    <w:p w14:paraId="0F55F391" w14:textId="77777777" w:rsidR="00023FE7" w:rsidRPr="0058047D" w:rsidRDefault="00023FE7">
      <w:pPr>
        <w:pStyle w:val="Heading2"/>
        <w:ind w:left="0"/>
      </w:pPr>
      <w:bookmarkStart w:id="710" w:name="_Toc336338229"/>
      <w:bookmarkStart w:id="711" w:name="_Toc371663623"/>
      <w:r w:rsidRPr="0058047D">
        <w:rPr>
          <w:rFonts w:ascii="Tahoma" w:hAnsi="Tahoma"/>
        </w:rPr>
        <w:t>Office Multi Language Pack</w:t>
      </w:r>
      <w:bookmarkEnd w:id="710"/>
      <w:bookmarkEnd w:id="711"/>
    </w:p>
    <w:p w14:paraId="6F6DB440" w14:textId="77777777" w:rsidR="00023FE7" w:rsidRPr="0058047D" w:rsidRDefault="00023FE7" w:rsidP="00BA0707"/>
    <w:p w14:paraId="5EA8EC64" w14:textId="77777777" w:rsidR="0063466C" w:rsidRPr="0058047D" w:rsidRDefault="00E7419A" w:rsidP="0063466C">
      <w:pPr>
        <w:spacing w:after="60"/>
        <w:jc w:val="both"/>
      </w:pPr>
      <w:r w:rsidRPr="0058047D">
        <w:rPr>
          <w:rFonts w:cs="Tahoma"/>
          <w:b/>
          <w:szCs w:val="18"/>
        </w:rPr>
        <w:t>Società con Software Assurance</w:t>
      </w:r>
    </w:p>
    <w:p w14:paraId="11819CF6" w14:textId="77777777" w:rsidR="00E7419A" w:rsidRPr="0058047D" w:rsidRDefault="00E7419A" w:rsidP="00E7419A">
      <w:pPr>
        <w:jc w:val="both"/>
      </w:pPr>
      <w:r w:rsidRPr="0058047D">
        <w:rPr>
          <w:rFonts w:cs="Tahoma"/>
          <w:szCs w:val="18"/>
        </w:rPr>
        <w:t>Le società con copertura Software Assurance attiva per i prodotti e le suite di Office System sono idonee a ricevere questo vantaggio durante il periodo di validità della copertura Software Assurance. Le società possono utilizzare l</w:t>
      </w:r>
      <w:r w:rsidR="001C4212">
        <w:rPr>
          <w:rFonts w:cs="Tahoma"/>
          <w:szCs w:val="18"/>
        </w:rPr>
        <w:t>’</w:t>
      </w:r>
      <w:r w:rsidRPr="0058047D">
        <w:rPr>
          <w:rFonts w:cs="Tahoma"/>
          <w:szCs w:val="18"/>
        </w:rPr>
        <w:t>ultima versione di Office Multi Language Pack con le copie del software Office System che sono autorizzate a usare ai sensi di licenze qualificanti.</w:t>
      </w:r>
    </w:p>
    <w:p w14:paraId="346F3AAC" w14:textId="77777777" w:rsidR="0063466C" w:rsidRPr="0058047D" w:rsidRDefault="0063466C" w:rsidP="00E7419A">
      <w:pPr>
        <w:jc w:val="both"/>
      </w:pPr>
    </w:p>
    <w:p w14:paraId="2A2A9FE5" w14:textId="77777777" w:rsidR="0063466C" w:rsidRPr="0058047D" w:rsidRDefault="00E7419A" w:rsidP="0063466C">
      <w:pPr>
        <w:spacing w:after="60"/>
        <w:jc w:val="both"/>
      </w:pPr>
      <w:r w:rsidRPr="0058047D">
        <w:rPr>
          <w:rFonts w:cs="Tahoma"/>
          <w:b/>
          <w:szCs w:val="18"/>
        </w:rPr>
        <w:t>Società con i Vantaggi dei Servizi Online idonee</w:t>
      </w:r>
    </w:p>
    <w:p w14:paraId="4044CBA3" w14:textId="77777777" w:rsidR="00E7419A" w:rsidRPr="0058047D" w:rsidRDefault="00E7419A" w:rsidP="00E7419A">
      <w:pPr>
        <w:jc w:val="both"/>
      </w:pPr>
      <w:r w:rsidRPr="0058047D">
        <w:rPr>
          <w:rFonts w:cs="Tahoma"/>
          <w:szCs w:val="18"/>
        </w:rPr>
        <w:t>Le società con Office 365 ProPlus e Office 365 Enterprise E3 ed E4 sono idonee a ricevere questo vantaggio durante il</w:t>
      </w:r>
      <w:r w:rsidR="00856C12">
        <w:rPr>
          <w:rFonts w:cs="Tahoma"/>
          <w:szCs w:val="18"/>
        </w:rPr>
        <w:t> </w:t>
      </w:r>
      <w:r w:rsidRPr="0058047D">
        <w:rPr>
          <w:rFonts w:cs="Tahoma"/>
          <w:szCs w:val="18"/>
        </w:rPr>
        <w:t>periodo di validità dell</w:t>
      </w:r>
      <w:r w:rsidR="001C4212">
        <w:rPr>
          <w:rFonts w:cs="Tahoma"/>
          <w:szCs w:val="18"/>
        </w:rPr>
        <w:t>’</w:t>
      </w:r>
      <w:r w:rsidRPr="0058047D">
        <w:rPr>
          <w:rFonts w:cs="Tahoma"/>
          <w:szCs w:val="18"/>
        </w:rPr>
        <w:t xml:space="preserve">iscrizione. </w:t>
      </w:r>
    </w:p>
    <w:p w14:paraId="2A4515F1" w14:textId="77777777" w:rsidR="00023FE7" w:rsidRPr="0058047D" w:rsidRDefault="00023FE7" w:rsidP="00BA0707">
      <w:pPr>
        <w:jc w:val="both"/>
      </w:pPr>
    </w:p>
    <w:p w14:paraId="37677D57" w14:textId="77777777" w:rsidR="00023FE7" w:rsidRPr="0058047D" w:rsidRDefault="00023FE7">
      <w:pPr>
        <w:jc w:val="both"/>
      </w:pPr>
      <w:r w:rsidRPr="0058047D">
        <w:t>Qualora il contratto di una società fornisca diritti perpetui di utilizzo del software ai sensi di licenze qualificanti, la società disporrà di un diritto perpetuo di utilizzo dell</w:t>
      </w:r>
      <w:r w:rsidR="001C4212">
        <w:t>’</w:t>
      </w:r>
      <w:r w:rsidRPr="0058047D">
        <w:t>Office Multi Language Pack con tale software (una società può continuare a utilizzare il software Office Multi Language Pack con Office System ai sensi delle licenze qualificanti anche dopo la scadenza della copertura SA per tali licenze). Diversamente il diritto di utilizzare l</w:t>
      </w:r>
      <w:r w:rsidR="001C4212">
        <w:t>’</w:t>
      </w:r>
      <w:r w:rsidRPr="0058047D">
        <w:t xml:space="preserve">Office Multi Language Pack cesserà alla scadenza dei diritti concessi dalla licenza qualificante per Office System. </w:t>
      </w:r>
    </w:p>
    <w:p w14:paraId="184054B0" w14:textId="77777777" w:rsidR="00BA0707" w:rsidRPr="0058047D" w:rsidRDefault="00BA0707" w:rsidP="00BA0707">
      <w:pPr>
        <w:jc w:val="both"/>
      </w:pPr>
    </w:p>
    <w:p w14:paraId="76FDB4DB" w14:textId="77777777" w:rsidR="000D4ECA" w:rsidRPr="0058047D" w:rsidRDefault="000D4ECA" w:rsidP="0047054A">
      <w:pPr>
        <w:keepNext/>
        <w:outlineLvl w:val="1"/>
      </w:pPr>
      <w:bookmarkStart w:id="712" w:name="_Toc291204555"/>
      <w:r w:rsidRPr="0058047D">
        <w:rPr>
          <w:b/>
          <w:sz w:val="24"/>
          <w:szCs w:val="24"/>
        </w:rPr>
        <w:t>Planning Services</w:t>
      </w:r>
      <w:bookmarkEnd w:id="712"/>
    </w:p>
    <w:p w14:paraId="7E103C5A" w14:textId="77777777" w:rsidR="000D4ECA" w:rsidRPr="0058047D" w:rsidRDefault="000D4ECA" w:rsidP="0047054A">
      <w:pPr>
        <w:keepNext/>
      </w:pPr>
    </w:p>
    <w:p w14:paraId="4FE84035" w14:textId="77777777" w:rsidR="000D4ECA" w:rsidRPr="0058047D" w:rsidRDefault="000D4ECA" w:rsidP="000D4ECA">
      <w:pPr>
        <w:spacing w:after="60"/>
      </w:pPr>
      <w:r w:rsidRPr="0058047D">
        <w:rPr>
          <w:rFonts w:cs="Tahoma"/>
          <w:color w:val="000000"/>
          <w:szCs w:val="18"/>
        </w:rPr>
        <w:t>Le società che non siano società con Contratti Academic Select License, Select Plus for Academic, Campus e School e</w:t>
      </w:r>
      <w:r w:rsidR="00856C12">
        <w:rPr>
          <w:rFonts w:cs="Tahoma"/>
          <w:color w:val="000000"/>
          <w:szCs w:val="18"/>
        </w:rPr>
        <w:t> </w:t>
      </w:r>
      <w:r w:rsidRPr="0058047D">
        <w:rPr>
          <w:rFonts w:cs="Tahoma"/>
          <w:color w:val="000000"/>
          <w:szCs w:val="18"/>
        </w:rPr>
        <w:t>Open Value Subscription - Education Solutions, ma con Partecipazione a Software Assurance nel Pool di Applicazioni e Server sono idonee a ricevere questo vantaggio.</w:t>
      </w:r>
      <w:r w:rsidR="00E34ED3" w:rsidRPr="0058047D">
        <w:rPr>
          <w:rFonts w:cs="Tahoma"/>
          <w:color w:val="000000"/>
          <w:szCs w:val="18"/>
        </w:rPr>
        <w:t xml:space="preserve"> </w:t>
      </w:r>
      <w:r w:rsidRPr="0058047D">
        <w:rPr>
          <w:rFonts w:cs="Tahoma"/>
          <w:color w:val="000000"/>
          <w:szCs w:val="18"/>
        </w:rPr>
        <w:t>Il vantaggio Planning Services mette a disposizione delle società idonee offerte di servizi personalizzati predeterminati.</w:t>
      </w:r>
      <w:r w:rsidR="00E34ED3" w:rsidRPr="0058047D">
        <w:rPr>
          <w:rFonts w:cs="Tahoma"/>
          <w:color w:val="000000"/>
          <w:szCs w:val="18"/>
        </w:rPr>
        <w:t xml:space="preserve"> </w:t>
      </w:r>
      <w:r w:rsidRPr="0058047D">
        <w:rPr>
          <w:rFonts w:cs="Tahoma"/>
          <w:color w:val="000000"/>
          <w:szCs w:val="18"/>
        </w:rPr>
        <w:t>Le offerte disponibili includono:</w:t>
      </w:r>
    </w:p>
    <w:p w14:paraId="1BF4004E" w14:textId="77777777" w:rsidR="000D4ECA" w:rsidRPr="0058047D" w:rsidRDefault="000D4ECA" w:rsidP="0063466C"/>
    <w:p w14:paraId="7ABC7C03" w14:textId="77777777" w:rsidR="000D4ECA" w:rsidRPr="0058047D" w:rsidRDefault="000D4ECA" w:rsidP="00024C3C">
      <w:pPr>
        <w:numPr>
          <w:ilvl w:val="0"/>
          <w:numId w:val="10"/>
        </w:numPr>
        <w:spacing w:after="60" w:line="276" w:lineRule="auto"/>
      </w:pPr>
      <w:r w:rsidRPr="0058047D">
        <w:rPr>
          <w:rFonts w:cs="Tahoma"/>
          <w:color w:val="000000"/>
          <w:szCs w:val="18"/>
        </w:rPr>
        <w:t>Desktop Deployment Planning Services (DDPS)</w:t>
      </w:r>
    </w:p>
    <w:p w14:paraId="2BEE6A77" w14:textId="77777777" w:rsidR="000D4ECA" w:rsidRPr="0058047D" w:rsidRDefault="000D4ECA" w:rsidP="00346F4B">
      <w:pPr>
        <w:numPr>
          <w:ilvl w:val="1"/>
          <w:numId w:val="104"/>
        </w:numPr>
        <w:spacing w:after="60" w:line="276" w:lineRule="auto"/>
        <w:ind w:left="1980"/>
      </w:pPr>
      <w:r w:rsidRPr="0058047D">
        <w:rPr>
          <w:rFonts w:cs="Tahoma"/>
          <w:color w:val="000000"/>
          <w:szCs w:val="18"/>
        </w:rPr>
        <w:t>Descrizione: DDPS consente a partner qualificati e a consulenti Microsoft di aiutare le società a sviluppare un piano di distribuzione o aggiornamento alle nuove versioni di Office e Windows adatto al loro ambiente specifico. DDPS può essere utilizzato anche per impostare un progetto pilota per Office 365.</w:t>
      </w:r>
    </w:p>
    <w:p w14:paraId="747715F1" w14:textId="77777777" w:rsidR="000D4ECA" w:rsidRPr="0058047D" w:rsidRDefault="000D4ECA" w:rsidP="00346F4B">
      <w:pPr>
        <w:numPr>
          <w:ilvl w:val="1"/>
          <w:numId w:val="104"/>
        </w:numPr>
        <w:spacing w:after="60" w:line="276" w:lineRule="auto"/>
        <w:ind w:left="1980"/>
      </w:pPr>
      <w:r w:rsidRPr="0058047D">
        <w:rPr>
          <w:rFonts w:cs="Tahoma"/>
          <w:color w:val="000000"/>
          <w:szCs w:val="18"/>
        </w:rPr>
        <w:t>Livelli di Servizio: 1, 3, 5, 10 o 15 giorni</w:t>
      </w:r>
    </w:p>
    <w:p w14:paraId="1791C008" w14:textId="77777777" w:rsidR="000D4ECA" w:rsidRPr="0058047D" w:rsidRDefault="000D4ECA" w:rsidP="00024C3C">
      <w:pPr>
        <w:numPr>
          <w:ilvl w:val="0"/>
          <w:numId w:val="11"/>
        </w:numPr>
        <w:spacing w:after="60" w:line="276" w:lineRule="auto"/>
        <w:ind w:left="1440"/>
      </w:pPr>
      <w:r w:rsidRPr="0058047D">
        <w:rPr>
          <w:rFonts w:cs="Tahoma"/>
          <w:color w:val="000000"/>
          <w:szCs w:val="18"/>
        </w:rPr>
        <w:t>SharePoint Deployment Planning Services (SDPS)</w:t>
      </w:r>
    </w:p>
    <w:p w14:paraId="4D80A196" w14:textId="77777777" w:rsidR="000D4ECA" w:rsidRPr="0058047D" w:rsidRDefault="000D4ECA" w:rsidP="00346F4B">
      <w:pPr>
        <w:numPr>
          <w:ilvl w:val="1"/>
          <w:numId w:val="105"/>
        </w:numPr>
        <w:spacing w:after="60" w:line="276" w:lineRule="auto"/>
        <w:ind w:left="1980"/>
      </w:pPr>
      <w:r w:rsidRPr="0058047D">
        <w:rPr>
          <w:rFonts w:cs="Tahoma"/>
          <w:color w:val="000000"/>
          <w:szCs w:val="18"/>
        </w:rPr>
        <w:t>Descrizione: SDPS consente a partner qualificati e a consulenti Microsoft di aiutare le società a sviluppare un piano di distribuzione o aggiornamento di SharePoint adatto al loro ambiente specifico.</w:t>
      </w:r>
      <w:r w:rsidR="00E34ED3" w:rsidRPr="0058047D">
        <w:rPr>
          <w:rFonts w:cs="Tahoma"/>
          <w:color w:val="000000"/>
          <w:szCs w:val="18"/>
        </w:rPr>
        <w:t xml:space="preserve"> </w:t>
      </w:r>
      <w:r w:rsidRPr="0058047D">
        <w:rPr>
          <w:rFonts w:cs="Tahoma"/>
          <w:color w:val="000000"/>
          <w:szCs w:val="18"/>
        </w:rPr>
        <w:t>SDPS può essere utilizzato anche per impostare un progetto pilota per Office 365.</w:t>
      </w:r>
      <w:r w:rsidR="00E34ED3" w:rsidRPr="0058047D">
        <w:rPr>
          <w:rFonts w:cs="Tahoma"/>
          <w:color w:val="000000"/>
          <w:szCs w:val="18"/>
        </w:rPr>
        <w:t xml:space="preserve"> </w:t>
      </w:r>
    </w:p>
    <w:p w14:paraId="5AC3D78D" w14:textId="77777777" w:rsidR="000D4ECA" w:rsidRPr="0058047D" w:rsidRDefault="000D4ECA" w:rsidP="00346F4B">
      <w:pPr>
        <w:numPr>
          <w:ilvl w:val="1"/>
          <w:numId w:val="105"/>
        </w:numPr>
        <w:spacing w:after="60" w:line="276" w:lineRule="auto"/>
        <w:ind w:left="1980"/>
      </w:pPr>
      <w:r w:rsidRPr="0058047D">
        <w:rPr>
          <w:rFonts w:cs="Tahoma"/>
          <w:color w:val="000000"/>
          <w:szCs w:val="18"/>
        </w:rPr>
        <w:t>Livelli di Servizio: 1, 3, 5, 10 o 15 giorni</w:t>
      </w:r>
    </w:p>
    <w:p w14:paraId="263110D2" w14:textId="77777777" w:rsidR="000D4ECA" w:rsidRPr="0058047D" w:rsidRDefault="000D4ECA" w:rsidP="00024C3C">
      <w:pPr>
        <w:numPr>
          <w:ilvl w:val="0"/>
          <w:numId w:val="10"/>
        </w:numPr>
        <w:spacing w:after="60" w:line="276" w:lineRule="auto"/>
      </w:pPr>
      <w:r w:rsidRPr="0058047D">
        <w:rPr>
          <w:rFonts w:cs="Tahoma"/>
          <w:color w:val="000000"/>
          <w:szCs w:val="18"/>
        </w:rPr>
        <w:t>Lync and Exchange Deployment Planning Services (L&amp;EDPS)</w:t>
      </w:r>
    </w:p>
    <w:p w14:paraId="435EFE8A" w14:textId="77777777" w:rsidR="000D4ECA" w:rsidRPr="0058047D" w:rsidRDefault="000D4ECA" w:rsidP="00346F4B">
      <w:pPr>
        <w:numPr>
          <w:ilvl w:val="1"/>
          <w:numId w:val="106"/>
        </w:numPr>
        <w:spacing w:after="60" w:line="276" w:lineRule="auto"/>
        <w:ind w:left="1980"/>
      </w:pPr>
      <w:r w:rsidRPr="0058047D">
        <w:rPr>
          <w:rFonts w:cs="Tahoma"/>
          <w:color w:val="000000"/>
          <w:szCs w:val="18"/>
        </w:rPr>
        <w:t>Descrizione: L&amp;EDPS consente a partner qualificati e a consulenti Microsoft di guidare le società durante la pianificazione di sviluppo e aggiornamento alle nuove versioni di Lync e Exchange.</w:t>
      </w:r>
      <w:r w:rsidR="00E34ED3" w:rsidRPr="0058047D">
        <w:rPr>
          <w:rFonts w:cs="Tahoma"/>
          <w:color w:val="000000"/>
          <w:szCs w:val="18"/>
        </w:rPr>
        <w:t xml:space="preserve"> </w:t>
      </w:r>
      <w:r w:rsidRPr="0058047D">
        <w:rPr>
          <w:rFonts w:cs="Tahoma"/>
          <w:color w:val="000000"/>
          <w:szCs w:val="18"/>
        </w:rPr>
        <w:t>L&amp;EDPS può essere utilizzato anche per impostare un progetto pilota per Office 365.</w:t>
      </w:r>
    </w:p>
    <w:p w14:paraId="2E57BB17" w14:textId="77777777" w:rsidR="000D4ECA" w:rsidRPr="0058047D" w:rsidRDefault="000D4ECA" w:rsidP="00346F4B">
      <w:pPr>
        <w:numPr>
          <w:ilvl w:val="1"/>
          <w:numId w:val="106"/>
        </w:numPr>
        <w:spacing w:after="60" w:line="276" w:lineRule="auto"/>
        <w:ind w:left="1980"/>
      </w:pPr>
      <w:r w:rsidRPr="0058047D">
        <w:rPr>
          <w:rFonts w:cs="Tahoma"/>
          <w:color w:val="000000"/>
          <w:szCs w:val="18"/>
        </w:rPr>
        <w:t>Livelli di Servizio: 1, 3, 5, 10 o 15 giorni</w:t>
      </w:r>
    </w:p>
    <w:p w14:paraId="76B13BB7" w14:textId="77777777" w:rsidR="000D4ECA" w:rsidRPr="0058047D" w:rsidRDefault="000D4ECA" w:rsidP="00024C3C">
      <w:pPr>
        <w:numPr>
          <w:ilvl w:val="0"/>
          <w:numId w:val="10"/>
        </w:numPr>
        <w:spacing w:after="60" w:line="276" w:lineRule="auto"/>
      </w:pPr>
      <w:r w:rsidRPr="0058047D">
        <w:rPr>
          <w:rFonts w:cs="Tahoma"/>
          <w:color w:val="000000"/>
          <w:szCs w:val="18"/>
        </w:rPr>
        <w:t>Private Cloud, Management and Virtualization Deployment Planning Services (PVDPS)</w:t>
      </w:r>
    </w:p>
    <w:p w14:paraId="084CDDEF" w14:textId="77777777" w:rsidR="000D4ECA" w:rsidRPr="0058047D" w:rsidRDefault="000D4ECA" w:rsidP="00346F4B">
      <w:pPr>
        <w:numPr>
          <w:ilvl w:val="1"/>
          <w:numId w:val="107"/>
        </w:numPr>
        <w:spacing w:after="60" w:line="276" w:lineRule="auto"/>
        <w:ind w:left="1980"/>
      </w:pPr>
      <w:r w:rsidRPr="0058047D">
        <w:rPr>
          <w:rFonts w:cs="Tahoma"/>
          <w:color w:val="000000"/>
          <w:szCs w:val="18"/>
        </w:rPr>
        <w:t xml:space="preserve">Descrizione: </w:t>
      </w:r>
      <w:r w:rsidRPr="0058047D">
        <w:rPr>
          <w:rFonts w:cs="Tahoma"/>
          <w:szCs w:val="18"/>
        </w:rPr>
        <w:t>PVDPS offre engagement di consulenza strutturati che aiutano le società a trarre vantaggio dalle soluzioni infrastrutturali basate su Windows Server, Systems Center e Hyper-V. Questo servizio consentirà di ridurre i costi dei datacenter, aumentare la flessibilità aziendale e fornire un maggiore controllo dell</w:t>
      </w:r>
      <w:r w:rsidR="001C4212">
        <w:rPr>
          <w:rFonts w:cs="Tahoma"/>
          <w:szCs w:val="18"/>
        </w:rPr>
        <w:t>’</w:t>
      </w:r>
      <w:r w:rsidRPr="0058047D">
        <w:rPr>
          <w:rFonts w:cs="Tahoma"/>
          <w:szCs w:val="18"/>
        </w:rPr>
        <w:t>infrastruttura fisica, virtuale e ibrida della società</w:t>
      </w:r>
      <w:r w:rsidRPr="0058047D">
        <w:rPr>
          <w:rFonts w:cs="Tahoma"/>
          <w:color w:val="000000"/>
          <w:szCs w:val="18"/>
        </w:rPr>
        <w:t xml:space="preserve">. </w:t>
      </w:r>
    </w:p>
    <w:p w14:paraId="07EAD672" w14:textId="77777777" w:rsidR="000D4ECA" w:rsidRPr="00856C12" w:rsidRDefault="000D4ECA" w:rsidP="00346F4B">
      <w:pPr>
        <w:numPr>
          <w:ilvl w:val="1"/>
          <w:numId w:val="107"/>
        </w:numPr>
        <w:spacing w:after="60" w:line="276" w:lineRule="auto"/>
        <w:ind w:left="1980"/>
      </w:pPr>
      <w:r w:rsidRPr="0058047D">
        <w:rPr>
          <w:rFonts w:cs="Tahoma"/>
          <w:color w:val="000000"/>
          <w:szCs w:val="18"/>
        </w:rPr>
        <w:t>Livelli di Servizio: 3, 5, 10 o 15 giorni</w:t>
      </w:r>
    </w:p>
    <w:p w14:paraId="573184DE" w14:textId="77777777" w:rsidR="00856C12" w:rsidRPr="0058047D" w:rsidRDefault="00856C12" w:rsidP="00856C12">
      <w:pPr>
        <w:spacing w:after="60" w:line="276" w:lineRule="auto"/>
        <w:ind w:left="1980"/>
      </w:pPr>
    </w:p>
    <w:p w14:paraId="21C30DFE" w14:textId="77777777" w:rsidR="000D4ECA" w:rsidRPr="0058047D" w:rsidRDefault="000D4ECA" w:rsidP="00024C3C">
      <w:pPr>
        <w:numPr>
          <w:ilvl w:val="0"/>
          <w:numId w:val="10"/>
        </w:numPr>
        <w:spacing w:after="60" w:line="276" w:lineRule="auto"/>
      </w:pPr>
      <w:r w:rsidRPr="0058047D">
        <w:rPr>
          <w:rFonts w:cs="Tahoma"/>
          <w:color w:val="000000"/>
          <w:szCs w:val="18"/>
        </w:rPr>
        <w:t>SQL Server Deployment Planning Services (SSDPS)</w:t>
      </w:r>
    </w:p>
    <w:p w14:paraId="52FC9ED7" w14:textId="77777777" w:rsidR="000D4ECA" w:rsidRPr="0058047D" w:rsidRDefault="000D4ECA" w:rsidP="00346F4B">
      <w:pPr>
        <w:numPr>
          <w:ilvl w:val="1"/>
          <w:numId w:val="108"/>
        </w:numPr>
        <w:spacing w:after="60" w:line="276" w:lineRule="auto"/>
        <w:ind w:left="1980"/>
      </w:pPr>
      <w:r w:rsidRPr="0058047D">
        <w:rPr>
          <w:rFonts w:cs="Tahoma"/>
          <w:color w:val="000000"/>
          <w:szCs w:val="18"/>
        </w:rPr>
        <w:t xml:space="preserve">Descrizione: </w:t>
      </w:r>
      <w:r w:rsidRPr="0058047D">
        <w:rPr>
          <w:rFonts w:cs="Tahoma"/>
          <w:szCs w:val="18"/>
        </w:rPr>
        <w:t>SSDPS offre una valutazione approfondita e la pianificazione della distribuzione per la migrazione a SQL Server, l</w:t>
      </w:r>
      <w:r w:rsidR="001C4212">
        <w:rPr>
          <w:rFonts w:cs="Tahoma"/>
          <w:szCs w:val="18"/>
        </w:rPr>
        <w:t>’</w:t>
      </w:r>
      <w:r w:rsidRPr="0058047D">
        <w:rPr>
          <w:rFonts w:cs="Tahoma"/>
          <w:szCs w:val="18"/>
        </w:rPr>
        <w:t>aggiornamento a una nuova versione di SQL Server, della soluzione SQL Server Business Intelligence e della pianificazione della distribuzione per Microsoft Dynamics CRM.</w:t>
      </w:r>
    </w:p>
    <w:p w14:paraId="40668894" w14:textId="77777777" w:rsidR="000D4ECA" w:rsidRPr="0058047D" w:rsidRDefault="000D4ECA" w:rsidP="00346F4B">
      <w:pPr>
        <w:numPr>
          <w:ilvl w:val="1"/>
          <w:numId w:val="108"/>
        </w:numPr>
        <w:spacing w:after="60" w:line="276" w:lineRule="auto"/>
        <w:ind w:left="1980"/>
      </w:pPr>
      <w:r w:rsidRPr="0058047D">
        <w:rPr>
          <w:rFonts w:cs="Tahoma"/>
          <w:color w:val="000000"/>
          <w:szCs w:val="18"/>
        </w:rPr>
        <w:t>Livelli di Servizio: 3, 5, 10 o 15 giorni</w:t>
      </w:r>
    </w:p>
    <w:p w14:paraId="389273E0" w14:textId="77777777" w:rsidR="000D4ECA" w:rsidRPr="0058047D" w:rsidRDefault="000D4ECA" w:rsidP="00024C3C">
      <w:pPr>
        <w:numPr>
          <w:ilvl w:val="0"/>
          <w:numId w:val="10"/>
        </w:numPr>
        <w:spacing w:after="60" w:line="276" w:lineRule="auto"/>
      </w:pPr>
      <w:r w:rsidRPr="0058047D">
        <w:rPr>
          <w:rFonts w:cs="Tahoma"/>
          <w:color w:val="000000"/>
          <w:szCs w:val="18"/>
        </w:rPr>
        <w:t>Developer Tools Deployment Planning Services (DTDPS)</w:t>
      </w:r>
    </w:p>
    <w:p w14:paraId="6574379B" w14:textId="77777777" w:rsidR="000D4ECA" w:rsidRPr="0058047D" w:rsidRDefault="000D4ECA" w:rsidP="00346F4B">
      <w:pPr>
        <w:numPr>
          <w:ilvl w:val="1"/>
          <w:numId w:val="109"/>
        </w:numPr>
        <w:spacing w:after="60" w:line="276" w:lineRule="auto"/>
        <w:ind w:left="1980"/>
      </w:pPr>
      <w:r w:rsidRPr="0058047D">
        <w:rPr>
          <w:rFonts w:cs="Tahoma"/>
          <w:color w:val="000000"/>
          <w:szCs w:val="18"/>
        </w:rPr>
        <w:t xml:space="preserve">Descrizione: </w:t>
      </w:r>
      <w:r w:rsidRPr="0058047D">
        <w:rPr>
          <w:rFonts w:cs="Tahoma"/>
          <w:szCs w:val="18"/>
        </w:rPr>
        <w:t>DTDPS offre analisi rigorose e un approccio incentrato sui processi per lo sviluppo di un piano di distribuzione di Visual Studio Team Foundation Server o Visual Studio Test Tools. Utilizzando procedure consigliate da Microsoft, un partner certificato realizzerà un piano di distribuzione univoco, personalizzato in base alle esigenze della società</w:t>
      </w:r>
      <w:r w:rsidRPr="0058047D">
        <w:rPr>
          <w:rFonts w:cs="Tahoma"/>
          <w:color w:val="000000"/>
          <w:szCs w:val="18"/>
        </w:rPr>
        <w:t xml:space="preserve">. </w:t>
      </w:r>
    </w:p>
    <w:p w14:paraId="36863057" w14:textId="77777777" w:rsidR="000D4ECA" w:rsidRPr="0058047D" w:rsidRDefault="000D4ECA" w:rsidP="00346F4B">
      <w:pPr>
        <w:numPr>
          <w:ilvl w:val="1"/>
          <w:numId w:val="109"/>
        </w:numPr>
        <w:spacing w:after="60" w:line="276" w:lineRule="auto"/>
        <w:ind w:left="1980"/>
      </w:pPr>
      <w:r w:rsidRPr="0058047D">
        <w:rPr>
          <w:rFonts w:cs="Tahoma"/>
          <w:color w:val="000000"/>
          <w:szCs w:val="18"/>
        </w:rPr>
        <w:t>Livelli di Servizio: 3 o 5 giorni</w:t>
      </w:r>
    </w:p>
    <w:p w14:paraId="54F95D2F" w14:textId="77777777" w:rsidR="000D4ECA" w:rsidRPr="0058047D" w:rsidRDefault="000D4ECA" w:rsidP="00024C3C">
      <w:pPr>
        <w:numPr>
          <w:ilvl w:val="0"/>
          <w:numId w:val="10"/>
        </w:numPr>
        <w:spacing w:after="60" w:line="276" w:lineRule="auto"/>
      </w:pPr>
      <w:r w:rsidRPr="0058047D">
        <w:rPr>
          <w:rFonts w:cs="Tahoma"/>
          <w:color w:val="000000"/>
          <w:szCs w:val="18"/>
        </w:rPr>
        <w:t>Cloud Pubblico, Azure Deployment Planning Services (AZDPS)</w:t>
      </w:r>
    </w:p>
    <w:p w14:paraId="7D78BD45" w14:textId="77777777" w:rsidR="000D4ECA" w:rsidRPr="0058047D" w:rsidRDefault="000D4ECA" w:rsidP="00346F4B">
      <w:pPr>
        <w:numPr>
          <w:ilvl w:val="1"/>
          <w:numId w:val="110"/>
        </w:numPr>
        <w:spacing w:after="60" w:line="276" w:lineRule="auto"/>
        <w:ind w:left="1980"/>
      </w:pPr>
      <w:r w:rsidRPr="0058047D">
        <w:rPr>
          <w:rFonts w:cs="Tahoma"/>
          <w:color w:val="000000"/>
          <w:szCs w:val="18"/>
        </w:rPr>
        <w:t xml:space="preserve">Descrizione: </w:t>
      </w:r>
      <w:r w:rsidRPr="0058047D">
        <w:rPr>
          <w:rFonts w:cs="Tahoma"/>
          <w:szCs w:val="18"/>
        </w:rPr>
        <w:t xml:space="preserve">Il Cloud </w:t>
      </w:r>
      <w:r w:rsidRPr="0058047D">
        <w:rPr>
          <w:rFonts w:cs="Tahoma"/>
          <w:color w:val="1D1B11"/>
          <w:szCs w:val="18"/>
        </w:rPr>
        <w:t>Pubblico</w:t>
      </w:r>
      <w:r w:rsidRPr="0058047D">
        <w:rPr>
          <w:rFonts w:cs="Tahoma"/>
          <w:szCs w:val="18"/>
        </w:rPr>
        <w:t xml:space="preserve"> AZDPS offre la formazione e il servizio di migrazione della Piattaforma Windows Azure. Questo servizio consente di usufruire di esercitazioni relative alla Piattaforma Windows Azure con formazione pratica, di ottenere assistenza in merito all</w:t>
      </w:r>
      <w:r w:rsidR="001C4212">
        <w:rPr>
          <w:rFonts w:cs="Tahoma"/>
          <w:szCs w:val="18"/>
        </w:rPr>
        <w:t>’</w:t>
      </w:r>
      <w:r w:rsidRPr="0058047D">
        <w:rPr>
          <w:rFonts w:cs="Tahoma"/>
          <w:szCs w:val="18"/>
        </w:rPr>
        <w:t>esecuzione della migrazione di applicazioni e dati e alla progettazione di applicazioni per il cloud; inoltre fornisce alle società il supporto necessario per la migrazione e la scrittura delle loro prime applicazioni sulla piattaforma Windows Azure.</w:t>
      </w:r>
    </w:p>
    <w:p w14:paraId="1C02012C" w14:textId="77777777" w:rsidR="000D4ECA" w:rsidRPr="0058047D" w:rsidRDefault="000D4ECA" w:rsidP="00346F4B">
      <w:pPr>
        <w:numPr>
          <w:ilvl w:val="1"/>
          <w:numId w:val="110"/>
        </w:numPr>
        <w:spacing w:line="276" w:lineRule="auto"/>
        <w:ind w:left="1987"/>
      </w:pPr>
      <w:r w:rsidRPr="0058047D">
        <w:rPr>
          <w:rFonts w:cs="Tahoma"/>
          <w:color w:val="000000"/>
          <w:szCs w:val="18"/>
        </w:rPr>
        <w:t>Livelli di Servizio: 3, 5 o 10 giorni</w:t>
      </w:r>
    </w:p>
    <w:p w14:paraId="13F3A744" w14:textId="77777777" w:rsidR="000D4ECA" w:rsidRPr="0058047D" w:rsidRDefault="000D4ECA" w:rsidP="0063466C">
      <w:pPr>
        <w:tabs>
          <w:tab w:val="left" w:pos="8040"/>
        </w:tabs>
      </w:pPr>
    </w:p>
    <w:p w14:paraId="05648A9D" w14:textId="77777777" w:rsidR="000D4ECA" w:rsidRPr="0058047D" w:rsidRDefault="000D4ECA" w:rsidP="000D4ECA">
      <w:pPr>
        <w:spacing w:after="60"/>
      </w:pPr>
      <w:r w:rsidRPr="0058047D">
        <w:rPr>
          <w:rFonts w:cs="Tahoma"/>
          <w:color w:val="000000"/>
          <w:szCs w:val="18"/>
        </w:rPr>
        <w:t>L</w:t>
      </w:r>
      <w:r w:rsidR="001C4212">
        <w:rPr>
          <w:rFonts w:cs="Tahoma"/>
          <w:color w:val="000000"/>
          <w:szCs w:val="18"/>
        </w:rPr>
        <w:t>’</w:t>
      </w:r>
      <w:r w:rsidRPr="0058047D">
        <w:rPr>
          <w:rFonts w:cs="Tahoma"/>
          <w:color w:val="000000"/>
          <w:szCs w:val="18"/>
        </w:rPr>
        <w:t>elenco di servizi disponibili e di livelli di servizi associati potrà cambiare in qualsiasi momento.</w:t>
      </w:r>
      <w:r w:rsidR="00E34ED3" w:rsidRPr="0058047D">
        <w:rPr>
          <w:rFonts w:cs="Tahoma"/>
          <w:color w:val="000000"/>
          <w:szCs w:val="18"/>
        </w:rPr>
        <w:t xml:space="preserve"> </w:t>
      </w:r>
      <w:r w:rsidRPr="0058047D">
        <w:rPr>
          <w:rFonts w:cs="Tahoma"/>
          <w:color w:val="000000"/>
          <w:szCs w:val="18"/>
        </w:rPr>
        <w:t>I Provider Qualificati forniranno alle società su loro richiesta uno schema dell</w:t>
      </w:r>
      <w:r w:rsidR="001C4212">
        <w:rPr>
          <w:rFonts w:cs="Tahoma"/>
          <w:color w:val="000000"/>
          <w:szCs w:val="18"/>
        </w:rPr>
        <w:t>’</w:t>
      </w:r>
      <w:r w:rsidRPr="0058047D">
        <w:rPr>
          <w:rFonts w:cs="Tahoma"/>
          <w:color w:val="000000"/>
          <w:szCs w:val="18"/>
        </w:rPr>
        <w:t>Ambito di Lavoro disponibile per ciascuna delle offerte di servizi di cui sopra.</w:t>
      </w:r>
    </w:p>
    <w:p w14:paraId="7D265145" w14:textId="77777777" w:rsidR="000D4ECA" w:rsidRPr="0058047D" w:rsidRDefault="000D4ECA" w:rsidP="0063466C"/>
    <w:p w14:paraId="4208B2A9" w14:textId="77777777" w:rsidR="000D4ECA" w:rsidRPr="0058047D" w:rsidRDefault="000D4ECA" w:rsidP="000D4ECA">
      <w:pPr>
        <w:spacing w:after="60"/>
      </w:pPr>
      <w:r w:rsidRPr="0058047D">
        <w:rPr>
          <w:rFonts w:cs="Tahoma"/>
          <w:color w:val="000000"/>
          <w:szCs w:val="18"/>
        </w:rPr>
        <w:t>Le società qualificate ricevono un numero di giorni Planning Services basato sul numero di licenze qualificanti per le Applicazioni Office, sulle licenze qualificanti Server e sul numero di Core CAL Suite, CAL per SQL ed Enterprise CAL Suite per le quali è stata acquistata la copertura Software Assurance (vedere la tabella che segue per i dettagli).</w:t>
      </w:r>
      <w:r w:rsidR="00E34ED3" w:rsidRPr="0058047D">
        <w:rPr>
          <w:rFonts w:cs="Tahoma"/>
          <w:color w:val="000000"/>
          <w:szCs w:val="18"/>
        </w:rPr>
        <w:t xml:space="preserve"> </w:t>
      </w:r>
      <w:r w:rsidRPr="0058047D">
        <w:rPr>
          <w:rFonts w:cs="Tahoma"/>
          <w:bCs/>
          <w:color w:val="000000"/>
          <w:szCs w:val="18"/>
        </w:rPr>
        <w:t>Il numero di giorni che una società riceve viene inserito in un pool di Giorni Planning Services al quale la società attinge per creare voucher per le offerte di servizi citate in precedenza.</w:t>
      </w:r>
      <w:r w:rsidR="00E34ED3" w:rsidRPr="0058047D">
        <w:rPr>
          <w:rFonts w:cs="Tahoma"/>
          <w:bCs/>
          <w:color w:val="000000"/>
          <w:szCs w:val="18"/>
        </w:rPr>
        <w:t xml:space="preserve"> </w:t>
      </w:r>
      <w:r w:rsidRPr="0058047D">
        <w:rPr>
          <w:rFonts w:cs="Tahoma"/>
          <w:bCs/>
          <w:color w:val="000000"/>
          <w:szCs w:val="18"/>
        </w:rPr>
        <w:t>Le società potranno selezionare uno o più di questi servizi nonché scegliere dai livelli di servizi disponibili fino al numero di Giorni Planning Services.</w:t>
      </w:r>
    </w:p>
    <w:p w14:paraId="62BADB21" w14:textId="77777777" w:rsidR="001C1727" w:rsidRPr="0058047D" w:rsidRDefault="001C1727"/>
    <w:p w14:paraId="357563BF" w14:textId="77777777" w:rsidR="000D4ECA" w:rsidRPr="0058047D" w:rsidRDefault="000D4ECA" w:rsidP="000D4ECA">
      <w:pPr>
        <w:spacing w:after="60"/>
      </w:pPr>
      <w:r w:rsidRPr="0058047D">
        <w:rPr>
          <w:rFonts w:cs="Tahoma"/>
          <w:bCs/>
          <w:color w:val="000000"/>
          <w:szCs w:val="18"/>
        </w:rPr>
        <w:t>Nella tabella seguente sono elencate le licenze qualificanti Applicazione e Server e i punti associati a ciascuna di esse:</w:t>
      </w:r>
    </w:p>
    <w:p w14:paraId="7380594B" w14:textId="77777777" w:rsidR="0063466C" w:rsidRPr="0058047D" w:rsidRDefault="0063466C" w:rsidP="000D4ECA">
      <w:pPr>
        <w:spacing w:after="60"/>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58047D" w14:paraId="35F2DEB0"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DEE9A51" w14:textId="77777777" w:rsidR="000D4ECA" w:rsidRPr="0058047D" w:rsidRDefault="000D4ECA" w:rsidP="000D4ECA">
            <w:pPr>
              <w:spacing w:after="60"/>
              <w:jc w:val="center"/>
              <w:rPr>
                <w:rFonts w:cs="Tahoma"/>
                <w:szCs w:val="18"/>
              </w:rPr>
            </w:pPr>
            <w:r w:rsidRPr="0058047D">
              <w:rPr>
                <w:rFonts w:cs="Tahoma"/>
                <w:b/>
                <w:bCs/>
                <w:szCs w:val="18"/>
              </w:rPr>
              <w:t xml:space="preserve">Licenze per Applicazioni Office e Server*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5A2E9DE" w14:textId="77777777" w:rsidR="000D4ECA" w:rsidRPr="0058047D" w:rsidRDefault="000D4ECA" w:rsidP="000D4ECA">
            <w:pPr>
              <w:spacing w:after="60"/>
              <w:jc w:val="center"/>
              <w:rPr>
                <w:rFonts w:cs="Tahoma"/>
                <w:szCs w:val="18"/>
              </w:rPr>
            </w:pPr>
            <w:r w:rsidRPr="0058047D">
              <w:rPr>
                <w:rFonts w:cs="Tahoma"/>
                <w:b/>
                <w:bCs/>
                <w:szCs w:val="18"/>
              </w:rPr>
              <w:t>Punti</w:t>
            </w:r>
          </w:p>
        </w:tc>
      </w:tr>
      <w:tr w:rsidR="000D4ECA" w:rsidRPr="0058047D" w14:paraId="35E16EA6"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155D523" w14:textId="77777777" w:rsidR="000D4ECA" w:rsidRPr="0058047D" w:rsidRDefault="000D4ECA" w:rsidP="00856C12">
            <w:pPr>
              <w:spacing w:after="60"/>
              <w:jc w:val="center"/>
              <w:rPr>
                <w:rFonts w:cs="Tahoma"/>
                <w:szCs w:val="18"/>
              </w:rPr>
            </w:pPr>
            <w:r w:rsidRPr="0058047D">
              <w:rPr>
                <w:rFonts w:cs="Tahoma"/>
                <w:szCs w:val="18"/>
              </w:rPr>
              <w:t>Prodotti del Pool di Applicazioni Office (incluse la famiglia di prodotti Office, Project</w:t>
            </w:r>
            <w:r w:rsidR="00856C12">
              <w:rPr>
                <w:rFonts w:cs="Tahoma"/>
                <w:szCs w:val="18"/>
              </w:rPr>
              <w:t> </w:t>
            </w:r>
            <w:r w:rsidRPr="0058047D">
              <w:rPr>
                <w:rFonts w:cs="Tahoma"/>
                <w:szCs w:val="18"/>
              </w:rPr>
              <w:t>Standard e Professional, Visio Standard e Professional), CAL per Microsoft</w:t>
            </w:r>
            <w:r w:rsidR="00856C12">
              <w:rPr>
                <w:rFonts w:cs="Tahoma"/>
                <w:szCs w:val="18"/>
              </w:rPr>
              <w:t> </w:t>
            </w:r>
            <w:r w:rsidRPr="0058047D">
              <w:rPr>
                <w:rFonts w:cs="Tahoma"/>
                <w:szCs w:val="18"/>
              </w:rPr>
              <w:t>Dynamics CRM</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4DE7955" w14:textId="77777777" w:rsidR="000D4ECA" w:rsidRPr="0058047D" w:rsidRDefault="000D4ECA" w:rsidP="000D4ECA">
            <w:pPr>
              <w:spacing w:after="60"/>
              <w:jc w:val="center"/>
              <w:rPr>
                <w:rFonts w:cs="Tahoma"/>
                <w:szCs w:val="18"/>
              </w:rPr>
            </w:pPr>
            <w:r w:rsidRPr="0058047D">
              <w:rPr>
                <w:rFonts w:cs="Tahoma"/>
                <w:szCs w:val="18"/>
              </w:rPr>
              <w:t>1</w:t>
            </w:r>
          </w:p>
        </w:tc>
      </w:tr>
      <w:tr w:rsidR="000D4ECA" w:rsidRPr="0058047D" w14:paraId="61BB2785"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45E95B2" w14:textId="77777777" w:rsidR="000D4ECA" w:rsidRPr="0058047D" w:rsidRDefault="00F56FC9" w:rsidP="007002E0">
            <w:pPr>
              <w:spacing w:after="60"/>
              <w:jc w:val="center"/>
              <w:rPr>
                <w:rFonts w:cs="Tahoma"/>
                <w:szCs w:val="18"/>
              </w:rPr>
            </w:pPr>
            <w:r w:rsidRPr="0058047D">
              <w:rPr>
                <w:rFonts w:eastAsia="Calibri" w:cs="Tahoma"/>
                <w:szCs w:val="18"/>
              </w:rPr>
              <w:t>SQL Server Standard Edition, Windows Server Standard Edition, Microsoft Dynamics CRM Server 2011, Microsoft Dynamics CRM Server 2013, Licenza di Gestione Server per System Center 2012 Standard (2 processori), Visual Studio Professional con MSDN e Visual Studio Test Professional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A19AC4" w14:textId="77777777" w:rsidR="000D4ECA" w:rsidRPr="0058047D" w:rsidRDefault="000D4ECA" w:rsidP="000D4ECA">
            <w:pPr>
              <w:spacing w:after="60"/>
              <w:jc w:val="center"/>
              <w:rPr>
                <w:rFonts w:cs="Tahoma"/>
                <w:szCs w:val="18"/>
              </w:rPr>
            </w:pPr>
            <w:r w:rsidRPr="0058047D">
              <w:rPr>
                <w:rFonts w:cs="Tahoma"/>
                <w:szCs w:val="18"/>
              </w:rPr>
              <w:t>25</w:t>
            </w:r>
          </w:p>
        </w:tc>
      </w:tr>
      <w:tr w:rsidR="000D4ECA" w:rsidRPr="0058047D" w14:paraId="5B83F149"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3E7FCBF" w14:textId="77777777" w:rsidR="000D4ECA" w:rsidRPr="0058047D" w:rsidRDefault="00F56FC9" w:rsidP="000D4ECA">
            <w:pPr>
              <w:spacing w:after="60"/>
              <w:jc w:val="center"/>
              <w:rPr>
                <w:rFonts w:cs="Tahoma"/>
                <w:szCs w:val="18"/>
              </w:rPr>
            </w:pPr>
            <w:r w:rsidRPr="0058047D">
              <w:rPr>
                <w:rFonts w:eastAsia="Calibri" w:cs="Tahoma"/>
                <w:szCs w:val="18"/>
              </w:rPr>
              <w:t xml:space="preserve">SQL Server Enterprise Edition, </w:t>
            </w:r>
            <w:r w:rsidRPr="0058047D">
              <w:rPr>
                <w:rFonts w:cs="Tahoma"/>
                <w:szCs w:val="18"/>
              </w:rPr>
              <w:t xml:space="preserve">SQL Server Business Intelligence, </w:t>
            </w:r>
            <w:r w:rsidRPr="0058047D">
              <w:rPr>
                <w:rFonts w:eastAsia="Calibri" w:cs="Tahoma"/>
                <w:szCs w:val="18"/>
              </w:rPr>
              <w:t>Windows Server Enterprise Edition e Visual Studio Premium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5D806A6" w14:textId="77777777" w:rsidR="000D4ECA" w:rsidRPr="0058047D" w:rsidRDefault="000D4ECA" w:rsidP="000D4ECA">
            <w:pPr>
              <w:spacing w:after="60"/>
              <w:jc w:val="center"/>
              <w:rPr>
                <w:rFonts w:cs="Tahoma"/>
                <w:szCs w:val="18"/>
              </w:rPr>
            </w:pPr>
            <w:r w:rsidRPr="0058047D">
              <w:rPr>
                <w:rFonts w:cs="Tahoma"/>
                <w:szCs w:val="18"/>
              </w:rPr>
              <w:t>50</w:t>
            </w:r>
          </w:p>
        </w:tc>
      </w:tr>
      <w:tr w:rsidR="000D4ECA" w:rsidRPr="0058047D" w14:paraId="51FAE522"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FCC5555" w14:textId="77777777" w:rsidR="000D4ECA" w:rsidRPr="0058047D" w:rsidRDefault="00F56FC9" w:rsidP="000D4ECA">
            <w:pPr>
              <w:spacing w:after="60"/>
              <w:jc w:val="center"/>
              <w:rPr>
                <w:rFonts w:cs="Tahoma"/>
                <w:szCs w:val="18"/>
              </w:rPr>
            </w:pPr>
            <w:r w:rsidRPr="0058047D">
              <w:rPr>
                <w:rFonts w:eastAsia="Calibri" w:cs="Tahoma"/>
                <w:szCs w:val="18"/>
              </w:rPr>
              <w:t>SQL Server Data Center Edition, Windows Server Data Center Edition, Licenza di Gestione Server per System Center 2012 Datacenter (2 processori) e Visual Studio Ultimate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F29997" w14:textId="77777777" w:rsidR="000D4ECA" w:rsidRPr="0058047D" w:rsidRDefault="000D4ECA" w:rsidP="000D4ECA">
            <w:pPr>
              <w:spacing w:after="60"/>
              <w:jc w:val="center"/>
              <w:rPr>
                <w:rFonts w:cs="Tahoma"/>
                <w:szCs w:val="18"/>
              </w:rPr>
            </w:pPr>
            <w:r w:rsidRPr="0058047D">
              <w:rPr>
                <w:rFonts w:cs="Tahoma"/>
                <w:szCs w:val="18"/>
              </w:rPr>
              <w:t>75</w:t>
            </w:r>
          </w:p>
        </w:tc>
      </w:tr>
    </w:tbl>
    <w:p w14:paraId="21353ACC" w14:textId="77777777" w:rsidR="000D4ECA" w:rsidRPr="0058047D" w:rsidRDefault="000D4ECA" w:rsidP="0063466C">
      <w:pPr>
        <w:ind w:firstLine="720"/>
      </w:pPr>
      <w:r w:rsidRPr="0058047D">
        <w:rPr>
          <w:rFonts w:cs="Tahoma"/>
          <w:b/>
          <w:i/>
          <w:sz w:val="16"/>
          <w:szCs w:val="18"/>
        </w:rPr>
        <w:t>Nota:</w:t>
      </w:r>
      <w:r w:rsidRPr="0058047D">
        <w:rPr>
          <w:rFonts w:cs="Tahoma"/>
          <w:i/>
          <w:sz w:val="16"/>
          <w:szCs w:val="18"/>
        </w:rPr>
        <w:t xml:space="preserve"> per le CAL, vedere la tabella CAL Suite nel presente articolo</w:t>
      </w:r>
    </w:p>
    <w:p w14:paraId="121D57BD" w14:textId="77777777" w:rsidR="00F56FC9" w:rsidRPr="0058047D" w:rsidRDefault="00F56FC9" w:rsidP="0063466C"/>
    <w:p w14:paraId="0ABBA6E9" w14:textId="77777777" w:rsidR="000D4ECA" w:rsidRPr="0058047D" w:rsidRDefault="000D4ECA" w:rsidP="0063466C">
      <w:r w:rsidRPr="0058047D">
        <w:rPr>
          <w:rFonts w:cs="Tahoma"/>
          <w:szCs w:val="18"/>
        </w:rPr>
        <w:t xml:space="preserve">Quando questi prodotti idonei vengono acquistati tramite Enrollment for Application Platform (EAP) o Enrollment for Core Infrastructure (ECI), tutti i punti guadagnati ai sensi di EAP e ECI vengono raddoppiati (2). </w:t>
      </w:r>
    </w:p>
    <w:p w14:paraId="5BFEE36D" w14:textId="77777777" w:rsidR="000D4ECA" w:rsidRPr="0058047D" w:rsidRDefault="000D4ECA" w:rsidP="0063466C"/>
    <w:p w14:paraId="5C67C1EF" w14:textId="77777777" w:rsidR="000D4ECA" w:rsidRPr="0058047D" w:rsidRDefault="000D4ECA" w:rsidP="0063466C">
      <w:r w:rsidRPr="0058047D">
        <w:rPr>
          <w:rFonts w:cs="Tahoma"/>
          <w:szCs w:val="18"/>
        </w:rPr>
        <w:t>Il punti totali destinati alla società definiscono i diritti relativi ai Giorni Planning Services come mostrato qui sotto:</w:t>
      </w:r>
    </w:p>
    <w:p w14:paraId="1387D8E6" w14:textId="77777777" w:rsidR="000D4ECA" w:rsidRPr="0058047D" w:rsidRDefault="000D4ECA" w:rsidP="0063466C"/>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58047D" w14:paraId="4B7F008E"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D98B8AF" w14:textId="77777777" w:rsidR="000D4ECA" w:rsidRPr="0058047D" w:rsidRDefault="000D4ECA" w:rsidP="000D4ECA">
            <w:pPr>
              <w:spacing w:after="60"/>
              <w:jc w:val="center"/>
              <w:rPr>
                <w:rFonts w:cs="Tahoma"/>
                <w:szCs w:val="18"/>
              </w:rPr>
            </w:pPr>
            <w:r w:rsidRPr="0058047D">
              <w:rPr>
                <w:rFonts w:cs="Tahoma"/>
                <w:b/>
                <w:bCs/>
                <w:szCs w:val="18"/>
              </w:rPr>
              <w:t>Punti di Licenze per Applicazioni Office e/o Server</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6F1F634" w14:textId="77777777" w:rsidR="000D4ECA" w:rsidRPr="0058047D" w:rsidRDefault="000D4ECA" w:rsidP="000D4ECA">
            <w:pPr>
              <w:spacing w:after="60"/>
              <w:jc w:val="center"/>
              <w:rPr>
                <w:rFonts w:cs="Tahoma"/>
                <w:szCs w:val="18"/>
              </w:rPr>
            </w:pPr>
            <w:r w:rsidRPr="0058047D">
              <w:rPr>
                <w:rFonts w:cs="Tahoma"/>
                <w:b/>
                <w:bCs/>
                <w:szCs w:val="18"/>
              </w:rPr>
              <w:t>Giorni Planning Services</w:t>
            </w:r>
          </w:p>
        </w:tc>
      </w:tr>
      <w:tr w:rsidR="000D4ECA" w:rsidRPr="0058047D" w14:paraId="2E464B60"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245355B" w14:textId="77777777" w:rsidR="000D4ECA" w:rsidRPr="0058047D" w:rsidRDefault="000D4ECA" w:rsidP="000D4ECA">
            <w:pPr>
              <w:spacing w:after="60"/>
              <w:jc w:val="center"/>
              <w:rPr>
                <w:rFonts w:cs="Tahoma"/>
                <w:szCs w:val="18"/>
              </w:rPr>
            </w:pPr>
            <w:r w:rsidRPr="0058047D">
              <w:rPr>
                <w:rFonts w:cs="Tahoma"/>
                <w:szCs w:val="18"/>
              </w:rPr>
              <w:t>200</w:t>
            </w:r>
            <w:r w:rsidR="00856C12">
              <w:rPr>
                <w:rFonts w:cs="Tahoma"/>
                <w:szCs w:val="18"/>
              </w:rPr>
              <w:t xml:space="preserve"> </w:t>
            </w:r>
            <w:r w:rsidR="00856C12" w:rsidRPr="0058047D">
              <w:rPr>
                <w:rFonts w:cs="Tahoma"/>
                <w:szCs w:val="18"/>
              </w:rPr>
              <w:t>–</w:t>
            </w:r>
            <w:r w:rsidR="00856C12">
              <w:rPr>
                <w:rFonts w:cs="Tahoma"/>
                <w:szCs w:val="18"/>
              </w:rPr>
              <w:t xml:space="preserve"> </w:t>
            </w:r>
            <w:r w:rsidRPr="0058047D">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41CC1DF" w14:textId="77777777" w:rsidR="000D4ECA" w:rsidRPr="0058047D" w:rsidRDefault="000D4ECA" w:rsidP="000D4ECA">
            <w:pPr>
              <w:spacing w:after="60"/>
              <w:jc w:val="center"/>
              <w:rPr>
                <w:rFonts w:cs="Tahoma"/>
                <w:szCs w:val="18"/>
              </w:rPr>
            </w:pPr>
            <w:r w:rsidRPr="0058047D">
              <w:rPr>
                <w:rFonts w:cs="Tahoma"/>
                <w:szCs w:val="18"/>
              </w:rPr>
              <w:t>1</w:t>
            </w:r>
          </w:p>
        </w:tc>
      </w:tr>
      <w:tr w:rsidR="000D4ECA" w:rsidRPr="0058047D" w14:paraId="3B3F7807"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C660AA" w14:textId="77777777" w:rsidR="000D4ECA" w:rsidRPr="0058047D" w:rsidRDefault="000D4ECA" w:rsidP="00856C12">
            <w:pPr>
              <w:spacing w:after="60"/>
              <w:jc w:val="center"/>
              <w:rPr>
                <w:rFonts w:cs="Tahoma"/>
                <w:szCs w:val="18"/>
              </w:rPr>
            </w:pPr>
            <w:r w:rsidRPr="0058047D">
              <w:rPr>
                <w:rFonts w:cs="Tahoma"/>
                <w:szCs w:val="18"/>
              </w:rPr>
              <w:t>500</w:t>
            </w:r>
            <w:r w:rsidR="00856C12">
              <w:rPr>
                <w:rFonts w:cs="Tahoma"/>
                <w:szCs w:val="18"/>
              </w:rPr>
              <w:t xml:space="preserve"> </w:t>
            </w:r>
            <w:r w:rsidR="00856C12" w:rsidRPr="0058047D">
              <w:rPr>
                <w:rFonts w:cs="Tahoma"/>
                <w:szCs w:val="18"/>
              </w:rPr>
              <w:t>–</w:t>
            </w:r>
            <w:r w:rsidR="00856C12">
              <w:rPr>
                <w:rFonts w:cs="Tahoma"/>
                <w:szCs w:val="18"/>
              </w:rPr>
              <w:t xml:space="preserve"> </w:t>
            </w:r>
            <w:r w:rsidRPr="0058047D">
              <w:rPr>
                <w:rFonts w:cs="Tahoma"/>
                <w:szCs w:val="18"/>
              </w:rPr>
              <w:t>1</w:t>
            </w:r>
            <w:r w:rsidR="00856C12">
              <w:rPr>
                <w:rFonts w:cs="Tahoma"/>
                <w:szCs w:val="18"/>
              </w:rPr>
              <w:t>.</w:t>
            </w:r>
            <w:r w:rsidRPr="0058047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773BD7" w14:textId="77777777" w:rsidR="000D4ECA" w:rsidRPr="0058047D" w:rsidRDefault="000D4ECA" w:rsidP="000D4ECA">
            <w:pPr>
              <w:spacing w:after="60"/>
              <w:jc w:val="center"/>
              <w:rPr>
                <w:rFonts w:cs="Tahoma"/>
                <w:szCs w:val="18"/>
              </w:rPr>
            </w:pPr>
            <w:r w:rsidRPr="0058047D">
              <w:rPr>
                <w:rFonts w:cs="Tahoma"/>
                <w:szCs w:val="18"/>
              </w:rPr>
              <w:t>3</w:t>
            </w:r>
          </w:p>
        </w:tc>
      </w:tr>
      <w:tr w:rsidR="000D4ECA" w:rsidRPr="0058047D" w14:paraId="32248833"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EC84FB" w14:textId="77777777" w:rsidR="000D4ECA" w:rsidRPr="0058047D" w:rsidRDefault="000D4ECA" w:rsidP="00856C12">
            <w:pPr>
              <w:spacing w:after="60"/>
              <w:jc w:val="center"/>
              <w:rPr>
                <w:rFonts w:cs="Tahoma"/>
                <w:szCs w:val="18"/>
              </w:rPr>
            </w:pPr>
            <w:r w:rsidRPr="0058047D">
              <w:rPr>
                <w:rFonts w:cs="Tahoma"/>
                <w:szCs w:val="18"/>
              </w:rPr>
              <w:t>2</w:t>
            </w:r>
            <w:r w:rsidR="00856C12">
              <w:rPr>
                <w:rFonts w:cs="Tahoma"/>
                <w:szCs w:val="18"/>
              </w:rPr>
              <w:t>.</w:t>
            </w:r>
            <w:r w:rsidRPr="0058047D">
              <w:rPr>
                <w:rFonts w:cs="Tahoma"/>
                <w:szCs w:val="18"/>
              </w:rPr>
              <w:t>000</w:t>
            </w:r>
            <w:r w:rsidR="00856C12">
              <w:rPr>
                <w:rFonts w:cs="Tahoma"/>
                <w:szCs w:val="18"/>
              </w:rPr>
              <w:t xml:space="preserve"> </w:t>
            </w:r>
            <w:r w:rsidR="00856C12" w:rsidRPr="0058047D">
              <w:rPr>
                <w:rFonts w:cs="Tahoma"/>
                <w:szCs w:val="18"/>
              </w:rPr>
              <w:t>–</w:t>
            </w:r>
            <w:r w:rsidR="00856C12">
              <w:rPr>
                <w:rFonts w:cs="Tahoma"/>
                <w:szCs w:val="18"/>
              </w:rPr>
              <w:t xml:space="preserve"> </w:t>
            </w:r>
            <w:r w:rsidRPr="0058047D">
              <w:rPr>
                <w:rFonts w:cs="Tahoma"/>
                <w:szCs w:val="18"/>
              </w:rPr>
              <w:t>3</w:t>
            </w:r>
            <w:r w:rsidR="00856C12">
              <w:rPr>
                <w:rFonts w:cs="Tahoma"/>
                <w:szCs w:val="18"/>
              </w:rPr>
              <w:t>.</w:t>
            </w:r>
            <w:r w:rsidRPr="0058047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8B63BE4" w14:textId="77777777" w:rsidR="000D4ECA" w:rsidRPr="0058047D" w:rsidRDefault="000D4ECA" w:rsidP="000D4ECA">
            <w:pPr>
              <w:spacing w:after="60"/>
              <w:jc w:val="center"/>
              <w:rPr>
                <w:rFonts w:cs="Tahoma"/>
                <w:szCs w:val="18"/>
              </w:rPr>
            </w:pPr>
            <w:r w:rsidRPr="0058047D">
              <w:rPr>
                <w:rFonts w:cs="Tahoma"/>
                <w:szCs w:val="18"/>
              </w:rPr>
              <w:t>5</w:t>
            </w:r>
          </w:p>
        </w:tc>
      </w:tr>
      <w:tr w:rsidR="000D4ECA" w:rsidRPr="0058047D" w14:paraId="2CDFED80"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E89D55C" w14:textId="77777777" w:rsidR="000D4ECA" w:rsidRPr="0058047D" w:rsidRDefault="000D4ECA" w:rsidP="00856C12">
            <w:pPr>
              <w:spacing w:after="60"/>
              <w:jc w:val="center"/>
              <w:rPr>
                <w:rFonts w:cs="Tahoma"/>
                <w:szCs w:val="18"/>
              </w:rPr>
            </w:pPr>
            <w:r w:rsidRPr="0058047D">
              <w:rPr>
                <w:rFonts w:cs="Tahoma"/>
                <w:szCs w:val="18"/>
              </w:rPr>
              <w:t>4</w:t>
            </w:r>
            <w:r w:rsidR="00856C12">
              <w:rPr>
                <w:rFonts w:cs="Tahoma"/>
                <w:szCs w:val="18"/>
              </w:rPr>
              <w:t>.</w:t>
            </w:r>
            <w:r w:rsidRPr="0058047D">
              <w:rPr>
                <w:rFonts w:cs="Tahoma"/>
                <w:szCs w:val="18"/>
              </w:rPr>
              <w:t>000 – 29</w:t>
            </w:r>
            <w:r w:rsidR="00856C12">
              <w:rPr>
                <w:rFonts w:cs="Tahoma"/>
                <w:szCs w:val="18"/>
              </w:rPr>
              <w:t>.</w:t>
            </w:r>
            <w:r w:rsidRPr="0058047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8CAF32D" w14:textId="77777777" w:rsidR="000D4ECA" w:rsidRPr="0058047D" w:rsidRDefault="000D4ECA" w:rsidP="000D4ECA">
            <w:pPr>
              <w:spacing w:after="60"/>
              <w:jc w:val="center"/>
              <w:rPr>
                <w:rFonts w:cs="Tahoma"/>
                <w:szCs w:val="18"/>
              </w:rPr>
            </w:pPr>
            <w:r w:rsidRPr="0058047D">
              <w:rPr>
                <w:rFonts w:cs="Tahoma"/>
                <w:szCs w:val="18"/>
              </w:rPr>
              <w:t>10</w:t>
            </w:r>
          </w:p>
        </w:tc>
      </w:tr>
      <w:tr w:rsidR="000D4ECA" w:rsidRPr="0058047D" w14:paraId="4769EE44"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5A70D69" w14:textId="77777777" w:rsidR="000D4ECA" w:rsidRPr="0058047D" w:rsidRDefault="000D4ECA" w:rsidP="00856C12">
            <w:pPr>
              <w:spacing w:after="60"/>
              <w:jc w:val="center"/>
              <w:rPr>
                <w:rFonts w:cs="Tahoma"/>
                <w:szCs w:val="18"/>
              </w:rPr>
            </w:pPr>
            <w:r w:rsidRPr="0058047D">
              <w:rPr>
                <w:rFonts w:cs="Tahoma"/>
                <w:szCs w:val="18"/>
              </w:rPr>
              <w:t>30</w:t>
            </w:r>
            <w:r w:rsidR="00856C12">
              <w:rPr>
                <w:rFonts w:cs="Tahoma"/>
                <w:szCs w:val="18"/>
              </w:rPr>
              <w:t>.</w:t>
            </w:r>
            <w:r w:rsidRPr="0058047D">
              <w:rPr>
                <w:rFonts w:cs="Tahoma"/>
                <w:szCs w:val="18"/>
              </w:rPr>
              <w:t>000 – 49</w:t>
            </w:r>
            <w:r w:rsidR="00856C12">
              <w:rPr>
                <w:rFonts w:cs="Tahoma"/>
                <w:szCs w:val="18"/>
              </w:rPr>
              <w:t>.</w:t>
            </w:r>
            <w:r w:rsidRPr="0058047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4BA3AAE" w14:textId="77777777" w:rsidR="000D4ECA" w:rsidRPr="0058047D" w:rsidRDefault="000D4ECA" w:rsidP="000D4ECA">
            <w:pPr>
              <w:spacing w:after="60"/>
              <w:jc w:val="center"/>
              <w:rPr>
                <w:rFonts w:cs="Tahoma"/>
                <w:szCs w:val="18"/>
              </w:rPr>
            </w:pPr>
            <w:r w:rsidRPr="0058047D">
              <w:rPr>
                <w:rFonts w:cs="Tahoma"/>
                <w:szCs w:val="18"/>
              </w:rPr>
              <w:t>15</w:t>
            </w:r>
          </w:p>
        </w:tc>
      </w:tr>
      <w:tr w:rsidR="000D4ECA" w:rsidRPr="0058047D" w14:paraId="7B72316E"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E6845D" w14:textId="77777777" w:rsidR="000D4ECA" w:rsidRPr="0058047D" w:rsidRDefault="000D4ECA" w:rsidP="00856C12">
            <w:pPr>
              <w:spacing w:after="60"/>
              <w:jc w:val="center"/>
              <w:rPr>
                <w:rFonts w:cs="Tahoma"/>
                <w:szCs w:val="18"/>
              </w:rPr>
            </w:pPr>
            <w:r w:rsidRPr="0058047D">
              <w:rPr>
                <w:rFonts w:cs="Tahoma"/>
                <w:szCs w:val="18"/>
              </w:rPr>
              <w:t>50</w:t>
            </w:r>
            <w:r w:rsidR="00856C12">
              <w:rPr>
                <w:rFonts w:cs="Tahoma"/>
                <w:szCs w:val="18"/>
              </w:rPr>
              <w:t>.</w:t>
            </w:r>
            <w:r w:rsidRPr="0058047D">
              <w:rPr>
                <w:rFonts w:cs="Tahoma"/>
                <w:szCs w:val="18"/>
              </w:rPr>
              <w:t>000 – 99</w:t>
            </w:r>
            <w:r w:rsidR="00856C12">
              <w:rPr>
                <w:rFonts w:cs="Tahoma"/>
                <w:szCs w:val="18"/>
              </w:rPr>
              <w:t>.</w:t>
            </w:r>
            <w:r w:rsidRPr="0058047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70BF93" w14:textId="77777777" w:rsidR="000D4ECA" w:rsidRPr="0058047D" w:rsidRDefault="000D4ECA" w:rsidP="000D4ECA">
            <w:pPr>
              <w:spacing w:after="60"/>
              <w:jc w:val="center"/>
              <w:rPr>
                <w:rFonts w:cs="Tahoma"/>
                <w:szCs w:val="18"/>
              </w:rPr>
            </w:pPr>
            <w:r w:rsidRPr="0058047D">
              <w:rPr>
                <w:rFonts w:cs="Tahoma"/>
                <w:szCs w:val="18"/>
              </w:rPr>
              <w:t>20</w:t>
            </w:r>
          </w:p>
        </w:tc>
      </w:tr>
      <w:tr w:rsidR="000D4ECA" w:rsidRPr="0058047D" w14:paraId="70033DC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DF50A7" w14:textId="77777777" w:rsidR="000D4ECA" w:rsidRPr="0058047D" w:rsidRDefault="000D4ECA" w:rsidP="00856C12">
            <w:pPr>
              <w:spacing w:after="60"/>
              <w:jc w:val="center"/>
              <w:rPr>
                <w:rFonts w:cs="Tahoma"/>
                <w:szCs w:val="18"/>
              </w:rPr>
            </w:pPr>
            <w:r w:rsidRPr="0058047D">
              <w:rPr>
                <w:rFonts w:cs="Tahoma"/>
                <w:szCs w:val="18"/>
              </w:rPr>
              <w:t>100</w:t>
            </w:r>
            <w:r w:rsidR="00856C12">
              <w:rPr>
                <w:rFonts w:cs="Tahoma"/>
                <w:szCs w:val="18"/>
              </w:rPr>
              <w:t>.</w:t>
            </w:r>
            <w:r w:rsidRPr="0058047D">
              <w:rPr>
                <w:rFonts w:cs="Tahoma"/>
                <w:szCs w:val="18"/>
              </w:rPr>
              <w:t>000 – 199</w:t>
            </w:r>
            <w:r w:rsidR="00856C12">
              <w:rPr>
                <w:rFonts w:cs="Tahoma"/>
                <w:szCs w:val="18"/>
              </w:rPr>
              <w:t>.</w:t>
            </w:r>
            <w:r w:rsidRPr="0058047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0261513" w14:textId="77777777" w:rsidR="000D4ECA" w:rsidRPr="0058047D" w:rsidRDefault="000D4ECA" w:rsidP="000D4ECA">
            <w:pPr>
              <w:spacing w:after="60"/>
              <w:jc w:val="center"/>
              <w:rPr>
                <w:rFonts w:cs="Tahoma"/>
                <w:szCs w:val="18"/>
              </w:rPr>
            </w:pPr>
            <w:r w:rsidRPr="0058047D">
              <w:rPr>
                <w:rFonts w:cs="Tahoma"/>
                <w:szCs w:val="18"/>
              </w:rPr>
              <w:t>30</w:t>
            </w:r>
          </w:p>
        </w:tc>
      </w:tr>
      <w:tr w:rsidR="000D4ECA" w:rsidRPr="0058047D" w14:paraId="46EF62C5"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7663796" w14:textId="77777777" w:rsidR="000D4ECA" w:rsidRPr="0058047D" w:rsidRDefault="000D4ECA" w:rsidP="00856C12">
            <w:pPr>
              <w:spacing w:after="60"/>
              <w:jc w:val="center"/>
              <w:rPr>
                <w:rFonts w:cs="Tahoma"/>
                <w:szCs w:val="18"/>
              </w:rPr>
            </w:pPr>
            <w:r w:rsidRPr="0058047D">
              <w:rPr>
                <w:rFonts w:cs="Tahoma"/>
                <w:szCs w:val="18"/>
              </w:rPr>
              <w:t>200</w:t>
            </w:r>
            <w:r w:rsidR="00856C12">
              <w:rPr>
                <w:rFonts w:cs="Tahoma"/>
                <w:szCs w:val="18"/>
              </w:rPr>
              <w:t>.</w:t>
            </w:r>
            <w:r w:rsidRPr="0058047D">
              <w:rPr>
                <w:rFonts w:cs="Tahoma"/>
                <w:szCs w:val="18"/>
              </w:rPr>
              <w:t>000 – 399</w:t>
            </w:r>
            <w:r w:rsidR="00856C12">
              <w:rPr>
                <w:rFonts w:cs="Tahoma"/>
                <w:szCs w:val="18"/>
              </w:rPr>
              <w:t>.</w:t>
            </w:r>
            <w:r w:rsidRPr="0058047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6F612A" w14:textId="77777777" w:rsidR="000D4ECA" w:rsidRPr="0058047D" w:rsidRDefault="000D4ECA" w:rsidP="000D4ECA">
            <w:pPr>
              <w:spacing w:after="60"/>
              <w:jc w:val="center"/>
              <w:rPr>
                <w:rFonts w:cs="Tahoma"/>
                <w:szCs w:val="18"/>
              </w:rPr>
            </w:pPr>
            <w:r w:rsidRPr="0058047D">
              <w:rPr>
                <w:rFonts w:cs="Tahoma"/>
                <w:szCs w:val="18"/>
              </w:rPr>
              <w:t>40</w:t>
            </w:r>
          </w:p>
        </w:tc>
      </w:tr>
      <w:tr w:rsidR="000D4ECA" w:rsidRPr="0058047D" w14:paraId="61C77FE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8AD0996" w14:textId="77777777" w:rsidR="000D4ECA" w:rsidRPr="0058047D" w:rsidRDefault="000D4ECA" w:rsidP="00856C12">
            <w:pPr>
              <w:spacing w:after="60"/>
              <w:jc w:val="center"/>
              <w:rPr>
                <w:rFonts w:cs="Tahoma"/>
                <w:szCs w:val="18"/>
              </w:rPr>
            </w:pPr>
            <w:r w:rsidRPr="0058047D">
              <w:rPr>
                <w:rFonts w:cs="Tahoma"/>
                <w:szCs w:val="18"/>
              </w:rPr>
              <w:t>400</w:t>
            </w:r>
            <w:r w:rsidR="00856C12">
              <w:rPr>
                <w:rFonts w:cs="Tahoma"/>
                <w:szCs w:val="18"/>
              </w:rPr>
              <w:t>.</w:t>
            </w:r>
            <w:r w:rsidRPr="0058047D">
              <w:rPr>
                <w:rFonts w:cs="Tahoma"/>
                <w:szCs w:val="18"/>
              </w:rPr>
              <w:t>000 – 599</w:t>
            </w:r>
            <w:r w:rsidR="00856C12">
              <w:rPr>
                <w:rFonts w:cs="Tahoma"/>
                <w:szCs w:val="18"/>
              </w:rPr>
              <w:t>.</w:t>
            </w:r>
            <w:r w:rsidRPr="0058047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155C085" w14:textId="77777777" w:rsidR="000D4ECA" w:rsidRPr="0058047D" w:rsidRDefault="000D4ECA" w:rsidP="000D4ECA">
            <w:pPr>
              <w:spacing w:after="60"/>
              <w:jc w:val="center"/>
              <w:rPr>
                <w:rFonts w:cs="Tahoma"/>
                <w:szCs w:val="18"/>
              </w:rPr>
            </w:pPr>
            <w:r w:rsidRPr="0058047D">
              <w:rPr>
                <w:rFonts w:cs="Tahoma"/>
                <w:szCs w:val="18"/>
              </w:rPr>
              <w:t>50</w:t>
            </w:r>
          </w:p>
        </w:tc>
      </w:tr>
      <w:tr w:rsidR="000D4ECA" w:rsidRPr="0058047D" w14:paraId="4F9FAE14"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83066E" w14:textId="77777777" w:rsidR="000D4ECA" w:rsidRPr="0058047D" w:rsidRDefault="000D4ECA" w:rsidP="00856C12">
            <w:pPr>
              <w:spacing w:after="60"/>
              <w:jc w:val="center"/>
              <w:rPr>
                <w:rFonts w:cs="Tahoma"/>
                <w:szCs w:val="18"/>
              </w:rPr>
            </w:pPr>
            <w:r w:rsidRPr="0058047D">
              <w:rPr>
                <w:rFonts w:cs="Tahoma"/>
                <w:szCs w:val="18"/>
              </w:rPr>
              <w:t>600</w:t>
            </w:r>
            <w:r w:rsidR="00856C12">
              <w:rPr>
                <w:rFonts w:cs="Tahoma"/>
                <w:szCs w:val="18"/>
              </w:rPr>
              <w:t>.</w:t>
            </w:r>
            <w:r w:rsidRPr="0058047D">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9A7C4E" w14:textId="77777777" w:rsidR="000D4ECA" w:rsidRPr="0058047D" w:rsidRDefault="000D4ECA" w:rsidP="000D4ECA">
            <w:pPr>
              <w:spacing w:after="60"/>
              <w:jc w:val="center"/>
              <w:rPr>
                <w:rFonts w:cs="Tahoma"/>
                <w:szCs w:val="18"/>
              </w:rPr>
            </w:pPr>
            <w:r w:rsidRPr="0058047D">
              <w:rPr>
                <w:rFonts w:cs="Tahoma"/>
                <w:szCs w:val="18"/>
              </w:rPr>
              <w:t>75</w:t>
            </w:r>
          </w:p>
        </w:tc>
      </w:tr>
    </w:tbl>
    <w:p w14:paraId="3BE604C4" w14:textId="77777777" w:rsidR="000D4ECA" w:rsidRPr="0058047D" w:rsidRDefault="000D4ECA" w:rsidP="0063466C"/>
    <w:p w14:paraId="0251A255" w14:textId="77777777" w:rsidR="000D4ECA" w:rsidRPr="0058047D" w:rsidRDefault="000D4ECA" w:rsidP="0063466C">
      <w:r w:rsidRPr="0058047D">
        <w:rPr>
          <w:rFonts w:cs="Tahoma"/>
          <w:szCs w:val="18"/>
        </w:rPr>
        <w:t xml:space="preserve">La copertura SA per Core CAL Suite e CAL per SQL conta come </w:t>
      </w:r>
      <w:r w:rsidRPr="0058047D">
        <w:rPr>
          <w:rFonts w:cs="Tahoma"/>
          <w:szCs w:val="18"/>
          <w:u w:val="single"/>
        </w:rPr>
        <w:t xml:space="preserve">un (1) punto </w:t>
      </w:r>
      <w:r w:rsidRPr="0058047D">
        <w:rPr>
          <w:rFonts w:cs="Tahoma"/>
          <w:szCs w:val="18"/>
        </w:rPr>
        <w:t xml:space="preserve">per il raggiungimento della soglia indicata nella prima colonna che segue; la copertura SA per Enterprise CAL Suite conta </w:t>
      </w:r>
      <w:r w:rsidRPr="0058047D">
        <w:rPr>
          <w:rFonts w:cs="Tahoma"/>
          <w:szCs w:val="18"/>
          <w:u w:val="single"/>
        </w:rPr>
        <w:t>come due (2) punti</w:t>
      </w:r>
      <w:r w:rsidRPr="0058047D">
        <w:rPr>
          <w:rFonts w:cs="Tahoma"/>
          <w:szCs w:val="18"/>
        </w:rPr>
        <w:t xml:space="preserve"> per il</w:t>
      </w:r>
      <w:r w:rsidR="00856C12">
        <w:rPr>
          <w:rFonts w:cs="Tahoma"/>
          <w:szCs w:val="18"/>
        </w:rPr>
        <w:t> </w:t>
      </w:r>
      <w:r w:rsidRPr="0058047D">
        <w:rPr>
          <w:rFonts w:cs="Tahoma"/>
          <w:szCs w:val="18"/>
        </w:rPr>
        <w:t>raggiungimento della soglia indicata nella prima colonna che segue:</w:t>
      </w:r>
    </w:p>
    <w:p w14:paraId="10CD432A" w14:textId="77777777" w:rsidR="000D4ECA" w:rsidRPr="0058047D" w:rsidRDefault="000D4ECA" w:rsidP="0063466C"/>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58047D" w14:paraId="601C2C35"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D966326" w14:textId="77777777" w:rsidR="000D4ECA" w:rsidRPr="0058047D" w:rsidRDefault="000D4ECA" w:rsidP="000D4ECA">
            <w:pPr>
              <w:spacing w:after="60"/>
              <w:jc w:val="center"/>
              <w:rPr>
                <w:rFonts w:cs="Tahoma"/>
                <w:szCs w:val="18"/>
              </w:rPr>
            </w:pPr>
            <w:r w:rsidRPr="0058047D">
              <w:rPr>
                <w:rFonts w:cs="Tahoma"/>
                <w:b/>
                <w:bCs/>
                <w:szCs w:val="18"/>
              </w:rPr>
              <w:t>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D667ED2" w14:textId="77777777" w:rsidR="000D4ECA" w:rsidRPr="0058047D" w:rsidRDefault="000D4ECA" w:rsidP="000D4ECA">
            <w:pPr>
              <w:spacing w:after="60"/>
              <w:rPr>
                <w:rFonts w:cs="Tahoma"/>
                <w:szCs w:val="18"/>
              </w:rPr>
            </w:pPr>
            <w:r w:rsidRPr="0058047D">
              <w:rPr>
                <w:rFonts w:cs="Tahoma"/>
                <w:b/>
                <w:bCs/>
                <w:szCs w:val="18"/>
              </w:rPr>
              <w:t xml:space="preserve">Giorni Planning Services </w:t>
            </w:r>
          </w:p>
        </w:tc>
      </w:tr>
      <w:tr w:rsidR="000D4ECA" w:rsidRPr="0058047D" w14:paraId="7AF0DC79"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8D914" w14:textId="77777777" w:rsidR="000D4ECA" w:rsidRPr="0058047D" w:rsidRDefault="000D4ECA" w:rsidP="00856C12">
            <w:pPr>
              <w:spacing w:after="60"/>
              <w:jc w:val="center"/>
              <w:rPr>
                <w:rFonts w:cs="Tahoma"/>
                <w:szCs w:val="18"/>
              </w:rPr>
            </w:pPr>
            <w:r w:rsidRPr="0058047D">
              <w:rPr>
                <w:rFonts w:cs="Tahoma"/>
                <w:szCs w:val="18"/>
              </w:rPr>
              <w:t>200</w:t>
            </w:r>
            <w:r w:rsidR="00856C12">
              <w:rPr>
                <w:rFonts w:cs="Tahoma"/>
                <w:szCs w:val="18"/>
              </w:rPr>
              <w:t xml:space="preserve"> </w:t>
            </w:r>
            <w:r w:rsidR="00856C12" w:rsidRPr="0058047D">
              <w:rPr>
                <w:rFonts w:cs="Tahoma"/>
                <w:szCs w:val="18"/>
              </w:rPr>
              <w:t>–</w:t>
            </w:r>
            <w:r w:rsidR="00856C12">
              <w:rPr>
                <w:rFonts w:cs="Tahoma"/>
                <w:szCs w:val="18"/>
              </w:rPr>
              <w:t xml:space="preserve"> </w:t>
            </w:r>
            <w:r w:rsidRPr="0058047D">
              <w:rPr>
                <w:rFonts w:cs="Tahoma"/>
                <w:szCs w:val="18"/>
              </w:rPr>
              <w:t>3</w:t>
            </w:r>
            <w:r w:rsidR="00856C12">
              <w:rPr>
                <w:rFonts w:cs="Tahoma"/>
                <w:szCs w:val="18"/>
              </w:rPr>
              <w:t>.</w:t>
            </w:r>
            <w:r w:rsidRPr="0058047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10C965B" w14:textId="77777777" w:rsidR="000D4ECA" w:rsidRPr="0058047D" w:rsidRDefault="000D4ECA" w:rsidP="000D4ECA">
            <w:pPr>
              <w:spacing w:after="60"/>
              <w:jc w:val="center"/>
              <w:rPr>
                <w:rFonts w:cs="Tahoma"/>
                <w:szCs w:val="18"/>
              </w:rPr>
            </w:pPr>
            <w:r w:rsidRPr="0058047D">
              <w:rPr>
                <w:rFonts w:cs="Tahoma"/>
                <w:szCs w:val="18"/>
              </w:rPr>
              <w:t>1</w:t>
            </w:r>
          </w:p>
        </w:tc>
      </w:tr>
      <w:tr w:rsidR="000D4ECA" w:rsidRPr="0058047D" w14:paraId="59709FC5"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5470FBD" w14:textId="77777777" w:rsidR="000D4ECA" w:rsidRPr="0058047D" w:rsidRDefault="000D4ECA" w:rsidP="00856C12">
            <w:pPr>
              <w:spacing w:after="60"/>
              <w:jc w:val="center"/>
              <w:rPr>
                <w:rFonts w:cs="Tahoma"/>
                <w:szCs w:val="18"/>
              </w:rPr>
            </w:pPr>
            <w:r w:rsidRPr="0058047D">
              <w:rPr>
                <w:rFonts w:cs="Tahoma"/>
                <w:szCs w:val="18"/>
              </w:rPr>
              <w:t>4</w:t>
            </w:r>
            <w:r w:rsidR="00856C12">
              <w:rPr>
                <w:rFonts w:cs="Tahoma"/>
                <w:szCs w:val="18"/>
              </w:rPr>
              <w:t>.</w:t>
            </w:r>
            <w:r w:rsidRPr="0058047D">
              <w:rPr>
                <w:rFonts w:cs="Tahoma"/>
                <w:szCs w:val="18"/>
              </w:rPr>
              <w:t>000 – 9</w:t>
            </w:r>
            <w:r w:rsidR="00856C12">
              <w:rPr>
                <w:rFonts w:cs="Tahoma"/>
                <w:szCs w:val="18"/>
              </w:rPr>
              <w:t>.</w:t>
            </w:r>
            <w:r w:rsidRPr="0058047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23369DB" w14:textId="77777777" w:rsidR="000D4ECA" w:rsidRPr="0058047D" w:rsidRDefault="000D4ECA" w:rsidP="000D4ECA">
            <w:pPr>
              <w:spacing w:after="60"/>
              <w:jc w:val="center"/>
              <w:rPr>
                <w:rFonts w:cs="Tahoma"/>
                <w:szCs w:val="18"/>
              </w:rPr>
            </w:pPr>
            <w:r w:rsidRPr="0058047D">
              <w:rPr>
                <w:rFonts w:cs="Tahoma"/>
                <w:szCs w:val="18"/>
              </w:rPr>
              <w:t>3</w:t>
            </w:r>
          </w:p>
        </w:tc>
      </w:tr>
      <w:tr w:rsidR="000D4ECA" w:rsidRPr="0058047D" w14:paraId="67CBA9FF"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AE1EA9" w14:textId="77777777" w:rsidR="000D4ECA" w:rsidRPr="0058047D" w:rsidRDefault="000D4ECA" w:rsidP="00856C12">
            <w:pPr>
              <w:spacing w:after="60"/>
              <w:jc w:val="center"/>
              <w:rPr>
                <w:rFonts w:cs="Tahoma"/>
                <w:szCs w:val="18"/>
              </w:rPr>
            </w:pPr>
            <w:r w:rsidRPr="0058047D">
              <w:rPr>
                <w:rFonts w:cs="Tahoma"/>
                <w:szCs w:val="18"/>
              </w:rPr>
              <w:t>10</w:t>
            </w:r>
            <w:r w:rsidR="00856C12">
              <w:rPr>
                <w:rFonts w:cs="Tahoma"/>
                <w:szCs w:val="18"/>
              </w:rPr>
              <w:t>.</w:t>
            </w:r>
            <w:r w:rsidRPr="0058047D">
              <w:rPr>
                <w:rFonts w:cs="Tahoma"/>
                <w:szCs w:val="18"/>
              </w:rPr>
              <w:t>000 – 99</w:t>
            </w:r>
            <w:r w:rsidR="00856C12">
              <w:rPr>
                <w:rFonts w:cs="Tahoma"/>
                <w:szCs w:val="18"/>
              </w:rPr>
              <w:t>.</w:t>
            </w:r>
            <w:r w:rsidRPr="0058047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2DB07EB" w14:textId="77777777" w:rsidR="000D4ECA" w:rsidRPr="0058047D" w:rsidRDefault="000D4ECA" w:rsidP="000D4ECA">
            <w:pPr>
              <w:spacing w:after="60"/>
              <w:jc w:val="center"/>
              <w:rPr>
                <w:rFonts w:cs="Tahoma"/>
                <w:szCs w:val="18"/>
              </w:rPr>
            </w:pPr>
            <w:r w:rsidRPr="0058047D">
              <w:rPr>
                <w:rFonts w:cs="Tahoma"/>
                <w:szCs w:val="18"/>
              </w:rPr>
              <w:t>5</w:t>
            </w:r>
          </w:p>
        </w:tc>
      </w:tr>
      <w:tr w:rsidR="000D4ECA" w:rsidRPr="0058047D" w14:paraId="168D1DF7"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B457D7F" w14:textId="77777777" w:rsidR="000D4ECA" w:rsidRPr="0058047D" w:rsidRDefault="000D4ECA" w:rsidP="00856C12">
            <w:pPr>
              <w:spacing w:after="60"/>
              <w:jc w:val="center"/>
              <w:rPr>
                <w:rFonts w:cs="Tahoma"/>
                <w:szCs w:val="18"/>
              </w:rPr>
            </w:pPr>
            <w:r w:rsidRPr="0058047D">
              <w:rPr>
                <w:rFonts w:cs="Tahoma"/>
                <w:szCs w:val="18"/>
              </w:rPr>
              <w:t>100</w:t>
            </w:r>
            <w:r w:rsidR="00856C12">
              <w:rPr>
                <w:rFonts w:cs="Tahoma"/>
                <w:szCs w:val="18"/>
              </w:rPr>
              <w:t>.</w:t>
            </w:r>
            <w:r w:rsidRPr="0058047D">
              <w:rPr>
                <w:rFonts w:cs="Tahoma"/>
                <w:szCs w:val="18"/>
              </w:rPr>
              <w:t>000 – 299</w:t>
            </w:r>
            <w:r w:rsidR="00856C12">
              <w:rPr>
                <w:rFonts w:cs="Tahoma"/>
                <w:szCs w:val="18"/>
              </w:rPr>
              <w:t>.</w:t>
            </w:r>
            <w:r w:rsidRPr="0058047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EC2D29" w14:textId="77777777" w:rsidR="000D4ECA" w:rsidRPr="0058047D" w:rsidRDefault="000D4ECA" w:rsidP="000D4ECA">
            <w:pPr>
              <w:spacing w:after="60"/>
              <w:jc w:val="center"/>
              <w:rPr>
                <w:rFonts w:cs="Tahoma"/>
                <w:szCs w:val="18"/>
              </w:rPr>
            </w:pPr>
            <w:r w:rsidRPr="0058047D">
              <w:rPr>
                <w:rFonts w:cs="Tahoma"/>
                <w:szCs w:val="18"/>
              </w:rPr>
              <w:t>7</w:t>
            </w:r>
          </w:p>
        </w:tc>
      </w:tr>
      <w:tr w:rsidR="000D4ECA" w:rsidRPr="0058047D" w14:paraId="649945F0"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EC35CAE" w14:textId="77777777" w:rsidR="000D4ECA" w:rsidRPr="0058047D" w:rsidRDefault="000D4ECA" w:rsidP="00856C12">
            <w:pPr>
              <w:spacing w:after="60"/>
              <w:jc w:val="center"/>
              <w:rPr>
                <w:rFonts w:cs="Tahoma"/>
                <w:szCs w:val="18"/>
              </w:rPr>
            </w:pPr>
            <w:r w:rsidRPr="0058047D">
              <w:rPr>
                <w:rFonts w:cs="Tahoma"/>
                <w:szCs w:val="18"/>
              </w:rPr>
              <w:t>300</w:t>
            </w:r>
            <w:r w:rsidR="00856C12">
              <w:rPr>
                <w:rFonts w:cs="Tahoma"/>
                <w:szCs w:val="18"/>
              </w:rPr>
              <w:t>.</w:t>
            </w:r>
            <w:r w:rsidRPr="0058047D">
              <w:rPr>
                <w:rFonts w:cs="Tahoma"/>
                <w:szCs w:val="18"/>
              </w:rPr>
              <w:t>000 – 599</w:t>
            </w:r>
            <w:r w:rsidR="00856C12">
              <w:rPr>
                <w:rFonts w:cs="Tahoma"/>
                <w:szCs w:val="18"/>
              </w:rPr>
              <w:t>.</w:t>
            </w:r>
            <w:r w:rsidRPr="0058047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7C751C8" w14:textId="77777777" w:rsidR="000D4ECA" w:rsidRPr="0058047D" w:rsidRDefault="000D4ECA" w:rsidP="000D4ECA">
            <w:pPr>
              <w:spacing w:after="60"/>
              <w:jc w:val="center"/>
              <w:rPr>
                <w:rFonts w:cs="Tahoma"/>
                <w:szCs w:val="18"/>
              </w:rPr>
            </w:pPr>
            <w:r w:rsidRPr="0058047D">
              <w:rPr>
                <w:rFonts w:cs="Tahoma"/>
                <w:szCs w:val="18"/>
              </w:rPr>
              <w:t>10</w:t>
            </w:r>
          </w:p>
        </w:tc>
      </w:tr>
      <w:tr w:rsidR="000D4ECA" w:rsidRPr="0058047D" w14:paraId="6C16A284"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71CF1AF" w14:textId="77777777" w:rsidR="000D4ECA" w:rsidRPr="0058047D" w:rsidRDefault="000D4ECA" w:rsidP="00856C12">
            <w:pPr>
              <w:spacing w:after="60"/>
              <w:jc w:val="center"/>
              <w:rPr>
                <w:rFonts w:cs="Tahoma"/>
                <w:szCs w:val="18"/>
              </w:rPr>
            </w:pPr>
            <w:r w:rsidRPr="0058047D">
              <w:rPr>
                <w:rFonts w:cs="Tahoma"/>
                <w:szCs w:val="18"/>
              </w:rPr>
              <w:t>600</w:t>
            </w:r>
            <w:r w:rsidR="00856C12">
              <w:rPr>
                <w:rFonts w:cs="Tahoma"/>
                <w:szCs w:val="18"/>
              </w:rPr>
              <w:t>.</w:t>
            </w:r>
            <w:r w:rsidRPr="0058047D">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C70BD2F" w14:textId="77777777" w:rsidR="000D4ECA" w:rsidRPr="0058047D" w:rsidRDefault="000D4ECA" w:rsidP="000D4ECA">
            <w:pPr>
              <w:spacing w:after="60"/>
              <w:jc w:val="center"/>
              <w:rPr>
                <w:rFonts w:cs="Tahoma"/>
                <w:szCs w:val="18"/>
              </w:rPr>
            </w:pPr>
            <w:r w:rsidRPr="0058047D">
              <w:rPr>
                <w:rFonts w:cs="Tahoma"/>
                <w:szCs w:val="18"/>
              </w:rPr>
              <w:t>12</w:t>
            </w:r>
          </w:p>
        </w:tc>
      </w:tr>
    </w:tbl>
    <w:p w14:paraId="3B65981E" w14:textId="77777777" w:rsidR="001C1727" w:rsidRPr="0058047D" w:rsidRDefault="001C1727"/>
    <w:p w14:paraId="43897B9C" w14:textId="77777777" w:rsidR="000D4ECA" w:rsidRPr="0058047D" w:rsidRDefault="000D4ECA" w:rsidP="000D4ECA">
      <w:pPr>
        <w:spacing w:after="60"/>
      </w:pPr>
      <w:r w:rsidRPr="0058047D">
        <w:rPr>
          <w:rFonts w:cs="Tahoma"/>
          <w:szCs w:val="20"/>
        </w:rPr>
        <w:t>Esempi</w:t>
      </w:r>
    </w:p>
    <w:p w14:paraId="0C57D8CE" w14:textId="77777777" w:rsidR="000D4ECA" w:rsidRPr="0058047D" w:rsidRDefault="000D4ECA" w:rsidP="000D4ECA">
      <w:pPr>
        <w:spacing w:after="60"/>
      </w:pPr>
      <w:r w:rsidRPr="0058047D">
        <w:rPr>
          <w:rFonts w:cs="Tahoma"/>
          <w:szCs w:val="20"/>
        </w:rPr>
        <w:t>Contratto Open Value con:</w:t>
      </w:r>
    </w:p>
    <w:p w14:paraId="2125151B" w14:textId="77777777" w:rsidR="000D4ECA" w:rsidRPr="0058047D" w:rsidRDefault="000D4ECA" w:rsidP="000D4ECA">
      <w:pPr>
        <w:spacing w:after="60"/>
      </w:pPr>
      <w:r w:rsidRPr="0058047D">
        <w:rPr>
          <w:rFonts w:cs="Tahoma"/>
          <w:szCs w:val="20"/>
        </w:rPr>
        <w:t>150 Office Professional Plus L&amp;SA</w:t>
      </w:r>
    </w:p>
    <w:p w14:paraId="26A75E1D" w14:textId="77777777" w:rsidR="000D4ECA" w:rsidRPr="0058047D" w:rsidRDefault="000D4ECA" w:rsidP="000D4ECA">
      <w:pPr>
        <w:spacing w:after="60"/>
      </w:pPr>
      <w:r w:rsidRPr="0058047D">
        <w:rPr>
          <w:rFonts w:cs="Tahoma"/>
          <w:szCs w:val="20"/>
          <w:u w:val="single"/>
        </w:rPr>
        <w:t>+50 SA per Visio Standard</w:t>
      </w:r>
      <w:r w:rsidR="005470F4">
        <w:rPr>
          <w:rFonts w:cs="Tahoma"/>
          <w:szCs w:val="20"/>
          <w:u w:val="single"/>
        </w:rPr>
        <w:tab/>
      </w:r>
      <w:r w:rsidRPr="0058047D">
        <w:rPr>
          <w:rFonts w:cs="Tahoma"/>
          <w:szCs w:val="20"/>
          <w:u w:val="single"/>
        </w:rPr>
        <w:tab/>
      </w:r>
    </w:p>
    <w:p w14:paraId="7DD245F0" w14:textId="77777777" w:rsidR="000D4ECA" w:rsidRPr="0058047D" w:rsidRDefault="000D4ECA" w:rsidP="000D4ECA">
      <w:pPr>
        <w:spacing w:after="60"/>
      </w:pPr>
      <w:r w:rsidRPr="0058047D">
        <w:rPr>
          <w:rFonts w:cs="Tahoma"/>
          <w:szCs w:val="20"/>
        </w:rPr>
        <w:t>200 Punti di Licenze per Applicazioni Office e/o Server = 1 giorno</w:t>
      </w:r>
    </w:p>
    <w:p w14:paraId="06D20C5D" w14:textId="77777777" w:rsidR="000D4ECA" w:rsidRPr="0058047D" w:rsidRDefault="000D4ECA" w:rsidP="00077CE5"/>
    <w:p w14:paraId="43310F25" w14:textId="77777777" w:rsidR="000D4ECA" w:rsidRPr="0058047D" w:rsidRDefault="000D4ECA" w:rsidP="000D4ECA">
      <w:pPr>
        <w:spacing w:after="60"/>
      </w:pPr>
      <w:r w:rsidRPr="0058047D">
        <w:rPr>
          <w:rFonts w:cs="Tahoma"/>
          <w:szCs w:val="20"/>
        </w:rPr>
        <w:t>Iscrizione Select o Select Plus SAM con:</w:t>
      </w:r>
    </w:p>
    <w:p w14:paraId="4C1EE398" w14:textId="77777777" w:rsidR="000D4ECA" w:rsidRPr="0058047D" w:rsidRDefault="000D4ECA" w:rsidP="000D4ECA">
      <w:pPr>
        <w:spacing w:after="60"/>
      </w:pPr>
      <w:r w:rsidRPr="0058047D">
        <w:rPr>
          <w:rFonts w:cs="Tahoma"/>
          <w:szCs w:val="20"/>
        </w:rPr>
        <w:t>SA per 3.500 Enterprise CAL Suite</w:t>
      </w:r>
    </w:p>
    <w:p w14:paraId="580E204C" w14:textId="77777777" w:rsidR="000D4ECA" w:rsidRPr="0058047D" w:rsidRDefault="000D4ECA" w:rsidP="000D4ECA">
      <w:pPr>
        <w:spacing w:after="60"/>
      </w:pPr>
      <w:r w:rsidRPr="0058047D">
        <w:rPr>
          <w:rFonts w:cs="Tahoma"/>
          <w:szCs w:val="20"/>
          <w:u w:val="single"/>
        </w:rPr>
        <w:t>x 2 punti ciascuna</w:t>
      </w:r>
      <w:r w:rsidRPr="0058047D">
        <w:rPr>
          <w:rFonts w:cs="Tahoma"/>
          <w:szCs w:val="20"/>
          <w:u w:val="single"/>
        </w:rPr>
        <w:tab/>
      </w:r>
      <w:r w:rsidRPr="0058047D">
        <w:rPr>
          <w:rFonts w:cs="Tahoma"/>
          <w:szCs w:val="20"/>
          <w:u w:val="single"/>
        </w:rPr>
        <w:tab/>
      </w:r>
      <w:r w:rsidRPr="0058047D">
        <w:rPr>
          <w:rFonts w:cs="Tahoma"/>
          <w:szCs w:val="20"/>
        </w:rPr>
        <w:t xml:space="preserve"> </w:t>
      </w:r>
    </w:p>
    <w:p w14:paraId="30F9FAE5" w14:textId="77777777" w:rsidR="000D4ECA" w:rsidRPr="0058047D" w:rsidRDefault="000D4ECA" w:rsidP="000D4ECA">
      <w:pPr>
        <w:spacing w:after="60"/>
      </w:pPr>
      <w:r w:rsidRPr="0058047D">
        <w:rPr>
          <w:rFonts w:cs="Tahoma"/>
          <w:szCs w:val="20"/>
        </w:rPr>
        <w:t xml:space="preserve">7.000 punti per CAL = 3 giorni </w:t>
      </w:r>
    </w:p>
    <w:p w14:paraId="011B03A1" w14:textId="77777777" w:rsidR="000D4ECA" w:rsidRPr="0058047D" w:rsidRDefault="000D4ECA" w:rsidP="00077CE5"/>
    <w:p w14:paraId="0466E234" w14:textId="77777777" w:rsidR="000D4ECA" w:rsidRPr="0058047D" w:rsidRDefault="000D4ECA" w:rsidP="000D4ECA">
      <w:pPr>
        <w:spacing w:after="60"/>
      </w:pPr>
      <w:r w:rsidRPr="0058047D">
        <w:rPr>
          <w:rFonts w:cs="Tahoma"/>
          <w:szCs w:val="20"/>
        </w:rPr>
        <w:t>Iscrizione EA con:</w:t>
      </w:r>
    </w:p>
    <w:p w14:paraId="7A008688" w14:textId="77777777" w:rsidR="000D4ECA" w:rsidRPr="0058047D" w:rsidRDefault="000D4ECA" w:rsidP="000D4ECA">
      <w:pPr>
        <w:spacing w:after="60"/>
      </w:pPr>
      <w:r w:rsidRPr="0058047D">
        <w:rPr>
          <w:rFonts w:cs="Tahoma"/>
          <w:szCs w:val="20"/>
        </w:rPr>
        <w:t>3.500 Enterprise Desktop</w:t>
      </w:r>
    </w:p>
    <w:p w14:paraId="01360A1A" w14:textId="77777777" w:rsidR="000D4ECA" w:rsidRPr="0058047D" w:rsidRDefault="000D4ECA" w:rsidP="00346F4B">
      <w:pPr>
        <w:numPr>
          <w:ilvl w:val="0"/>
          <w:numId w:val="70"/>
        </w:numPr>
        <w:tabs>
          <w:tab w:val="left" w:pos="720"/>
        </w:tabs>
        <w:spacing w:after="60" w:line="276" w:lineRule="auto"/>
      </w:pPr>
      <w:r w:rsidRPr="0058047D">
        <w:rPr>
          <w:rFonts w:cs="Tahoma"/>
          <w:szCs w:val="20"/>
        </w:rPr>
        <w:t xml:space="preserve">3.500 Office Professional </w:t>
      </w:r>
      <w:r w:rsidRPr="0058047D">
        <w:rPr>
          <w:rFonts w:cs="Tahoma"/>
          <w:color w:val="000000"/>
          <w:szCs w:val="20"/>
        </w:rPr>
        <w:t>Plus</w:t>
      </w:r>
    </w:p>
    <w:p w14:paraId="112E30E2" w14:textId="77777777" w:rsidR="000D4ECA" w:rsidRPr="0058047D" w:rsidRDefault="000D4ECA" w:rsidP="00346F4B">
      <w:pPr>
        <w:numPr>
          <w:ilvl w:val="0"/>
          <w:numId w:val="70"/>
        </w:numPr>
        <w:spacing w:after="60" w:line="276" w:lineRule="auto"/>
      </w:pPr>
      <w:r w:rsidRPr="0058047D">
        <w:rPr>
          <w:rFonts w:cs="Tahoma"/>
          <w:color w:val="000000"/>
          <w:szCs w:val="20"/>
        </w:rPr>
        <w:t>3.500 Enterprise CAL Suite</w:t>
      </w:r>
    </w:p>
    <w:p w14:paraId="341612BD" w14:textId="77777777" w:rsidR="000D4ECA" w:rsidRPr="0058047D" w:rsidRDefault="000D4ECA" w:rsidP="000D4ECA">
      <w:pPr>
        <w:spacing w:after="60"/>
      </w:pPr>
      <w:r w:rsidRPr="0058047D">
        <w:rPr>
          <w:rFonts w:cs="Tahoma"/>
          <w:szCs w:val="20"/>
        </w:rPr>
        <w:t>+50 Windows Server Enterprise Edition (x 50 punti ciascuna = 2.500 punti)</w:t>
      </w:r>
    </w:p>
    <w:p w14:paraId="4DD9AA53" w14:textId="77777777" w:rsidR="000D4ECA" w:rsidRPr="0058047D" w:rsidRDefault="000D4ECA" w:rsidP="000D4ECA">
      <w:pPr>
        <w:spacing w:after="60"/>
      </w:pPr>
      <w:r w:rsidRPr="0058047D">
        <w:rPr>
          <w:rFonts w:cs="Tahoma"/>
          <w:szCs w:val="20"/>
          <w:u w:val="single"/>
        </w:rPr>
        <w:t>+600 SA per Visio Standard</w:t>
      </w:r>
      <w:r w:rsidRPr="0058047D">
        <w:rPr>
          <w:rFonts w:cs="Tahoma"/>
          <w:szCs w:val="20"/>
          <w:u w:val="single"/>
        </w:rPr>
        <w:tab/>
      </w:r>
    </w:p>
    <w:p w14:paraId="32680330" w14:textId="77777777" w:rsidR="000D4ECA" w:rsidRPr="0058047D" w:rsidRDefault="000D4ECA" w:rsidP="000D4ECA">
      <w:pPr>
        <w:spacing w:after="60"/>
      </w:pPr>
      <w:r w:rsidRPr="0058047D">
        <w:rPr>
          <w:rFonts w:cs="Tahoma"/>
          <w:szCs w:val="20"/>
        </w:rPr>
        <w:t xml:space="preserve">6.600 Punti per Licenze per Applicazioni Office e/o Server Coperte = 10 giorni </w:t>
      </w:r>
    </w:p>
    <w:p w14:paraId="5B4F201A" w14:textId="77777777" w:rsidR="000D4ECA" w:rsidRPr="0058047D" w:rsidRDefault="000D4ECA" w:rsidP="000D4ECA">
      <w:pPr>
        <w:spacing w:after="60"/>
      </w:pPr>
      <w:r w:rsidRPr="0058047D">
        <w:rPr>
          <w:rFonts w:cs="Tahoma"/>
          <w:szCs w:val="20"/>
        </w:rPr>
        <w:t>7.000 punti per CAL Suite Coperte= 3 giorni</w:t>
      </w:r>
    </w:p>
    <w:p w14:paraId="058F7338" w14:textId="77777777" w:rsidR="000D4ECA" w:rsidRPr="0058047D" w:rsidRDefault="000D4ECA" w:rsidP="00346F4B">
      <w:pPr>
        <w:numPr>
          <w:ilvl w:val="0"/>
          <w:numId w:val="71"/>
        </w:numPr>
        <w:spacing w:after="60"/>
        <w:ind w:left="720"/>
      </w:pPr>
      <w:r w:rsidRPr="0058047D">
        <w:rPr>
          <w:rFonts w:cs="Tahoma"/>
          <w:szCs w:val="20"/>
        </w:rPr>
        <w:t>Totale 13 Giorni Planning Services</w:t>
      </w:r>
    </w:p>
    <w:p w14:paraId="6B43E2CA" w14:textId="77777777" w:rsidR="00697E59" w:rsidRPr="0058047D" w:rsidRDefault="00697E59" w:rsidP="00077CE5">
      <w:pPr>
        <w:ind w:firstLine="360"/>
      </w:pPr>
    </w:p>
    <w:p w14:paraId="2660491C" w14:textId="77777777" w:rsidR="00023FE7" w:rsidRPr="0058047D" w:rsidRDefault="00023FE7" w:rsidP="00F528E5">
      <w:pPr>
        <w:pStyle w:val="AppendixBodyText"/>
        <w:spacing w:after="0"/>
      </w:pPr>
      <w:r w:rsidRPr="0058047D">
        <w:rPr>
          <w:rFonts w:ascii="Tahoma" w:hAnsi="Tahoma" w:cs="Tahoma"/>
          <w:sz w:val="18"/>
        </w:rPr>
        <w:t>Le società possono inoltre incrementare il numero di Giorni Planning Services qualora soddisfino i seguenti criteri: (a)</w:t>
      </w:r>
      <w:r w:rsidR="00856C12">
        <w:rPr>
          <w:rFonts w:ascii="Tahoma" w:hAnsi="Tahoma" w:cs="Tahoma"/>
          <w:sz w:val="18"/>
        </w:rPr>
        <w:t> </w:t>
      </w:r>
      <w:r w:rsidRPr="0058047D">
        <w:rPr>
          <w:rFonts w:ascii="Tahoma" w:hAnsi="Tahoma" w:cs="Tahoma"/>
          <w:sz w:val="18"/>
        </w:rPr>
        <w:t>sono al momento idonee per il vantaggio Voucher Corsi, (b) hanno attivato il vantaggio Voucher Corsi e (c) hanno almeno 3 giorni di corsi non rivendicati del vantaggio Voucher Corsi disponibili per la conversione.</w:t>
      </w:r>
      <w:r w:rsidR="00E34ED3" w:rsidRPr="0058047D">
        <w:rPr>
          <w:rFonts w:ascii="Tahoma" w:hAnsi="Tahoma" w:cs="Tahoma"/>
          <w:sz w:val="18"/>
        </w:rPr>
        <w:t xml:space="preserve"> </w:t>
      </w:r>
      <w:r w:rsidRPr="0058047D">
        <w:rPr>
          <w:rFonts w:ascii="Tahoma" w:hAnsi="Tahoma" w:cs="Tahoma"/>
          <w:sz w:val="18"/>
        </w:rPr>
        <w:t xml:space="preserve">Le società idonee possono convertire i giorni non utilizzati di Voucher Corsi in Giorni Planning Services sulla base di 3 a 1 (tre Giorni Voucher Corsi = un Giorno Planning Services). </w:t>
      </w:r>
      <w:r w:rsidRPr="0058047D">
        <w:rPr>
          <w:rFonts w:ascii="Tahoma" w:hAnsi="Tahoma" w:cs="Tahoma"/>
          <w:bCs/>
          <w:sz w:val="18"/>
        </w:rPr>
        <w:t xml:space="preserve">(NOTA: le società che desiderano utilizzare i loro giorni Voucher Corsi a favore dei Planning Services non dovranno creare Voucher Corsi con quei giorni). [I giorni </w:t>
      </w:r>
      <w:r w:rsidRPr="0058047D">
        <w:rPr>
          <w:rFonts w:ascii="Tahoma" w:hAnsi="Tahoma" w:cs="Tahoma"/>
          <w:sz w:val="18"/>
        </w:rPr>
        <w:t>Planning</w:t>
      </w:r>
      <w:r w:rsidRPr="0058047D">
        <w:rPr>
          <w:rFonts w:ascii="Tahoma" w:hAnsi="Tahoma" w:cs="Tahoma"/>
          <w:bCs/>
          <w:sz w:val="18"/>
        </w:rPr>
        <w:t xml:space="preserve"> Services non possono essere convertiti in giorni Voucher Corsi]. Tuttavia, qualora una società desideri annullare la conversione di giorni Voucher Corsi, i Giorni Planning Services potranno essere riconvertiti in giorni Voucher Corsi. In seguito alla conversione di giorni Voucher Corsi in Giorni Planning Services, i Giorni Planning Services appariranno nel pool di giorni Planning Services della società.</w:t>
      </w:r>
      <w:r w:rsidR="00E34ED3" w:rsidRPr="0058047D">
        <w:rPr>
          <w:rFonts w:ascii="Tahoma" w:hAnsi="Tahoma" w:cs="Tahoma"/>
          <w:bCs/>
          <w:sz w:val="18"/>
        </w:rPr>
        <w:t xml:space="preserve"> </w:t>
      </w:r>
      <w:r w:rsidRPr="0058047D">
        <w:rPr>
          <w:rFonts w:ascii="Tahoma" w:hAnsi="Tahoma" w:cs="Tahoma"/>
          <w:bCs/>
          <w:sz w:val="18"/>
        </w:rPr>
        <w:t>Tali giorni possono essere utilizzati per creare voucher per i servizi disponibili, ad esempio DDPS o SDPS.</w:t>
      </w:r>
      <w:r w:rsidR="00E34ED3" w:rsidRPr="0058047D">
        <w:rPr>
          <w:rFonts w:ascii="Tahoma" w:hAnsi="Tahoma" w:cs="Tahoma"/>
          <w:bCs/>
          <w:sz w:val="18"/>
        </w:rPr>
        <w:t xml:space="preserve"> </w:t>
      </w:r>
      <w:r w:rsidRPr="0058047D">
        <w:rPr>
          <w:rFonts w:ascii="Tahoma" w:hAnsi="Tahoma" w:cs="Tahoma"/>
          <w:bCs/>
          <w:sz w:val="18"/>
        </w:rPr>
        <w:t>*L</w:t>
      </w:r>
      <w:r w:rsidR="001C4212">
        <w:rPr>
          <w:rFonts w:ascii="Tahoma" w:hAnsi="Tahoma" w:cs="Tahoma"/>
          <w:bCs/>
          <w:sz w:val="18"/>
        </w:rPr>
        <w:t>’</w:t>
      </w:r>
      <w:r w:rsidRPr="0058047D">
        <w:rPr>
          <w:rFonts w:ascii="Tahoma" w:hAnsi="Tahoma" w:cs="Tahoma"/>
          <w:bCs/>
          <w:sz w:val="18"/>
        </w:rPr>
        <w:t>idoneità delle società a riconvertire i giorni in giorni Voucher Corsi è limitata sulla base del numero di giorni disponibili a livello di Giorni Planning Services.</w:t>
      </w:r>
      <w:r w:rsidR="00E34ED3" w:rsidRPr="0058047D">
        <w:rPr>
          <w:rFonts w:ascii="Tahoma" w:hAnsi="Tahoma" w:cs="Tahoma"/>
          <w:bCs/>
          <w:sz w:val="18"/>
        </w:rPr>
        <w:t xml:space="preserve"> </w:t>
      </w:r>
      <w:r w:rsidRPr="0058047D">
        <w:rPr>
          <w:rFonts w:ascii="Tahoma" w:hAnsi="Tahoma" w:cs="Tahoma"/>
          <w:bCs/>
          <w:sz w:val="18"/>
        </w:rPr>
        <w:t>Qualora una società desideri riconvertire 10</w:t>
      </w:r>
      <w:r w:rsidR="00856C12">
        <w:rPr>
          <w:rFonts w:ascii="Tahoma" w:hAnsi="Tahoma" w:cs="Tahoma"/>
          <w:bCs/>
          <w:sz w:val="18"/>
        </w:rPr>
        <w:t> </w:t>
      </w:r>
      <w:r w:rsidRPr="0058047D">
        <w:rPr>
          <w:rFonts w:ascii="Tahoma" w:hAnsi="Tahoma" w:cs="Tahoma"/>
          <w:bCs/>
          <w:sz w:val="18"/>
        </w:rPr>
        <w:t>giorni, ma nel pool sono disponibili solo 8 Giorni Planning Services, potranno essere riconvertiti solo 8 giorni.</w:t>
      </w:r>
      <w:r w:rsidR="00E34ED3" w:rsidRPr="0058047D">
        <w:rPr>
          <w:rFonts w:ascii="Tahoma" w:hAnsi="Tahoma" w:cs="Tahoma"/>
          <w:bCs/>
          <w:sz w:val="18"/>
        </w:rPr>
        <w:t xml:space="preserve"> </w:t>
      </w:r>
    </w:p>
    <w:p w14:paraId="56E17609" w14:textId="77777777" w:rsidR="00F528E5" w:rsidRPr="0058047D" w:rsidRDefault="00F528E5" w:rsidP="00F528E5">
      <w:pPr>
        <w:pStyle w:val="AppendixBodyText"/>
        <w:spacing w:after="0"/>
      </w:pPr>
    </w:p>
    <w:p w14:paraId="227A2052" w14:textId="77777777" w:rsidR="00023FE7" w:rsidRPr="0058047D" w:rsidRDefault="00023FE7" w:rsidP="00F528E5">
      <w:pPr>
        <w:pStyle w:val="AppendixBodyText"/>
        <w:spacing w:after="0"/>
      </w:pPr>
      <w:r w:rsidRPr="0058047D">
        <w:rPr>
          <w:rFonts w:ascii="Tahoma" w:hAnsi="Tahoma" w:cs="Tahoma"/>
          <w:bCs/>
          <w:sz w:val="18"/>
        </w:rPr>
        <w:t>Le società con Contratti Multilicenza idonei che non hanno soddisfatto la soglia minima per ricevere i Planning Services, ma che soddisfano o superano i criteri per la conversione dei giorni Voucher Corsi potranno convertire tali</w:t>
      </w:r>
      <w:r w:rsidR="00856C12">
        <w:rPr>
          <w:rFonts w:ascii="Tahoma" w:hAnsi="Tahoma" w:cs="Tahoma"/>
          <w:bCs/>
          <w:sz w:val="18"/>
        </w:rPr>
        <w:t> </w:t>
      </w:r>
      <w:r w:rsidRPr="0058047D">
        <w:rPr>
          <w:rFonts w:ascii="Tahoma" w:hAnsi="Tahoma" w:cs="Tahoma"/>
          <w:bCs/>
          <w:sz w:val="18"/>
        </w:rPr>
        <w:t>giorni come illustrato sopra.</w:t>
      </w:r>
    </w:p>
    <w:p w14:paraId="4236B697" w14:textId="77777777" w:rsidR="00023FE7" w:rsidRPr="0058047D" w:rsidRDefault="00023FE7" w:rsidP="00077CE5">
      <w:pPr>
        <w:pStyle w:val="AppendixBodyText"/>
        <w:spacing w:after="0"/>
      </w:pPr>
    </w:p>
    <w:p w14:paraId="48079FAA" w14:textId="77777777" w:rsidR="00023FE7" w:rsidRPr="0058047D" w:rsidRDefault="000D4ECA">
      <w:pPr>
        <w:pStyle w:val="AppendixBodyText"/>
      </w:pPr>
      <w:r w:rsidRPr="0058047D">
        <w:rPr>
          <w:rFonts w:ascii="Tahoma" w:hAnsi="Tahoma" w:cs="Tahoma"/>
          <w:sz w:val="18"/>
        </w:rPr>
        <w:t>I Planning Services potranno essere forniti alla società da Partner Microsoft qualificati o da Microsoft Consulting Services.</w:t>
      </w:r>
      <w:r w:rsidR="00E34ED3" w:rsidRPr="0058047D">
        <w:rPr>
          <w:rFonts w:ascii="Tahoma" w:hAnsi="Tahoma" w:cs="Tahoma"/>
          <w:sz w:val="18"/>
        </w:rPr>
        <w:t xml:space="preserve"> </w:t>
      </w:r>
      <w:r w:rsidRPr="0058047D">
        <w:rPr>
          <w:rFonts w:ascii="Tahoma" w:hAnsi="Tahoma" w:cs="Tahoma"/>
          <w:sz w:val="18"/>
        </w:rPr>
        <w:t>L</w:t>
      </w:r>
      <w:r w:rsidR="001C4212">
        <w:rPr>
          <w:rFonts w:ascii="Tahoma" w:hAnsi="Tahoma" w:cs="Tahoma"/>
          <w:sz w:val="18"/>
        </w:rPr>
        <w:t>’</w:t>
      </w:r>
      <w:r w:rsidRPr="0058047D">
        <w:rPr>
          <w:rFonts w:ascii="Tahoma" w:hAnsi="Tahoma" w:cs="Tahoma"/>
          <w:sz w:val="18"/>
        </w:rPr>
        <w:t xml:space="preserve">elenco dei Provider Qualificati è visibile al seguente indirizzo: </w:t>
      </w:r>
      <w:r w:rsidR="00856C12">
        <w:rPr>
          <w:rFonts w:ascii="Tahoma" w:hAnsi="Tahoma" w:cs="Tahoma"/>
          <w:sz w:val="18"/>
        </w:rPr>
        <w:t>http://directory.partners.extranet.microsoft.com/psbproviders</w:t>
      </w:r>
      <w:r w:rsidR="00E34ED3" w:rsidRPr="0058047D">
        <w:rPr>
          <w:rFonts w:ascii="Tahoma" w:hAnsi="Tahoma" w:cs="Tahoma"/>
          <w:sz w:val="18"/>
        </w:rPr>
        <w:t xml:space="preserve"> </w:t>
      </w:r>
    </w:p>
    <w:p w14:paraId="67850A4E" w14:textId="77777777" w:rsidR="00EC05F0" w:rsidRPr="0058047D" w:rsidRDefault="00EC05F0"/>
    <w:p w14:paraId="75E95276" w14:textId="77777777" w:rsidR="00023FE7" w:rsidRPr="0058047D" w:rsidRDefault="000D4ECA" w:rsidP="005A141F">
      <w:pPr>
        <w:pStyle w:val="AppendixBodyText"/>
        <w:spacing w:after="0"/>
      </w:pPr>
      <w:r w:rsidRPr="0058047D">
        <w:rPr>
          <w:rFonts w:ascii="Tahoma" w:hAnsi="Tahoma" w:cs="Tahoma"/>
          <w:sz w:val="18"/>
        </w:rPr>
        <w:t>Gli engagement Planning Services forniscono servizi di consulenza che coprono un ambito di lavoro predeterminato, il</w:t>
      </w:r>
      <w:r w:rsidR="00856C12">
        <w:rPr>
          <w:rFonts w:ascii="Tahoma" w:hAnsi="Tahoma" w:cs="Tahoma"/>
          <w:sz w:val="18"/>
        </w:rPr>
        <w:t> </w:t>
      </w:r>
      <w:r w:rsidRPr="0058047D">
        <w:rPr>
          <w:rFonts w:ascii="Tahoma" w:hAnsi="Tahoma" w:cs="Tahoma"/>
          <w:sz w:val="18"/>
        </w:rPr>
        <w:t>cui esito è un piano di distribuzione di alto livello; la distribuzione effettiva del software non può essere inclusa.</w:t>
      </w:r>
    </w:p>
    <w:p w14:paraId="130D69F0" w14:textId="77777777" w:rsidR="00023FE7" w:rsidRPr="0058047D" w:rsidRDefault="00023FE7" w:rsidP="005A141F">
      <w:pPr>
        <w:pStyle w:val="AppendixBodyText"/>
        <w:spacing w:after="0"/>
      </w:pPr>
    </w:p>
    <w:p w14:paraId="04A5D36A" w14:textId="77777777" w:rsidR="00AC1997" w:rsidRPr="0058047D" w:rsidRDefault="000D4ECA" w:rsidP="002F529F">
      <w:pPr>
        <w:pStyle w:val="AppendixBodyText"/>
        <w:numPr>
          <w:ilvl w:val="0"/>
          <w:numId w:val="1"/>
        </w:numPr>
        <w:tabs>
          <w:tab w:val="clear" w:pos="720"/>
          <w:tab w:val="num" w:pos="1440"/>
        </w:tabs>
        <w:ind w:left="1440"/>
      </w:pPr>
      <w:r w:rsidRPr="0058047D">
        <w:rPr>
          <w:rFonts w:ascii="Tahoma" w:hAnsi="Tahoma" w:cs="Tahoma"/>
          <w:bCs/>
          <w:sz w:val="18"/>
        </w:rPr>
        <w:t>I Planning Services non sono disponibili in tutte le lingue.</w:t>
      </w:r>
    </w:p>
    <w:p w14:paraId="68AC37F6" w14:textId="77777777" w:rsidR="00AC1997" w:rsidRPr="0058047D" w:rsidRDefault="000D4ECA" w:rsidP="002F529F">
      <w:pPr>
        <w:pStyle w:val="AppendixBodyText"/>
        <w:numPr>
          <w:ilvl w:val="0"/>
          <w:numId w:val="1"/>
        </w:numPr>
        <w:tabs>
          <w:tab w:val="clear" w:pos="720"/>
          <w:tab w:val="num" w:pos="1440"/>
        </w:tabs>
        <w:ind w:left="1440"/>
      </w:pPr>
      <w:r w:rsidRPr="0058047D">
        <w:rPr>
          <w:rFonts w:ascii="Tahoma" w:hAnsi="Tahoma" w:cs="Tahoma"/>
          <w:bCs/>
          <w:color w:val="000000"/>
          <w:sz w:val="18"/>
        </w:rPr>
        <w:t>I voucher Planning Services possono essere riscattati solo dalla società idonea a ricevere il vantaggio.</w:t>
      </w:r>
    </w:p>
    <w:p w14:paraId="31EBC9E2" w14:textId="77777777" w:rsidR="00AC1997" w:rsidRPr="0058047D" w:rsidRDefault="000D4ECA" w:rsidP="002F529F">
      <w:pPr>
        <w:pStyle w:val="AppendixBodyText"/>
        <w:numPr>
          <w:ilvl w:val="0"/>
          <w:numId w:val="1"/>
        </w:numPr>
        <w:tabs>
          <w:tab w:val="clear" w:pos="720"/>
          <w:tab w:val="num" w:pos="1440"/>
        </w:tabs>
        <w:ind w:left="1440"/>
      </w:pPr>
      <w:r w:rsidRPr="0058047D">
        <w:rPr>
          <w:rFonts w:ascii="Tahoma" w:hAnsi="Tahoma" w:cs="Tahoma"/>
          <w:bCs/>
          <w:color w:val="000000"/>
          <w:sz w:val="18"/>
        </w:rPr>
        <w:t>I voucher Planning Services non potranno essere scambiati con contante, somme di denaro o altri corrispettivi.</w:t>
      </w:r>
    </w:p>
    <w:p w14:paraId="3DACC40F" w14:textId="77777777" w:rsidR="00AC1997" w:rsidRPr="0058047D" w:rsidRDefault="00AC1997" w:rsidP="002F529F">
      <w:pPr>
        <w:pStyle w:val="AppendixBodyText"/>
        <w:numPr>
          <w:ilvl w:val="0"/>
          <w:numId w:val="1"/>
        </w:numPr>
        <w:tabs>
          <w:tab w:val="clear" w:pos="720"/>
          <w:tab w:val="num" w:pos="1440"/>
        </w:tabs>
        <w:ind w:left="1440"/>
      </w:pPr>
      <w:r w:rsidRPr="0058047D">
        <w:rPr>
          <w:rFonts w:ascii="Tahoma" w:hAnsi="Tahoma" w:cs="Tahoma"/>
          <w:bCs/>
          <w:color w:val="000000"/>
          <w:sz w:val="18"/>
        </w:rPr>
        <w:t>Le società interessate ad acquisire servizi aggiuntivi oltre a quelli coperti dall</w:t>
      </w:r>
      <w:r w:rsidR="001C4212">
        <w:rPr>
          <w:rFonts w:ascii="Tahoma" w:hAnsi="Tahoma" w:cs="Tahoma"/>
          <w:bCs/>
          <w:color w:val="000000"/>
          <w:sz w:val="18"/>
        </w:rPr>
        <w:t>’</w:t>
      </w:r>
      <w:r w:rsidRPr="0058047D">
        <w:rPr>
          <w:rFonts w:ascii="Tahoma" w:hAnsi="Tahoma" w:cs="Tahoma"/>
          <w:color w:val="000000"/>
          <w:sz w:val="18"/>
          <w:szCs w:val="18"/>
        </w:rPr>
        <w:t>ambito di lavoro per l</w:t>
      </w:r>
      <w:r w:rsidR="001C4212">
        <w:rPr>
          <w:rFonts w:ascii="Tahoma" w:hAnsi="Tahoma" w:cs="Tahoma"/>
          <w:color w:val="000000"/>
          <w:sz w:val="18"/>
          <w:szCs w:val="18"/>
        </w:rPr>
        <w:t>’</w:t>
      </w:r>
      <w:r w:rsidRPr="0058047D">
        <w:rPr>
          <w:rFonts w:ascii="Tahoma" w:hAnsi="Tahoma" w:cs="Tahoma"/>
          <w:color w:val="000000"/>
          <w:sz w:val="18"/>
          <w:szCs w:val="18"/>
        </w:rPr>
        <w:t>engagement relativo al voucher assegnato (secondo quanto definito dal tipo di voucher e dal livello di servizio)</w:t>
      </w:r>
      <w:r w:rsidRPr="0058047D">
        <w:rPr>
          <w:rFonts w:ascii="Tahoma" w:hAnsi="Tahoma" w:cs="Tahoma"/>
          <w:bCs/>
          <w:color w:val="000000"/>
          <w:sz w:val="18"/>
        </w:rPr>
        <w:t xml:space="preserve"> potranno pagare il provider al di fuori di questo programma.</w:t>
      </w:r>
    </w:p>
    <w:p w14:paraId="27EA4EF0" w14:textId="77777777" w:rsidR="00AC1997" w:rsidRPr="0058047D" w:rsidRDefault="00AC1997" w:rsidP="002F529F">
      <w:pPr>
        <w:pStyle w:val="AppendixBodyText"/>
        <w:numPr>
          <w:ilvl w:val="0"/>
          <w:numId w:val="1"/>
        </w:numPr>
        <w:tabs>
          <w:tab w:val="clear" w:pos="720"/>
          <w:tab w:val="num" w:pos="1440"/>
        </w:tabs>
        <w:ind w:left="1440"/>
      </w:pPr>
      <w:r w:rsidRPr="0058047D">
        <w:rPr>
          <w:rFonts w:ascii="Tahoma" w:hAnsi="Tahoma" w:cs="Tahoma"/>
          <w:color w:val="000000"/>
          <w:sz w:val="18"/>
        </w:rPr>
        <w:t>La riduzione della copertura SA qualificante in seguito a resi o altre modifiche apportate alla fatturazione</w:t>
      </w:r>
      <w:r w:rsidRPr="0058047D">
        <w:rPr>
          <w:rFonts w:ascii="Tahoma" w:hAnsi="Tahoma" w:cs="Tahoma"/>
          <w:bCs/>
          <w:color w:val="000000"/>
          <w:sz w:val="18"/>
        </w:rPr>
        <w:t>,</w:t>
      </w:r>
      <w:r w:rsidRPr="0058047D">
        <w:rPr>
          <w:rFonts w:ascii="Tahoma" w:hAnsi="Tahoma" w:cs="Tahoma"/>
          <w:color w:val="000000"/>
          <w:sz w:val="18"/>
        </w:rPr>
        <w:t xml:space="preserve"> ove ammessa, </w:t>
      </w:r>
      <w:r w:rsidRPr="0058047D">
        <w:rPr>
          <w:rFonts w:ascii="Tahoma" w:hAnsi="Tahoma" w:cs="Tahoma"/>
          <w:bCs/>
          <w:color w:val="000000"/>
          <w:sz w:val="18"/>
        </w:rPr>
        <w:t>potrà</w:t>
      </w:r>
      <w:r w:rsidRPr="0058047D">
        <w:rPr>
          <w:rFonts w:ascii="Tahoma" w:hAnsi="Tahoma" w:cs="Tahoma"/>
          <w:color w:val="000000"/>
          <w:sz w:val="18"/>
        </w:rPr>
        <w:t xml:space="preserve"> diminuire i giorni di idoneità ai Planning Services della </w:t>
      </w:r>
      <w:r w:rsidRPr="0058047D">
        <w:rPr>
          <w:rFonts w:ascii="Tahoma" w:hAnsi="Tahoma" w:cs="Tahoma"/>
          <w:bCs/>
          <w:color w:val="000000"/>
          <w:sz w:val="18"/>
        </w:rPr>
        <w:t>società.</w:t>
      </w:r>
    </w:p>
    <w:p w14:paraId="62E31EB5" w14:textId="77777777" w:rsidR="00762183" w:rsidRPr="0058047D" w:rsidRDefault="00AC1997" w:rsidP="00346F4B">
      <w:pPr>
        <w:pStyle w:val="AppendixBodyText"/>
        <w:numPr>
          <w:ilvl w:val="0"/>
          <w:numId w:val="22"/>
        </w:numPr>
        <w:tabs>
          <w:tab w:val="num" w:pos="1440"/>
        </w:tabs>
        <w:ind w:left="1440"/>
      </w:pPr>
      <w:r w:rsidRPr="0058047D">
        <w:rPr>
          <w:rFonts w:ascii="Tahoma" w:hAnsi="Tahoma" w:cs="Tahoma"/>
          <w:bCs/>
          <w:color w:val="000000"/>
          <w:sz w:val="18"/>
        </w:rPr>
        <w:t xml:space="preserve">I voucher sono validi solo con </w:t>
      </w:r>
      <w:r w:rsidRPr="0058047D">
        <w:rPr>
          <w:rFonts w:ascii="Tahoma" w:hAnsi="Tahoma" w:cs="Tahoma"/>
          <w:color w:val="000000"/>
          <w:sz w:val="18"/>
        </w:rPr>
        <w:t xml:space="preserve">Provider qualificati </w:t>
      </w:r>
      <w:r w:rsidRPr="0058047D">
        <w:rPr>
          <w:rFonts w:ascii="Tahoma" w:hAnsi="Tahoma" w:cs="Tahoma"/>
          <w:bCs/>
          <w:color w:val="000000"/>
          <w:sz w:val="18"/>
        </w:rPr>
        <w:t xml:space="preserve">per il tipo di servizio specifico per il quale il voucher </w:t>
      </w:r>
      <w:r w:rsidRPr="0058047D">
        <w:rPr>
          <w:rFonts w:ascii="Tahoma" w:hAnsi="Tahoma" w:cs="Tahoma"/>
          <w:bCs/>
          <w:color w:val="000000"/>
          <w:sz w:val="18"/>
          <w:szCs w:val="18"/>
        </w:rPr>
        <w:t xml:space="preserve">viene riscattato. </w:t>
      </w:r>
      <w:r w:rsidRPr="0058047D">
        <w:rPr>
          <w:rFonts w:ascii="Tahoma" w:hAnsi="Tahoma" w:cs="Tahoma"/>
          <w:color w:val="000000"/>
          <w:sz w:val="18"/>
          <w:szCs w:val="18"/>
        </w:rPr>
        <w:t>Il voucher può essere utilizzato con qualsiasi Provider Qualificato a livello mondiale. La partecipazione potrebbe variare.</w:t>
      </w:r>
    </w:p>
    <w:p w14:paraId="3E1DF792" w14:textId="77777777" w:rsidR="0083748D" w:rsidRPr="0058047D" w:rsidRDefault="0083748D" w:rsidP="002F529F">
      <w:pPr>
        <w:pStyle w:val="AppendixBodyText"/>
        <w:numPr>
          <w:ilvl w:val="0"/>
          <w:numId w:val="1"/>
        </w:numPr>
        <w:tabs>
          <w:tab w:val="clear" w:pos="720"/>
          <w:tab w:val="num" w:pos="1440"/>
        </w:tabs>
        <w:ind w:left="1440"/>
      </w:pPr>
      <w:r w:rsidRPr="0058047D">
        <w:rPr>
          <w:rFonts w:ascii="Tahoma" w:hAnsi="Tahoma" w:cs="Tahoma"/>
          <w:color w:val="000000"/>
          <w:sz w:val="18"/>
          <w:szCs w:val="18"/>
        </w:rPr>
        <w:t>I voucher dovranno essere assegnati durante il periodo della copertura Software Assurance.</w:t>
      </w:r>
    </w:p>
    <w:p w14:paraId="1EAF7282" w14:textId="77777777" w:rsidR="0083748D" w:rsidRPr="0058047D" w:rsidRDefault="0083748D" w:rsidP="002F529F">
      <w:pPr>
        <w:pStyle w:val="AppendixBodyText"/>
        <w:numPr>
          <w:ilvl w:val="0"/>
          <w:numId w:val="1"/>
        </w:numPr>
        <w:tabs>
          <w:tab w:val="clear" w:pos="720"/>
          <w:tab w:val="num" w:pos="1440"/>
        </w:tabs>
        <w:ind w:left="1440"/>
      </w:pPr>
      <w:r w:rsidRPr="0058047D">
        <w:rPr>
          <w:rFonts w:ascii="Tahoma" w:hAnsi="Tahoma" w:cs="Tahoma"/>
          <w:color w:val="000000"/>
          <w:sz w:val="18"/>
          <w:szCs w:val="18"/>
        </w:rPr>
        <w:t>I voucher scadranno dopo 180 giorni dalla data di assegnazione, indipendentemente dalla data di</w:t>
      </w:r>
      <w:r w:rsidR="00856C12">
        <w:rPr>
          <w:rFonts w:ascii="Tahoma" w:hAnsi="Tahoma" w:cs="Tahoma"/>
          <w:color w:val="000000"/>
          <w:sz w:val="18"/>
          <w:szCs w:val="18"/>
        </w:rPr>
        <w:t> </w:t>
      </w:r>
      <w:r w:rsidRPr="0058047D">
        <w:rPr>
          <w:rFonts w:ascii="Tahoma" w:hAnsi="Tahoma" w:cs="Tahoma"/>
          <w:color w:val="000000"/>
          <w:sz w:val="18"/>
          <w:szCs w:val="18"/>
        </w:rPr>
        <w:t>scadenza della copertura Software Assurance. Tutti i servizi dovranno essere forniti (voucher riscattato) prima della scadenza dei voucher. Per i voucher, la cui data di scadenza è precedente a</w:t>
      </w:r>
      <w:r w:rsidR="00856C12">
        <w:rPr>
          <w:rFonts w:ascii="Tahoma" w:hAnsi="Tahoma" w:cs="Tahoma"/>
          <w:color w:val="000000"/>
          <w:sz w:val="18"/>
          <w:szCs w:val="18"/>
        </w:rPr>
        <w:t> </w:t>
      </w:r>
      <w:r w:rsidRPr="0058047D">
        <w:rPr>
          <w:rFonts w:ascii="Tahoma" w:hAnsi="Tahoma" w:cs="Tahoma"/>
          <w:color w:val="000000"/>
          <w:sz w:val="18"/>
          <w:szCs w:val="18"/>
        </w:rPr>
        <w:t>quella della copertura Software Assurance, verrà ripristinato il pool disponibile di giorni Planning Services.</w:t>
      </w:r>
    </w:p>
    <w:p w14:paraId="4BC8B03B" w14:textId="77777777" w:rsidR="00AC1997" w:rsidRPr="0058047D" w:rsidRDefault="00AC1997" w:rsidP="002F529F">
      <w:pPr>
        <w:pStyle w:val="AppendixBodyText"/>
        <w:numPr>
          <w:ilvl w:val="0"/>
          <w:numId w:val="21"/>
        </w:numPr>
        <w:tabs>
          <w:tab w:val="num" w:pos="1440"/>
        </w:tabs>
      </w:pPr>
      <w:r w:rsidRPr="0058047D">
        <w:rPr>
          <w:rFonts w:ascii="Tahoma" w:hAnsi="Tahoma" w:cs="Tahoma"/>
          <w:bCs/>
          <w:color w:val="000000"/>
          <w:sz w:val="18"/>
          <w:szCs w:val="18"/>
        </w:rPr>
        <w:t>Microsoft non è responsabile</w:t>
      </w:r>
      <w:r w:rsidRPr="0058047D">
        <w:rPr>
          <w:rFonts w:ascii="Tahoma" w:hAnsi="Tahoma" w:cs="Tahoma"/>
          <w:bCs/>
          <w:color w:val="000000"/>
          <w:sz w:val="18"/>
        </w:rPr>
        <w:t xml:space="preserve"> dei voucher persi, rubati, collocati fuori posto o maltrattati.</w:t>
      </w:r>
    </w:p>
    <w:p w14:paraId="6D1D9A74" w14:textId="77777777" w:rsidR="00AC1997" w:rsidRPr="00856C12" w:rsidRDefault="00AC1997" w:rsidP="002F529F">
      <w:pPr>
        <w:pStyle w:val="AppendixBodyText"/>
        <w:numPr>
          <w:ilvl w:val="0"/>
          <w:numId w:val="21"/>
        </w:numPr>
        <w:tabs>
          <w:tab w:val="num" w:pos="1440"/>
        </w:tabs>
      </w:pPr>
      <w:r w:rsidRPr="0058047D">
        <w:rPr>
          <w:rFonts w:ascii="Tahoma" w:hAnsi="Tahoma" w:cs="Tahoma"/>
          <w:bCs/>
          <w:color w:val="000000"/>
          <w:sz w:val="18"/>
        </w:rPr>
        <w:t xml:space="preserve">I servizi erogati con i voucher vengono </w:t>
      </w:r>
      <w:r w:rsidRPr="0058047D">
        <w:rPr>
          <w:rFonts w:ascii="Tahoma" w:hAnsi="Tahoma" w:cs="Tahoma"/>
          <w:color w:val="000000"/>
          <w:sz w:val="18"/>
        </w:rPr>
        <w:t>forniti ai sensi di un contratto tra la Società e il Provider Qualificato; Microsoft non è responsabile dell</w:t>
      </w:r>
      <w:r w:rsidR="001C4212">
        <w:rPr>
          <w:rFonts w:ascii="Tahoma" w:hAnsi="Tahoma" w:cs="Tahoma"/>
          <w:color w:val="000000"/>
          <w:sz w:val="18"/>
        </w:rPr>
        <w:t>’</w:t>
      </w:r>
      <w:r w:rsidRPr="0058047D">
        <w:rPr>
          <w:rFonts w:ascii="Tahoma" w:hAnsi="Tahoma" w:cs="Tahoma"/>
          <w:color w:val="000000"/>
          <w:sz w:val="18"/>
        </w:rPr>
        <w:t>eventuale funzionamento o mancato funzionamento dei servizi da parte del Provider Qualificato.</w:t>
      </w:r>
    </w:p>
    <w:p w14:paraId="23BB37DF" w14:textId="77777777" w:rsidR="00856C12" w:rsidRPr="0058047D" w:rsidRDefault="00856C12" w:rsidP="00856C12">
      <w:pPr>
        <w:pStyle w:val="AppendixBodyText"/>
        <w:ind w:left="1440"/>
      </w:pPr>
    </w:p>
    <w:p w14:paraId="605B36DC" w14:textId="77777777" w:rsidR="00F643B6" w:rsidRPr="0058047D" w:rsidRDefault="00AC1997" w:rsidP="00346F4B">
      <w:pPr>
        <w:pStyle w:val="AppendixBodyText"/>
        <w:numPr>
          <w:ilvl w:val="0"/>
          <w:numId w:val="72"/>
        </w:numPr>
      </w:pPr>
      <w:r w:rsidRPr="0058047D">
        <w:rPr>
          <w:rFonts w:ascii="Tahoma" w:hAnsi="Tahoma" w:cs="Tahoma"/>
          <w:bCs/>
          <w:color w:val="000000"/>
          <w:sz w:val="18"/>
        </w:rPr>
        <w:t>Accettando un engagement Planning Services, le società</w:t>
      </w:r>
      <w:r w:rsidRPr="0058047D">
        <w:rPr>
          <w:rFonts w:ascii="Tahoma" w:hAnsi="Tahoma" w:cs="Tahoma"/>
          <w:bCs/>
          <w:sz w:val="18"/>
        </w:rPr>
        <w:t xml:space="preserve"> danno atto che non appena lo completeranno, riceveranno un sondaggio per il controllo della qualità.</w:t>
      </w:r>
    </w:p>
    <w:p w14:paraId="26546F63" w14:textId="77777777" w:rsidR="0008036A" w:rsidRPr="0058047D" w:rsidRDefault="00F643B6" w:rsidP="00346F4B">
      <w:pPr>
        <w:pStyle w:val="AppendixBodyText"/>
        <w:numPr>
          <w:ilvl w:val="0"/>
          <w:numId w:val="72"/>
        </w:numPr>
      </w:pPr>
      <w:r w:rsidRPr="0058047D">
        <w:rPr>
          <w:rFonts w:ascii="Tahoma" w:hAnsi="Tahoma" w:cs="Tahoma"/>
          <w:bCs/>
          <w:color w:val="000000"/>
          <w:sz w:val="18"/>
          <w:szCs w:val="18"/>
        </w:rPr>
        <w:t>Le tabelle riportate sopra mostrano i giorni di servizio disponibili sulla base di un</w:t>
      </w:r>
      <w:r w:rsidR="001C4212">
        <w:rPr>
          <w:rFonts w:ascii="Tahoma" w:hAnsi="Tahoma" w:cs="Tahoma"/>
          <w:bCs/>
          <w:color w:val="000000"/>
          <w:sz w:val="18"/>
          <w:szCs w:val="18"/>
        </w:rPr>
        <w:t>’</w:t>
      </w:r>
      <w:r w:rsidRPr="0058047D">
        <w:rPr>
          <w:rFonts w:ascii="Tahoma" w:hAnsi="Tahoma" w:cs="Tahoma"/>
          <w:bCs/>
          <w:color w:val="000000"/>
          <w:sz w:val="18"/>
          <w:szCs w:val="18"/>
        </w:rPr>
        <w:t xml:space="preserve">iscrizione o di un contratto triennale completo. Le società che acquistano una copertura Software Assurance di durata annuale </w:t>
      </w:r>
      <w:r w:rsidRPr="0058047D">
        <w:rPr>
          <w:rFonts w:ascii="Tahoma" w:hAnsi="Tahoma" w:cs="Tahoma"/>
          <w:color w:val="000000"/>
          <w:sz w:val="18"/>
          <w:szCs w:val="18"/>
        </w:rPr>
        <w:t>riceveranno un terzo del numero dichiarato di giorni di servizio. Le società che acquistano una copertura Software Assurance di durata biennale riceveranno due terzi del numero dichiarato di giorni di servizio.</w:t>
      </w:r>
      <w:r w:rsidR="00E34ED3" w:rsidRPr="0058047D">
        <w:rPr>
          <w:rFonts w:ascii="Tahoma" w:hAnsi="Tahoma" w:cs="Tahoma"/>
          <w:color w:val="000000"/>
          <w:sz w:val="18"/>
          <w:szCs w:val="18"/>
        </w:rPr>
        <w:t xml:space="preserve"> </w:t>
      </w:r>
    </w:p>
    <w:p w14:paraId="1041FE29" w14:textId="77777777" w:rsidR="0008036A" w:rsidRPr="0058047D" w:rsidRDefault="0008036A" w:rsidP="005A141F">
      <w:pPr>
        <w:pStyle w:val="AppendixBodyText"/>
        <w:spacing w:after="0"/>
      </w:pPr>
    </w:p>
    <w:p w14:paraId="4EC03287" w14:textId="77777777" w:rsidR="00023FE7" w:rsidRPr="0058047D" w:rsidRDefault="00023FE7">
      <w:pPr>
        <w:pStyle w:val="AppendixBodyText"/>
      </w:pPr>
      <w:r w:rsidRPr="0058047D">
        <w:rPr>
          <w:rFonts w:ascii="Tahoma" w:hAnsi="Tahoma" w:cs="Tahoma"/>
          <w:bCs/>
          <w:color w:val="000000"/>
          <w:sz w:val="18"/>
        </w:rPr>
        <w:t>I deliverable completati inviati a Microsoft dal Provider Qualificato al termine dell</w:t>
      </w:r>
      <w:r w:rsidR="001C4212">
        <w:rPr>
          <w:rFonts w:ascii="Tahoma" w:hAnsi="Tahoma" w:cs="Tahoma"/>
          <w:bCs/>
          <w:color w:val="000000"/>
          <w:sz w:val="18"/>
        </w:rPr>
        <w:t>’</w:t>
      </w:r>
      <w:r w:rsidRPr="0058047D">
        <w:rPr>
          <w:rFonts w:ascii="Tahoma" w:hAnsi="Tahoma" w:cs="Tahoma"/>
          <w:bCs/>
          <w:color w:val="000000"/>
          <w:sz w:val="18"/>
        </w:rPr>
        <w:t>engagement potranno essere utilizzati da Microsoft per il controllo della qualità e a tale scopo potranno essere condivisi con il team dell</w:t>
      </w:r>
      <w:r w:rsidR="001C4212">
        <w:rPr>
          <w:rFonts w:ascii="Tahoma" w:hAnsi="Tahoma" w:cs="Tahoma"/>
          <w:bCs/>
          <w:color w:val="000000"/>
          <w:sz w:val="18"/>
        </w:rPr>
        <w:t>’</w:t>
      </w:r>
      <w:r w:rsidRPr="0058047D">
        <w:rPr>
          <w:rFonts w:ascii="Tahoma" w:hAnsi="Tahoma" w:cs="Tahoma"/>
          <w:bCs/>
          <w:color w:val="000000"/>
          <w:sz w:val="18"/>
        </w:rPr>
        <w:t>account Microsoft della società.</w:t>
      </w:r>
    </w:p>
    <w:p w14:paraId="3E5F3165" w14:textId="77777777" w:rsidR="00023FE7" w:rsidRDefault="00023FE7" w:rsidP="005A141F">
      <w:pPr>
        <w:pStyle w:val="AppendixBodyText"/>
        <w:spacing w:after="0"/>
      </w:pPr>
    </w:p>
    <w:p w14:paraId="64F6CD0D" w14:textId="77777777" w:rsidR="00A13D1D" w:rsidRPr="00A13D1D" w:rsidRDefault="00A13D1D" w:rsidP="00A13D1D">
      <w:pPr>
        <w:pStyle w:val="Heading3"/>
        <w:rPr>
          <w:rFonts w:ascii="Tahoma" w:hAnsi="Tahoma" w:cs="Tahoma"/>
          <w:bCs/>
          <w:sz w:val="24"/>
          <w:szCs w:val="24"/>
          <w:lang w:val="it-IT"/>
        </w:rPr>
      </w:pPr>
      <w:r w:rsidRPr="00A13D1D">
        <w:rPr>
          <w:rFonts w:ascii="Tahoma" w:hAnsi="Tahoma" w:cs="Tahoma"/>
          <w:sz w:val="24"/>
          <w:szCs w:val="24"/>
          <w:lang w:val="it-IT"/>
        </w:rPr>
        <w:t xml:space="preserve">Windows Embedded 8.1 Industry Enterprise </w:t>
      </w:r>
    </w:p>
    <w:p w14:paraId="6B2551FF" w14:textId="77777777" w:rsidR="00A13D1D" w:rsidRDefault="00A13D1D" w:rsidP="00A13D1D">
      <w:pPr>
        <w:spacing w:after="60"/>
        <w:jc w:val="both"/>
        <w:rPr>
          <w:rFonts w:cs="Tahoma"/>
          <w:b/>
          <w:szCs w:val="18"/>
          <w:lang w:val="it-IT"/>
        </w:rPr>
      </w:pPr>
    </w:p>
    <w:p w14:paraId="11C7A185" w14:textId="77777777" w:rsidR="00A13D1D" w:rsidRPr="00A13D1D" w:rsidRDefault="00A13D1D" w:rsidP="00A13D1D">
      <w:pPr>
        <w:spacing w:after="60"/>
        <w:jc w:val="both"/>
        <w:rPr>
          <w:rFonts w:cs="Tahoma"/>
          <w:b/>
          <w:szCs w:val="18"/>
          <w:lang w:val="it-IT"/>
        </w:rPr>
      </w:pPr>
      <w:r w:rsidRPr="00A13D1D">
        <w:rPr>
          <w:rFonts w:cs="Tahoma"/>
          <w:b/>
          <w:szCs w:val="18"/>
          <w:lang w:val="it-IT"/>
        </w:rPr>
        <w:t>Società con Software Assurance idonee</w:t>
      </w:r>
    </w:p>
    <w:p w14:paraId="328C24CA" w14:textId="77777777" w:rsidR="00A13D1D" w:rsidRPr="00A13D1D" w:rsidRDefault="00A13D1D" w:rsidP="00A13D1D">
      <w:pPr>
        <w:jc w:val="both"/>
        <w:rPr>
          <w:rFonts w:cs="Tahoma"/>
          <w:szCs w:val="18"/>
          <w:lang w:val="it-IT"/>
        </w:rPr>
      </w:pPr>
      <w:r w:rsidRPr="00A13D1D">
        <w:rPr>
          <w:rFonts w:cs="Tahoma"/>
          <w:szCs w:val="18"/>
          <w:lang w:val="it-IT"/>
        </w:rPr>
        <w:t>Le società con copertura Software Assurance attiva per Windows Embedded 8.1 Industry Pro sono idonee a ricevere questo vantaggio. La copertura Software Assurance per Windows Embedded 8.1 Industry Pro su un dispositivo con licenza offre alle società la possibilità di utilizzare Windows Embedded 8.1 Industry Enterprise anziché Windows Embedded 8.1 Industry Pro su tale dispositivo.</w:t>
      </w:r>
    </w:p>
    <w:p w14:paraId="456C1912" w14:textId="77777777" w:rsidR="00A13D1D" w:rsidRPr="00A13D1D" w:rsidRDefault="00A13D1D" w:rsidP="00A13D1D">
      <w:pPr>
        <w:jc w:val="both"/>
        <w:rPr>
          <w:rFonts w:cs="Tahoma"/>
          <w:szCs w:val="18"/>
          <w:lang w:val="it-IT"/>
        </w:rPr>
      </w:pPr>
    </w:p>
    <w:p w14:paraId="5F0AB083" w14:textId="77777777" w:rsidR="00A13D1D" w:rsidRPr="00A13D1D" w:rsidRDefault="00A13D1D" w:rsidP="00A13D1D">
      <w:pPr>
        <w:jc w:val="both"/>
        <w:rPr>
          <w:rFonts w:cs="Tahoma"/>
          <w:szCs w:val="18"/>
          <w:lang w:val="it-IT"/>
        </w:rPr>
      </w:pPr>
      <w:r w:rsidRPr="00A13D1D">
        <w:rPr>
          <w:rFonts w:cs="Tahoma"/>
          <w:szCs w:val="18"/>
          <w:lang w:val="it-IT"/>
        </w:rPr>
        <w:t xml:space="preserve">Le società con Software Assurance idonee dispongono dei diritti di utilizzo di Windows Embedded 8.1 Industry Enterprise descritti nei Diritti di Utilizzo del Prodotto. Le società potranno trasferire Windows Embedded 8.1 Industry Enterprise dal dispositivo con licenza a un altro dispositivo, solo nel caso in cui sia consentita anche la riassegnazione della copertura Software Assurance. </w:t>
      </w:r>
    </w:p>
    <w:p w14:paraId="38227DC9" w14:textId="77777777" w:rsidR="00A13D1D" w:rsidRDefault="00A13D1D" w:rsidP="005A141F">
      <w:pPr>
        <w:pStyle w:val="AppendixBodyText"/>
        <w:spacing w:after="0"/>
      </w:pPr>
    </w:p>
    <w:p w14:paraId="1E406CF3" w14:textId="77777777" w:rsidR="00A13D1D" w:rsidRPr="0058047D" w:rsidRDefault="00A13D1D" w:rsidP="005A141F">
      <w:pPr>
        <w:pStyle w:val="AppendixBodyText"/>
        <w:spacing w:after="0"/>
      </w:pPr>
    </w:p>
    <w:p w14:paraId="28A07375" w14:textId="77777777" w:rsidR="00023FE7" w:rsidRPr="0058047D" w:rsidRDefault="00023FE7">
      <w:pPr>
        <w:pStyle w:val="Heading3"/>
      </w:pPr>
      <w:bookmarkStart w:id="713" w:name="_Toc328145999"/>
      <w:bookmarkStart w:id="714" w:name="_Toc336338230"/>
      <w:bookmarkStart w:id="715" w:name="_Toc371663624"/>
      <w:r w:rsidRPr="0058047D">
        <w:rPr>
          <w:rFonts w:ascii="Tahoma" w:hAnsi="Tahoma"/>
          <w:sz w:val="24"/>
        </w:rPr>
        <w:t>Windows 8</w:t>
      </w:r>
      <w:r w:rsidR="00A13D1D">
        <w:rPr>
          <w:rFonts w:ascii="Tahoma" w:hAnsi="Tahoma"/>
          <w:sz w:val="24"/>
        </w:rPr>
        <w:t>.1</w:t>
      </w:r>
      <w:r w:rsidRPr="0058047D">
        <w:rPr>
          <w:rFonts w:ascii="Tahoma" w:hAnsi="Tahoma"/>
          <w:sz w:val="24"/>
        </w:rPr>
        <w:t xml:space="preserve"> Enterprise</w:t>
      </w:r>
      <w:bookmarkEnd w:id="713"/>
      <w:bookmarkEnd w:id="714"/>
      <w:bookmarkEnd w:id="715"/>
      <w:r w:rsidRPr="0058047D">
        <w:rPr>
          <w:rFonts w:ascii="Tahoma" w:hAnsi="Tahoma"/>
          <w:sz w:val="24"/>
        </w:rPr>
        <w:t xml:space="preserve"> </w:t>
      </w:r>
    </w:p>
    <w:p w14:paraId="2E7A066E" w14:textId="77777777" w:rsidR="00023FE7" w:rsidRPr="0058047D" w:rsidRDefault="00023FE7" w:rsidP="00077CE5">
      <w:pPr>
        <w:pStyle w:val="AppendixBodyText"/>
        <w:spacing w:after="0"/>
      </w:pPr>
    </w:p>
    <w:p w14:paraId="1A5562E9" w14:textId="77777777" w:rsidR="005A141F" w:rsidRPr="0058047D" w:rsidRDefault="00324479" w:rsidP="005A141F">
      <w:pPr>
        <w:spacing w:after="60"/>
        <w:jc w:val="both"/>
      </w:pPr>
      <w:r w:rsidRPr="0058047D">
        <w:rPr>
          <w:rFonts w:cs="Tahoma"/>
          <w:b/>
          <w:szCs w:val="18"/>
        </w:rPr>
        <w:t>Società con Software Assurance idonee</w:t>
      </w:r>
    </w:p>
    <w:p w14:paraId="58C039EB" w14:textId="77777777" w:rsidR="00324479" w:rsidRPr="0058047D" w:rsidRDefault="00324479" w:rsidP="00324479">
      <w:pPr>
        <w:jc w:val="both"/>
      </w:pPr>
      <w:r w:rsidRPr="0058047D">
        <w:rPr>
          <w:rFonts w:cs="Tahoma"/>
          <w:szCs w:val="18"/>
        </w:rPr>
        <w:t>Le società con copertura Software Assurance attiva per il sistema operativo desktop Windows sono idonee a ricevere questo vantaggio. La copertura Software Assurance per il sistema operativo desktop Windows su un dispositivo con licenza offre alle società la possibilità di utilizzare Windows 8</w:t>
      </w:r>
      <w:r w:rsidR="00A13D1D">
        <w:rPr>
          <w:rFonts w:cs="Tahoma"/>
          <w:szCs w:val="18"/>
        </w:rPr>
        <w:t>.1</w:t>
      </w:r>
      <w:r w:rsidRPr="0058047D">
        <w:rPr>
          <w:rFonts w:cs="Tahoma"/>
          <w:szCs w:val="18"/>
        </w:rPr>
        <w:t xml:space="preserve"> Enterprise anziché Windows 8</w:t>
      </w:r>
      <w:r w:rsidR="00A13D1D">
        <w:rPr>
          <w:rFonts w:cs="Tahoma"/>
          <w:szCs w:val="18"/>
        </w:rPr>
        <w:t>.1</w:t>
      </w:r>
      <w:r w:rsidRPr="0058047D">
        <w:rPr>
          <w:rFonts w:cs="Tahoma"/>
          <w:szCs w:val="18"/>
        </w:rPr>
        <w:t xml:space="preserve"> Pro su tale dispositivo.</w:t>
      </w:r>
    </w:p>
    <w:p w14:paraId="617ACBD4" w14:textId="77777777" w:rsidR="00324479" w:rsidRPr="0058047D" w:rsidRDefault="00324479" w:rsidP="00324479">
      <w:pPr>
        <w:jc w:val="both"/>
      </w:pPr>
    </w:p>
    <w:p w14:paraId="3EEA6D97" w14:textId="77777777" w:rsidR="00324479" w:rsidRPr="0058047D" w:rsidRDefault="00324479" w:rsidP="00324479">
      <w:pPr>
        <w:jc w:val="both"/>
      </w:pPr>
      <w:r w:rsidRPr="0058047D">
        <w:rPr>
          <w:rFonts w:cs="Tahoma"/>
          <w:szCs w:val="18"/>
        </w:rPr>
        <w:t>Le società Software Assurance idonee dispongono dei diritti di utilizzare Windows 8</w:t>
      </w:r>
      <w:r w:rsidR="00A13D1D">
        <w:rPr>
          <w:rFonts w:cs="Tahoma"/>
          <w:szCs w:val="18"/>
        </w:rPr>
        <w:t>.1</w:t>
      </w:r>
      <w:r w:rsidRPr="0058047D">
        <w:rPr>
          <w:rFonts w:cs="Tahoma"/>
          <w:szCs w:val="18"/>
        </w:rPr>
        <w:t xml:space="preserve"> Enterprise come descritto nei Diritti di Utilizzo del Prodotto. Le società non possono trasferire Windows 8</w:t>
      </w:r>
      <w:r w:rsidR="00A13D1D">
        <w:rPr>
          <w:rFonts w:cs="Tahoma"/>
          <w:szCs w:val="18"/>
        </w:rPr>
        <w:t>.1</w:t>
      </w:r>
      <w:r w:rsidRPr="0058047D">
        <w:rPr>
          <w:rFonts w:cs="Tahoma"/>
          <w:szCs w:val="18"/>
        </w:rPr>
        <w:t xml:space="preserve"> Enterprise dal dispositivo concesso in licenza a un altro dispositivo, se non in combinazione con la riassegnazione consentita della copertura Software Assurance. </w:t>
      </w:r>
    </w:p>
    <w:p w14:paraId="427B1112" w14:textId="77777777" w:rsidR="00324479" w:rsidRPr="0058047D" w:rsidRDefault="00324479" w:rsidP="00324479">
      <w:pPr>
        <w:jc w:val="both"/>
      </w:pPr>
    </w:p>
    <w:p w14:paraId="064AC9DE" w14:textId="77777777" w:rsidR="005A141F" w:rsidRPr="0058047D" w:rsidRDefault="00324479" w:rsidP="00862623">
      <w:pPr>
        <w:keepNext/>
        <w:spacing w:after="60"/>
        <w:jc w:val="both"/>
      </w:pPr>
      <w:r w:rsidRPr="0058047D">
        <w:rPr>
          <w:rFonts w:cs="Tahoma"/>
          <w:b/>
          <w:szCs w:val="18"/>
        </w:rPr>
        <w:t>Società con i Vantaggi dei Servizi Online idonee</w:t>
      </w:r>
    </w:p>
    <w:p w14:paraId="7E2EF374" w14:textId="77777777" w:rsidR="00324479" w:rsidRPr="0058047D" w:rsidRDefault="0071258F" w:rsidP="00324479">
      <w:pPr>
        <w:jc w:val="both"/>
      </w:pPr>
      <w:r w:rsidRPr="0058047D">
        <w:rPr>
          <w:rFonts w:cs="Tahoma"/>
          <w:szCs w:val="18"/>
        </w:rPr>
        <w:t>Le società con Windows Intune (Per Dispositivo) dispongono dei diritti di utilizzare Windows 8</w:t>
      </w:r>
      <w:r w:rsidR="00A13D1D">
        <w:rPr>
          <w:rFonts w:cs="Tahoma"/>
          <w:szCs w:val="18"/>
        </w:rPr>
        <w:t>.1</w:t>
      </w:r>
      <w:r w:rsidRPr="0058047D">
        <w:rPr>
          <w:rFonts w:cs="Tahoma"/>
          <w:szCs w:val="18"/>
        </w:rPr>
        <w:t xml:space="preserve"> Enterprise come descritto nei Diritti di Utilizzo del Prodotto. Vedere l</w:t>
      </w:r>
      <w:r w:rsidR="001C4212">
        <w:rPr>
          <w:rFonts w:cs="Tahoma"/>
          <w:szCs w:val="18"/>
        </w:rPr>
        <w:t>’</w:t>
      </w:r>
      <w:r w:rsidRPr="0058047D">
        <w:rPr>
          <w:rFonts w:cs="Tahoma"/>
          <w:szCs w:val="18"/>
        </w:rPr>
        <w:t>Articolo Note del Prodotto della presente Lista dei Prodotti per le condizioni applicabili all</w:t>
      </w:r>
      <w:r w:rsidR="001C4212">
        <w:rPr>
          <w:rFonts w:cs="Tahoma"/>
          <w:szCs w:val="18"/>
        </w:rPr>
        <w:t>’</w:t>
      </w:r>
      <w:r w:rsidRPr="0058047D">
        <w:rPr>
          <w:rFonts w:cs="Tahoma"/>
          <w:szCs w:val="18"/>
        </w:rPr>
        <w:t>acquisto e alla riassegnazione di licenze per Windows Intune (Per Dispositivo).</w:t>
      </w:r>
    </w:p>
    <w:p w14:paraId="6A3EB6FA" w14:textId="77777777" w:rsidR="005A141F" w:rsidRPr="0058047D" w:rsidDel="008900EB" w:rsidRDefault="005A141F" w:rsidP="00324479">
      <w:pPr>
        <w:jc w:val="both"/>
      </w:pPr>
    </w:p>
    <w:p w14:paraId="02FE8F2F" w14:textId="77777777" w:rsidR="00324479" w:rsidRPr="00A13D1D" w:rsidRDefault="00A13D1D" w:rsidP="00324479">
      <w:pPr>
        <w:spacing w:after="60"/>
        <w:rPr>
          <w:szCs w:val="18"/>
        </w:rPr>
      </w:pPr>
      <w:r w:rsidRPr="00A13D1D">
        <w:rPr>
          <w:rFonts w:cs="Tahoma"/>
          <w:szCs w:val="18"/>
          <w:lang w:val="it-IT"/>
        </w:rPr>
        <w:t>Le società che dispongono di Software Assurance e di Windows Intune (Per Dispositivo) sono autorizzate a utilizzare l’edizione MUI (Multilingual User Interface) delle versioni precedenti del sistema operativo desktop Windows al posto di Windows 8.1 Enterprise, ma non possono attribuirsi i diritti MUI di Windows 8.1 Pro e utilizzarli con Windows 7 Pro. I diritti MUI per Windows 7 sono ottenibili solo tramite Windows 7 Enterprise.</w:t>
      </w:r>
    </w:p>
    <w:p w14:paraId="7AC7A2F0" w14:textId="77777777" w:rsidR="00870095" w:rsidRPr="0058047D" w:rsidRDefault="00870095" w:rsidP="005A141F">
      <w:pPr>
        <w:pStyle w:val="Heading3"/>
        <w:spacing w:after="60"/>
      </w:pPr>
    </w:p>
    <w:p w14:paraId="57C2B91D" w14:textId="77777777" w:rsidR="00870095" w:rsidRPr="0058047D" w:rsidRDefault="00870095" w:rsidP="005A141F">
      <w:pPr>
        <w:pStyle w:val="Heading3"/>
        <w:spacing w:after="60"/>
      </w:pPr>
      <w:bookmarkStart w:id="716" w:name="_Toc336338231"/>
      <w:bookmarkStart w:id="717" w:name="_Toc371663625"/>
      <w:r w:rsidRPr="0058047D">
        <w:rPr>
          <w:rFonts w:ascii="Tahoma" w:hAnsi="Tahoma"/>
          <w:sz w:val="18"/>
        </w:rPr>
        <w:t>Enterprise Sideloading</w:t>
      </w:r>
      <w:bookmarkEnd w:id="716"/>
      <w:bookmarkEnd w:id="717"/>
    </w:p>
    <w:p w14:paraId="64447BE7" w14:textId="77777777" w:rsidR="00810479" w:rsidRPr="0058047D" w:rsidRDefault="00870095" w:rsidP="00991DD4">
      <w:pPr>
        <w:jc w:val="both"/>
      </w:pPr>
      <w:r w:rsidRPr="0058047D">
        <w:rPr>
          <w:rFonts w:cs="Tahoma"/>
          <w:szCs w:val="18"/>
        </w:rPr>
        <w:t>Informazioni sul prodotto Windows 8</w:t>
      </w:r>
      <w:r w:rsidR="00A13D1D">
        <w:rPr>
          <w:rFonts w:cs="Tahoma"/>
          <w:szCs w:val="18"/>
        </w:rPr>
        <w:t>.1</w:t>
      </w:r>
      <w:r w:rsidRPr="0058047D">
        <w:rPr>
          <w:rFonts w:cs="Tahoma"/>
          <w:szCs w:val="18"/>
        </w:rPr>
        <w:t xml:space="preserve"> Enterprise Sideloading </w:t>
      </w:r>
      <w:r w:rsidR="00B76EEE" w:rsidRPr="00B76EEE">
        <w:rPr>
          <w:rFonts w:cs="Tahoma"/>
          <w:szCs w:val="18"/>
        </w:rPr>
        <w:t>Enterprise Sideloading per Windows Embedded 8.1</w:t>
      </w:r>
      <w:r w:rsidR="00B76EEE">
        <w:rPr>
          <w:rFonts w:cs="Tahoma"/>
          <w:sz w:val="14"/>
        </w:rPr>
        <w:t xml:space="preserve"> </w:t>
      </w:r>
      <w:r w:rsidRPr="0058047D">
        <w:rPr>
          <w:rFonts w:cs="Tahoma"/>
          <w:szCs w:val="18"/>
        </w:rPr>
        <w:t>sono disponibili nell</w:t>
      </w:r>
      <w:r w:rsidR="001C4212">
        <w:rPr>
          <w:rFonts w:cs="Tahoma"/>
          <w:szCs w:val="18"/>
        </w:rPr>
        <w:t>’</w:t>
      </w:r>
      <w:r w:rsidRPr="0058047D">
        <w:rPr>
          <w:rFonts w:cs="Tahoma"/>
          <w:szCs w:val="18"/>
        </w:rPr>
        <w:t>Articolo “Note del Prodotto” del</w:t>
      </w:r>
      <w:r w:rsidR="00856C12">
        <w:rPr>
          <w:rFonts w:cs="Tahoma"/>
          <w:szCs w:val="18"/>
        </w:rPr>
        <w:t> </w:t>
      </w:r>
      <w:r w:rsidRPr="0058047D">
        <w:rPr>
          <w:rFonts w:cs="Tahoma"/>
          <w:szCs w:val="18"/>
        </w:rPr>
        <w:t>presente documento.</w:t>
      </w:r>
    </w:p>
    <w:p w14:paraId="32523C1D" w14:textId="77777777" w:rsidR="00BD1A6A" w:rsidRPr="0058047D" w:rsidRDefault="00BD1A6A">
      <w:bookmarkStart w:id="718" w:name="_Toc336338232"/>
    </w:p>
    <w:p w14:paraId="17D8ED4B" w14:textId="77777777" w:rsidR="00EA1BE9" w:rsidRPr="0058047D" w:rsidRDefault="00EA1BE9" w:rsidP="005A141F">
      <w:pPr>
        <w:pStyle w:val="Heading3"/>
        <w:spacing w:after="60"/>
      </w:pPr>
      <w:bookmarkStart w:id="719" w:name="_Toc371663626"/>
      <w:r w:rsidRPr="0058047D">
        <w:rPr>
          <w:rFonts w:ascii="Tahoma" w:hAnsi="Tahoma"/>
          <w:sz w:val="18"/>
        </w:rPr>
        <w:t>Licenza “Subscription” per Windows Companion</w:t>
      </w:r>
      <w:bookmarkEnd w:id="718"/>
      <w:bookmarkEnd w:id="719"/>
    </w:p>
    <w:p w14:paraId="78141808" w14:textId="77777777" w:rsidR="00EA1BE9" w:rsidRPr="0058047D" w:rsidRDefault="00EA1BE9" w:rsidP="00870095">
      <w:pPr>
        <w:jc w:val="both"/>
      </w:pPr>
      <w:r w:rsidRPr="0058047D">
        <w:rPr>
          <w:rFonts w:cs="Tahoma"/>
          <w:szCs w:val="18"/>
        </w:rPr>
        <w:t>La nota relativa alla Licenza “Subscription” per Windows Companion è disponibile nell</w:t>
      </w:r>
      <w:r w:rsidR="001C4212">
        <w:rPr>
          <w:rFonts w:cs="Tahoma"/>
          <w:szCs w:val="18"/>
        </w:rPr>
        <w:t>’</w:t>
      </w:r>
      <w:r w:rsidRPr="0058047D">
        <w:rPr>
          <w:rFonts w:cs="Tahoma"/>
          <w:szCs w:val="18"/>
        </w:rPr>
        <w:t>Articolo “Note del Prodotto” del</w:t>
      </w:r>
      <w:r w:rsidR="00856C12">
        <w:rPr>
          <w:rFonts w:cs="Tahoma"/>
          <w:szCs w:val="18"/>
        </w:rPr>
        <w:t> </w:t>
      </w:r>
      <w:r w:rsidRPr="0058047D">
        <w:rPr>
          <w:rFonts w:cs="Tahoma"/>
          <w:szCs w:val="18"/>
        </w:rPr>
        <w:t>presente documento.</w:t>
      </w:r>
    </w:p>
    <w:p w14:paraId="35EAD72E" w14:textId="77777777" w:rsidR="00870095" w:rsidRPr="0058047D" w:rsidRDefault="00870095" w:rsidP="003C56F1">
      <w:pPr>
        <w:jc w:val="both"/>
      </w:pPr>
    </w:p>
    <w:p w14:paraId="0D4DC553" w14:textId="77777777" w:rsidR="00023FE7" w:rsidRPr="0058047D" w:rsidRDefault="00023FE7">
      <w:pPr>
        <w:pStyle w:val="Heading3"/>
      </w:pPr>
      <w:bookmarkStart w:id="720" w:name="_Toc328146000"/>
      <w:bookmarkStart w:id="721" w:name="_Toc336338233"/>
      <w:bookmarkStart w:id="722" w:name="_Toc371663627"/>
      <w:r w:rsidRPr="0058047D">
        <w:rPr>
          <w:rFonts w:ascii="Tahoma" w:hAnsi="Tahoma" w:cs="Tahoma"/>
          <w:sz w:val="24"/>
        </w:rPr>
        <w:t>Voucher Corsi</w:t>
      </w:r>
      <w:bookmarkEnd w:id="720"/>
      <w:bookmarkEnd w:id="721"/>
      <w:bookmarkEnd w:id="722"/>
    </w:p>
    <w:p w14:paraId="7B97AACF" w14:textId="77777777" w:rsidR="00023FE7" w:rsidRPr="0058047D" w:rsidRDefault="00023FE7" w:rsidP="003C56F1">
      <w:pPr>
        <w:pStyle w:val="AppendixBodyText"/>
        <w:spacing w:after="0"/>
      </w:pPr>
    </w:p>
    <w:p w14:paraId="0480C71B" w14:textId="77777777" w:rsidR="00023FE7" w:rsidRPr="0058047D" w:rsidRDefault="008A15A8" w:rsidP="00F528E5">
      <w:pPr>
        <w:pStyle w:val="AppendixBodyText"/>
        <w:spacing w:after="0"/>
      </w:pPr>
      <w:r w:rsidRPr="0058047D">
        <w:rPr>
          <w:rFonts w:ascii="Tahoma" w:hAnsi="Tahoma" w:cs="Tahoma"/>
          <w:sz w:val="18"/>
          <w:szCs w:val="18"/>
        </w:rPr>
        <w:t>Le società che non siano società con Contratti Academic Select, Select Plus for Academic, Open Value Subscription - Education Solutions, Campus e School, ma con Partecipazione a Software Assurance per i prodotti del pool di applicazioni o sistemi, sono idonee a ricevere i voucher corsi di Microsoft.</w:t>
      </w:r>
      <w:r w:rsidR="00E34ED3" w:rsidRPr="0058047D">
        <w:rPr>
          <w:rFonts w:ascii="Tahoma" w:hAnsi="Tahoma" w:cs="Tahoma"/>
          <w:sz w:val="18"/>
          <w:szCs w:val="18"/>
        </w:rPr>
        <w:t xml:space="preserve"> </w:t>
      </w:r>
      <w:r w:rsidRPr="0058047D">
        <w:rPr>
          <w:rFonts w:ascii="Tahoma" w:hAnsi="Tahoma" w:cs="Tahoma"/>
          <w:sz w:val="18"/>
          <w:szCs w:val="18"/>
        </w:rPr>
        <w:t>I voucher autorizzano le società a ricevere corsi tenuti da un Partner Microsoft in possesso di una Competenza Learning (Microsoft Learning Partner) per un</w:t>
      </w:r>
      <w:r w:rsidR="00856C12">
        <w:rPr>
          <w:rFonts w:ascii="Tahoma" w:hAnsi="Tahoma" w:cs="Tahoma"/>
          <w:sz w:val="18"/>
          <w:szCs w:val="18"/>
        </w:rPr>
        <w:t> </w:t>
      </w:r>
      <w:r w:rsidRPr="0058047D">
        <w:rPr>
          <w:rFonts w:ascii="Tahoma" w:hAnsi="Tahoma" w:cs="Tahoma"/>
          <w:sz w:val="18"/>
          <w:szCs w:val="18"/>
        </w:rPr>
        <w:t>numero specifico di giorni.</w:t>
      </w:r>
      <w:r w:rsidR="00E34ED3" w:rsidRPr="0058047D">
        <w:rPr>
          <w:rFonts w:ascii="Tahoma" w:hAnsi="Tahoma" w:cs="Tahoma"/>
          <w:sz w:val="18"/>
          <w:szCs w:val="18"/>
        </w:rPr>
        <w:t xml:space="preserve"> </w:t>
      </w:r>
      <w:r w:rsidRPr="0058047D">
        <w:rPr>
          <w:rFonts w:ascii="Tahoma" w:hAnsi="Tahoma" w:cs="Tahoma"/>
          <w:sz w:val="18"/>
          <w:szCs w:val="18"/>
        </w:rPr>
        <w:t>Il numero di giorni consentiti varia in base al programma e al numero di licenze qualificanti per le quali è stata acquistata la copertura Software Assurance.</w:t>
      </w:r>
      <w:r w:rsidR="00E34ED3" w:rsidRPr="0058047D">
        <w:rPr>
          <w:rFonts w:ascii="Tahoma" w:hAnsi="Tahoma" w:cs="Tahoma"/>
          <w:sz w:val="18"/>
          <w:szCs w:val="18"/>
        </w:rPr>
        <w:t xml:space="preserve"> </w:t>
      </w:r>
      <w:r w:rsidRPr="0058047D">
        <w:rPr>
          <w:rFonts w:ascii="Tahoma" w:hAnsi="Tahoma" w:cs="Tahoma"/>
          <w:sz w:val="18"/>
          <w:szCs w:val="18"/>
        </w:rPr>
        <w:t xml:space="preserve">Dopo che il Gestore del Vantaggio dei Voucher Corsi ha attivato il vantaggio Voucher Corsi tramite lo strumento Volume Licensing Service Center (VLSC), </w:t>
      </w:r>
      <w:r w:rsidR="00856C12">
        <w:rPr>
          <w:rFonts w:ascii="Tahoma" w:hAnsi="Tahoma" w:cs="Tahoma"/>
          <w:sz w:val="18"/>
          <w:szCs w:val="18"/>
        </w:rPr>
        <w:t>I </w:t>
      </w:r>
      <w:r w:rsidRPr="0058047D">
        <w:rPr>
          <w:rFonts w:ascii="Tahoma" w:hAnsi="Tahoma" w:cs="Tahoma"/>
          <w:sz w:val="18"/>
          <w:szCs w:val="18"/>
        </w:rPr>
        <w:t>Voucher Corsi possono essere assegnati a singoli utenti designati dal Gestore del Vantaggio dei Voucher Corsi della</w:t>
      </w:r>
      <w:r w:rsidR="009E3FD7">
        <w:rPr>
          <w:rFonts w:ascii="Tahoma" w:hAnsi="Tahoma" w:cs="Tahoma"/>
          <w:sz w:val="18"/>
          <w:szCs w:val="18"/>
        </w:rPr>
        <w:t> </w:t>
      </w:r>
      <w:r w:rsidRPr="0058047D">
        <w:rPr>
          <w:rFonts w:ascii="Tahoma" w:hAnsi="Tahoma" w:cs="Tahoma"/>
          <w:sz w:val="18"/>
          <w:szCs w:val="18"/>
        </w:rPr>
        <w:t>società.</w:t>
      </w:r>
    </w:p>
    <w:tbl>
      <w:tblPr>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58047D" w14:paraId="4EDA7D84" w14:textId="77777777" w:rsidTr="009E3FD7">
        <w:trPr>
          <w:cantSplit/>
          <w:trHeight w:val="531"/>
        </w:trPr>
        <w:tc>
          <w:tcPr>
            <w:tcW w:w="3002" w:type="dxa"/>
            <w:shd w:val="clear" w:color="auto" w:fill="FFCC99"/>
            <w:vAlign w:val="center"/>
          </w:tcPr>
          <w:p w14:paraId="5B630CAE" w14:textId="77777777" w:rsidR="00F76ED4" w:rsidRPr="0058047D" w:rsidRDefault="00F76ED4" w:rsidP="009E3FD7">
            <w:pPr>
              <w:pStyle w:val="AppendixTableHeadings"/>
              <w:keepNext/>
              <w:rPr>
                <w:rFonts w:ascii="Tahoma" w:hAnsi="Tahoma" w:cs="Tahoma"/>
                <w:sz w:val="20"/>
                <w:szCs w:val="20"/>
              </w:rPr>
            </w:pPr>
            <w:r w:rsidRPr="0058047D">
              <w:rPr>
                <w:rFonts w:ascii="Tahoma" w:hAnsi="Tahoma" w:cs="Tahoma"/>
                <w:sz w:val="20"/>
                <w:szCs w:val="20"/>
              </w:rPr>
              <w:t>Programma</w:t>
            </w:r>
          </w:p>
        </w:tc>
        <w:tc>
          <w:tcPr>
            <w:tcW w:w="3150" w:type="dxa"/>
            <w:shd w:val="clear" w:color="auto" w:fill="FFCC99"/>
            <w:vAlign w:val="center"/>
          </w:tcPr>
          <w:p w14:paraId="01EA600F" w14:textId="77777777" w:rsidR="00F76ED4" w:rsidRPr="0058047D" w:rsidRDefault="00F76ED4" w:rsidP="009E3FD7">
            <w:pPr>
              <w:pStyle w:val="AppendixTableHeadings"/>
              <w:keepNext/>
              <w:rPr>
                <w:rFonts w:ascii="Tahoma" w:hAnsi="Tahoma" w:cs="Tahoma"/>
                <w:sz w:val="20"/>
                <w:szCs w:val="20"/>
              </w:rPr>
            </w:pPr>
            <w:r w:rsidRPr="0058047D">
              <w:rPr>
                <w:rFonts w:ascii="Tahoma" w:hAnsi="Tahoma" w:cs="Tahoma"/>
                <w:sz w:val="20"/>
                <w:szCs w:val="20"/>
              </w:rPr>
              <w:t>Prodotti del Pool di Applicazioni Office System</w:t>
            </w:r>
            <w:r w:rsidRPr="0058047D">
              <w:rPr>
                <w:rFonts w:ascii="Tahoma" w:hAnsi="Tahoma" w:cs="Tahoma"/>
                <w:b w:val="0"/>
                <w:i/>
                <w:sz w:val="20"/>
                <w:szCs w:val="20"/>
              </w:rPr>
              <w:t xml:space="preserve"> </w:t>
            </w:r>
          </w:p>
        </w:tc>
        <w:tc>
          <w:tcPr>
            <w:tcW w:w="3240" w:type="dxa"/>
            <w:shd w:val="clear" w:color="auto" w:fill="FFCC99"/>
            <w:vAlign w:val="center"/>
          </w:tcPr>
          <w:p w14:paraId="1773C1B2" w14:textId="77777777" w:rsidR="00F76ED4" w:rsidRPr="0058047D" w:rsidRDefault="00F76ED4" w:rsidP="009E3FD7">
            <w:pPr>
              <w:pStyle w:val="AppendixTableHeadings"/>
              <w:keepNext/>
              <w:rPr>
                <w:rFonts w:ascii="Tahoma" w:hAnsi="Tahoma" w:cs="Tahoma"/>
                <w:sz w:val="20"/>
                <w:szCs w:val="20"/>
              </w:rPr>
            </w:pPr>
            <w:r w:rsidRPr="0058047D">
              <w:rPr>
                <w:rFonts w:ascii="Tahoma" w:hAnsi="Tahoma" w:cs="Tahoma"/>
                <w:sz w:val="20"/>
                <w:szCs w:val="20"/>
              </w:rPr>
              <w:t>Pool di Sistemi</w:t>
            </w:r>
          </w:p>
        </w:tc>
      </w:tr>
      <w:tr w:rsidR="00F76ED4" w:rsidRPr="0058047D" w14:paraId="60E1D425" w14:textId="77777777" w:rsidTr="009E3FD7">
        <w:trPr>
          <w:cantSplit/>
          <w:trHeight w:val="236"/>
        </w:trPr>
        <w:tc>
          <w:tcPr>
            <w:tcW w:w="3002" w:type="dxa"/>
            <w:vAlign w:val="center"/>
          </w:tcPr>
          <w:p w14:paraId="2F0E161C" w14:textId="77777777" w:rsidR="00F76ED4" w:rsidRPr="0058047D" w:rsidRDefault="00F76ED4" w:rsidP="009E3FD7">
            <w:pPr>
              <w:pStyle w:val="AppendixTableText"/>
              <w:keepNext/>
              <w:rPr>
                <w:rFonts w:ascii="Tahoma" w:hAnsi="Tahoma" w:cs="Tahoma"/>
              </w:rPr>
            </w:pPr>
            <w:r w:rsidRPr="0058047D">
              <w:rPr>
                <w:rFonts w:ascii="Tahoma" w:hAnsi="Tahoma" w:cs="Tahoma"/>
              </w:rPr>
              <w:t>Open Value</w:t>
            </w:r>
          </w:p>
        </w:tc>
        <w:tc>
          <w:tcPr>
            <w:tcW w:w="3150" w:type="dxa"/>
            <w:vAlign w:val="center"/>
          </w:tcPr>
          <w:p w14:paraId="4A72EBE4" w14:textId="77777777" w:rsidR="00F76ED4" w:rsidRPr="0058047D" w:rsidRDefault="00F76ED4" w:rsidP="009E3FD7">
            <w:pPr>
              <w:pStyle w:val="AppendixTableText"/>
              <w:keepNext/>
              <w:rPr>
                <w:rFonts w:ascii="Tahoma" w:hAnsi="Tahoma" w:cs="Tahoma"/>
              </w:rPr>
            </w:pPr>
            <w:r w:rsidRPr="0058047D">
              <w:rPr>
                <w:rFonts w:ascii="Tahoma" w:hAnsi="Tahoma" w:cs="Tahoma"/>
              </w:rPr>
              <w:t xml:space="preserve">2 giorni per 50 licenze </w:t>
            </w:r>
            <w:r w:rsidR="009E3FD7">
              <w:rPr>
                <w:rFonts w:ascii="Tahoma" w:hAnsi="Tahoma" w:cs="Tahoma"/>
              </w:rPr>
              <w:br/>
            </w:r>
            <w:r w:rsidRPr="0058047D">
              <w:rPr>
                <w:rFonts w:ascii="Tahoma" w:hAnsi="Tahoma" w:cs="Tahoma"/>
              </w:rPr>
              <w:t>(massimo 20 giorni)</w:t>
            </w:r>
          </w:p>
        </w:tc>
        <w:tc>
          <w:tcPr>
            <w:tcW w:w="3240" w:type="dxa"/>
            <w:vAlign w:val="center"/>
          </w:tcPr>
          <w:p w14:paraId="35D05AC0" w14:textId="77777777" w:rsidR="00F76ED4" w:rsidRPr="0058047D" w:rsidRDefault="00F76ED4" w:rsidP="009E3FD7">
            <w:pPr>
              <w:pStyle w:val="AppendixTableText"/>
              <w:keepNext/>
            </w:pPr>
            <w:r w:rsidRPr="0058047D">
              <w:rPr>
                <w:rFonts w:ascii="Tahoma" w:hAnsi="Tahoma" w:cs="Tahoma"/>
              </w:rPr>
              <w:t>1 giorno per 50 licenze</w:t>
            </w:r>
          </w:p>
          <w:p w14:paraId="15365830" w14:textId="77777777" w:rsidR="00F76ED4" w:rsidRPr="0058047D" w:rsidRDefault="00F76ED4" w:rsidP="009E3FD7">
            <w:pPr>
              <w:pStyle w:val="AppendixTableText"/>
              <w:keepNext/>
              <w:rPr>
                <w:rFonts w:ascii="Tahoma" w:hAnsi="Tahoma" w:cs="Tahoma"/>
              </w:rPr>
            </w:pPr>
            <w:r w:rsidRPr="0058047D">
              <w:rPr>
                <w:rFonts w:ascii="Tahoma" w:hAnsi="Tahoma" w:cs="Tahoma"/>
              </w:rPr>
              <w:t>(massimo 10 giorni)</w:t>
            </w:r>
          </w:p>
        </w:tc>
      </w:tr>
      <w:tr w:rsidR="00F76ED4" w:rsidRPr="0058047D" w14:paraId="2275E907" w14:textId="77777777" w:rsidTr="009E3FD7">
        <w:trPr>
          <w:cantSplit/>
          <w:trHeight w:val="236"/>
        </w:trPr>
        <w:tc>
          <w:tcPr>
            <w:tcW w:w="3002" w:type="dxa"/>
            <w:vAlign w:val="center"/>
          </w:tcPr>
          <w:p w14:paraId="52947DCF" w14:textId="77777777" w:rsidR="00F76ED4" w:rsidRPr="0058047D" w:rsidRDefault="00F76ED4" w:rsidP="009E3FD7">
            <w:pPr>
              <w:pStyle w:val="AppendixTableHeadings"/>
              <w:keepNext/>
            </w:pPr>
            <w:r w:rsidRPr="0058047D">
              <w:rPr>
                <w:rFonts w:ascii="Tahoma" w:hAnsi="Tahoma" w:cs="Tahoma"/>
                <w:b w:val="0"/>
              </w:rPr>
              <w:t>SAM</w:t>
            </w:r>
          </w:p>
          <w:p w14:paraId="25AB5D65" w14:textId="77777777" w:rsidR="00F76ED4" w:rsidRPr="0058047D" w:rsidRDefault="00F76ED4" w:rsidP="009E3FD7">
            <w:pPr>
              <w:pStyle w:val="AppendixTableHeadings"/>
              <w:keepNext/>
              <w:rPr>
                <w:rFonts w:ascii="Tahoma" w:hAnsi="Tahoma" w:cs="Tahoma"/>
                <w:b w:val="0"/>
              </w:rPr>
            </w:pPr>
            <w:r w:rsidRPr="0058047D">
              <w:rPr>
                <w:rFonts w:ascii="Tahoma" w:hAnsi="Tahoma" w:cs="Tahoma"/>
                <w:b w:val="0"/>
              </w:rPr>
              <w:t>1</w:t>
            </w:r>
            <w:r w:rsidR="009E3FD7">
              <w:rPr>
                <w:rFonts w:ascii="Tahoma" w:hAnsi="Tahoma" w:cs="Tahoma"/>
                <w:b w:val="0"/>
              </w:rPr>
              <w:t xml:space="preserve"> </w:t>
            </w:r>
            <w:r w:rsidR="009E3FD7" w:rsidRPr="0058047D">
              <w:rPr>
                <w:rFonts w:ascii="Tahoma" w:hAnsi="Tahoma" w:cs="Tahoma"/>
              </w:rPr>
              <w:t>–</w:t>
            </w:r>
            <w:r w:rsidR="009E3FD7">
              <w:rPr>
                <w:rFonts w:ascii="Tahoma" w:hAnsi="Tahoma" w:cs="Tahoma"/>
              </w:rPr>
              <w:t xml:space="preserve"> </w:t>
            </w:r>
            <w:r w:rsidRPr="0058047D">
              <w:rPr>
                <w:rFonts w:ascii="Tahoma" w:hAnsi="Tahoma" w:cs="Tahoma"/>
                <w:b w:val="0"/>
              </w:rPr>
              <w:t>249</w:t>
            </w:r>
          </w:p>
        </w:tc>
        <w:tc>
          <w:tcPr>
            <w:tcW w:w="3150" w:type="dxa"/>
            <w:vAlign w:val="center"/>
          </w:tcPr>
          <w:p w14:paraId="3A2AB473" w14:textId="77777777" w:rsidR="00F76ED4" w:rsidRPr="0058047D" w:rsidRDefault="00F76ED4" w:rsidP="009E3FD7">
            <w:pPr>
              <w:pStyle w:val="AppendixTableText"/>
              <w:keepNext/>
              <w:rPr>
                <w:rFonts w:ascii="Tahoma" w:hAnsi="Tahoma" w:cs="Tahoma"/>
              </w:rPr>
            </w:pPr>
            <w:r w:rsidRPr="0058047D">
              <w:rPr>
                <w:rFonts w:ascii="Tahoma" w:hAnsi="Tahoma" w:cs="Tahoma"/>
              </w:rPr>
              <w:t>2 giorni per 50 licenze</w:t>
            </w:r>
          </w:p>
        </w:tc>
        <w:tc>
          <w:tcPr>
            <w:tcW w:w="3240" w:type="dxa"/>
            <w:vAlign w:val="center"/>
          </w:tcPr>
          <w:p w14:paraId="13596191" w14:textId="77777777" w:rsidR="00F76ED4" w:rsidRPr="0058047D" w:rsidRDefault="00F76ED4" w:rsidP="009E3FD7">
            <w:pPr>
              <w:pStyle w:val="AppendixTableText"/>
              <w:keepNext/>
            </w:pPr>
            <w:r w:rsidRPr="0058047D">
              <w:rPr>
                <w:rFonts w:ascii="Tahoma" w:hAnsi="Tahoma" w:cs="Tahoma"/>
              </w:rPr>
              <w:t>1 giorno per 50 licenze</w:t>
            </w:r>
          </w:p>
          <w:p w14:paraId="6700BD95" w14:textId="77777777" w:rsidR="00F76ED4" w:rsidRPr="0058047D" w:rsidRDefault="00F76ED4" w:rsidP="009E3FD7">
            <w:pPr>
              <w:pStyle w:val="AppendixTableText"/>
              <w:keepNext/>
              <w:rPr>
                <w:rFonts w:ascii="Tahoma" w:hAnsi="Tahoma" w:cs="Tahoma"/>
              </w:rPr>
            </w:pPr>
          </w:p>
        </w:tc>
      </w:tr>
      <w:tr w:rsidR="00F76ED4" w:rsidRPr="0058047D" w14:paraId="5A45DC4F" w14:textId="77777777" w:rsidTr="009E3FD7">
        <w:trPr>
          <w:cantSplit/>
          <w:trHeight w:val="236"/>
        </w:trPr>
        <w:tc>
          <w:tcPr>
            <w:tcW w:w="3002" w:type="dxa"/>
            <w:vAlign w:val="center"/>
          </w:tcPr>
          <w:p w14:paraId="20797A9A" w14:textId="77777777" w:rsidR="00F76ED4" w:rsidRPr="0058047D" w:rsidRDefault="00F76ED4" w:rsidP="009E3FD7">
            <w:pPr>
              <w:pStyle w:val="AppendixTableHeadings"/>
              <w:keepNext/>
            </w:pPr>
            <w:r w:rsidRPr="0058047D">
              <w:rPr>
                <w:rFonts w:ascii="Tahoma" w:hAnsi="Tahoma" w:cs="Tahoma"/>
                <w:b w:val="0"/>
              </w:rPr>
              <w:t>SAM</w:t>
            </w:r>
          </w:p>
          <w:p w14:paraId="6F611D3D" w14:textId="77777777" w:rsidR="00F76ED4" w:rsidRPr="0058047D" w:rsidRDefault="00F76ED4" w:rsidP="009E3FD7">
            <w:pPr>
              <w:pStyle w:val="AppendixTableText"/>
              <w:keepNext/>
              <w:rPr>
                <w:rFonts w:ascii="Tahoma" w:hAnsi="Tahoma" w:cs="Tahoma"/>
              </w:rPr>
            </w:pPr>
            <w:r w:rsidRPr="0058047D">
              <w:rPr>
                <w:rFonts w:ascii="Tahoma" w:hAnsi="Tahoma" w:cs="Tahoma"/>
              </w:rPr>
              <w:t>250</w:t>
            </w:r>
            <w:r w:rsidR="009E3FD7">
              <w:rPr>
                <w:rFonts w:ascii="Tahoma" w:hAnsi="Tahoma" w:cs="Tahoma"/>
              </w:rPr>
              <w:t xml:space="preserve"> </w:t>
            </w:r>
            <w:r w:rsidR="009E3FD7" w:rsidRPr="0058047D">
              <w:rPr>
                <w:rFonts w:ascii="Tahoma" w:hAnsi="Tahoma" w:cs="Tahoma"/>
              </w:rPr>
              <w:t>–</w:t>
            </w:r>
            <w:r w:rsidR="009E3FD7">
              <w:rPr>
                <w:rFonts w:ascii="Tahoma" w:hAnsi="Tahoma" w:cs="Tahoma"/>
              </w:rPr>
              <w:t xml:space="preserve"> </w:t>
            </w:r>
            <w:r w:rsidRPr="0058047D">
              <w:rPr>
                <w:rFonts w:ascii="Tahoma" w:hAnsi="Tahoma" w:cs="Tahoma"/>
              </w:rPr>
              <w:t>2</w:t>
            </w:r>
            <w:r w:rsidR="009E3FD7">
              <w:rPr>
                <w:rFonts w:ascii="Tahoma" w:hAnsi="Tahoma" w:cs="Tahoma"/>
              </w:rPr>
              <w:t>.</w:t>
            </w:r>
            <w:r w:rsidRPr="0058047D">
              <w:rPr>
                <w:rFonts w:ascii="Tahoma" w:hAnsi="Tahoma" w:cs="Tahoma"/>
              </w:rPr>
              <w:t xml:space="preserve">399 </w:t>
            </w:r>
          </w:p>
        </w:tc>
        <w:tc>
          <w:tcPr>
            <w:tcW w:w="3150" w:type="dxa"/>
            <w:vAlign w:val="center"/>
          </w:tcPr>
          <w:p w14:paraId="7BABAF4F" w14:textId="77777777" w:rsidR="00F76ED4" w:rsidRPr="0058047D" w:rsidRDefault="00F76ED4" w:rsidP="009E3FD7">
            <w:pPr>
              <w:pStyle w:val="AppendixTableText"/>
              <w:keepNext/>
            </w:pPr>
            <w:r w:rsidRPr="0058047D">
              <w:rPr>
                <w:rFonts w:ascii="Tahoma" w:hAnsi="Tahoma" w:cs="Tahoma"/>
              </w:rPr>
              <w:t>20 giorni per</w:t>
            </w:r>
          </w:p>
          <w:p w14:paraId="0471572C" w14:textId="77777777" w:rsidR="00F76ED4" w:rsidRPr="0058047D" w:rsidRDefault="00F76ED4" w:rsidP="009E3FD7">
            <w:pPr>
              <w:pStyle w:val="AppendixTableText"/>
              <w:keepNext/>
              <w:rPr>
                <w:rFonts w:ascii="Tahoma" w:hAnsi="Tahoma" w:cs="Tahoma"/>
              </w:rPr>
            </w:pPr>
            <w:r w:rsidRPr="0058047D">
              <w:rPr>
                <w:rFonts w:ascii="Tahoma" w:hAnsi="Tahoma" w:cs="Tahoma"/>
              </w:rPr>
              <w:t>iscrizione idonea</w:t>
            </w:r>
          </w:p>
        </w:tc>
        <w:tc>
          <w:tcPr>
            <w:tcW w:w="3240" w:type="dxa"/>
            <w:vAlign w:val="center"/>
          </w:tcPr>
          <w:p w14:paraId="0B29F500" w14:textId="77777777" w:rsidR="00F76ED4" w:rsidRPr="0058047D" w:rsidRDefault="00F76ED4" w:rsidP="009E3FD7">
            <w:pPr>
              <w:pStyle w:val="AppendixTableText"/>
              <w:keepNext/>
            </w:pPr>
            <w:r w:rsidRPr="0058047D">
              <w:rPr>
                <w:rFonts w:ascii="Tahoma" w:hAnsi="Tahoma" w:cs="Tahoma"/>
              </w:rPr>
              <w:t>10 giorni per</w:t>
            </w:r>
          </w:p>
          <w:p w14:paraId="63A8B573" w14:textId="77777777" w:rsidR="00F76ED4" w:rsidRPr="0058047D" w:rsidRDefault="00F76ED4" w:rsidP="009E3FD7">
            <w:pPr>
              <w:pStyle w:val="AppendixTableText"/>
              <w:keepNext/>
              <w:rPr>
                <w:rFonts w:ascii="Tahoma" w:hAnsi="Tahoma" w:cs="Tahoma"/>
              </w:rPr>
            </w:pPr>
            <w:r w:rsidRPr="0058047D">
              <w:rPr>
                <w:rFonts w:ascii="Tahoma" w:hAnsi="Tahoma" w:cs="Tahoma"/>
              </w:rPr>
              <w:t>iscrizione idonea</w:t>
            </w:r>
          </w:p>
        </w:tc>
      </w:tr>
      <w:tr w:rsidR="00F76ED4" w:rsidRPr="0058047D" w14:paraId="22D34A6A" w14:textId="77777777" w:rsidTr="009E3FD7">
        <w:trPr>
          <w:cantSplit/>
          <w:trHeight w:val="236"/>
        </w:trPr>
        <w:tc>
          <w:tcPr>
            <w:tcW w:w="3002" w:type="dxa"/>
            <w:vAlign w:val="center"/>
          </w:tcPr>
          <w:p w14:paraId="4521B33E" w14:textId="77777777" w:rsidR="00F76ED4" w:rsidRPr="0058047D" w:rsidRDefault="00F76ED4" w:rsidP="009E3FD7">
            <w:pPr>
              <w:pStyle w:val="AppendixTableHeadings"/>
              <w:keepNext/>
            </w:pPr>
            <w:r w:rsidRPr="0058047D">
              <w:rPr>
                <w:rFonts w:ascii="Tahoma" w:hAnsi="Tahoma" w:cs="Tahoma"/>
                <w:b w:val="0"/>
              </w:rPr>
              <w:t>SAM</w:t>
            </w:r>
          </w:p>
          <w:p w14:paraId="38E6249F" w14:textId="77777777" w:rsidR="00F76ED4" w:rsidRPr="0058047D" w:rsidRDefault="00F76ED4" w:rsidP="009E3FD7">
            <w:pPr>
              <w:pStyle w:val="AppendixTableText"/>
              <w:keepNext/>
              <w:rPr>
                <w:rFonts w:ascii="Tahoma" w:hAnsi="Tahoma" w:cs="Tahoma"/>
                <w:i/>
              </w:rPr>
            </w:pPr>
            <w:r w:rsidRPr="0058047D">
              <w:rPr>
                <w:rFonts w:ascii="Tahoma" w:hAnsi="Tahoma" w:cs="Tahoma"/>
              </w:rPr>
              <w:t>2</w:t>
            </w:r>
            <w:r w:rsidR="009E3FD7">
              <w:rPr>
                <w:rFonts w:ascii="Tahoma" w:hAnsi="Tahoma" w:cs="Tahoma"/>
              </w:rPr>
              <w:t>.</w:t>
            </w:r>
            <w:r w:rsidRPr="0058047D">
              <w:rPr>
                <w:rFonts w:ascii="Tahoma" w:hAnsi="Tahoma" w:cs="Tahoma"/>
              </w:rPr>
              <w:t>400</w:t>
            </w:r>
            <w:r w:rsidR="009E3FD7">
              <w:rPr>
                <w:rFonts w:ascii="Tahoma" w:hAnsi="Tahoma" w:cs="Tahoma"/>
              </w:rPr>
              <w:t xml:space="preserve"> </w:t>
            </w:r>
            <w:r w:rsidR="009E3FD7" w:rsidRPr="0058047D">
              <w:rPr>
                <w:rFonts w:ascii="Tahoma" w:hAnsi="Tahoma" w:cs="Tahoma"/>
              </w:rPr>
              <w:t>–</w:t>
            </w:r>
            <w:r w:rsidR="009E3FD7">
              <w:rPr>
                <w:rFonts w:ascii="Tahoma" w:hAnsi="Tahoma" w:cs="Tahoma"/>
              </w:rPr>
              <w:t xml:space="preserve"> </w:t>
            </w:r>
            <w:r w:rsidRPr="0058047D">
              <w:rPr>
                <w:rFonts w:ascii="Tahoma" w:hAnsi="Tahoma" w:cs="Tahoma"/>
              </w:rPr>
              <w:t>5</w:t>
            </w:r>
            <w:r w:rsidR="009E3FD7">
              <w:rPr>
                <w:rFonts w:ascii="Tahoma" w:hAnsi="Tahoma" w:cs="Tahoma"/>
              </w:rPr>
              <w:t>.</w:t>
            </w:r>
            <w:r w:rsidRPr="0058047D">
              <w:rPr>
                <w:rFonts w:ascii="Tahoma" w:hAnsi="Tahoma" w:cs="Tahoma"/>
              </w:rPr>
              <w:t>999</w:t>
            </w:r>
          </w:p>
        </w:tc>
        <w:tc>
          <w:tcPr>
            <w:tcW w:w="3150" w:type="dxa"/>
            <w:vAlign w:val="center"/>
          </w:tcPr>
          <w:p w14:paraId="7017AC18" w14:textId="77777777" w:rsidR="00F76ED4" w:rsidRPr="0058047D" w:rsidRDefault="00F76ED4" w:rsidP="009E3FD7">
            <w:pPr>
              <w:pStyle w:val="AppendixTableText"/>
              <w:keepNext/>
            </w:pPr>
            <w:r w:rsidRPr="0058047D">
              <w:rPr>
                <w:rFonts w:ascii="Tahoma" w:hAnsi="Tahoma" w:cs="Tahoma"/>
              </w:rPr>
              <w:t xml:space="preserve">30 giorni* </w:t>
            </w:r>
          </w:p>
          <w:p w14:paraId="573207BC" w14:textId="77777777" w:rsidR="00F76ED4" w:rsidRPr="0058047D" w:rsidRDefault="00F76ED4" w:rsidP="009E3FD7">
            <w:pPr>
              <w:pStyle w:val="AppendixTableText"/>
              <w:keepNext/>
              <w:rPr>
                <w:rFonts w:ascii="Tahoma" w:hAnsi="Tahoma" w:cs="Tahoma"/>
              </w:rPr>
            </w:pPr>
          </w:p>
        </w:tc>
        <w:tc>
          <w:tcPr>
            <w:tcW w:w="3240" w:type="dxa"/>
            <w:vAlign w:val="center"/>
          </w:tcPr>
          <w:p w14:paraId="355F8A3E" w14:textId="77777777" w:rsidR="00F76ED4" w:rsidRPr="0058047D" w:rsidRDefault="00F76ED4" w:rsidP="009E3FD7">
            <w:pPr>
              <w:pStyle w:val="AppendixTableText"/>
              <w:keepNext/>
            </w:pPr>
            <w:r w:rsidRPr="0058047D">
              <w:rPr>
                <w:rFonts w:ascii="Tahoma" w:hAnsi="Tahoma" w:cs="Tahoma"/>
              </w:rPr>
              <w:t xml:space="preserve">15 giorni* </w:t>
            </w:r>
          </w:p>
          <w:p w14:paraId="2D474949" w14:textId="77777777" w:rsidR="00F76ED4" w:rsidRPr="0058047D" w:rsidRDefault="00F76ED4" w:rsidP="009E3FD7">
            <w:pPr>
              <w:pStyle w:val="AppendixTableText"/>
              <w:keepNext/>
              <w:rPr>
                <w:rFonts w:ascii="Tahoma" w:hAnsi="Tahoma" w:cs="Tahoma"/>
              </w:rPr>
            </w:pPr>
          </w:p>
        </w:tc>
      </w:tr>
      <w:tr w:rsidR="00F76ED4" w:rsidRPr="0058047D" w14:paraId="68FEE8EB" w14:textId="77777777" w:rsidTr="009E3FD7">
        <w:trPr>
          <w:cantSplit/>
          <w:trHeight w:val="236"/>
        </w:trPr>
        <w:tc>
          <w:tcPr>
            <w:tcW w:w="3002" w:type="dxa"/>
            <w:vAlign w:val="center"/>
          </w:tcPr>
          <w:p w14:paraId="1EDA96A2" w14:textId="77777777" w:rsidR="00F76ED4" w:rsidRPr="0058047D" w:rsidRDefault="00F76ED4" w:rsidP="009E3FD7">
            <w:pPr>
              <w:pStyle w:val="AppendixTableHeadings"/>
              <w:keepNext/>
            </w:pPr>
            <w:r w:rsidRPr="0058047D">
              <w:rPr>
                <w:rFonts w:ascii="Tahoma" w:hAnsi="Tahoma" w:cs="Tahoma"/>
                <w:b w:val="0"/>
              </w:rPr>
              <w:t>SAM</w:t>
            </w:r>
          </w:p>
          <w:p w14:paraId="42D17B53" w14:textId="77777777" w:rsidR="00F76ED4" w:rsidRPr="0058047D" w:rsidRDefault="00F76ED4" w:rsidP="009E3FD7">
            <w:pPr>
              <w:pStyle w:val="AppendixTableText"/>
              <w:keepNext/>
              <w:rPr>
                <w:rFonts w:ascii="Tahoma" w:hAnsi="Tahoma" w:cs="Tahoma"/>
                <w:i/>
              </w:rPr>
            </w:pPr>
            <w:r w:rsidRPr="0058047D">
              <w:rPr>
                <w:rFonts w:ascii="Tahoma" w:hAnsi="Tahoma" w:cs="Tahoma"/>
              </w:rPr>
              <w:t>6</w:t>
            </w:r>
            <w:r w:rsidR="009E3FD7">
              <w:rPr>
                <w:rFonts w:ascii="Tahoma" w:hAnsi="Tahoma" w:cs="Tahoma"/>
              </w:rPr>
              <w:t>.</w:t>
            </w:r>
            <w:r w:rsidRPr="0058047D">
              <w:rPr>
                <w:rFonts w:ascii="Tahoma" w:hAnsi="Tahoma" w:cs="Tahoma"/>
              </w:rPr>
              <w:t>000</w:t>
            </w:r>
            <w:r w:rsidR="009E3FD7">
              <w:rPr>
                <w:rFonts w:ascii="Tahoma" w:hAnsi="Tahoma" w:cs="Tahoma"/>
              </w:rPr>
              <w:t xml:space="preserve"> </w:t>
            </w:r>
            <w:r w:rsidR="009E3FD7" w:rsidRPr="0058047D">
              <w:rPr>
                <w:rFonts w:ascii="Tahoma" w:hAnsi="Tahoma" w:cs="Tahoma"/>
              </w:rPr>
              <w:t>–</w:t>
            </w:r>
            <w:r w:rsidR="009E3FD7">
              <w:rPr>
                <w:rFonts w:ascii="Tahoma" w:hAnsi="Tahoma" w:cs="Tahoma"/>
              </w:rPr>
              <w:t xml:space="preserve"> </w:t>
            </w:r>
            <w:r w:rsidRPr="0058047D">
              <w:rPr>
                <w:rFonts w:ascii="Tahoma" w:hAnsi="Tahoma" w:cs="Tahoma"/>
              </w:rPr>
              <w:t>14</w:t>
            </w:r>
            <w:r w:rsidR="009E3FD7">
              <w:rPr>
                <w:rFonts w:ascii="Tahoma" w:hAnsi="Tahoma" w:cs="Tahoma"/>
              </w:rPr>
              <w:t>.</w:t>
            </w:r>
            <w:r w:rsidRPr="0058047D">
              <w:rPr>
                <w:rFonts w:ascii="Tahoma" w:hAnsi="Tahoma" w:cs="Tahoma"/>
              </w:rPr>
              <w:t>999</w:t>
            </w:r>
          </w:p>
        </w:tc>
        <w:tc>
          <w:tcPr>
            <w:tcW w:w="3150" w:type="dxa"/>
            <w:vAlign w:val="center"/>
          </w:tcPr>
          <w:p w14:paraId="7974FB03" w14:textId="77777777" w:rsidR="00F76ED4" w:rsidRPr="0058047D" w:rsidRDefault="00F76ED4" w:rsidP="009E3FD7">
            <w:pPr>
              <w:pStyle w:val="AppendixTableText"/>
              <w:keepNext/>
            </w:pPr>
            <w:r w:rsidRPr="0058047D">
              <w:rPr>
                <w:rFonts w:ascii="Tahoma" w:hAnsi="Tahoma" w:cs="Tahoma"/>
              </w:rPr>
              <w:t xml:space="preserve">50 giorni* </w:t>
            </w:r>
          </w:p>
          <w:p w14:paraId="17CE9675" w14:textId="77777777" w:rsidR="00F76ED4" w:rsidRPr="0058047D" w:rsidRDefault="00F76ED4" w:rsidP="009E3FD7">
            <w:pPr>
              <w:pStyle w:val="AppendixTableText"/>
              <w:keepNext/>
              <w:rPr>
                <w:rFonts w:ascii="Tahoma" w:hAnsi="Tahoma" w:cs="Tahoma"/>
              </w:rPr>
            </w:pPr>
          </w:p>
        </w:tc>
        <w:tc>
          <w:tcPr>
            <w:tcW w:w="3240" w:type="dxa"/>
            <w:vAlign w:val="center"/>
          </w:tcPr>
          <w:p w14:paraId="6B6EBD6D" w14:textId="77777777" w:rsidR="00F76ED4" w:rsidRPr="0058047D" w:rsidRDefault="00F76ED4" w:rsidP="009E3FD7">
            <w:pPr>
              <w:pStyle w:val="AppendixTableText"/>
              <w:keepNext/>
            </w:pPr>
            <w:r w:rsidRPr="0058047D">
              <w:rPr>
                <w:rFonts w:ascii="Tahoma" w:hAnsi="Tahoma" w:cs="Tahoma"/>
              </w:rPr>
              <w:t xml:space="preserve">25 giorni* </w:t>
            </w:r>
          </w:p>
          <w:p w14:paraId="1265DDE9" w14:textId="77777777" w:rsidR="00F76ED4" w:rsidRPr="0058047D" w:rsidRDefault="00F76ED4" w:rsidP="009E3FD7">
            <w:pPr>
              <w:pStyle w:val="AppendixTableText"/>
              <w:keepNext/>
              <w:rPr>
                <w:rFonts w:ascii="Tahoma" w:hAnsi="Tahoma" w:cs="Tahoma"/>
              </w:rPr>
            </w:pPr>
          </w:p>
        </w:tc>
      </w:tr>
      <w:tr w:rsidR="00F76ED4" w:rsidRPr="0058047D" w14:paraId="3023EA1B" w14:textId="77777777" w:rsidTr="009E3FD7">
        <w:trPr>
          <w:cantSplit/>
          <w:trHeight w:val="236"/>
        </w:trPr>
        <w:tc>
          <w:tcPr>
            <w:tcW w:w="3002" w:type="dxa"/>
            <w:vAlign w:val="center"/>
          </w:tcPr>
          <w:p w14:paraId="163A5ED5" w14:textId="77777777" w:rsidR="00F76ED4" w:rsidRPr="0058047D" w:rsidRDefault="00F76ED4" w:rsidP="009E3FD7">
            <w:pPr>
              <w:pStyle w:val="AppendixTableHeadings"/>
              <w:keepNext/>
            </w:pPr>
            <w:r w:rsidRPr="0058047D">
              <w:rPr>
                <w:rFonts w:ascii="Tahoma" w:hAnsi="Tahoma" w:cs="Tahoma"/>
                <w:b w:val="0"/>
              </w:rPr>
              <w:t>SAM</w:t>
            </w:r>
          </w:p>
          <w:p w14:paraId="5854D497" w14:textId="77777777" w:rsidR="00F76ED4" w:rsidRPr="0058047D" w:rsidRDefault="00F76ED4" w:rsidP="009E3FD7">
            <w:pPr>
              <w:pStyle w:val="AppendixTableText"/>
              <w:keepNext/>
              <w:rPr>
                <w:rFonts w:ascii="Tahoma" w:hAnsi="Tahoma" w:cs="Tahoma"/>
                <w:i/>
              </w:rPr>
            </w:pPr>
            <w:r w:rsidRPr="0058047D">
              <w:rPr>
                <w:rFonts w:ascii="Tahoma" w:hAnsi="Tahoma" w:cs="Tahoma"/>
              </w:rPr>
              <w:t>15</w:t>
            </w:r>
            <w:r w:rsidR="009E3FD7">
              <w:rPr>
                <w:rFonts w:ascii="Tahoma" w:hAnsi="Tahoma" w:cs="Tahoma"/>
              </w:rPr>
              <w:t>.</w:t>
            </w:r>
            <w:r w:rsidRPr="0058047D">
              <w:rPr>
                <w:rFonts w:ascii="Tahoma" w:hAnsi="Tahoma" w:cs="Tahoma"/>
              </w:rPr>
              <w:t>000 – 29</w:t>
            </w:r>
            <w:r w:rsidR="009E3FD7">
              <w:rPr>
                <w:rFonts w:ascii="Tahoma" w:hAnsi="Tahoma" w:cs="Tahoma"/>
              </w:rPr>
              <w:t>.</w:t>
            </w:r>
            <w:r w:rsidRPr="0058047D">
              <w:rPr>
                <w:rFonts w:ascii="Tahoma" w:hAnsi="Tahoma" w:cs="Tahoma"/>
              </w:rPr>
              <w:t>999</w:t>
            </w:r>
          </w:p>
        </w:tc>
        <w:tc>
          <w:tcPr>
            <w:tcW w:w="3150" w:type="dxa"/>
            <w:vAlign w:val="center"/>
          </w:tcPr>
          <w:p w14:paraId="496C7C12" w14:textId="77777777" w:rsidR="00F76ED4" w:rsidRPr="0058047D" w:rsidRDefault="00F76ED4" w:rsidP="009E3FD7">
            <w:pPr>
              <w:pStyle w:val="AppendixTableText"/>
              <w:keepNext/>
            </w:pPr>
            <w:r w:rsidRPr="0058047D">
              <w:rPr>
                <w:rFonts w:ascii="Tahoma" w:hAnsi="Tahoma" w:cs="Tahoma"/>
              </w:rPr>
              <w:t xml:space="preserve">110 giorni* </w:t>
            </w:r>
          </w:p>
          <w:p w14:paraId="61E0A8DC" w14:textId="77777777" w:rsidR="00F76ED4" w:rsidRPr="0058047D" w:rsidRDefault="00F76ED4" w:rsidP="009E3FD7">
            <w:pPr>
              <w:pStyle w:val="AppendixTableText"/>
              <w:keepNext/>
              <w:rPr>
                <w:rFonts w:ascii="Tahoma" w:hAnsi="Tahoma" w:cs="Tahoma"/>
              </w:rPr>
            </w:pPr>
          </w:p>
        </w:tc>
        <w:tc>
          <w:tcPr>
            <w:tcW w:w="3240" w:type="dxa"/>
            <w:vAlign w:val="center"/>
          </w:tcPr>
          <w:p w14:paraId="02BAF676" w14:textId="77777777" w:rsidR="00F76ED4" w:rsidRPr="0058047D" w:rsidRDefault="00F76ED4" w:rsidP="009E3FD7">
            <w:pPr>
              <w:pStyle w:val="AppendixTableText"/>
              <w:keepNext/>
            </w:pPr>
            <w:r w:rsidRPr="0058047D">
              <w:rPr>
                <w:rFonts w:ascii="Tahoma" w:hAnsi="Tahoma" w:cs="Tahoma"/>
              </w:rPr>
              <w:t xml:space="preserve">55 giorni* </w:t>
            </w:r>
          </w:p>
          <w:p w14:paraId="598DCDFB" w14:textId="77777777" w:rsidR="00F76ED4" w:rsidRPr="0058047D" w:rsidRDefault="00F76ED4" w:rsidP="009E3FD7">
            <w:pPr>
              <w:pStyle w:val="AppendixTableText"/>
              <w:keepNext/>
              <w:rPr>
                <w:rFonts w:ascii="Tahoma" w:hAnsi="Tahoma" w:cs="Tahoma"/>
              </w:rPr>
            </w:pPr>
          </w:p>
        </w:tc>
      </w:tr>
      <w:tr w:rsidR="00F76ED4" w:rsidRPr="0058047D" w14:paraId="53A1A1C2" w14:textId="77777777" w:rsidTr="009E3FD7">
        <w:trPr>
          <w:cantSplit/>
          <w:trHeight w:val="236"/>
        </w:trPr>
        <w:tc>
          <w:tcPr>
            <w:tcW w:w="3002" w:type="dxa"/>
            <w:vAlign w:val="center"/>
          </w:tcPr>
          <w:p w14:paraId="6CD8E912" w14:textId="77777777" w:rsidR="00F76ED4" w:rsidRPr="0058047D" w:rsidRDefault="00F76ED4" w:rsidP="009E3FD7">
            <w:pPr>
              <w:pStyle w:val="AppendixTableHeadings"/>
              <w:keepNext/>
            </w:pPr>
            <w:r w:rsidRPr="0058047D">
              <w:rPr>
                <w:rFonts w:ascii="Tahoma" w:hAnsi="Tahoma" w:cs="Tahoma"/>
                <w:b w:val="0"/>
              </w:rPr>
              <w:t>SAM</w:t>
            </w:r>
          </w:p>
          <w:p w14:paraId="58723A85" w14:textId="77777777" w:rsidR="00F76ED4" w:rsidRPr="0058047D" w:rsidRDefault="00F76ED4" w:rsidP="009E3FD7">
            <w:pPr>
              <w:pStyle w:val="AppendixTableText"/>
              <w:keepNext/>
              <w:rPr>
                <w:rFonts w:ascii="Tahoma" w:hAnsi="Tahoma" w:cs="Tahoma"/>
                <w:i/>
              </w:rPr>
            </w:pPr>
            <w:r w:rsidRPr="0058047D">
              <w:rPr>
                <w:rFonts w:ascii="Tahoma" w:hAnsi="Tahoma" w:cs="Tahoma"/>
              </w:rPr>
              <w:t>30</w:t>
            </w:r>
            <w:r w:rsidR="009E3FD7">
              <w:rPr>
                <w:rFonts w:ascii="Tahoma" w:hAnsi="Tahoma" w:cs="Tahoma"/>
              </w:rPr>
              <w:t>.</w:t>
            </w:r>
            <w:r w:rsidRPr="0058047D">
              <w:rPr>
                <w:rFonts w:ascii="Tahoma" w:hAnsi="Tahoma" w:cs="Tahoma"/>
              </w:rPr>
              <w:t>000 – 49</w:t>
            </w:r>
            <w:r w:rsidR="009E3FD7">
              <w:rPr>
                <w:rFonts w:ascii="Tahoma" w:hAnsi="Tahoma" w:cs="Tahoma"/>
              </w:rPr>
              <w:t>.</w:t>
            </w:r>
            <w:r w:rsidRPr="0058047D">
              <w:rPr>
                <w:rFonts w:ascii="Tahoma" w:hAnsi="Tahoma" w:cs="Tahoma"/>
              </w:rPr>
              <w:t>999</w:t>
            </w:r>
          </w:p>
        </w:tc>
        <w:tc>
          <w:tcPr>
            <w:tcW w:w="3150" w:type="dxa"/>
            <w:vAlign w:val="center"/>
          </w:tcPr>
          <w:p w14:paraId="313BD835" w14:textId="77777777" w:rsidR="00F76ED4" w:rsidRPr="0058047D" w:rsidRDefault="00F76ED4" w:rsidP="009E3FD7">
            <w:pPr>
              <w:pStyle w:val="AppendixTableText"/>
              <w:keepNext/>
            </w:pPr>
            <w:r w:rsidRPr="0058047D">
              <w:rPr>
                <w:rFonts w:ascii="Tahoma" w:hAnsi="Tahoma" w:cs="Tahoma"/>
              </w:rPr>
              <w:t xml:space="preserve">160 giorni* </w:t>
            </w:r>
          </w:p>
          <w:p w14:paraId="5FE24590" w14:textId="77777777" w:rsidR="00F76ED4" w:rsidRPr="0058047D" w:rsidRDefault="00F76ED4" w:rsidP="009E3FD7">
            <w:pPr>
              <w:pStyle w:val="AppendixTableText"/>
              <w:keepNext/>
              <w:rPr>
                <w:rFonts w:ascii="Tahoma" w:hAnsi="Tahoma" w:cs="Tahoma"/>
              </w:rPr>
            </w:pPr>
          </w:p>
        </w:tc>
        <w:tc>
          <w:tcPr>
            <w:tcW w:w="3240" w:type="dxa"/>
            <w:vAlign w:val="center"/>
          </w:tcPr>
          <w:p w14:paraId="06939D20" w14:textId="77777777" w:rsidR="00F76ED4" w:rsidRPr="0058047D" w:rsidRDefault="00F76ED4" w:rsidP="009E3FD7">
            <w:pPr>
              <w:pStyle w:val="AppendixTableText"/>
              <w:keepNext/>
            </w:pPr>
            <w:r w:rsidRPr="0058047D">
              <w:rPr>
                <w:rFonts w:ascii="Tahoma" w:hAnsi="Tahoma" w:cs="Tahoma"/>
              </w:rPr>
              <w:t>80 giorni*</w:t>
            </w:r>
          </w:p>
          <w:p w14:paraId="67FF991B" w14:textId="77777777" w:rsidR="00F76ED4" w:rsidRPr="0058047D" w:rsidRDefault="00F76ED4" w:rsidP="009E3FD7">
            <w:pPr>
              <w:pStyle w:val="AppendixTableText"/>
              <w:keepNext/>
              <w:rPr>
                <w:rFonts w:ascii="Tahoma" w:hAnsi="Tahoma" w:cs="Tahoma"/>
              </w:rPr>
            </w:pPr>
          </w:p>
        </w:tc>
      </w:tr>
      <w:tr w:rsidR="00F76ED4" w:rsidRPr="0058047D" w14:paraId="089FE841" w14:textId="77777777" w:rsidTr="009E3FD7">
        <w:trPr>
          <w:cantSplit/>
          <w:trHeight w:val="236"/>
        </w:trPr>
        <w:tc>
          <w:tcPr>
            <w:tcW w:w="3002" w:type="dxa"/>
            <w:vAlign w:val="center"/>
          </w:tcPr>
          <w:p w14:paraId="7AC78077" w14:textId="77777777" w:rsidR="00F76ED4" w:rsidRPr="0058047D" w:rsidRDefault="00F76ED4" w:rsidP="009E3FD7">
            <w:pPr>
              <w:pStyle w:val="AppendixTableHeadings"/>
              <w:keepNext/>
            </w:pPr>
            <w:r w:rsidRPr="0058047D">
              <w:rPr>
                <w:rFonts w:ascii="Tahoma" w:hAnsi="Tahoma" w:cs="Tahoma"/>
                <w:b w:val="0"/>
              </w:rPr>
              <w:t>SAM</w:t>
            </w:r>
          </w:p>
          <w:p w14:paraId="52985223" w14:textId="77777777" w:rsidR="00F76ED4" w:rsidRPr="0058047D" w:rsidRDefault="00F76ED4" w:rsidP="009E3FD7">
            <w:pPr>
              <w:pStyle w:val="AppendixTableText"/>
              <w:keepNext/>
              <w:rPr>
                <w:rFonts w:ascii="Tahoma" w:hAnsi="Tahoma" w:cs="Tahoma"/>
                <w:i/>
              </w:rPr>
            </w:pPr>
            <w:r w:rsidRPr="0058047D">
              <w:rPr>
                <w:rFonts w:ascii="Tahoma" w:hAnsi="Tahoma" w:cs="Tahoma"/>
              </w:rPr>
              <w:t>50</w:t>
            </w:r>
            <w:r w:rsidR="009E3FD7">
              <w:rPr>
                <w:rFonts w:ascii="Tahoma" w:hAnsi="Tahoma" w:cs="Tahoma"/>
              </w:rPr>
              <w:t>.</w:t>
            </w:r>
            <w:r w:rsidRPr="0058047D">
              <w:rPr>
                <w:rFonts w:ascii="Tahoma" w:hAnsi="Tahoma" w:cs="Tahoma"/>
              </w:rPr>
              <w:t>000 – 99</w:t>
            </w:r>
            <w:r w:rsidR="009E3FD7">
              <w:rPr>
                <w:rFonts w:ascii="Tahoma" w:hAnsi="Tahoma" w:cs="Tahoma"/>
              </w:rPr>
              <w:t>.</w:t>
            </w:r>
            <w:r w:rsidRPr="0058047D">
              <w:rPr>
                <w:rFonts w:ascii="Tahoma" w:hAnsi="Tahoma" w:cs="Tahoma"/>
              </w:rPr>
              <w:t>999</w:t>
            </w:r>
          </w:p>
        </w:tc>
        <w:tc>
          <w:tcPr>
            <w:tcW w:w="3150" w:type="dxa"/>
            <w:vAlign w:val="center"/>
          </w:tcPr>
          <w:p w14:paraId="3893DAC3" w14:textId="77777777" w:rsidR="00F76ED4" w:rsidRPr="0058047D" w:rsidRDefault="00F76ED4" w:rsidP="009E3FD7">
            <w:pPr>
              <w:pStyle w:val="AppendixTableText"/>
              <w:keepNext/>
            </w:pPr>
            <w:r w:rsidRPr="0058047D">
              <w:rPr>
                <w:rFonts w:ascii="Tahoma" w:hAnsi="Tahoma" w:cs="Tahoma"/>
              </w:rPr>
              <w:t>250 giorni*</w:t>
            </w:r>
          </w:p>
          <w:p w14:paraId="1B3C40B6" w14:textId="77777777" w:rsidR="00F76ED4" w:rsidRPr="0058047D" w:rsidRDefault="00F76ED4" w:rsidP="009E3FD7">
            <w:pPr>
              <w:pStyle w:val="AppendixTableText"/>
              <w:keepNext/>
              <w:rPr>
                <w:rFonts w:ascii="Tahoma" w:hAnsi="Tahoma" w:cs="Tahoma"/>
              </w:rPr>
            </w:pPr>
          </w:p>
        </w:tc>
        <w:tc>
          <w:tcPr>
            <w:tcW w:w="3240" w:type="dxa"/>
            <w:vAlign w:val="center"/>
          </w:tcPr>
          <w:p w14:paraId="718B3FBC" w14:textId="77777777" w:rsidR="00F76ED4" w:rsidRPr="0058047D" w:rsidRDefault="00F76ED4" w:rsidP="009E3FD7">
            <w:pPr>
              <w:pStyle w:val="AppendixTableText"/>
              <w:keepNext/>
            </w:pPr>
            <w:r w:rsidRPr="0058047D">
              <w:rPr>
                <w:rFonts w:ascii="Tahoma" w:hAnsi="Tahoma" w:cs="Tahoma"/>
              </w:rPr>
              <w:t xml:space="preserve">125 giorni* </w:t>
            </w:r>
          </w:p>
          <w:p w14:paraId="0619034A" w14:textId="77777777" w:rsidR="00F76ED4" w:rsidRPr="0058047D" w:rsidRDefault="00F76ED4" w:rsidP="009E3FD7">
            <w:pPr>
              <w:pStyle w:val="AppendixTableText"/>
              <w:keepNext/>
              <w:rPr>
                <w:rFonts w:ascii="Tahoma" w:hAnsi="Tahoma" w:cs="Tahoma"/>
              </w:rPr>
            </w:pPr>
          </w:p>
        </w:tc>
      </w:tr>
      <w:tr w:rsidR="00F76ED4" w:rsidRPr="0058047D" w14:paraId="4FDC0A3F" w14:textId="77777777" w:rsidTr="009E3FD7">
        <w:trPr>
          <w:cantSplit/>
          <w:trHeight w:val="236"/>
        </w:trPr>
        <w:tc>
          <w:tcPr>
            <w:tcW w:w="3002" w:type="dxa"/>
            <w:vAlign w:val="center"/>
          </w:tcPr>
          <w:p w14:paraId="799DCC31" w14:textId="77777777" w:rsidR="00F76ED4" w:rsidRPr="0058047D" w:rsidRDefault="00F76ED4" w:rsidP="009E3FD7">
            <w:pPr>
              <w:pStyle w:val="AppendixTableHeadings"/>
              <w:keepNext/>
            </w:pPr>
            <w:r w:rsidRPr="0058047D">
              <w:rPr>
                <w:rFonts w:ascii="Tahoma" w:hAnsi="Tahoma" w:cs="Tahoma"/>
                <w:b w:val="0"/>
              </w:rPr>
              <w:t>SAM</w:t>
            </w:r>
          </w:p>
          <w:p w14:paraId="35AF780D" w14:textId="77777777" w:rsidR="00F76ED4" w:rsidRPr="0058047D" w:rsidRDefault="00F76ED4" w:rsidP="009E3FD7">
            <w:pPr>
              <w:pStyle w:val="AppendixTableHeadings"/>
              <w:keepNext/>
              <w:rPr>
                <w:rFonts w:ascii="Tahoma" w:hAnsi="Tahoma" w:cs="Tahoma"/>
                <w:b w:val="0"/>
              </w:rPr>
            </w:pPr>
            <w:r w:rsidRPr="0058047D">
              <w:rPr>
                <w:rFonts w:ascii="Tahoma" w:hAnsi="Tahoma" w:cs="Tahoma"/>
                <w:b w:val="0"/>
              </w:rPr>
              <w:t>100</w:t>
            </w:r>
            <w:r w:rsidR="009E3FD7">
              <w:rPr>
                <w:rFonts w:ascii="Tahoma" w:hAnsi="Tahoma" w:cs="Tahoma"/>
                <w:b w:val="0"/>
              </w:rPr>
              <w:t>.</w:t>
            </w:r>
            <w:r w:rsidRPr="0058047D">
              <w:rPr>
                <w:rFonts w:ascii="Tahoma" w:hAnsi="Tahoma" w:cs="Tahoma"/>
                <w:b w:val="0"/>
              </w:rPr>
              <w:t>000 – 199</w:t>
            </w:r>
            <w:r w:rsidR="009E3FD7">
              <w:rPr>
                <w:rFonts w:ascii="Tahoma" w:hAnsi="Tahoma" w:cs="Tahoma"/>
                <w:b w:val="0"/>
              </w:rPr>
              <w:t>.</w:t>
            </w:r>
            <w:r w:rsidRPr="0058047D">
              <w:rPr>
                <w:rFonts w:ascii="Tahoma" w:hAnsi="Tahoma" w:cs="Tahoma"/>
                <w:b w:val="0"/>
              </w:rPr>
              <w:t>999</w:t>
            </w:r>
          </w:p>
        </w:tc>
        <w:tc>
          <w:tcPr>
            <w:tcW w:w="3150" w:type="dxa"/>
            <w:vAlign w:val="center"/>
          </w:tcPr>
          <w:p w14:paraId="279D5521" w14:textId="77777777" w:rsidR="00F76ED4" w:rsidRPr="0058047D" w:rsidRDefault="00F76ED4" w:rsidP="009E3FD7">
            <w:pPr>
              <w:pStyle w:val="AppendixTableText"/>
              <w:keepNext/>
            </w:pPr>
            <w:r w:rsidRPr="0058047D">
              <w:rPr>
                <w:rFonts w:ascii="Tahoma" w:hAnsi="Tahoma" w:cs="Tahoma"/>
              </w:rPr>
              <w:t>400 giorni*</w:t>
            </w:r>
          </w:p>
          <w:p w14:paraId="59D794A0" w14:textId="77777777" w:rsidR="00F76ED4" w:rsidRPr="0058047D" w:rsidRDefault="00F76ED4" w:rsidP="009E3FD7">
            <w:pPr>
              <w:pStyle w:val="AppendixTableText"/>
              <w:keepNext/>
              <w:rPr>
                <w:rFonts w:ascii="Tahoma" w:hAnsi="Tahoma" w:cs="Tahoma"/>
              </w:rPr>
            </w:pPr>
          </w:p>
        </w:tc>
        <w:tc>
          <w:tcPr>
            <w:tcW w:w="3240" w:type="dxa"/>
            <w:vAlign w:val="center"/>
          </w:tcPr>
          <w:p w14:paraId="3E6D9C76" w14:textId="77777777" w:rsidR="00F76ED4" w:rsidRPr="0058047D" w:rsidRDefault="00F76ED4" w:rsidP="009E3FD7">
            <w:pPr>
              <w:pStyle w:val="AppendixTableText"/>
              <w:keepNext/>
            </w:pPr>
            <w:r w:rsidRPr="0058047D">
              <w:rPr>
                <w:rFonts w:ascii="Tahoma" w:hAnsi="Tahoma" w:cs="Tahoma"/>
              </w:rPr>
              <w:t>200 giorni*</w:t>
            </w:r>
          </w:p>
          <w:p w14:paraId="0E1828A5" w14:textId="77777777" w:rsidR="00F76ED4" w:rsidRPr="0058047D" w:rsidRDefault="00F76ED4" w:rsidP="009E3FD7">
            <w:pPr>
              <w:pStyle w:val="AppendixTableText"/>
              <w:keepNext/>
              <w:rPr>
                <w:rFonts w:ascii="Tahoma" w:hAnsi="Tahoma" w:cs="Tahoma"/>
              </w:rPr>
            </w:pPr>
          </w:p>
        </w:tc>
      </w:tr>
      <w:tr w:rsidR="00F76ED4" w:rsidRPr="0058047D" w14:paraId="233D1CE2" w14:textId="77777777" w:rsidTr="009E3FD7">
        <w:trPr>
          <w:cantSplit/>
          <w:trHeight w:val="236"/>
        </w:trPr>
        <w:tc>
          <w:tcPr>
            <w:tcW w:w="3002" w:type="dxa"/>
            <w:vAlign w:val="center"/>
          </w:tcPr>
          <w:p w14:paraId="4781F797" w14:textId="77777777" w:rsidR="00F76ED4" w:rsidRPr="0058047D" w:rsidRDefault="00F76ED4" w:rsidP="009E3FD7">
            <w:pPr>
              <w:pStyle w:val="AppendixTableHeadings"/>
              <w:keepNext/>
            </w:pPr>
            <w:r w:rsidRPr="0058047D">
              <w:rPr>
                <w:rFonts w:ascii="Tahoma" w:hAnsi="Tahoma" w:cs="Tahoma"/>
                <w:b w:val="0"/>
              </w:rPr>
              <w:t>SAM</w:t>
            </w:r>
          </w:p>
          <w:p w14:paraId="60043A7D" w14:textId="77777777" w:rsidR="00F76ED4" w:rsidRPr="0058047D" w:rsidRDefault="00F76ED4" w:rsidP="009E3FD7">
            <w:pPr>
              <w:pStyle w:val="AppendixTableHeadings"/>
              <w:keepNext/>
              <w:rPr>
                <w:rFonts w:ascii="Tahoma" w:hAnsi="Tahoma" w:cs="Tahoma"/>
                <w:b w:val="0"/>
              </w:rPr>
            </w:pPr>
            <w:r w:rsidRPr="0058047D">
              <w:rPr>
                <w:rFonts w:ascii="Tahoma" w:hAnsi="Tahoma" w:cs="Tahoma"/>
                <w:b w:val="0"/>
              </w:rPr>
              <w:t>200</w:t>
            </w:r>
            <w:r w:rsidR="009E3FD7">
              <w:rPr>
                <w:rFonts w:ascii="Tahoma" w:hAnsi="Tahoma" w:cs="Tahoma"/>
                <w:b w:val="0"/>
              </w:rPr>
              <w:t>.</w:t>
            </w:r>
            <w:r w:rsidRPr="0058047D">
              <w:rPr>
                <w:rFonts w:ascii="Tahoma" w:hAnsi="Tahoma" w:cs="Tahoma"/>
                <w:b w:val="0"/>
              </w:rPr>
              <w:t>000 – 399</w:t>
            </w:r>
            <w:r w:rsidR="009E3FD7">
              <w:rPr>
                <w:rFonts w:ascii="Tahoma" w:hAnsi="Tahoma" w:cs="Tahoma"/>
                <w:b w:val="0"/>
              </w:rPr>
              <w:t>.</w:t>
            </w:r>
            <w:r w:rsidRPr="0058047D">
              <w:rPr>
                <w:rFonts w:ascii="Tahoma" w:hAnsi="Tahoma" w:cs="Tahoma"/>
                <w:b w:val="0"/>
              </w:rPr>
              <w:t>999</w:t>
            </w:r>
          </w:p>
        </w:tc>
        <w:tc>
          <w:tcPr>
            <w:tcW w:w="3150" w:type="dxa"/>
            <w:vAlign w:val="center"/>
          </w:tcPr>
          <w:p w14:paraId="1D44B710" w14:textId="77777777" w:rsidR="00F76ED4" w:rsidRPr="0058047D" w:rsidRDefault="00F76ED4" w:rsidP="009E3FD7">
            <w:pPr>
              <w:pStyle w:val="AppendixTableText"/>
              <w:keepNext/>
            </w:pPr>
            <w:r w:rsidRPr="0058047D">
              <w:rPr>
                <w:rFonts w:ascii="Tahoma" w:hAnsi="Tahoma" w:cs="Tahoma"/>
              </w:rPr>
              <w:t>600 giorni*</w:t>
            </w:r>
          </w:p>
          <w:p w14:paraId="702F98A2" w14:textId="77777777" w:rsidR="00F76ED4" w:rsidRPr="0058047D" w:rsidRDefault="00F76ED4" w:rsidP="009E3FD7">
            <w:pPr>
              <w:pStyle w:val="AppendixTableText"/>
              <w:keepNext/>
              <w:rPr>
                <w:rFonts w:ascii="Tahoma" w:hAnsi="Tahoma" w:cs="Tahoma"/>
              </w:rPr>
            </w:pPr>
          </w:p>
        </w:tc>
        <w:tc>
          <w:tcPr>
            <w:tcW w:w="3240" w:type="dxa"/>
            <w:vAlign w:val="center"/>
          </w:tcPr>
          <w:p w14:paraId="6CFF650D" w14:textId="77777777" w:rsidR="00F76ED4" w:rsidRPr="0058047D" w:rsidRDefault="00F76ED4" w:rsidP="009E3FD7">
            <w:pPr>
              <w:pStyle w:val="AppendixTableText"/>
              <w:keepNext/>
            </w:pPr>
            <w:r w:rsidRPr="0058047D">
              <w:rPr>
                <w:rFonts w:ascii="Tahoma" w:hAnsi="Tahoma" w:cs="Tahoma"/>
              </w:rPr>
              <w:t>300 giorni*</w:t>
            </w:r>
          </w:p>
          <w:p w14:paraId="1CD49AA3" w14:textId="77777777" w:rsidR="00F76ED4" w:rsidRPr="0058047D" w:rsidRDefault="00F76ED4" w:rsidP="009E3FD7">
            <w:pPr>
              <w:pStyle w:val="AppendixTableText"/>
              <w:keepNext/>
              <w:rPr>
                <w:rFonts w:ascii="Tahoma" w:hAnsi="Tahoma" w:cs="Tahoma"/>
              </w:rPr>
            </w:pPr>
          </w:p>
        </w:tc>
      </w:tr>
      <w:tr w:rsidR="00F76ED4" w:rsidRPr="0058047D" w14:paraId="2F2C09D6" w14:textId="77777777" w:rsidTr="009E3FD7">
        <w:trPr>
          <w:cantSplit/>
          <w:trHeight w:val="236"/>
        </w:trPr>
        <w:tc>
          <w:tcPr>
            <w:tcW w:w="3002" w:type="dxa"/>
            <w:vAlign w:val="center"/>
          </w:tcPr>
          <w:p w14:paraId="7A89D062" w14:textId="77777777" w:rsidR="00F76ED4" w:rsidRPr="0058047D" w:rsidRDefault="00F76ED4" w:rsidP="009E3FD7">
            <w:pPr>
              <w:pStyle w:val="AppendixTableHeadings"/>
              <w:keepNext/>
            </w:pPr>
            <w:r w:rsidRPr="0058047D">
              <w:rPr>
                <w:rFonts w:ascii="Tahoma" w:hAnsi="Tahoma" w:cs="Tahoma"/>
                <w:b w:val="0"/>
              </w:rPr>
              <w:t>SAM</w:t>
            </w:r>
          </w:p>
          <w:p w14:paraId="140C27FB" w14:textId="77777777" w:rsidR="00F76ED4" w:rsidRPr="0058047D" w:rsidRDefault="00F76ED4" w:rsidP="009E3FD7">
            <w:pPr>
              <w:pStyle w:val="AppendixTableHeadings"/>
              <w:keepNext/>
              <w:rPr>
                <w:rFonts w:ascii="Tahoma" w:hAnsi="Tahoma" w:cs="Tahoma"/>
                <w:b w:val="0"/>
              </w:rPr>
            </w:pPr>
            <w:r w:rsidRPr="0058047D">
              <w:rPr>
                <w:rFonts w:ascii="Tahoma" w:hAnsi="Tahoma" w:cs="Tahoma"/>
                <w:b w:val="0"/>
              </w:rPr>
              <w:t>400</w:t>
            </w:r>
            <w:r w:rsidR="009E3FD7">
              <w:rPr>
                <w:rFonts w:ascii="Tahoma" w:hAnsi="Tahoma" w:cs="Tahoma"/>
                <w:b w:val="0"/>
              </w:rPr>
              <w:t>.</w:t>
            </w:r>
            <w:r w:rsidRPr="0058047D">
              <w:rPr>
                <w:rFonts w:ascii="Tahoma" w:hAnsi="Tahoma" w:cs="Tahoma"/>
                <w:b w:val="0"/>
              </w:rPr>
              <w:t>000 – 599</w:t>
            </w:r>
            <w:r w:rsidR="009E3FD7">
              <w:rPr>
                <w:rFonts w:ascii="Tahoma" w:hAnsi="Tahoma" w:cs="Tahoma"/>
                <w:b w:val="0"/>
              </w:rPr>
              <w:t>.</w:t>
            </w:r>
            <w:r w:rsidRPr="0058047D">
              <w:rPr>
                <w:rFonts w:ascii="Tahoma" w:hAnsi="Tahoma" w:cs="Tahoma"/>
                <w:b w:val="0"/>
              </w:rPr>
              <w:t>999</w:t>
            </w:r>
          </w:p>
        </w:tc>
        <w:tc>
          <w:tcPr>
            <w:tcW w:w="3150" w:type="dxa"/>
            <w:vAlign w:val="center"/>
          </w:tcPr>
          <w:p w14:paraId="31667CB6" w14:textId="77777777" w:rsidR="00F76ED4" w:rsidRPr="0058047D" w:rsidRDefault="00F76ED4" w:rsidP="009E3FD7">
            <w:pPr>
              <w:pStyle w:val="AppendixTableText"/>
              <w:keepNext/>
            </w:pPr>
            <w:r w:rsidRPr="0058047D">
              <w:rPr>
                <w:rFonts w:ascii="Tahoma" w:hAnsi="Tahoma" w:cs="Tahoma"/>
              </w:rPr>
              <w:t>800 giorni*</w:t>
            </w:r>
          </w:p>
          <w:p w14:paraId="43CB1242" w14:textId="77777777" w:rsidR="00F76ED4" w:rsidRPr="0058047D" w:rsidRDefault="00F76ED4" w:rsidP="009E3FD7">
            <w:pPr>
              <w:pStyle w:val="AppendixTableText"/>
              <w:keepNext/>
              <w:rPr>
                <w:rFonts w:ascii="Tahoma" w:hAnsi="Tahoma" w:cs="Tahoma"/>
              </w:rPr>
            </w:pPr>
          </w:p>
        </w:tc>
        <w:tc>
          <w:tcPr>
            <w:tcW w:w="3240" w:type="dxa"/>
            <w:vAlign w:val="center"/>
          </w:tcPr>
          <w:p w14:paraId="60883408" w14:textId="77777777" w:rsidR="00F76ED4" w:rsidRPr="0058047D" w:rsidRDefault="00F76ED4" w:rsidP="009E3FD7">
            <w:pPr>
              <w:pStyle w:val="AppendixTableText"/>
              <w:keepNext/>
            </w:pPr>
            <w:r w:rsidRPr="0058047D">
              <w:rPr>
                <w:rFonts w:ascii="Tahoma" w:hAnsi="Tahoma" w:cs="Tahoma"/>
              </w:rPr>
              <w:t>400 giorni*</w:t>
            </w:r>
          </w:p>
          <w:p w14:paraId="644110BD" w14:textId="77777777" w:rsidR="00F76ED4" w:rsidRPr="0058047D" w:rsidRDefault="00F76ED4" w:rsidP="009E3FD7">
            <w:pPr>
              <w:pStyle w:val="AppendixTableText"/>
              <w:keepNext/>
              <w:rPr>
                <w:rFonts w:ascii="Tahoma" w:hAnsi="Tahoma" w:cs="Tahoma"/>
              </w:rPr>
            </w:pPr>
          </w:p>
        </w:tc>
      </w:tr>
      <w:tr w:rsidR="00F76ED4" w:rsidRPr="0058047D" w14:paraId="3C5DA038" w14:textId="77777777" w:rsidTr="009E3FD7">
        <w:trPr>
          <w:cantSplit/>
          <w:trHeight w:val="236"/>
        </w:trPr>
        <w:tc>
          <w:tcPr>
            <w:tcW w:w="3002" w:type="dxa"/>
            <w:vAlign w:val="center"/>
          </w:tcPr>
          <w:p w14:paraId="47823527" w14:textId="77777777" w:rsidR="00F76ED4" w:rsidRPr="0058047D" w:rsidRDefault="00F76ED4" w:rsidP="009E3FD7">
            <w:pPr>
              <w:pStyle w:val="AppendixTableHeadings"/>
              <w:keepNext/>
            </w:pPr>
            <w:r w:rsidRPr="0058047D">
              <w:rPr>
                <w:rFonts w:ascii="Tahoma" w:hAnsi="Tahoma" w:cs="Tahoma"/>
                <w:b w:val="0"/>
              </w:rPr>
              <w:t>SAM</w:t>
            </w:r>
          </w:p>
          <w:p w14:paraId="693DEDE9" w14:textId="77777777" w:rsidR="00F76ED4" w:rsidRPr="0058047D" w:rsidRDefault="00F76ED4" w:rsidP="009E3FD7">
            <w:pPr>
              <w:pStyle w:val="AppendixTableHeadings"/>
              <w:keepNext/>
              <w:rPr>
                <w:rFonts w:ascii="Tahoma" w:hAnsi="Tahoma" w:cs="Tahoma"/>
                <w:b w:val="0"/>
              </w:rPr>
            </w:pPr>
            <w:r w:rsidRPr="0058047D">
              <w:rPr>
                <w:rFonts w:ascii="Tahoma" w:hAnsi="Tahoma" w:cs="Tahoma"/>
                <w:b w:val="0"/>
              </w:rPr>
              <w:t>600</w:t>
            </w:r>
            <w:r w:rsidR="009E3FD7">
              <w:rPr>
                <w:rFonts w:ascii="Tahoma" w:hAnsi="Tahoma" w:cs="Tahoma"/>
                <w:b w:val="0"/>
              </w:rPr>
              <w:t>.</w:t>
            </w:r>
            <w:r w:rsidRPr="0058047D">
              <w:rPr>
                <w:rFonts w:ascii="Tahoma" w:hAnsi="Tahoma" w:cs="Tahoma"/>
                <w:b w:val="0"/>
              </w:rPr>
              <w:t>000 +</w:t>
            </w:r>
          </w:p>
        </w:tc>
        <w:tc>
          <w:tcPr>
            <w:tcW w:w="3150" w:type="dxa"/>
            <w:vAlign w:val="center"/>
          </w:tcPr>
          <w:p w14:paraId="07DCEE32" w14:textId="77777777" w:rsidR="00F76ED4" w:rsidRPr="0058047D" w:rsidRDefault="00F76ED4" w:rsidP="009E3FD7">
            <w:pPr>
              <w:pStyle w:val="AppendixTableText"/>
              <w:keepNext/>
            </w:pPr>
            <w:r w:rsidRPr="0058047D">
              <w:rPr>
                <w:rFonts w:ascii="Tahoma" w:hAnsi="Tahoma" w:cs="Tahoma"/>
              </w:rPr>
              <w:t xml:space="preserve">1400 giorni* </w:t>
            </w:r>
          </w:p>
          <w:p w14:paraId="41AAB2E1" w14:textId="77777777" w:rsidR="00F76ED4" w:rsidRPr="0058047D" w:rsidRDefault="00F76ED4" w:rsidP="009E3FD7">
            <w:pPr>
              <w:pStyle w:val="AppendixTableText"/>
              <w:keepNext/>
              <w:rPr>
                <w:rFonts w:ascii="Tahoma" w:hAnsi="Tahoma" w:cs="Tahoma"/>
              </w:rPr>
            </w:pPr>
          </w:p>
        </w:tc>
        <w:tc>
          <w:tcPr>
            <w:tcW w:w="3240" w:type="dxa"/>
            <w:vAlign w:val="center"/>
          </w:tcPr>
          <w:p w14:paraId="4C9D3CDA" w14:textId="77777777" w:rsidR="00F76ED4" w:rsidRPr="0058047D" w:rsidRDefault="00F76ED4" w:rsidP="009E3FD7">
            <w:pPr>
              <w:pStyle w:val="AppendixTableText"/>
              <w:keepNext/>
            </w:pPr>
            <w:r w:rsidRPr="0058047D">
              <w:rPr>
                <w:rFonts w:ascii="Tahoma" w:hAnsi="Tahoma" w:cs="Tahoma"/>
              </w:rPr>
              <w:t>700 giorni*</w:t>
            </w:r>
          </w:p>
          <w:p w14:paraId="47344C3D" w14:textId="77777777" w:rsidR="00F76ED4" w:rsidRPr="0058047D" w:rsidRDefault="00F76ED4" w:rsidP="009E3FD7">
            <w:pPr>
              <w:pStyle w:val="AppendixTableText"/>
              <w:keepNext/>
              <w:rPr>
                <w:rFonts w:ascii="Tahoma" w:hAnsi="Tahoma" w:cs="Tahoma"/>
              </w:rPr>
            </w:pPr>
          </w:p>
        </w:tc>
      </w:tr>
    </w:tbl>
    <w:p w14:paraId="6ED858EF" w14:textId="77777777" w:rsidR="00E762F8" w:rsidRPr="0058047D" w:rsidRDefault="00023FE7">
      <w:pPr>
        <w:pStyle w:val="AppendixFlushBulletedList"/>
        <w:tabs>
          <w:tab w:val="clear" w:pos="360"/>
          <w:tab w:val="num" w:pos="0"/>
        </w:tabs>
        <w:ind w:left="0" w:firstLine="0"/>
      </w:pPr>
      <w:r w:rsidRPr="0058047D">
        <w:rPr>
          <w:rFonts w:ascii="Tahoma" w:hAnsi="Tahoma" w:cs="Tahoma"/>
          <w:sz w:val="18"/>
          <w:szCs w:val="18"/>
        </w:rPr>
        <w:t>Il numero minimo di licenze per l</w:t>
      </w:r>
      <w:r w:rsidR="001C4212">
        <w:rPr>
          <w:rFonts w:ascii="Tahoma" w:hAnsi="Tahoma" w:cs="Tahoma"/>
          <w:sz w:val="18"/>
          <w:szCs w:val="18"/>
        </w:rPr>
        <w:t>’</w:t>
      </w:r>
      <w:r w:rsidRPr="0058047D">
        <w:rPr>
          <w:rFonts w:ascii="Tahoma" w:hAnsi="Tahoma" w:cs="Tahoma"/>
          <w:sz w:val="18"/>
          <w:szCs w:val="18"/>
        </w:rPr>
        <w:t>acquisto di Software Assurance, necessario per l</w:t>
      </w:r>
      <w:r w:rsidR="001C4212">
        <w:rPr>
          <w:rFonts w:ascii="Tahoma" w:hAnsi="Tahoma" w:cs="Tahoma"/>
          <w:sz w:val="18"/>
          <w:szCs w:val="18"/>
        </w:rPr>
        <w:t>’</w:t>
      </w:r>
      <w:r w:rsidRPr="0058047D">
        <w:rPr>
          <w:rFonts w:ascii="Tahoma" w:hAnsi="Tahoma" w:cs="Tahoma"/>
          <w:sz w:val="18"/>
          <w:szCs w:val="18"/>
        </w:rPr>
        <w:t>idoneità a Voucher Corsi, varia in base al programma.</w:t>
      </w:r>
    </w:p>
    <w:p w14:paraId="7CD8CBCC" w14:textId="77777777" w:rsidR="00C65D66" w:rsidRPr="0058047D" w:rsidRDefault="00C65D66" w:rsidP="00C65D66">
      <w:pPr>
        <w:tabs>
          <w:tab w:val="left" w:pos="10440"/>
        </w:tabs>
        <w:spacing w:before="120"/>
        <w:ind w:right="306"/>
      </w:pPr>
      <w:r w:rsidRPr="0058047D">
        <w:rPr>
          <w:rFonts w:eastAsia="Calibri" w:cs="Tahoma"/>
          <w:b/>
          <w:i/>
          <w:color w:val="000000"/>
          <w:sz w:val="16"/>
          <w:szCs w:val="16"/>
        </w:rPr>
        <w:t>Nota:</w:t>
      </w:r>
      <w:r w:rsidRPr="0058047D">
        <w:rPr>
          <w:rFonts w:eastAsia="Calibri" w:cs="Tahoma"/>
          <w:i/>
          <w:color w:val="000000"/>
          <w:sz w:val="16"/>
          <w:szCs w:val="16"/>
        </w:rPr>
        <w:t xml:space="preserve"> i crediti per i corsi disponibili sulla base di un</w:t>
      </w:r>
      <w:r w:rsidR="001C4212">
        <w:rPr>
          <w:rFonts w:eastAsia="Calibri" w:cs="Tahoma"/>
          <w:i/>
          <w:color w:val="000000"/>
          <w:sz w:val="16"/>
          <w:szCs w:val="16"/>
        </w:rPr>
        <w:t>’</w:t>
      </w:r>
      <w:r w:rsidRPr="0058047D">
        <w:rPr>
          <w:rFonts w:eastAsia="Calibri" w:cs="Tahoma"/>
          <w:i/>
          <w:color w:val="000000"/>
          <w:sz w:val="16"/>
          <w:szCs w:val="16"/>
        </w:rPr>
        <w:t>iscrizione o di un contratto triennale completo (vedere di seguito per i</w:t>
      </w:r>
      <w:r w:rsidR="009E3FD7">
        <w:rPr>
          <w:rFonts w:eastAsia="Calibri" w:cs="Tahoma"/>
          <w:i/>
          <w:color w:val="000000"/>
          <w:sz w:val="16"/>
          <w:szCs w:val="16"/>
        </w:rPr>
        <w:t> </w:t>
      </w:r>
      <w:r w:rsidRPr="0058047D">
        <w:rPr>
          <w:rFonts w:eastAsia="Calibri" w:cs="Tahoma"/>
          <w:i/>
          <w:color w:val="000000"/>
          <w:sz w:val="16"/>
          <w:szCs w:val="16"/>
        </w:rPr>
        <w:t>dettagli).</w:t>
      </w:r>
      <w:r w:rsidR="00E34ED3" w:rsidRPr="0058047D">
        <w:rPr>
          <w:rFonts w:eastAsia="Calibri" w:cs="Tahoma"/>
          <w:i/>
          <w:color w:val="000000"/>
          <w:sz w:val="16"/>
          <w:szCs w:val="16"/>
        </w:rPr>
        <w:t xml:space="preserve"> </w:t>
      </w:r>
    </w:p>
    <w:p w14:paraId="240F3E6F" w14:textId="77777777" w:rsidR="00C65D66" w:rsidRPr="0058047D" w:rsidRDefault="00C65D66" w:rsidP="00C65D66">
      <w:pPr>
        <w:spacing w:after="60"/>
      </w:pPr>
      <w:r w:rsidRPr="0058047D">
        <w:rPr>
          <w:rFonts w:eastAsia="Calibri" w:cs="Tahoma"/>
          <w:i/>
          <w:color w:val="000000"/>
          <w:sz w:val="16"/>
          <w:szCs w:val="16"/>
        </w:rPr>
        <w:t>Consultare la tabella con le Applicazioni Office System</w:t>
      </w:r>
    </w:p>
    <w:p w14:paraId="77DADC65" w14:textId="77777777" w:rsidR="00EC05F0" w:rsidRPr="0058047D" w:rsidRDefault="00C65D66" w:rsidP="00F76ED4">
      <w:pPr>
        <w:tabs>
          <w:tab w:val="left" w:pos="10440"/>
        </w:tabs>
        <w:ind w:right="302"/>
      </w:pPr>
      <w:r w:rsidRPr="0058047D">
        <w:rPr>
          <w:rFonts w:eastAsia="Calibri" w:cs="Tahoma"/>
          <w:i/>
          <w:color w:val="000000"/>
          <w:sz w:val="16"/>
          <w:szCs w:val="16"/>
        </w:rPr>
        <w:t>*Numero di giorni in base all</w:t>
      </w:r>
      <w:r w:rsidR="001C4212">
        <w:rPr>
          <w:rFonts w:eastAsia="Calibri" w:cs="Tahoma"/>
          <w:i/>
          <w:color w:val="000000"/>
          <w:sz w:val="16"/>
          <w:szCs w:val="16"/>
        </w:rPr>
        <w:t>’</w:t>
      </w:r>
      <w:r w:rsidRPr="0058047D">
        <w:rPr>
          <w:rFonts w:eastAsia="Calibri" w:cs="Tahoma"/>
          <w:i/>
          <w:color w:val="000000"/>
          <w:sz w:val="16"/>
          <w:szCs w:val="16"/>
        </w:rPr>
        <w:t>iscrizione o al contratto idoneo.</w:t>
      </w:r>
    </w:p>
    <w:p w14:paraId="2246181D" w14:textId="77777777" w:rsidR="009D26EE" w:rsidRPr="0058047D" w:rsidRDefault="009D26EE" w:rsidP="003C56F1">
      <w:pPr>
        <w:pStyle w:val="AppendixBodyText"/>
        <w:spacing w:after="0"/>
      </w:pPr>
    </w:p>
    <w:p w14:paraId="7617C91A" w14:textId="77777777" w:rsidR="009D26EE" w:rsidRPr="0058047D" w:rsidRDefault="009D26EE" w:rsidP="00E077BC">
      <w:pPr>
        <w:pStyle w:val="AppendixBodyText"/>
        <w:numPr>
          <w:ilvl w:val="0"/>
          <w:numId w:val="29"/>
        </w:numPr>
        <w:spacing w:afterLines="60" w:after="144"/>
      </w:pPr>
      <w:r w:rsidRPr="0058047D">
        <w:rPr>
          <w:rFonts w:ascii="Tahoma" w:hAnsi="Tahoma" w:cs="Tahoma"/>
          <w:bCs/>
          <w:sz w:val="18"/>
          <w:szCs w:val="18"/>
        </w:rPr>
        <w:t>Non tutti i corsi sono disponibili in tutte le lingue.</w:t>
      </w:r>
    </w:p>
    <w:p w14:paraId="098AEFF9" w14:textId="77777777" w:rsidR="009D26EE" w:rsidRPr="0058047D" w:rsidRDefault="009D26EE" w:rsidP="00E077BC">
      <w:pPr>
        <w:pStyle w:val="AppendixBodyText"/>
        <w:numPr>
          <w:ilvl w:val="0"/>
          <w:numId w:val="29"/>
        </w:numPr>
        <w:spacing w:afterLines="60" w:after="144"/>
      </w:pPr>
      <w:r w:rsidRPr="0058047D">
        <w:rPr>
          <w:rFonts w:ascii="Tahoma" w:hAnsi="Tahoma" w:cs="Tahoma"/>
          <w:bCs/>
          <w:sz w:val="18"/>
          <w:szCs w:val="18"/>
        </w:rPr>
        <w:t>Si applicano i criteri locali stabiliti dal Microsoft Learning Partner.</w:t>
      </w:r>
    </w:p>
    <w:p w14:paraId="3224CAF2" w14:textId="77777777" w:rsidR="009D26EE" w:rsidRPr="0058047D" w:rsidRDefault="009D26EE" w:rsidP="00E077BC">
      <w:pPr>
        <w:pStyle w:val="AppendixBodyText"/>
        <w:numPr>
          <w:ilvl w:val="0"/>
          <w:numId w:val="29"/>
        </w:numPr>
        <w:spacing w:afterLines="60" w:after="144"/>
      </w:pPr>
      <w:r w:rsidRPr="0058047D">
        <w:rPr>
          <w:rFonts w:ascii="Tahoma" w:hAnsi="Tahoma" w:cs="Tahoma"/>
          <w:bCs/>
          <w:sz w:val="18"/>
          <w:szCs w:val="18"/>
        </w:rPr>
        <w:t>I Gestori dei vantaggi hanno la possibilità di revocare un voucher assegnato fino alla data di annullamento della lezione stabilita dal Microsoft Learning Partner.</w:t>
      </w:r>
    </w:p>
    <w:p w14:paraId="488A7530" w14:textId="77777777" w:rsidR="009D26EE" w:rsidRPr="0058047D" w:rsidRDefault="009D26EE" w:rsidP="00E077BC">
      <w:pPr>
        <w:pStyle w:val="AppendixBodyText"/>
        <w:numPr>
          <w:ilvl w:val="0"/>
          <w:numId w:val="29"/>
        </w:numPr>
        <w:spacing w:afterLines="60" w:after="144"/>
      </w:pPr>
      <w:r w:rsidRPr="0058047D">
        <w:rPr>
          <w:rFonts w:ascii="Tahoma" w:hAnsi="Tahoma" w:cs="Tahoma"/>
          <w:bCs/>
          <w:sz w:val="18"/>
          <w:szCs w:val="18"/>
        </w:rPr>
        <w:t>I giorni dei corsi non coperti dal voucher dovranno essere pagati dalla persona che riceve il corso.</w:t>
      </w:r>
    </w:p>
    <w:p w14:paraId="02BE9306" w14:textId="77777777" w:rsidR="009D26EE" w:rsidRPr="0058047D" w:rsidRDefault="009D26EE" w:rsidP="00E077BC">
      <w:pPr>
        <w:pStyle w:val="AppendixBodyText"/>
        <w:numPr>
          <w:ilvl w:val="0"/>
          <w:numId w:val="29"/>
        </w:numPr>
        <w:spacing w:afterLines="60" w:after="144"/>
      </w:pPr>
      <w:r w:rsidRPr="0058047D">
        <w:rPr>
          <w:rFonts w:ascii="Tahoma" w:hAnsi="Tahoma" w:cs="Tahoma"/>
          <w:bCs/>
          <w:sz w:val="18"/>
          <w:szCs w:val="18"/>
        </w:rPr>
        <w:t>I giorni coperti dai voucher che superano la quantità di giorni assegnata a una particolare lezione saranno restituiti al pool di giorni disponibili per essere riallocati dai Gestori dei vantaggi.</w:t>
      </w:r>
    </w:p>
    <w:p w14:paraId="641B05D3" w14:textId="77777777" w:rsidR="009D26EE" w:rsidRPr="0058047D" w:rsidRDefault="009D26EE" w:rsidP="00E077BC">
      <w:pPr>
        <w:pStyle w:val="AppendixBodyText"/>
        <w:numPr>
          <w:ilvl w:val="0"/>
          <w:numId w:val="29"/>
        </w:numPr>
        <w:spacing w:afterLines="60" w:after="144"/>
      </w:pPr>
      <w:r w:rsidRPr="0058047D">
        <w:rPr>
          <w:rFonts w:ascii="Tahoma" w:hAnsi="Tahoma" w:cs="Tahoma"/>
          <w:bCs/>
          <w:sz w:val="18"/>
          <w:szCs w:val="18"/>
        </w:rPr>
        <w:t>La quantità di giorni coperti dai voucher per i corsi rapidi è equivalente al numero di giorni necessari per la fornitura normale del corso.</w:t>
      </w:r>
    </w:p>
    <w:p w14:paraId="7BBB55C7" w14:textId="77777777" w:rsidR="009D26EE" w:rsidRPr="0058047D" w:rsidRDefault="009D26EE" w:rsidP="00E077BC">
      <w:pPr>
        <w:pStyle w:val="AppendixBodyText"/>
        <w:numPr>
          <w:ilvl w:val="0"/>
          <w:numId w:val="29"/>
        </w:numPr>
        <w:spacing w:afterLines="60" w:after="144"/>
      </w:pPr>
      <w:r w:rsidRPr="0058047D">
        <w:rPr>
          <w:rFonts w:ascii="Tahoma" w:hAnsi="Tahoma" w:cs="Tahoma"/>
          <w:bCs/>
          <w:sz w:val="18"/>
          <w:szCs w:val="18"/>
        </w:rPr>
        <w:t>Il voucher è riscattabile solo per i giorni di corsi approvati tenuti da un istruttore presso i Microsoft Learning Partner qualificati.</w:t>
      </w:r>
      <w:r w:rsidR="00E34ED3" w:rsidRPr="0058047D">
        <w:rPr>
          <w:rFonts w:ascii="Tahoma" w:hAnsi="Tahoma" w:cs="Tahoma"/>
          <w:bCs/>
          <w:sz w:val="18"/>
          <w:szCs w:val="18"/>
        </w:rPr>
        <w:t xml:space="preserve"> </w:t>
      </w:r>
      <w:r w:rsidRPr="0058047D">
        <w:rPr>
          <w:rFonts w:ascii="Tahoma" w:hAnsi="Tahoma" w:cs="Tahoma"/>
          <w:bCs/>
          <w:sz w:val="18"/>
          <w:szCs w:val="18"/>
        </w:rPr>
        <w:t>I corsi personalizzati a differenza dei corsi rapidi approvati non sono idonei ad essere coperti da questi voucher.</w:t>
      </w:r>
      <w:r w:rsidR="00E34ED3" w:rsidRPr="0058047D">
        <w:rPr>
          <w:rFonts w:ascii="Tahoma" w:hAnsi="Tahoma" w:cs="Tahoma"/>
          <w:bCs/>
          <w:sz w:val="18"/>
          <w:szCs w:val="18"/>
        </w:rPr>
        <w:t xml:space="preserve"> </w:t>
      </w:r>
      <w:r w:rsidRPr="0058047D">
        <w:rPr>
          <w:rFonts w:ascii="Tahoma" w:hAnsi="Tahoma" w:cs="Tahoma"/>
          <w:bCs/>
          <w:sz w:val="18"/>
          <w:szCs w:val="18"/>
        </w:rPr>
        <w:t xml:space="preserve">Per informazioni sui corsi approvati, visitare la pagina </w:t>
      </w:r>
      <w:r w:rsidR="009E3FD7" w:rsidRPr="009D26EE">
        <w:rPr>
          <w:rFonts w:ascii="Tahoma" w:hAnsi="Tahoma" w:cs="Tahoma"/>
          <w:bCs/>
          <w:sz w:val="18"/>
          <w:szCs w:val="18"/>
        </w:rPr>
        <w:t>http://www.microsoft.com/learning/sa/training.mspx</w:t>
      </w:r>
      <w:r w:rsidRPr="0058047D">
        <w:rPr>
          <w:rFonts w:ascii="Tahoma" w:hAnsi="Tahoma" w:cs="Tahoma"/>
          <w:bCs/>
          <w:sz w:val="18"/>
          <w:szCs w:val="18"/>
        </w:rPr>
        <w:t>.</w:t>
      </w:r>
    </w:p>
    <w:p w14:paraId="5CD6BA3D" w14:textId="77777777" w:rsidR="009D26EE" w:rsidRPr="0058047D" w:rsidRDefault="009D26EE" w:rsidP="00E077BC">
      <w:pPr>
        <w:pStyle w:val="AppendixBodyText"/>
        <w:numPr>
          <w:ilvl w:val="0"/>
          <w:numId w:val="29"/>
        </w:numPr>
        <w:spacing w:afterLines="60" w:after="144"/>
      </w:pPr>
      <w:r w:rsidRPr="0058047D">
        <w:rPr>
          <w:rFonts w:ascii="Tahoma" w:hAnsi="Tahoma" w:cs="Tahoma"/>
          <w:bCs/>
          <w:sz w:val="18"/>
          <w:szCs w:val="18"/>
        </w:rPr>
        <w:t>I voucher non possono essere utilizzati per coprire corrispettivi correlati alla mancata presenza di</w:t>
      </w:r>
      <w:r w:rsidR="009E3FD7">
        <w:rPr>
          <w:rFonts w:ascii="Tahoma" w:hAnsi="Tahoma" w:cs="Tahoma"/>
          <w:bCs/>
          <w:sz w:val="18"/>
          <w:szCs w:val="18"/>
        </w:rPr>
        <w:t> </w:t>
      </w:r>
      <w:r w:rsidRPr="0058047D">
        <w:rPr>
          <w:rFonts w:ascii="Tahoma" w:hAnsi="Tahoma" w:cs="Tahoma"/>
          <w:bCs/>
          <w:sz w:val="18"/>
          <w:szCs w:val="18"/>
        </w:rPr>
        <w:t>una società a un corso riservato.</w:t>
      </w:r>
      <w:r w:rsidR="00E34ED3" w:rsidRPr="0058047D">
        <w:rPr>
          <w:rFonts w:ascii="Tahoma" w:hAnsi="Tahoma" w:cs="Tahoma"/>
          <w:bCs/>
          <w:sz w:val="18"/>
          <w:szCs w:val="18"/>
        </w:rPr>
        <w:t xml:space="preserve"> </w:t>
      </w:r>
      <w:r w:rsidRPr="0058047D">
        <w:rPr>
          <w:rFonts w:ascii="Tahoma" w:hAnsi="Tahoma" w:cs="Tahoma"/>
          <w:bCs/>
          <w:sz w:val="18"/>
          <w:szCs w:val="18"/>
        </w:rPr>
        <w:t xml:space="preserve">Tutti i corrispettivi relativi alle mancate presenze sono responsabilità della società. </w:t>
      </w:r>
    </w:p>
    <w:p w14:paraId="34B3953F" w14:textId="77777777" w:rsidR="009D26EE" w:rsidRPr="0058047D" w:rsidRDefault="009D26EE" w:rsidP="00E077BC">
      <w:pPr>
        <w:pStyle w:val="AppendixBodyText"/>
        <w:numPr>
          <w:ilvl w:val="0"/>
          <w:numId w:val="29"/>
        </w:numPr>
        <w:spacing w:afterLines="60" w:after="144"/>
      </w:pPr>
      <w:r w:rsidRPr="0058047D">
        <w:rPr>
          <w:rFonts w:ascii="Tahoma" w:hAnsi="Tahoma" w:cs="Tahoma"/>
          <w:bCs/>
          <w:sz w:val="18"/>
          <w:szCs w:val="18"/>
        </w:rPr>
        <w:t xml:space="preserve">I voucher potranno essere riscattati solo da singole persone approvate dalla società a utilizzare il voucher. </w:t>
      </w:r>
    </w:p>
    <w:p w14:paraId="6871589E" w14:textId="77777777" w:rsidR="009D26EE" w:rsidRPr="0058047D" w:rsidRDefault="009D26EE" w:rsidP="00E077BC">
      <w:pPr>
        <w:pStyle w:val="AppendixBodyText"/>
        <w:numPr>
          <w:ilvl w:val="0"/>
          <w:numId w:val="29"/>
        </w:numPr>
        <w:spacing w:afterLines="60" w:after="144"/>
      </w:pPr>
      <w:r w:rsidRPr="0058047D">
        <w:rPr>
          <w:rFonts w:ascii="Tahoma" w:hAnsi="Tahoma" w:cs="Tahoma"/>
          <w:bCs/>
          <w:sz w:val="18"/>
          <w:szCs w:val="18"/>
        </w:rPr>
        <w:t>I voucher non potranno essere scambiati con contante, somme di denaro o altri corrispettivi.</w:t>
      </w:r>
    </w:p>
    <w:p w14:paraId="5F619138" w14:textId="77777777" w:rsidR="009D26EE" w:rsidRPr="0058047D" w:rsidRDefault="009D26EE" w:rsidP="00E077BC">
      <w:pPr>
        <w:pStyle w:val="AppendixBodyText"/>
        <w:numPr>
          <w:ilvl w:val="0"/>
          <w:numId w:val="29"/>
        </w:numPr>
        <w:spacing w:afterLines="60" w:after="144"/>
      </w:pPr>
      <w:r w:rsidRPr="0058047D">
        <w:rPr>
          <w:rFonts w:ascii="Tahoma" w:hAnsi="Tahoma" w:cs="Tahoma"/>
          <w:bCs/>
          <w:sz w:val="18"/>
          <w:szCs w:val="18"/>
        </w:rPr>
        <w:t>I voucher dovranno essere assegnati durante il periodo della copertura Software Assurance.</w:t>
      </w:r>
    </w:p>
    <w:p w14:paraId="3D0CF9CB" w14:textId="77777777" w:rsidR="009D26EE" w:rsidRPr="0058047D" w:rsidRDefault="009D26EE" w:rsidP="00E077BC">
      <w:pPr>
        <w:pStyle w:val="AppendixBodyText"/>
        <w:numPr>
          <w:ilvl w:val="0"/>
          <w:numId w:val="29"/>
        </w:numPr>
        <w:spacing w:afterLines="60" w:after="144"/>
      </w:pPr>
      <w:r w:rsidRPr="0058047D">
        <w:rPr>
          <w:rFonts w:ascii="Tahoma" w:hAnsi="Tahoma" w:cs="Tahoma"/>
          <w:bCs/>
          <w:sz w:val="18"/>
          <w:szCs w:val="18"/>
        </w:rPr>
        <w:t>I voucher scadranno dopo 180 giorni dalla data di assegnazione, indipendentemente dalla data di scadenza della copertura Software Assurance. Tutti i servizi dovranno essere erogati (formazione fornita e voucher riscattato) prima della scadenza dei voucher. Per i voucher, la cui data di scadenza è precedente a quella della copertura Software Assurance, verrà ripristinato il pool disponibile di giorni Voucher Corsi.</w:t>
      </w:r>
    </w:p>
    <w:p w14:paraId="35D7C287" w14:textId="77777777" w:rsidR="00982A40" w:rsidRPr="0058047D" w:rsidRDefault="00982A40" w:rsidP="00E077BC">
      <w:pPr>
        <w:numPr>
          <w:ilvl w:val="0"/>
          <w:numId w:val="29"/>
        </w:numPr>
        <w:spacing w:afterLines="60" w:after="144"/>
      </w:pPr>
      <w:r w:rsidRPr="0058047D">
        <w:rPr>
          <w:rFonts w:cs="Tahoma"/>
          <w:bCs/>
          <w:szCs w:val="18"/>
        </w:rPr>
        <w:t>Ad eccezione delle Sessioni Dimostrative, un giorno Voucher Corsi corrisponde all</w:t>
      </w:r>
      <w:r w:rsidR="001C4212">
        <w:rPr>
          <w:rFonts w:cs="Tahoma"/>
          <w:bCs/>
          <w:szCs w:val="18"/>
        </w:rPr>
        <w:t>’</w:t>
      </w:r>
      <w:r w:rsidRPr="0058047D">
        <w:rPr>
          <w:rFonts w:cs="Tahoma"/>
          <w:bCs/>
          <w:szCs w:val="18"/>
        </w:rPr>
        <w:t>equivalente di un giorno della sessione di formazione.</w:t>
      </w:r>
      <w:r w:rsidR="00E34ED3" w:rsidRPr="0058047D">
        <w:rPr>
          <w:rFonts w:cs="Tahoma"/>
          <w:bCs/>
          <w:szCs w:val="18"/>
        </w:rPr>
        <w:t xml:space="preserve"> </w:t>
      </w:r>
      <w:r w:rsidRPr="0058047D">
        <w:rPr>
          <w:rFonts w:cs="Tahoma"/>
          <w:bCs/>
          <w:szCs w:val="18"/>
        </w:rPr>
        <w:t>Per le Sessioni Dimostrative un giorno Voucher Corsi corrisponde a una Sessione Dimostrativa.</w:t>
      </w:r>
    </w:p>
    <w:p w14:paraId="314E9075" w14:textId="77777777" w:rsidR="00982A40" w:rsidRPr="0058047D" w:rsidRDefault="00982A40" w:rsidP="00E077BC">
      <w:pPr>
        <w:numPr>
          <w:ilvl w:val="0"/>
          <w:numId w:val="29"/>
        </w:numPr>
        <w:spacing w:afterLines="60" w:after="144"/>
      </w:pPr>
      <w:r w:rsidRPr="0058047D">
        <w:rPr>
          <w:rFonts w:cs="Tahoma"/>
          <w:bCs/>
          <w:szCs w:val="18"/>
        </w:rPr>
        <w:t>Le società dovranno riscattare i Voucher Corsi di quattro o più gruppi di Sessioni Dimostrative.</w:t>
      </w:r>
    </w:p>
    <w:p w14:paraId="2E08A30F" w14:textId="77777777" w:rsidR="00982A40" w:rsidRPr="0058047D" w:rsidRDefault="00982A40" w:rsidP="00E077BC">
      <w:pPr>
        <w:numPr>
          <w:ilvl w:val="0"/>
          <w:numId w:val="29"/>
        </w:numPr>
        <w:spacing w:afterLines="60" w:after="144"/>
      </w:pPr>
      <w:r w:rsidRPr="0058047D">
        <w:rPr>
          <w:rFonts w:cs="Tahoma"/>
          <w:bCs/>
          <w:szCs w:val="18"/>
        </w:rPr>
        <w:t>I Voucher Corsi riscattati per le Sessioni Dimostrative, diversamente dai Voucher Corsi riscattati per altre sessioni di formazione, non sono limitati a una sola persona.</w:t>
      </w:r>
    </w:p>
    <w:p w14:paraId="1C644607" w14:textId="77777777" w:rsidR="009D26EE" w:rsidRPr="0058047D" w:rsidRDefault="009D26EE" w:rsidP="00E077BC">
      <w:pPr>
        <w:pStyle w:val="AppendixBodyText"/>
        <w:numPr>
          <w:ilvl w:val="0"/>
          <w:numId w:val="29"/>
        </w:numPr>
        <w:spacing w:afterLines="60" w:after="144"/>
      </w:pPr>
      <w:r w:rsidRPr="0058047D">
        <w:rPr>
          <w:rFonts w:ascii="Tahoma" w:hAnsi="Tahoma" w:cs="Tahoma"/>
          <w:bCs/>
          <w:sz w:val="18"/>
          <w:szCs w:val="18"/>
        </w:rPr>
        <w:t xml:space="preserve">I voucher potranno essere utilizzati per riservare il corso con un solo Microsoft Learning Partner qualificato alla volta. </w:t>
      </w:r>
    </w:p>
    <w:p w14:paraId="4DDF2A46" w14:textId="77777777" w:rsidR="009D26EE" w:rsidRPr="0058047D" w:rsidRDefault="009D26EE" w:rsidP="00E077BC">
      <w:pPr>
        <w:pStyle w:val="AppendixBodyText"/>
        <w:numPr>
          <w:ilvl w:val="0"/>
          <w:numId w:val="29"/>
        </w:numPr>
        <w:spacing w:afterLines="60" w:after="144"/>
      </w:pPr>
      <w:r w:rsidRPr="0058047D">
        <w:rPr>
          <w:rFonts w:ascii="Tahoma" w:hAnsi="Tahoma" w:cs="Tahoma"/>
          <w:bCs/>
          <w:sz w:val="18"/>
          <w:szCs w:val="18"/>
        </w:rPr>
        <w:t>Il Microsoft Learning Partner si riserva il diritto di annullare una lezione in conformità ai criteri di</w:t>
      </w:r>
      <w:r w:rsidR="009E3FD7">
        <w:rPr>
          <w:rFonts w:ascii="Tahoma" w:hAnsi="Tahoma" w:cs="Tahoma"/>
          <w:bCs/>
          <w:sz w:val="18"/>
          <w:szCs w:val="18"/>
        </w:rPr>
        <w:t> </w:t>
      </w:r>
      <w:r w:rsidRPr="0058047D">
        <w:rPr>
          <w:rFonts w:ascii="Tahoma" w:hAnsi="Tahoma" w:cs="Tahoma"/>
          <w:bCs/>
          <w:sz w:val="18"/>
          <w:szCs w:val="18"/>
        </w:rPr>
        <w:t>annullamento locali.</w:t>
      </w:r>
    </w:p>
    <w:p w14:paraId="05658DF5" w14:textId="77777777" w:rsidR="009D26EE" w:rsidRPr="0058047D" w:rsidRDefault="009D26EE" w:rsidP="00E077BC">
      <w:pPr>
        <w:pStyle w:val="AppendixBodyText"/>
        <w:numPr>
          <w:ilvl w:val="0"/>
          <w:numId w:val="29"/>
        </w:numPr>
        <w:spacing w:afterLines="60" w:after="144"/>
      </w:pPr>
      <w:r w:rsidRPr="0058047D">
        <w:rPr>
          <w:rFonts w:ascii="Tahoma" w:hAnsi="Tahoma" w:cs="Tahoma"/>
          <w:bCs/>
          <w:sz w:val="18"/>
          <w:szCs w:val="18"/>
        </w:rPr>
        <w:t>I voucher sono validi per i Microsoft Learning Partner che partecipano. Potranno essere utilizzati con qualsiasi Microsoft Learning Partner qualificato a livello mondiale. La partecipazione può variare.</w:t>
      </w:r>
    </w:p>
    <w:p w14:paraId="2403B145" w14:textId="77777777" w:rsidR="009D26EE" w:rsidRPr="0058047D" w:rsidRDefault="009D26EE" w:rsidP="00E077BC">
      <w:pPr>
        <w:pStyle w:val="AppendixBodyText"/>
        <w:numPr>
          <w:ilvl w:val="0"/>
          <w:numId w:val="29"/>
        </w:numPr>
        <w:spacing w:afterLines="60" w:after="144"/>
      </w:pPr>
      <w:r w:rsidRPr="0058047D">
        <w:rPr>
          <w:rFonts w:ascii="Tahoma" w:hAnsi="Tahoma" w:cs="Tahoma"/>
          <w:bCs/>
          <w:sz w:val="18"/>
          <w:szCs w:val="18"/>
        </w:rPr>
        <w:t>Le società dovranno fornire al Microsoft Learning Partner le informazioni relative ai voucher da applicare nei confronti del corso prima del termine del corso stesso allo scopo di utilizzare i voucher come forma di pagamento.</w:t>
      </w:r>
      <w:r w:rsidR="00E34ED3" w:rsidRPr="0058047D">
        <w:rPr>
          <w:rFonts w:ascii="Tahoma" w:hAnsi="Tahoma" w:cs="Tahoma"/>
          <w:bCs/>
          <w:sz w:val="18"/>
          <w:szCs w:val="18"/>
        </w:rPr>
        <w:t xml:space="preserve"> </w:t>
      </w:r>
    </w:p>
    <w:p w14:paraId="3CB45F8F" w14:textId="77777777" w:rsidR="009D26EE" w:rsidRPr="0058047D" w:rsidRDefault="009D26EE" w:rsidP="00E077BC">
      <w:pPr>
        <w:pStyle w:val="AppendixBodyText"/>
        <w:numPr>
          <w:ilvl w:val="0"/>
          <w:numId w:val="29"/>
        </w:numPr>
        <w:spacing w:afterLines="60" w:after="144"/>
      </w:pPr>
      <w:r w:rsidRPr="0058047D">
        <w:rPr>
          <w:rFonts w:ascii="Tahoma" w:hAnsi="Tahoma" w:cs="Tahoma"/>
          <w:bCs/>
          <w:sz w:val="18"/>
          <w:szCs w:val="18"/>
        </w:rPr>
        <w:t>Microsoft non è responsabile dei voucher persi, rubati, collocati fuori posto o maltrattati.</w:t>
      </w:r>
    </w:p>
    <w:p w14:paraId="6EC2D354" w14:textId="77777777" w:rsidR="009D26EE" w:rsidRPr="0058047D" w:rsidRDefault="009D26EE" w:rsidP="00E077BC">
      <w:pPr>
        <w:pStyle w:val="AppendixBodyText"/>
        <w:numPr>
          <w:ilvl w:val="0"/>
          <w:numId w:val="29"/>
        </w:numPr>
        <w:spacing w:afterLines="60" w:after="144"/>
      </w:pPr>
      <w:r w:rsidRPr="0058047D">
        <w:rPr>
          <w:rFonts w:ascii="Tahoma" w:hAnsi="Tahoma" w:cs="Tahoma"/>
          <w:bCs/>
          <w:sz w:val="18"/>
          <w:szCs w:val="18"/>
        </w:rPr>
        <w:t>La riduzione del numero di licenze qualificanti per cui è stata acquistata la copertura Software Assurance in seguito a resi e altre modifiche apportate alla fatturazione, ove ammessa, potrà diminuire l</w:t>
      </w:r>
      <w:r w:rsidR="001C4212">
        <w:rPr>
          <w:rFonts w:ascii="Tahoma" w:hAnsi="Tahoma" w:cs="Tahoma"/>
          <w:bCs/>
          <w:sz w:val="18"/>
          <w:szCs w:val="18"/>
        </w:rPr>
        <w:t>’</w:t>
      </w:r>
      <w:r w:rsidRPr="0058047D">
        <w:rPr>
          <w:rFonts w:ascii="Tahoma" w:hAnsi="Tahoma" w:cs="Tahoma"/>
          <w:bCs/>
          <w:sz w:val="18"/>
          <w:szCs w:val="18"/>
        </w:rPr>
        <w:t>idoneità dei livelli di servizio dei Voucher Corsi della società.</w:t>
      </w:r>
    </w:p>
    <w:p w14:paraId="43322A50" w14:textId="77777777" w:rsidR="009D26EE" w:rsidRPr="0058047D" w:rsidRDefault="009D26EE" w:rsidP="00E077BC">
      <w:pPr>
        <w:pStyle w:val="AppendixBodyText"/>
        <w:numPr>
          <w:ilvl w:val="0"/>
          <w:numId w:val="29"/>
        </w:numPr>
        <w:spacing w:afterLines="60" w:after="144"/>
      </w:pPr>
      <w:r w:rsidRPr="0058047D">
        <w:rPr>
          <w:rFonts w:ascii="Tahoma" w:hAnsi="Tahoma" w:cs="Tahoma"/>
          <w:bCs/>
          <w:sz w:val="18"/>
          <w:szCs w:val="18"/>
        </w:rPr>
        <w:t>I voucher possono essere riscattati solo dalla società idonea a ricevere il vantaggio.</w:t>
      </w:r>
    </w:p>
    <w:p w14:paraId="768E0F02" w14:textId="77777777" w:rsidR="009D26EE" w:rsidRPr="0058047D" w:rsidRDefault="009D26EE" w:rsidP="00E077BC">
      <w:pPr>
        <w:pStyle w:val="AppendixBodyText"/>
        <w:numPr>
          <w:ilvl w:val="0"/>
          <w:numId w:val="29"/>
        </w:numPr>
        <w:spacing w:afterLines="60" w:after="144"/>
      </w:pPr>
      <w:r w:rsidRPr="0058047D">
        <w:rPr>
          <w:rFonts w:ascii="Tahoma" w:hAnsi="Tahoma" w:cs="Tahoma"/>
          <w:bCs/>
          <w:sz w:val="18"/>
          <w:szCs w:val="18"/>
        </w:rPr>
        <w:t>I servizi erogati con i voucher vengono forniti ai sensi di un contratto tra la Società e il Provider Qualificato; Microsoft non è responsabile dell</w:t>
      </w:r>
      <w:r w:rsidR="001C4212">
        <w:rPr>
          <w:rFonts w:ascii="Tahoma" w:hAnsi="Tahoma" w:cs="Tahoma"/>
          <w:bCs/>
          <w:sz w:val="18"/>
          <w:szCs w:val="18"/>
        </w:rPr>
        <w:t>’</w:t>
      </w:r>
      <w:r w:rsidRPr="0058047D">
        <w:rPr>
          <w:rFonts w:ascii="Tahoma" w:hAnsi="Tahoma" w:cs="Tahoma"/>
          <w:bCs/>
          <w:sz w:val="18"/>
          <w:szCs w:val="18"/>
        </w:rPr>
        <w:t>eventuale funzionamento o mancato funzionamento dei servizi da parte del Provider Qualificato.</w:t>
      </w:r>
    </w:p>
    <w:p w14:paraId="42E2B8A9" w14:textId="77777777" w:rsidR="00973A93" w:rsidRPr="0058047D" w:rsidRDefault="009D26EE" w:rsidP="00346F4B">
      <w:pPr>
        <w:pStyle w:val="AppendixBodyText"/>
        <w:numPr>
          <w:ilvl w:val="0"/>
          <w:numId w:val="29"/>
        </w:numPr>
        <w:spacing w:after="0"/>
      </w:pPr>
      <w:r w:rsidRPr="0058047D">
        <w:rPr>
          <w:rFonts w:ascii="Tahoma" w:hAnsi="Tahoma" w:cs="Tahoma"/>
          <w:bCs/>
          <w:sz w:val="18"/>
          <w:szCs w:val="18"/>
        </w:rPr>
        <w:t>La tabella riportata sopra mostra i crediti per i corsi disponibili sulla base di un</w:t>
      </w:r>
      <w:r w:rsidR="001C4212">
        <w:rPr>
          <w:rFonts w:ascii="Tahoma" w:hAnsi="Tahoma" w:cs="Tahoma"/>
          <w:bCs/>
          <w:sz w:val="18"/>
          <w:szCs w:val="18"/>
        </w:rPr>
        <w:t>’</w:t>
      </w:r>
      <w:r w:rsidRPr="0058047D">
        <w:rPr>
          <w:rFonts w:ascii="Tahoma" w:hAnsi="Tahoma" w:cs="Tahoma"/>
          <w:bCs/>
          <w:sz w:val="18"/>
          <w:szCs w:val="18"/>
        </w:rPr>
        <w:t>iscrizione o di un contratto triennale completo.</w:t>
      </w:r>
      <w:r w:rsidR="00E34ED3" w:rsidRPr="0058047D">
        <w:rPr>
          <w:rFonts w:ascii="Tahoma" w:hAnsi="Tahoma" w:cs="Tahoma"/>
          <w:bCs/>
          <w:sz w:val="18"/>
          <w:szCs w:val="18"/>
        </w:rPr>
        <w:t xml:space="preserve"> </w:t>
      </w:r>
      <w:r w:rsidRPr="0058047D">
        <w:rPr>
          <w:rFonts w:ascii="Tahoma" w:hAnsi="Tahoma" w:cs="Tahoma"/>
          <w:bCs/>
          <w:sz w:val="18"/>
          <w:szCs w:val="18"/>
        </w:rPr>
        <w:t>Le società che acquistano una copertura Software Assurance annuale riceveranno un terzo del numero dichiarato di crediti per i corsi.</w:t>
      </w:r>
      <w:r w:rsidR="00E34ED3" w:rsidRPr="0058047D">
        <w:rPr>
          <w:rFonts w:ascii="Tahoma" w:hAnsi="Tahoma" w:cs="Tahoma"/>
          <w:bCs/>
          <w:sz w:val="18"/>
          <w:szCs w:val="18"/>
        </w:rPr>
        <w:t xml:space="preserve"> </w:t>
      </w:r>
      <w:r w:rsidRPr="0058047D">
        <w:rPr>
          <w:rFonts w:ascii="Tahoma" w:hAnsi="Tahoma" w:cs="Tahoma"/>
          <w:bCs/>
          <w:sz w:val="18"/>
          <w:szCs w:val="18"/>
        </w:rPr>
        <w:t>Le società che acquistano una copertura Software Assurance biennale riceveranno due terzi del numero dichiarato di crediti per</w:t>
      </w:r>
      <w:r w:rsidR="009E3FD7">
        <w:rPr>
          <w:rFonts w:ascii="Tahoma" w:hAnsi="Tahoma" w:cs="Tahoma"/>
          <w:bCs/>
          <w:sz w:val="18"/>
          <w:szCs w:val="18"/>
        </w:rPr>
        <w:t> </w:t>
      </w:r>
      <w:r w:rsidRPr="0058047D">
        <w:rPr>
          <w:rFonts w:ascii="Tahoma" w:hAnsi="Tahoma" w:cs="Tahoma"/>
          <w:bCs/>
          <w:sz w:val="18"/>
          <w:szCs w:val="18"/>
        </w:rPr>
        <w:t>i</w:t>
      </w:r>
      <w:r w:rsidR="009E3FD7">
        <w:rPr>
          <w:rFonts w:ascii="Tahoma" w:hAnsi="Tahoma" w:cs="Tahoma"/>
          <w:bCs/>
          <w:sz w:val="18"/>
          <w:szCs w:val="18"/>
        </w:rPr>
        <w:t> </w:t>
      </w:r>
      <w:r w:rsidRPr="0058047D">
        <w:rPr>
          <w:rFonts w:ascii="Tahoma" w:hAnsi="Tahoma" w:cs="Tahoma"/>
          <w:bCs/>
          <w:sz w:val="18"/>
          <w:szCs w:val="18"/>
        </w:rPr>
        <w:t>corsi.</w:t>
      </w:r>
      <w:bookmarkStart w:id="723" w:name="_Toc336338234"/>
    </w:p>
    <w:p w14:paraId="0ED30BD5" w14:textId="77777777" w:rsidR="005A141F" w:rsidRPr="0058047D" w:rsidRDefault="005A141F" w:rsidP="005A141F">
      <w:pPr>
        <w:pStyle w:val="AppendixBodyText"/>
        <w:spacing w:after="0"/>
      </w:pPr>
    </w:p>
    <w:p w14:paraId="51799516" w14:textId="77777777" w:rsidR="00023FE7" w:rsidRPr="0058047D" w:rsidRDefault="00023FE7">
      <w:pPr>
        <w:pStyle w:val="Heading3"/>
      </w:pPr>
      <w:bookmarkStart w:id="724" w:name="_Toc371663628"/>
      <w:r w:rsidRPr="0058047D">
        <w:rPr>
          <w:rFonts w:ascii="Tahoma" w:hAnsi="Tahoma" w:cs="Tahoma"/>
          <w:sz w:val="24"/>
        </w:rPr>
        <w:t>E-Learning</w:t>
      </w:r>
      <w:bookmarkEnd w:id="723"/>
      <w:bookmarkEnd w:id="724"/>
    </w:p>
    <w:p w14:paraId="40595B5D" w14:textId="77777777" w:rsidR="00023FE7" w:rsidRPr="0058047D" w:rsidRDefault="00023FE7" w:rsidP="002D25C8"/>
    <w:p w14:paraId="3F12C79E" w14:textId="77777777" w:rsidR="003C56F1" w:rsidRPr="0058047D" w:rsidRDefault="00324479" w:rsidP="008A7860">
      <w:pPr>
        <w:tabs>
          <w:tab w:val="num" w:pos="360"/>
        </w:tabs>
        <w:spacing w:after="60"/>
      </w:pPr>
      <w:r w:rsidRPr="0058047D">
        <w:rPr>
          <w:rFonts w:cs="Tahoma"/>
          <w:b/>
          <w:szCs w:val="18"/>
        </w:rPr>
        <w:t>Società con Software Assurance idonee</w:t>
      </w:r>
    </w:p>
    <w:p w14:paraId="4E80C127" w14:textId="77777777" w:rsidR="00324479" w:rsidRPr="0058047D" w:rsidRDefault="00324479" w:rsidP="002D25C8">
      <w:pPr>
        <w:tabs>
          <w:tab w:val="num" w:pos="360"/>
        </w:tabs>
      </w:pPr>
      <w:r w:rsidRPr="0058047D">
        <w:rPr>
          <w:rFonts w:cs="Tahoma"/>
          <w:szCs w:val="18"/>
        </w:rPr>
        <w:t xml:space="preserve">Le società con copertura Software Assurance per i prodotti qualificanti del pool di server, sistemi o applicazioni sono idonee a utilizzare il relativo vantaggio E-Learning per Applicazioni, Sistemi e Server durante il periodo di validità della copertura Software Assurance. </w:t>
      </w:r>
    </w:p>
    <w:p w14:paraId="3C7EDD52" w14:textId="77777777" w:rsidR="00324479" w:rsidRDefault="00324479" w:rsidP="002D25C8">
      <w:pPr>
        <w:tabs>
          <w:tab w:val="num" w:pos="360"/>
        </w:tabs>
      </w:pPr>
    </w:p>
    <w:p w14:paraId="69FD58B2" w14:textId="77777777" w:rsidR="009E3FD7" w:rsidRDefault="009E3FD7" w:rsidP="002D25C8">
      <w:pPr>
        <w:tabs>
          <w:tab w:val="num" w:pos="360"/>
        </w:tabs>
      </w:pPr>
    </w:p>
    <w:p w14:paraId="37409090" w14:textId="77777777" w:rsidR="009E3FD7" w:rsidRPr="0058047D" w:rsidRDefault="009E3FD7" w:rsidP="002D25C8">
      <w:pPr>
        <w:tabs>
          <w:tab w:val="num" w:pos="360"/>
        </w:tabs>
      </w:pPr>
    </w:p>
    <w:p w14:paraId="42F6AD5E" w14:textId="77777777" w:rsidR="008A7860" w:rsidRPr="0058047D" w:rsidRDefault="00324479" w:rsidP="008A7860">
      <w:pPr>
        <w:tabs>
          <w:tab w:val="num" w:pos="360"/>
        </w:tabs>
        <w:spacing w:after="60"/>
      </w:pPr>
      <w:r w:rsidRPr="0058047D">
        <w:rPr>
          <w:rFonts w:cs="Tahoma"/>
          <w:b/>
          <w:szCs w:val="18"/>
        </w:rPr>
        <w:t>Società con i Vantaggi dei Servizi Online idonee</w:t>
      </w:r>
    </w:p>
    <w:p w14:paraId="0C65CCD0" w14:textId="77777777" w:rsidR="00324479" w:rsidRPr="0058047D" w:rsidRDefault="00324479" w:rsidP="002D25C8">
      <w:pPr>
        <w:tabs>
          <w:tab w:val="num" w:pos="360"/>
        </w:tabs>
      </w:pPr>
      <w:r w:rsidRPr="0058047D">
        <w:rPr>
          <w:rFonts w:cs="Tahoma"/>
          <w:szCs w:val="18"/>
        </w:rPr>
        <w:t>Le società con Windows Intune (Per Dispositivo) sono idonee a utilizzare il vantaggio Systems E-Learning durante il periodo di validità della loro iscrizione.</w:t>
      </w:r>
      <w:r w:rsidR="00E34ED3" w:rsidRPr="0058047D">
        <w:rPr>
          <w:rFonts w:cs="Tahoma"/>
          <w:szCs w:val="18"/>
        </w:rPr>
        <w:t xml:space="preserve"> </w:t>
      </w:r>
      <w:r w:rsidRPr="0058047D">
        <w:rPr>
          <w:rFonts w:cs="Tahoma"/>
          <w:szCs w:val="18"/>
        </w:rPr>
        <w:t xml:space="preserve">Analogamente, le società in possesso di Office 365 sono idonee a utilizzare il vantaggio E-Learning per Applicazioni durante il periodo di validità della rispettiva iscrizione. </w:t>
      </w:r>
    </w:p>
    <w:p w14:paraId="386EFCFD" w14:textId="77777777" w:rsidR="00324479" w:rsidRPr="0058047D" w:rsidRDefault="00324479" w:rsidP="002D25C8">
      <w:pPr>
        <w:tabs>
          <w:tab w:val="num" w:pos="360"/>
        </w:tabs>
      </w:pPr>
    </w:p>
    <w:p w14:paraId="14EC3CF2" w14:textId="77777777" w:rsidR="00324479" w:rsidRPr="0058047D" w:rsidRDefault="00324479" w:rsidP="002D25C8">
      <w:r w:rsidRPr="0058047D">
        <w:rPr>
          <w:rFonts w:cs="Tahoma"/>
          <w:szCs w:val="18"/>
        </w:rPr>
        <w:t>Le società idonee riceveranno un codice di accesso (per Applicazioni, Sistemi, Server, Windows Intune (Per Dispositivo) e Office 365) per ogni iscrizione/contratto qualificante.</w:t>
      </w:r>
      <w:r w:rsidR="00E34ED3" w:rsidRPr="0058047D">
        <w:rPr>
          <w:rFonts w:cs="Tahoma"/>
          <w:szCs w:val="18"/>
        </w:rPr>
        <w:t xml:space="preserve"> </w:t>
      </w:r>
      <w:r w:rsidRPr="0058047D">
        <w:rPr>
          <w:rFonts w:cs="Tahoma"/>
          <w:szCs w:val="18"/>
        </w:rPr>
        <w:t xml:space="preserve">Le società potranno inoltre scaricare file </w:t>
      </w:r>
      <w:r w:rsidR="009E3FD7">
        <w:rPr>
          <w:rFonts w:cs="Tahoma"/>
          <w:szCs w:val="18"/>
        </w:rPr>
        <w:br/>
      </w:r>
      <w:r w:rsidRPr="0058047D">
        <w:rPr>
          <w:rFonts w:cs="Tahoma"/>
          <w:szCs w:val="18"/>
        </w:rPr>
        <w:t>E-learning di solo contenuto, conformi a SCORM (per Applicazioni e Sistemi) da VLSC per importarli in Learning Management System (LMS).</w:t>
      </w:r>
      <w:r w:rsidR="00E34ED3" w:rsidRPr="0058047D">
        <w:rPr>
          <w:rFonts w:cs="Tahoma"/>
          <w:szCs w:val="18"/>
        </w:rPr>
        <w:t xml:space="preserve"> </w:t>
      </w:r>
      <w:r w:rsidRPr="0058047D">
        <w:rPr>
          <w:rFonts w:cs="Tahoma"/>
          <w:szCs w:val="18"/>
        </w:rPr>
        <w:t>Per scaricare i file da VLSC non è necessario alcun codice di accesso. Le società con Contratto Enterprise e Select potranno ottenere contenuto conforme a SCORM (per Applicazioni e Sistemi) tramite download o DVD, mentre le società Open e Open Value lo potranno ottenere (per Applicazioni e Sistemi) solo tramite</w:t>
      </w:r>
      <w:r w:rsidR="009E3FD7">
        <w:rPr>
          <w:rFonts w:cs="Tahoma"/>
          <w:szCs w:val="18"/>
        </w:rPr>
        <w:t> </w:t>
      </w:r>
      <w:r w:rsidRPr="0058047D">
        <w:rPr>
          <w:rFonts w:cs="Tahoma"/>
          <w:szCs w:val="18"/>
        </w:rPr>
        <w:t>DVD.</w:t>
      </w:r>
    </w:p>
    <w:p w14:paraId="45EACAE2" w14:textId="77777777" w:rsidR="00324479" w:rsidRPr="0058047D" w:rsidRDefault="00324479" w:rsidP="002D25C8"/>
    <w:p w14:paraId="5B761811" w14:textId="77777777" w:rsidR="00324479" w:rsidRPr="0058047D" w:rsidRDefault="00324479" w:rsidP="002D25C8">
      <w:r w:rsidRPr="0058047D">
        <w:rPr>
          <w:rFonts w:cs="Tahoma"/>
          <w:szCs w:val="18"/>
        </w:rPr>
        <w:t>Il numero massimo di utenti per i quali una società potrà utilizzare il corso di E-Learning è uguale al numero di copie</w:t>
      </w:r>
      <w:r w:rsidR="009E3FD7">
        <w:rPr>
          <w:rFonts w:cs="Tahoma"/>
          <w:szCs w:val="18"/>
        </w:rPr>
        <w:t> </w:t>
      </w:r>
      <w:r w:rsidRPr="0058047D">
        <w:rPr>
          <w:rFonts w:cs="Tahoma"/>
          <w:szCs w:val="18"/>
        </w:rPr>
        <w:t>con licenza dei prodotti qualificanti che la società ha inserito nell</w:t>
      </w:r>
      <w:r w:rsidR="001C4212">
        <w:rPr>
          <w:rFonts w:cs="Tahoma"/>
          <w:szCs w:val="18"/>
        </w:rPr>
        <w:t>’</w:t>
      </w:r>
      <w:r w:rsidRPr="0058047D">
        <w:rPr>
          <w:rFonts w:cs="Tahoma"/>
          <w:szCs w:val="18"/>
        </w:rPr>
        <w:t>iscrizione per Software Assurance o degli abbonamenti per le famiglie di prodotti Windows</w:t>
      </w:r>
      <w:r w:rsidR="00E53A46" w:rsidRPr="0058047D">
        <w:rPr>
          <w:rFonts w:cs="Tahoma"/>
          <w:szCs w:val="18"/>
          <w:vertAlign w:val="superscript"/>
        </w:rPr>
        <w:t>®</w:t>
      </w:r>
      <w:r w:rsidRPr="0058047D">
        <w:rPr>
          <w:rFonts w:cs="Tahoma"/>
          <w:szCs w:val="18"/>
        </w:rPr>
        <w:t xml:space="preserve"> Intune o Office 365 acquistate. Le società dovranno designare un utente per ciascuna licenza qualificante.</w:t>
      </w:r>
      <w:r w:rsidR="00E34ED3" w:rsidRPr="0058047D">
        <w:rPr>
          <w:rFonts w:cs="Tahoma"/>
          <w:szCs w:val="18"/>
        </w:rPr>
        <w:t xml:space="preserve"> </w:t>
      </w:r>
      <w:r w:rsidRPr="0058047D">
        <w:rPr>
          <w:rFonts w:cs="Tahoma"/>
          <w:szCs w:val="18"/>
        </w:rPr>
        <w:t>L</w:t>
      </w:r>
      <w:r w:rsidR="001C4212">
        <w:rPr>
          <w:rFonts w:cs="Tahoma"/>
          <w:szCs w:val="18"/>
        </w:rPr>
        <w:t>’</w:t>
      </w:r>
      <w:r w:rsidRPr="0058047D">
        <w:rPr>
          <w:rFonts w:cs="Tahoma"/>
          <w:szCs w:val="18"/>
        </w:rPr>
        <w:t>accesso non può essere trasferito da un utente a un altro.</w:t>
      </w:r>
      <w:r w:rsidR="00E34ED3" w:rsidRPr="0058047D">
        <w:rPr>
          <w:rFonts w:cs="Tahoma"/>
          <w:szCs w:val="18"/>
        </w:rPr>
        <w:t xml:space="preserve"> </w:t>
      </w:r>
      <w:r w:rsidRPr="0058047D">
        <w:rPr>
          <w:rFonts w:cs="Tahoma"/>
          <w:szCs w:val="18"/>
        </w:rPr>
        <w:t>Al momento del lancio di un corso individuale ciascun utente qualificato avrà a disposizione fino a 12 mesi per completarlo prima che l</w:t>
      </w:r>
      <w:r w:rsidR="001C4212">
        <w:rPr>
          <w:rFonts w:cs="Tahoma"/>
          <w:szCs w:val="18"/>
        </w:rPr>
        <w:t>’</w:t>
      </w:r>
      <w:r w:rsidRPr="0058047D">
        <w:rPr>
          <w:rFonts w:cs="Tahoma"/>
          <w:szCs w:val="18"/>
        </w:rPr>
        <w:t>accesso scada, a condizione che il corso sia avviato prima della data di scadenza della copertura Software Assurance o della licenza “subscription”.</w:t>
      </w:r>
    </w:p>
    <w:p w14:paraId="5C862774" w14:textId="77777777" w:rsidR="00324479" w:rsidRPr="0058047D" w:rsidRDefault="00324479" w:rsidP="002D25C8">
      <w:pPr>
        <w:tabs>
          <w:tab w:val="num" w:pos="360"/>
        </w:tabs>
      </w:pPr>
    </w:p>
    <w:p w14:paraId="21A480D5" w14:textId="77777777" w:rsidR="00324479" w:rsidRPr="0058047D" w:rsidRDefault="00324479" w:rsidP="002D25C8">
      <w:pPr>
        <w:tabs>
          <w:tab w:val="num" w:pos="0"/>
        </w:tabs>
      </w:pPr>
      <w:r w:rsidRPr="0058047D">
        <w:rPr>
          <w:rFonts w:cs="Tahoma"/>
          <w:szCs w:val="18"/>
        </w:rPr>
        <w:t>Le società idonee potranno acquistare i kit di E-learning presso un centro di rifornimento regionale qualora l</w:t>
      </w:r>
      <w:r w:rsidR="001C4212">
        <w:rPr>
          <w:rFonts w:cs="Tahoma"/>
          <w:szCs w:val="18"/>
        </w:rPr>
        <w:t>’</w:t>
      </w:r>
      <w:r w:rsidRPr="0058047D">
        <w:rPr>
          <w:rFonts w:cs="Tahoma"/>
          <w:szCs w:val="18"/>
        </w:rPr>
        <w:t xml:space="preserve">opzione online non sia sufficiente. </w:t>
      </w:r>
    </w:p>
    <w:p w14:paraId="3EEF303D" w14:textId="77777777" w:rsidR="00324479" w:rsidRPr="0058047D" w:rsidRDefault="00324479" w:rsidP="002D25C8">
      <w:pPr>
        <w:tabs>
          <w:tab w:val="num" w:pos="0"/>
        </w:tabs>
      </w:pPr>
      <w:r w:rsidRPr="0058047D">
        <w:rPr>
          <w:rFonts w:cs="Tahoma"/>
          <w:szCs w:val="18"/>
        </w:rPr>
        <w:t>La distribuzione e l</w:t>
      </w:r>
      <w:r w:rsidR="001C4212">
        <w:rPr>
          <w:rFonts w:cs="Tahoma"/>
          <w:szCs w:val="18"/>
        </w:rPr>
        <w:t>’</w:t>
      </w:r>
      <w:r w:rsidRPr="0058047D">
        <w:rPr>
          <w:rFonts w:cs="Tahoma"/>
          <w:szCs w:val="18"/>
        </w:rPr>
        <w:t>utilizzo dei corsi di E-Learning da parte della società sono soggetti alle condizioni del relativo contratto di licenza.</w:t>
      </w:r>
      <w:r w:rsidR="00E34ED3" w:rsidRPr="0058047D">
        <w:rPr>
          <w:rFonts w:cs="Tahoma"/>
          <w:szCs w:val="18"/>
        </w:rPr>
        <w:t xml:space="preserve"> </w:t>
      </w:r>
    </w:p>
    <w:p w14:paraId="791A6B39" w14:textId="77777777" w:rsidR="00324479" w:rsidRPr="0058047D" w:rsidRDefault="00324479" w:rsidP="002D25C8">
      <w:pPr>
        <w:tabs>
          <w:tab w:val="num" w:pos="0"/>
        </w:tabs>
      </w:pPr>
    </w:p>
    <w:p w14:paraId="05906C76" w14:textId="77777777" w:rsidR="008A7860" w:rsidRPr="0058047D" w:rsidRDefault="008A7860" w:rsidP="008A7860">
      <w:pPr>
        <w:spacing w:after="60"/>
      </w:pPr>
      <w:r w:rsidRPr="0058047D">
        <w:rPr>
          <w:rFonts w:cs="Tahoma"/>
          <w:b/>
          <w:szCs w:val="18"/>
        </w:rPr>
        <w:t>Applicazioni di E-Learning</w:t>
      </w:r>
    </w:p>
    <w:p w14:paraId="109D9CFF" w14:textId="77777777" w:rsidR="00324479" w:rsidRPr="0058047D" w:rsidRDefault="00324479" w:rsidP="002D25C8">
      <w:r w:rsidRPr="0058047D">
        <w:rPr>
          <w:rFonts w:cs="Tahoma"/>
          <w:szCs w:val="18"/>
        </w:rPr>
        <w:t xml:space="preserve">Le società </w:t>
      </w:r>
      <w:r w:rsidRPr="0058047D">
        <w:rPr>
          <w:rFonts w:cs="Tahoma"/>
          <w:color w:val="000000"/>
          <w:szCs w:val="18"/>
        </w:rPr>
        <w:t>con famiglie di prodotti Office 365 ProPlus,</w:t>
      </w:r>
      <w:r w:rsidRPr="0058047D">
        <w:rPr>
          <w:rFonts w:cs="Tahoma"/>
          <w:szCs w:val="18"/>
        </w:rPr>
        <w:t xml:space="preserve"> Office 365 e copertura Software Assurance per i prodotti Applicativi qualificanti sono idonee a utilizzare corsi di E-Learning in hosting e contenuto conforme a SCORM.</w:t>
      </w:r>
      <w:r w:rsidR="00E34ED3" w:rsidRPr="0058047D">
        <w:rPr>
          <w:rFonts w:cs="Tahoma"/>
          <w:szCs w:val="18"/>
        </w:rPr>
        <w:t xml:space="preserve"> </w:t>
      </w:r>
    </w:p>
    <w:p w14:paraId="099CA9F9" w14:textId="77777777" w:rsidR="00324479" w:rsidRPr="0058047D" w:rsidRDefault="00324479" w:rsidP="002D25C8"/>
    <w:p w14:paraId="5A3165EF" w14:textId="77777777" w:rsidR="008A7860" w:rsidRPr="0058047D" w:rsidRDefault="008A7860" w:rsidP="008A7860">
      <w:pPr>
        <w:spacing w:after="60"/>
      </w:pPr>
      <w:r w:rsidRPr="0058047D">
        <w:rPr>
          <w:rFonts w:cs="Tahoma"/>
          <w:b/>
          <w:szCs w:val="18"/>
        </w:rPr>
        <w:t>Sistemi di E-Learning</w:t>
      </w:r>
    </w:p>
    <w:p w14:paraId="34206FAC" w14:textId="77777777" w:rsidR="00324479" w:rsidRPr="0058047D" w:rsidRDefault="00324479" w:rsidP="002D25C8">
      <w:r w:rsidRPr="0058047D">
        <w:rPr>
          <w:rFonts w:cs="Tahoma"/>
          <w:szCs w:val="18"/>
        </w:rPr>
        <w:t>Le società con Windows Intune (Per Dispositivo) e copertura Software Assurance per i prodotti Sistemi qualificanti sono idonee a utilizzare i corsi di E-Learning Client ospitati e contenuto conforme a SCORM.</w:t>
      </w:r>
      <w:r w:rsidR="00E34ED3" w:rsidRPr="0058047D">
        <w:rPr>
          <w:rFonts w:cs="Tahoma"/>
          <w:szCs w:val="18"/>
        </w:rPr>
        <w:t xml:space="preserve"> </w:t>
      </w:r>
    </w:p>
    <w:p w14:paraId="5B68D7E6" w14:textId="77777777" w:rsidR="00F76ED4" w:rsidRPr="0058047D" w:rsidRDefault="00F76ED4"/>
    <w:p w14:paraId="602F7828" w14:textId="77777777" w:rsidR="008A7860" w:rsidRPr="0058047D" w:rsidRDefault="008A7860" w:rsidP="008A7860">
      <w:pPr>
        <w:spacing w:after="60"/>
      </w:pPr>
      <w:r w:rsidRPr="0058047D">
        <w:rPr>
          <w:rFonts w:cs="Tahoma"/>
          <w:b/>
          <w:szCs w:val="18"/>
        </w:rPr>
        <w:t>Server di E-Learning</w:t>
      </w:r>
    </w:p>
    <w:p w14:paraId="18217C10" w14:textId="77777777" w:rsidR="00324479" w:rsidRPr="0058047D" w:rsidRDefault="00324479" w:rsidP="002D25C8">
      <w:r w:rsidRPr="0058047D">
        <w:rPr>
          <w:rFonts w:cs="Tahoma"/>
          <w:szCs w:val="18"/>
        </w:rPr>
        <w:t xml:space="preserve">Le società con copertura Software Assurance per i prodotti Server qualificanti sono idonee a utilizzare i corsi di </w:t>
      </w:r>
      <w:r w:rsidR="009E3FD7">
        <w:rPr>
          <w:rFonts w:cs="Tahoma"/>
          <w:szCs w:val="18"/>
        </w:rPr>
        <w:br/>
      </w:r>
      <w:r w:rsidRPr="0058047D">
        <w:rPr>
          <w:rFonts w:cs="Tahoma"/>
          <w:szCs w:val="18"/>
        </w:rPr>
        <w:t>E-Learning Server ospitati.</w:t>
      </w:r>
      <w:r w:rsidR="00E34ED3" w:rsidRPr="0058047D">
        <w:rPr>
          <w:rFonts w:cs="Tahoma"/>
          <w:szCs w:val="18"/>
        </w:rPr>
        <w:t xml:space="preserve"> </w:t>
      </w:r>
    </w:p>
    <w:p w14:paraId="57A12A02" w14:textId="77777777" w:rsidR="00023FE7" w:rsidRPr="0058047D" w:rsidRDefault="00023FE7" w:rsidP="002D25C8"/>
    <w:p w14:paraId="5CD57168" w14:textId="77777777" w:rsidR="00023FE7" w:rsidRPr="0058047D" w:rsidRDefault="00023FE7" w:rsidP="002D25C8">
      <w:pPr>
        <w:pStyle w:val="Heading3"/>
      </w:pPr>
      <w:bookmarkStart w:id="725" w:name="_Toc336338235"/>
      <w:bookmarkStart w:id="726" w:name="_Toc371663629"/>
      <w:r w:rsidRPr="0058047D">
        <w:rPr>
          <w:rFonts w:ascii="Tahoma" w:hAnsi="Tahoma" w:cs="Tahoma"/>
          <w:sz w:val="24"/>
        </w:rPr>
        <w:t>Home Use Program</w:t>
      </w:r>
      <w:bookmarkEnd w:id="725"/>
      <w:bookmarkEnd w:id="726"/>
    </w:p>
    <w:p w14:paraId="036C8517" w14:textId="77777777" w:rsidR="00023FE7" w:rsidRPr="0058047D" w:rsidRDefault="00023FE7" w:rsidP="002D25C8"/>
    <w:p w14:paraId="753A82D1" w14:textId="77777777" w:rsidR="00023FE7" w:rsidRPr="0058047D" w:rsidRDefault="00023FE7" w:rsidP="002D25C8">
      <w:pPr>
        <w:pStyle w:val="AppendixBodyText"/>
        <w:spacing w:after="0"/>
      </w:pPr>
      <w:r w:rsidRPr="0058047D">
        <w:rPr>
          <w:rFonts w:ascii="Tahoma" w:hAnsi="Tahoma" w:cs="Tahoma"/>
          <w:sz w:val="18"/>
          <w:szCs w:val="18"/>
        </w:rPr>
        <w:t xml:space="preserve">Le società con copertura Software Assurance attiva per i prodotti applicativi desktop qualificanti sono idonee a </w:t>
      </w:r>
      <w:r w:rsidRPr="0058047D">
        <w:rPr>
          <w:rFonts w:ascii="Tahoma" w:hAnsi="Tahoma" w:cs="Tahoma"/>
          <w:color w:val="000000"/>
          <w:sz w:val="18"/>
          <w:szCs w:val="18"/>
        </w:rPr>
        <w:t>partecipare al programma Home Use Program**.</w:t>
      </w:r>
      <w:r w:rsidR="00E34ED3" w:rsidRPr="0058047D">
        <w:rPr>
          <w:rFonts w:ascii="Tahoma" w:hAnsi="Tahoma" w:cs="Tahoma"/>
          <w:color w:val="000000"/>
          <w:sz w:val="18"/>
          <w:szCs w:val="18"/>
        </w:rPr>
        <w:t xml:space="preserve"> </w:t>
      </w:r>
      <w:r w:rsidRPr="0058047D">
        <w:rPr>
          <w:rFonts w:ascii="Tahoma" w:hAnsi="Tahoma" w:cs="Tahoma"/>
          <w:color w:val="000000"/>
          <w:sz w:val="18"/>
          <w:szCs w:val="18"/>
        </w:rPr>
        <w:t>Ai sensi del programma Home Use Program i dipendenti delle società, che utilizzano le applicazioni con licenza qualificanti, potranno acquistare una licenza singola per il corrispondente software Home Use Program da installare su un computer domestico. Le condizioni di licenza per tale</w:t>
      </w:r>
      <w:r w:rsidR="009E3FD7">
        <w:rPr>
          <w:rFonts w:ascii="Tahoma" w:hAnsi="Tahoma" w:cs="Tahoma"/>
          <w:color w:val="000000"/>
          <w:sz w:val="18"/>
          <w:szCs w:val="18"/>
        </w:rPr>
        <w:t> </w:t>
      </w:r>
      <w:r w:rsidRPr="0058047D">
        <w:rPr>
          <w:rFonts w:ascii="Tahoma" w:hAnsi="Tahoma" w:cs="Tahoma"/>
          <w:color w:val="000000"/>
          <w:sz w:val="18"/>
          <w:szCs w:val="18"/>
        </w:rPr>
        <w:t>software consentono all</w:t>
      </w:r>
      <w:r w:rsidR="001C4212">
        <w:rPr>
          <w:rFonts w:ascii="Tahoma" w:hAnsi="Tahoma" w:cs="Tahoma"/>
          <w:color w:val="000000"/>
          <w:sz w:val="18"/>
          <w:szCs w:val="18"/>
        </w:rPr>
        <w:t>’</w:t>
      </w:r>
      <w:r w:rsidRPr="0058047D">
        <w:rPr>
          <w:rFonts w:ascii="Tahoma" w:hAnsi="Tahoma" w:cs="Tahoma"/>
          <w:color w:val="000000"/>
          <w:sz w:val="18"/>
          <w:szCs w:val="18"/>
        </w:rPr>
        <w:t>utente principale del computer domestico di installare e utilizzare un</w:t>
      </w:r>
      <w:r w:rsidR="001C4212">
        <w:rPr>
          <w:rFonts w:ascii="Tahoma" w:hAnsi="Tahoma" w:cs="Tahoma"/>
          <w:color w:val="000000"/>
          <w:sz w:val="18"/>
          <w:szCs w:val="18"/>
        </w:rPr>
        <w:t>’</w:t>
      </w:r>
      <w:r w:rsidRPr="0058047D">
        <w:rPr>
          <w:rFonts w:ascii="Tahoma" w:hAnsi="Tahoma" w:cs="Tahoma"/>
          <w:color w:val="000000"/>
          <w:sz w:val="18"/>
          <w:szCs w:val="18"/>
        </w:rPr>
        <w:t>altra copia su un</w:t>
      </w:r>
      <w:r w:rsidR="009E3FD7">
        <w:rPr>
          <w:rFonts w:ascii="Tahoma" w:hAnsi="Tahoma" w:cs="Tahoma"/>
          <w:color w:val="000000"/>
          <w:sz w:val="18"/>
          <w:szCs w:val="18"/>
        </w:rPr>
        <w:t> </w:t>
      </w:r>
      <w:r w:rsidRPr="0058047D">
        <w:rPr>
          <w:rFonts w:ascii="Tahoma" w:hAnsi="Tahoma" w:cs="Tahoma"/>
          <w:color w:val="000000"/>
          <w:sz w:val="18"/>
          <w:szCs w:val="18"/>
        </w:rPr>
        <w:t>dispositivo portatile.</w:t>
      </w:r>
      <w:r w:rsidR="00E34ED3" w:rsidRPr="0058047D">
        <w:rPr>
          <w:rFonts w:ascii="Tahoma" w:hAnsi="Tahoma" w:cs="Tahoma"/>
          <w:color w:val="000000"/>
          <w:sz w:val="18"/>
          <w:szCs w:val="18"/>
        </w:rPr>
        <w:t xml:space="preserve"> </w:t>
      </w:r>
      <w:r w:rsidRPr="0058047D">
        <w:rPr>
          <w:rFonts w:ascii="Tahoma" w:hAnsi="Tahoma" w:cs="Tahoma"/>
          <w:color w:val="000000"/>
          <w:sz w:val="18"/>
          <w:szCs w:val="18"/>
        </w:rPr>
        <w:t>A condizione che i dipendenti ricevano da Microsoft in primo luogo i codici Product Key appropriati per Home Use Program, le società potranno consentire ai loro dipendenti di installare il software Home Use Program corrispondente, acquistato dalle società ai sensi dei rispettivi Contratti Multilicenza, sui computer e i dispositivi portatili dei dipendenti che si trovano presso le sedi delle società. Qualora una nuova versione sia rilasciata durante il periodo di utilizzo qualificato, gli utenti principali possono acquistare la versione più recente in sostituzione della versione attualmente installata.</w:t>
      </w:r>
      <w:r w:rsidR="00E34ED3" w:rsidRPr="0058047D">
        <w:rPr>
          <w:rFonts w:ascii="Tahoma" w:hAnsi="Tahoma" w:cs="Tahoma"/>
          <w:color w:val="000000"/>
          <w:sz w:val="18"/>
          <w:szCs w:val="18"/>
        </w:rPr>
        <w:t xml:space="preserve"> </w:t>
      </w:r>
      <w:r w:rsidRPr="0058047D">
        <w:rPr>
          <w:rFonts w:ascii="Tahoma" w:hAnsi="Tahoma" w:cs="Tahoma"/>
          <w:color w:val="000000"/>
          <w:sz w:val="18"/>
          <w:szCs w:val="18"/>
        </w:rPr>
        <w:t>Fare riferimento alla tabella o alle singole sezioni sui prodotti riportate di seguito per conoscere le applicazioni desktop che qualificano le società per la partecipazione al programma Home Use Program.</w:t>
      </w:r>
      <w:r w:rsidR="00E34ED3" w:rsidRPr="0058047D">
        <w:rPr>
          <w:rFonts w:ascii="Tahoma" w:hAnsi="Tahoma" w:cs="Tahoma"/>
          <w:color w:val="000000"/>
          <w:sz w:val="18"/>
          <w:szCs w:val="18"/>
        </w:rPr>
        <w:t xml:space="preserve"> </w:t>
      </w:r>
      <w:r w:rsidRPr="0058047D">
        <w:rPr>
          <w:rFonts w:ascii="Tahoma" w:hAnsi="Tahoma" w:cs="Tahoma"/>
          <w:color w:val="000000"/>
          <w:sz w:val="18"/>
          <w:szCs w:val="18"/>
        </w:rPr>
        <w:t>Le applicazioni desktop disponibili nel programma Home Use Program sono indicate anche nella tabella che</w:t>
      </w:r>
      <w:r w:rsidR="009E3FD7">
        <w:rPr>
          <w:rFonts w:ascii="Tahoma" w:hAnsi="Tahoma" w:cs="Tahoma"/>
          <w:color w:val="000000"/>
          <w:sz w:val="18"/>
          <w:szCs w:val="18"/>
        </w:rPr>
        <w:t> </w:t>
      </w:r>
      <w:r w:rsidRPr="0058047D">
        <w:rPr>
          <w:rFonts w:ascii="Tahoma" w:hAnsi="Tahoma" w:cs="Tahoma"/>
          <w:color w:val="000000"/>
          <w:sz w:val="18"/>
          <w:szCs w:val="18"/>
        </w:rPr>
        <w:t>segue*.</w:t>
      </w:r>
    </w:p>
    <w:p w14:paraId="60B9865B" w14:textId="77777777" w:rsidR="00023FE7" w:rsidRDefault="00023FE7" w:rsidP="002D25C8">
      <w:pPr>
        <w:pStyle w:val="AppendixBodyText"/>
        <w:spacing w:after="0"/>
      </w:pPr>
    </w:p>
    <w:p w14:paraId="486449C5" w14:textId="77777777" w:rsidR="009E3FD7" w:rsidRPr="0058047D" w:rsidRDefault="009E3FD7" w:rsidP="002D25C8">
      <w:pPr>
        <w:pStyle w:val="AppendixBodyText"/>
        <w:spacing w:after="0"/>
      </w:pPr>
    </w:p>
    <w:p w14:paraId="4A6ED5F2" w14:textId="77777777" w:rsidR="00023FE7" w:rsidRPr="0058047D" w:rsidRDefault="00023FE7" w:rsidP="002D25C8">
      <w:pPr>
        <w:pStyle w:val="AppendixFlushBulletedList"/>
        <w:tabs>
          <w:tab w:val="clear" w:pos="360"/>
        </w:tabs>
        <w:ind w:left="0" w:firstLine="0"/>
      </w:pPr>
      <w:r w:rsidRPr="0058047D">
        <w:rPr>
          <w:rFonts w:ascii="Tahoma" w:hAnsi="Tahoma" w:cs="Tahoma"/>
          <w:sz w:val="18"/>
          <w:szCs w:val="18"/>
        </w:rPr>
        <w:t>L</w:t>
      </w:r>
      <w:r w:rsidR="001C4212">
        <w:rPr>
          <w:rFonts w:ascii="Tahoma" w:hAnsi="Tahoma" w:cs="Tahoma"/>
          <w:sz w:val="18"/>
          <w:szCs w:val="18"/>
        </w:rPr>
        <w:t>’</w:t>
      </w:r>
      <w:r w:rsidRPr="0058047D">
        <w:rPr>
          <w:rFonts w:ascii="Tahoma" w:hAnsi="Tahoma" w:cs="Tahoma"/>
          <w:sz w:val="18"/>
          <w:szCs w:val="18"/>
        </w:rPr>
        <w:t>idoneità delle società a partecipare al programma Home Use Program termina alla scadenza o alla risoluzione della</w:t>
      </w:r>
      <w:r w:rsidR="009E3FD7">
        <w:rPr>
          <w:rFonts w:ascii="Tahoma" w:hAnsi="Tahoma" w:cs="Tahoma"/>
          <w:sz w:val="18"/>
          <w:szCs w:val="18"/>
        </w:rPr>
        <w:t> </w:t>
      </w:r>
      <w:r w:rsidRPr="0058047D">
        <w:rPr>
          <w:rFonts w:ascii="Tahoma" w:hAnsi="Tahoma" w:cs="Tahoma"/>
          <w:sz w:val="18"/>
          <w:szCs w:val="18"/>
        </w:rPr>
        <w:t>copertura Software Assurance relativa alle applicazioni desktop qualificanti.</w:t>
      </w:r>
      <w:r w:rsidR="00E34ED3" w:rsidRPr="0058047D">
        <w:rPr>
          <w:rFonts w:ascii="Tahoma" w:hAnsi="Tahoma" w:cs="Tahoma"/>
          <w:sz w:val="18"/>
          <w:szCs w:val="18"/>
        </w:rPr>
        <w:t xml:space="preserve"> </w:t>
      </w:r>
      <w:r w:rsidRPr="0058047D">
        <w:rPr>
          <w:rFonts w:ascii="Tahoma" w:hAnsi="Tahoma" w:cs="Tahoma"/>
          <w:sz w:val="18"/>
          <w:szCs w:val="18"/>
        </w:rPr>
        <w:t xml:space="preserve">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 </w:t>
      </w:r>
    </w:p>
    <w:p w14:paraId="1912746A" w14:textId="77777777" w:rsidR="00023FE7" w:rsidRPr="0058047D" w:rsidRDefault="00023FE7" w:rsidP="002D25C8">
      <w:pPr>
        <w:pStyle w:val="AppendixFlushBulletedList"/>
        <w:tabs>
          <w:tab w:val="clear" w:pos="360"/>
        </w:tabs>
        <w:ind w:left="0" w:firstLine="0"/>
      </w:pPr>
    </w:p>
    <w:p w14:paraId="7408D5A1" w14:textId="77777777" w:rsidR="00023FE7" w:rsidRPr="0058047D" w:rsidRDefault="00023FE7" w:rsidP="002D25C8">
      <w:pPr>
        <w:pStyle w:val="AppendixFlushBulletedList"/>
        <w:tabs>
          <w:tab w:val="clear" w:pos="360"/>
        </w:tabs>
        <w:ind w:left="0" w:firstLine="0"/>
      </w:pPr>
      <w:r w:rsidRPr="0058047D">
        <w:rPr>
          <w:rFonts w:ascii="Tahoma" w:hAnsi="Tahoma" w:cs="Tahoma"/>
          <w:sz w:val="18"/>
          <w:szCs w:val="18"/>
        </w:rPr>
        <w:t>Il numero di licenze Home Use Program acquistabili per qualsiasi applicazione desktop è limitato al numero di licenze per le corrispondenti applicazioni desktop qualificanti per le quali la società acquista Software Assurance.</w:t>
      </w:r>
      <w:r w:rsidR="00E34ED3" w:rsidRPr="0058047D">
        <w:rPr>
          <w:rFonts w:ascii="Tahoma" w:hAnsi="Tahoma" w:cs="Tahoma"/>
          <w:sz w:val="18"/>
          <w:szCs w:val="18"/>
        </w:rPr>
        <w:t xml:space="preserve"> </w:t>
      </w:r>
      <w:r w:rsidRPr="0058047D">
        <w:rPr>
          <w:rFonts w:ascii="Tahoma" w:hAnsi="Tahoma" w:cs="Tahoma"/>
          <w:sz w:val="18"/>
          <w:szCs w:val="18"/>
        </w:rPr>
        <w:t>Ai sensi del</w:t>
      </w:r>
      <w:r w:rsidR="009E3FD7">
        <w:rPr>
          <w:rFonts w:ascii="Tahoma" w:hAnsi="Tahoma" w:cs="Tahoma"/>
          <w:sz w:val="18"/>
          <w:szCs w:val="18"/>
        </w:rPr>
        <w:t> </w:t>
      </w:r>
      <w:r w:rsidRPr="0058047D">
        <w:rPr>
          <w:rFonts w:ascii="Tahoma" w:hAnsi="Tahoma" w:cs="Tahoma"/>
          <w:sz w:val="18"/>
          <w:szCs w:val="18"/>
        </w:rPr>
        <w:t>programma Home Use Program i diritti sull</w:t>
      </w:r>
      <w:r w:rsidR="001C4212">
        <w:rPr>
          <w:rFonts w:ascii="Tahoma" w:hAnsi="Tahoma" w:cs="Tahoma"/>
          <w:sz w:val="18"/>
          <w:szCs w:val="18"/>
        </w:rPr>
        <w:t>’</w:t>
      </w:r>
      <w:r w:rsidRPr="0058047D">
        <w:rPr>
          <w:rFonts w:ascii="Tahoma" w:hAnsi="Tahoma" w:cs="Tahoma"/>
          <w:sz w:val="18"/>
          <w:szCs w:val="18"/>
        </w:rPr>
        <w:t>utilizzo concessi a una società sono collegati alla continuazione del</w:t>
      </w:r>
      <w:r w:rsidR="009E3FD7">
        <w:rPr>
          <w:rFonts w:ascii="Tahoma" w:hAnsi="Tahoma" w:cs="Tahoma"/>
          <w:sz w:val="18"/>
          <w:szCs w:val="18"/>
        </w:rPr>
        <w:t> </w:t>
      </w:r>
      <w:r w:rsidRPr="0058047D">
        <w:rPr>
          <w:rFonts w:ascii="Tahoma" w:hAnsi="Tahoma" w:cs="Tahoma"/>
          <w:sz w:val="18"/>
          <w:szCs w:val="18"/>
        </w:rPr>
        <w:t>rapporto di lavoro con la Società e terminano con la risoluzione del rapporto di lavoro, con la risoluzione o la scadenza della copertura Software Assurance per la copia dell</w:t>
      </w:r>
      <w:r w:rsidR="001C4212">
        <w:rPr>
          <w:rFonts w:ascii="Tahoma" w:hAnsi="Tahoma" w:cs="Tahoma"/>
          <w:sz w:val="18"/>
          <w:szCs w:val="18"/>
        </w:rPr>
        <w:t>’</w:t>
      </w:r>
      <w:r w:rsidRPr="0058047D">
        <w:rPr>
          <w:rFonts w:ascii="Tahoma" w:hAnsi="Tahoma" w:cs="Tahoma"/>
          <w:sz w:val="18"/>
          <w:szCs w:val="18"/>
        </w:rPr>
        <w:t>applicazione desktop corrispondente che il dipendente utilizza in ufficio, quando il dipendente non usa più la copia con licenza del software o in occasione dell</w:t>
      </w:r>
      <w:r w:rsidR="001C4212">
        <w:rPr>
          <w:rFonts w:ascii="Tahoma" w:hAnsi="Tahoma" w:cs="Tahoma"/>
          <w:sz w:val="18"/>
          <w:szCs w:val="18"/>
        </w:rPr>
        <w:t>’</w:t>
      </w:r>
      <w:r w:rsidRPr="0058047D">
        <w:rPr>
          <w:rFonts w:ascii="Tahoma" w:hAnsi="Tahoma" w:cs="Tahoma"/>
          <w:sz w:val="18"/>
          <w:szCs w:val="18"/>
        </w:rPr>
        <w:t>installazione e</w:t>
      </w:r>
      <w:r w:rsidR="009E3FD7">
        <w:rPr>
          <w:rFonts w:ascii="Tahoma" w:hAnsi="Tahoma" w:cs="Tahoma"/>
          <w:sz w:val="18"/>
          <w:szCs w:val="18"/>
        </w:rPr>
        <w:t> </w:t>
      </w:r>
      <w:r w:rsidRPr="0058047D">
        <w:rPr>
          <w:rFonts w:ascii="Tahoma" w:hAnsi="Tahoma" w:cs="Tahoma"/>
          <w:sz w:val="18"/>
          <w:szCs w:val="18"/>
        </w:rPr>
        <w:t>dell</w:t>
      </w:r>
      <w:r w:rsidR="001C4212">
        <w:rPr>
          <w:rFonts w:ascii="Tahoma" w:hAnsi="Tahoma" w:cs="Tahoma"/>
          <w:sz w:val="18"/>
          <w:szCs w:val="18"/>
        </w:rPr>
        <w:t>’</w:t>
      </w:r>
      <w:r w:rsidRPr="0058047D">
        <w:rPr>
          <w:rFonts w:ascii="Tahoma" w:hAnsi="Tahoma" w:cs="Tahoma"/>
          <w:sz w:val="18"/>
          <w:szCs w:val="18"/>
        </w:rPr>
        <w:t>impiego da parte del dipendente di una versione precedente o successiva dell</w:t>
      </w:r>
      <w:r w:rsidR="001C4212">
        <w:rPr>
          <w:rFonts w:ascii="Tahoma" w:hAnsi="Tahoma" w:cs="Tahoma"/>
          <w:sz w:val="18"/>
          <w:szCs w:val="18"/>
        </w:rPr>
        <w:t>’</w:t>
      </w:r>
      <w:r w:rsidRPr="0058047D">
        <w:rPr>
          <w:rFonts w:ascii="Tahoma" w:hAnsi="Tahoma" w:cs="Tahoma"/>
          <w:sz w:val="18"/>
          <w:szCs w:val="18"/>
        </w:rPr>
        <w:t>applicazione desktop in conformità alla licenza Home Use Program.</w:t>
      </w:r>
    </w:p>
    <w:p w14:paraId="11F87A80" w14:textId="77777777" w:rsidR="00023FE7" w:rsidRPr="0058047D" w:rsidRDefault="00023FE7" w:rsidP="002D25C8">
      <w:pPr>
        <w:pStyle w:val="AppendixFlushBulletedList"/>
        <w:tabs>
          <w:tab w:val="clear" w:pos="360"/>
        </w:tabs>
        <w:ind w:left="0" w:firstLine="0"/>
      </w:pPr>
    </w:p>
    <w:p w14:paraId="04804177" w14:textId="77777777" w:rsidR="00023FE7" w:rsidRPr="0058047D" w:rsidRDefault="00023FE7" w:rsidP="002D25C8">
      <w:pPr>
        <w:pStyle w:val="AppendixFlushBulletedList"/>
        <w:tabs>
          <w:tab w:val="clear" w:pos="360"/>
        </w:tabs>
        <w:ind w:left="0" w:firstLine="0"/>
      </w:pPr>
      <w:r w:rsidRPr="0058047D">
        <w:rPr>
          <w:rFonts w:ascii="Tahoma" w:hAnsi="Tahoma" w:cs="Tahoma"/>
          <w:sz w:val="18"/>
          <w:szCs w:val="18"/>
        </w:rPr>
        <w:t>Le società non sono responsabili della conformità dei singoli dipendenti alle condizioni di licenza con l</w:t>
      </w:r>
      <w:r w:rsidR="001C4212">
        <w:rPr>
          <w:rFonts w:ascii="Tahoma" w:hAnsi="Tahoma" w:cs="Tahoma"/>
          <w:sz w:val="18"/>
          <w:szCs w:val="18"/>
        </w:rPr>
        <w:t>’</w:t>
      </w:r>
      <w:r w:rsidRPr="0058047D">
        <w:rPr>
          <w:rFonts w:ascii="Tahoma" w:hAnsi="Tahoma" w:cs="Tahoma"/>
          <w:sz w:val="18"/>
          <w:szCs w:val="18"/>
        </w:rPr>
        <w:t>utente finale per il programma Home Use Program.</w:t>
      </w:r>
      <w:r w:rsidR="00E34ED3" w:rsidRPr="0058047D">
        <w:rPr>
          <w:rFonts w:ascii="Tahoma" w:hAnsi="Tahoma" w:cs="Tahoma"/>
          <w:sz w:val="18"/>
          <w:szCs w:val="18"/>
        </w:rPr>
        <w:t xml:space="preserve"> </w:t>
      </w:r>
      <w:r w:rsidRPr="0058047D">
        <w:rPr>
          <w:rFonts w:ascii="Tahoma" w:hAnsi="Tahoma" w:cs="Tahoma"/>
          <w:sz w:val="18"/>
          <w:szCs w:val="18"/>
        </w:rPr>
        <w:t>Tali condizioni vengono stipulate tra Microsoft e il dipendente della società e sono diverse dai diritti offerti ai sensi dei contratti Volume Licensing delle società, ad esempio il dipendente potrà installare solo una copia del software HUP. Microsoft invita le società a limitare l</w:t>
      </w:r>
      <w:r w:rsidR="001C4212">
        <w:rPr>
          <w:rFonts w:ascii="Tahoma" w:hAnsi="Tahoma" w:cs="Tahoma"/>
          <w:sz w:val="18"/>
          <w:szCs w:val="18"/>
        </w:rPr>
        <w:t>’</w:t>
      </w:r>
      <w:r w:rsidRPr="0058047D">
        <w:rPr>
          <w:rFonts w:ascii="Tahoma" w:hAnsi="Tahoma" w:cs="Tahoma"/>
          <w:sz w:val="18"/>
          <w:szCs w:val="18"/>
        </w:rPr>
        <w:t>accesso al programma Home Use Program ai dipendenti e a informare tali dipendenti che dovranno interrompere l</w:t>
      </w:r>
      <w:r w:rsidR="001C4212">
        <w:rPr>
          <w:rFonts w:ascii="Tahoma" w:hAnsi="Tahoma" w:cs="Tahoma"/>
          <w:sz w:val="18"/>
          <w:szCs w:val="18"/>
        </w:rPr>
        <w:t>’</w:t>
      </w:r>
      <w:r w:rsidRPr="0058047D">
        <w:rPr>
          <w:rFonts w:ascii="Tahoma" w:hAnsi="Tahoma" w:cs="Tahoma"/>
          <w:sz w:val="18"/>
          <w:szCs w:val="18"/>
        </w:rPr>
        <w:t>utilizzo del software Home Use Program alla scadenza della copertura Software Assurance o alla risoluzione del rapporto di lavoro.</w:t>
      </w:r>
    </w:p>
    <w:p w14:paraId="475C3837" w14:textId="77777777" w:rsidR="00023FE7" w:rsidRPr="0058047D" w:rsidRDefault="00023FE7" w:rsidP="002D25C8">
      <w:pPr>
        <w:pStyle w:val="AppendixFlushBulletedList"/>
        <w:tabs>
          <w:tab w:val="clear" w:pos="360"/>
        </w:tabs>
        <w:ind w:left="0" w:firstLine="0"/>
      </w:pPr>
    </w:p>
    <w:p w14:paraId="37E5627C" w14:textId="77777777" w:rsidR="00023FE7" w:rsidRPr="0058047D" w:rsidRDefault="00023FE7" w:rsidP="002D25C8">
      <w:r w:rsidRPr="0058047D">
        <w:rPr>
          <w:rFonts w:cs="Tahoma"/>
          <w:color w:val="000000"/>
          <w:szCs w:val="18"/>
        </w:rPr>
        <w:t>La partecipazione al programma potrà implicare il pagamento di alcune imposte da parte della società e dei suoi dipendenti.</w:t>
      </w:r>
      <w:r w:rsidR="00E34ED3" w:rsidRPr="0058047D">
        <w:rPr>
          <w:rFonts w:cs="Tahoma"/>
          <w:color w:val="000000"/>
          <w:szCs w:val="18"/>
        </w:rPr>
        <w:t xml:space="preserve"> </w:t>
      </w:r>
      <w:r w:rsidRPr="0058047D">
        <w:rPr>
          <w:rFonts w:cs="Tahoma"/>
          <w:color w:val="000000"/>
          <w:szCs w:val="18"/>
        </w:rPr>
        <w:t xml:space="preserve">La società potrà desiderare di rivolgersi a un consulente fiscale prima di utilizzare tale vantaggio. Microsoft non si assume alcuna responsabilità riguardo alla conformità alle obbligazioni che la società o i suoi dipendenti potranno avere circa la relazione rapporto di lavoro-vantaggio, le imposte o le segnalazioni. </w:t>
      </w:r>
      <w:r w:rsidRPr="0058047D">
        <w:t>Ulteriori condizioni che si applicano ai dipendenti che risiedono in Nuova Zelanda sono stabilite di seguito:</w:t>
      </w:r>
    </w:p>
    <w:p w14:paraId="75FFF3FA" w14:textId="77777777" w:rsidR="00023FE7" w:rsidRPr="0058047D" w:rsidRDefault="00023FE7" w:rsidP="00F93617"/>
    <w:p w14:paraId="773FC237" w14:textId="77777777" w:rsidR="00023FE7" w:rsidRPr="0058047D" w:rsidRDefault="00023FE7" w:rsidP="00E077BC">
      <w:pPr>
        <w:numPr>
          <w:ilvl w:val="0"/>
          <w:numId w:val="12"/>
        </w:numPr>
        <w:tabs>
          <w:tab w:val="left" w:pos="1440"/>
        </w:tabs>
        <w:spacing w:afterLines="60" w:after="144"/>
        <w:ind w:left="1440"/>
      </w:pPr>
      <w:r w:rsidRPr="0058047D">
        <w:t>Le società non dovranno richiedere alcun pagamento o compenso ai dipendenti in relazione all</w:t>
      </w:r>
      <w:r w:rsidR="001C4212">
        <w:t>’</w:t>
      </w:r>
      <w:r w:rsidRPr="0058047D">
        <w:t>HUP né dovranno svolgere o omettere di svolgere azioni che avrebbero come conseguenza l</w:t>
      </w:r>
      <w:r w:rsidR="001C4212">
        <w:t>’</w:t>
      </w:r>
      <w:r w:rsidRPr="0058047D">
        <w:t xml:space="preserve">aumento del costo totale dei vantaggi HUP per qualsiasi dipendente residente in Nuova Zelanda al di là di qualsiasi importo addebitato da Microsoft. </w:t>
      </w:r>
    </w:p>
    <w:p w14:paraId="640AB6AF" w14:textId="77777777" w:rsidR="00023FE7" w:rsidRPr="0058047D" w:rsidRDefault="00023FE7" w:rsidP="00F93617">
      <w:pPr>
        <w:numPr>
          <w:ilvl w:val="0"/>
          <w:numId w:val="12"/>
        </w:numPr>
        <w:tabs>
          <w:tab w:val="left" w:pos="1440"/>
        </w:tabs>
        <w:ind w:left="1440"/>
      </w:pPr>
      <w:r w:rsidRPr="0058047D">
        <w:t xml:space="preserve">Le società dovranno indennizzare e garantire che Microsoft e le relative consociate siano indennizzate e sollevate da qualsiasi costo, spesa, perdita o danno riportato da Microsoft o dalle sue consociate derivante dalla mancata conformità alle obbligazioni previste nella presente sezione. </w:t>
      </w:r>
    </w:p>
    <w:p w14:paraId="0A0F3769" w14:textId="77777777" w:rsidR="00023FE7" w:rsidRPr="0058047D" w:rsidRDefault="00023FE7" w:rsidP="00F93617"/>
    <w:p w14:paraId="04CD76D6" w14:textId="77777777" w:rsidR="00023FE7" w:rsidRPr="0058047D" w:rsidRDefault="00023FE7" w:rsidP="002D25C8">
      <w:r w:rsidRPr="0058047D">
        <w:rPr>
          <w:rFonts w:cs="Tahoma"/>
          <w:szCs w:val="18"/>
        </w:rPr>
        <w:t>L</w:t>
      </w:r>
      <w:r w:rsidR="001C4212">
        <w:rPr>
          <w:rFonts w:cs="Tahoma"/>
          <w:szCs w:val="18"/>
        </w:rPr>
        <w:t>’</w:t>
      </w:r>
      <w:r w:rsidRPr="0058047D">
        <w:rPr>
          <w:rFonts w:cs="Tahoma"/>
          <w:szCs w:val="18"/>
        </w:rPr>
        <w:t>elenco di applicazioni desktop qualificanti è soggetto a modifica in qualsiasi momento e senza alcuna comunicazione e varia in base alla regione o all</w:t>
      </w:r>
      <w:r w:rsidR="001C4212">
        <w:rPr>
          <w:rFonts w:cs="Tahoma"/>
          <w:szCs w:val="18"/>
        </w:rPr>
        <w:t>’</w:t>
      </w:r>
      <w:r w:rsidRPr="0058047D">
        <w:rPr>
          <w:rFonts w:cs="Tahoma"/>
          <w:szCs w:val="18"/>
        </w:rPr>
        <w:t>offerta. La disponibilità del software Home Use Program è soggetta a modifica in qualsiasi momento e senza alcuna comunicazione e varia in base alla regione, all</w:t>
      </w:r>
      <w:r w:rsidR="001C4212">
        <w:rPr>
          <w:rFonts w:cs="Tahoma"/>
          <w:szCs w:val="18"/>
        </w:rPr>
        <w:t>’</w:t>
      </w:r>
      <w:r w:rsidRPr="0058047D">
        <w:rPr>
          <w:rFonts w:cs="Tahoma"/>
          <w:szCs w:val="18"/>
        </w:rPr>
        <w:t>offerta, all</w:t>
      </w:r>
      <w:r w:rsidR="001C4212">
        <w:rPr>
          <w:rFonts w:cs="Tahoma"/>
          <w:szCs w:val="18"/>
        </w:rPr>
        <w:t>’</w:t>
      </w:r>
      <w:r w:rsidRPr="0058047D">
        <w:rPr>
          <w:rFonts w:cs="Tahoma"/>
          <w:szCs w:val="18"/>
        </w:rPr>
        <w:t>applicazione, alla versione e alla lingua.</w:t>
      </w:r>
    </w:p>
    <w:p w14:paraId="5954B25A" w14:textId="77777777" w:rsidR="00023FE7" w:rsidRPr="0058047D" w:rsidRDefault="00023FE7" w:rsidP="002D25C8"/>
    <w:p w14:paraId="214B12E5" w14:textId="77777777" w:rsidR="00023FE7" w:rsidRPr="0058047D" w:rsidRDefault="00502827" w:rsidP="000C1619">
      <w:r w:rsidRPr="0058047D">
        <w:rPr>
          <w:rFonts w:cs="Tahoma"/>
          <w:szCs w:val="18"/>
        </w:rPr>
        <w:t>In Microsoft Office Professional Plus HUP sono inclusi i seguenti programmi Microsoft Office:</w:t>
      </w:r>
    </w:p>
    <w:p w14:paraId="582099C1" w14:textId="77777777" w:rsidR="00023FE7" w:rsidRPr="0058047D" w:rsidRDefault="00023FE7" w:rsidP="00EC05F0">
      <w:pPr>
        <w:keepNext/>
        <w:keepLines/>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399"/>
        <w:gridCol w:w="38"/>
        <w:gridCol w:w="3454"/>
      </w:tblGrid>
      <w:tr w:rsidR="00023FE7" w:rsidRPr="0058047D" w14:paraId="0154FB07" w14:textId="77777777" w:rsidTr="00BF1889">
        <w:trPr>
          <w:gridAfter w:val="1"/>
          <w:wAfter w:w="3454" w:type="dxa"/>
          <w:trHeight w:val="60"/>
        </w:trPr>
        <w:tc>
          <w:tcPr>
            <w:tcW w:w="4437" w:type="dxa"/>
            <w:gridSpan w:val="2"/>
            <w:shd w:val="clear" w:color="auto" w:fill="FABF8F"/>
            <w:tcMar>
              <w:top w:w="0" w:type="dxa"/>
              <w:left w:w="108" w:type="dxa"/>
              <w:bottom w:w="0" w:type="dxa"/>
              <w:right w:w="108" w:type="dxa"/>
            </w:tcMar>
            <w:vAlign w:val="center"/>
          </w:tcPr>
          <w:p w14:paraId="75B774A6" w14:textId="77777777" w:rsidR="00CA6072" w:rsidRPr="0058047D" w:rsidRDefault="00CA6072" w:rsidP="00EC05F0">
            <w:pPr>
              <w:pStyle w:val="appendixtableheadings0"/>
              <w:keepNext/>
              <w:keepLines/>
            </w:pPr>
            <w:r w:rsidRPr="0058047D">
              <w:rPr>
                <w:rFonts w:ascii="Tahoma" w:hAnsi="Tahoma" w:cs="Tahoma"/>
                <w:color w:val="000000"/>
                <w:sz w:val="20"/>
                <w:szCs w:val="20"/>
              </w:rPr>
              <w:t xml:space="preserve">Componenti Office Professional Plus per HUP </w:t>
            </w:r>
          </w:p>
          <w:p w14:paraId="1A0307F5" w14:textId="77777777" w:rsidR="00023FE7" w:rsidRPr="0058047D" w:rsidRDefault="00023FE7" w:rsidP="000C1619">
            <w:pPr>
              <w:pStyle w:val="appendixtableheadings0"/>
              <w:rPr>
                <w:rFonts w:ascii="Tahoma" w:hAnsi="Tahoma" w:cs="Tahoma"/>
                <w:color w:val="000000"/>
                <w:sz w:val="20"/>
                <w:szCs w:val="20"/>
              </w:rPr>
            </w:pPr>
          </w:p>
        </w:tc>
      </w:tr>
      <w:tr w:rsidR="00023FE7" w:rsidRPr="0058047D" w14:paraId="142AB704" w14:textId="77777777" w:rsidTr="00BF1889">
        <w:trPr>
          <w:gridAfter w:val="1"/>
          <w:wAfter w:w="3454" w:type="dxa"/>
          <w:trHeight w:val="438"/>
        </w:trPr>
        <w:tc>
          <w:tcPr>
            <w:tcW w:w="4437" w:type="dxa"/>
            <w:gridSpan w:val="2"/>
            <w:tcMar>
              <w:top w:w="0" w:type="dxa"/>
              <w:left w:w="108" w:type="dxa"/>
              <w:bottom w:w="0" w:type="dxa"/>
              <w:right w:w="108" w:type="dxa"/>
            </w:tcMar>
            <w:vAlign w:val="center"/>
          </w:tcPr>
          <w:p w14:paraId="342EF7C9" w14:textId="77777777" w:rsidR="00CA6072" w:rsidRPr="0058047D" w:rsidRDefault="00CA6072" w:rsidP="000C1619">
            <w:pPr>
              <w:pStyle w:val="appendixtabletext0"/>
            </w:pPr>
            <w:r w:rsidRPr="0058047D">
              <w:rPr>
                <w:rFonts w:ascii="Tahoma" w:hAnsi="Tahoma" w:cs="Tahoma"/>
                <w:color w:val="000000"/>
              </w:rPr>
              <w:t>Word 2013</w:t>
            </w:r>
          </w:p>
          <w:p w14:paraId="08E4B55D" w14:textId="77777777" w:rsidR="00CA6072" w:rsidRPr="0058047D" w:rsidRDefault="00CA6072" w:rsidP="000C1619">
            <w:pPr>
              <w:pStyle w:val="appendixtabletext0"/>
            </w:pPr>
            <w:r w:rsidRPr="0058047D">
              <w:rPr>
                <w:rFonts w:ascii="Tahoma" w:hAnsi="Tahoma" w:cs="Tahoma"/>
                <w:color w:val="000000"/>
              </w:rPr>
              <w:t>Excel</w:t>
            </w:r>
            <w:r w:rsidR="00E53A46" w:rsidRPr="0058047D">
              <w:rPr>
                <w:rFonts w:ascii="Tahoma" w:hAnsi="Tahoma" w:cs="Tahoma"/>
                <w:color w:val="000000"/>
                <w:vertAlign w:val="superscript"/>
              </w:rPr>
              <w:t>®</w:t>
            </w:r>
            <w:r w:rsidRPr="0058047D">
              <w:rPr>
                <w:rFonts w:ascii="Tahoma" w:hAnsi="Tahoma" w:cs="Tahoma"/>
                <w:color w:val="000000"/>
              </w:rPr>
              <w:t xml:space="preserve"> 2013</w:t>
            </w:r>
          </w:p>
          <w:p w14:paraId="490E5982" w14:textId="77777777" w:rsidR="00CA6072" w:rsidRPr="0058047D" w:rsidRDefault="00CA6072" w:rsidP="000C1619">
            <w:pPr>
              <w:pStyle w:val="appendixtabletext0"/>
            </w:pPr>
            <w:r w:rsidRPr="0058047D">
              <w:rPr>
                <w:rFonts w:ascii="Tahoma" w:hAnsi="Tahoma" w:cs="Tahoma"/>
                <w:color w:val="000000"/>
              </w:rPr>
              <w:t>PowerPoint</w:t>
            </w:r>
            <w:r w:rsidR="00E53A46" w:rsidRPr="0058047D">
              <w:rPr>
                <w:rFonts w:ascii="Tahoma" w:hAnsi="Tahoma" w:cs="Tahoma"/>
                <w:color w:val="000000"/>
                <w:vertAlign w:val="superscript"/>
              </w:rPr>
              <w:t>®</w:t>
            </w:r>
            <w:r w:rsidRPr="0058047D">
              <w:rPr>
                <w:rFonts w:ascii="Tahoma" w:hAnsi="Tahoma" w:cs="Tahoma"/>
                <w:color w:val="000000"/>
              </w:rPr>
              <w:t xml:space="preserve"> 2013</w:t>
            </w:r>
          </w:p>
          <w:p w14:paraId="468CB292" w14:textId="77777777" w:rsidR="00CA6072" w:rsidRPr="0058047D" w:rsidRDefault="00CA6072" w:rsidP="000C1619">
            <w:pPr>
              <w:pStyle w:val="appendixtabletext0"/>
            </w:pPr>
            <w:r w:rsidRPr="0058047D">
              <w:rPr>
                <w:rFonts w:ascii="Tahoma" w:hAnsi="Tahoma" w:cs="Tahoma"/>
                <w:color w:val="000000"/>
              </w:rPr>
              <w:t>Outlook</w:t>
            </w:r>
            <w:r w:rsidR="00E53A46" w:rsidRPr="0058047D">
              <w:rPr>
                <w:rFonts w:ascii="Tahoma" w:hAnsi="Tahoma" w:cs="Tahoma"/>
                <w:color w:val="000000"/>
                <w:vertAlign w:val="superscript"/>
              </w:rPr>
              <w:t>®</w:t>
            </w:r>
            <w:r w:rsidRPr="0058047D">
              <w:rPr>
                <w:rFonts w:ascii="Tahoma" w:hAnsi="Tahoma" w:cs="Tahoma"/>
                <w:color w:val="000000"/>
              </w:rPr>
              <w:t xml:space="preserve"> 2013</w:t>
            </w:r>
          </w:p>
          <w:p w14:paraId="1EAB6135" w14:textId="77777777" w:rsidR="00CA6072" w:rsidRPr="0058047D" w:rsidRDefault="00CA6072" w:rsidP="000C1619">
            <w:pPr>
              <w:pStyle w:val="appendixtabletext0"/>
            </w:pPr>
            <w:r w:rsidRPr="0058047D">
              <w:rPr>
                <w:rFonts w:ascii="Tahoma" w:hAnsi="Tahoma" w:cs="Tahoma"/>
                <w:color w:val="000000"/>
              </w:rPr>
              <w:t>Publisher 2013</w:t>
            </w:r>
          </w:p>
          <w:p w14:paraId="2FBD03C0" w14:textId="77777777" w:rsidR="00CA6072" w:rsidRPr="0058047D" w:rsidRDefault="00CA6072" w:rsidP="000C1619">
            <w:pPr>
              <w:pStyle w:val="appendixtabletext0"/>
            </w:pPr>
            <w:r w:rsidRPr="0058047D">
              <w:rPr>
                <w:rFonts w:ascii="Tahoma" w:hAnsi="Tahoma" w:cs="Tahoma"/>
                <w:color w:val="000000"/>
              </w:rPr>
              <w:t>Access</w:t>
            </w:r>
            <w:r w:rsidR="00E53A46" w:rsidRPr="0058047D">
              <w:rPr>
                <w:rFonts w:ascii="Tahoma" w:hAnsi="Tahoma" w:cs="Tahoma"/>
                <w:color w:val="000000"/>
                <w:vertAlign w:val="superscript"/>
              </w:rPr>
              <w:t>®</w:t>
            </w:r>
            <w:r w:rsidRPr="0058047D">
              <w:rPr>
                <w:rFonts w:ascii="Tahoma" w:hAnsi="Tahoma" w:cs="Tahoma"/>
                <w:color w:val="000000"/>
              </w:rPr>
              <w:t xml:space="preserve"> 2013</w:t>
            </w:r>
          </w:p>
          <w:p w14:paraId="014599E5" w14:textId="77777777" w:rsidR="00CA6072" w:rsidRPr="0058047D" w:rsidRDefault="00CA6072" w:rsidP="000C1619">
            <w:pPr>
              <w:pStyle w:val="appendixtabletext0"/>
            </w:pPr>
            <w:r w:rsidRPr="0058047D">
              <w:rPr>
                <w:rFonts w:ascii="Tahoma" w:hAnsi="Tahoma" w:cs="Tahoma"/>
                <w:color w:val="000000"/>
              </w:rPr>
              <w:t>OneNote</w:t>
            </w:r>
            <w:r w:rsidR="00E53A46" w:rsidRPr="0058047D">
              <w:rPr>
                <w:rFonts w:ascii="Tahoma" w:hAnsi="Tahoma" w:cs="Tahoma"/>
                <w:color w:val="000000"/>
                <w:vertAlign w:val="superscript"/>
              </w:rPr>
              <w:t>®</w:t>
            </w:r>
            <w:r w:rsidRPr="0058047D">
              <w:rPr>
                <w:rFonts w:ascii="Tahoma" w:hAnsi="Tahoma" w:cs="Tahoma"/>
                <w:color w:val="000000"/>
              </w:rPr>
              <w:t xml:space="preserve"> 2013</w:t>
            </w:r>
          </w:p>
          <w:p w14:paraId="662DA20F" w14:textId="77777777" w:rsidR="00CA6072" w:rsidRPr="0058047D" w:rsidRDefault="00CA6072" w:rsidP="000C1619">
            <w:pPr>
              <w:pStyle w:val="appendixtabletext0"/>
            </w:pPr>
            <w:r w:rsidRPr="0058047D">
              <w:rPr>
                <w:rFonts w:ascii="Tahoma" w:hAnsi="Tahoma" w:cs="Tahoma"/>
                <w:color w:val="000000"/>
              </w:rPr>
              <w:t>InfoPath</w:t>
            </w:r>
            <w:r w:rsidR="00E53A46" w:rsidRPr="0058047D">
              <w:rPr>
                <w:rFonts w:ascii="Tahoma" w:hAnsi="Tahoma" w:cs="Tahoma"/>
                <w:color w:val="000000"/>
                <w:vertAlign w:val="superscript"/>
              </w:rPr>
              <w:t>®</w:t>
            </w:r>
            <w:r w:rsidRPr="0058047D">
              <w:rPr>
                <w:rFonts w:ascii="Tahoma" w:hAnsi="Tahoma" w:cs="Tahoma"/>
                <w:color w:val="000000"/>
              </w:rPr>
              <w:t xml:space="preserve"> 2013</w:t>
            </w:r>
          </w:p>
          <w:p w14:paraId="7FAEF84E" w14:textId="77777777" w:rsidR="00502827" w:rsidRPr="0058047D" w:rsidRDefault="00B9674D" w:rsidP="000C1619">
            <w:pPr>
              <w:pStyle w:val="appendixtabletext0"/>
            </w:pPr>
            <w:r w:rsidRPr="0058047D">
              <w:rPr>
                <w:rFonts w:ascii="Tahoma" w:hAnsi="Tahoma" w:cs="Tahoma"/>
                <w:color w:val="000000"/>
              </w:rPr>
              <w:t>Lync 2013</w:t>
            </w:r>
          </w:p>
          <w:p w14:paraId="7678D25A" w14:textId="77777777" w:rsidR="002D25C8" w:rsidRPr="0058047D" w:rsidRDefault="002D25C8" w:rsidP="000C1619">
            <w:pPr>
              <w:pStyle w:val="appendixtabletext0"/>
              <w:rPr>
                <w:rFonts w:ascii="Tahoma" w:hAnsi="Tahoma" w:cs="Tahoma"/>
                <w:color w:val="000000"/>
              </w:rPr>
            </w:pPr>
          </w:p>
        </w:tc>
      </w:tr>
      <w:tr w:rsidR="00CA6072" w:rsidRPr="0058047D" w14:paraId="110CCD00" w14:textId="77777777" w:rsidTr="00902E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45BBD2B8" w14:textId="77777777" w:rsidR="00CA6072" w:rsidRPr="0058047D" w:rsidRDefault="00CA6072" w:rsidP="001B035A">
            <w:pPr>
              <w:pStyle w:val="appendixtableheadings0"/>
              <w:rPr>
                <w:rFonts w:ascii="Tahoma" w:hAnsi="Tahoma" w:cs="Tahoma"/>
                <w:color w:val="000000"/>
                <w:sz w:val="20"/>
                <w:szCs w:val="20"/>
              </w:rPr>
            </w:pPr>
            <w:r w:rsidRPr="0058047D">
              <w:rPr>
                <w:rFonts w:ascii="Tahoma" w:hAnsi="Tahoma" w:cs="Tahoma"/>
                <w:color w:val="000000"/>
                <w:sz w:val="20"/>
                <w:szCs w:val="20"/>
              </w:rPr>
              <w:t>Applicazioni Desktop Qualificanti</w:t>
            </w:r>
          </w:p>
        </w:tc>
        <w:tc>
          <w:tcPr>
            <w:tcW w:w="3492" w:type="dxa"/>
            <w:gridSpan w:val="2"/>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518FB482" w14:textId="77777777" w:rsidR="00CA6072" w:rsidRPr="0058047D" w:rsidRDefault="00CA6072" w:rsidP="001B035A">
            <w:pPr>
              <w:pStyle w:val="appendixtableheadings0"/>
              <w:rPr>
                <w:rFonts w:ascii="Tahoma" w:hAnsi="Tahoma" w:cs="Tahoma"/>
                <w:color w:val="000000"/>
                <w:sz w:val="20"/>
                <w:szCs w:val="20"/>
              </w:rPr>
            </w:pPr>
            <w:r w:rsidRPr="0058047D">
              <w:rPr>
                <w:rFonts w:ascii="Tahoma" w:hAnsi="Tahoma" w:cs="Tahoma"/>
                <w:color w:val="000000"/>
                <w:sz w:val="20"/>
                <w:szCs w:val="20"/>
              </w:rPr>
              <w:t xml:space="preserve">Licenza per Home Use </w:t>
            </w:r>
            <w:r w:rsidRPr="0058047D">
              <w:rPr>
                <w:rFonts w:ascii="Tahoma" w:hAnsi="Tahoma" w:cs="Tahoma"/>
                <w:color w:val="000000"/>
                <w:sz w:val="20"/>
                <w:szCs w:val="20"/>
              </w:rPr>
              <w:br/>
              <w:t>Program Corrispondente</w:t>
            </w:r>
          </w:p>
        </w:tc>
      </w:tr>
      <w:tr w:rsidR="004D700D" w:rsidRPr="0058047D" w14:paraId="6CE14858" w14:textId="77777777" w:rsidTr="00902E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3213073" w14:textId="77777777" w:rsidR="004D700D" w:rsidRPr="0058047D" w:rsidRDefault="004D700D" w:rsidP="001B035A">
            <w:pPr>
              <w:pStyle w:val="appendixtabletext0"/>
            </w:pPr>
            <w:r w:rsidRPr="0058047D">
              <w:rPr>
                <w:rFonts w:ascii="Tahoma" w:hAnsi="Tahoma" w:cs="Tahoma"/>
                <w:color w:val="000000"/>
              </w:rPr>
              <w:t>Office Standard 2010/2013</w:t>
            </w:r>
          </w:p>
          <w:p w14:paraId="1B4C6F24" w14:textId="77777777" w:rsidR="004D700D" w:rsidRPr="0058047D" w:rsidRDefault="004D700D" w:rsidP="001B035A">
            <w:pPr>
              <w:pStyle w:val="appendixtabletext0"/>
            </w:pPr>
            <w:r w:rsidRPr="0058047D">
              <w:rPr>
                <w:rFonts w:ascii="Tahoma" w:hAnsi="Tahoma" w:cs="Tahoma"/>
                <w:color w:val="000000"/>
              </w:rPr>
              <w:t>Office Professional Plus 2010/2013</w:t>
            </w:r>
          </w:p>
          <w:p w14:paraId="5E5076DE" w14:textId="77777777" w:rsidR="004D700D" w:rsidRPr="0058047D" w:rsidRDefault="004D700D" w:rsidP="00C37E9D">
            <w:pPr>
              <w:pStyle w:val="appendixtabletext0"/>
              <w:rPr>
                <w:rFonts w:ascii="Tahoma" w:hAnsi="Tahoma" w:cs="Tahoma"/>
                <w:color w:val="000000"/>
              </w:rPr>
            </w:pPr>
            <w:r w:rsidRPr="0058047D">
              <w:rPr>
                <w:rFonts w:ascii="Tahoma" w:hAnsi="Tahoma" w:cs="Tahoma"/>
                <w:color w:val="000000"/>
              </w:rPr>
              <w:t xml:space="preserve">Office per Mac 2008 / Office per Mac Standard 2011 </w:t>
            </w: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4FED04BB" w14:textId="77777777" w:rsidR="004D700D" w:rsidRPr="0058047D" w:rsidRDefault="004D700D" w:rsidP="00735622">
            <w:pPr>
              <w:pStyle w:val="appendixtabletext0"/>
            </w:pPr>
            <w:r w:rsidRPr="0058047D">
              <w:rPr>
                <w:rFonts w:ascii="Tahoma" w:hAnsi="Tahoma" w:cs="Tahoma"/>
                <w:color w:val="000000"/>
              </w:rPr>
              <w:t>Office Professional Plus 2013 HUP</w:t>
            </w:r>
          </w:p>
          <w:p w14:paraId="52DB4ADB" w14:textId="77777777" w:rsidR="004D700D" w:rsidRPr="0058047D" w:rsidRDefault="004D700D" w:rsidP="00735622">
            <w:pPr>
              <w:pStyle w:val="appendixtabletext0"/>
            </w:pPr>
            <w:r w:rsidRPr="0058047D">
              <w:rPr>
                <w:rFonts w:ascii="Tahoma" w:hAnsi="Tahoma" w:cs="Tahoma"/>
                <w:color w:val="000000"/>
              </w:rPr>
              <w:t>o</w:t>
            </w:r>
          </w:p>
          <w:p w14:paraId="41D393FE" w14:textId="77777777" w:rsidR="004D700D" w:rsidRPr="0058047D" w:rsidRDefault="00E316C2" w:rsidP="00C37E9D">
            <w:pPr>
              <w:pStyle w:val="appendixtabletext0"/>
              <w:rPr>
                <w:rFonts w:ascii="Tahoma" w:hAnsi="Tahoma" w:cs="Tahoma"/>
                <w:color w:val="000000"/>
              </w:rPr>
            </w:pPr>
            <w:r w:rsidRPr="0058047D">
              <w:rPr>
                <w:rFonts w:ascii="Tahoma" w:hAnsi="Tahoma" w:cs="Tahoma"/>
                <w:color w:val="000000"/>
              </w:rPr>
              <w:t>Office per Mac Home &amp; Business 2011 HUP</w:t>
            </w:r>
          </w:p>
        </w:tc>
      </w:tr>
      <w:tr w:rsidR="004D700D" w:rsidRPr="0058047D" w14:paraId="1815268C" w14:textId="77777777" w:rsidTr="00902E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9A14657" w14:textId="77777777" w:rsidR="004D700D" w:rsidRPr="0058047D" w:rsidRDefault="004D700D" w:rsidP="001B035A">
            <w:pPr>
              <w:pStyle w:val="appendixtabletext0"/>
            </w:pPr>
            <w:r w:rsidRPr="0058047D">
              <w:rPr>
                <w:rFonts w:ascii="Tahoma" w:hAnsi="Tahoma" w:cs="Tahoma"/>
                <w:color w:val="000000"/>
              </w:rPr>
              <w:t>Access 2010/2013</w:t>
            </w:r>
          </w:p>
          <w:p w14:paraId="5B144082" w14:textId="77777777" w:rsidR="004D700D" w:rsidRPr="0058047D" w:rsidRDefault="004D700D" w:rsidP="001B035A">
            <w:pPr>
              <w:pStyle w:val="appendixtabletext0"/>
            </w:pPr>
            <w:r w:rsidRPr="0058047D">
              <w:rPr>
                <w:rFonts w:ascii="Tahoma" w:hAnsi="Tahoma" w:cs="Tahoma"/>
                <w:color w:val="000000"/>
              </w:rPr>
              <w:t>Excel 2010/2013</w:t>
            </w:r>
          </w:p>
          <w:p w14:paraId="32FBB151" w14:textId="77777777" w:rsidR="004D700D" w:rsidRPr="0058047D" w:rsidRDefault="004D700D" w:rsidP="001B035A">
            <w:pPr>
              <w:pStyle w:val="appendixtabletext0"/>
            </w:pPr>
            <w:r w:rsidRPr="0058047D">
              <w:rPr>
                <w:rFonts w:ascii="Tahoma" w:hAnsi="Tahoma" w:cs="Tahoma"/>
                <w:color w:val="000000"/>
              </w:rPr>
              <w:t>PowerPoint 2010/2013</w:t>
            </w:r>
          </w:p>
          <w:p w14:paraId="7CCE2E17" w14:textId="77777777" w:rsidR="004D700D" w:rsidRPr="0058047D" w:rsidRDefault="004D700D" w:rsidP="001B035A">
            <w:pPr>
              <w:pStyle w:val="appendixtabletext0"/>
            </w:pPr>
            <w:r w:rsidRPr="0058047D">
              <w:rPr>
                <w:rFonts w:ascii="Tahoma" w:hAnsi="Tahoma" w:cs="Tahoma"/>
                <w:color w:val="000000"/>
              </w:rPr>
              <w:t>InfoPath 2010/2013</w:t>
            </w:r>
          </w:p>
          <w:p w14:paraId="0CCB1501" w14:textId="77777777" w:rsidR="004D700D" w:rsidRPr="0058047D" w:rsidRDefault="004D700D" w:rsidP="001B035A">
            <w:pPr>
              <w:pStyle w:val="appendixtabletext0"/>
            </w:pPr>
            <w:r w:rsidRPr="0058047D">
              <w:rPr>
                <w:rFonts w:ascii="Tahoma" w:hAnsi="Tahoma" w:cs="Tahoma"/>
                <w:color w:val="000000"/>
              </w:rPr>
              <w:t>OneNote 2010/2013</w:t>
            </w:r>
          </w:p>
          <w:p w14:paraId="65F18986" w14:textId="77777777" w:rsidR="004D700D" w:rsidRPr="0058047D" w:rsidRDefault="004D700D" w:rsidP="001B035A">
            <w:pPr>
              <w:pStyle w:val="appendixtabletext0"/>
            </w:pPr>
            <w:r w:rsidRPr="0058047D">
              <w:rPr>
                <w:rFonts w:ascii="Tahoma" w:hAnsi="Tahoma" w:cs="Tahoma"/>
                <w:color w:val="000000"/>
              </w:rPr>
              <w:t>Outlook 2010/2013</w:t>
            </w:r>
          </w:p>
          <w:p w14:paraId="7E35C26D" w14:textId="77777777" w:rsidR="004D700D" w:rsidRPr="0058047D" w:rsidRDefault="004D700D" w:rsidP="001B035A">
            <w:pPr>
              <w:pStyle w:val="appendixtabletext0"/>
            </w:pPr>
            <w:r w:rsidRPr="0058047D">
              <w:rPr>
                <w:rFonts w:ascii="Tahoma" w:hAnsi="Tahoma" w:cs="Tahoma"/>
                <w:color w:val="000000"/>
              </w:rPr>
              <w:t>Publisher 2010/2013</w:t>
            </w:r>
          </w:p>
          <w:p w14:paraId="6F70CD40" w14:textId="77777777" w:rsidR="004D700D" w:rsidRPr="0058047D" w:rsidRDefault="004D700D" w:rsidP="00737AED">
            <w:pPr>
              <w:pStyle w:val="appendixtabletext0"/>
            </w:pPr>
            <w:r w:rsidRPr="0058047D">
              <w:rPr>
                <w:rFonts w:ascii="Tahoma" w:hAnsi="Tahoma" w:cs="Tahoma"/>
                <w:color w:val="000000"/>
              </w:rPr>
              <w:t>Word 2010/2013</w:t>
            </w:r>
          </w:p>
          <w:p w14:paraId="557F019E" w14:textId="77777777" w:rsidR="00737AED" w:rsidRPr="0058047D" w:rsidRDefault="00737AED" w:rsidP="00737AED">
            <w:pPr>
              <w:pStyle w:val="appendixtabletext0"/>
              <w:rPr>
                <w:rFonts w:ascii="Tahoma" w:hAnsi="Tahoma" w:cs="Tahoma"/>
                <w:color w:val="000000"/>
              </w:rPr>
            </w:pP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046DDD7F" w14:textId="77777777" w:rsidR="004D700D" w:rsidRPr="0058047D" w:rsidRDefault="004D700D" w:rsidP="00735622">
            <w:pPr>
              <w:pStyle w:val="appendixtabletext0"/>
            </w:pPr>
            <w:r w:rsidRPr="0058047D">
              <w:rPr>
                <w:rFonts w:ascii="Tahoma" w:hAnsi="Tahoma" w:cs="Tahoma"/>
                <w:color w:val="000000"/>
              </w:rPr>
              <w:t>Office Professional Plus 2013 HUP</w:t>
            </w:r>
          </w:p>
          <w:p w14:paraId="05D7157A" w14:textId="77777777" w:rsidR="004D700D" w:rsidRPr="0058047D" w:rsidRDefault="004D700D" w:rsidP="00735622">
            <w:pPr>
              <w:pStyle w:val="appendixtabletext0"/>
            </w:pPr>
            <w:r w:rsidRPr="0058047D">
              <w:rPr>
                <w:rFonts w:ascii="Tahoma" w:hAnsi="Tahoma" w:cs="Tahoma"/>
                <w:color w:val="000000"/>
              </w:rPr>
              <w:t>o</w:t>
            </w:r>
          </w:p>
          <w:p w14:paraId="275F8F9C" w14:textId="77777777" w:rsidR="004D700D" w:rsidRPr="0058047D" w:rsidRDefault="00E316C2" w:rsidP="00C37E9D">
            <w:pPr>
              <w:pStyle w:val="appendixtabletext0"/>
              <w:rPr>
                <w:rFonts w:ascii="Tahoma" w:hAnsi="Tahoma" w:cs="Tahoma"/>
                <w:color w:val="000000"/>
              </w:rPr>
            </w:pPr>
            <w:r w:rsidRPr="0058047D">
              <w:rPr>
                <w:rFonts w:ascii="Tahoma" w:hAnsi="Tahoma" w:cs="Tahoma"/>
                <w:color w:val="000000"/>
              </w:rPr>
              <w:t>Office per Mac Home &amp; Business 2011 HUP</w:t>
            </w:r>
          </w:p>
        </w:tc>
      </w:tr>
      <w:tr w:rsidR="00CA6072" w:rsidRPr="0058047D" w14:paraId="0D641BAD" w14:textId="77777777" w:rsidTr="00902E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E747849" w14:textId="77777777" w:rsidR="00CA6072" w:rsidRPr="0058047D" w:rsidRDefault="00CA6072" w:rsidP="001B035A">
            <w:pPr>
              <w:pStyle w:val="appendixtabletext0"/>
            </w:pPr>
            <w:r w:rsidRPr="0058047D">
              <w:rPr>
                <w:rFonts w:ascii="Tahoma" w:hAnsi="Tahoma" w:cs="Tahoma"/>
                <w:color w:val="000000"/>
              </w:rPr>
              <w:t xml:space="preserve">Visio Standard 2010/2013 </w:t>
            </w:r>
          </w:p>
          <w:p w14:paraId="553787E6" w14:textId="77777777" w:rsidR="00502827" w:rsidRPr="0058047D" w:rsidRDefault="00CA6072" w:rsidP="00502827">
            <w:pPr>
              <w:pStyle w:val="appendixtabletext0"/>
            </w:pPr>
            <w:r w:rsidRPr="0058047D">
              <w:rPr>
                <w:rFonts w:ascii="Tahoma" w:hAnsi="Tahoma" w:cs="Tahoma"/>
                <w:color w:val="000000"/>
              </w:rPr>
              <w:t>Visio Professional 2010/2013</w:t>
            </w:r>
            <w:r w:rsidRPr="0058047D">
              <w:rPr>
                <w:rFonts w:ascii="Tahoma" w:hAnsi="Tahoma" w:cs="Tahoma"/>
                <w:strike/>
                <w:color w:val="000000"/>
              </w:rPr>
              <w:t xml:space="preserve"> </w:t>
            </w:r>
          </w:p>
          <w:p w14:paraId="4E65544D" w14:textId="77777777" w:rsidR="00502827" w:rsidRPr="0058047D" w:rsidRDefault="00502827" w:rsidP="00502827">
            <w:pPr>
              <w:pStyle w:val="appendixtabletext0"/>
              <w:rPr>
                <w:rFonts w:ascii="Tahoma" w:hAnsi="Tahoma" w:cs="Tahoma"/>
                <w:color w:val="000000"/>
              </w:rPr>
            </w:pP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205FEE55" w14:textId="77777777" w:rsidR="00CA6072" w:rsidRPr="0058047D" w:rsidRDefault="00CA6072" w:rsidP="001B035A">
            <w:pPr>
              <w:pStyle w:val="appendixtabletext0"/>
            </w:pPr>
            <w:r w:rsidRPr="0058047D">
              <w:rPr>
                <w:rFonts w:ascii="Tahoma" w:hAnsi="Tahoma" w:cs="Tahoma"/>
                <w:color w:val="000000"/>
              </w:rPr>
              <w:t>Visio Professional 2013 HUP</w:t>
            </w:r>
          </w:p>
          <w:p w14:paraId="1B46FCFC" w14:textId="77777777" w:rsidR="00CA6072" w:rsidRPr="0058047D" w:rsidRDefault="00CA6072" w:rsidP="001B035A">
            <w:pPr>
              <w:pStyle w:val="appendixtabletext0"/>
              <w:rPr>
                <w:rFonts w:ascii="Tahoma" w:hAnsi="Tahoma" w:cs="Tahoma"/>
                <w:color w:val="000000"/>
              </w:rPr>
            </w:pPr>
          </w:p>
        </w:tc>
      </w:tr>
      <w:tr w:rsidR="00CA6072" w:rsidRPr="0058047D" w14:paraId="44D526A6" w14:textId="77777777" w:rsidTr="00902E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486844D" w14:textId="77777777" w:rsidR="00CA6072" w:rsidRPr="0058047D" w:rsidRDefault="00CA6072" w:rsidP="001B035A">
            <w:pPr>
              <w:pStyle w:val="appendixtabletext0"/>
            </w:pPr>
            <w:r w:rsidRPr="0058047D">
              <w:rPr>
                <w:rFonts w:ascii="Tahoma" w:hAnsi="Tahoma" w:cs="Tahoma"/>
                <w:color w:val="000000"/>
              </w:rPr>
              <w:t>Project Standard 2010/2013</w:t>
            </w:r>
          </w:p>
          <w:p w14:paraId="478E709D" w14:textId="77777777" w:rsidR="00CA6072" w:rsidRPr="0058047D" w:rsidRDefault="00CA6072" w:rsidP="001E3357">
            <w:pPr>
              <w:pStyle w:val="appendixtabletext0"/>
            </w:pPr>
            <w:r w:rsidRPr="0058047D">
              <w:rPr>
                <w:rFonts w:ascii="Tahoma" w:hAnsi="Tahoma" w:cs="Tahoma"/>
                <w:color w:val="000000"/>
              </w:rPr>
              <w:t>Project Professional 2010/2013</w:t>
            </w:r>
          </w:p>
          <w:p w14:paraId="3E830D6E" w14:textId="77777777" w:rsidR="00737AED" w:rsidRPr="0058047D" w:rsidRDefault="00737AED" w:rsidP="001E3357">
            <w:pPr>
              <w:pStyle w:val="appendixtabletext0"/>
              <w:rPr>
                <w:rFonts w:ascii="Tahoma" w:hAnsi="Tahoma" w:cs="Tahoma"/>
                <w:color w:val="000000"/>
              </w:rPr>
            </w:pP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44A6F8FF" w14:textId="77777777" w:rsidR="00CA6072" w:rsidRPr="0058047D" w:rsidRDefault="00CA6072" w:rsidP="001B035A">
            <w:pPr>
              <w:pStyle w:val="appendixtabletext0"/>
            </w:pPr>
            <w:r w:rsidRPr="0058047D">
              <w:rPr>
                <w:rFonts w:ascii="Tahoma" w:hAnsi="Tahoma" w:cs="Tahoma"/>
                <w:color w:val="000000"/>
              </w:rPr>
              <w:t>Project Standard 2013 HUP</w:t>
            </w:r>
          </w:p>
          <w:p w14:paraId="54AB25C7" w14:textId="77777777" w:rsidR="00CA6072" w:rsidRPr="0058047D" w:rsidRDefault="00CA6072" w:rsidP="001B035A">
            <w:pPr>
              <w:pStyle w:val="appendixtabletext0"/>
              <w:rPr>
                <w:rFonts w:ascii="Tahoma" w:hAnsi="Tahoma" w:cs="Tahoma"/>
                <w:color w:val="000000"/>
              </w:rPr>
            </w:pPr>
            <w:r w:rsidRPr="0058047D">
              <w:rPr>
                <w:rFonts w:ascii="Tahoma" w:hAnsi="Tahoma" w:cs="Tahoma"/>
                <w:color w:val="000000"/>
              </w:rPr>
              <w:t xml:space="preserve"> </w:t>
            </w:r>
          </w:p>
        </w:tc>
      </w:tr>
    </w:tbl>
    <w:p w14:paraId="40388299" w14:textId="77777777" w:rsidR="00023FE7" w:rsidRPr="0058047D" w:rsidRDefault="00023FE7">
      <w:pPr>
        <w:pStyle w:val="AppendixBodyText"/>
        <w:ind w:left="630"/>
      </w:pPr>
      <w:r w:rsidRPr="0058047D">
        <w:rPr>
          <w:rFonts w:ascii="Tahoma" w:hAnsi="Tahoma" w:cs="Tahoma"/>
          <w:b/>
          <w:i/>
          <w:sz w:val="16"/>
          <w:szCs w:val="16"/>
        </w:rPr>
        <w:t>*</w:t>
      </w:r>
      <w:r w:rsidR="003740EC">
        <w:rPr>
          <w:rFonts w:ascii="Tahoma" w:hAnsi="Tahoma" w:cs="Tahoma"/>
          <w:b/>
          <w:i/>
          <w:sz w:val="16"/>
          <w:szCs w:val="16"/>
        </w:rPr>
        <w:t xml:space="preserve"> </w:t>
      </w:r>
      <w:r w:rsidRPr="0058047D">
        <w:rPr>
          <w:rFonts w:ascii="Tahoma" w:hAnsi="Tahoma" w:cs="Tahoma"/>
          <w:i/>
          <w:sz w:val="16"/>
          <w:szCs w:val="16"/>
        </w:rPr>
        <w:t>La disponibilità del software Home Use Program varia in base alla regione, all</w:t>
      </w:r>
      <w:r w:rsidR="001C4212">
        <w:rPr>
          <w:rFonts w:ascii="Tahoma" w:hAnsi="Tahoma" w:cs="Tahoma"/>
          <w:i/>
          <w:sz w:val="16"/>
          <w:szCs w:val="16"/>
        </w:rPr>
        <w:t>’</w:t>
      </w:r>
      <w:r w:rsidRPr="0058047D">
        <w:rPr>
          <w:rFonts w:ascii="Tahoma" w:hAnsi="Tahoma" w:cs="Tahoma"/>
          <w:i/>
          <w:sz w:val="16"/>
          <w:szCs w:val="16"/>
        </w:rPr>
        <w:t xml:space="preserve">offerta e alla lingua. </w:t>
      </w:r>
    </w:p>
    <w:p w14:paraId="52F70EAF" w14:textId="77777777" w:rsidR="00023FE7" w:rsidRPr="0058047D" w:rsidRDefault="00023FE7">
      <w:pPr>
        <w:pStyle w:val="AppendixBodyText"/>
        <w:ind w:left="630"/>
      </w:pPr>
      <w:r w:rsidRPr="0058047D">
        <w:rPr>
          <w:rFonts w:ascii="Tahoma" w:hAnsi="Tahoma" w:cs="Tahoma"/>
          <w:i/>
          <w:sz w:val="16"/>
          <w:szCs w:val="16"/>
        </w:rPr>
        <w:t>Ulteriori informazioni, tra cui i dettagli relativi alla disponibilità futura del software aggiuntivo Home Use Program, sono reperibili all</w:t>
      </w:r>
      <w:r w:rsidR="001C4212">
        <w:rPr>
          <w:rFonts w:ascii="Tahoma" w:hAnsi="Tahoma" w:cs="Tahoma"/>
          <w:i/>
          <w:sz w:val="16"/>
          <w:szCs w:val="16"/>
        </w:rPr>
        <w:t>’</w:t>
      </w:r>
      <w:r w:rsidRPr="0058047D">
        <w:rPr>
          <w:rFonts w:ascii="Tahoma" w:hAnsi="Tahoma" w:cs="Tahoma"/>
          <w:i/>
          <w:sz w:val="16"/>
          <w:szCs w:val="16"/>
        </w:rPr>
        <w:t xml:space="preserve">indirizzo </w:t>
      </w:r>
      <w:hyperlink r:id="rId23" w:history="1">
        <w:r w:rsidR="009E3FD7">
          <w:rPr>
            <w:rStyle w:val="Hyperlink"/>
            <w:rFonts w:ascii="Tahoma" w:hAnsi="Tahoma" w:cs="Tahoma"/>
            <w:i/>
            <w:sz w:val="16"/>
            <w:szCs w:val="16"/>
          </w:rPr>
          <w:t>http://www.microsoft.com/licensing</w:t>
        </w:r>
      </w:hyperlink>
      <w:r w:rsidRPr="0058047D">
        <w:rPr>
          <w:rFonts w:ascii="Tahoma" w:hAnsi="Tahoma" w:cs="Tahoma"/>
          <w:i/>
          <w:sz w:val="16"/>
          <w:szCs w:val="16"/>
        </w:rPr>
        <w:t>.</w:t>
      </w:r>
    </w:p>
    <w:p w14:paraId="6AFB2703" w14:textId="77777777" w:rsidR="00023FE7" w:rsidRPr="0058047D" w:rsidRDefault="00023FE7">
      <w:pPr>
        <w:pStyle w:val="AppendixBodyText"/>
        <w:ind w:left="630"/>
      </w:pPr>
      <w:r w:rsidRPr="0058047D">
        <w:rPr>
          <w:rFonts w:ascii="Tahoma" w:hAnsi="Tahoma" w:cs="Tahoma"/>
          <w:i/>
          <w:sz w:val="16"/>
          <w:szCs w:val="16"/>
        </w:rPr>
        <w:t>** Nota per le società con Contratti Campus e School e Open Value Subscription-Education Solutions: fare riferimento ai</w:t>
      </w:r>
      <w:r w:rsidR="009E3FD7">
        <w:rPr>
          <w:rFonts w:ascii="Tahoma" w:hAnsi="Tahoma" w:cs="Tahoma"/>
          <w:i/>
          <w:sz w:val="16"/>
          <w:szCs w:val="16"/>
        </w:rPr>
        <w:t> </w:t>
      </w:r>
      <w:r w:rsidRPr="0058047D">
        <w:rPr>
          <w:rFonts w:ascii="Tahoma" w:hAnsi="Tahoma" w:cs="Tahoma"/>
          <w:i/>
          <w:sz w:val="16"/>
          <w:szCs w:val="16"/>
        </w:rPr>
        <w:t>contratti CASA (3.5 o versione superiore) o OVS-ES per conoscere ulteriori regole specifiche del programma.</w:t>
      </w:r>
    </w:p>
    <w:p w14:paraId="40149D52" w14:textId="77777777" w:rsidR="00023FE7" w:rsidRPr="0058047D" w:rsidRDefault="00023FE7" w:rsidP="00BD1A6A">
      <w:pPr>
        <w:ind w:left="630"/>
      </w:pPr>
      <w:r w:rsidRPr="0058047D">
        <w:rPr>
          <w:rFonts w:cs="Tahoma"/>
          <w:i/>
          <w:sz w:val="16"/>
          <w:szCs w:val="16"/>
        </w:rPr>
        <w:t xml:space="preserve">*** SharePoint Designer è ora un prodotto gratuito disponibile per il download facendo clic sul seguente collegamento </w:t>
      </w:r>
      <w:hyperlink r:id="rId24" w:history="1">
        <w:r w:rsidR="009E3FD7">
          <w:rPr>
            <w:rStyle w:val="Hyperlink"/>
            <w:rFonts w:cs="Tahoma"/>
            <w:i/>
            <w:sz w:val="16"/>
            <w:szCs w:val="16"/>
          </w:rPr>
          <w:t>http://www.microsoft.com/spd</w:t>
        </w:r>
      </w:hyperlink>
    </w:p>
    <w:p w14:paraId="71E416BF" w14:textId="77777777" w:rsidR="00CA395A" w:rsidRPr="0058047D" w:rsidRDefault="00CA395A" w:rsidP="008A15A8">
      <w:pPr>
        <w:outlineLvl w:val="2"/>
      </w:pPr>
      <w:bookmarkStart w:id="727" w:name="_Toc281378922"/>
    </w:p>
    <w:p w14:paraId="564993EC" w14:textId="77777777" w:rsidR="008A15A8" w:rsidRPr="0058047D" w:rsidRDefault="008A15A8" w:rsidP="002D25C8">
      <w:pPr>
        <w:outlineLvl w:val="2"/>
      </w:pPr>
      <w:r w:rsidRPr="0058047D">
        <w:rPr>
          <w:rFonts w:eastAsia="Calibri" w:cs="Tahoma"/>
          <w:b/>
          <w:bCs/>
          <w:sz w:val="24"/>
          <w:szCs w:val="20"/>
        </w:rPr>
        <w:t>Enterprise Source Licensing Program</w:t>
      </w:r>
      <w:bookmarkEnd w:id="727"/>
      <w:r w:rsidRPr="0058047D">
        <w:rPr>
          <w:rFonts w:eastAsia="Calibri" w:cs="Tahoma"/>
          <w:b/>
          <w:bCs/>
          <w:sz w:val="24"/>
          <w:szCs w:val="20"/>
        </w:rPr>
        <w:t xml:space="preserve"> </w:t>
      </w:r>
    </w:p>
    <w:p w14:paraId="5FBCAC5C" w14:textId="77777777" w:rsidR="001C20C9" w:rsidRPr="0058047D" w:rsidRDefault="001C20C9" w:rsidP="002D25C8">
      <w:pPr>
        <w:outlineLvl w:val="2"/>
      </w:pPr>
    </w:p>
    <w:p w14:paraId="642D2747" w14:textId="77777777" w:rsidR="008A15A8" w:rsidRPr="0058047D" w:rsidRDefault="008A15A8" w:rsidP="002D25C8">
      <w:r w:rsidRPr="0058047D">
        <w:rPr>
          <w:rFonts w:eastAsia="Calibri" w:cs="Tahoma"/>
          <w:szCs w:val="18"/>
        </w:rPr>
        <w:t>Le società con Partecipazione a Software Assurance e con 10.000 o una quantità superiore di desktop con licenza nel</w:t>
      </w:r>
      <w:r w:rsidR="009E3FD7">
        <w:rPr>
          <w:rFonts w:eastAsia="Calibri" w:cs="Tahoma"/>
          <w:szCs w:val="18"/>
        </w:rPr>
        <w:t> </w:t>
      </w:r>
      <w:r w:rsidRPr="0058047D">
        <w:rPr>
          <w:rFonts w:eastAsia="Calibri" w:cs="Tahoma"/>
          <w:szCs w:val="18"/>
        </w:rPr>
        <w:t>pool di sistemi potranno essere idonee a partecipare al programma Enterprise Source Licensing Program (ESLP) durante il periodo di validità della copertura Software Assurance.</w:t>
      </w:r>
      <w:r w:rsidR="00E34ED3" w:rsidRPr="0058047D">
        <w:rPr>
          <w:rFonts w:eastAsia="Calibri" w:cs="Tahoma"/>
          <w:szCs w:val="18"/>
        </w:rPr>
        <w:t xml:space="preserve"> </w:t>
      </w:r>
      <w:r w:rsidRPr="0058047D">
        <w:rPr>
          <w:rFonts w:eastAsia="Calibri" w:cs="Tahoma"/>
          <w:szCs w:val="18"/>
        </w:rPr>
        <w:t>Il programma ESLP consente l</w:t>
      </w:r>
      <w:r w:rsidR="001C4212">
        <w:rPr>
          <w:rFonts w:eastAsia="Calibri" w:cs="Tahoma"/>
          <w:szCs w:val="18"/>
        </w:rPr>
        <w:t>’</w:t>
      </w:r>
      <w:r w:rsidRPr="0058047D">
        <w:rPr>
          <w:rFonts w:eastAsia="Calibri" w:cs="Tahoma"/>
          <w:szCs w:val="18"/>
        </w:rPr>
        <w:t>accesso al codice sorgente di Microsoft Windows per sviluppo e supporto interno.</w:t>
      </w:r>
      <w:r w:rsidR="00E34ED3" w:rsidRPr="0058047D">
        <w:rPr>
          <w:rFonts w:eastAsia="Calibri" w:cs="Tahoma"/>
          <w:szCs w:val="18"/>
        </w:rPr>
        <w:t xml:space="preserve"> </w:t>
      </w:r>
      <w:r w:rsidRPr="0058047D">
        <w:rPr>
          <w:rFonts w:eastAsia="Calibri" w:cs="Tahoma"/>
          <w:szCs w:val="18"/>
        </w:rPr>
        <w:t>Il programma ESLP non è disponibile in tutti i paesi e</w:t>
      </w:r>
      <w:r w:rsidR="009E3FD7">
        <w:rPr>
          <w:rFonts w:eastAsia="Calibri" w:cs="Tahoma"/>
          <w:szCs w:val="18"/>
        </w:rPr>
        <w:t> </w:t>
      </w:r>
      <w:r w:rsidRPr="0058047D">
        <w:rPr>
          <w:rFonts w:eastAsia="Calibri" w:cs="Tahoma"/>
          <w:szCs w:val="18"/>
        </w:rPr>
        <w:t>il vantaggio è concesso per contratto/iscrizione.</w:t>
      </w:r>
    </w:p>
    <w:p w14:paraId="3348B12D" w14:textId="77777777" w:rsidR="00DF400D" w:rsidRPr="0058047D" w:rsidRDefault="00DF400D" w:rsidP="002D25C8"/>
    <w:p w14:paraId="06C1D1C9" w14:textId="77777777" w:rsidR="008A15A8" w:rsidRPr="0058047D" w:rsidRDefault="008A15A8" w:rsidP="002D25C8">
      <w:r w:rsidRPr="0058047D">
        <w:rPr>
          <w:rFonts w:eastAsia="Calibri" w:cs="Tahoma"/>
          <w:szCs w:val="18"/>
        </w:rPr>
        <w:t>Il modulo di applicazione può essere scaricato dal sito Web Volume Licensing Service Center (VLSC). L</w:t>
      </w:r>
      <w:r w:rsidR="001C4212">
        <w:rPr>
          <w:rFonts w:eastAsia="Calibri" w:cs="Tahoma"/>
          <w:szCs w:val="18"/>
        </w:rPr>
        <w:t>’</w:t>
      </w:r>
      <w:r w:rsidRPr="0058047D">
        <w:rPr>
          <w:rFonts w:eastAsia="Calibri" w:cs="Tahoma"/>
          <w:szCs w:val="18"/>
        </w:rPr>
        <w:t>idoneità e</w:t>
      </w:r>
      <w:r w:rsidR="009E3FD7">
        <w:rPr>
          <w:rFonts w:eastAsia="Calibri" w:cs="Tahoma"/>
          <w:szCs w:val="18"/>
        </w:rPr>
        <w:t> </w:t>
      </w:r>
      <w:r w:rsidRPr="0058047D">
        <w:rPr>
          <w:rFonts w:eastAsia="Calibri" w:cs="Tahoma"/>
          <w:szCs w:val="18"/>
        </w:rPr>
        <w:t>le</w:t>
      </w:r>
      <w:r w:rsidR="009E3FD7">
        <w:rPr>
          <w:rFonts w:eastAsia="Calibri" w:cs="Tahoma"/>
          <w:szCs w:val="18"/>
        </w:rPr>
        <w:t> </w:t>
      </w:r>
      <w:r w:rsidRPr="0058047D">
        <w:rPr>
          <w:rFonts w:eastAsia="Calibri" w:cs="Tahoma"/>
          <w:szCs w:val="18"/>
        </w:rPr>
        <w:t xml:space="preserve">aree di disponibilità sono soggette alle condizioni di Microsoft (per dettagli, visitare la pagina </w:t>
      </w:r>
      <w:hyperlink r:id="rId25" w:history="1">
        <w:r w:rsidR="009E3FD7" w:rsidRPr="002D25C8">
          <w:rPr>
            <w:rFonts w:eastAsia="Calibri" w:cs="Tahoma"/>
            <w:color w:val="0000FF"/>
            <w:szCs w:val="18"/>
            <w:u w:val="single"/>
          </w:rPr>
          <w:t>www.microsoft.com/resources/sharedsource/Licensing/Enterprise.mspx</w:t>
        </w:r>
      </w:hyperlink>
      <w:r w:rsidRPr="0058047D">
        <w:rPr>
          <w:rFonts w:eastAsia="Calibri" w:cs="Tahoma"/>
          <w:szCs w:val="18"/>
        </w:rPr>
        <w:t>). I programmi Academic sono idonei per</w:t>
      </w:r>
      <w:r w:rsidR="009E3FD7">
        <w:rPr>
          <w:rFonts w:eastAsia="Calibri" w:cs="Tahoma"/>
          <w:szCs w:val="18"/>
        </w:rPr>
        <w:t> </w:t>
      </w:r>
      <w:r w:rsidRPr="0058047D">
        <w:rPr>
          <w:rFonts w:eastAsia="Calibri" w:cs="Tahoma"/>
          <w:szCs w:val="18"/>
        </w:rPr>
        <w:t>l</w:t>
      </w:r>
      <w:r w:rsidR="001C4212">
        <w:rPr>
          <w:rFonts w:eastAsia="Calibri" w:cs="Tahoma"/>
          <w:szCs w:val="18"/>
        </w:rPr>
        <w:t>’</w:t>
      </w:r>
      <w:r w:rsidRPr="0058047D">
        <w:rPr>
          <w:rFonts w:eastAsia="Calibri" w:cs="Tahoma"/>
          <w:szCs w:val="18"/>
        </w:rPr>
        <w:t>accesso al programma Microsoft Research Source Licensing Program.</w:t>
      </w:r>
    </w:p>
    <w:p w14:paraId="5499B59B" w14:textId="77777777" w:rsidR="008A15A8" w:rsidRPr="0058047D" w:rsidRDefault="008A15A8" w:rsidP="002D25C8">
      <w:pPr>
        <w:pStyle w:val="Heading3"/>
      </w:pPr>
    </w:p>
    <w:p w14:paraId="27D8CDE2" w14:textId="77777777" w:rsidR="00023FE7" w:rsidRPr="0058047D" w:rsidRDefault="00023FE7" w:rsidP="002D25C8">
      <w:pPr>
        <w:pStyle w:val="Heading3"/>
      </w:pPr>
      <w:bookmarkStart w:id="728" w:name="_Toc336338236"/>
      <w:bookmarkStart w:id="729" w:name="_Toc371663630"/>
      <w:r w:rsidRPr="0058047D">
        <w:rPr>
          <w:rFonts w:ascii="Tahoma" w:hAnsi="Tahoma" w:cs="Tahoma"/>
          <w:sz w:val="24"/>
        </w:rPr>
        <w:t>Supporto per la Risoluzione dei Problemi 24x7</w:t>
      </w:r>
      <w:bookmarkEnd w:id="728"/>
      <w:bookmarkEnd w:id="729"/>
    </w:p>
    <w:p w14:paraId="435F1105" w14:textId="77777777" w:rsidR="00023FE7" w:rsidRPr="0058047D" w:rsidRDefault="00023FE7" w:rsidP="002D25C8"/>
    <w:p w14:paraId="311CD651" w14:textId="77777777" w:rsidR="00324479" w:rsidRPr="0058047D" w:rsidRDefault="00324479" w:rsidP="002D25C8">
      <w:r w:rsidRPr="0058047D">
        <w:rPr>
          <w:rFonts w:cs="Tahoma"/>
          <w:szCs w:val="18"/>
        </w:rPr>
        <w:t>Le società che non siano società con contratti di Licenza Academic Select, Select Plus for Academic, Academic Open, Contratti Campus e School e Open Value Subscription - Education Solutions, ma con copertura Software Assurance, sono idonee a beneficiare del Supporto per la Risoluzione dei Problemi 24x7 durante il periodo di validità della copertura.</w:t>
      </w:r>
      <w:r w:rsidR="00E34ED3" w:rsidRPr="0058047D">
        <w:rPr>
          <w:rFonts w:cs="Tahoma"/>
          <w:szCs w:val="18"/>
        </w:rPr>
        <w:t xml:space="preserve"> </w:t>
      </w:r>
    </w:p>
    <w:p w14:paraId="3A56B1AD" w14:textId="77777777" w:rsidR="00023FE7" w:rsidRPr="0058047D" w:rsidRDefault="00023FE7" w:rsidP="002D25C8">
      <w:pPr>
        <w:pStyle w:val="AppendixBodyText"/>
        <w:spacing w:after="0"/>
      </w:pPr>
    </w:p>
    <w:p w14:paraId="2AEB01EE" w14:textId="77777777" w:rsidR="00023FE7" w:rsidRPr="0058047D" w:rsidRDefault="00023FE7" w:rsidP="002D25C8">
      <w:pPr>
        <w:pStyle w:val="AppendixBodyText"/>
        <w:spacing w:after="0"/>
      </w:pPr>
      <w:r w:rsidRPr="0058047D">
        <w:rPr>
          <w:rFonts w:ascii="Tahoma" w:hAnsi="Tahoma" w:cs="Tahoma"/>
          <w:sz w:val="18"/>
          <w:szCs w:val="18"/>
        </w:rPr>
        <w:t>Il servizio Supporto per la Risoluzione dei Problemi 24x7 fornisce assistenza quando, durante l</w:t>
      </w:r>
      <w:r w:rsidR="001C4212">
        <w:rPr>
          <w:rFonts w:ascii="Tahoma" w:hAnsi="Tahoma" w:cs="Tahoma"/>
          <w:sz w:val="18"/>
          <w:szCs w:val="18"/>
        </w:rPr>
        <w:t>’</w:t>
      </w:r>
      <w:r w:rsidRPr="0058047D">
        <w:rPr>
          <w:rFonts w:ascii="Tahoma" w:hAnsi="Tahoma" w:cs="Tahoma"/>
          <w:sz w:val="18"/>
          <w:szCs w:val="18"/>
        </w:rPr>
        <w:t>utilizzo dei prodotti Microsoft, si verificano problemi con sintomi specifici, la cui causa sia ragionevolmente attribuibile ai prodotti Microsoft.</w:t>
      </w:r>
      <w:r w:rsidR="00E34ED3" w:rsidRPr="0058047D">
        <w:rPr>
          <w:rFonts w:ascii="Tahoma" w:hAnsi="Tahoma" w:cs="Tahoma"/>
          <w:sz w:val="18"/>
          <w:szCs w:val="18"/>
        </w:rPr>
        <w:t xml:space="preserve"> </w:t>
      </w:r>
      <w:r w:rsidRPr="0058047D">
        <w:rPr>
          <w:rFonts w:ascii="Tahoma" w:hAnsi="Tahoma" w:cs="Tahoma"/>
          <w:sz w:val="18"/>
          <w:szCs w:val="18"/>
        </w:rPr>
        <w:t>Microsoft porrà in essere sforzi ragionevoli per fornire assistenza alle società in caso di richieste di supporto, conformemente ai criteri di Supporto dei Prodotti Microsoft.</w:t>
      </w:r>
      <w:r w:rsidR="00E34ED3" w:rsidRPr="0058047D">
        <w:rPr>
          <w:rFonts w:ascii="Tahoma" w:hAnsi="Tahoma" w:cs="Tahoma"/>
          <w:sz w:val="18"/>
          <w:szCs w:val="18"/>
        </w:rPr>
        <w:t xml:space="preserve"> </w:t>
      </w:r>
      <w:r w:rsidRPr="0058047D">
        <w:rPr>
          <w:rFonts w:ascii="Tahoma" w:hAnsi="Tahoma" w:cs="Tahoma"/>
          <w:sz w:val="18"/>
          <w:szCs w:val="18"/>
        </w:rPr>
        <w:t xml:space="preserve">Microsoft si riserva il diritto di rifiutare richieste irragionevoli di servizi di supporto e potrà talvolta richiedere alle società di stipulare un ulteriore contratto di servizio a un costo aggiuntivo. </w:t>
      </w:r>
    </w:p>
    <w:p w14:paraId="14B5D743" w14:textId="77777777" w:rsidR="00023FE7" w:rsidRPr="0058047D" w:rsidRDefault="00023FE7" w:rsidP="002D25C8">
      <w:pPr>
        <w:pStyle w:val="AppendixBodyText"/>
        <w:spacing w:after="0"/>
      </w:pPr>
      <w:r w:rsidRPr="0058047D">
        <w:rPr>
          <w:rFonts w:ascii="Tahoma" w:hAnsi="Tahoma" w:cs="Tahoma"/>
          <w:sz w:val="18"/>
          <w:szCs w:val="18"/>
        </w:rPr>
        <w:t>Microsoft può aggiungere il supporto per i nuovi prodotti o interrompere il supporto per i prodotti già esistenti. Potrebbero esservi casi nei quali l</w:t>
      </w:r>
      <w:r w:rsidR="001C4212">
        <w:rPr>
          <w:rFonts w:ascii="Tahoma" w:hAnsi="Tahoma" w:cs="Tahoma"/>
          <w:sz w:val="18"/>
          <w:szCs w:val="18"/>
        </w:rPr>
        <w:t>’</w:t>
      </w:r>
      <w:r w:rsidRPr="0058047D">
        <w:rPr>
          <w:rFonts w:ascii="Tahoma" w:hAnsi="Tahoma" w:cs="Tahoma"/>
          <w:sz w:val="18"/>
          <w:szCs w:val="18"/>
        </w:rPr>
        <w:t>implementazione, da parte della società, dei prodotti Microsoft non possa di fatto essere oggetto di supporto. Qualora giunga a tale conclusione, Microsoft informerà la società, essendo tale comunicazione parte della fornitura dei servizi di supporto. Qualora la società non modifichi l</w:t>
      </w:r>
      <w:r w:rsidR="001C4212">
        <w:rPr>
          <w:rFonts w:ascii="Tahoma" w:hAnsi="Tahoma" w:cs="Tahoma"/>
          <w:sz w:val="18"/>
          <w:szCs w:val="18"/>
        </w:rPr>
        <w:t>’</w:t>
      </w:r>
      <w:r w:rsidRPr="0058047D">
        <w:rPr>
          <w:rFonts w:ascii="Tahoma" w:hAnsi="Tahoma" w:cs="Tahoma"/>
          <w:sz w:val="18"/>
          <w:szCs w:val="18"/>
        </w:rPr>
        <w:t xml:space="preserve">implementazione al fine di poterla rendere effettivamente oggetto di supporto entro i 30 giorni successivi a tale comunicazione, Microsoft non avrà alcuna obbligazione di fornire ulteriori servizi di supporto per tale implementazione. Tuttavia, Microsoft continuerà a fornire supporto per le altre implementazioni delle società coperte dalle condizioni. </w:t>
      </w:r>
    </w:p>
    <w:p w14:paraId="1F0FE9FA" w14:textId="77777777" w:rsidR="00DF400D" w:rsidRPr="0058047D" w:rsidRDefault="00DF400D" w:rsidP="002D25C8">
      <w:pPr>
        <w:pStyle w:val="AppendixBodyText"/>
        <w:spacing w:after="0"/>
      </w:pPr>
    </w:p>
    <w:p w14:paraId="408FDDFB" w14:textId="77777777" w:rsidR="00023FE7" w:rsidRPr="0058047D" w:rsidRDefault="00023FE7" w:rsidP="002D25C8">
      <w:pPr>
        <w:pStyle w:val="AppendixBodyText"/>
        <w:spacing w:after="0"/>
      </w:pPr>
      <w:r w:rsidRPr="0058047D">
        <w:rPr>
          <w:rFonts w:ascii="Tahoma" w:hAnsi="Tahoma" w:cs="Tahoma"/>
          <w:sz w:val="18"/>
          <w:szCs w:val="18"/>
        </w:rPr>
        <w:t>Una richiesta di assistenza break-fix, definita anche intervento, è costituita da un</w:t>
      </w:r>
      <w:r w:rsidR="001C4212">
        <w:rPr>
          <w:rFonts w:ascii="Tahoma" w:hAnsi="Tahoma" w:cs="Tahoma"/>
          <w:sz w:val="18"/>
          <w:szCs w:val="18"/>
        </w:rPr>
        <w:t>’</w:t>
      </w:r>
      <w:r w:rsidRPr="0058047D">
        <w:rPr>
          <w:rFonts w:ascii="Tahoma" w:hAnsi="Tahoma" w:cs="Tahoma"/>
          <w:sz w:val="18"/>
          <w:szCs w:val="18"/>
        </w:rPr>
        <w:t>unica problematica di assistenza e</w:t>
      </w:r>
      <w:r w:rsidR="009E3FD7">
        <w:rPr>
          <w:rFonts w:ascii="Tahoma" w:hAnsi="Tahoma" w:cs="Tahoma"/>
          <w:sz w:val="18"/>
          <w:szCs w:val="18"/>
        </w:rPr>
        <w:t> </w:t>
      </w:r>
      <w:r w:rsidRPr="0058047D">
        <w:rPr>
          <w:rFonts w:ascii="Tahoma" w:hAnsi="Tahoma" w:cs="Tahoma"/>
          <w:sz w:val="18"/>
          <w:szCs w:val="18"/>
        </w:rPr>
        <w:t>dal corrispondente impegno necessario per risolverla.</w:t>
      </w:r>
      <w:r w:rsidR="00E34ED3" w:rsidRPr="0058047D">
        <w:rPr>
          <w:rFonts w:ascii="Tahoma" w:hAnsi="Tahoma" w:cs="Tahoma"/>
          <w:sz w:val="18"/>
          <w:szCs w:val="18"/>
        </w:rPr>
        <w:t xml:space="preserve"> </w:t>
      </w:r>
      <w:r w:rsidRPr="0058047D">
        <w:rPr>
          <w:rFonts w:ascii="Tahoma" w:hAnsi="Tahoma" w:cs="Tahoma"/>
          <w:sz w:val="18"/>
          <w:szCs w:val="18"/>
        </w:rPr>
        <w:t>Un</w:t>
      </w:r>
      <w:r w:rsidR="001C4212">
        <w:rPr>
          <w:rFonts w:ascii="Tahoma" w:hAnsi="Tahoma" w:cs="Tahoma"/>
          <w:sz w:val="18"/>
          <w:szCs w:val="18"/>
        </w:rPr>
        <w:t>’</w:t>
      </w:r>
      <w:r w:rsidRPr="0058047D">
        <w:rPr>
          <w:rFonts w:ascii="Tahoma" w:hAnsi="Tahoma" w:cs="Tahoma"/>
          <w:sz w:val="18"/>
          <w:szCs w:val="18"/>
        </w:rPr>
        <w:t>unica problematica di assistenza è altresì un problema che non può essere suddiviso in problematiche subordinate.</w:t>
      </w:r>
      <w:r w:rsidR="00E34ED3" w:rsidRPr="0058047D">
        <w:rPr>
          <w:rFonts w:ascii="Tahoma" w:hAnsi="Tahoma" w:cs="Tahoma"/>
          <w:sz w:val="18"/>
          <w:szCs w:val="18"/>
        </w:rPr>
        <w:t xml:space="preserve"> </w:t>
      </w:r>
      <w:r w:rsidRPr="0058047D">
        <w:rPr>
          <w:rFonts w:ascii="Tahoma" w:hAnsi="Tahoma" w:cs="Tahoma"/>
          <w:sz w:val="18"/>
          <w:szCs w:val="18"/>
        </w:rPr>
        <w:t>Se un problema è composto da problematiche subordinate, ogni problematica dovrà essere considerata un intervento distinto.</w:t>
      </w:r>
      <w:r w:rsidR="00E34ED3" w:rsidRPr="0058047D">
        <w:rPr>
          <w:rFonts w:ascii="Tahoma" w:hAnsi="Tahoma" w:cs="Tahoma"/>
          <w:sz w:val="18"/>
          <w:szCs w:val="18"/>
        </w:rPr>
        <w:t xml:space="preserve"> </w:t>
      </w:r>
      <w:r w:rsidRPr="0058047D">
        <w:rPr>
          <w:rFonts w:ascii="Tahoma" w:hAnsi="Tahoma" w:cs="Tahoma"/>
          <w:sz w:val="18"/>
          <w:szCs w:val="18"/>
        </w:rPr>
        <w:t>In determinate situazioni Microsoft potrà fornire alle società una modifica al codice del prodotto software Microsoft disponibile sul mercato per risolvere problemi critici (“Hotfix”) in risposta alla richiesta di assistenza. Le Hotfix vengono sviluppate per risolvere problemi specifici delle società e non vengono sottoposte a un ciclo completo di test.</w:t>
      </w:r>
      <w:r w:rsidR="00E34ED3" w:rsidRPr="0058047D">
        <w:rPr>
          <w:rFonts w:ascii="Tahoma" w:hAnsi="Tahoma" w:cs="Tahoma"/>
          <w:sz w:val="18"/>
          <w:szCs w:val="18"/>
        </w:rPr>
        <w:t xml:space="preserve"> </w:t>
      </w:r>
      <w:r w:rsidRPr="0058047D">
        <w:rPr>
          <w:rFonts w:ascii="Tahoma" w:hAnsi="Tahoma" w:cs="Tahoma"/>
          <w:sz w:val="18"/>
          <w:szCs w:val="18"/>
        </w:rPr>
        <w:t>Salvo diversamente specificato nel presente documento, le Hotfix non potranno essere distribuite a terzi non consociati senza il preventivo consenso scritto di</w:t>
      </w:r>
      <w:r w:rsidR="009E3FD7">
        <w:rPr>
          <w:rFonts w:ascii="Tahoma" w:hAnsi="Tahoma" w:cs="Tahoma"/>
          <w:sz w:val="18"/>
          <w:szCs w:val="18"/>
        </w:rPr>
        <w:t> </w:t>
      </w:r>
      <w:r w:rsidRPr="0058047D">
        <w:rPr>
          <w:rFonts w:ascii="Tahoma" w:hAnsi="Tahoma" w:cs="Tahoma"/>
          <w:sz w:val="18"/>
          <w:szCs w:val="18"/>
        </w:rPr>
        <w:t>Microsoft.</w:t>
      </w:r>
    </w:p>
    <w:p w14:paraId="6A43CEEE" w14:textId="77777777" w:rsidR="00023FE7" w:rsidRPr="0058047D" w:rsidRDefault="00023FE7" w:rsidP="002D25C8">
      <w:pPr>
        <w:pStyle w:val="AppendixBodyText"/>
        <w:spacing w:after="0"/>
      </w:pPr>
    </w:p>
    <w:p w14:paraId="46667E1E" w14:textId="77777777" w:rsidR="00023FE7" w:rsidRPr="0058047D" w:rsidRDefault="00023FE7" w:rsidP="002D25C8">
      <w:pPr>
        <w:pStyle w:val="AppendixBodyText"/>
        <w:spacing w:after="0"/>
      </w:pPr>
      <w:r w:rsidRPr="0058047D">
        <w:rPr>
          <w:rFonts w:ascii="Tahoma" w:hAnsi="Tahoma" w:cs="Tahoma"/>
          <w:sz w:val="18"/>
          <w:szCs w:val="18"/>
        </w:rPr>
        <w:t xml:space="preserve">I prodotti disponibili tramite Contratti Multilicenza e che usufruiscono del Supporto Mainstream come stabilito nei </w:t>
      </w:r>
      <w:hyperlink r:id="rId26" w:history="1">
        <w:r w:rsidRPr="0058047D">
          <w:rPr>
            <w:rStyle w:val="Hyperlink"/>
            <w:rFonts w:ascii="Tahoma" w:hAnsi="Tahoma" w:cs="Tahoma"/>
            <w:sz w:val="18"/>
            <w:szCs w:val="18"/>
          </w:rPr>
          <w:t>Criteri per il Ciclo di Vita del Supporto di Microsoft</w:t>
        </w:r>
      </w:hyperlink>
      <w:r w:rsidRPr="0058047D">
        <w:rPr>
          <w:rFonts w:ascii="Tahoma" w:hAnsi="Tahoma" w:cs="Tahoma"/>
          <w:sz w:val="18"/>
          <w:szCs w:val="18"/>
        </w:rPr>
        <w:t xml:space="preserve"> </w:t>
      </w:r>
      <w:r w:rsidRPr="0058047D">
        <w:rPr>
          <w:rFonts w:ascii="Tahoma" w:hAnsi="Tahoma" w:cs="Tahoma"/>
          <w:color w:val="000000"/>
          <w:sz w:val="18"/>
          <w:szCs w:val="18"/>
        </w:rPr>
        <w:t>sono idonei a ricevere il Supporto per la Risoluzione dei Problemi 24x7.</w:t>
      </w:r>
      <w:r w:rsidR="00E34ED3" w:rsidRPr="0058047D">
        <w:rPr>
          <w:rFonts w:ascii="Tahoma" w:hAnsi="Tahoma" w:cs="Tahoma"/>
          <w:color w:val="000000"/>
          <w:sz w:val="18"/>
          <w:szCs w:val="18"/>
        </w:rPr>
        <w:t xml:space="preserve"> </w:t>
      </w:r>
      <w:r w:rsidRPr="0058047D">
        <w:rPr>
          <w:rFonts w:ascii="Tahoma" w:hAnsi="Tahoma" w:cs="Tahoma"/>
          <w:color w:val="000000"/>
          <w:sz w:val="18"/>
          <w:szCs w:val="18"/>
        </w:rPr>
        <w:t>L</w:t>
      </w:r>
      <w:r w:rsidR="001C4212">
        <w:rPr>
          <w:rFonts w:ascii="Tahoma" w:hAnsi="Tahoma" w:cs="Tahoma"/>
          <w:color w:val="000000"/>
          <w:sz w:val="18"/>
          <w:szCs w:val="18"/>
        </w:rPr>
        <w:t>’</w:t>
      </w:r>
      <w:r w:rsidRPr="0058047D">
        <w:rPr>
          <w:rFonts w:ascii="Tahoma" w:hAnsi="Tahoma" w:cs="Tahoma"/>
          <w:color w:val="000000"/>
          <w:sz w:val="18"/>
          <w:szCs w:val="18"/>
        </w:rPr>
        <w:t>idoneità del prodotto a ricevere supporto telefonico è collegata alla disponibilità dell</w:t>
      </w:r>
      <w:r w:rsidR="001C4212">
        <w:rPr>
          <w:rFonts w:ascii="Tahoma" w:hAnsi="Tahoma" w:cs="Tahoma"/>
          <w:color w:val="000000"/>
          <w:sz w:val="18"/>
          <w:szCs w:val="18"/>
        </w:rPr>
        <w:t>’</w:t>
      </w:r>
      <w:r w:rsidRPr="0058047D">
        <w:rPr>
          <w:rFonts w:ascii="Tahoma" w:hAnsi="Tahoma" w:cs="Tahoma"/>
          <w:color w:val="000000"/>
          <w:sz w:val="18"/>
          <w:szCs w:val="18"/>
        </w:rPr>
        <w:t>offerta Software Assurance per il prodotto stesso. Per i prodotti per i quali non è disponibile alcuna opzione Software Assurance per il server, ma per le CAL, la spesa SA relativa alle CAL prende in considerazione gli interventi da utilizzare per i prodotti idonei nella modalità indicata di seguito nella sezione Premi per Interventi Tramite Supporto Telefonico.</w:t>
      </w:r>
      <w:r w:rsidR="00E34ED3" w:rsidRPr="0058047D">
        <w:rPr>
          <w:rFonts w:ascii="Tahoma" w:hAnsi="Tahoma" w:cs="Tahoma"/>
          <w:color w:val="000000"/>
          <w:sz w:val="18"/>
          <w:szCs w:val="18"/>
        </w:rPr>
        <w:t xml:space="preserve"> </w:t>
      </w:r>
      <w:r w:rsidRPr="0058047D">
        <w:rPr>
          <w:rFonts w:ascii="Tahoma" w:hAnsi="Tahoma" w:cs="Tahoma"/>
          <w:color w:val="000000"/>
          <w:sz w:val="18"/>
          <w:szCs w:val="18"/>
        </w:rPr>
        <w:t>Per consultare i criteri di assistenza e supporto, fare riferimento alla sezione specifica del prodotto.</w:t>
      </w:r>
      <w:r w:rsidR="00E34ED3" w:rsidRPr="0058047D">
        <w:rPr>
          <w:rFonts w:ascii="Tahoma" w:hAnsi="Tahoma" w:cs="Tahoma"/>
          <w:color w:val="000000"/>
          <w:sz w:val="18"/>
          <w:szCs w:val="18"/>
        </w:rPr>
        <w:t xml:space="preserve"> </w:t>
      </w:r>
      <w:r w:rsidRPr="0058047D">
        <w:rPr>
          <w:rFonts w:ascii="Tahoma" w:hAnsi="Tahoma" w:cs="Tahoma"/>
          <w:color w:val="000000"/>
          <w:sz w:val="18"/>
          <w:szCs w:val="18"/>
        </w:rPr>
        <w:t>Sono idonee anche le</w:t>
      </w:r>
      <w:r w:rsidR="009E3FD7">
        <w:rPr>
          <w:rFonts w:ascii="Tahoma" w:hAnsi="Tahoma" w:cs="Tahoma"/>
          <w:color w:val="000000"/>
          <w:sz w:val="18"/>
          <w:szCs w:val="18"/>
        </w:rPr>
        <w:t> </w:t>
      </w:r>
      <w:r w:rsidRPr="0058047D">
        <w:rPr>
          <w:rFonts w:ascii="Tahoma" w:hAnsi="Tahoma" w:cs="Tahoma"/>
          <w:color w:val="000000"/>
          <w:sz w:val="18"/>
          <w:szCs w:val="18"/>
        </w:rPr>
        <w:t>versioni precedenti dei prodotti per cui è previsto il Supporto Mainstream e che le società scelgono di utilizzare al</w:t>
      </w:r>
      <w:r w:rsidR="009E3FD7">
        <w:rPr>
          <w:rFonts w:ascii="Tahoma" w:hAnsi="Tahoma" w:cs="Tahoma"/>
          <w:color w:val="000000"/>
          <w:sz w:val="18"/>
          <w:szCs w:val="18"/>
        </w:rPr>
        <w:t> </w:t>
      </w:r>
      <w:r w:rsidRPr="0058047D">
        <w:rPr>
          <w:rFonts w:ascii="Tahoma" w:hAnsi="Tahoma" w:cs="Tahoma"/>
          <w:color w:val="000000"/>
          <w:sz w:val="18"/>
          <w:szCs w:val="18"/>
        </w:rPr>
        <w:t>posto della versione con licenza in uso.</w:t>
      </w:r>
      <w:r w:rsidR="00E34ED3" w:rsidRPr="0058047D">
        <w:rPr>
          <w:rFonts w:ascii="Tahoma" w:hAnsi="Tahoma" w:cs="Tahoma"/>
          <w:color w:val="000000"/>
          <w:sz w:val="18"/>
          <w:szCs w:val="18"/>
        </w:rPr>
        <w:t xml:space="preserve"> </w:t>
      </w:r>
      <w:r w:rsidRPr="0058047D">
        <w:rPr>
          <w:rFonts w:ascii="Tahoma" w:hAnsi="Tahoma" w:cs="Tahoma"/>
          <w:color w:val="000000"/>
          <w:sz w:val="18"/>
          <w:szCs w:val="18"/>
        </w:rPr>
        <w:t>Sono esclusi la Developer Edition di tutti i server, i prodotti HED e gli Abbonamenti MSDN.</w:t>
      </w:r>
    </w:p>
    <w:p w14:paraId="65010FD3" w14:textId="77777777" w:rsidR="00023FE7" w:rsidRPr="0058047D" w:rsidRDefault="00023FE7" w:rsidP="002D25C8">
      <w:pPr>
        <w:pStyle w:val="AppendixBodyText"/>
        <w:spacing w:after="0"/>
      </w:pPr>
    </w:p>
    <w:p w14:paraId="74C90411" w14:textId="77777777" w:rsidR="00023FE7" w:rsidRPr="0058047D" w:rsidRDefault="00023FE7" w:rsidP="002D25C8">
      <w:pPr>
        <w:pStyle w:val="AppendixBodyText"/>
        <w:spacing w:after="0"/>
      </w:pPr>
      <w:r w:rsidRPr="0058047D">
        <w:rPr>
          <w:rFonts w:ascii="Tahoma" w:hAnsi="Tahoma" w:cs="Tahoma"/>
          <w:sz w:val="18"/>
          <w:szCs w:val="18"/>
        </w:rPr>
        <w:t>Microsoft potrà utilizzare qualsiasi informazione tecnica ottenuta tramite la fornitura di servizi correlati ai suoi prodotti per la risoluzione dei problemi, il miglioramento delle funzionalità dei prodotti e i fix, nonché per la knowledge base di Microsoft. Microsoft accetta di non citare la società o divulgare informazioni riservate di quest</w:t>
      </w:r>
      <w:r w:rsidR="001C4212">
        <w:rPr>
          <w:rFonts w:ascii="Tahoma" w:hAnsi="Tahoma" w:cs="Tahoma"/>
          <w:sz w:val="18"/>
          <w:szCs w:val="18"/>
        </w:rPr>
        <w:t>’</w:t>
      </w:r>
      <w:r w:rsidRPr="0058047D">
        <w:rPr>
          <w:rFonts w:ascii="Tahoma" w:hAnsi="Tahoma" w:cs="Tahoma"/>
          <w:sz w:val="18"/>
          <w:szCs w:val="18"/>
        </w:rPr>
        <w:t>ultima in alcun articolo della knowledge base. Microsoft non è obbligata a limitare gli incarichi di lavoro futuri delle persone che hanno avuto accesso alle informazioni riservate della società. Inoltre, la società, Microsoft e tali persone sono libere di utilizzare le informazioni che tali persone ricordano relativamente all</w:t>
      </w:r>
      <w:r w:rsidR="001C4212">
        <w:rPr>
          <w:rFonts w:ascii="Tahoma" w:hAnsi="Tahoma" w:cs="Tahoma"/>
          <w:sz w:val="18"/>
          <w:szCs w:val="18"/>
        </w:rPr>
        <w:t>’</w:t>
      </w:r>
      <w:r w:rsidRPr="0058047D">
        <w:rPr>
          <w:rFonts w:ascii="Tahoma" w:hAnsi="Tahoma" w:cs="Tahoma"/>
          <w:sz w:val="18"/>
          <w:szCs w:val="18"/>
        </w:rPr>
        <w:t>information technology, inclusi idee, concetti, know-how o</w:t>
      </w:r>
      <w:r w:rsidR="009E3FD7">
        <w:rPr>
          <w:rFonts w:ascii="Tahoma" w:hAnsi="Tahoma" w:cs="Tahoma"/>
          <w:sz w:val="18"/>
          <w:szCs w:val="18"/>
        </w:rPr>
        <w:t> </w:t>
      </w:r>
      <w:r w:rsidRPr="0058047D">
        <w:rPr>
          <w:rFonts w:ascii="Tahoma" w:hAnsi="Tahoma" w:cs="Tahoma"/>
          <w:sz w:val="18"/>
          <w:szCs w:val="18"/>
        </w:rPr>
        <w:t>tecniche, a condizione che le informazioni riservate dell</w:t>
      </w:r>
      <w:r w:rsidR="001C4212">
        <w:rPr>
          <w:rFonts w:ascii="Tahoma" w:hAnsi="Tahoma" w:cs="Tahoma"/>
          <w:sz w:val="18"/>
          <w:szCs w:val="18"/>
        </w:rPr>
        <w:t>’</w:t>
      </w:r>
      <w:r w:rsidRPr="0058047D">
        <w:rPr>
          <w:rFonts w:ascii="Tahoma" w:hAnsi="Tahoma" w:cs="Tahoma"/>
          <w:sz w:val="18"/>
          <w:szCs w:val="18"/>
        </w:rPr>
        <w:t>altra parte non siano divulgate durante tale utilizzo.</w:t>
      </w:r>
    </w:p>
    <w:p w14:paraId="5EADE806" w14:textId="77777777" w:rsidR="00023FE7" w:rsidRDefault="00023FE7" w:rsidP="002D25C8">
      <w:pPr>
        <w:pStyle w:val="AppendixBodyText"/>
        <w:spacing w:after="0"/>
      </w:pPr>
    </w:p>
    <w:p w14:paraId="50AB2517" w14:textId="77777777" w:rsidR="009E3FD7" w:rsidRPr="0058047D" w:rsidRDefault="009E3FD7" w:rsidP="002D25C8">
      <w:pPr>
        <w:pStyle w:val="AppendixBodyText"/>
        <w:spacing w:after="0"/>
      </w:pPr>
    </w:p>
    <w:p w14:paraId="50BAC74F" w14:textId="77777777" w:rsidR="00023FE7" w:rsidRPr="0058047D" w:rsidRDefault="00023FE7" w:rsidP="002D25C8">
      <w:pPr>
        <w:pStyle w:val="AppendixBodyText"/>
        <w:spacing w:after="0"/>
      </w:pPr>
      <w:r w:rsidRPr="0058047D">
        <w:rPr>
          <w:rFonts w:ascii="Tahoma" w:hAnsi="Tahoma" w:cs="Tahoma"/>
          <w:sz w:val="18"/>
          <w:szCs w:val="18"/>
        </w:rPr>
        <w:t>Il diritto della società di utilizzare eventuali fix, che Microsoft potrà rendere disponibili nel corso dell</w:t>
      </w:r>
      <w:r w:rsidR="001C4212">
        <w:rPr>
          <w:rFonts w:ascii="Tahoma" w:hAnsi="Tahoma" w:cs="Tahoma"/>
          <w:sz w:val="18"/>
          <w:szCs w:val="18"/>
        </w:rPr>
        <w:t>’</w:t>
      </w:r>
      <w:r w:rsidRPr="0058047D">
        <w:rPr>
          <w:rFonts w:ascii="Tahoma" w:hAnsi="Tahoma" w:cs="Tahoma"/>
          <w:sz w:val="18"/>
          <w:szCs w:val="18"/>
        </w:rPr>
        <w:t>erogazione dei servizi, è disciplinato dal contratto di licenza per il prodotto al quale il fix fa riferimento, oppure, nel caso in cui il fix non sia fornito per un prodotto specifico, da altre condizioni definite da Microsoft. Tutti i fix forniti sono concessi in licenza alla società.</w:t>
      </w:r>
    </w:p>
    <w:p w14:paraId="287D0761" w14:textId="77777777" w:rsidR="00023FE7" w:rsidRPr="0058047D" w:rsidRDefault="00023FE7" w:rsidP="002D25C8">
      <w:pPr>
        <w:pStyle w:val="AppendixBodyText"/>
        <w:spacing w:after="0"/>
      </w:pPr>
    </w:p>
    <w:p w14:paraId="5F90DA5F" w14:textId="77777777" w:rsidR="00023FE7" w:rsidRPr="0058047D" w:rsidRDefault="00023FE7" w:rsidP="002D25C8">
      <w:pPr>
        <w:pStyle w:val="AppendixBodyText"/>
        <w:spacing w:after="0"/>
      </w:pPr>
      <w:r w:rsidRPr="0058047D">
        <w:rPr>
          <w:rFonts w:ascii="Tahoma" w:hAnsi="Tahoma" w:cs="Tahoma"/>
          <w:sz w:val="18"/>
          <w:szCs w:val="18"/>
        </w:rPr>
        <w:t>Il supporto tecnico può essere avviato formulando le richieste di intervento in formato elettronico, tramite Web o per telefono. Disposizioni diverse si applicano a ciascun tipo di strumento.</w:t>
      </w:r>
      <w:r w:rsidR="00E34ED3" w:rsidRPr="0058047D">
        <w:rPr>
          <w:rFonts w:ascii="Tahoma" w:hAnsi="Tahoma" w:cs="Tahoma"/>
          <w:sz w:val="18"/>
          <w:szCs w:val="18"/>
        </w:rPr>
        <w:t xml:space="preserve"> </w:t>
      </w:r>
      <w:r w:rsidRPr="0058047D">
        <w:rPr>
          <w:rFonts w:ascii="Tahoma" w:hAnsi="Tahoma" w:cs="Tahoma"/>
          <w:sz w:val="18"/>
          <w:szCs w:val="18"/>
        </w:rPr>
        <w:t>Il Supporto per la Risoluzione dei Problemi 24x7 assegna alle società un determinato numero di interventi e fornisce loro i contatti a cui rivolgersi per richiedere tali interventi.</w:t>
      </w:r>
    </w:p>
    <w:p w14:paraId="531648F3" w14:textId="77777777" w:rsidR="00023FE7" w:rsidRPr="0058047D" w:rsidRDefault="00023FE7" w:rsidP="002D25C8">
      <w:pPr>
        <w:pStyle w:val="AppendixBodyText"/>
        <w:spacing w:after="0"/>
      </w:pPr>
    </w:p>
    <w:p w14:paraId="18F97556" w14:textId="77777777" w:rsidR="00023FE7" w:rsidRPr="0058047D" w:rsidRDefault="00023FE7" w:rsidP="0047054A">
      <w:pPr>
        <w:keepNext/>
        <w:spacing w:after="60"/>
      </w:pPr>
      <w:bookmarkStart w:id="730" w:name="_Toc240899163"/>
      <w:r w:rsidRPr="0058047D">
        <w:rPr>
          <w:rFonts w:cs="Tahoma"/>
          <w:b/>
          <w:szCs w:val="20"/>
        </w:rPr>
        <w:t>Premi per Interventi Tramite Supporto Telefonico</w:t>
      </w:r>
      <w:bookmarkEnd w:id="730"/>
    </w:p>
    <w:p w14:paraId="35171CAA" w14:textId="77777777" w:rsidR="00023FE7" w:rsidRPr="0058047D" w:rsidRDefault="00023FE7" w:rsidP="002D25C8">
      <w:pPr>
        <w:pStyle w:val="AppendixBodyText"/>
        <w:spacing w:after="0"/>
      </w:pPr>
      <w:r w:rsidRPr="0058047D">
        <w:rPr>
          <w:rFonts w:ascii="Tahoma" w:hAnsi="Tahoma" w:cs="Tahoma"/>
          <w:sz w:val="18"/>
          <w:szCs w:val="18"/>
        </w:rPr>
        <w:t>Il numero di interventi per cui è consentito richiedere il supporto telefonico varia da società a società, in base alla spesa sostenuta per Software Assurance (SA) e all</w:t>
      </w:r>
      <w:r w:rsidR="001C4212">
        <w:rPr>
          <w:rFonts w:ascii="Tahoma" w:hAnsi="Tahoma" w:cs="Tahoma"/>
          <w:sz w:val="18"/>
          <w:szCs w:val="18"/>
        </w:rPr>
        <w:t>’</w:t>
      </w:r>
      <w:r w:rsidRPr="0058047D">
        <w:rPr>
          <w:rFonts w:ascii="Tahoma" w:hAnsi="Tahoma" w:cs="Tahoma"/>
          <w:sz w:val="18"/>
          <w:szCs w:val="18"/>
        </w:rPr>
        <w:t>opzione di pagamento.</w:t>
      </w:r>
      <w:r w:rsidR="00E34ED3" w:rsidRPr="0058047D">
        <w:rPr>
          <w:rFonts w:ascii="Tahoma" w:hAnsi="Tahoma" w:cs="Tahoma"/>
          <w:sz w:val="18"/>
          <w:szCs w:val="18"/>
        </w:rPr>
        <w:t xml:space="preserve"> </w:t>
      </w:r>
      <w:r w:rsidRPr="0058047D">
        <w:rPr>
          <w:rFonts w:ascii="Tahoma" w:hAnsi="Tahoma" w:cs="Tahoma"/>
          <w:sz w:val="18"/>
        </w:rPr>
        <w:t>A questo proposito, “spesa SA” non significa letteralmente i soldi effettivi spesi dalla società.</w:t>
      </w:r>
      <w:r w:rsidR="00E34ED3" w:rsidRPr="0058047D">
        <w:rPr>
          <w:rFonts w:ascii="Tahoma" w:hAnsi="Tahoma" w:cs="Tahoma"/>
          <w:sz w:val="18"/>
        </w:rPr>
        <w:t xml:space="preserve"> </w:t>
      </w:r>
      <w:r w:rsidRPr="0058047D">
        <w:rPr>
          <w:rFonts w:ascii="Tahoma" w:hAnsi="Tahoma" w:cs="Tahoma"/>
          <w:sz w:val="18"/>
        </w:rPr>
        <w:t>Si tratta dell</w:t>
      </w:r>
      <w:r w:rsidR="001C4212">
        <w:rPr>
          <w:rFonts w:ascii="Tahoma" w:hAnsi="Tahoma" w:cs="Tahoma"/>
          <w:sz w:val="18"/>
        </w:rPr>
        <w:t>’</w:t>
      </w:r>
      <w:r w:rsidRPr="0058047D">
        <w:rPr>
          <w:rFonts w:ascii="Tahoma" w:hAnsi="Tahoma" w:cs="Tahoma"/>
          <w:sz w:val="18"/>
        </w:rPr>
        <w:t>importo approssimativo speso dalla società per</w:t>
      </w:r>
      <w:r w:rsidR="009E3FD7">
        <w:rPr>
          <w:rFonts w:ascii="Tahoma" w:hAnsi="Tahoma" w:cs="Tahoma"/>
          <w:sz w:val="18"/>
        </w:rPr>
        <w:t> </w:t>
      </w:r>
      <w:r w:rsidRPr="0058047D">
        <w:rPr>
          <w:rFonts w:ascii="Tahoma" w:hAnsi="Tahoma" w:cs="Tahoma"/>
          <w:sz w:val="18"/>
        </w:rPr>
        <w:t xml:space="preserve">la copertura Software Assurance relativa a questi prodotti. Per le </w:t>
      </w:r>
      <w:r w:rsidRPr="0058047D">
        <w:rPr>
          <w:rFonts w:ascii="Tahoma" w:hAnsi="Tahoma" w:cs="Tahoma"/>
          <w:sz w:val="18"/>
          <w:szCs w:val="18"/>
        </w:rPr>
        <w:t>società che partecipano ai programmi “subscription”, rappresenta l</w:t>
      </w:r>
      <w:r w:rsidR="001C4212">
        <w:rPr>
          <w:rFonts w:ascii="Tahoma" w:hAnsi="Tahoma" w:cs="Tahoma"/>
          <w:sz w:val="18"/>
          <w:szCs w:val="18"/>
        </w:rPr>
        <w:t>’</w:t>
      </w:r>
      <w:r w:rsidRPr="0058047D">
        <w:rPr>
          <w:rFonts w:ascii="Tahoma" w:hAnsi="Tahoma" w:cs="Tahoma"/>
          <w:sz w:val="18"/>
          <w:szCs w:val="18"/>
        </w:rPr>
        <w:t>importo approssimativo della spesa totale che la società ha dovuto affrontare per ottenere in licenza tali prodotti ai sensi della sua iscrizione o del suo contratto.</w:t>
      </w:r>
      <w:r w:rsidR="00E34ED3" w:rsidRPr="0058047D">
        <w:rPr>
          <w:rFonts w:ascii="Tahoma" w:hAnsi="Tahoma" w:cs="Tahoma"/>
          <w:sz w:val="18"/>
          <w:szCs w:val="18"/>
        </w:rPr>
        <w:t xml:space="preserve"> </w:t>
      </w:r>
      <w:r w:rsidRPr="0058047D">
        <w:rPr>
          <w:rFonts w:ascii="Tahoma" w:hAnsi="Tahoma" w:cs="Tahoma"/>
          <w:sz w:val="18"/>
          <w:szCs w:val="18"/>
        </w:rPr>
        <w:t>L</w:t>
      </w:r>
      <w:r w:rsidR="001C4212">
        <w:rPr>
          <w:rFonts w:ascii="Tahoma" w:hAnsi="Tahoma" w:cs="Tahoma"/>
          <w:sz w:val="18"/>
          <w:szCs w:val="18"/>
        </w:rPr>
        <w:t>’</w:t>
      </w:r>
      <w:r w:rsidRPr="0058047D">
        <w:rPr>
          <w:rFonts w:ascii="Tahoma" w:hAnsi="Tahoma" w:cs="Tahoma"/>
          <w:sz w:val="18"/>
          <w:szCs w:val="18"/>
        </w:rPr>
        <w:t>intervento gratuito è assegnato ai sensi dell</w:t>
      </w:r>
      <w:r w:rsidR="001C4212">
        <w:rPr>
          <w:rFonts w:ascii="Tahoma" w:hAnsi="Tahoma" w:cs="Tahoma"/>
          <w:sz w:val="18"/>
          <w:szCs w:val="18"/>
        </w:rPr>
        <w:t>’</w:t>
      </w:r>
      <w:r w:rsidRPr="0058047D">
        <w:rPr>
          <w:rFonts w:ascii="Tahoma" w:hAnsi="Tahoma" w:cs="Tahoma"/>
          <w:sz w:val="18"/>
          <w:szCs w:val="18"/>
        </w:rPr>
        <w:t>iscrizione Enterprise e Select, della registrazione Select Plus e del contratto Open Value con copertura SA, su almeno un prodotto software Server qualificante.</w:t>
      </w:r>
    </w:p>
    <w:p w14:paraId="52B376FB" w14:textId="77777777" w:rsidR="00F42FB8" w:rsidRPr="0058047D" w:rsidRDefault="00F42FB8" w:rsidP="002D25C8">
      <w:pPr>
        <w:pStyle w:val="AppendixBodyText"/>
        <w:spacing w:after="0"/>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58047D" w14:paraId="1FCB7E01"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49E85120" w14:textId="77777777" w:rsidR="00613BBB" w:rsidRPr="0058047D" w:rsidRDefault="00613BBB" w:rsidP="00F42FB8">
            <w:pPr>
              <w:pStyle w:val="AppendixBodyText"/>
              <w:rPr>
                <w:rFonts w:ascii="Tahoma" w:hAnsi="Tahoma" w:cs="Tahoma"/>
                <w:b/>
                <w:bCs/>
              </w:rPr>
            </w:pPr>
            <w:r w:rsidRPr="0058047D">
              <w:rPr>
                <w:rFonts w:ascii="Tahoma" w:hAnsi="Tahoma" w:cs="Tahoma"/>
                <w:b/>
                <w:bCs/>
              </w:rPr>
              <w:t>Denominazione Valuta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707D1F93" w14:textId="77777777" w:rsidR="00613BBB" w:rsidRPr="0058047D" w:rsidRDefault="00613BBB" w:rsidP="00F42FB8">
            <w:pPr>
              <w:pStyle w:val="AppendixBodyText"/>
              <w:rPr>
                <w:rFonts w:ascii="Tahoma" w:hAnsi="Tahoma" w:cs="Tahoma"/>
                <w:b/>
                <w:bCs/>
              </w:rPr>
            </w:pPr>
            <w:r w:rsidRPr="0058047D">
              <w:rPr>
                <w:rFonts w:ascii="Tahoma" w:hAnsi="Tahoma" w:cs="Tahoma"/>
                <w:b/>
                <w:bCs/>
              </w:rPr>
              <w:t>Codice Valuta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0B313A46" w14:textId="77777777" w:rsidR="00613BBB" w:rsidRPr="0058047D" w:rsidRDefault="00613BBB" w:rsidP="00F42FB8">
            <w:pPr>
              <w:pStyle w:val="AppendixBodyText"/>
            </w:pPr>
            <w:r w:rsidRPr="0058047D">
              <w:rPr>
                <w:rFonts w:ascii="Tahoma" w:hAnsi="Tahoma" w:cs="Tahoma"/>
                <w:b/>
                <w:bCs/>
              </w:rPr>
              <w:t>Server / CAL</w:t>
            </w:r>
          </w:p>
          <w:p w14:paraId="7A954A3F" w14:textId="77777777" w:rsidR="00613BBB" w:rsidRPr="0058047D" w:rsidRDefault="00613BBB" w:rsidP="00F42FB8">
            <w:pPr>
              <w:pStyle w:val="AppendixBodyText"/>
              <w:rPr>
                <w:rFonts w:ascii="Tahoma" w:hAnsi="Tahoma" w:cs="Tahoma"/>
                <w:b/>
                <w:bCs/>
              </w:rPr>
            </w:pPr>
            <w:r w:rsidRPr="0058047D">
              <w:rPr>
                <w:rFonts w:ascii="Tahoma" w:hAnsi="Tahoma" w:cs="Tahoma"/>
                <w:b/>
                <w:bCs/>
              </w:rPr>
              <w:t>Server/CAL</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4C4E4347" w14:textId="77777777" w:rsidR="00613BBB" w:rsidRPr="0058047D" w:rsidRDefault="00613BBB" w:rsidP="00F42FB8">
            <w:pPr>
              <w:pStyle w:val="AppendixBodyText"/>
            </w:pPr>
            <w:r w:rsidRPr="0058047D">
              <w:rPr>
                <w:rFonts w:ascii="Tahoma" w:hAnsi="Tahoma" w:cs="Tahoma"/>
                <w:b/>
                <w:bCs/>
              </w:rPr>
              <w:t>Incrementi Premi Interventi</w:t>
            </w:r>
          </w:p>
          <w:p w14:paraId="7177E650" w14:textId="77777777" w:rsidR="00613BBB" w:rsidRPr="0058047D" w:rsidRDefault="00613BBB" w:rsidP="00F42FB8">
            <w:pPr>
              <w:pStyle w:val="AppendixBodyText"/>
              <w:rPr>
                <w:rFonts w:ascii="Tahoma" w:hAnsi="Tahoma" w:cs="Tahoma"/>
                <w:b/>
                <w:bCs/>
              </w:rPr>
            </w:pPr>
            <w:r w:rsidRPr="0058047D">
              <w:rPr>
                <w:rFonts w:ascii="Tahoma" w:hAnsi="Tahoma" w:cs="Tahoma"/>
                <w:b/>
                <w:bCs/>
              </w:rPr>
              <w:t>Server/CAL</w:t>
            </w:r>
          </w:p>
        </w:tc>
      </w:tr>
      <w:tr w:rsidR="00613BBB" w:rsidRPr="0058047D" w14:paraId="31D73F42" w14:textId="77777777" w:rsidTr="002A6416">
        <w:trPr>
          <w:trHeight w:val="236"/>
        </w:trPr>
        <w:tc>
          <w:tcPr>
            <w:tcW w:w="1809" w:type="dxa"/>
            <w:vAlign w:val="bottom"/>
          </w:tcPr>
          <w:p w14:paraId="5CADB86A"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Dollaro statunitense</w:t>
            </w:r>
          </w:p>
        </w:tc>
        <w:tc>
          <w:tcPr>
            <w:tcW w:w="1350" w:type="dxa"/>
            <w:vAlign w:val="bottom"/>
          </w:tcPr>
          <w:p w14:paraId="0F88A25D"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USD</w:t>
            </w:r>
          </w:p>
        </w:tc>
        <w:tc>
          <w:tcPr>
            <w:tcW w:w="2673" w:type="dxa"/>
            <w:vAlign w:val="bottom"/>
          </w:tcPr>
          <w:p w14:paraId="07C973D3" w14:textId="77777777" w:rsidR="00613BBB" w:rsidRPr="0058047D" w:rsidRDefault="00613BBB" w:rsidP="009E3FD7">
            <w:pPr>
              <w:pStyle w:val="AppendixBodyText"/>
              <w:rPr>
                <w:rFonts w:ascii="Tahoma" w:hAnsi="Tahoma" w:cs="Tahoma"/>
                <w:sz w:val="18"/>
                <w:szCs w:val="18"/>
              </w:rPr>
            </w:pPr>
            <w:r w:rsidRPr="0058047D">
              <w:rPr>
                <w:rFonts w:ascii="Tahoma" w:hAnsi="Tahoma" w:cs="Tahoma"/>
                <w:sz w:val="18"/>
                <w:szCs w:val="18"/>
              </w:rPr>
              <w:t>$20</w:t>
            </w:r>
            <w:r w:rsidR="009E3FD7">
              <w:rPr>
                <w:rFonts w:ascii="Tahoma" w:hAnsi="Tahoma" w:cs="Tahoma"/>
                <w:sz w:val="18"/>
                <w:szCs w:val="18"/>
              </w:rPr>
              <w:t>.</w:t>
            </w:r>
            <w:r w:rsidRPr="0058047D">
              <w:rPr>
                <w:rFonts w:ascii="Tahoma" w:hAnsi="Tahoma" w:cs="Tahoma"/>
                <w:sz w:val="18"/>
                <w:szCs w:val="18"/>
              </w:rPr>
              <w:t>000</w:t>
            </w:r>
          </w:p>
        </w:tc>
        <w:tc>
          <w:tcPr>
            <w:tcW w:w="2889" w:type="dxa"/>
            <w:vAlign w:val="bottom"/>
          </w:tcPr>
          <w:p w14:paraId="566D154E" w14:textId="77777777" w:rsidR="00613BBB" w:rsidRPr="0058047D" w:rsidRDefault="00613BBB" w:rsidP="009E3FD7">
            <w:pPr>
              <w:pStyle w:val="AppendixBodyText"/>
              <w:rPr>
                <w:rFonts w:ascii="Tahoma" w:hAnsi="Tahoma" w:cs="Tahoma"/>
                <w:sz w:val="18"/>
                <w:szCs w:val="18"/>
              </w:rPr>
            </w:pPr>
            <w:r w:rsidRPr="0058047D">
              <w:rPr>
                <w:rFonts w:ascii="Tahoma" w:hAnsi="Tahoma" w:cs="Tahoma"/>
                <w:sz w:val="18"/>
                <w:szCs w:val="18"/>
              </w:rPr>
              <w:t>$200</w:t>
            </w:r>
            <w:r w:rsidR="009E3FD7">
              <w:rPr>
                <w:rFonts w:ascii="Tahoma" w:hAnsi="Tahoma" w:cs="Tahoma"/>
                <w:sz w:val="18"/>
                <w:szCs w:val="18"/>
              </w:rPr>
              <w:t>.</w:t>
            </w:r>
            <w:r w:rsidRPr="0058047D">
              <w:rPr>
                <w:rFonts w:ascii="Tahoma" w:hAnsi="Tahoma" w:cs="Tahoma"/>
                <w:sz w:val="18"/>
                <w:szCs w:val="18"/>
              </w:rPr>
              <w:t>000</w:t>
            </w:r>
          </w:p>
        </w:tc>
      </w:tr>
      <w:tr w:rsidR="00613BBB" w:rsidRPr="0058047D" w14:paraId="15E80498" w14:textId="77777777" w:rsidTr="002A6416">
        <w:trPr>
          <w:trHeight w:val="236"/>
        </w:trPr>
        <w:tc>
          <w:tcPr>
            <w:tcW w:w="1809" w:type="dxa"/>
            <w:vAlign w:val="bottom"/>
          </w:tcPr>
          <w:p w14:paraId="29A28C5D"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Dollaro australiano</w:t>
            </w:r>
          </w:p>
        </w:tc>
        <w:tc>
          <w:tcPr>
            <w:tcW w:w="1350" w:type="dxa"/>
            <w:vAlign w:val="bottom"/>
          </w:tcPr>
          <w:p w14:paraId="5BEF86E7"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AUD</w:t>
            </w:r>
          </w:p>
        </w:tc>
        <w:tc>
          <w:tcPr>
            <w:tcW w:w="2673" w:type="dxa"/>
            <w:vAlign w:val="bottom"/>
          </w:tcPr>
          <w:p w14:paraId="0F1731D3" w14:textId="77777777" w:rsidR="00613BBB" w:rsidRPr="0058047D" w:rsidRDefault="00613BBB" w:rsidP="009E3FD7">
            <w:pPr>
              <w:pStyle w:val="AppendixBodyText"/>
              <w:rPr>
                <w:rFonts w:ascii="Tahoma" w:hAnsi="Tahoma" w:cs="Tahoma"/>
                <w:sz w:val="18"/>
                <w:szCs w:val="18"/>
              </w:rPr>
            </w:pPr>
            <w:r w:rsidRPr="0058047D">
              <w:rPr>
                <w:rFonts w:ascii="Tahoma" w:hAnsi="Tahoma" w:cs="Tahoma"/>
                <w:sz w:val="18"/>
                <w:szCs w:val="18"/>
              </w:rPr>
              <w:t>30</w:t>
            </w:r>
            <w:r w:rsidR="009E3FD7">
              <w:rPr>
                <w:rFonts w:ascii="Tahoma" w:hAnsi="Tahoma" w:cs="Tahoma"/>
                <w:sz w:val="18"/>
                <w:szCs w:val="18"/>
              </w:rPr>
              <w:t>.</w:t>
            </w:r>
            <w:r w:rsidRPr="0058047D">
              <w:rPr>
                <w:rFonts w:ascii="Tahoma" w:hAnsi="Tahoma" w:cs="Tahoma"/>
                <w:sz w:val="18"/>
                <w:szCs w:val="18"/>
              </w:rPr>
              <w:t>000</w:t>
            </w:r>
          </w:p>
        </w:tc>
        <w:tc>
          <w:tcPr>
            <w:tcW w:w="2889" w:type="dxa"/>
            <w:vAlign w:val="bottom"/>
          </w:tcPr>
          <w:p w14:paraId="07DF2055" w14:textId="77777777" w:rsidR="00613BBB" w:rsidRPr="0058047D" w:rsidRDefault="00613BBB" w:rsidP="009E3FD7">
            <w:pPr>
              <w:pStyle w:val="AppendixBodyText"/>
              <w:rPr>
                <w:rFonts w:ascii="Tahoma" w:hAnsi="Tahoma" w:cs="Tahoma"/>
                <w:sz w:val="18"/>
                <w:szCs w:val="18"/>
              </w:rPr>
            </w:pPr>
            <w:r w:rsidRPr="0058047D">
              <w:rPr>
                <w:rFonts w:ascii="Tahoma" w:hAnsi="Tahoma" w:cs="Tahoma"/>
                <w:sz w:val="18"/>
                <w:szCs w:val="18"/>
              </w:rPr>
              <w:t>300</w:t>
            </w:r>
            <w:r w:rsidR="009E3FD7">
              <w:rPr>
                <w:rFonts w:ascii="Tahoma" w:hAnsi="Tahoma" w:cs="Tahoma"/>
                <w:sz w:val="18"/>
                <w:szCs w:val="18"/>
              </w:rPr>
              <w:t>.</w:t>
            </w:r>
            <w:r w:rsidRPr="0058047D">
              <w:rPr>
                <w:rFonts w:ascii="Tahoma" w:hAnsi="Tahoma" w:cs="Tahoma"/>
                <w:sz w:val="18"/>
                <w:szCs w:val="18"/>
              </w:rPr>
              <w:t>000</w:t>
            </w:r>
          </w:p>
        </w:tc>
      </w:tr>
      <w:tr w:rsidR="00613BBB" w:rsidRPr="0058047D" w14:paraId="6510B127" w14:textId="77777777" w:rsidTr="002A6416">
        <w:trPr>
          <w:trHeight w:val="236"/>
        </w:trPr>
        <w:tc>
          <w:tcPr>
            <w:tcW w:w="1809" w:type="dxa"/>
            <w:vAlign w:val="bottom"/>
          </w:tcPr>
          <w:p w14:paraId="0104F90A"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Dollaro canadese</w:t>
            </w:r>
          </w:p>
        </w:tc>
        <w:tc>
          <w:tcPr>
            <w:tcW w:w="1350" w:type="dxa"/>
            <w:vAlign w:val="bottom"/>
          </w:tcPr>
          <w:p w14:paraId="36D2A27D"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CAD</w:t>
            </w:r>
          </w:p>
        </w:tc>
        <w:tc>
          <w:tcPr>
            <w:tcW w:w="2673" w:type="dxa"/>
            <w:vAlign w:val="bottom"/>
          </w:tcPr>
          <w:p w14:paraId="49B0758B" w14:textId="77777777" w:rsidR="00613BBB" w:rsidRPr="0058047D" w:rsidRDefault="00613BBB" w:rsidP="009E3FD7">
            <w:pPr>
              <w:pStyle w:val="AppendixBodyText"/>
              <w:rPr>
                <w:rFonts w:ascii="Tahoma" w:hAnsi="Tahoma" w:cs="Tahoma"/>
                <w:sz w:val="18"/>
                <w:szCs w:val="18"/>
              </w:rPr>
            </w:pPr>
            <w:r w:rsidRPr="0058047D">
              <w:rPr>
                <w:rFonts w:ascii="Tahoma" w:hAnsi="Tahoma" w:cs="Tahoma"/>
                <w:sz w:val="18"/>
                <w:szCs w:val="18"/>
              </w:rPr>
              <w:t>27</w:t>
            </w:r>
            <w:r w:rsidR="009E3FD7">
              <w:rPr>
                <w:rFonts w:ascii="Tahoma" w:hAnsi="Tahoma" w:cs="Tahoma"/>
                <w:sz w:val="18"/>
                <w:szCs w:val="18"/>
              </w:rPr>
              <w:t>.</w:t>
            </w:r>
            <w:r w:rsidRPr="0058047D">
              <w:rPr>
                <w:rFonts w:ascii="Tahoma" w:hAnsi="Tahoma" w:cs="Tahoma"/>
                <w:sz w:val="18"/>
                <w:szCs w:val="18"/>
              </w:rPr>
              <w:t>000</w:t>
            </w:r>
          </w:p>
        </w:tc>
        <w:tc>
          <w:tcPr>
            <w:tcW w:w="2889" w:type="dxa"/>
            <w:vAlign w:val="bottom"/>
          </w:tcPr>
          <w:p w14:paraId="119A3C87" w14:textId="77777777" w:rsidR="00613BBB" w:rsidRPr="0058047D" w:rsidRDefault="00613BBB" w:rsidP="009E3FD7">
            <w:pPr>
              <w:pStyle w:val="AppendixBodyText"/>
              <w:rPr>
                <w:rFonts w:ascii="Tahoma" w:hAnsi="Tahoma" w:cs="Tahoma"/>
                <w:sz w:val="18"/>
                <w:szCs w:val="18"/>
              </w:rPr>
            </w:pPr>
            <w:r w:rsidRPr="0058047D">
              <w:rPr>
                <w:rFonts w:ascii="Tahoma" w:hAnsi="Tahoma" w:cs="Tahoma"/>
                <w:sz w:val="18"/>
                <w:szCs w:val="18"/>
              </w:rPr>
              <w:t>270</w:t>
            </w:r>
            <w:r w:rsidR="009E3FD7">
              <w:rPr>
                <w:rFonts w:ascii="Tahoma" w:hAnsi="Tahoma" w:cs="Tahoma"/>
                <w:sz w:val="18"/>
                <w:szCs w:val="18"/>
              </w:rPr>
              <w:t>.</w:t>
            </w:r>
            <w:r w:rsidRPr="0058047D">
              <w:rPr>
                <w:rFonts w:ascii="Tahoma" w:hAnsi="Tahoma" w:cs="Tahoma"/>
                <w:sz w:val="18"/>
                <w:szCs w:val="18"/>
              </w:rPr>
              <w:t>000</w:t>
            </w:r>
          </w:p>
        </w:tc>
      </w:tr>
      <w:tr w:rsidR="00613BBB" w:rsidRPr="0058047D" w14:paraId="684C82B2" w14:textId="77777777" w:rsidTr="002A6416">
        <w:trPr>
          <w:trHeight w:val="236"/>
        </w:trPr>
        <w:tc>
          <w:tcPr>
            <w:tcW w:w="1809" w:type="dxa"/>
            <w:vAlign w:val="bottom"/>
          </w:tcPr>
          <w:p w14:paraId="4C690227"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Franco svizzero</w:t>
            </w:r>
          </w:p>
        </w:tc>
        <w:tc>
          <w:tcPr>
            <w:tcW w:w="1350" w:type="dxa"/>
            <w:vAlign w:val="bottom"/>
          </w:tcPr>
          <w:p w14:paraId="73847BF7"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CHF</w:t>
            </w:r>
          </w:p>
        </w:tc>
        <w:tc>
          <w:tcPr>
            <w:tcW w:w="2673" w:type="dxa"/>
            <w:vAlign w:val="bottom"/>
          </w:tcPr>
          <w:p w14:paraId="3C949EDA" w14:textId="77777777" w:rsidR="00613BBB" w:rsidRPr="0058047D" w:rsidRDefault="00613BBB" w:rsidP="009E3FD7">
            <w:pPr>
              <w:pStyle w:val="AppendixBodyText"/>
              <w:rPr>
                <w:rFonts w:ascii="Tahoma" w:hAnsi="Tahoma" w:cs="Tahoma"/>
                <w:sz w:val="18"/>
                <w:szCs w:val="18"/>
              </w:rPr>
            </w:pPr>
            <w:r w:rsidRPr="0058047D">
              <w:rPr>
                <w:rFonts w:ascii="Tahoma" w:hAnsi="Tahoma" w:cs="Tahoma"/>
                <w:sz w:val="18"/>
                <w:szCs w:val="18"/>
              </w:rPr>
              <w:t>S Fr. 33</w:t>
            </w:r>
            <w:r w:rsidR="009E3FD7">
              <w:rPr>
                <w:rFonts w:ascii="Tahoma" w:hAnsi="Tahoma" w:cs="Tahoma"/>
                <w:sz w:val="18"/>
                <w:szCs w:val="18"/>
              </w:rPr>
              <w:t>.</w:t>
            </w:r>
            <w:r w:rsidRPr="0058047D">
              <w:rPr>
                <w:rFonts w:ascii="Tahoma" w:hAnsi="Tahoma" w:cs="Tahoma"/>
                <w:sz w:val="18"/>
                <w:szCs w:val="18"/>
              </w:rPr>
              <w:t>000</w:t>
            </w:r>
          </w:p>
        </w:tc>
        <w:tc>
          <w:tcPr>
            <w:tcW w:w="2889" w:type="dxa"/>
            <w:vAlign w:val="bottom"/>
          </w:tcPr>
          <w:p w14:paraId="2C9EEF3B" w14:textId="77777777" w:rsidR="00613BBB" w:rsidRPr="0058047D" w:rsidRDefault="00613BBB" w:rsidP="009E3FD7">
            <w:pPr>
              <w:pStyle w:val="AppendixBodyText"/>
              <w:rPr>
                <w:rFonts w:ascii="Tahoma" w:hAnsi="Tahoma" w:cs="Tahoma"/>
                <w:sz w:val="18"/>
                <w:szCs w:val="18"/>
              </w:rPr>
            </w:pPr>
            <w:r w:rsidRPr="0058047D">
              <w:rPr>
                <w:rFonts w:ascii="Tahoma" w:hAnsi="Tahoma" w:cs="Tahoma"/>
                <w:sz w:val="18"/>
                <w:szCs w:val="18"/>
              </w:rPr>
              <w:t>S Fr. 330</w:t>
            </w:r>
            <w:r w:rsidR="009E3FD7">
              <w:rPr>
                <w:rFonts w:ascii="Tahoma" w:hAnsi="Tahoma" w:cs="Tahoma"/>
                <w:sz w:val="18"/>
                <w:szCs w:val="18"/>
              </w:rPr>
              <w:t>.</w:t>
            </w:r>
            <w:r w:rsidRPr="0058047D">
              <w:rPr>
                <w:rFonts w:ascii="Tahoma" w:hAnsi="Tahoma" w:cs="Tahoma"/>
                <w:sz w:val="18"/>
                <w:szCs w:val="18"/>
              </w:rPr>
              <w:t>000</w:t>
            </w:r>
          </w:p>
        </w:tc>
      </w:tr>
      <w:tr w:rsidR="00613BBB" w:rsidRPr="0058047D" w14:paraId="5A8654C6" w14:textId="77777777" w:rsidTr="002A6416">
        <w:trPr>
          <w:trHeight w:val="236"/>
        </w:trPr>
        <w:tc>
          <w:tcPr>
            <w:tcW w:w="1809" w:type="dxa"/>
            <w:vAlign w:val="bottom"/>
          </w:tcPr>
          <w:p w14:paraId="5A3EE5D1"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Renminbi cinese</w:t>
            </w:r>
          </w:p>
        </w:tc>
        <w:tc>
          <w:tcPr>
            <w:tcW w:w="1350" w:type="dxa"/>
            <w:vAlign w:val="bottom"/>
          </w:tcPr>
          <w:p w14:paraId="3A036622"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CNY</w:t>
            </w:r>
          </w:p>
        </w:tc>
        <w:tc>
          <w:tcPr>
            <w:tcW w:w="2673" w:type="dxa"/>
            <w:vAlign w:val="bottom"/>
          </w:tcPr>
          <w:p w14:paraId="2F71ECB6"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CRC 165.000</w:t>
            </w:r>
          </w:p>
        </w:tc>
        <w:tc>
          <w:tcPr>
            <w:tcW w:w="2889" w:type="dxa"/>
            <w:vAlign w:val="bottom"/>
          </w:tcPr>
          <w:p w14:paraId="4092CB19"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CRC 1.650.000</w:t>
            </w:r>
          </w:p>
        </w:tc>
      </w:tr>
      <w:tr w:rsidR="00613BBB" w:rsidRPr="0058047D" w14:paraId="10341A50" w14:textId="77777777" w:rsidTr="002A6416">
        <w:trPr>
          <w:trHeight w:val="236"/>
        </w:trPr>
        <w:tc>
          <w:tcPr>
            <w:tcW w:w="1809" w:type="dxa"/>
            <w:vAlign w:val="bottom"/>
          </w:tcPr>
          <w:p w14:paraId="6E6F0FD6"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Corone Danesi</w:t>
            </w:r>
          </w:p>
        </w:tc>
        <w:tc>
          <w:tcPr>
            <w:tcW w:w="1350" w:type="dxa"/>
            <w:vAlign w:val="bottom"/>
          </w:tcPr>
          <w:p w14:paraId="35BF71C4"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DKK</w:t>
            </w:r>
          </w:p>
        </w:tc>
        <w:tc>
          <w:tcPr>
            <w:tcW w:w="2673" w:type="dxa"/>
            <w:vAlign w:val="bottom"/>
          </w:tcPr>
          <w:p w14:paraId="0C7C2AC6"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kr 160.000</w:t>
            </w:r>
          </w:p>
        </w:tc>
        <w:tc>
          <w:tcPr>
            <w:tcW w:w="2889" w:type="dxa"/>
            <w:vAlign w:val="bottom"/>
          </w:tcPr>
          <w:p w14:paraId="128194BF"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kr 1.600.000</w:t>
            </w:r>
          </w:p>
        </w:tc>
      </w:tr>
      <w:tr w:rsidR="00613BBB" w:rsidRPr="0058047D" w14:paraId="47F5714C" w14:textId="77777777" w:rsidTr="002A6416">
        <w:trPr>
          <w:trHeight w:val="236"/>
        </w:trPr>
        <w:tc>
          <w:tcPr>
            <w:tcW w:w="1809" w:type="dxa"/>
            <w:vAlign w:val="bottom"/>
          </w:tcPr>
          <w:p w14:paraId="39E22802"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EURO</w:t>
            </w:r>
          </w:p>
        </w:tc>
        <w:tc>
          <w:tcPr>
            <w:tcW w:w="1350" w:type="dxa"/>
            <w:vAlign w:val="bottom"/>
          </w:tcPr>
          <w:p w14:paraId="3425B05D"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EUR</w:t>
            </w:r>
          </w:p>
        </w:tc>
        <w:tc>
          <w:tcPr>
            <w:tcW w:w="2673" w:type="dxa"/>
            <w:vAlign w:val="bottom"/>
          </w:tcPr>
          <w:p w14:paraId="24EBBF3F" w14:textId="77777777" w:rsidR="00613BBB" w:rsidRPr="0058047D" w:rsidRDefault="00613BBB" w:rsidP="009E3FD7">
            <w:pPr>
              <w:pStyle w:val="AppendixBodyText"/>
              <w:rPr>
                <w:rFonts w:ascii="Tahoma" w:hAnsi="Tahoma" w:cs="Tahoma"/>
                <w:sz w:val="18"/>
                <w:szCs w:val="18"/>
              </w:rPr>
            </w:pPr>
            <w:r w:rsidRPr="0058047D">
              <w:rPr>
                <w:rFonts w:ascii="Tahoma" w:hAnsi="Tahoma" w:cs="Tahoma"/>
                <w:sz w:val="18"/>
                <w:szCs w:val="18"/>
              </w:rPr>
              <w:t>21</w:t>
            </w:r>
            <w:r w:rsidR="009E3FD7">
              <w:rPr>
                <w:rFonts w:ascii="Tahoma" w:hAnsi="Tahoma" w:cs="Tahoma"/>
                <w:sz w:val="18"/>
                <w:szCs w:val="18"/>
              </w:rPr>
              <w:t>.</w:t>
            </w:r>
            <w:r w:rsidRPr="0058047D">
              <w:rPr>
                <w:rFonts w:ascii="Tahoma" w:hAnsi="Tahoma" w:cs="Tahoma"/>
                <w:sz w:val="18"/>
                <w:szCs w:val="18"/>
              </w:rPr>
              <w:t>500</w:t>
            </w:r>
          </w:p>
        </w:tc>
        <w:tc>
          <w:tcPr>
            <w:tcW w:w="2889" w:type="dxa"/>
            <w:vAlign w:val="bottom"/>
          </w:tcPr>
          <w:p w14:paraId="0314971A" w14:textId="77777777" w:rsidR="00613BBB" w:rsidRPr="0058047D" w:rsidRDefault="00613BBB" w:rsidP="00F40104">
            <w:pPr>
              <w:pStyle w:val="AppendixBodyText"/>
              <w:rPr>
                <w:rFonts w:ascii="Tahoma" w:hAnsi="Tahoma" w:cs="Tahoma"/>
                <w:sz w:val="18"/>
                <w:szCs w:val="18"/>
              </w:rPr>
            </w:pPr>
            <w:r w:rsidRPr="0058047D">
              <w:rPr>
                <w:rFonts w:ascii="Tahoma" w:hAnsi="Tahoma" w:cs="Tahoma"/>
                <w:sz w:val="18"/>
                <w:szCs w:val="18"/>
              </w:rPr>
              <w:t>215</w:t>
            </w:r>
            <w:r w:rsidR="00F40104">
              <w:rPr>
                <w:rFonts w:ascii="Tahoma" w:hAnsi="Tahoma" w:cs="Tahoma"/>
                <w:sz w:val="18"/>
                <w:szCs w:val="18"/>
              </w:rPr>
              <w:t xml:space="preserve"> </w:t>
            </w:r>
            <w:r w:rsidRPr="0058047D">
              <w:rPr>
                <w:rFonts w:ascii="Tahoma" w:hAnsi="Tahoma" w:cs="Tahoma"/>
                <w:sz w:val="18"/>
                <w:szCs w:val="18"/>
              </w:rPr>
              <w:t>000</w:t>
            </w:r>
          </w:p>
        </w:tc>
      </w:tr>
      <w:tr w:rsidR="00613BBB" w:rsidRPr="0058047D" w14:paraId="01AA9F04" w14:textId="77777777" w:rsidTr="002A6416">
        <w:trPr>
          <w:trHeight w:val="236"/>
        </w:trPr>
        <w:tc>
          <w:tcPr>
            <w:tcW w:w="1809" w:type="dxa"/>
            <w:vAlign w:val="bottom"/>
          </w:tcPr>
          <w:p w14:paraId="2E085AF0"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Sterlina britannica</w:t>
            </w:r>
          </w:p>
        </w:tc>
        <w:tc>
          <w:tcPr>
            <w:tcW w:w="1350" w:type="dxa"/>
            <w:vAlign w:val="bottom"/>
          </w:tcPr>
          <w:p w14:paraId="11956A01"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GBP</w:t>
            </w:r>
          </w:p>
        </w:tc>
        <w:tc>
          <w:tcPr>
            <w:tcW w:w="2673" w:type="dxa"/>
            <w:vAlign w:val="bottom"/>
          </w:tcPr>
          <w:p w14:paraId="2C106069" w14:textId="77777777" w:rsidR="00613BBB" w:rsidRPr="0058047D" w:rsidRDefault="00613BBB" w:rsidP="009E3FD7">
            <w:pPr>
              <w:pStyle w:val="AppendixBodyText"/>
              <w:rPr>
                <w:rFonts w:ascii="Tahoma" w:hAnsi="Tahoma" w:cs="Tahoma"/>
                <w:sz w:val="18"/>
                <w:szCs w:val="18"/>
              </w:rPr>
            </w:pPr>
            <w:r w:rsidRPr="0058047D">
              <w:rPr>
                <w:rFonts w:ascii="Tahoma" w:hAnsi="Tahoma" w:cs="Tahoma"/>
                <w:sz w:val="18"/>
                <w:szCs w:val="18"/>
              </w:rPr>
              <w:t>£13</w:t>
            </w:r>
            <w:r w:rsidR="009E3FD7">
              <w:rPr>
                <w:rFonts w:ascii="Tahoma" w:hAnsi="Tahoma" w:cs="Tahoma"/>
                <w:sz w:val="18"/>
                <w:szCs w:val="18"/>
              </w:rPr>
              <w:t>.</w:t>
            </w:r>
            <w:r w:rsidRPr="0058047D">
              <w:rPr>
                <w:rFonts w:ascii="Tahoma" w:hAnsi="Tahoma" w:cs="Tahoma"/>
                <w:sz w:val="18"/>
                <w:szCs w:val="18"/>
              </w:rPr>
              <w:t>500</w:t>
            </w:r>
          </w:p>
        </w:tc>
        <w:tc>
          <w:tcPr>
            <w:tcW w:w="2889" w:type="dxa"/>
            <w:vAlign w:val="bottom"/>
          </w:tcPr>
          <w:p w14:paraId="0B4F70E4" w14:textId="77777777" w:rsidR="00613BBB" w:rsidRPr="0058047D" w:rsidRDefault="00613BBB" w:rsidP="00F40104">
            <w:pPr>
              <w:pStyle w:val="AppendixBodyText"/>
              <w:rPr>
                <w:rFonts w:ascii="Tahoma" w:hAnsi="Tahoma" w:cs="Tahoma"/>
                <w:sz w:val="18"/>
                <w:szCs w:val="18"/>
              </w:rPr>
            </w:pPr>
            <w:r w:rsidRPr="0058047D">
              <w:rPr>
                <w:rFonts w:ascii="Tahoma" w:hAnsi="Tahoma" w:cs="Tahoma"/>
                <w:sz w:val="18"/>
                <w:szCs w:val="18"/>
              </w:rPr>
              <w:t>£135</w:t>
            </w:r>
            <w:r w:rsidR="00F40104">
              <w:rPr>
                <w:rFonts w:ascii="Tahoma" w:hAnsi="Tahoma" w:cs="Tahoma"/>
                <w:sz w:val="18"/>
                <w:szCs w:val="18"/>
              </w:rPr>
              <w:t xml:space="preserve"> </w:t>
            </w:r>
            <w:r w:rsidRPr="0058047D">
              <w:rPr>
                <w:rFonts w:ascii="Tahoma" w:hAnsi="Tahoma" w:cs="Tahoma"/>
                <w:sz w:val="18"/>
                <w:szCs w:val="18"/>
              </w:rPr>
              <w:t>000</w:t>
            </w:r>
          </w:p>
        </w:tc>
      </w:tr>
      <w:tr w:rsidR="00613BBB" w:rsidRPr="0058047D" w14:paraId="71825EAB" w14:textId="77777777" w:rsidTr="002A6416">
        <w:trPr>
          <w:trHeight w:val="236"/>
        </w:trPr>
        <w:tc>
          <w:tcPr>
            <w:tcW w:w="1809" w:type="dxa"/>
            <w:vAlign w:val="bottom"/>
          </w:tcPr>
          <w:p w14:paraId="09A31B2C"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Yen Giapponesi</w:t>
            </w:r>
          </w:p>
        </w:tc>
        <w:tc>
          <w:tcPr>
            <w:tcW w:w="1350" w:type="dxa"/>
            <w:vAlign w:val="bottom"/>
          </w:tcPr>
          <w:p w14:paraId="51561BBC"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JPY</w:t>
            </w:r>
          </w:p>
        </w:tc>
        <w:tc>
          <w:tcPr>
            <w:tcW w:w="2673" w:type="dxa"/>
            <w:vAlign w:val="bottom"/>
          </w:tcPr>
          <w:p w14:paraId="6F72E755"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JPY 2.400.000</w:t>
            </w:r>
          </w:p>
        </w:tc>
        <w:tc>
          <w:tcPr>
            <w:tcW w:w="2889" w:type="dxa"/>
            <w:vAlign w:val="bottom"/>
          </w:tcPr>
          <w:p w14:paraId="262195F3"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JPY 24.000.000</w:t>
            </w:r>
          </w:p>
        </w:tc>
      </w:tr>
      <w:tr w:rsidR="00613BBB" w:rsidRPr="0058047D" w14:paraId="3B5F1FD3" w14:textId="77777777" w:rsidTr="002A6416">
        <w:trPr>
          <w:trHeight w:val="236"/>
        </w:trPr>
        <w:tc>
          <w:tcPr>
            <w:tcW w:w="1809" w:type="dxa"/>
            <w:vAlign w:val="bottom"/>
          </w:tcPr>
          <w:p w14:paraId="3176CCB2"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Won Coreani</w:t>
            </w:r>
          </w:p>
        </w:tc>
        <w:tc>
          <w:tcPr>
            <w:tcW w:w="1350" w:type="dxa"/>
            <w:vAlign w:val="bottom"/>
          </w:tcPr>
          <w:p w14:paraId="359784D5"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KRW</w:t>
            </w:r>
          </w:p>
        </w:tc>
        <w:tc>
          <w:tcPr>
            <w:tcW w:w="2673" w:type="dxa"/>
            <w:vAlign w:val="bottom"/>
          </w:tcPr>
          <w:p w14:paraId="10CFB3C0"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KWD 24.000.000</w:t>
            </w:r>
          </w:p>
        </w:tc>
        <w:tc>
          <w:tcPr>
            <w:tcW w:w="2889" w:type="dxa"/>
            <w:vAlign w:val="bottom"/>
          </w:tcPr>
          <w:p w14:paraId="0B2F9476"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KWD 240.000.000</w:t>
            </w:r>
          </w:p>
        </w:tc>
      </w:tr>
      <w:tr w:rsidR="00613BBB" w:rsidRPr="0058047D" w14:paraId="01AA579E" w14:textId="77777777" w:rsidTr="002A6416">
        <w:trPr>
          <w:trHeight w:val="236"/>
        </w:trPr>
        <w:tc>
          <w:tcPr>
            <w:tcW w:w="1809" w:type="dxa"/>
            <w:vAlign w:val="bottom"/>
          </w:tcPr>
          <w:p w14:paraId="4B54BAE4"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Corone Norvegesi</w:t>
            </w:r>
          </w:p>
        </w:tc>
        <w:tc>
          <w:tcPr>
            <w:tcW w:w="1350" w:type="dxa"/>
            <w:vAlign w:val="bottom"/>
          </w:tcPr>
          <w:p w14:paraId="0C92A37C"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NOK</w:t>
            </w:r>
          </w:p>
        </w:tc>
        <w:tc>
          <w:tcPr>
            <w:tcW w:w="2673" w:type="dxa"/>
            <w:vAlign w:val="bottom"/>
          </w:tcPr>
          <w:p w14:paraId="709679AD"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kr 165.000</w:t>
            </w:r>
          </w:p>
        </w:tc>
        <w:tc>
          <w:tcPr>
            <w:tcW w:w="2889" w:type="dxa"/>
            <w:vAlign w:val="bottom"/>
          </w:tcPr>
          <w:p w14:paraId="57C6D370"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kr 1.650.000</w:t>
            </w:r>
          </w:p>
        </w:tc>
      </w:tr>
      <w:tr w:rsidR="00613BBB" w:rsidRPr="0058047D" w14:paraId="267E6A73" w14:textId="77777777" w:rsidTr="002A6416">
        <w:trPr>
          <w:trHeight w:val="236"/>
        </w:trPr>
        <w:tc>
          <w:tcPr>
            <w:tcW w:w="1809" w:type="dxa"/>
            <w:vAlign w:val="bottom"/>
          </w:tcPr>
          <w:p w14:paraId="7EEFF966"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Dollaro neozelandese</w:t>
            </w:r>
          </w:p>
        </w:tc>
        <w:tc>
          <w:tcPr>
            <w:tcW w:w="1350" w:type="dxa"/>
            <w:vAlign w:val="bottom"/>
          </w:tcPr>
          <w:p w14:paraId="573FB651"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NZD</w:t>
            </w:r>
          </w:p>
        </w:tc>
        <w:tc>
          <w:tcPr>
            <w:tcW w:w="2673" w:type="dxa"/>
            <w:vAlign w:val="bottom"/>
          </w:tcPr>
          <w:p w14:paraId="424214F9" w14:textId="77777777" w:rsidR="00613BBB" w:rsidRPr="0058047D" w:rsidRDefault="00613BBB" w:rsidP="009E3FD7">
            <w:pPr>
              <w:pStyle w:val="AppendixBodyText"/>
              <w:rPr>
                <w:rFonts w:ascii="Tahoma" w:hAnsi="Tahoma" w:cs="Tahoma"/>
                <w:sz w:val="18"/>
                <w:szCs w:val="18"/>
              </w:rPr>
            </w:pPr>
            <w:r w:rsidRPr="0058047D">
              <w:rPr>
                <w:rFonts w:ascii="Tahoma" w:hAnsi="Tahoma" w:cs="Tahoma"/>
                <w:sz w:val="18"/>
                <w:szCs w:val="18"/>
              </w:rPr>
              <w:t>35</w:t>
            </w:r>
            <w:r w:rsidR="009E3FD7">
              <w:rPr>
                <w:rFonts w:ascii="Tahoma" w:hAnsi="Tahoma" w:cs="Tahoma"/>
                <w:sz w:val="18"/>
                <w:szCs w:val="18"/>
              </w:rPr>
              <w:t>.</w:t>
            </w:r>
            <w:r w:rsidRPr="0058047D">
              <w:rPr>
                <w:rFonts w:ascii="Tahoma" w:hAnsi="Tahoma" w:cs="Tahoma"/>
                <w:sz w:val="18"/>
                <w:szCs w:val="18"/>
              </w:rPr>
              <w:t>000</w:t>
            </w:r>
          </w:p>
        </w:tc>
        <w:tc>
          <w:tcPr>
            <w:tcW w:w="2889" w:type="dxa"/>
            <w:vAlign w:val="bottom"/>
          </w:tcPr>
          <w:p w14:paraId="7C2B5C3C" w14:textId="77777777" w:rsidR="00613BBB" w:rsidRPr="0058047D" w:rsidRDefault="00613BBB" w:rsidP="009E3FD7">
            <w:pPr>
              <w:pStyle w:val="AppendixBodyText"/>
              <w:rPr>
                <w:rFonts w:ascii="Tahoma" w:hAnsi="Tahoma" w:cs="Tahoma"/>
                <w:sz w:val="18"/>
                <w:szCs w:val="18"/>
              </w:rPr>
            </w:pPr>
            <w:r w:rsidRPr="0058047D">
              <w:rPr>
                <w:rFonts w:ascii="Tahoma" w:hAnsi="Tahoma" w:cs="Tahoma"/>
                <w:sz w:val="18"/>
                <w:szCs w:val="18"/>
              </w:rPr>
              <w:t>350</w:t>
            </w:r>
            <w:r w:rsidR="009E3FD7">
              <w:rPr>
                <w:rFonts w:ascii="Tahoma" w:hAnsi="Tahoma" w:cs="Tahoma"/>
                <w:sz w:val="18"/>
                <w:szCs w:val="18"/>
              </w:rPr>
              <w:t>.</w:t>
            </w:r>
            <w:r w:rsidRPr="0058047D">
              <w:rPr>
                <w:rFonts w:ascii="Tahoma" w:hAnsi="Tahoma" w:cs="Tahoma"/>
                <w:sz w:val="18"/>
                <w:szCs w:val="18"/>
              </w:rPr>
              <w:t>000</w:t>
            </w:r>
          </w:p>
        </w:tc>
      </w:tr>
      <w:tr w:rsidR="00613BBB" w:rsidRPr="0058047D" w14:paraId="1B427FD1" w14:textId="77777777" w:rsidTr="002A6416">
        <w:trPr>
          <w:trHeight w:val="236"/>
        </w:trPr>
        <w:tc>
          <w:tcPr>
            <w:tcW w:w="1809" w:type="dxa"/>
            <w:vAlign w:val="bottom"/>
          </w:tcPr>
          <w:p w14:paraId="5AC692F8"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Corone Svedesi</w:t>
            </w:r>
          </w:p>
        </w:tc>
        <w:tc>
          <w:tcPr>
            <w:tcW w:w="1350" w:type="dxa"/>
            <w:vAlign w:val="bottom"/>
          </w:tcPr>
          <w:p w14:paraId="0F012217"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SEK</w:t>
            </w:r>
          </w:p>
        </w:tc>
        <w:tc>
          <w:tcPr>
            <w:tcW w:w="2673" w:type="dxa"/>
            <w:vAlign w:val="bottom"/>
          </w:tcPr>
          <w:p w14:paraId="398598B5"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kr 200.000</w:t>
            </w:r>
          </w:p>
        </w:tc>
        <w:tc>
          <w:tcPr>
            <w:tcW w:w="2889" w:type="dxa"/>
            <w:vAlign w:val="bottom"/>
          </w:tcPr>
          <w:p w14:paraId="5540351D"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kr 2.000.000</w:t>
            </w:r>
          </w:p>
        </w:tc>
      </w:tr>
      <w:tr w:rsidR="00613BBB" w:rsidRPr="0058047D" w14:paraId="242AA75A" w14:textId="77777777" w:rsidTr="002A6416">
        <w:trPr>
          <w:trHeight w:val="236"/>
        </w:trPr>
        <w:tc>
          <w:tcPr>
            <w:tcW w:w="1809" w:type="dxa"/>
            <w:vAlign w:val="bottom"/>
          </w:tcPr>
          <w:p w14:paraId="612E2614"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Nuovo dollaro taiwanese</w:t>
            </w:r>
          </w:p>
        </w:tc>
        <w:tc>
          <w:tcPr>
            <w:tcW w:w="1350" w:type="dxa"/>
            <w:vAlign w:val="bottom"/>
          </w:tcPr>
          <w:p w14:paraId="4277AD19"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TWD</w:t>
            </w:r>
          </w:p>
        </w:tc>
        <w:tc>
          <w:tcPr>
            <w:tcW w:w="2673" w:type="dxa"/>
            <w:vAlign w:val="bottom"/>
          </w:tcPr>
          <w:p w14:paraId="04387E23"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NTD 700.000</w:t>
            </w:r>
          </w:p>
        </w:tc>
        <w:tc>
          <w:tcPr>
            <w:tcW w:w="2889" w:type="dxa"/>
            <w:vAlign w:val="bottom"/>
          </w:tcPr>
          <w:p w14:paraId="064BC754" w14:textId="77777777" w:rsidR="00613BBB" w:rsidRPr="0058047D" w:rsidRDefault="00613BBB" w:rsidP="00F42FB8">
            <w:pPr>
              <w:pStyle w:val="AppendixBodyText"/>
              <w:rPr>
                <w:rFonts w:ascii="Tahoma" w:hAnsi="Tahoma" w:cs="Tahoma"/>
                <w:sz w:val="18"/>
                <w:szCs w:val="18"/>
              </w:rPr>
            </w:pPr>
            <w:r w:rsidRPr="0058047D">
              <w:rPr>
                <w:rFonts w:ascii="Tahoma" w:hAnsi="Tahoma" w:cs="Tahoma"/>
                <w:sz w:val="18"/>
                <w:szCs w:val="18"/>
              </w:rPr>
              <w:t>NTD 7.000.000</w:t>
            </w:r>
          </w:p>
        </w:tc>
      </w:tr>
      <w:tr w:rsidR="004B4C79" w:rsidRPr="0058047D" w14:paraId="2AB4743C" w14:textId="77777777" w:rsidTr="002A6416">
        <w:trPr>
          <w:trHeight w:val="236"/>
        </w:trPr>
        <w:tc>
          <w:tcPr>
            <w:tcW w:w="1809" w:type="dxa"/>
          </w:tcPr>
          <w:p w14:paraId="1362E643" w14:textId="77777777" w:rsidR="004B4C79" w:rsidRPr="0058047D" w:rsidRDefault="004B4C79" w:rsidP="00F42FB8">
            <w:pPr>
              <w:pStyle w:val="AppendixBodyText"/>
              <w:rPr>
                <w:rFonts w:ascii="Tahoma" w:hAnsi="Tahoma" w:cs="Tahoma"/>
                <w:sz w:val="18"/>
                <w:szCs w:val="18"/>
              </w:rPr>
            </w:pPr>
            <w:r w:rsidRPr="0058047D">
              <w:rPr>
                <w:rFonts w:ascii="Tahoma" w:hAnsi="Tahoma" w:cs="Tahoma"/>
                <w:sz w:val="18"/>
                <w:szCs w:val="18"/>
              </w:rPr>
              <w:t>Rupia indiana</w:t>
            </w:r>
          </w:p>
        </w:tc>
        <w:tc>
          <w:tcPr>
            <w:tcW w:w="1350" w:type="dxa"/>
          </w:tcPr>
          <w:p w14:paraId="54286584" w14:textId="77777777" w:rsidR="004B4C79" w:rsidRPr="0058047D" w:rsidRDefault="004B4C79" w:rsidP="00F42FB8">
            <w:pPr>
              <w:pStyle w:val="AppendixBodyText"/>
              <w:rPr>
                <w:rFonts w:ascii="Tahoma" w:hAnsi="Tahoma" w:cs="Tahoma"/>
                <w:sz w:val="18"/>
                <w:szCs w:val="18"/>
              </w:rPr>
            </w:pPr>
            <w:r w:rsidRPr="0058047D">
              <w:rPr>
                <w:rFonts w:ascii="Tahoma" w:hAnsi="Tahoma" w:cs="Tahoma"/>
                <w:sz w:val="18"/>
                <w:szCs w:val="18"/>
              </w:rPr>
              <w:t>INR</w:t>
            </w:r>
          </w:p>
        </w:tc>
        <w:tc>
          <w:tcPr>
            <w:tcW w:w="2673" w:type="dxa"/>
          </w:tcPr>
          <w:p w14:paraId="2CCB563E" w14:textId="77777777" w:rsidR="004B4C79" w:rsidRPr="0058047D" w:rsidRDefault="004B4C79" w:rsidP="00F42FB8">
            <w:pPr>
              <w:pStyle w:val="AppendixBodyText"/>
              <w:rPr>
                <w:rFonts w:ascii="Tahoma" w:hAnsi="Tahoma" w:cs="Tahoma"/>
                <w:sz w:val="18"/>
                <w:szCs w:val="18"/>
              </w:rPr>
            </w:pPr>
            <w:r w:rsidRPr="0058047D">
              <w:rPr>
                <w:rFonts w:ascii="Tahoma" w:hAnsi="Tahoma" w:cs="Tahoma"/>
                <w:sz w:val="18"/>
                <w:szCs w:val="18"/>
              </w:rPr>
              <w:t>INR 1.000.000</w:t>
            </w:r>
          </w:p>
        </w:tc>
        <w:tc>
          <w:tcPr>
            <w:tcW w:w="2889" w:type="dxa"/>
          </w:tcPr>
          <w:p w14:paraId="0FB84179" w14:textId="77777777" w:rsidR="004B4C79" w:rsidRPr="0058047D" w:rsidRDefault="004B4C79" w:rsidP="00F42FB8">
            <w:pPr>
              <w:pStyle w:val="AppendixBodyText"/>
              <w:rPr>
                <w:rFonts w:ascii="Tahoma" w:hAnsi="Tahoma" w:cs="Tahoma"/>
                <w:sz w:val="18"/>
                <w:szCs w:val="18"/>
              </w:rPr>
            </w:pPr>
            <w:r w:rsidRPr="0058047D">
              <w:rPr>
                <w:rFonts w:ascii="Tahoma" w:hAnsi="Tahoma" w:cs="Tahoma"/>
                <w:sz w:val="18"/>
                <w:szCs w:val="18"/>
              </w:rPr>
              <w:t>INR 10.000.000</w:t>
            </w:r>
          </w:p>
        </w:tc>
      </w:tr>
      <w:tr w:rsidR="004B4C79" w:rsidRPr="0058047D" w14:paraId="2A7BAF99" w14:textId="77777777" w:rsidTr="002A6416">
        <w:trPr>
          <w:trHeight w:val="236"/>
        </w:trPr>
        <w:tc>
          <w:tcPr>
            <w:tcW w:w="1809" w:type="dxa"/>
          </w:tcPr>
          <w:p w14:paraId="67DBDAE4" w14:textId="77777777" w:rsidR="004B4C79" w:rsidRPr="0058047D" w:rsidRDefault="004B4C79" w:rsidP="00F42FB8">
            <w:pPr>
              <w:pStyle w:val="AppendixBodyText"/>
              <w:rPr>
                <w:rFonts w:ascii="Tahoma" w:hAnsi="Tahoma" w:cs="Tahoma"/>
                <w:sz w:val="18"/>
                <w:szCs w:val="18"/>
              </w:rPr>
            </w:pPr>
            <w:r w:rsidRPr="0058047D">
              <w:rPr>
                <w:rFonts w:ascii="Tahoma" w:hAnsi="Tahoma" w:cs="Tahoma"/>
                <w:sz w:val="18"/>
                <w:szCs w:val="18"/>
              </w:rPr>
              <w:t>Rublo russo</w:t>
            </w:r>
          </w:p>
        </w:tc>
        <w:tc>
          <w:tcPr>
            <w:tcW w:w="1350" w:type="dxa"/>
          </w:tcPr>
          <w:p w14:paraId="78694666" w14:textId="77777777" w:rsidR="004B4C79" w:rsidRPr="0058047D" w:rsidRDefault="004B4C79" w:rsidP="00F42FB8">
            <w:pPr>
              <w:pStyle w:val="AppendixBodyText"/>
              <w:rPr>
                <w:rFonts w:ascii="Tahoma" w:hAnsi="Tahoma" w:cs="Tahoma"/>
                <w:sz w:val="18"/>
                <w:szCs w:val="18"/>
              </w:rPr>
            </w:pPr>
            <w:r w:rsidRPr="0058047D">
              <w:rPr>
                <w:rFonts w:ascii="Tahoma" w:hAnsi="Tahoma" w:cs="Tahoma"/>
                <w:sz w:val="18"/>
                <w:szCs w:val="18"/>
              </w:rPr>
              <w:t>RUB</w:t>
            </w:r>
          </w:p>
        </w:tc>
        <w:tc>
          <w:tcPr>
            <w:tcW w:w="2673" w:type="dxa"/>
          </w:tcPr>
          <w:p w14:paraId="79BEB4A2" w14:textId="77777777" w:rsidR="004B4C79" w:rsidRPr="0058047D" w:rsidRDefault="004B4C79" w:rsidP="00F42FB8">
            <w:pPr>
              <w:pStyle w:val="AppendixBodyText"/>
              <w:rPr>
                <w:rFonts w:ascii="Tahoma" w:hAnsi="Tahoma" w:cs="Tahoma"/>
                <w:sz w:val="18"/>
                <w:szCs w:val="18"/>
              </w:rPr>
            </w:pPr>
            <w:r w:rsidRPr="0058047D">
              <w:rPr>
                <w:rFonts w:ascii="Tahoma" w:hAnsi="Tahoma" w:cs="Tahoma"/>
                <w:sz w:val="18"/>
                <w:szCs w:val="18"/>
              </w:rPr>
              <w:t>RUB 660.000</w:t>
            </w:r>
          </w:p>
        </w:tc>
        <w:tc>
          <w:tcPr>
            <w:tcW w:w="2889" w:type="dxa"/>
          </w:tcPr>
          <w:p w14:paraId="2424952D" w14:textId="77777777" w:rsidR="004B4C79" w:rsidRPr="0058047D" w:rsidRDefault="004B4C79" w:rsidP="00F42FB8">
            <w:pPr>
              <w:pStyle w:val="AppendixBodyText"/>
              <w:rPr>
                <w:rFonts w:ascii="Tahoma" w:hAnsi="Tahoma" w:cs="Tahoma"/>
                <w:sz w:val="18"/>
                <w:szCs w:val="18"/>
              </w:rPr>
            </w:pPr>
            <w:r w:rsidRPr="0058047D">
              <w:rPr>
                <w:rFonts w:ascii="Tahoma" w:hAnsi="Tahoma" w:cs="Tahoma"/>
                <w:sz w:val="18"/>
                <w:szCs w:val="18"/>
              </w:rPr>
              <w:t>RUB 6.600.000</w:t>
            </w:r>
          </w:p>
        </w:tc>
      </w:tr>
    </w:tbl>
    <w:p w14:paraId="660C48A9" w14:textId="77777777" w:rsidR="00023FE7" w:rsidRPr="0058047D" w:rsidRDefault="00023FE7" w:rsidP="00F93617">
      <w:pPr>
        <w:pStyle w:val="AppendixBodyText"/>
        <w:spacing w:after="0"/>
      </w:pPr>
    </w:p>
    <w:p w14:paraId="004C7190" w14:textId="77777777" w:rsidR="00023FE7" w:rsidRPr="0058047D" w:rsidRDefault="00023FE7" w:rsidP="00F42FB8">
      <w:pPr>
        <w:pStyle w:val="AppendixBodyText"/>
        <w:spacing w:after="0"/>
      </w:pPr>
      <w:r w:rsidRPr="0058047D">
        <w:rPr>
          <w:rFonts w:ascii="Tahoma" w:hAnsi="Tahoma" w:cs="Tahoma"/>
          <w:sz w:val="18"/>
          <w:szCs w:val="18"/>
        </w:rPr>
        <w:t>Gli interventi basati sulla spesa SA sono concessi in base alla spesa SA per server e desktop, ai sensi di un</w:t>
      </w:r>
      <w:r w:rsidR="001C4212">
        <w:rPr>
          <w:rFonts w:ascii="Tahoma" w:hAnsi="Tahoma" w:cs="Tahoma"/>
          <w:sz w:val="18"/>
          <w:szCs w:val="18"/>
        </w:rPr>
        <w:t>’</w:t>
      </w:r>
      <w:r w:rsidRPr="0058047D">
        <w:rPr>
          <w:rFonts w:ascii="Tahoma" w:hAnsi="Tahoma" w:cs="Tahoma"/>
          <w:sz w:val="18"/>
          <w:szCs w:val="18"/>
        </w:rPr>
        <w:t>iscrizione Enterprise o Select qualificante, della registrazione Select Plus, del Contratto Open Value o del Numero di Autorizzazione Open License.</w:t>
      </w:r>
      <w:r w:rsidR="00E34ED3" w:rsidRPr="0058047D">
        <w:rPr>
          <w:rFonts w:ascii="Tahoma" w:hAnsi="Tahoma" w:cs="Tahoma"/>
          <w:sz w:val="18"/>
          <w:szCs w:val="18"/>
        </w:rPr>
        <w:t xml:space="preserve"> </w:t>
      </w:r>
      <w:r w:rsidRPr="0058047D">
        <w:rPr>
          <w:rFonts w:ascii="Tahoma" w:hAnsi="Tahoma" w:cs="Tahoma"/>
          <w:sz w:val="18"/>
          <w:szCs w:val="18"/>
        </w:rPr>
        <w:t>Per ogni $20.000 di spesa per SA Server o SA CAL, Microsoft concede un intervento. Per ogni $200.000 di spesa SA per Pool di Sistemi o Pool di Applicazioni, Microsoft concede un intervento.</w:t>
      </w:r>
      <w:r w:rsidR="00E34ED3" w:rsidRPr="0058047D">
        <w:rPr>
          <w:rFonts w:ascii="Tahoma" w:hAnsi="Tahoma" w:cs="Tahoma"/>
          <w:sz w:val="18"/>
          <w:szCs w:val="18"/>
        </w:rPr>
        <w:t xml:space="preserve"> </w:t>
      </w:r>
      <w:r w:rsidRPr="0058047D">
        <w:rPr>
          <w:rFonts w:ascii="Tahoma" w:hAnsi="Tahoma" w:cs="Tahoma"/>
          <w:sz w:val="18"/>
          <w:szCs w:val="18"/>
        </w:rPr>
        <w:t>La tabella precedente mostra le somme equivalenti, approssimative, in valuta per i premi basate sulla spesa SA, in caso di contratti stipulati in valute diverse dall</w:t>
      </w:r>
      <w:r w:rsidR="001C4212">
        <w:rPr>
          <w:rFonts w:ascii="Tahoma" w:hAnsi="Tahoma" w:cs="Tahoma"/>
          <w:sz w:val="18"/>
          <w:szCs w:val="18"/>
        </w:rPr>
        <w:t>’</w:t>
      </w:r>
      <w:r w:rsidRPr="0058047D">
        <w:rPr>
          <w:rFonts w:ascii="Tahoma" w:hAnsi="Tahoma" w:cs="Tahoma"/>
          <w:sz w:val="18"/>
          <w:szCs w:val="18"/>
        </w:rPr>
        <w:t>USD.</w:t>
      </w:r>
      <w:r w:rsidR="00E34ED3" w:rsidRPr="0058047D">
        <w:rPr>
          <w:rFonts w:ascii="Tahoma" w:hAnsi="Tahoma" w:cs="Tahoma"/>
          <w:sz w:val="18"/>
          <w:szCs w:val="18"/>
        </w:rPr>
        <w:t xml:space="preserve"> </w:t>
      </w:r>
      <w:r w:rsidRPr="0058047D">
        <w:rPr>
          <w:rFonts w:ascii="Tahoma" w:hAnsi="Tahoma" w:cs="Tahoma"/>
          <w:sz w:val="18"/>
          <w:szCs w:val="18"/>
        </w:rPr>
        <w:t>A causa delle fluttuazioni dei tassi di cambio, i valori riportati nella tabella sono soggetti a variazione.</w:t>
      </w:r>
    </w:p>
    <w:p w14:paraId="0FAD3F96" w14:textId="77777777" w:rsidR="00023FE7" w:rsidRDefault="00023FE7" w:rsidP="00F42FB8">
      <w:pPr>
        <w:pStyle w:val="AppendixBodyText"/>
        <w:spacing w:after="0"/>
      </w:pPr>
    </w:p>
    <w:p w14:paraId="046D1FA9" w14:textId="77777777" w:rsidR="00023FE7" w:rsidRPr="0058047D" w:rsidRDefault="00023FE7" w:rsidP="00F42FB8">
      <w:pPr>
        <w:pStyle w:val="AppendixBodyText"/>
        <w:spacing w:after="0"/>
      </w:pPr>
      <w:r w:rsidRPr="0058047D">
        <w:rPr>
          <w:rFonts w:ascii="Tahoma" w:hAnsi="Tahoma" w:cs="Tahoma"/>
          <w:sz w:val="18"/>
          <w:szCs w:val="18"/>
        </w:rPr>
        <w:t>Gli interventi sono concessi nel corso di validità della copertura Software Assurance, a seconda dell</w:t>
      </w:r>
      <w:r w:rsidR="001C4212">
        <w:rPr>
          <w:rFonts w:ascii="Tahoma" w:hAnsi="Tahoma" w:cs="Tahoma"/>
          <w:sz w:val="18"/>
          <w:szCs w:val="18"/>
        </w:rPr>
        <w:t>’</w:t>
      </w:r>
      <w:r w:rsidRPr="0058047D">
        <w:rPr>
          <w:rFonts w:ascii="Tahoma" w:hAnsi="Tahoma" w:cs="Tahoma"/>
          <w:sz w:val="18"/>
          <w:szCs w:val="18"/>
        </w:rPr>
        <w:t>opzione di pagamento.</w:t>
      </w:r>
      <w:r w:rsidR="00E34ED3" w:rsidRPr="0058047D">
        <w:rPr>
          <w:rFonts w:ascii="Tahoma" w:hAnsi="Tahoma" w:cs="Tahoma"/>
          <w:sz w:val="18"/>
          <w:szCs w:val="18"/>
        </w:rPr>
        <w:t xml:space="preserve"> </w:t>
      </w:r>
      <w:r w:rsidRPr="0058047D">
        <w:rPr>
          <w:rFonts w:ascii="Tahoma" w:hAnsi="Tahoma" w:cs="Tahoma"/>
          <w:sz w:val="18"/>
          <w:szCs w:val="18"/>
        </w:rPr>
        <w:t>I contratti con pagamenti dilazionati prevedono anch</w:t>
      </w:r>
      <w:r w:rsidR="001C4212">
        <w:rPr>
          <w:rFonts w:ascii="Tahoma" w:hAnsi="Tahoma" w:cs="Tahoma"/>
          <w:sz w:val="18"/>
          <w:szCs w:val="18"/>
        </w:rPr>
        <w:t>’</w:t>
      </w:r>
      <w:r w:rsidRPr="0058047D">
        <w:rPr>
          <w:rFonts w:ascii="Tahoma" w:hAnsi="Tahoma" w:cs="Tahoma"/>
          <w:sz w:val="18"/>
          <w:szCs w:val="18"/>
        </w:rPr>
        <w:t>essi l</w:t>
      </w:r>
      <w:r w:rsidR="001C4212">
        <w:rPr>
          <w:rFonts w:ascii="Tahoma" w:hAnsi="Tahoma" w:cs="Tahoma"/>
          <w:sz w:val="18"/>
          <w:szCs w:val="18"/>
        </w:rPr>
        <w:t>’</w:t>
      </w:r>
      <w:r w:rsidRPr="0058047D">
        <w:rPr>
          <w:rFonts w:ascii="Tahoma" w:hAnsi="Tahoma" w:cs="Tahoma"/>
          <w:sz w:val="18"/>
          <w:szCs w:val="18"/>
        </w:rPr>
        <w:t>assegnazione di interventi durante il loro periodo di validità; i contratti che prevedono pagamenti in soluzione unica beneficiano dei premi in via anticipata.</w:t>
      </w:r>
      <w:r w:rsidR="00E34ED3" w:rsidRPr="0058047D">
        <w:rPr>
          <w:rFonts w:ascii="Tahoma" w:hAnsi="Tahoma" w:cs="Tahoma"/>
          <w:sz w:val="18"/>
          <w:szCs w:val="18"/>
        </w:rPr>
        <w:t xml:space="preserve"> </w:t>
      </w:r>
      <w:r w:rsidRPr="0058047D">
        <w:rPr>
          <w:rFonts w:ascii="Tahoma" w:hAnsi="Tahoma" w:cs="Tahoma"/>
          <w:sz w:val="18"/>
          <w:szCs w:val="18"/>
        </w:rPr>
        <w:t>Gli acquisti effettuati dopo l</w:t>
      </w:r>
      <w:r w:rsidR="001C4212">
        <w:rPr>
          <w:rFonts w:ascii="Tahoma" w:hAnsi="Tahoma" w:cs="Tahoma"/>
          <w:sz w:val="18"/>
          <w:szCs w:val="18"/>
        </w:rPr>
        <w:t>’</w:t>
      </w:r>
      <w:r w:rsidRPr="0058047D">
        <w:rPr>
          <w:rFonts w:ascii="Tahoma" w:hAnsi="Tahoma" w:cs="Tahoma"/>
          <w:sz w:val="18"/>
          <w:szCs w:val="18"/>
        </w:rPr>
        <w:t>ordine iniziale comporteranno un nuovo calcolo degli interventi assegnati e della concessione annuale.</w:t>
      </w:r>
      <w:r w:rsidR="00E34ED3" w:rsidRPr="0058047D">
        <w:rPr>
          <w:rFonts w:ascii="Tahoma" w:hAnsi="Tahoma" w:cs="Tahoma"/>
          <w:sz w:val="18"/>
          <w:szCs w:val="18"/>
        </w:rPr>
        <w:t xml:space="preserve"> </w:t>
      </w:r>
      <w:r w:rsidRPr="0058047D">
        <w:rPr>
          <w:rFonts w:ascii="Tahoma" w:hAnsi="Tahoma" w:cs="Tahoma"/>
          <w:sz w:val="18"/>
          <w:szCs w:val="18"/>
        </w:rPr>
        <w:t>Gli interventi con Supporto Telefonico non utilizzati scadranno al termine della copertura Software Assurance.</w:t>
      </w:r>
      <w:r w:rsidR="00E34ED3" w:rsidRPr="0058047D">
        <w:rPr>
          <w:rFonts w:ascii="Tahoma" w:hAnsi="Tahoma" w:cs="Tahoma"/>
          <w:sz w:val="18"/>
          <w:szCs w:val="18"/>
        </w:rPr>
        <w:t xml:space="preserve"> </w:t>
      </w:r>
      <w:r w:rsidRPr="0058047D">
        <w:rPr>
          <w:rFonts w:ascii="Tahoma" w:hAnsi="Tahoma" w:cs="Tahoma"/>
          <w:sz w:val="18"/>
          <w:szCs w:val="18"/>
        </w:rPr>
        <w:t>Gli Interventi con Supporto Telefonico non potranno essere trasferiti tra iscrizioni o contratti diversi.</w:t>
      </w:r>
    </w:p>
    <w:p w14:paraId="696440C8" w14:textId="77777777" w:rsidR="00023FE7" w:rsidRPr="0058047D" w:rsidRDefault="00023FE7" w:rsidP="00F42FB8">
      <w:pPr>
        <w:pStyle w:val="AppendixBodyText"/>
        <w:spacing w:after="0"/>
      </w:pPr>
    </w:p>
    <w:p w14:paraId="4616395D" w14:textId="77777777" w:rsidR="00023FE7" w:rsidRPr="0058047D" w:rsidRDefault="00023FE7" w:rsidP="00F42FB8">
      <w:pPr>
        <w:pStyle w:val="AppendixBodyText"/>
        <w:spacing w:after="0"/>
      </w:pPr>
      <w:r w:rsidRPr="0058047D">
        <w:rPr>
          <w:rFonts w:ascii="Tahoma" w:hAnsi="Tahoma" w:cs="Tahoma"/>
          <w:sz w:val="18"/>
          <w:szCs w:val="18"/>
        </w:rPr>
        <w:t>L</w:t>
      </w:r>
      <w:r w:rsidR="001C4212">
        <w:rPr>
          <w:rFonts w:ascii="Tahoma" w:hAnsi="Tahoma" w:cs="Tahoma"/>
          <w:sz w:val="18"/>
          <w:szCs w:val="18"/>
        </w:rPr>
        <w:t>’</w:t>
      </w:r>
      <w:r w:rsidRPr="0058047D">
        <w:rPr>
          <w:rFonts w:ascii="Tahoma" w:hAnsi="Tahoma" w:cs="Tahoma"/>
          <w:sz w:val="18"/>
          <w:szCs w:val="18"/>
        </w:rPr>
        <w:t>accesso al supporto telefonico locale è disponibile durante le ore lavorative*</w:t>
      </w:r>
      <w:r w:rsidRPr="0058047D">
        <w:rPr>
          <w:rFonts w:ascii="Tahoma" w:hAnsi="Tahoma" w:cs="Tahoma"/>
          <w:sz w:val="18"/>
          <w:szCs w:val="18"/>
          <w:vertAlign w:val="superscript"/>
        </w:rPr>
        <w:t>(1)</w:t>
      </w:r>
      <w:r w:rsidRPr="0058047D">
        <w:rPr>
          <w:rFonts w:ascii="Tahoma" w:hAnsi="Tahoma" w:cs="Tahoma"/>
          <w:sz w:val="18"/>
          <w:szCs w:val="18"/>
        </w:rPr>
        <w:t>.</w:t>
      </w:r>
      <w:r w:rsidR="00E34ED3" w:rsidRPr="0058047D">
        <w:rPr>
          <w:rFonts w:ascii="Tahoma" w:hAnsi="Tahoma" w:cs="Tahoma"/>
          <w:sz w:val="18"/>
          <w:szCs w:val="18"/>
        </w:rPr>
        <w:t xml:space="preserve"> </w:t>
      </w:r>
      <w:r w:rsidRPr="0058047D">
        <w:rPr>
          <w:rFonts w:ascii="Tahoma" w:hAnsi="Tahoma" w:cs="Tahoma"/>
          <w:sz w:val="18"/>
          <w:szCs w:val="18"/>
        </w:rPr>
        <w:t>Il supporto telefonico dopo le ore lavorative verrà fornito attraverso centri di supporto regionali e internazionali.</w:t>
      </w:r>
      <w:r w:rsidR="00E34ED3" w:rsidRPr="0058047D">
        <w:rPr>
          <w:rFonts w:ascii="Tahoma" w:hAnsi="Tahoma" w:cs="Tahoma"/>
          <w:sz w:val="18"/>
          <w:szCs w:val="18"/>
        </w:rPr>
        <w:t xml:space="preserve"> </w:t>
      </w:r>
      <w:r w:rsidRPr="0058047D">
        <w:rPr>
          <w:rFonts w:ascii="Tahoma" w:hAnsi="Tahoma" w:cs="Tahoma"/>
          <w:sz w:val="18"/>
          <w:szCs w:val="18"/>
        </w:rPr>
        <w:t>Il supporto telefonico dopo le ore lavorative può essere utilizzato esclusivamente per richieste di supporto con impatto commerciale critico.</w:t>
      </w:r>
      <w:r w:rsidR="00E34ED3" w:rsidRPr="0058047D">
        <w:rPr>
          <w:rFonts w:ascii="Tahoma" w:hAnsi="Tahoma" w:cs="Tahoma"/>
          <w:sz w:val="18"/>
          <w:szCs w:val="18"/>
        </w:rPr>
        <w:t xml:space="preserve"> </w:t>
      </w:r>
      <w:r w:rsidRPr="0058047D">
        <w:rPr>
          <w:rFonts w:ascii="Tahoma" w:hAnsi="Tahoma" w:cs="Tahoma"/>
          <w:sz w:val="18"/>
          <w:szCs w:val="18"/>
        </w:rPr>
        <w:t>Le ore lavorative sono definite su base regionale. I rappresentanti Microsoft delle società forniranno indicazioni sulle ore lavorative previste nella regione o nel paese della società.</w:t>
      </w:r>
      <w:r w:rsidR="00E34ED3" w:rsidRPr="0058047D">
        <w:rPr>
          <w:rFonts w:ascii="Tahoma" w:hAnsi="Tahoma" w:cs="Tahoma"/>
          <w:sz w:val="18"/>
          <w:szCs w:val="18"/>
        </w:rPr>
        <w:t xml:space="preserve"> </w:t>
      </w:r>
      <w:r w:rsidRPr="0058047D">
        <w:rPr>
          <w:rFonts w:ascii="Tahoma" w:hAnsi="Tahoma" w:cs="Tahoma"/>
          <w:sz w:val="18"/>
          <w:szCs w:val="18"/>
        </w:rPr>
        <w:t>Non in tutte le regioni il supporto telefonico è disponibile in</w:t>
      </w:r>
      <w:r w:rsidR="004D6068">
        <w:rPr>
          <w:rFonts w:ascii="Tahoma" w:hAnsi="Tahoma" w:cs="Tahoma"/>
          <w:sz w:val="18"/>
          <w:szCs w:val="18"/>
        </w:rPr>
        <w:t> </w:t>
      </w:r>
      <w:r w:rsidRPr="0058047D">
        <w:rPr>
          <w:rFonts w:ascii="Tahoma" w:hAnsi="Tahoma" w:cs="Tahoma"/>
          <w:sz w:val="18"/>
          <w:szCs w:val="18"/>
        </w:rPr>
        <w:t xml:space="preserve">tutte le lingue. </w:t>
      </w:r>
    </w:p>
    <w:p w14:paraId="5DA388BD" w14:textId="77777777" w:rsidR="00023FE7" w:rsidRPr="0058047D" w:rsidRDefault="00023FE7" w:rsidP="00077CE5">
      <w:pPr>
        <w:pStyle w:val="AppendixBodyText"/>
        <w:spacing w:after="0"/>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3311"/>
      </w:tblGrid>
      <w:tr w:rsidR="00023FE7" w:rsidRPr="0058047D" w14:paraId="5030EFBD" w14:textId="77777777" w:rsidTr="000C1619">
        <w:trPr>
          <w:cantSplit/>
          <w:trHeight w:val="20"/>
        </w:trPr>
        <w:tc>
          <w:tcPr>
            <w:tcW w:w="594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65C1A056" w14:textId="77777777" w:rsidR="00023FE7" w:rsidRPr="0058047D" w:rsidRDefault="00023FE7">
            <w:pPr>
              <w:pStyle w:val="AppendixBodyText"/>
              <w:rPr>
                <w:rFonts w:ascii="Tahoma" w:hAnsi="Tahoma" w:cs="Tahoma"/>
                <w:b/>
                <w:bCs/>
                <w:vertAlign w:val="superscript"/>
              </w:rPr>
            </w:pPr>
            <w:r w:rsidRPr="0058047D">
              <w:rPr>
                <w:rFonts w:ascii="Tahoma" w:hAnsi="Tahoma" w:cs="Tahoma"/>
                <w:b/>
                <w:bCs/>
              </w:rPr>
              <w:t>*(1) Variazioni delle Ore Lavorative in Base alla Regione</w:t>
            </w:r>
          </w:p>
        </w:tc>
      </w:tr>
      <w:tr w:rsidR="00023FE7" w:rsidRPr="0058047D" w14:paraId="7D62F77F" w14:textId="77777777" w:rsidTr="000C1619">
        <w:trPr>
          <w:cantSplit/>
          <w:trHeight w:val="20"/>
        </w:trPr>
        <w:tc>
          <w:tcPr>
            <w:tcW w:w="2629" w:type="dxa"/>
            <w:tcBorders>
              <w:top w:val="single" w:sz="8" w:space="0" w:color="auto"/>
            </w:tcBorders>
          </w:tcPr>
          <w:p w14:paraId="006A001A" w14:textId="77777777" w:rsidR="00023FE7" w:rsidRPr="0058047D" w:rsidRDefault="00023FE7">
            <w:pPr>
              <w:pStyle w:val="AppendixBodyText"/>
              <w:rPr>
                <w:rFonts w:ascii="Tahoma" w:hAnsi="Tahoma" w:cs="Tahoma"/>
                <w:sz w:val="18"/>
                <w:szCs w:val="18"/>
              </w:rPr>
            </w:pPr>
            <w:r w:rsidRPr="0058047D">
              <w:rPr>
                <w:rFonts w:ascii="Tahoma" w:hAnsi="Tahoma" w:cs="Tahoma"/>
                <w:sz w:val="18"/>
                <w:szCs w:val="18"/>
              </w:rPr>
              <w:t>Americhe</w:t>
            </w:r>
          </w:p>
        </w:tc>
        <w:tc>
          <w:tcPr>
            <w:tcW w:w="3311" w:type="dxa"/>
            <w:tcBorders>
              <w:top w:val="single" w:sz="8" w:space="0" w:color="auto"/>
            </w:tcBorders>
          </w:tcPr>
          <w:p w14:paraId="7D92A222" w14:textId="77777777" w:rsidR="00023FE7" w:rsidRPr="0058047D" w:rsidRDefault="00023FE7">
            <w:pPr>
              <w:pStyle w:val="AppendixBodyText"/>
              <w:rPr>
                <w:rFonts w:ascii="Tahoma" w:hAnsi="Tahoma" w:cs="Tahoma"/>
                <w:sz w:val="18"/>
                <w:szCs w:val="18"/>
              </w:rPr>
            </w:pPr>
            <w:r w:rsidRPr="0058047D">
              <w:rPr>
                <w:rFonts w:ascii="Tahoma" w:hAnsi="Tahoma" w:cs="Tahoma"/>
                <w:sz w:val="18"/>
                <w:szCs w:val="18"/>
              </w:rPr>
              <w:t>L-V 6-18 (PST)</w:t>
            </w:r>
          </w:p>
        </w:tc>
      </w:tr>
      <w:tr w:rsidR="00023FE7" w:rsidRPr="0058047D" w14:paraId="266A4A87" w14:textId="77777777" w:rsidTr="000C1619">
        <w:trPr>
          <w:cantSplit/>
          <w:trHeight w:val="20"/>
        </w:trPr>
        <w:tc>
          <w:tcPr>
            <w:tcW w:w="2629" w:type="dxa"/>
          </w:tcPr>
          <w:p w14:paraId="58BDC92F" w14:textId="77777777" w:rsidR="00023FE7" w:rsidRPr="0058047D" w:rsidRDefault="00023FE7">
            <w:pPr>
              <w:pStyle w:val="AppendixBodyText"/>
              <w:rPr>
                <w:rFonts w:ascii="Tahoma" w:hAnsi="Tahoma" w:cs="Tahoma"/>
                <w:sz w:val="18"/>
                <w:szCs w:val="18"/>
              </w:rPr>
            </w:pPr>
            <w:r w:rsidRPr="0058047D">
              <w:rPr>
                <w:rFonts w:ascii="Tahoma" w:hAnsi="Tahoma" w:cs="Tahoma"/>
                <w:sz w:val="18"/>
                <w:szCs w:val="18"/>
              </w:rPr>
              <w:t>EMEA</w:t>
            </w:r>
          </w:p>
        </w:tc>
        <w:tc>
          <w:tcPr>
            <w:tcW w:w="3311" w:type="dxa"/>
          </w:tcPr>
          <w:p w14:paraId="03DBE845" w14:textId="77777777" w:rsidR="00023FE7" w:rsidRPr="0058047D" w:rsidRDefault="00023FE7">
            <w:pPr>
              <w:pStyle w:val="AppendixBodyText"/>
              <w:rPr>
                <w:rFonts w:ascii="Tahoma" w:hAnsi="Tahoma" w:cs="Tahoma"/>
                <w:sz w:val="18"/>
                <w:szCs w:val="18"/>
              </w:rPr>
            </w:pPr>
            <w:r w:rsidRPr="0058047D">
              <w:rPr>
                <w:rFonts w:ascii="Tahoma" w:hAnsi="Tahoma" w:cs="Tahoma"/>
                <w:sz w:val="18"/>
                <w:szCs w:val="18"/>
              </w:rPr>
              <w:t>L-V 8-18 (GMT)</w:t>
            </w:r>
          </w:p>
        </w:tc>
      </w:tr>
      <w:tr w:rsidR="00023FE7" w:rsidRPr="0058047D" w14:paraId="5268EA9E" w14:textId="77777777" w:rsidTr="000C1619">
        <w:trPr>
          <w:cantSplit/>
          <w:trHeight w:val="20"/>
        </w:trPr>
        <w:tc>
          <w:tcPr>
            <w:tcW w:w="2629" w:type="dxa"/>
          </w:tcPr>
          <w:p w14:paraId="56B9DE01" w14:textId="77777777" w:rsidR="00023FE7" w:rsidRPr="0058047D" w:rsidRDefault="00023FE7">
            <w:pPr>
              <w:pStyle w:val="AppendixBodyText"/>
              <w:rPr>
                <w:rFonts w:ascii="Tahoma" w:hAnsi="Tahoma" w:cs="Tahoma"/>
                <w:sz w:val="18"/>
                <w:szCs w:val="18"/>
              </w:rPr>
            </w:pPr>
            <w:r w:rsidRPr="0058047D">
              <w:rPr>
                <w:rFonts w:ascii="Tahoma" w:hAnsi="Tahoma" w:cs="Tahoma"/>
                <w:sz w:val="18"/>
                <w:szCs w:val="18"/>
              </w:rPr>
              <w:t>Australia/Nuova Zelanda</w:t>
            </w:r>
          </w:p>
        </w:tc>
        <w:tc>
          <w:tcPr>
            <w:tcW w:w="3311" w:type="dxa"/>
          </w:tcPr>
          <w:p w14:paraId="3386B8B6" w14:textId="77777777" w:rsidR="00023FE7" w:rsidRPr="0058047D" w:rsidRDefault="00023FE7">
            <w:pPr>
              <w:pStyle w:val="AppendixBodyText"/>
              <w:rPr>
                <w:rFonts w:ascii="Tahoma" w:hAnsi="Tahoma" w:cs="Tahoma"/>
                <w:sz w:val="18"/>
                <w:szCs w:val="18"/>
              </w:rPr>
            </w:pPr>
            <w:r w:rsidRPr="0058047D">
              <w:rPr>
                <w:rFonts w:ascii="Tahoma" w:hAnsi="Tahoma" w:cs="Tahoma"/>
                <w:sz w:val="18"/>
                <w:szCs w:val="18"/>
              </w:rPr>
              <w:t>L-V 7-18</w:t>
            </w:r>
          </w:p>
        </w:tc>
      </w:tr>
      <w:tr w:rsidR="00023FE7" w:rsidRPr="0058047D" w14:paraId="03D0B74C" w14:textId="77777777" w:rsidTr="000C1619">
        <w:trPr>
          <w:cantSplit/>
          <w:trHeight w:val="20"/>
        </w:trPr>
        <w:tc>
          <w:tcPr>
            <w:tcW w:w="2629" w:type="dxa"/>
          </w:tcPr>
          <w:p w14:paraId="1DFD9AB3" w14:textId="77777777" w:rsidR="00023FE7" w:rsidRPr="0058047D" w:rsidRDefault="00023FE7">
            <w:pPr>
              <w:pStyle w:val="AppendixBodyText"/>
              <w:rPr>
                <w:rFonts w:ascii="Tahoma" w:hAnsi="Tahoma" w:cs="Tahoma"/>
                <w:sz w:val="18"/>
                <w:szCs w:val="18"/>
              </w:rPr>
            </w:pPr>
            <w:r w:rsidRPr="0058047D">
              <w:rPr>
                <w:rFonts w:ascii="Tahoma" w:hAnsi="Tahoma" w:cs="Tahoma"/>
                <w:sz w:val="18"/>
                <w:szCs w:val="18"/>
              </w:rPr>
              <w:t>Giappone</w:t>
            </w:r>
          </w:p>
        </w:tc>
        <w:tc>
          <w:tcPr>
            <w:tcW w:w="3311" w:type="dxa"/>
          </w:tcPr>
          <w:p w14:paraId="25247CB3" w14:textId="77777777" w:rsidR="00023FE7" w:rsidRPr="0058047D" w:rsidRDefault="00023FE7">
            <w:pPr>
              <w:pStyle w:val="AppendixBodyText"/>
              <w:rPr>
                <w:rFonts w:ascii="Tahoma" w:hAnsi="Tahoma" w:cs="Tahoma"/>
                <w:sz w:val="18"/>
                <w:szCs w:val="18"/>
              </w:rPr>
            </w:pPr>
            <w:r w:rsidRPr="0058047D">
              <w:rPr>
                <w:rFonts w:ascii="Tahoma" w:hAnsi="Tahoma" w:cs="Tahoma"/>
                <w:sz w:val="18"/>
                <w:szCs w:val="18"/>
              </w:rPr>
              <w:t>L-V 9.30-19</w:t>
            </w:r>
          </w:p>
        </w:tc>
      </w:tr>
      <w:tr w:rsidR="00023FE7" w:rsidRPr="0058047D" w14:paraId="7B65B3AD" w14:textId="77777777" w:rsidTr="000C1619">
        <w:trPr>
          <w:cantSplit/>
          <w:trHeight w:val="20"/>
        </w:trPr>
        <w:tc>
          <w:tcPr>
            <w:tcW w:w="2629" w:type="dxa"/>
          </w:tcPr>
          <w:p w14:paraId="79149108" w14:textId="77777777" w:rsidR="00023FE7" w:rsidRPr="0058047D" w:rsidRDefault="00023FE7">
            <w:pPr>
              <w:pStyle w:val="AppendixBodyText"/>
              <w:rPr>
                <w:rFonts w:ascii="Tahoma" w:hAnsi="Tahoma" w:cs="Tahoma"/>
                <w:sz w:val="18"/>
                <w:szCs w:val="18"/>
              </w:rPr>
            </w:pPr>
            <w:r w:rsidRPr="0058047D">
              <w:rPr>
                <w:rFonts w:ascii="Tahoma" w:hAnsi="Tahoma" w:cs="Tahoma"/>
                <w:sz w:val="18"/>
                <w:szCs w:val="18"/>
              </w:rPr>
              <w:t>Asia</w:t>
            </w:r>
          </w:p>
        </w:tc>
        <w:tc>
          <w:tcPr>
            <w:tcW w:w="3311" w:type="dxa"/>
          </w:tcPr>
          <w:p w14:paraId="250CE97A" w14:textId="77777777" w:rsidR="00023FE7" w:rsidRPr="0058047D" w:rsidRDefault="00023FE7">
            <w:pPr>
              <w:pStyle w:val="AppendixBodyText"/>
              <w:rPr>
                <w:rFonts w:ascii="Tahoma" w:hAnsi="Tahoma" w:cs="Tahoma"/>
                <w:sz w:val="18"/>
                <w:szCs w:val="18"/>
              </w:rPr>
            </w:pPr>
            <w:r w:rsidRPr="0058047D">
              <w:rPr>
                <w:rFonts w:ascii="Tahoma" w:hAnsi="Tahoma" w:cs="Tahoma"/>
                <w:sz w:val="18"/>
                <w:szCs w:val="18"/>
              </w:rPr>
              <w:t>L-V 9-18</w:t>
            </w:r>
          </w:p>
        </w:tc>
      </w:tr>
    </w:tbl>
    <w:p w14:paraId="07AAE332" w14:textId="77777777" w:rsidR="00023FE7" w:rsidRPr="0058047D" w:rsidRDefault="00023FE7" w:rsidP="00DA2788">
      <w:pPr>
        <w:spacing w:after="60"/>
      </w:pPr>
      <w:bookmarkStart w:id="731" w:name="_Toc240899164"/>
      <w:r w:rsidRPr="0058047D">
        <w:rPr>
          <w:rFonts w:cs="Tahoma"/>
          <w:b/>
          <w:szCs w:val="20"/>
        </w:rPr>
        <w:t>Interventi basati sul Web</w:t>
      </w:r>
      <w:bookmarkEnd w:id="731"/>
      <w:r w:rsidRPr="0058047D">
        <w:rPr>
          <w:rFonts w:cs="Tahoma"/>
          <w:b/>
          <w:szCs w:val="20"/>
        </w:rPr>
        <w:t xml:space="preserve"> </w:t>
      </w:r>
    </w:p>
    <w:p w14:paraId="41DAA5A5" w14:textId="77777777" w:rsidR="00023FE7" w:rsidRPr="0058047D" w:rsidRDefault="00023FE7" w:rsidP="00F42FB8">
      <w:pPr>
        <w:pStyle w:val="AppendixBodyText"/>
        <w:spacing w:after="0"/>
      </w:pPr>
      <w:r w:rsidRPr="0058047D">
        <w:rPr>
          <w:rFonts w:ascii="Tahoma" w:hAnsi="Tahoma" w:cs="Tahoma"/>
          <w:sz w:val="18"/>
          <w:szCs w:val="18"/>
        </w:rPr>
        <w:t>Le società che non siano società con contratti Academic Select License, Select Plus for Academic, Academic Open License, Campus, School, Open Value Subscription - Education Solutions e Open License e con Edizioni Standard ed</w:t>
      </w:r>
      <w:r w:rsidR="004D6068">
        <w:rPr>
          <w:rFonts w:ascii="Tahoma" w:hAnsi="Tahoma" w:cs="Tahoma"/>
          <w:sz w:val="18"/>
          <w:szCs w:val="18"/>
        </w:rPr>
        <w:t> </w:t>
      </w:r>
      <w:r w:rsidRPr="0058047D">
        <w:rPr>
          <w:rFonts w:ascii="Tahoma" w:hAnsi="Tahoma" w:cs="Tahoma"/>
          <w:sz w:val="18"/>
          <w:szCs w:val="18"/>
        </w:rPr>
        <w:t>Enterprise dei prodotti software server che rientrano nella copertura Software Assurance hanno accesso ai servizi di</w:t>
      </w:r>
      <w:r w:rsidR="004D6068">
        <w:rPr>
          <w:rFonts w:ascii="Tahoma" w:hAnsi="Tahoma" w:cs="Tahoma"/>
          <w:sz w:val="18"/>
          <w:szCs w:val="18"/>
        </w:rPr>
        <w:t> </w:t>
      </w:r>
      <w:r w:rsidRPr="0058047D">
        <w:rPr>
          <w:rFonts w:ascii="Tahoma" w:hAnsi="Tahoma" w:cs="Tahoma"/>
          <w:sz w:val="18"/>
          <w:szCs w:val="18"/>
        </w:rPr>
        <w:t>Supporto per la Risoluzione dei Problemi basati sul Web, in base alle necessità.</w:t>
      </w:r>
      <w:r w:rsidR="00E34ED3" w:rsidRPr="0058047D">
        <w:rPr>
          <w:rFonts w:ascii="Tahoma" w:hAnsi="Tahoma" w:cs="Tahoma"/>
          <w:sz w:val="18"/>
          <w:szCs w:val="18"/>
        </w:rPr>
        <w:t xml:space="preserve"> </w:t>
      </w:r>
      <w:r w:rsidRPr="0058047D">
        <w:rPr>
          <w:rFonts w:ascii="Tahoma" w:hAnsi="Tahoma" w:cs="Tahoma"/>
          <w:sz w:val="18"/>
          <w:szCs w:val="18"/>
        </w:rPr>
        <w:t>L</w:t>
      </w:r>
      <w:r w:rsidR="001C4212">
        <w:rPr>
          <w:rFonts w:ascii="Tahoma" w:hAnsi="Tahoma" w:cs="Tahoma"/>
          <w:sz w:val="18"/>
          <w:szCs w:val="18"/>
        </w:rPr>
        <w:t>’</w:t>
      </w:r>
      <w:r w:rsidRPr="0058047D">
        <w:rPr>
          <w:rFonts w:ascii="Tahoma" w:hAnsi="Tahoma" w:cs="Tahoma"/>
          <w:sz w:val="18"/>
          <w:szCs w:val="18"/>
        </w:rPr>
        <w:t>accesso ai siti di supporto elettronico è disponibile 24 ore al giorno, 7 giorni su 7, ma le risposte vengono fornite durante le Ore Lavorative.</w:t>
      </w:r>
      <w:r w:rsidR="00E34ED3" w:rsidRPr="0058047D">
        <w:rPr>
          <w:rFonts w:ascii="Tahoma" w:hAnsi="Tahoma" w:cs="Tahoma"/>
          <w:sz w:val="18"/>
          <w:szCs w:val="18"/>
        </w:rPr>
        <w:t xml:space="preserve"> </w:t>
      </w:r>
      <w:r w:rsidRPr="0058047D">
        <w:rPr>
          <w:rFonts w:ascii="Tahoma" w:hAnsi="Tahoma" w:cs="Tahoma"/>
          <w:sz w:val="18"/>
          <w:szCs w:val="18"/>
        </w:rPr>
        <w:t>Pertanto, si consiglia di non ricorrere agli Interventi basati sul Web in caso di situazioni con impatto commerciale critico, che richiedono un</w:t>
      </w:r>
      <w:r w:rsidR="001C4212">
        <w:rPr>
          <w:rFonts w:ascii="Tahoma" w:hAnsi="Tahoma" w:cs="Tahoma"/>
          <w:sz w:val="18"/>
          <w:szCs w:val="18"/>
        </w:rPr>
        <w:t>’</w:t>
      </w:r>
      <w:r w:rsidRPr="0058047D">
        <w:rPr>
          <w:rFonts w:ascii="Tahoma" w:hAnsi="Tahoma" w:cs="Tahoma"/>
          <w:sz w:val="18"/>
          <w:szCs w:val="18"/>
        </w:rPr>
        <w:t>assistenza immediata. Consultare le Variazioni delle Ore Lavorative in Base alla Regione nel</w:t>
      </w:r>
      <w:r w:rsidR="004D6068">
        <w:rPr>
          <w:rFonts w:ascii="Tahoma" w:hAnsi="Tahoma" w:cs="Tahoma"/>
          <w:sz w:val="18"/>
          <w:szCs w:val="18"/>
        </w:rPr>
        <w:t> </w:t>
      </w:r>
      <w:r w:rsidRPr="0058047D">
        <w:rPr>
          <w:rFonts w:ascii="Tahoma" w:hAnsi="Tahoma" w:cs="Tahoma"/>
          <w:sz w:val="18"/>
          <w:szCs w:val="18"/>
        </w:rPr>
        <w:t>precedente articolo “Premi per Interventi Tramite Supporto Telefonico”.</w:t>
      </w:r>
    </w:p>
    <w:p w14:paraId="7C11726B" w14:textId="77777777" w:rsidR="00023FE7" w:rsidRPr="0058047D" w:rsidRDefault="00023FE7" w:rsidP="00F42FB8">
      <w:pPr>
        <w:pStyle w:val="AppendixBodyText"/>
        <w:spacing w:after="0"/>
      </w:pPr>
    </w:p>
    <w:p w14:paraId="445F7E03" w14:textId="77777777" w:rsidR="00023FE7" w:rsidRPr="0058047D" w:rsidRDefault="00023FE7" w:rsidP="00F42FB8">
      <w:pPr>
        <w:pStyle w:val="AppendixBodyText"/>
        <w:spacing w:after="0"/>
      </w:pPr>
      <w:r w:rsidRPr="0058047D">
        <w:rPr>
          <w:rFonts w:ascii="Tahoma" w:hAnsi="Tahoma" w:cs="Tahoma"/>
          <w:sz w:val="18"/>
          <w:szCs w:val="18"/>
        </w:rPr>
        <w:t>Gli interventi avviati tramite Telefono verranno computati ai fini del saldo degli interventi telefonici disponibili al momento della risoluzione del problema.</w:t>
      </w:r>
      <w:r w:rsidR="00E34ED3" w:rsidRPr="0058047D">
        <w:rPr>
          <w:rFonts w:ascii="Tahoma" w:hAnsi="Tahoma" w:cs="Tahoma"/>
          <w:sz w:val="18"/>
          <w:szCs w:val="18"/>
        </w:rPr>
        <w:t xml:space="preserve"> </w:t>
      </w:r>
      <w:r w:rsidRPr="0058047D">
        <w:rPr>
          <w:rFonts w:ascii="Tahoma" w:hAnsi="Tahoma" w:cs="Tahoma"/>
          <w:sz w:val="18"/>
          <w:szCs w:val="18"/>
        </w:rPr>
        <w:t>Gli interventi avviati via Web sono effettuati in base alle necessità e gestiti attraverso il Web, la posta elettronica e altri mezzi elettronici.</w:t>
      </w:r>
      <w:r w:rsidR="00E34ED3" w:rsidRPr="0058047D">
        <w:rPr>
          <w:rFonts w:ascii="Tahoma" w:hAnsi="Tahoma" w:cs="Tahoma"/>
          <w:sz w:val="18"/>
          <w:szCs w:val="18"/>
        </w:rPr>
        <w:t xml:space="preserve"> </w:t>
      </w:r>
      <w:r w:rsidRPr="0058047D">
        <w:rPr>
          <w:rFonts w:ascii="Tahoma" w:hAnsi="Tahoma" w:cs="Tahoma"/>
          <w:sz w:val="18"/>
          <w:szCs w:val="18"/>
        </w:rPr>
        <w:t>Gli interventi avviati tramite il Web e successivamente convertiti in interventi telefonici dalla società verranno computati ai fini del saldo degli interventi telefonici disponibili al momento della risoluzione del problema.</w:t>
      </w:r>
      <w:r w:rsidR="00E34ED3" w:rsidRPr="0058047D">
        <w:rPr>
          <w:rFonts w:ascii="Tahoma" w:hAnsi="Tahoma" w:cs="Tahoma"/>
          <w:sz w:val="18"/>
          <w:szCs w:val="18"/>
        </w:rPr>
        <w:t xml:space="preserve"> </w:t>
      </w:r>
      <w:r w:rsidRPr="0058047D">
        <w:rPr>
          <w:rFonts w:ascii="Tahoma" w:hAnsi="Tahoma" w:cs="Tahoma"/>
          <w:sz w:val="18"/>
          <w:szCs w:val="18"/>
        </w:rPr>
        <w:t>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r w:rsidR="00E34ED3" w:rsidRPr="0058047D">
        <w:rPr>
          <w:rFonts w:ascii="Tahoma" w:hAnsi="Tahoma" w:cs="Tahoma"/>
          <w:sz w:val="18"/>
          <w:szCs w:val="18"/>
        </w:rPr>
        <w:t xml:space="preserve"> </w:t>
      </w:r>
    </w:p>
    <w:p w14:paraId="1E721EC5" w14:textId="77777777" w:rsidR="00023FE7" w:rsidRPr="0058047D" w:rsidRDefault="00023FE7" w:rsidP="00F42FB8">
      <w:pPr>
        <w:pStyle w:val="AppendixBodyText"/>
        <w:spacing w:after="0"/>
      </w:pPr>
    </w:p>
    <w:p w14:paraId="1B1331B4" w14:textId="77777777" w:rsidR="00023FE7" w:rsidRPr="0058047D" w:rsidRDefault="00023FE7" w:rsidP="00F42FB8">
      <w:pPr>
        <w:pStyle w:val="AppendixBodyText"/>
        <w:spacing w:after="0"/>
      </w:pPr>
      <w:r w:rsidRPr="0058047D">
        <w:rPr>
          <w:rFonts w:ascii="Tahoma" w:hAnsi="Tahoma" w:cs="Tahoma"/>
          <w:sz w:val="18"/>
          <w:szCs w:val="18"/>
        </w:rPr>
        <w:t>Per il Supporto Web relativo agli interventi riguardanti sia il software server che le relative CAL è necessario disporre di Software Assurance. Per le copie concesse in licenza del software server che rientra nella copertura Software Assurance, le società potranno sottoporre esclusivamente richieste di Supporto per la Risoluzione dei Problemi basate sul Web.</w:t>
      </w:r>
    </w:p>
    <w:p w14:paraId="4A667A77" w14:textId="77777777" w:rsidR="00023FE7" w:rsidRPr="0058047D" w:rsidRDefault="00023FE7" w:rsidP="00F42FB8">
      <w:pPr>
        <w:pStyle w:val="AppendixBodyText"/>
        <w:spacing w:after="0"/>
      </w:pPr>
    </w:p>
    <w:p w14:paraId="58750A49" w14:textId="77777777" w:rsidR="00023FE7" w:rsidRPr="0058047D" w:rsidRDefault="00023FE7" w:rsidP="00F42FB8">
      <w:pPr>
        <w:pStyle w:val="AppendixBodyText"/>
        <w:spacing w:after="0"/>
      </w:pPr>
      <w:r w:rsidRPr="0058047D">
        <w:rPr>
          <w:rFonts w:ascii="Tahoma" w:hAnsi="Tahoma" w:cs="Tahoma"/>
          <w:sz w:val="18"/>
          <w:szCs w:val="18"/>
        </w:rPr>
        <w:t>Gli interventi con Supporto Web non sono trasferibili tra licenze.</w:t>
      </w:r>
      <w:r w:rsidR="00E34ED3" w:rsidRPr="0058047D">
        <w:rPr>
          <w:rFonts w:ascii="Tahoma" w:hAnsi="Tahoma" w:cs="Tahoma"/>
          <w:sz w:val="18"/>
          <w:szCs w:val="18"/>
        </w:rPr>
        <w:t xml:space="preserve"> </w:t>
      </w:r>
      <w:r w:rsidRPr="0058047D">
        <w:rPr>
          <w:rFonts w:ascii="Tahoma" w:hAnsi="Tahoma" w:cs="Tahoma"/>
          <w:sz w:val="18"/>
          <w:szCs w:val="18"/>
        </w:rPr>
        <w:t>Consultare i diritti di utilizzo del prodotto per ulteriori informazioni sull</w:t>
      </w:r>
      <w:r w:rsidR="001C4212">
        <w:rPr>
          <w:rFonts w:ascii="Tahoma" w:hAnsi="Tahoma" w:cs="Tahoma"/>
          <w:sz w:val="18"/>
          <w:szCs w:val="18"/>
        </w:rPr>
        <w:t>’</w:t>
      </w:r>
      <w:r w:rsidRPr="0058047D">
        <w:rPr>
          <w:rFonts w:ascii="Tahoma" w:hAnsi="Tahoma" w:cs="Tahoma"/>
          <w:sz w:val="18"/>
          <w:szCs w:val="18"/>
        </w:rPr>
        <w:t>assegnazione o riassegnazione delle licenze ai server fisici.</w:t>
      </w:r>
    </w:p>
    <w:p w14:paraId="1D18714E" w14:textId="77777777" w:rsidR="00697E59" w:rsidRPr="0058047D" w:rsidRDefault="00697E59" w:rsidP="00F42FB8">
      <w:bookmarkStart w:id="732" w:name="_Toc240899165"/>
    </w:p>
    <w:p w14:paraId="4DBF8E8F" w14:textId="77777777" w:rsidR="00023FE7" w:rsidRPr="0058047D" w:rsidRDefault="00023FE7" w:rsidP="00F93617">
      <w:pPr>
        <w:spacing w:after="60"/>
      </w:pPr>
      <w:r w:rsidRPr="0058047D">
        <w:rPr>
          <w:rFonts w:cs="Tahoma"/>
          <w:b/>
          <w:szCs w:val="20"/>
        </w:rPr>
        <w:t>Contatti di Supporto</w:t>
      </w:r>
      <w:bookmarkEnd w:id="732"/>
    </w:p>
    <w:p w14:paraId="48CCD9E4" w14:textId="77777777" w:rsidR="00023FE7" w:rsidRPr="0058047D" w:rsidRDefault="00023FE7" w:rsidP="00F42FB8">
      <w:pPr>
        <w:pStyle w:val="AppendixBodyText"/>
        <w:spacing w:after="0"/>
      </w:pPr>
      <w:r w:rsidRPr="0058047D">
        <w:rPr>
          <w:rFonts w:ascii="Tahoma" w:hAnsi="Tahoma" w:cs="Tahoma"/>
          <w:sz w:val="18"/>
          <w:szCs w:val="18"/>
        </w:rPr>
        <w:t>Il numero di contatti di supporto consentiti varia in base al Programma per i Contratti Multilicenza e al numero di licenze indicato in Software Assurance, come mostrato di seguito.</w:t>
      </w:r>
      <w:r w:rsidR="00E34ED3" w:rsidRPr="0058047D">
        <w:rPr>
          <w:rFonts w:ascii="Tahoma" w:hAnsi="Tahoma" w:cs="Tahoma"/>
          <w:sz w:val="18"/>
          <w:szCs w:val="18"/>
        </w:rPr>
        <w:t xml:space="preserve"> </w:t>
      </w:r>
      <w:r w:rsidRPr="0058047D">
        <w:rPr>
          <w:rFonts w:ascii="Tahoma" w:hAnsi="Tahoma" w:cs="Tahoma"/>
          <w:sz w:val="18"/>
          <w:szCs w:val="18"/>
        </w:rPr>
        <w:t>I contatti dovranno essere persone designate, tra cui anche soggetti esterni all</w:t>
      </w:r>
      <w:r w:rsidR="001C4212">
        <w:rPr>
          <w:rFonts w:ascii="Tahoma" w:hAnsi="Tahoma" w:cs="Tahoma"/>
          <w:sz w:val="18"/>
          <w:szCs w:val="18"/>
        </w:rPr>
        <w:t>’</w:t>
      </w:r>
      <w:r w:rsidRPr="0058047D">
        <w:rPr>
          <w:rFonts w:ascii="Tahoma" w:hAnsi="Tahoma" w:cs="Tahoma"/>
          <w:sz w:val="18"/>
          <w:szCs w:val="18"/>
        </w:rPr>
        <w:t>organizzazione della società.</w:t>
      </w:r>
      <w:r w:rsidR="00E34ED3" w:rsidRPr="0058047D">
        <w:rPr>
          <w:rFonts w:ascii="Tahoma" w:hAnsi="Tahoma" w:cs="Tahoma"/>
          <w:sz w:val="18"/>
          <w:szCs w:val="18"/>
        </w:rPr>
        <w:t xml:space="preserve"> </w:t>
      </w:r>
      <w:r w:rsidRPr="0058047D">
        <w:rPr>
          <w:rFonts w:ascii="Tahoma" w:hAnsi="Tahoma" w:cs="Tahoma"/>
          <w:sz w:val="18"/>
          <w:szCs w:val="18"/>
        </w:rPr>
        <w:t>Tuttavia, non sarà possibile indicare tra i contatti il nome di</w:t>
      </w:r>
      <w:r w:rsidR="004D6068">
        <w:rPr>
          <w:rFonts w:ascii="Tahoma" w:hAnsi="Tahoma" w:cs="Tahoma"/>
          <w:sz w:val="18"/>
          <w:szCs w:val="18"/>
        </w:rPr>
        <w:t> </w:t>
      </w:r>
      <w:r w:rsidRPr="0058047D">
        <w:rPr>
          <w:rFonts w:ascii="Tahoma" w:hAnsi="Tahoma" w:cs="Tahoma"/>
          <w:sz w:val="18"/>
          <w:szCs w:val="18"/>
        </w:rPr>
        <w:t>un</w:t>
      </w:r>
      <w:r w:rsidR="001C4212">
        <w:rPr>
          <w:rFonts w:ascii="Tahoma" w:hAnsi="Tahoma" w:cs="Tahoma"/>
          <w:sz w:val="18"/>
          <w:szCs w:val="18"/>
        </w:rPr>
        <w:t>’</w:t>
      </w:r>
      <w:r w:rsidRPr="0058047D">
        <w:rPr>
          <w:rFonts w:ascii="Tahoma" w:hAnsi="Tahoma" w:cs="Tahoma"/>
          <w:sz w:val="18"/>
          <w:szCs w:val="18"/>
        </w:rPr>
        <w:t>organizzazione, di un dipartimento o di un gruppo.</w:t>
      </w:r>
    </w:p>
    <w:p w14:paraId="75CFE6C7" w14:textId="77777777" w:rsidR="00077CE5" w:rsidRPr="0058047D" w:rsidRDefault="00077CE5" w:rsidP="00F93617">
      <w:pPr>
        <w:pStyle w:val="AppendixBodyText"/>
        <w:spacing w:after="0"/>
      </w:pPr>
    </w:p>
    <w:p w14:paraId="43D55029" w14:textId="77777777" w:rsidR="002A5CC2" w:rsidRPr="0058047D" w:rsidRDefault="002A5CC2">
      <w:pPr>
        <w:pStyle w:val="AppendixBodyText"/>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17"/>
        <w:gridCol w:w="1125"/>
        <w:gridCol w:w="1080"/>
        <w:gridCol w:w="1350"/>
        <w:gridCol w:w="1350"/>
        <w:gridCol w:w="1386"/>
        <w:gridCol w:w="1339"/>
      </w:tblGrid>
      <w:tr w:rsidR="004D6068" w:rsidRPr="0058047D" w14:paraId="61FD925A" w14:textId="77777777" w:rsidTr="004D6068">
        <w:trPr>
          <w:trHeight w:val="178"/>
        </w:trPr>
        <w:tc>
          <w:tcPr>
            <w:tcW w:w="1917" w:type="dxa"/>
            <w:tcBorders>
              <w:top w:val="single" w:sz="8" w:space="0" w:color="auto"/>
              <w:left w:val="single" w:sz="8" w:space="0" w:color="auto"/>
              <w:bottom w:val="single" w:sz="8" w:space="0" w:color="auto"/>
              <w:right w:val="single" w:sz="8" w:space="0" w:color="auto"/>
            </w:tcBorders>
            <w:shd w:val="clear" w:color="auto" w:fill="FFCC99"/>
            <w:vAlign w:val="center"/>
          </w:tcPr>
          <w:p w14:paraId="69711613" w14:textId="77777777" w:rsidR="00023FE7" w:rsidRPr="0058047D" w:rsidRDefault="00023FE7">
            <w:pPr>
              <w:pStyle w:val="AppendixBodyText"/>
              <w:rPr>
                <w:rFonts w:ascii="Tahoma" w:hAnsi="Tahoma" w:cs="Tahoma"/>
                <w:b/>
                <w:bCs/>
              </w:rPr>
            </w:pPr>
            <w:r w:rsidRPr="0058047D">
              <w:rPr>
                <w:rFonts w:ascii="Tahoma" w:hAnsi="Tahoma" w:cs="Tahoma"/>
                <w:b/>
                <w:bCs/>
              </w:rPr>
              <w:t>Benefici</w:t>
            </w:r>
          </w:p>
        </w:tc>
        <w:tc>
          <w:tcPr>
            <w:tcW w:w="1125" w:type="dxa"/>
            <w:tcBorders>
              <w:top w:val="single" w:sz="8" w:space="0" w:color="auto"/>
              <w:left w:val="single" w:sz="8" w:space="0" w:color="auto"/>
              <w:bottom w:val="single" w:sz="8" w:space="0" w:color="auto"/>
              <w:right w:val="single" w:sz="8" w:space="0" w:color="auto"/>
            </w:tcBorders>
            <w:shd w:val="clear" w:color="auto" w:fill="FFCC99"/>
            <w:vAlign w:val="center"/>
          </w:tcPr>
          <w:p w14:paraId="3268C74C" w14:textId="77777777" w:rsidR="00023FE7" w:rsidRPr="0058047D" w:rsidRDefault="00023FE7">
            <w:pPr>
              <w:pStyle w:val="AppendixBodyText"/>
              <w:rPr>
                <w:rFonts w:ascii="Tahoma" w:hAnsi="Tahoma" w:cs="Tahoma"/>
                <w:b/>
                <w:bCs/>
              </w:rPr>
            </w:pPr>
            <w:r w:rsidRPr="0058047D">
              <w:rPr>
                <w:rFonts w:ascii="Tahoma" w:hAnsi="Tahoma" w:cs="Tahoma"/>
                <w:b/>
                <w:bCs/>
              </w:rPr>
              <w:t>Licenza Open</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78B273C4" w14:textId="77777777" w:rsidR="00023FE7" w:rsidRPr="0058047D" w:rsidRDefault="00023FE7" w:rsidP="007E466C">
            <w:pPr>
              <w:pStyle w:val="AppendixBodyText"/>
              <w:spacing w:before="120" w:after="120"/>
              <w:rPr>
                <w:rFonts w:ascii="Tahoma" w:hAnsi="Tahoma" w:cs="Tahoma"/>
                <w:b/>
              </w:rPr>
            </w:pPr>
            <w:r w:rsidRPr="0058047D">
              <w:rPr>
                <w:rFonts w:ascii="Tahoma" w:hAnsi="Tahoma" w:cs="Tahoma"/>
                <w:b/>
                <w:bCs/>
              </w:rPr>
              <w:t>Open Value(1)</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14:paraId="71101924" w14:textId="77777777" w:rsidR="00023FE7" w:rsidRPr="0058047D" w:rsidRDefault="00023FE7">
            <w:pPr>
              <w:pStyle w:val="AppendixBodyText"/>
            </w:pPr>
            <w:r w:rsidRPr="0058047D">
              <w:rPr>
                <w:rFonts w:ascii="Tahoma" w:hAnsi="Tahoma" w:cs="Tahoma"/>
                <w:b/>
                <w:bCs/>
              </w:rPr>
              <w:t xml:space="preserve">Licenza Select / Select </w:t>
            </w:r>
            <w:r w:rsidR="004D6068">
              <w:rPr>
                <w:rFonts w:ascii="Tahoma" w:hAnsi="Tahoma" w:cs="Tahoma"/>
                <w:b/>
                <w:bCs/>
              </w:rPr>
              <w:br/>
            </w:r>
            <w:r w:rsidRPr="0058047D">
              <w:rPr>
                <w:rFonts w:ascii="Tahoma" w:hAnsi="Tahoma" w:cs="Tahoma"/>
                <w:b/>
                <w:bCs/>
              </w:rPr>
              <w:t>Plus / EA</w:t>
            </w:r>
          </w:p>
          <w:p w14:paraId="11A16C7F" w14:textId="77777777" w:rsidR="00023FE7" w:rsidRPr="0058047D" w:rsidRDefault="00023FE7">
            <w:pPr>
              <w:pStyle w:val="AppendixBodyText"/>
              <w:rPr>
                <w:rFonts w:ascii="Tahoma" w:hAnsi="Tahoma" w:cs="Tahoma"/>
                <w:b/>
                <w:bCs/>
              </w:rPr>
            </w:pPr>
            <w:r w:rsidRPr="0058047D">
              <w:rPr>
                <w:rFonts w:ascii="Tahoma" w:hAnsi="Tahoma" w:cs="Tahoma"/>
                <w:b/>
                <w:bCs/>
              </w:rPr>
              <w:t>Prezzo di riferimento</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14:paraId="78CC05B2" w14:textId="77777777" w:rsidR="00023FE7" w:rsidRPr="0058047D" w:rsidRDefault="00023FE7">
            <w:pPr>
              <w:pStyle w:val="AppendixBodyText"/>
            </w:pPr>
            <w:r w:rsidRPr="0058047D">
              <w:rPr>
                <w:rFonts w:ascii="Tahoma" w:hAnsi="Tahoma" w:cs="Tahoma"/>
                <w:b/>
                <w:bCs/>
              </w:rPr>
              <w:t xml:space="preserve">Licenza Select / Select </w:t>
            </w:r>
            <w:r w:rsidR="004D6068">
              <w:rPr>
                <w:rFonts w:ascii="Tahoma" w:hAnsi="Tahoma" w:cs="Tahoma"/>
                <w:b/>
                <w:bCs/>
              </w:rPr>
              <w:br/>
            </w:r>
            <w:r w:rsidRPr="0058047D">
              <w:rPr>
                <w:rFonts w:ascii="Tahoma" w:hAnsi="Tahoma" w:cs="Tahoma"/>
                <w:b/>
                <w:bCs/>
              </w:rPr>
              <w:t>Plus / EA</w:t>
            </w:r>
          </w:p>
          <w:p w14:paraId="46037B65" w14:textId="77777777" w:rsidR="00023FE7" w:rsidRPr="0058047D" w:rsidRDefault="00023FE7">
            <w:pPr>
              <w:pStyle w:val="AppendixBodyText"/>
              <w:rPr>
                <w:rFonts w:ascii="Tahoma" w:hAnsi="Tahoma" w:cs="Tahoma"/>
                <w:b/>
                <w:bCs/>
              </w:rPr>
            </w:pPr>
            <w:r w:rsidRPr="0058047D">
              <w:rPr>
                <w:rFonts w:ascii="Tahoma" w:hAnsi="Tahoma" w:cs="Tahoma"/>
                <w:b/>
                <w:bCs/>
              </w:rPr>
              <w:t>Prezzo di riferimento</w:t>
            </w:r>
          </w:p>
        </w:tc>
        <w:tc>
          <w:tcPr>
            <w:tcW w:w="1386" w:type="dxa"/>
            <w:tcBorders>
              <w:top w:val="single" w:sz="8" w:space="0" w:color="auto"/>
              <w:left w:val="single" w:sz="8" w:space="0" w:color="auto"/>
              <w:bottom w:val="single" w:sz="8" w:space="0" w:color="auto"/>
              <w:right w:val="single" w:sz="8" w:space="0" w:color="auto"/>
            </w:tcBorders>
            <w:shd w:val="clear" w:color="auto" w:fill="FFCC99"/>
            <w:vAlign w:val="center"/>
          </w:tcPr>
          <w:p w14:paraId="0EA1A3BE" w14:textId="77777777" w:rsidR="00023FE7" w:rsidRPr="0058047D" w:rsidRDefault="00023FE7">
            <w:pPr>
              <w:pStyle w:val="AppendixBodyText"/>
            </w:pPr>
            <w:r w:rsidRPr="0058047D">
              <w:rPr>
                <w:rFonts w:ascii="Tahoma" w:hAnsi="Tahoma" w:cs="Tahoma"/>
                <w:b/>
                <w:bCs/>
              </w:rPr>
              <w:t xml:space="preserve">Licenza Select / Select </w:t>
            </w:r>
            <w:r w:rsidR="004D6068">
              <w:rPr>
                <w:rFonts w:ascii="Tahoma" w:hAnsi="Tahoma" w:cs="Tahoma"/>
                <w:b/>
                <w:bCs/>
              </w:rPr>
              <w:br/>
            </w:r>
            <w:r w:rsidRPr="0058047D">
              <w:rPr>
                <w:rFonts w:ascii="Tahoma" w:hAnsi="Tahoma" w:cs="Tahoma"/>
                <w:b/>
                <w:bCs/>
              </w:rPr>
              <w:t>Plus / EA</w:t>
            </w:r>
          </w:p>
          <w:p w14:paraId="6A135F87" w14:textId="77777777" w:rsidR="00023FE7" w:rsidRPr="0058047D" w:rsidRDefault="00023FE7">
            <w:pPr>
              <w:pStyle w:val="AppendixBodyText"/>
              <w:rPr>
                <w:rFonts w:ascii="Tahoma" w:hAnsi="Tahoma" w:cs="Tahoma"/>
                <w:b/>
                <w:bCs/>
              </w:rPr>
            </w:pPr>
            <w:r w:rsidRPr="0058047D">
              <w:rPr>
                <w:rFonts w:ascii="Tahoma" w:hAnsi="Tahoma" w:cs="Tahoma"/>
                <w:b/>
                <w:bCs/>
              </w:rPr>
              <w:t>Prezzo di riferimento</w:t>
            </w:r>
          </w:p>
        </w:tc>
        <w:tc>
          <w:tcPr>
            <w:tcW w:w="1339" w:type="dxa"/>
            <w:tcBorders>
              <w:top w:val="single" w:sz="8" w:space="0" w:color="auto"/>
              <w:left w:val="single" w:sz="8" w:space="0" w:color="auto"/>
              <w:bottom w:val="single" w:sz="8" w:space="0" w:color="auto"/>
              <w:right w:val="single" w:sz="8" w:space="0" w:color="auto"/>
            </w:tcBorders>
            <w:shd w:val="clear" w:color="auto" w:fill="FFCC99"/>
            <w:vAlign w:val="center"/>
          </w:tcPr>
          <w:p w14:paraId="04449E08" w14:textId="77777777" w:rsidR="00023FE7" w:rsidRPr="0058047D" w:rsidRDefault="00023FE7">
            <w:pPr>
              <w:pStyle w:val="AppendixBodyText"/>
            </w:pPr>
            <w:r w:rsidRPr="0058047D">
              <w:rPr>
                <w:rFonts w:ascii="Tahoma" w:hAnsi="Tahoma" w:cs="Tahoma"/>
                <w:b/>
                <w:bCs/>
              </w:rPr>
              <w:t xml:space="preserve">Licenza Select / Select </w:t>
            </w:r>
            <w:r w:rsidR="004D6068">
              <w:rPr>
                <w:rFonts w:ascii="Tahoma" w:hAnsi="Tahoma" w:cs="Tahoma"/>
                <w:b/>
                <w:bCs/>
              </w:rPr>
              <w:br/>
            </w:r>
            <w:r w:rsidRPr="0058047D">
              <w:rPr>
                <w:rFonts w:ascii="Tahoma" w:hAnsi="Tahoma" w:cs="Tahoma"/>
                <w:b/>
                <w:bCs/>
              </w:rPr>
              <w:t>Plus / EA</w:t>
            </w:r>
          </w:p>
          <w:p w14:paraId="576F402B" w14:textId="77777777" w:rsidR="00023FE7" w:rsidRPr="0058047D" w:rsidRDefault="00023FE7">
            <w:pPr>
              <w:pStyle w:val="AppendixBodyText"/>
              <w:rPr>
                <w:rFonts w:ascii="Tahoma" w:hAnsi="Tahoma" w:cs="Tahoma"/>
                <w:b/>
                <w:bCs/>
              </w:rPr>
            </w:pPr>
            <w:r w:rsidRPr="0058047D">
              <w:rPr>
                <w:rFonts w:ascii="Tahoma" w:hAnsi="Tahoma" w:cs="Tahoma"/>
                <w:b/>
                <w:bCs/>
              </w:rPr>
              <w:t>Prezzo di riferimento</w:t>
            </w:r>
          </w:p>
        </w:tc>
      </w:tr>
      <w:tr w:rsidR="004D6068" w:rsidRPr="0058047D" w14:paraId="06DFEF51" w14:textId="77777777" w:rsidTr="004D6068">
        <w:trPr>
          <w:trHeight w:val="236"/>
        </w:trPr>
        <w:tc>
          <w:tcPr>
            <w:tcW w:w="1917" w:type="dxa"/>
            <w:vAlign w:val="center"/>
          </w:tcPr>
          <w:p w14:paraId="57E473A4" w14:textId="77777777" w:rsidR="00023FE7" w:rsidRPr="0058047D" w:rsidRDefault="00023FE7" w:rsidP="004D6068">
            <w:pPr>
              <w:pStyle w:val="AppendixBodyText"/>
              <w:rPr>
                <w:rFonts w:ascii="Tahoma" w:hAnsi="Tahoma" w:cs="Tahoma"/>
                <w:sz w:val="18"/>
                <w:szCs w:val="18"/>
              </w:rPr>
            </w:pPr>
            <w:r w:rsidRPr="0058047D">
              <w:rPr>
                <w:rFonts w:ascii="Tahoma" w:hAnsi="Tahoma" w:cs="Tahoma"/>
                <w:sz w:val="18"/>
                <w:szCs w:val="18"/>
              </w:rPr>
              <w:t>N. di Contatti di Supporto Telefonico per la Risoluzione dei</w:t>
            </w:r>
            <w:r w:rsidR="004D6068">
              <w:rPr>
                <w:rFonts w:ascii="Tahoma" w:hAnsi="Tahoma" w:cs="Tahoma"/>
                <w:sz w:val="18"/>
                <w:szCs w:val="18"/>
              </w:rPr>
              <w:t> </w:t>
            </w:r>
            <w:r w:rsidRPr="0058047D">
              <w:rPr>
                <w:rFonts w:ascii="Tahoma" w:hAnsi="Tahoma" w:cs="Tahoma"/>
                <w:sz w:val="18"/>
                <w:szCs w:val="18"/>
              </w:rPr>
              <w:t>Problemi</w:t>
            </w:r>
          </w:p>
        </w:tc>
        <w:tc>
          <w:tcPr>
            <w:tcW w:w="1125" w:type="dxa"/>
            <w:vAlign w:val="center"/>
          </w:tcPr>
          <w:p w14:paraId="72353876" w14:textId="77777777" w:rsidR="00023FE7" w:rsidRPr="0058047D" w:rsidRDefault="00620185">
            <w:pPr>
              <w:pStyle w:val="AppendixBodyText"/>
              <w:rPr>
                <w:rFonts w:ascii="Tahoma" w:hAnsi="Tahoma" w:cs="Tahoma"/>
                <w:sz w:val="18"/>
                <w:szCs w:val="18"/>
              </w:rPr>
            </w:pPr>
            <w:r w:rsidRPr="0058047D">
              <w:rPr>
                <w:rFonts w:ascii="Tahoma" w:hAnsi="Tahoma" w:cs="Tahoma"/>
                <w:sz w:val="18"/>
                <w:szCs w:val="18"/>
              </w:rPr>
              <w:t>In Base alle Necessità</w:t>
            </w:r>
          </w:p>
        </w:tc>
        <w:tc>
          <w:tcPr>
            <w:tcW w:w="1080" w:type="dxa"/>
            <w:vAlign w:val="center"/>
          </w:tcPr>
          <w:p w14:paraId="7EC3F78E" w14:textId="77777777" w:rsidR="00023FE7" w:rsidRPr="0058047D" w:rsidRDefault="00023FE7">
            <w:pPr>
              <w:pStyle w:val="AppendixBodyText"/>
              <w:rPr>
                <w:rFonts w:ascii="Tahoma" w:hAnsi="Tahoma" w:cs="Tahoma"/>
                <w:sz w:val="18"/>
                <w:szCs w:val="18"/>
              </w:rPr>
            </w:pPr>
            <w:r w:rsidRPr="0058047D">
              <w:rPr>
                <w:rFonts w:ascii="Tahoma" w:hAnsi="Tahoma" w:cs="Tahoma"/>
                <w:sz w:val="18"/>
                <w:szCs w:val="18"/>
              </w:rPr>
              <w:t>In Base alle Necessità</w:t>
            </w:r>
          </w:p>
        </w:tc>
        <w:tc>
          <w:tcPr>
            <w:tcW w:w="1350" w:type="dxa"/>
            <w:vAlign w:val="center"/>
          </w:tcPr>
          <w:p w14:paraId="3EFD09FB" w14:textId="77777777" w:rsidR="00023FE7" w:rsidRPr="0058047D" w:rsidRDefault="00023FE7">
            <w:pPr>
              <w:pStyle w:val="AppendixBodyText"/>
              <w:rPr>
                <w:rFonts w:ascii="Tahoma" w:hAnsi="Tahoma" w:cs="Tahoma"/>
                <w:sz w:val="18"/>
                <w:szCs w:val="18"/>
              </w:rPr>
            </w:pPr>
            <w:r w:rsidRPr="0058047D">
              <w:rPr>
                <w:rFonts w:ascii="Tahoma" w:hAnsi="Tahoma" w:cs="Tahoma"/>
                <w:sz w:val="18"/>
                <w:szCs w:val="18"/>
              </w:rPr>
              <w:t>In Base alle Necessità</w:t>
            </w:r>
          </w:p>
        </w:tc>
        <w:tc>
          <w:tcPr>
            <w:tcW w:w="1350" w:type="dxa"/>
            <w:vAlign w:val="center"/>
          </w:tcPr>
          <w:p w14:paraId="0C74C4B8" w14:textId="77777777" w:rsidR="00023FE7" w:rsidRPr="0058047D" w:rsidRDefault="00023FE7">
            <w:pPr>
              <w:pStyle w:val="AppendixBodyText"/>
              <w:rPr>
                <w:rFonts w:ascii="Tahoma" w:hAnsi="Tahoma" w:cs="Tahoma"/>
                <w:sz w:val="18"/>
                <w:szCs w:val="18"/>
              </w:rPr>
            </w:pPr>
            <w:r w:rsidRPr="0058047D">
              <w:rPr>
                <w:rFonts w:ascii="Tahoma" w:hAnsi="Tahoma" w:cs="Tahoma"/>
                <w:sz w:val="18"/>
                <w:szCs w:val="18"/>
              </w:rPr>
              <w:t>In Base alle Necessità</w:t>
            </w:r>
          </w:p>
        </w:tc>
        <w:tc>
          <w:tcPr>
            <w:tcW w:w="1386" w:type="dxa"/>
            <w:vAlign w:val="center"/>
          </w:tcPr>
          <w:p w14:paraId="76AB74D9" w14:textId="77777777" w:rsidR="00023FE7" w:rsidRPr="0058047D" w:rsidRDefault="00023FE7">
            <w:pPr>
              <w:pStyle w:val="AppendixBodyText"/>
              <w:rPr>
                <w:rFonts w:ascii="Tahoma" w:hAnsi="Tahoma" w:cs="Tahoma"/>
                <w:sz w:val="18"/>
                <w:szCs w:val="18"/>
              </w:rPr>
            </w:pPr>
            <w:r w:rsidRPr="0058047D">
              <w:rPr>
                <w:rFonts w:ascii="Tahoma" w:hAnsi="Tahoma" w:cs="Tahoma"/>
                <w:sz w:val="18"/>
                <w:szCs w:val="18"/>
              </w:rPr>
              <w:t>In Base alle Necessità</w:t>
            </w:r>
          </w:p>
        </w:tc>
        <w:tc>
          <w:tcPr>
            <w:tcW w:w="1339" w:type="dxa"/>
            <w:vAlign w:val="center"/>
          </w:tcPr>
          <w:p w14:paraId="2AAE96E7" w14:textId="77777777" w:rsidR="00023FE7" w:rsidRPr="0058047D" w:rsidRDefault="00023FE7">
            <w:pPr>
              <w:pStyle w:val="AppendixBodyText"/>
              <w:rPr>
                <w:rFonts w:ascii="Tahoma" w:hAnsi="Tahoma" w:cs="Tahoma"/>
                <w:sz w:val="18"/>
                <w:szCs w:val="18"/>
              </w:rPr>
            </w:pPr>
            <w:r w:rsidRPr="0058047D">
              <w:rPr>
                <w:rFonts w:ascii="Tahoma" w:hAnsi="Tahoma" w:cs="Tahoma"/>
                <w:sz w:val="18"/>
                <w:szCs w:val="18"/>
              </w:rPr>
              <w:t>In Base alle Necessità</w:t>
            </w:r>
          </w:p>
        </w:tc>
      </w:tr>
      <w:tr w:rsidR="004D6068" w:rsidRPr="0058047D" w14:paraId="7AC92105" w14:textId="77777777" w:rsidTr="004D6068">
        <w:trPr>
          <w:trHeight w:val="236"/>
        </w:trPr>
        <w:tc>
          <w:tcPr>
            <w:tcW w:w="1917" w:type="dxa"/>
            <w:vAlign w:val="center"/>
          </w:tcPr>
          <w:p w14:paraId="57ECB045" w14:textId="77777777" w:rsidR="00023FE7" w:rsidRPr="0058047D" w:rsidRDefault="00023FE7" w:rsidP="004D6068">
            <w:pPr>
              <w:pStyle w:val="AppendixBodyText"/>
              <w:rPr>
                <w:rFonts w:ascii="Tahoma" w:hAnsi="Tahoma" w:cs="Tahoma"/>
                <w:sz w:val="18"/>
                <w:szCs w:val="18"/>
              </w:rPr>
            </w:pPr>
            <w:r w:rsidRPr="0058047D">
              <w:rPr>
                <w:rFonts w:ascii="Tahoma" w:hAnsi="Tahoma" w:cs="Tahoma"/>
                <w:sz w:val="18"/>
                <w:szCs w:val="18"/>
              </w:rPr>
              <w:t>N. di Contatti Autorizzati per</w:t>
            </w:r>
            <w:r w:rsidR="004D6068">
              <w:rPr>
                <w:rFonts w:ascii="Tahoma" w:hAnsi="Tahoma" w:cs="Tahoma"/>
                <w:sz w:val="18"/>
                <w:szCs w:val="18"/>
              </w:rPr>
              <w:t> </w:t>
            </w:r>
            <w:r w:rsidRPr="0058047D">
              <w:rPr>
                <w:rFonts w:ascii="Tahoma" w:hAnsi="Tahoma" w:cs="Tahoma"/>
                <w:sz w:val="18"/>
                <w:szCs w:val="18"/>
              </w:rPr>
              <w:t>il</w:t>
            </w:r>
            <w:r w:rsidR="004D6068">
              <w:rPr>
                <w:rFonts w:ascii="Tahoma" w:hAnsi="Tahoma" w:cs="Tahoma"/>
                <w:sz w:val="18"/>
                <w:szCs w:val="18"/>
              </w:rPr>
              <w:t> </w:t>
            </w:r>
            <w:r w:rsidRPr="0058047D">
              <w:rPr>
                <w:rFonts w:ascii="Tahoma" w:hAnsi="Tahoma" w:cs="Tahoma"/>
                <w:sz w:val="18"/>
                <w:szCs w:val="18"/>
              </w:rPr>
              <w:t>Supporto Web</w:t>
            </w:r>
          </w:p>
        </w:tc>
        <w:tc>
          <w:tcPr>
            <w:tcW w:w="1125" w:type="dxa"/>
            <w:vAlign w:val="center"/>
          </w:tcPr>
          <w:p w14:paraId="2E332999" w14:textId="77777777" w:rsidR="00023FE7" w:rsidRPr="0058047D" w:rsidRDefault="00023FE7">
            <w:pPr>
              <w:pStyle w:val="AppendixBodyText"/>
              <w:rPr>
                <w:rFonts w:ascii="Tahoma" w:hAnsi="Tahoma" w:cs="Tahoma"/>
                <w:sz w:val="18"/>
                <w:szCs w:val="18"/>
              </w:rPr>
            </w:pPr>
            <w:r w:rsidRPr="0058047D">
              <w:rPr>
                <w:rFonts w:ascii="Tahoma" w:hAnsi="Tahoma" w:cs="Tahoma"/>
                <w:sz w:val="18"/>
                <w:szCs w:val="18"/>
              </w:rPr>
              <w:t>ND</w:t>
            </w:r>
          </w:p>
        </w:tc>
        <w:tc>
          <w:tcPr>
            <w:tcW w:w="1080" w:type="dxa"/>
            <w:vAlign w:val="center"/>
          </w:tcPr>
          <w:p w14:paraId="7BCFA6F3" w14:textId="77777777" w:rsidR="00023FE7" w:rsidRPr="0058047D" w:rsidRDefault="00023FE7">
            <w:pPr>
              <w:pStyle w:val="AppendixBodyText"/>
              <w:rPr>
                <w:rFonts w:ascii="Tahoma" w:hAnsi="Tahoma" w:cs="Tahoma"/>
                <w:sz w:val="18"/>
                <w:szCs w:val="18"/>
              </w:rPr>
            </w:pPr>
            <w:r w:rsidRPr="0058047D">
              <w:rPr>
                <w:rFonts w:ascii="Tahoma" w:hAnsi="Tahoma" w:cs="Tahoma"/>
                <w:sz w:val="18"/>
                <w:szCs w:val="18"/>
              </w:rPr>
              <w:t>1</w:t>
            </w:r>
          </w:p>
        </w:tc>
        <w:tc>
          <w:tcPr>
            <w:tcW w:w="1350" w:type="dxa"/>
            <w:vAlign w:val="center"/>
          </w:tcPr>
          <w:p w14:paraId="6844A658" w14:textId="77777777" w:rsidR="00023FE7" w:rsidRPr="0058047D" w:rsidRDefault="00023FE7">
            <w:pPr>
              <w:pStyle w:val="AppendixBodyText"/>
              <w:rPr>
                <w:rFonts w:ascii="Tahoma" w:hAnsi="Tahoma" w:cs="Tahoma"/>
                <w:sz w:val="18"/>
                <w:szCs w:val="18"/>
              </w:rPr>
            </w:pPr>
            <w:r w:rsidRPr="0058047D">
              <w:rPr>
                <w:rFonts w:ascii="Tahoma" w:hAnsi="Tahoma" w:cs="Tahoma"/>
                <w:sz w:val="18"/>
                <w:szCs w:val="18"/>
              </w:rPr>
              <w:t>2</w:t>
            </w:r>
          </w:p>
        </w:tc>
        <w:tc>
          <w:tcPr>
            <w:tcW w:w="1350" w:type="dxa"/>
            <w:vAlign w:val="center"/>
          </w:tcPr>
          <w:p w14:paraId="2CAE77BB" w14:textId="77777777" w:rsidR="00023FE7" w:rsidRPr="0058047D" w:rsidRDefault="00023FE7">
            <w:pPr>
              <w:pStyle w:val="AppendixBodyText"/>
              <w:rPr>
                <w:rFonts w:ascii="Tahoma" w:hAnsi="Tahoma" w:cs="Tahoma"/>
                <w:sz w:val="18"/>
                <w:szCs w:val="18"/>
              </w:rPr>
            </w:pPr>
            <w:r w:rsidRPr="0058047D">
              <w:rPr>
                <w:rFonts w:ascii="Tahoma" w:hAnsi="Tahoma" w:cs="Tahoma"/>
                <w:sz w:val="18"/>
                <w:szCs w:val="18"/>
              </w:rPr>
              <w:t>4</w:t>
            </w:r>
          </w:p>
        </w:tc>
        <w:tc>
          <w:tcPr>
            <w:tcW w:w="1386" w:type="dxa"/>
            <w:vAlign w:val="center"/>
          </w:tcPr>
          <w:p w14:paraId="3C33FAC7" w14:textId="77777777" w:rsidR="00023FE7" w:rsidRPr="0058047D" w:rsidRDefault="00023FE7">
            <w:pPr>
              <w:pStyle w:val="AppendixBodyText"/>
              <w:rPr>
                <w:rFonts w:ascii="Tahoma" w:hAnsi="Tahoma" w:cs="Tahoma"/>
                <w:sz w:val="18"/>
                <w:szCs w:val="18"/>
              </w:rPr>
            </w:pPr>
            <w:r w:rsidRPr="0058047D">
              <w:rPr>
                <w:rFonts w:ascii="Tahoma" w:hAnsi="Tahoma" w:cs="Tahoma"/>
                <w:sz w:val="18"/>
                <w:szCs w:val="18"/>
              </w:rPr>
              <w:t>8</w:t>
            </w:r>
          </w:p>
        </w:tc>
        <w:tc>
          <w:tcPr>
            <w:tcW w:w="1339" w:type="dxa"/>
            <w:vAlign w:val="center"/>
          </w:tcPr>
          <w:p w14:paraId="312886D3" w14:textId="77777777" w:rsidR="00023FE7" w:rsidRPr="0058047D" w:rsidRDefault="00023FE7">
            <w:pPr>
              <w:pStyle w:val="AppendixBodyText"/>
              <w:rPr>
                <w:rFonts w:ascii="Tahoma" w:hAnsi="Tahoma" w:cs="Tahoma"/>
                <w:sz w:val="18"/>
                <w:szCs w:val="18"/>
              </w:rPr>
            </w:pPr>
            <w:r w:rsidRPr="0058047D">
              <w:rPr>
                <w:rFonts w:ascii="Tahoma" w:hAnsi="Tahoma" w:cs="Tahoma"/>
                <w:sz w:val="18"/>
                <w:szCs w:val="18"/>
              </w:rPr>
              <w:t>16</w:t>
            </w:r>
          </w:p>
        </w:tc>
      </w:tr>
    </w:tbl>
    <w:p w14:paraId="1104AAE4" w14:textId="77777777" w:rsidR="00023FE7" w:rsidRPr="0058047D" w:rsidRDefault="00023FE7" w:rsidP="00F42FB8">
      <w:pPr>
        <w:pStyle w:val="AppendixBodyText"/>
        <w:spacing w:after="0"/>
      </w:pPr>
    </w:p>
    <w:p w14:paraId="7B1C99DB" w14:textId="77777777" w:rsidR="001C20C9" w:rsidRPr="0058047D" w:rsidRDefault="00023FE7" w:rsidP="00F93617">
      <w:pPr>
        <w:spacing w:after="60"/>
      </w:pPr>
      <w:bookmarkStart w:id="733" w:name="_Toc240899166"/>
      <w:r w:rsidRPr="0058047D">
        <w:rPr>
          <w:rFonts w:cs="Tahoma"/>
          <w:b/>
          <w:szCs w:val="20"/>
        </w:rPr>
        <w:t>Livello di Servizio per le Società con Copertura Software Assurance</w:t>
      </w:r>
      <w:bookmarkEnd w:id="733"/>
    </w:p>
    <w:p w14:paraId="13476D22" w14:textId="77777777" w:rsidR="00023FE7" w:rsidRPr="0058047D" w:rsidRDefault="00023FE7" w:rsidP="00F42FB8">
      <w:pPr>
        <w:pStyle w:val="AppendixBodyText"/>
        <w:spacing w:after="0"/>
      </w:pPr>
    </w:p>
    <w:p w14:paraId="36326D85" w14:textId="77777777" w:rsidR="00023FE7" w:rsidRPr="0058047D" w:rsidRDefault="00023FE7" w:rsidP="00F93617">
      <w:pPr>
        <w:pStyle w:val="AppendixBodyText"/>
        <w:spacing w:after="0"/>
      </w:pPr>
      <w:r w:rsidRPr="0058047D">
        <w:rPr>
          <w:rFonts w:ascii="Tahoma" w:hAnsi="Tahoma" w:cs="Tahoma"/>
          <w:sz w:val="18"/>
          <w:szCs w:val="18"/>
        </w:rPr>
        <w:t>Le richieste di supporto potranno essere formulate telefonicamente o inviate in formato elettronico dalle persone di</w:t>
      </w:r>
      <w:r w:rsidR="004D6068">
        <w:rPr>
          <w:rFonts w:ascii="Tahoma" w:hAnsi="Tahoma" w:cs="Tahoma"/>
          <w:sz w:val="18"/>
          <w:szCs w:val="18"/>
        </w:rPr>
        <w:t> </w:t>
      </w:r>
      <w:r w:rsidRPr="0058047D">
        <w:rPr>
          <w:rFonts w:ascii="Tahoma" w:hAnsi="Tahoma" w:cs="Tahoma"/>
          <w:sz w:val="18"/>
          <w:szCs w:val="18"/>
        </w:rPr>
        <w:t xml:space="preserve">contatto designate dalla società, a eccezione delle richieste con Severity A e B, che dovranno essere formulate, invece, solo telefonicamente, come descritto di seguito. </w:t>
      </w:r>
    </w:p>
    <w:p w14:paraId="47A05BAF" w14:textId="77777777" w:rsidR="00F42FB8" w:rsidRPr="0058047D" w:rsidRDefault="00F42FB8" w:rsidP="00F93617">
      <w:pPr>
        <w:pStyle w:val="AppendixBodyText"/>
        <w:spacing w:after="0"/>
      </w:pPr>
    </w:p>
    <w:p w14:paraId="6DEA36A4" w14:textId="77777777" w:rsidR="00023FE7" w:rsidRPr="0058047D" w:rsidRDefault="00023FE7" w:rsidP="00F42FB8">
      <w:pPr>
        <w:pStyle w:val="AppendixBodyText"/>
        <w:spacing w:after="0"/>
      </w:pPr>
    </w:p>
    <w:p w14:paraId="4D3F2B43" w14:textId="77777777" w:rsidR="00023FE7" w:rsidRPr="0058047D" w:rsidRDefault="00023FE7" w:rsidP="00F93617">
      <w:pPr>
        <w:pStyle w:val="AppendixBodyText"/>
        <w:spacing w:after="0"/>
      </w:pPr>
      <w:r w:rsidRPr="0058047D">
        <w:rPr>
          <w:rFonts w:ascii="Tahoma" w:hAnsi="Tahoma" w:cs="Tahoma"/>
          <w:sz w:val="18"/>
          <w:szCs w:val="18"/>
        </w:rPr>
        <w:t>Le società avranno la responsabilità di indicare il livello di gravità iniziale in collaborazione con Microsoft. Potranno tuttavia richiedere di modificare il livello di gravità in qualsiasi momento.</w:t>
      </w:r>
      <w:r w:rsidR="00E34ED3" w:rsidRPr="0058047D">
        <w:rPr>
          <w:rFonts w:ascii="Tahoma" w:hAnsi="Tahoma" w:cs="Tahoma"/>
          <w:sz w:val="18"/>
          <w:szCs w:val="18"/>
        </w:rPr>
        <w:t xml:space="preserve"> </w:t>
      </w:r>
      <w:r w:rsidRPr="0058047D">
        <w:rPr>
          <w:rFonts w:ascii="Tahoma" w:hAnsi="Tahoma" w:cs="Tahoma"/>
          <w:sz w:val="18"/>
          <w:szCs w:val="18"/>
        </w:rPr>
        <w:t>La gravità dell</w:t>
      </w:r>
      <w:r w:rsidR="001C4212">
        <w:rPr>
          <w:rFonts w:ascii="Tahoma" w:hAnsi="Tahoma" w:cs="Tahoma"/>
          <w:sz w:val="18"/>
          <w:szCs w:val="18"/>
        </w:rPr>
        <w:t>’</w:t>
      </w:r>
      <w:r w:rsidRPr="0058047D">
        <w:rPr>
          <w:rFonts w:ascii="Tahoma" w:hAnsi="Tahoma" w:cs="Tahoma"/>
          <w:sz w:val="18"/>
          <w:szCs w:val="18"/>
        </w:rPr>
        <w:t>intervento determinerà i livelli di risposta da parte di Microsoft. I tempi di risposta previsti e le responsabilità delle società sono definiti nella seguente tabella:</w:t>
      </w:r>
    </w:p>
    <w:p w14:paraId="0B6B8295" w14:textId="77777777" w:rsidR="00F42FB8" w:rsidRPr="0058047D" w:rsidRDefault="00F42FB8" w:rsidP="00F93617">
      <w:pPr>
        <w:pStyle w:val="AppendixBodyText"/>
        <w:spacing w:after="0"/>
      </w:pPr>
    </w:p>
    <w:p w14:paraId="367D4E6B" w14:textId="77777777" w:rsidR="00023FE7" w:rsidRPr="0058047D" w:rsidRDefault="00023FE7">
      <w:pPr>
        <w:pStyle w:val="AppendixBodyText"/>
      </w:pPr>
    </w:p>
    <w:tbl>
      <w:tblPr>
        <w:tblW w:w="9540" w:type="dxa"/>
        <w:tblInd w:w="108" w:type="dxa"/>
        <w:tblLayout w:type="fixed"/>
        <w:tblCellMar>
          <w:left w:w="0" w:type="dxa"/>
          <w:right w:w="0" w:type="dxa"/>
        </w:tblCellMar>
        <w:tblLook w:val="0000" w:firstRow="0" w:lastRow="0" w:firstColumn="0" w:lastColumn="0" w:noHBand="0" w:noVBand="0"/>
      </w:tblPr>
      <w:tblGrid>
        <w:gridCol w:w="1368"/>
        <w:gridCol w:w="2484"/>
        <w:gridCol w:w="2808"/>
        <w:gridCol w:w="2880"/>
      </w:tblGrid>
      <w:tr w:rsidR="00023FE7" w:rsidRPr="0058047D" w14:paraId="1C501DAD" w14:textId="77777777" w:rsidTr="004D6068">
        <w:trPr>
          <w:trHeight w:val="477"/>
          <w:tblHeader/>
        </w:trPr>
        <w:tc>
          <w:tcPr>
            <w:tcW w:w="1368"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003632DF" w14:textId="77777777" w:rsidR="00023FE7" w:rsidRPr="0058047D" w:rsidRDefault="00023FE7">
            <w:pPr>
              <w:pStyle w:val="AppendixBodyText"/>
              <w:spacing w:after="0"/>
              <w:jc w:val="center"/>
              <w:rPr>
                <w:rFonts w:ascii="Tahoma" w:hAnsi="Tahoma" w:cs="Tahoma"/>
                <w:b/>
                <w:bCs/>
              </w:rPr>
            </w:pPr>
            <w:r w:rsidRPr="0058047D">
              <w:rPr>
                <w:rFonts w:ascii="Tahoma" w:hAnsi="Tahoma" w:cs="Tahoma"/>
                <w:b/>
                <w:bCs/>
              </w:rPr>
              <w:t>Severity</w:t>
            </w:r>
          </w:p>
        </w:tc>
        <w:tc>
          <w:tcPr>
            <w:tcW w:w="2484"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3A4A39E1" w14:textId="77777777" w:rsidR="00023FE7" w:rsidRPr="0058047D" w:rsidRDefault="00023FE7">
            <w:pPr>
              <w:pStyle w:val="AppendixBodyText"/>
              <w:spacing w:after="0"/>
              <w:jc w:val="center"/>
              <w:rPr>
                <w:rFonts w:ascii="Tahoma" w:hAnsi="Tahoma" w:cs="Tahoma"/>
                <w:b/>
                <w:bCs/>
              </w:rPr>
            </w:pPr>
            <w:r w:rsidRPr="0058047D">
              <w:rPr>
                <w:rFonts w:ascii="Tahoma" w:hAnsi="Tahoma" w:cs="Tahoma"/>
                <w:b/>
                <w:bCs/>
              </w:rPr>
              <w:t>Situazione</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4C9B2E4D" w14:textId="77777777" w:rsidR="00023FE7" w:rsidRPr="0058047D" w:rsidRDefault="00023FE7">
            <w:pPr>
              <w:pStyle w:val="AppendixBodyText"/>
              <w:spacing w:after="0"/>
              <w:jc w:val="center"/>
              <w:rPr>
                <w:rFonts w:ascii="Tahoma" w:hAnsi="Tahoma" w:cs="Tahoma"/>
                <w:b/>
                <w:bCs/>
              </w:rPr>
            </w:pPr>
            <w:r w:rsidRPr="0058047D">
              <w:rPr>
                <w:rFonts w:ascii="Tahoma" w:hAnsi="Tahoma" w:cs="Tahoma"/>
                <w:b/>
                <w:bCs/>
              </w:rPr>
              <w:t>Risposta Microsoft Prevista</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84C25B9" w14:textId="77777777" w:rsidR="00023FE7" w:rsidRPr="0058047D" w:rsidRDefault="00023FE7">
            <w:pPr>
              <w:pStyle w:val="AppendixBodyText"/>
              <w:spacing w:after="0"/>
              <w:jc w:val="center"/>
              <w:rPr>
                <w:rFonts w:ascii="Tahoma" w:hAnsi="Tahoma" w:cs="Tahoma"/>
                <w:b/>
                <w:bCs/>
              </w:rPr>
            </w:pPr>
            <w:r w:rsidRPr="0058047D">
              <w:rPr>
                <w:rFonts w:ascii="Tahoma" w:hAnsi="Tahoma" w:cs="Tahoma"/>
                <w:b/>
                <w:bCs/>
              </w:rPr>
              <w:t>Risposta della Società Prevista</w:t>
            </w:r>
          </w:p>
        </w:tc>
      </w:tr>
      <w:tr w:rsidR="00023FE7" w:rsidRPr="0058047D" w14:paraId="1F094B81" w14:textId="77777777" w:rsidTr="004D6068">
        <w:tc>
          <w:tcPr>
            <w:tcW w:w="1368"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88F25E0" w14:textId="77777777" w:rsidR="00023FE7" w:rsidRPr="0058047D" w:rsidRDefault="00023FE7">
            <w:pPr>
              <w:pStyle w:val="AppendixBodyText"/>
              <w:rPr>
                <w:rFonts w:ascii="Tahoma" w:hAnsi="Tahoma" w:cs="Tahoma"/>
                <w:sz w:val="18"/>
                <w:szCs w:val="18"/>
              </w:rPr>
            </w:pPr>
            <w:r w:rsidRPr="0058047D">
              <w:rPr>
                <w:rFonts w:ascii="Tahoma" w:hAnsi="Tahoma" w:cs="Tahoma"/>
                <w:sz w:val="18"/>
                <w:szCs w:val="18"/>
              </w:rPr>
              <w:t xml:space="preserve">A Formulazione telefonica </w:t>
            </w:r>
          </w:p>
        </w:tc>
        <w:tc>
          <w:tcPr>
            <w:tcW w:w="2484" w:type="dxa"/>
            <w:tcBorders>
              <w:top w:val="nil"/>
              <w:left w:val="nil"/>
              <w:bottom w:val="single" w:sz="8" w:space="0" w:color="auto"/>
              <w:right w:val="single" w:sz="8" w:space="0" w:color="auto"/>
            </w:tcBorders>
            <w:tcMar>
              <w:top w:w="0" w:type="dxa"/>
              <w:left w:w="108" w:type="dxa"/>
              <w:bottom w:w="0" w:type="dxa"/>
              <w:right w:w="108" w:type="dxa"/>
            </w:tcMar>
          </w:tcPr>
          <w:p w14:paraId="36ACECC6" w14:textId="77777777" w:rsidR="00023FE7" w:rsidRPr="0058047D" w:rsidRDefault="00023FE7" w:rsidP="0027028A">
            <w:pPr>
              <w:pStyle w:val="AppendixBodyText"/>
              <w:numPr>
                <w:ilvl w:val="0"/>
                <w:numId w:val="2"/>
              </w:numPr>
              <w:tabs>
                <w:tab w:val="clear" w:pos="1440"/>
                <w:tab w:val="num" w:pos="612"/>
              </w:tabs>
              <w:ind w:left="612"/>
            </w:pPr>
            <w:r w:rsidRPr="0058047D">
              <w:rPr>
                <w:rFonts w:ascii="Tahoma" w:hAnsi="Tahoma" w:cs="Tahoma"/>
                <w:sz w:val="18"/>
                <w:szCs w:val="18"/>
              </w:rPr>
              <w:t xml:space="preserve">Impatto commerciale critico </w:t>
            </w:r>
          </w:p>
          <w:p w14:paraId="23043F13" w14:textId="77777777" w:rsidR="00023FE7" w:rsidRPr="0058047D" w:rsidRDefault="00023FE7" w:rsidP="0027028A">
            <w:pPr>
              <w:pStyle w:val="AppendixBodyText"/>
              <w:numPr>
                <w:ilvl w:val="0"/>
                <w:numId w:val="2"/>
              </w:numPr>
              <w:tabs>
                <w:tab w:val="clear" w:pos="1440"/>
                <w:tab w:val="num" w:pos="612"/>
              </w:tabs>
              <w:ind w:left="612"/>
              <w:rPr>
                <w:rFonts w:ascii="Tahoma" w:hAnsi="Tahoma" w:cs="Tahoma"/>
                <w:sz w:val="18"/>
                <w:szCs w:val="18"/>
              </w:rPr>
            </w:pPr>
            <w:r w:rsidRPr="0058047D">
              <w:rPr>
                <w:rFonts w:ascii="Tahoma" w:hAnsi="Tahoma" w:cs="Tahoma"/>
                <w:sz w:val="18"/>
                <w:szCs w:val="18"/>
              </w:rPr>
              <w:t>Perdita o degradazione significativa dei servizi della società</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74F478E4" w14:textId="77777777" w:rsidR="00023FE7" w:rsidRPr="0058047D" w:rsidRDefault="00023FE7" w:rsidP="0027028A">
            <w:pPr>
              <w:pStyle w:val="AppendixBodyText"/>
              <w:numPr>
                <w:ilvl w:val="0"/>
                <w:numId w:val="2"/>
              </w:numPr>
              <w:tabs>
                <w:tab w:val="clear" w:pos="1440"/>
                <w:tab w:val="num" w:pos="522"/>
              </w:tabs>
              <w:ind w:left="522"/>
            </w:pPr>
            <w:r w:rsidRPr="0058047D">
              <w:rPr>
                <w:rFonts w:ascii="Tahoma" w:hAnsi="Tahoma" w:cs="Tahoma"/>
                <w:sz w:val="18"/>
                <w:szCs w:val="18"/>
              </w:rPr>
              <w:t xml:space="preserve"> Risposta alla prima chiamata entro 2 ore lavorative, in base all</w:t>
            </w:r>
            <w:r w:rsidR="001C4212">
              <w:rPr>
                <w:rFonts w:ascii="Tahoma" w:hAnsi="Tahoma" w:cs="Tahoma"/>
                <w:sz w:val="18"/>
                <w:szCs w:val="18"/>
              </w:rPr>
              <w:t>’</w:t>
            </w:r>
            <w:r w:rsidRPr="0058047D">
              <w:rPr>
                <w:rFonts w:ascii="Tahoma" w:hAnsi="Tahoma" w:cs="Tahoma"/>
                <w:sz w:val="18"/>
                <w:szCs w:val="18"/>
              </w:rPr>
              <w:t>offerta di supporto</w:t>
            </w:r>
          </w:p>
          <w:p w14:paraId="61CEBD7C" w14:textId="77777777" w:rsidR="00023FE7" w:rsidRPr="0058047D" w:rsidRDefault="00023FE7" w:rsidP="0027028A">
            <w:pPr>
              <w:pStyle w:val="AppendixBodyText"/>
              <w:numPr>
                <w:ilvl w:val="0"/>
                <w:numId w:val="2"/>
              </w:numPr>
              <w:tabs>
                <w:tab w:val="clear" w:pos="1440"/>
                <w:tab w:val="num" w:pos="522"/>
              </w:tabs>
              <w:ind w:left="522"/>
            </w:pPr>
            <w:r w:rsidRPr="0058047D">
              <w:rPr>
                <w:rFonts w:ascii="Tahoma" w:hAnsi="Tahoma" w:cs="Tahoma"/>
                <w:sz w:val="18"/>
                <w:szCs w:val="18"/>
              </w:rPr>
              <w:t>Risorse Microsoft presso la sede della società, come richiesto.</w:t>
            </w:r>
          </w:p>
          <w:p w14:paraId="53482539" w14:textId="77777777" w:rsidR="00023FE7" w:rsidRPr="0058047D" w:rsidRDefault="00023FE7" w:rsidP="0027028A">
            <w:pPr>
              <w:pStyle w:val="AppendixBodyText"/>
              <w:numPr>
                <w:ilvl w:val="0"/>
                <w:numId w:val="2"/>
              </w:numPr>
              <w:tabs>
                <w:tab w:val="clear" w:pos="1440"/>
                <w:tab w:val="num" w:pos="522"/>
              </w:tabs>
              <w:ind w:left="522"/>
            </w:pPr>
            <w:r w:rsidRPr="0058047D">
              <w:rPr>
                <w:rFonts w:ascii="Tahoma" w:hAnsi="Tahoma" w:cs="Tahoma"/>
                <w:sz w:val="18"/>
                <w:szCs w:val="18"/>
              </w:rPr>
              <w:t>Impegno continuo 24x7</w:t>
            </w:r>
          </w:p>
          <w:p w14:paraId="11C8DA1F" w14:textId="77777777" w:rsidR="00023FE7" w:rsidRPr="0058047D" w:rsidRDefault="00023FE7" w:rsidP="0027028A">
            <w:pPr>
              <w:pStyle w:val="AppendixBodyText"/>
              <w:numPr>
                <w:ilvl w:val="0"/>
                <w:numId w:val="2"/>
              </w:numPr>
              <w:tabs>
                <w:tab w:val="clear" w:pos="1440"/>
                <w:tab w:val="num" w:pos="522"/>
              </w:tabs>
              <w:ind w:left="522"/>
              <w:rPr>
                <w:rFonts w:ascii="Tahoma" w:hAnsi="Tahoma" w:cs="Tahoma"/>
                <w:sz w:val="18"/>
                <w:szCs w:val="18"/>
              </w:rPr>
            </w:pPr>
            <w:r w:rsidRPr="0058047D">
              <w:rPr>
                <w:rFonts w:ascii="Tahoma" w:hAnsi="Tahoma" w:cs="Tahoma"/>
                <w:sz w:val="18"/>
                <w:szCs w:val="18"/>
              </w:rPr>
              <w:t>Comunicazione del Senior Management di Microsoft, in base all</w:t>
            </w:r>
            <w:r w:rsidR="001C4212">
              <w:rPr>
                <w:rFonts w:ascii="Tahoma" w:hAnsi="Tahoma" w:cs="Tahoma"/>
                <w:sz w:val="18"/>
                <w:szCs w:val="18"/>
              </w:rPr>
              <w:t>’</w:t>
            </w:r>
            <w:r w:rsidRPr="0058047D">
              <w:rPr>
                <w:rFonts w:ascii="Tahoma" w:hAnsi="Tahoma" w:cs="Tahoma"/>
                <w:sz w:val="18"/>
                <w:szCs w:val="18"/>
              </w:rPr>
              <w:t>offerta di supporto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616485A4" w14:textId="77777777" w:rsidR="00023FE7" w:rsidRPr="0058047D" w:rsidRDefault="00023FE7" w:rsidP="0027028A">
            <w:pPr>
              <w:pStyle w:val="AppendixBodyText"/>
              <w:numPr>
                <w:ilvl w:val="0"/>
                <w:numId w:val="2"/>
              </w:numPr>
              <w:tabs>
                <w:tab w:val="clear" w:pos="1440"/>
              </w:tabs>
              <w:ind w:left="432"/>
            </w:pPr>
            <w:r w:rsidRPr="0058047D">
              <w:rPr>
                <w:rFonts w:ascii="Tahoma" w:hAnsi="Tahoma" w:cs="Tahoma"/>
                <w:sz w:val="18"/>
                <w:szCs w:val="18"/>
              </w:rPr>
              <w:t>Allocazione delle risorse appropriate per sostenere l</w:t>
            </w:r>
            <w:r w:rsidR="001C4212">
              <w:rPr>
                <w:rFonts w:ascii="Tahoma" w:hAnsi="Tahoma" w:cs="Tahoma"/>
                <w:sz w:val="18"/>
                <w:szCs w:val="18"/>
              </w:rPr>
              <w:t>’</w:t>
            </w:r>
            <w:r w:rsidRPr="0058047D">
              <w:rPr>
                <w:rFonts w:ascii="Tahoma" w:hAnsi="Tahoma" w:cs="Tahoma"/>
                <w:sz w:val="18"/>
                <w:szCs w:val="18"/>
              </w:rPr>
              <w:t>impegno continuo 24x7</w:t>
            </w:r>
            <w:r w:rsidRPr="0058047D">
              <w:rPr>
                <w:rFonts w:ascii="Tahoma" w:hAnsi="Tahoma" w:cs="Tahoma"/>
                <w:sz w:val="18"/>
                <w:szCs w:val="18"/>
                <w:vertAlign w:val="superscript"/>
              </w:rPr>
              <w:t>2</w:t>
            </w:r>
          </w:p>
          <w:p w14:paraId="6867CF20" w14:textId="77777777" w:rsidR="00023FE7" w:rsidRPr="0058047D" w:rsidRDefault="00023FE7" w:rsidP="0027028A">
            <w:pPr>
              <w:pStyle w:val="AppendixBodyText"/>
              <w:numPr>
                <w:ilvl w:val="0"/>
                <w:numId w:val="2"/>
              </w:numPr>
              <w:tabs>
                <w:tab w:val="clear" w:pos="1440"/>
              </w:tabs>
              <w:ind w:left="432"/>
            </w:pPr>
            <w:r w:rsidRPr="0058047D">
              <w:rPr>
                <w:rFonts w:ascii="Tahoma" w:hAnsi="Tahoma" w:cs="Tahoma"/>
                <w:sz w:val="18"/>
                <w:szCs w:val="18"/>
              </w:rPr>
              <w:t>Accesso e risposte rapide dall</w:t>
            </w:r>
            <w:r w:rsidR="001C4212">
              <w:rPr>
                <w:rFonts w:ascii="Tahoma" w:hAnsi="Tahoma" w:cs="Tahoma"/>
                <w:sz w:val="18"/>
                <w:szCs w:val="18"/>
              </w:rPr>
              <w:t>’</w:t>
            </w:r>
            <w:r w:rsidRPr="0058047D">
              <w:rPr>
                <w:rFonts w:ascii="Tahoma" w:hAnsi="Tahoma" w:cs="Tahoma"/>
                <w:sz w:val="18"/>
                <w:szCs w:val="18"/>
              </w:rPr>
              <w:t>autorità di controllo delle modifiche</w:t>
            </w:r>
          </w:p>
          <w:p w14:paraId="7181E3B3" w14:textId="77777777" w:rsidR="00023FE7" w:rsidRPr="0058047D" w:rsidRDefault="00023FE7" w:rsidP="0027028A">
            <w:pPr>
              <w:pStyle w:val="AppendixBodyText"/>
              <w:numPr>
                <w:ilvl w:val="0"/>
                <w:numId w:val="2"/>
              </w:numPr>
              <w:tabs>
                <w:tab w:val="clear" w:pos="1440"/>
              </w:tabs>
              <w:ind w:left="432"/>
              <w:rPr>
                <w:rFonts w:ascii="Tahoma" w:hAnsi="Tahoma" w:cs="Tahoma"/>
                <w:sz w:val="18"/>
                <w:szCs w:val="18"/>
              </w:rPr>
            </w:pPr>
            <w:r w:rsidRPr="0058047D">
              <w:rPr>
                <w:rFonts w:ascii="Tahoma" w:hAnsi="Tahoma" w:cs="Tahoma"/>
                <w:sz w:val="18"/>
                <w:szCs w:val="18"/>
              </w:rPr>
              <w:t>Comunicazione della direzione</w:t>
            </w:r>
          </w:p>
        </w:tc>
      </w:tr>
      <w:tr w:rsidR="00023FE7" w:rsidRPr="0058047D" w14:paraId="03883238" w14:textId="77777777" w:rsidTr="004D6068">
        <w:tc>
          <w:tcPr>
            <w:tcW w:w="1368"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2A268E8" w14:textId="77777777" w:rsidR="00023FE7" w:rsidRPr="0058047D" w:rsidRDefault="00023FE7">
            <w:pPr>
              <w:pStyle w:val="AppendixBodyText"/>
              <w:rPr>
                <w:rFonts w:ascii="Tahoma" w:hAnsi="Tahoma" w:cs="Tahoma"/>
                <w:sz w:val="18"/>
                <w:szCs w:val="18"/>
              </w:rPr>
            </w:pPr>
            <w:r w:rsidRPr="0058047D">
              <w:rPr>
                <w:rFonts w:ascii="Tahoma" w:hAnsi="Tahoma" w:cs="Tahoma"/>
                <w:sz w:val="18"/>
                <w:szCs w:val="18"/>
              </w:rPr>
              <w:t xml:space="preserve">B Formulazione telefonica </w:t>
            </w:r>
          </w:p>
        </w:tc>
        <w:tc>
          <w:tcPr>
            <w:tcW w:w="2484" w:type="dxa"/>
            <w:tcBorders>
              <w:top w:val="nil"/>
              <w:left w:val="nil"/>
              <w:bottom w:val="single" w:sz="8" w:space="0" w:color="auto"/>
              <w:right w:val="single" w:sz="8" w:space="0" w:color="auto"/>
            </w:tcBorders>
            <w:tcMar>
              <w:top w:w="0" w:type="dxa"/>
              <w:left w:w="108" w:type="dxa"/>
              <w:bottom w:w="0" w:type="dxa"/>
              <w:right w:w="108" w:type="dxa"/>
            </w:tcMar>
          </w:tcPr>
          <w:p w14:paraId="6B9F6C56" w14:textId="77777777" w:rsidR="00023FE7" w:rsidRPr="0058047D" w:rsidRDefault="00023FE7" w:rsidP="0027028A">
            <w:pPr>
              <w:pStyle w:val="AppendixBodyText"/>
              <w:numPr>
                <w:ilvl w:val="0"/>
                <w:numId w:val="2"/>
              </w:numPr>
              <w:tabs>
                <w:tab w:val="clear" w:pos="1440"/>
                <w:tab w:val="num" w:pos="612"/>
              </w:tabs>
              <w:ind w:left="612"/>
            </w:pPr>
            <w:r w:rsidRPr="0058047D">
              <w:rPr>
                <w:rFonts w:ascii="Tahoma" w:hAnsi="Tahoma" w:cs="Tahoma"/>
                <w:sz w:val="18"/>
                <w:szCs w:val="18"/>
              </w:rPr>
              <w:t xml:space="preserve">Impatto commerciale moderato: </w:t>
            </w:r>
          </w:p>
          <w:p w14:paraId="5E0C1A33" w14:textId="77777777" w:rsidR="00023FE7" w:rsidRPr="0058047D" w:rsidRDefault="00023FE7" w:rsidP="0027028A">
            <w:pPr>
              <w:pStyle w:val="AppendixBodyText"/>
              <w:numPr>
                <w:ilvl w:val="0"/>
                <w:numId w:val="2"/>
              </w:numPr>
              <w:tabs>
                <w:tab w:val="clear" w:pos="1440"/>
                <w:tab w:val="num" w:pos="612"/>
              </w:tabs>
              <w:ind w:left="612"/>
              <w:rPr>
                <w:rFonts w:ascii="Tahoma" w:hAnsi="Tahoma" w:cs="Tahoma"/>
                <w:sz w:val="18"/>
                <w:szCs w:val="18"/>
              </w:rPr>
            </w:pPr>
            <w:r w:rsidRPr="0058047D">
              <w:rPr>
                <w:rFonts w:ascii="Tahoma" w:hAnsi="Tahoma" w:cs="Tahoma"/>
                <w:sz w:val="18"/>
                <w:szCs w:val="18"/>
              </w:rPr>
              <w:t>Perdita o degradazione moderata dei servizi della società e possibilità di continuare il lavoro in modo meno efficiente.</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1155F338" w14:textId="77777777" w:rsidR="00023FE7" w:rsidRPr="0058047D" w:rsidRDefault="00023FE7" w:rsidP="0027028A">
            <w:pPr>
              <w:pStyle w:val="AppendixBodyText"/>
              <w:numPr>
                <w:ilvl w:val="0"/>
                <w:numId w:val="2"/>
              </w:numPr>
              <w:tabs>
                <w:tab w:val="num" w:pos="522"/>
              </w:tabs>
              <w:ind w:left="522"/>
            </w:pPr>
            <w:r w:rsidRPr="0058047D">
              <w:rPr>
                <w:rFonts w:ascii="Tahoma" w:hAnsi="Tahoma" w:cs="Tahoma"/>
                <w:sz w:val="18"/>
                <w:szCs w:val="18"/>
              </w:rPr>
              <w:t>Risposta alla prima chiamata entro 4 ore lavorative, in base all</w:t>
            </w:r>
            <w:r w:rsidR="001C4212">
              <w:rPr>
                <w:rFonts w:ascii="Tahoma" w:hAnsi="Tahoma" w:cs="Tahoma"/>
                <w:sz w:val="18"/>
                <w:szCs w:val="18"/>
              </w:rPr>
              <w:t>’</w:t>
            </w:r>
            <w:r w:rsidRPr="0058047D">
              <w:rPr>
                <w:rFonts w:ascii="Tahoma" w:hAnsi="Tahoma" w:cs="Tahoma"/>
                <w:sz w:val="18"/>
                <w:szCs w:val="18"/>
              </w:rPr>
              <w:t>offerta di supporto</w:t>
            </w:r>
          </w:p>
          <w:p w14:paraId="296052E8" w14:textId="77777777" w:rsidR="00023FE7" w:rsidRPr="0058047D" w:rsidRDefault="00023FE7" w:rsidP="0027028A">
            <w:pPr>
              <w:pStyle w:val="AppendixBodyText"/>
              <w:numPr>
                <w:ilvl w:val="0"/>
                <w:numId w:val="2"/>
              </w:numPr>
              <w:tabs>
                <w:tab w:val="num" w:pos="522"/>
              </w:tabs>
              <w:ind w:left="522"/>
            </w:pPr>
            <w:r w:rsidRPr="0058047D">
              <w:rPr>
                <w:rFonts w:ascii="Tahoma" w:hAnsi="Tahoma" w:cs="Tahoma"/>
                <w:sz w:val="18"/>
                <w:szCs w:val="18"/>
              </w:rPr>
              <w:t xml:space="preserve">Impegno solo durante le </w:t>
            </w:r>
            <w:r w:rsidRPr="0058047D">
              <w:rPr>
                <w:rFonts w:ascii="Tahoma" w:hAnsi="Tahoma" w:cs="Tahoma"/>
                <w:bCs/>
                <w:sz w:val="18"/>
                <w:szCs w:val="18"/>
              </w:rPr>
              <w:t>Ore</w:t>
            </w:r>
            <w:r w:rsidRPr="0058047D">
              <w:rPr>
                <w:rFonts w:ascii="Tahoma" w:hAnsi="Tahoma" w:cs="Tahoma"/>
                <w:sz w:val="18"/>
                <w:szCs w:val="18"/>
                <w:vertAlign w:val="superscript"/>
              </w:rPr>
              <w:t>1</w:t>
            </w:r>
            <w:r w:rsidRPr="0058047D">
              <w:rPr>
                <w:rFonts w:ascii="Tahoma" w:hAnsi="Tahoma" w:cs="Tahoma"/>
                <w:bCs/>
                <w:sz w:val="18"/>
                <w:szCs w:val="18"/>
              </w:rPr>
              <w:t xml:space="preserve"> Lavorative</w:t>
            </w:r>
          </w:p>
          <w:p w14:paraId="6F596485" w14:textId="77777777" w:rsidR="00023FE7" w:rsidRPr="0058047D"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3724524" w14:textId="77777777" w:rsidR="00023FE7" w:rsidRPr="0058047D" w:rsidRDefault="00023FE7" w:rsidP="0027028A">
            <w:pPr>
              <w:pStyle w:val="AppendixBodyText"/>
              <w:numPr>
                <w:ilvl w:val="0"/>
                <w:numId w:val="2"/>
              </w:numPr>
              <w:tabs>
                <w:tab w:val="clear" w:pos="1440"/>
                <w:tab w:val="num" w:pos="432"/>
              </w:tabs>
              <w:ind w:left="432" w:hanging="270"/>
            </w:pPr>
            <w:r w:rsidRPr="0058047D">
              <w:rPr>
                <w:rFonts w:ascii="Tahoma" w:hAnsi="Tahoma" w:cs="Tahoma"/>
                <w:sz w:val="18"/>
                <w:szCs w:val="18"/>
              </w:rPr>
              <w:t>Allocazione di risorse appropriate per sostenere l</w:t>
            </w:r>
            <w:r w:rsidR="001C4212">
              <w:rPr>
                <w:rFonts w:ascii="Tahoma" w:hAnsi="Tahoma" w:cs="Tahoma"/>
                <w:sz w:val="18"/>
                <w:szCs w:val="18"/>
              </w:rPr>
              <w:t>’</w:t>
            </w:r>
            <w:r w:rsidRPr="0058047D">
              <w:rPr>
                <w:rFonts w:ascii="Tahoma" w:hAnsi="Tahoma" w:cs="Tahoma"/>
                <w:sz w:val="18"/>
                <w:szCs w:val="18"/>
              </w:rPr>
              <w:t>impegno continuo durante le</w:t>
            </w:r>
            <w:r w:rsidRPr="0058047D">
              <w:rPr>
                <w:rFonts w:ascii="Tahoma" w:hAnsi="Tahoma" w:cs="Tahoma"/>
                <w:sz w:val="18"/>
                <w:szCs w:val="18"/>
                <w:vertAlign w:val="superscript"/>
              </w:rPr>
              <w:t xml:space="preserve"> </w:t>
            </w:r>
            <w:r w:rsidRPr="0058047D">
              <w:rPr>
                <w:rFonts w:ascii="Tahoma" w:hAnsi="Tahoma" w:cs="Tahoma"/>
                <w:sz w:val="18"/>
                <w:szCs w:val="18"/>
              </w:rPr>
              <w:t>Ore Lavorative</w:t>
            </w:r>
          </w:p>
          <w:p w14:paraId="61D3559C" w14:textId="77777777" w:rsidR="00023FE7" w:rsidRPr="0058047D" w:rsidRDefault="00023FE7" w:rsidP="0027028A">
            <w:pPr>
              <w:pStyle w:val="AppendixBodyText"/>
              <w:numPr>
                <w:ilvl w:val="0"/>
                <w:numId w:val="2"/>
              </w:numPr>
              <w:tabs>
                <w:tab w:val="clear" w:pos="1440"/>
                <w:tab w:val="num" w:pos="432"/>
              </w:tabs>
              <w:ind w:left="432" w:hanging="270"/>
              <w:rPr>
                <w:rFonts w:ascii="Tahoma" w:hAnsi="Tahoma" w:cs="Tahoma"/>
                <w:sz w:val="18"/>
                <w:szCs w:val="18"/>
              </w:rPr>
            </w:pPr>
            <w:r w:rsidRPr="0058047D">
              <w:rPr>
                <w:rFonts w:ascii="Tahoma" w:hAnsi="Tahoma" w:cs="Tahoma"/>
                <w:sz w:val="18"/>
                <w:szCs w:val="18"/>
              </w:rPr>
              <w:t>Accesso e risposta dall</w:t>
            </w:r>
            <w:r w:rsidR="001C4212">
              <w:rPr>
                <w:rFonts w:ascii="Tahoma" w:hAnsi="Tahoma" w:cs="Tahoma"/>
                <w:sz w:val="18"/>
                <w:szCs w:val="18"/>
              </w:rPr>
              <w:t>’</w:t>
            </w:r>
            <w:r w:rsidRPr="0058047D">
              <w:rPr>
                <w:rFonts w:ascii="Tahoma" w:hAnsi="Tahoma" w:cs="Tahoma"/>
                <w:sz w:val="18"/>
                <w:szCs w:val="18"/>
              </w:rPr>
              <w:t>autorità preposta al controllo delle modifiche entro 4 Ore Lavorative</w:t>
            </w:r>
          </w:p>
        </w:tc>
      </w:tr>
      <w:tr w:rsidR="00023FE7" w:rsidRPr="0058047D" w14:paraId="32361E4D" w14:textId="77777777" w:rsidTr="004D6068">
        <w:trPr>
          <w:cantSplit/>
        </w:trPr>
        <w:tc>
          <w:tcPr>
            <w:tcW w:w="1368"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AFB3B14" w14:textId="77777777" w:rsidR="00023FE7" w:rsidRPr="0058047D" w:rsidRDefault="00023FE7" w:rsidP="00403CD3">
            <w:pPr>
              <w:pStyle w:val="AppendixBodyText"/>
              <w:rPr>
                <w:rFonts w:ascii="Tahoma" w:hAnsi="Tahoma" w:cs="Tahoma"/>
                <w:sz w:val="18"/>
                <w:szCs w:val="18"/>
              </w:rPr>
            </w:pPr>
            <w:r w:rsidRPr="0058047D">
              <w:rPr>
                <w:rFonts w:ascii="Tahoma" w:hAnsi="Tahoma" w:cs="Tahoma"/>
                <w:sz w:val="18"/>
                <w:szCs w:val="18"/>
              </w:rPr>
              <w:t>C Formulazione telefonica o</w:t>
            </w:r>
            <w:r w:rsidR="00403CD3">
              <w:rPr>
                <w:rFonts w:ascii="Tahoma" w:hAnsi="Tahoma" w:cs="Tahoma"/>
                <w:sz w:val="18"/>
                <w:szCs w:val="18"/>
              </w:rPr>
              <w:t> </w:t>
            </w:r>
            <w:r w:rsidRPr="0058047D">
              <w:rPr>
                <w:rFonts w:ascii="Tahoma" w:hAnsi="Tahoma" w:cs="Tahoma"/>
                <w:sz w:val="18"/>
                <w:szCs w:val="18"/>
              </w:rPr>
              <w:t>invio tramite</w:t>
            </w:r>
            <w:r w:rsidR="00403CD3">
              <w:rPr>
                <w:rFonts w:ascii="Tahoma" w:hAnsi="Tahoma" w:cs="Tahoma"/>
                <w:sz w:val="18"/>
                <w:szCs w:val="18"/>
              </w:rPr>
              <w:t> </w:t>
            </w:r>
            <w:r w:rsidRPr="0058047D">
              <w:rPr>
                <w:rFonts w:ascii="Tahoma" w:hAnsi="Tahoma" w:cs="Tahoma"/>
                <w:sz w:val="18"/>
                <w:szCs w:val="18"/>
              </w:rPr>
              <w:t>Web</w:t>
            </w:r>
          </w:p>
        </w:tc>
        <w:tc>
          <w:tcPr>
            <w:tcW w:w="2484" w:type="dxa"/>
            <w:tcBorders>
              <w:top w:val="nil"/>
              <w:left w:val="nil"/>
              <w:bottom w:val="single" w:sz="8" w:space="0" w:color="auto"/>
              <w:right w:val="single" w:sz="8" w:space="0" w:color="auto"/>
            </w:tcBorders>
            <w:tcMar>
              <w:top w:w="0" w:type="dxa"/>
              <w:left w:w="108" w:type="dxa"/>
              <w:bottom w:w="0" w:type="dxa"/>
              <w:right w:w="108" w:type="dxa"/>
            </w:tcMar>
          </w:tcPr>
          <w:p w14:paraId="3316329A" w14:textId="77777777" w:rsidR="00023FE7" w:rsidRPr="0058047D" w:rsidRDefault="00023FE7" w:rsidP="0027028A">
            <w:pPr>
              <w:pStyle w:val="AppendixBodyText"/>
              <w:numPr>
                <w:ilvl w:val="0"/>
                <w:numId w:val="2"/>
              </w:numPr>
              <w:tabs>
                <w:tab w:val="clear" w:pos="1440"/>
                <w:tab w:val="num" w:pos="612"/>
              </w:tabs>
              <w:ind w:left="612"/>
            </w:pPr>
            <w:r w:rsidRPr="0058047D">
              <w:rPr>
                <w:rFonts w:ascii="Tahoma" w:hAnsi="Tahoma" w:cs="Tahoma"/>
                <w:sz w:val="18"/>
                <w:szCs w:val="18"/>
              </w:rPr>
              <w:t xml:space="preserve">Impatto commerciale minimo </w:t>
            </w:r>
          </w:p>
          <w:p w14:paraId="75A00A98" w14:textId="77777777" w:rsidR="00023FE7" w:rsidRPr="0058047D" w:rsidRDefault="00023FE7" w:rsidP="0027028A">
            <w:pPr>
              <w:pStyle w:val="AppendixBodyText"/>
              <w:numPr>
                <w:ilvl w:val="0"/>
                <w:numId w:val="2"/>
              </w:numPr>
              <w:tabs>
                <w:tab w:val="clear" w:pos="1440"/>
                <w:tab w:val="num" w:pos="612"/>
              </w:tabs>
              <w:ind w:left="612"/>
              <w:rPr>
                <w:rFonts w:ascii="Tahoma" w:hAnsi="Tahoma" w:cs="Tahoma"/>
                <w:sz w:val="18"/>
                <w:szCs w:val="18"/>
              </w:rPr>
            </w:pPr>
            <w:r w:rsidRPr="0058047D">
              <w:rPr>
                <w:rFonts w:ascii="Tahoma" w:hAnsi="Tahoma" w:cs="Tahoma"/>
                <w:sz w:val="18"/>
                <w:szCs w:val="18"/>
              </w:rPr>
              <w:t>Funzionamento della società sostanzialmente nella norma, in alcuni casi con qualche minimo impedimento dei servizi.</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17C36275" w14:textId="77777777" w:rsidR="00023FE7" w:rsidRPr="0058047D" w:rsidRDefault="00023FE7" w:rsidP="0027028A">
            <w:pPr>
              <w:pStyle w:val="AppendixBodyText"/>
              <w:numPr>
                <w:ilvl w:val="0"/>
                <w:numId w:val="2"/>
              </w:numPr>
              <w:tabs>
                <w:tab w:val="num" w:pos="522"/>
              </w:tabs>
              <w:ind w:left="522"/>
            </w:pPr>
            <w:r w:rsidRPr="0058047D">
              <w:rPr>
                <w:rFonts w:ascii="Tahoma" w:hAnsi="Tahoma" w:cs="Tahoma"/>
                <w:sz w:val="18"/>
                <w:szCs w:val="18"/>
              </w:rPr>
              <w:t>Risposta alla prima chiamata entro 1 giorno lavorativo, in base all</w:t>
            </w:r>
            <w:r w:rsidR="001C4212">
              <w:rPr>
                <w:rFonts w:ascii="Tahoma" w:hAnsi="Tahoma" w:cs="Tahoma"/>
                <w:sz w:val="18"/>
                <w:szCs w:val="18"/>
              </w:rPr>
              <w:t>’</w:t>
            </w:r>
            <w:r w:rsidRPr="0058047D">
              <w:rPr>
                <w:rFonts w:ascii="Tahoma" w:hAnsi="Tahoma" w:cs="Tahoma"/>
                <w:sz w:val="18"/>
                <w:szCs w:val="18"/>
              </w:rPr>
              <w:t>offerta di supporto</w:t>
            </w:r>
          </w:p>
          <w:p w14:paraId="3DA4D215" w14:textId="77777777" w:rsidR="00023FE7" w:rsidRPr="0058047D" w:rsidRDefault="00023FE7" w:rsidP="0027028A">
            <w:pPr>
              <w:pStyle w:val="AppendixBodyText"/>
              <w:numPr>
                <w:ilvl w:val="0"/>
                <w:numId w:val="2"/>
              </w:numPr>
              <w:tabs>
                <w:tab w:val="num" w:pos="522"/>
              </w:tabs>
              <w:ind w:left="522"/>
            </w:pPr>
            <w:r w:rsidRPr="0058047D">
              <w:rPr>
                <w:rFonts w:ascii="Tahoma" w:hAnsi="Tahoma" w:cs="Tahoma"/>
                <w:sz w:val="18"/>
                <w:szCs w:val="18"/>
              </w:rPr>
              <w:t xml:space="preserve">Impegno solo durante le </w:t>
            </w:r>
            <w:r w:rsidRPr="0058047D">
              <w:rPr>
                <w:rFonts w:ascii="Tahoma" w:hAnsi="Tahoma" w:cs="Tahoma"/>
                <w:bCs/>
                <w:sz w:val="18"/>
                <w:szCs w:val="18"/>
              </w:rPr>
              <w:t>Ore Lavorative</w:t>
            </w:r>
          </w:p>
          <w:p w14:paraId="771C5694" w14:textId="77777777" w:rsidR="00023FE7" w:rsidRPr="0058047D"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15325BA3" w14:textId="77777777" w:rsidR="00023FE7" w:rsidRPr="0058047D" w:rsidRDefault="00023FE7" w:rsidP="0027028A">
            <w:pPr>
              <w:pStyle w:val="AppendixBodyText"/>
              <w:numPr>
                <w:ilvl w:val="0"/>
                <w:numId w:val="2"/>
              </w:numPr>
              <w:tabs>
                <w:tab w:val="clear" w:pos="1440"/>
                <w:tab w:val="num" w:pos="432"/>
              </w:tabs>
              <w:ind w:left="432"/>
            </w:pPr>
            <w:r w:rsidRPr="0058047D">
              <w:rPr>
                <w:rFonts w:ascii="Tahoma" w:hAnsi="Tahoma" w:cs="Tahoma"/>
                <w:sz w:val="18"/>
                <w:szCs w:val="18"/>
              </w:rPr>
              <w:t>Informazioni accurate da parte di chi segue il caso</w:t>
            </w:r>
          </w:p>
          <w:p w14:paraId="47F23709" w14:textId="77777777" w:rsidR="00023FE7" w:rsidRPr="0058047D" w:rsidRDefault="00023FE7" w:rsidP="0027028A">
            <w:pPr>
              <w:pStyle w:val="AppendixBodyText"/>
              <w:numPr>
                <w:ilvl w:val="0"/>
                <w:numId w:val="2"/>
              </w:numPr>
              <w:tabs>
                <w:tab w:val="clear" w:pos="1440"/>
                <w:tab w:val="num" w:pos="432"/>
              </w:tabs>
              <w:ind w:left="432"/>
              <w:rPr>
                <w:rFonts w:ascii="Tahoma" w:hAnsi="Tahoma" w:cs="Tahoma"/>
                <w:sz w:val="18"/>
                <w:szCs w:val="18"/>
              </w:rPr>
            </w:pPr>
            <w:r w:rsidRPr="0058047D">
              <w:rPr>
                <w:rFonts w:ascii="Tahoma" w:hAnsi="Tahoma" w:cs="Tahoma"/>
                <w:sz w:val="18"/>
                <w:szCs w:val="18"/>
              </w:rPr>
              <w:t>Risposta entro 1 giorno lavorativo.</w:t>
            </w:r>
          </w:p>
        </w:tc>
      </w:tr>
    </w:tbl>
    <w:p w14:paraId="61353521" w14:textId="77777777" w:rsidR="00023FE7" w:rsidRPr="0058047D" w:rsidRDefault="00023FE7">
      <w:pPr>
        <w:pStyle w:val="AppendixBodyText"/>
        <w:ind w:left="90" w:right="2160"/>
      </w:pPr>
      <w:r w:rsidRPr="000C1619">
        <w:rPr>
          <w:rFonts w:ascii="Tahoma" w:hAnsi="Tahoma" w:cs="Tahoma"/>
          <w:i/>
          <w:sz w:val="16"/>
          <w:szCs w:val="16"/>
          <w:vertAlign w:val="superscript"/>
        </w:rPr>
        <w:t xml:space="preserve">1 </w:t>
      </w:r>
      <w:r w:rsidRPr="0058047D">
        <w:rPr>
          <w:rFonts w:ascii="Tahoma" w:hAnsi="Tahoma" w:cs="Tahoma"/>
          <w:i/>
          <w:sz w:val="16"/>
          <w:szCs w:val="16"/>
        </w:rPr>
        <w:t>Contattare il rappresentante Microsoft per informazioni sulle ore lavorative locali.</w:t>
      </w:r>
    </w:p>
    <w:p w14:paraId="514425ED" w14:textId="77777777" w:rsidR="00023FE7" w:rsidRPr="0058047D" w:rsidRDefault="00023FE7">
      <w:pPr>
        <w:pStyle w:val="AppendixBodyText"/>
        <w:ind w:left="90" w:right="2160"/>
      </w:pPr>
      <w:r w:rsidRPr="000C1619">
        <w:rPr>
          <w:rFonts w:ascii="Tahoma" w:hAnsi="Tahoma" w:cs="Tahoma"/>
          <w:i/>
          <w:sz w:val="16"/>
          <w:szCs w:val="16"/>
          <w:vertAlign w:val="superscript"/>
        </w:rPr>
        <w:t xml:space="preserve">2 </w:t>
      </w:r>
      <w:r w:rsidRPr="0058047D">
        <w:rPr>
          <w:rFonts w:ascii="Tahoma" w:hAnsi="Tahoma" w:cs="Tahoma"/>
          <w:i/>
          <w:sz w:val="16"/>
          <w:szCs w:val="16"/>
        </w:rPr>
        <w:t>È possibile che Microsoft riduca il livello di gravità se la società non è in grado di fornire risorse o</w:t>
      </w:r>
      <w:r w:rsidR="004D6068">
        <w:rPr>
          <w:rFonts w:ascii="Tahoma" w:hAnsi="Tahoma" w:cs="Tahoma"/>
          <w:i/>
          <w:sz w:val="16"/>
          <w:szCs w:val="16"/>
        </w:rPr>
        <w:t> </w:t>
      </w:r>
      <w:r w:rsidRPr="0058047D">
        <w:rPr>
          <w:rFonts w:ascii="Tahoma" w:hAnsi="Tahoma" w:cs="Tahoma"/>
          <w:i/>
          <w:sz w:val="16"/>
          <w:szCs w:val="16"/>
        </w:rPr>
        <w:t>risposte adeguate a supporto dell</w:t>
      </w:r>
      <w:r w:rsidR="001C4212">
        <w:rPr>
          <w:rFonts w:ascii="Tahoma" w:hAnsi="Tahoma" w:cs="Tahoma"/>
          <w:i/>
          <w:sz w:val="16"/>
          <w:szCs w:val="16"/>
        </w:rPr>
        <w:t>’</w:t>
      </w:r>
      <w:r w:rsidRPr="0058047D">
        <w:rPr>
          <w:rFonts w:ascii="Tahoma" w:hAnsi="Tahoma" w:cs="Tahoma"/>
          <w:i/>
          <w:sz w:val="16"/>
          <w:szCs w:val="16"/>
        </w:rPr>
        <w:t>impegno di Microsoft volto a risolvere il problema.</w:t>
      </w:r>
    </w:p>
    <w:p w14:paraId="3E6FE75D" w14:textId="77777777" w:rsidR="00023FE7" w:rsidRPr="004D6068" w:rsidRDefault="00023FE7" w:rsidP="004D6068">
      <w:pPr>
        <w:pStyle w:val="Heading3"/>
        <w:rPr>
          <w:rFonts w:ascii="Tahoma" w:hAnsi="Tahoma" w:cs="Tahoma"/>
          <w:b w:val="0"/>
          <w:sz w:val="18"/>
          <w:szCs w:val="18"/>
        </w:rPr>
      </w:pPr>
    </w:p>
    <w:p w14:paraId="660BB4B2" w14:textId="77777777" w:rsidR="00023FE7" w:rsidRPr="0058047D" w:rsidRDefault="00023FE7" w:rsidP="00F42FB8">
      <w:pPr>
        <w:pStyle w:val="AppendixBodyText"/>
        <w:spacing w:after="0"/>
      </w:pPr>
      <w:r w:rsidRPr="0058047D">
        <w:rPr>
          <w:rFonts w:ascii="Tahoma" w:hAnsi="Tahoma" w:cs="Tahoma"/>
          <w:bCs/>
          <w:sz w:val="18"/>
          <w:szCs w:val="18"/>
        </w:rPr>
        <w:t>È possibile che alle società sia chiesto di eseguire attività di individuazione e risoluzione dei problemi, in base a quanto richiesto da Microsoft. Le attività di individuazione e risoluzione dei problemi possono includere attività quali l</w:t>
      </w:r>
      <w:r w:rsidR="001C4212">
        <w:rPr>
          <w:rFonts w:ascii="Tahoma" w:hAnsi="Tahoma" w:cs="Tahoma"/>
          <w:bCs/>
          <w:sz w:val="18"/>
          <w:szCs w:val="18"/>
        </w:rPr>
        <w:t>’</w:t>
      </w:r>
      <w:r w:rsidRPr="0058047D">
        <w:rPr>
          <w:rFonts w:ascii="Tahoma" w:hAnsi="Tahoma" w:cs="Tahoma"/>
          <w:bCs/>
          <w:sz w:val="18"/>
          <w:szCs w:val="18"/>
        </w:rPr>
        <w:t>esecuzione di procedure di network trace, l</w:t>
      </w:r>
      <w:r w:rsidR="001C4212">
        <w:rPr>
          <w:rFonts w:ascii="Tahoma" w:hAnsi="Tahoma" w:cs="Tahoma"/>
          <w:bCs/>
          <w:sz w:val="18"/>
          <w:szCs w:val="18"/>
        </w:rPr>
        <w:t>’</w:t>
      </w:r>
      <w:r w:rsidRPr="0058047D">
        <w:rPr>
          <w:rFonts w:ascii="Tahoma" w:hAnsi="Tahoma" w:cs="Tahoma"/>
          <w:bCs/>
          <w:sz w:val="18"/>
          <w:szCs w:val="18"/>
        </w:rPr>
        <w:t>acquisizione di messaggi di errore, la raccolta di informazioni sulla configurazione, la modifica della configurazione dei prodotti, l</w:t>
      </w:r>
      <w:r w:rsidR="001C4212">
        <w:rPr>
          <w:rFonts w:ascii="Tahoma" w:hAnsi="Tahoma" w:cs="Tahoma"/>
          <w:bCs/>
          <w:sz w:val="18"/>
          <w:szCs w:val="18"/>
        </w:rPr>
        <w:t>’</w:t>
      </w:r>
      <w:r w:rsidRPr="0058047D">
        <w:rPr>
          <w:rFonts w:ascii="Tahoma" w:hAnsi="Tahoma" w:cs="Tahoma"/>
          <w:bCs/>
          <w:sz w:val="18"/>
          <w:szCs w:val="18"/>
        </w:rPr>
        <w:t xml:space="preserve">installazione di nuove versioni del software o nuovi componenti oppure la modifica dei processi. </w:t>
      </w:r>
    </w:p>
    <w:p w14:paraId="6A200FAA" w14:textId="77777777" w:rsidR="00077CE5" w:rsidRPr="004D6068" w:rsidRDefault="00077CE5" w:rsidP="004D6068">
      <w:pPr>
        <w:pStyle w:val="Heading3"/>
        <w:rPr>
          <w:rFonts w:ascii="Tahoma" w:hAnsi="Tahoma" w:cs="Tahoma"/>
          <w:b w:val="0"/>
          <w:sz w:val="18"/>
          <w:szCs w:val="18"/>
        </w:rPr>
      </w:pPr>
    </w:p>
    <w:p w14:paraId="6B05E863" w14:textId="77777777" w:rsidR="00023FE7" w:rsidRPr="0058047D" w:rsidRDefault="00023FE7" w:rsidP="00F42FB8">
      <w:pPr>
        <w:pStyle w:val="AppendixBodyText"/>
        <w:spacing w:after="0"/>
      </w:pPr>
      <w:r w:rsidRPr="0058047D">
        <w:rPr>
          <w:rFonts w:ascii="Tahoma" w:hAnsi="Tahoma" w:cs="Tahoma"/>
          <w:bCs/>
          <w:sz w:val="18"/>
          <w:szCs w:val="18"/>
        </w:rPr>
        <w:t>Le società sono responsabili dell</w:t>
      </w:r>
      <w:r w:rsidR="001C4212">
        <w:rPr>
          <w:rFonts w:ascii="Tahoma" w:hAnsi="Tahoma" w:cs="Tahoma"/>
          <w:bCs/>
          <w:sz w:val="18"/>
          <w:szCs w:val="18"/>
        </w:rPr>
        <w:t>’</w:t>
      </w:r>
      <w:r w:rsidRPr="0058047D">
        <w:rPr>
          <w:rFonts w:ascii="Tahoma" w:hAnsi="Tahoma" w:cs="Tahoma"/>
          <w:bCs/>
          <w:sz w:val="18"/>
          <w:szCs w:val="18"/>
        </w:rPr>
        <w:t>implementazione delle procedure necessarie per salvaguardare l</w:t>
      </w:r>
      <w:r w:rsidR="001C4212">
        <w:rPr>
          <w:rFonts w:ascii="Tahoma" w:hAnsi="Tahoma" w:cs="Tahoma"/>
          <w:bCs/>
          <w:sz w:val="18"/>
          <w:szCs w:val="18"/>
        </w:rPr>
        <w:t>’</w:t>
      </w:r>
      <w:r w:rsidRPr="0058047D">
        <w:rPr>
          <w:rFonts w:ascii="Tahoma" w:hAnsi="Tahoma" w:cs="Tahoma"/>
          <w:bCs/>
          <w:sz w:val="18"/>
          <w:szCs w:val="18"/>
        </w:rPr>
        <w:t>integrità e la protezione del software e dei dati di loro proprietà da accessi non autorizzati, nonché del ripristino di file perduti o</w:t>
      </w:r>
      <w:r w:rsidR="004D6068">
        <w:rPr>
          <w:rFonts w:ascii="Tahoma" w:hAnsi="Tahoma" w:cs="Tahoma"/>
          <w:bCs/>
          <w:sz w:val="18"/>
          <w:szCs w:val="18"/>
        </w:rPr>
        <w:t> </w:t>
      </w:r>
      <w:r w:rsidRPr="0058047D">
        <w:rPr>
          <w:rFonts w:ascii="Tahoma" w:hAnsi="Tahoma" w:cs="Tahoma"/>
          <w:bCs/>
          <w:sz w:val="18"/>
          <w:szCs w:val="18"/>
        </w:rPr>
        <w:t>alterati in seguito a errori irreversibili.</w:t>
      </w:r>
    </w:p>
    <w:p w14:paraId="5CB112ED" w14:textId="77777777" w:rsidR="00077CE5" w:rsidRPr="004D6068" w:rsidRDefault="00077CE5" w:rsidP="004D6068">
      <w:pPr>
        <w:pStyle w:val="Heading3"/>
        <w:rPr>
          <w:rFonts w:ascii="Tahoma" w:hAnsi="Tahoma" w:cs="Tahoma"/>
          <w:b w:val="0"/>
          <w:sz w:val="18"/>
          <w:szCs w:val="18"/>
        </w:rPr>
      </w:pPr>
    </w:p>
    <w:p w14:paraId="102FFCC5" w14:textId="77777777" w:rsidR="00023FE7" w:rsidRPr="0058047D" w:rsidRDefault="00023FE7" w:rsidP="00F42FB8">
      <w:pPr>
        <w:pStyle w:val="AppendixBodyText"/>
        <w:spacing w:after="0"/>
      </w:pPr>
      <w:r w:rsidRPr="0058047D">
        <w:rPr>
          <w:rFonts w:ascii="Tahoma" w:hAnsi="Tahoma" w:cs="Tahoma"/>
          <w:bCs/>
          <w:sz w:val="18"/>
          <w:szCs w:val="18"/>
        </w:rPr>
        <w:t>Questo beneficio di supporto è legato all</w:t>
      </w:r>
      <w:r w:rsidR="001C4212">
        <w:rPr>
          <w:rFonts w:ascii="Tahoma" w:hAnsi="Tahoma" w:cs="Tahoma"/>
          <w:bCs/>
          <w:sz w:val="18"/>
          <w:szCs w:val="18"/>
        </w:rPr>
        <w:t>’</w:t>
      </w:r>
      <w:r w:rsidRPr="0058047D">
        <w:rPr>
          <w:rFonts w:ascii="Tahoma" w:hAnsi="Tahoma" w:cs="Tahoma"/>
          <w:bCs/>
          <w:sz w:val="18"/>
          <w:szCs w:val="18"/>
        </w:rPr>
        <w:t>investimento SA, non alla versione. Le società possono acquistare la versione più recente per utilizzare una versione precedente con diritti di downgrade, ma sono idonee a beneficiare del supporto per tale prodotto soltanto se quest</w:t>
      </w:r>
      <w:r w:rsidR="001C4212">
        <w:rPr>
          <w:rFonts w:ascii="Tahoma" w:hAnsi="Tahoma" w:cs="Tahoma"/>
          <w:bCs/>
          <w:sz w:val="18"/>
          <w:szCs w:val="18"/>
        </w:rPr>
        <w:t>’</w:t>
      </w:r>
      <w:r w:rsidRPr="0058047D">
        <w:rPr>
          <w:rFonts w:ascii="Tahoma" w:hAnsi="Tahoma" w:cs="Tahoma"/>
          <w:bCs/>
          <w:sz w:val="18"/>
          <w:szCs w:val="18"/>
        </w:rPr>
        <w:t>ultimo rientra tra i prodotti supportati indicati nel sito Web per il ciclo di vita dei prodotti Microsoft. L</w:t>
      </w:r>
      <w:r w:rsidR="001C4212">
        <w:rPr>
          <w:rFonts w:ascii="Tahoma" w:hAnsi="Tahoma" w:cs="Tahoma"/>
          <w:bCs/>
          <w:sz w:val="18"/>
          <w:szCs w:val="18"/>
        </w:rPr>
        <w:t>’</w:t>
      </w:r>
      <w:r w:rsidRPr="0058047D">
        <w:rPr>
          <w:rFonts w:ascii="Tahoma" w:hAnsi="Tahoma" w:cs="Tahoma"/>
          <w:bCs/>
          <w:sz w:val="18"/>
          <w:szCs w:val="18"/>
        </w:rPr>
        <w:t>attuale sito Web per il ciclo di vita dei prodotti Microsoft è consultabile all</w:t>
      </w:r>
      <w:r w:rsidR="001C4212">
        <w:rPr>
          <w:rFonts w:ascii="Tahoma" w:hAnsi="Tahoma" w:cs="Tahoma"/>
          <w:bCs/>
          <w:sz w:val="18"/>
          <w:szCs w:val="18"/>
        </w:rPr>
        <w:t>’</w:t>
      </w:r>
      <w:r w:rsidRPr="0058047D">
        <w:rPr>
          <w:rFonts w:ascii="Tahoma" w:hAnsi="Tahoma" w:cs="Tahoma"/>
          <w:bCs/>
          <w:sz w:val="18"/>
          <w:szCs w:val="18"/>
        </w:rPr>
        <w:t xml:space="preserve">indirizzo </w:t>
      </w:r>
      <w:hyperlink r:id="rId27" w:history="1">
        <w:r w:rsidR="004D6068">
          <w:rPr>
            <w:rStyle w:val="Hyperlink"/>
            <w:rFonts w:ascii="Tahoma" w:hAnsi="Tahoma" w:cs="Tahoma"/>
            <w:bCs/>
            <w:sz w:val="18"/>
            <w:szCs w:val="18"/>
          </w:rPr>
          <w:t>http://support.microsoft.com/common/international.aspx?rdpath=dm;en-us;lifecycle</w:t>
        </w:r>
      </w:hyperlink>
      <w:r w:rsidRPr="0058047D">
        <w:rPr>
          <w:rFonts w:ascii="Tahoma" w:hAnsi="Tahoma" w:cs="Tahoma"/>
          <w:bCs/>
          <w:sz w:val="18"/>
          <w:szCs w:val="18"/>
        </w:rPr>
        <w:t xml:space="preserve">. </w:t>
      </w:r>
    </w:p>
    <w:p w14:paraId="1C00CFE9" w14:textId="77777777" w:rsidR="00023FE7" w:rsidRPr="000C1619" w:rsidRDefault="00023FE7" w:rsidP="004D6068">
      <w:pPr>
        <w:pStyle w:val="Heading3"/>
        <w:rPr>
          <w:rFonts w:ascii="Tahoma" w:hAnsi="Tahoma" w:cs="Tahoma"/>
          <w:b w:val="0"/>
          <w:sz w:val="16"/>
          <w:szCs w:val="16"/>
        </w:rPr>
      </w:pPr>
    </w:p>
    <w:p w14:paraId="6634D5EA" w14:textId="77777777" w:rsidR="00077CE5" w:rsidRPr="0058047D" w:rsidRDefault="00AF539A" w:rsidP="00DA2788">
      <w:pPr>
        <w:pStyle w:val="AppendixBodyText"/>
      </w:pPr>
      <w:r w:rsidRPr="0058047D">
        <w:rPr>
          <w:rFonts w:ascii="Tahoma" w:hAnsi="Tahoma" w:cs="Tahoma"/>
          <w:b/>
          <w:bCs/>
          <w:color w:val="000000"/>
          <w:sz w:val="18"/>
          <w:szCs w:val="18"/>
        </w:rPr>
        <w:t>Conversione degli Interventi di Supporto per la Risoluzione dei Problemi 24x7 Software Assurance in Servizi di Supporto Tecnico Microsoft Premier</w:t>
      </w:r>
    </w:p>
    <w:p w14:paraId="13FF5BA9" w14:textId="77777777" w:rsidR="00077CE5" w:rsidRPr="0058047D" w:rsidRDefault="00AF539A" w:rsidP="00DA2788">
      <w:pPr>
        <w:pStyle w:val="AppendixBodyText"/>
        <w:spacing w:after="0"/>
      </w:pPr>
      <w:r w:rsidRPr="0058047D">
        <w:rPr>
          <w:rFonts w:ascii="Tahoma" w:hAnsi="Tahoma" w:cs="Tahoma"/>
          <w:color w:val="000000"/>
          <w:sz w:val="18"/>
          <w:szCs w:val="18"/>
        </w:rPr>
        <w:t>Le società possono scegliere di convertire gli Interventi di Supporto per la Risoluzione dei Problemi 24x7 Software Assurance (Interventi SA PRS o “SAB”) in:</w:t>
      </w:r>
    </w:p>
    <w:p w14:paraId="466C1A37" w14:textId="77777777" w:rsidR="00077CE5" w:rsidRPr="000C1619" w:rsidRDefault="00077CE5" w:rsidP="004D6068">
      <w:pPr>
        <w:pStyle w:val="Heading3"/>
        <w:rPr>
          <w:rFonts w:ascii="Tahoma" w:hAnsi="Tahoma" w:cs="Tahoma"/>
          <w:b w:val="0"/>
          <w:sz w:val="16"/>
          <w:szCs w:val="16"/>
        </w:rPr>
      </w:pPr>
    </w:p>
    <w:p w14:paraId="3C36962F" w14:textId="77777777" w:rsidR="00AF539A" w:rsidRPr="0058047D" w:rsidRDefault="00AF539A" w:rsidP="00346F4B">
      <w:pPr>
        <w:pStyle w:val="AppendixBodyText"/>
        <w:numPr>
          <w:ilvl w:val="0"/>
          <w:numId w:val="28"/>
        </w:numPr>
        <w:tabs>
          <w:tab w:val="left" w:pos="1440"/>
        </w:tabs>
        <w:ind w:left="1440"/>
      </w:pPr>
      <w:r w:rsidRPr="0058047D">
        <w:rPr>
          <w:rFonts w:ascii="Tahoma" w:hAnsi="Tahoma" w:cs="Tahoma"/>
          <w:color w:val="000000"/>
          <w:sz w:val="18"/>
          <w:szCs w:val="18"/>
        </w:rPr>
        <w:t>ore di Supporto per la Risoluzione dei Problemi Premier</w:t>
      </w:r>
    </w:p>
    <w:p w14:paraId="152C59A0" w14:textId="77777777" w:rsidR="00AF539A" w:rsidRPr="0058047D" w:rsidRDefault="00AF539A" w:rsidP="000C1619">
      <w:pPr>
        <w:pStyle w:val="AppendixBodyText"/>
        <w:numPr>
          <w:ilvl w:val="0"/>
          <w:numId w:val="28"/>
        </w:numPr>
        <w:tabs>
          <w:tab w:val="left" w:pos="1440"/>
        </w:tabs>
        <w:spacing w:after="0"/>
        <w:ind w:left="1440"/>
      </w:pPr>
      <w:r w:rsidRPr="0058047D">
        <w:rPr>
          <w:rFonts w:ascii="Tahoma" w:hAnsi="Tahoma" w:cs="Tahoma"/>
          <w:color w:val="000000"/>
          <w:sz w:val="18"/>
          <w:szCs w:val="18"/>
        </w:rPr>
        <w:t>ore Dedicated Support Engineer (DSE): applicabile solo alle attività di supporto tempestivo</w:t>
      </w:r>
    </w:p>
    <w:p w14:paraId="61770CB7" w14:textId="77777777" w:rsidR="00077CE5" w:rsidRPr="000C1619" w:rsidRDefault="00077CE5" w:rsidP="004D6068">
      <w:pPr>
        <w:pStyle w:val="Heading3"/>
        <w:rPr>
          <w:rFonts w:ascii="Tahoma" w:hAnsi="Tahoma" w:cs="Tahoma"/>
          <w:b w:val="0"/>
          <w:sz w:val="16"/>
          <w:szCs w:val="16"/>
        </w:rPr>
      </w:pPr>
    </w:p>
    <w:p w14:paraId="2F2FAE29" w14:textId="77777777" w:rsidR="00AF539A" w:rsidRPr="0058047D" w:rsidRDefault="00AF539A" w:rsidP="00F42FB8">
      <w:r w:rsidRPr="0058047D">
        <w:rPr>
          <w:rFonts w:cs="Tahoma"/>
          <w:color w:val="000000"/>
          <w:szCs w:val="18"/>
        </w:rPr>
        <w:t>Questi servizi sono da utilizzare conformemente al loro piano di servizi Premier all</w:t>
      </w:r>
      <w:r w:rsidR="001C4212">
        <w:rPr>
          <w:rFonts w:cs="Tahoma"/>
          <w:color w:val="000000"/>
          <w:szCs w:val="18"/>
        </w:rPr>
        <w:t>’</w:t>
      </w:r>
      <w:r w:rsidRPr="0058047D">
        <w:rPr>
          <w:rFonts w:cs="Tahoma"/>
          <w:color w:val="000000"/>
          <w:szCs w:val="18"/>
        </w:rPr>
        <w:t>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considerate ore di Supporto per la Risoluzione dei Problemi Premier e soggetti alla Descrizione dei Servizi Premier. Una volta convertiti, gli interventi non possono più essere reintegrati nell</w:t>
      </w:r>
      <w:r w:rsidR="001C4212">
        <w:rPr>
          <w:rFonts w:cs="Tahoma"/>
          <w:color w:val="000000"/>
          <w:szCs w:val="18"/>
        </w:rPr>
        <w:t>’</w:t>
      </w:r>
      <w:r w:rsidRPr="0058047D">
        <w:rPr>
          <w:rFonts w:cs="Tahoma"/>
          <w:color w:val="000000"/>
          <w:szCs w:val="18"/>
        </w:rPr>
        <w:t>assegnazione SA della società.</w:t>
      </w:r>
    </w:p>
    <w:p w14:paraId="53392107" w14:textId="77777777" w:rsidR="00023FE7" w:rsidRPr="000C1619" w:rsidRDefault="00023FE7" w:rsidP="004D6068">
      <w:pPr>
        <w:pStyle w:val="Heading3"/>
        <w:rPr>
          <w:rFonts w:ascii="Tahoma" w:hAnsi="Tahoma" w:cs="Tahoma"/>
          <w:b w:val="0"/>
          <w:sz w:val="16"/>
          <w:szCs w:val="16"/>
        </w:rPr>
      </w:pPr>
    </w:p>
    <w:p w14:paraId="51B4E3FB" w14:textId="77777777" w:rsidR="00077CE5" w:rsidRPr="0058047D" w:rsidRDefault="00077CE5" w:rsidP="00862623">
      <w:pPr>
        <w:pStyle w:val="AppendixBodyText"/>
        <w:keepNext/>
      </w:pPr>
      <w:r w:rsidRPr="0058047D">
        <w:rPr>
          <w:rFonts w:ascii="Tahoma" w:hAnsi="Tahoma" w:cs="Tahoma"/>
          <w:b/>
          <w:color w:val="000000"/>
          <w:sz w:val="18"/>
        </w:rPr>
        <w:t>Ulteriori disposizioni di carattere commerciale</w:t>
      </w:r>
    </w:p>
    <w:p w14:paraId="239AF73E" w14:textId="77777777" w:rsidR="00023FE7" w:rsidRPr="0058047D" w:rsidRDefault="00023FE7" w:rsidP="00F42FB8">
      <w:pPr>
        <w:pStyle w:val="AppendixBodyText"/>
        <w:spacing w:after="0"/>
      </w:pPr>
      <w:r w:rsidRPr="0058047D">
        <w:rPr>
          <w:rFonts w:ascii="Tahoma" w:hAnsi="Tahoma" w:cs="Tahoma"/>
          <w:sz w:val="18"/>
          <w:szCs w:val="18"/>
        </w:rPr>
        <w:t>La spesa SA non potrà essere cumulata tra iscrizioni Enterprise o Select, registrazioni Select Plus o Contratti Open Value per qualificarsi per premi aggiuntivi.</w:t>
      </w:r>
      <w:r w:rsidR="00E34ED3" w:rsidRPr="0058047D">
        <w:rPr>
          <w:rFonts w:ascii="Tahoma" w:hAnsi="Tahoma" w:cs="Tahoma"/>
          <w:sz w:val="18"/>
          <w:szCs w:val="18"/>
        </w:rPr>
        <w:t xml:space="preserve"> </w:t>
      </w:r>
      <w:r w:rsidRPr="0058047D">
        <w:rPr>
          <w:rFonts w:ascii="Tahoma" w:hAnsi="Tahoma" w:cs="Tahoma"/>
          <w:sz w:val="18"/>
          <w:szCs w:val="18"/>
        </w:rPr>
        <w:t>La spesa di ciascuna iscrizione o contratto è utilizzata per determinare il premio relativo a quell</w:t>
      </w:r>
      <w:r w:rsidR="001C4212">
        <w:rPr>
          <w:rFonts w:ascii="Tahoma" w:hAnsi="Tahoma" w:cs="Tahoma"/>
          <w:sz w:val="18"/>
          <w:szCs w:val="18"/>
        </w:rPr>
        <w:t>’</w:t>
      </w:r>
      <w:r w:rsidRPr="0058047D">
        <w:rPr>
          <w:rFonts w:ascii="Tahoma" w:hAnsi="Tahoma" w:cs="Tahoma"/>
          <w:sz w:val="18"/>
          <w:szCs w:val="18"/>
        </w:rPr>
        <w:t>iscrizione o contratto.</w:t>
      </w:r>
    </w:p>
    <w:p w14:paraId="0B0BBDF3" w14:textId="77777777" w:rsidR="00077CE5" w:rsidRPr="000C1619" w:rsidRDefault="00077CE5" w:rsidP="004D6068">
      <w:pPr>
        <w:pStyle w:val="Heading3"/>
        <w:rPr>
          <w:rFonts w:ascii="Tahoma" w:hAnsi="Tahoma" w:cs="Tahoma"/>
          <w:b w:val="0"/>
          <w:sz w:val="16"/>
          <w:szCs w:val="16"/>
        </w:rPr>
      </w:pPr>
    </w:p>
    <w:p w14:paraId="5C82BE23" w14:textId="77777777" w:rsidR="00023FE7" w:rsidRPr="0058047D" w:rsidRDefault="00023FE7" w:rsidP="00F42FB8">
      <w:pPr>
        <w:pStyle w:val="AppendixBodyText"/>
        <w:tabs>
          <w:tab w:val="left" w:pos="1440"/>
        </w:tabs>
        <w:spacing w:after="0"/>
      </w:pPr>
      <w:r w:rsidRPr="0058047D">
        <w:rPr>
          <w:rFonts w:ascii="Tahoma" w:hAnsi="Tahoma" w:cs="Tahoma"/>
          <w:sz w:val="18"/>
          <w:szCs w:val="18"/>
        </w:rPr>
        <w:t>La riduzione della spesa SA in seguito a resi o altre modifiche apportate alla fatturazione</w:t>
      </w:r>
      <w:r w:rsidRPr="0058047D">
        <w:rPr>
          <w:rFonts w:ascii="Tahoma" w:hAnsi="Tahoma" w:cs="Tahoma"/>
          <w:bCs/>
          <w:sz w:val="18"/>
          <w:szCs w:val="18"/>
        </w:rPr>
        <w:t>,</w:t>
      </w:r>
      <w:r w:rsidRPr="0058047D">
        <w:rPr>
          <w:rFonts w:ascii="Tahoma" w:hAnsi="Tahoma" w:cs="Tahoma"/>
          <w:sz w:val="18"/>
          <w:szCs w:val="18"/>
        </w:rPr>
        <w:t xml:space="preserve"> ove ciò sia ammesso, </w:t>
      </w:r>
      <w:r w:rsidRPr="0058047D">
        <w:rPr>
          <w:rFonts w:ascii="Tahoma" w:hAnsi="Tahoma" w:cs="Tahoma"/>
          <w:bCs/>
          <w:sz w:val="18"/>
          <w:szCs w:val="18"/>
        </w:rPr>
        <w:t>potrebbe</w:t>
      </w:r>
      <w:r w:rsidRPr="0058047D">
        <w:rPr>
          <w:rFonts w:ascii="Tahoma" w:hAnsi="Tahoma" w:cs="Tahoma"/>
          <w:sz w:val="18"/>
          <w:szCs w:val="18"/>
        </w:rPr>
        <w:t xml:space="preserve"> comportare la perdita dell</w:t>
      </w:r>
      <w:r w:rsidR="001C4212">
        <w:rPr>
          <w:rFonts w:ascii="Tahoma" w:hAnsi="Tahoma" w:cs="Tahoma"/>
          <w:sz w:val="18"/>
          <w:szCs w:val="18"/>
        </w:rPr>
        <w:t>’</w:t>
      </w:r>
      <w:r w:rsidRPr="0058047D">
        <w:rPr>
          <w:rFonts w:ascii="Tahoma" w:hAnsi="Tahoma" w:cs="Tahoma"/>
          <w:sz w:val="18"/>
          <w:szCs w:val="18"/>
        </w:rPr>
        <w:t xml:space="preserve">idoneità a ricevere i premi per il Supporto o gli Interventi telefonici nel periodo attuale di attribuzione dei premi o in periodi futuri. </w:t>
      </w:r>
    </w:p>
    <w:p w14:paraId="1EC51AA9" w14:textId="77777777" w:rsidR="0036654E" w:rsidRPr="000C1619" w:rsidRDefault="0036654E" w:rsidP="00F42FB8">
      <w:pPr>
        <w:pStyle w:val="Heading3"/>
        <w:rPr>
          <w:rFonts w:ascii="Tahoma" w:hAnsi="Tahoma" w:cs="Tahoma"/>
          <w:b w:val="0"/>
          <w:sz w:val="16"/>
          <w:szCs w:val="16"/>
        </w:rPr>
      </w:pPr>
    </w:p>
    <w:p w14:paraId="0A9C85FC" w14:textId="77777777" w:rsidR="00613BBB" w:rsidRPr="0058047D" w:rsidRDefault="00613BBB" w:rsidP="00F0652C">
      <w:pPr>
        <w:pStyle w:val="Heading3"/>
        <w:spacing w:after="60"/>
      </w:pPr>
      <w:bookmarkStart w:id="734" w:name="_Toc336338237"/>
      <w:bookmarkStart w:id="735" w:name="_Toc371663631"/>
      <w:r w:rsidRPr="0058047D">
        <w:rPr>
          <w:rFonts w:ascii="Tahoma" w:hAnsi="Tahoma" w:cs="Tahoma"/>
          <w:sz w:val="18"/>
        </w:rPr>
        <w:t>Supporto Illimitato per la Risoluzione dei Problemi 24x7</w:t>
      </w:r>
      <w:bookmarkEnd w:id="734"/>
      <w:bookmarkEnd w:id="735"/>
    </w:p>
    <w:p w14:paraId="31CCDE0D" w14:textId="77777777" w:rsidR="00A17E03" w:rsidRPr="0058047D" w:rsidRDefault="00A17E03" w:rsidP="00F42FB8">
      <w:pPr>
        <w:jc w:val="both"/>
      </w:pPr>
      <w:r w:rsidRPr="0058047D">
        <w:rPr>
          <w:rFonts w:cs="Tahoma"/>
          <w:szCs w:val="18"/>
        </w:rPr>
        <w:t>Questo vantaggio è disponibile esclusivamente tramite (1) Enrollment for Application Platform (EAP) ai sensi di un Contratto Enterprise e/o (2) l</w:t>
      </w:r>
      <w:r w:rsidR="001C4212">
        <w:rPr>
          <w:rFonts w:cs="Tahoma"/>
          <w:szCs w:val="18"/>
        </w:rPr>
        <w:t>’</w:t>
      </w:r>
      <w:r w:rsidRPr="0058047D">
        <w:rPr>
          <w:rFonts w:cs="Tahoma"/>
          <w:szCs w:val="18"/>
        </w:rPr>
        <w:t>Iscrizione Server and Cloud (SCE) ai sensi di un Contratto Enterprise e/o (3) l</w:t>
      </w:r>
      <w:r w:rsidR="001C4212">
        <w:rPr>
          <w:rFonts w:cs="Tahoma"/>
          <w:szCs w:val="18"/>
        </w:rPr>
        <w:t>’</w:t>
      </w:r>
      <w:r w:rsidRPr="0058047D">
        <w:rPr>
          <w:rFonts w:cs="Tahoma"/>
          <w:szCs w:val="18"/>
        </w:rPr>
        <w:t>acquisto di licenze per Parallel Data Warehouse (PDW) ai sensi di un contratto EA, EAP, Select Plus o Select.</w:t>
      </w:r>
    </w:p>
    <w:p w14:paraId="1B6F79D5" w14:textId="77777777" w:rsidR="00A17E03" w:rsidRPr="000C1619" w:rsidRDefault="00A17E03" w:rsidP="00F42FB8">
      <w:pPr>
        <w:jc w:val="both"/>
        <w:rPr>
          <w:sz w:val="16"/>
          <w:szCs w:val="16"/>
        </w:rPr>
      </w:pPr>
    </w:p>
    <w:p w14:paraId="1EA1A371" w14:textId="77777777" w:rsidR="00EB3A5F" w:rsidRPr="0058047D" w:rsidRDefault="00EB3A5F" w:rsidP="00EB3A5F">
      <w:pPr>
        <w:spacing w:line="276" w:lineRule="auto"/>
        <w:jc w:val="both"/>
      </w:pPr>
      <w:r w:rsidRPr="0058047D">
        <w:t xml:space="preserve">Le società, che dispongono di un contratto SCE con una spesa media annuale minima per SA di 250.000 USD sul totale dei prodotti qualificanti della Piattaforma Applicativa o della Famiglia di Prodotti Core Infrastructure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w:t>
      </w:r>
      <w:hyperlink r:id="rId28" w:history="1">
        <w:r w:rsidRPr="0058047D">
          <w:rPr>
            <w:rStyle w:val="Hyperlink"/>
            <w:rFonts w:cs="Tahoma"/>
            <w:szCs w:val="18"/>
          </w:rPr>
          <w:t>Criteri per il Ciclo di Vita del Supporto di Microsoft</w:t>
        </w:r>
      </w:hyperlink>
      <w:r w:rsidRPr="004D6068">
        <w:rPr>
          <w:rStyle w:val="Hyperlink"/>
          <w:rFonts w:cs="Tahoma"/>
          <w:szCs w:val="18"/>
          <w:u w:val="none"/>
        </w:rPr>
        <w:t xml:space="preserve"> </w:t>
      </w:r>
      <w:r w:rsidRPr="0058047D">
        <w:rPr>
          <w:color w:val="000000"/>
        </w:rPr>
        <w:t>in linea con il</w:t>
      </w:r>
      <w:r w:rsidR="004D6068">
        <w:rPr>
          <w:color w:val="000000"/>
        </w:rPr>
        <w:t> </w:t>
      </w:r>
      <w:r w:rsidRPr="0058047D">
        <w:rPr>
          <w:color w:val="000000"/>
        </w:rPr>
        <w:t>contratto Premier di una società, sono inclusi nel vantaggio.</w:t>
      </w:r>
    </w:p>
    <w:p w14:paraId="3A07EF55" w14:textId="77777777" w:rsidR="00077CE5" w:rsidRPr="000C1619" w:rsidRDefault="00077CE5" w:rsidP="000C1619">
      <w:pPr>
        <w:jc w:val="both"/>
        <w:rPr>
          <w:sz w:val="16"/>
          <w:szCs w:val="16"/>
        </w:rPr>
      </w:pPr>
    </w:p>
    <w:p w14:paraId="5D755C14" w14:textId="77777777" w:rsidR="00A17E03" w:rsidRPr="0058047D" w:rsidRDefault="00A17E03" w:rsidP="000C1619">
      <w:pPr>
        <w:jc w:val="both"/>
      </w:pPr>
      <w:r w:rsidRPr="0058047D">
        <w:rPr>
          <w:rFonts w:eastAsia="Calibri" w:cs="Tahoma"/>
          <w:szCs w:val="18"/>
        </w:rPr>
        <w:t>I prodotti della Piattaforma Applicativa che si qualificano sono:</w:t>
      </w:r>
    </w:p>
    <w:p w14:paraId="7A5A610D" w14:textId="77777777" w:rsidR="00613BBB" w:rsidRPr="0058047D" w:rsidRDefault="00613BBB" w:rsidP="00077CE5"/>
    <w:p w14:paraId="784A1E3D" w14:textId="77777777" w:rsidR="00613BBB" w:rsidRPr="0058047D" w:rsidRDefault="00613BBB" w:rsidP="00346F4B">
      <w:pPr>
        <w:numPr>
          <w:ilvl w:val="0"/>
          <w:numId w:val="73"/>
        </w:numPr>
        <w:spacing w:after="60"/>
      </w:pPr>
      <w:r w:rsidRPr="0058047D">
        <w:rPr>
          <w:rFonts w:cs="Tahoma"/>
          <w:szCs w:val="18"/>
        </w:rPr>
        <w:t>CAL per SQL</w:t>
      </w:r>
    </w:p>
    <w:p w14:paraId="4E77075D" w14:textId="77777777" w:rsidR="00613BBB" w:rsidRPr="0058047D" w:rsidRDefault="00613BBB" w:rsidP="00346F4B">
      <w:pPr>
        <w:numPr>
          <w:ilvl w:val="0"/>
          <w:numId w:val="73"/>
        </w:numPr>
        <w:spacing w:after="60"/>
      </w:pPr>
      <w:r w:rsidRPr="0058047D">
        <w:rPr>
          <w:rFonts w:cs="Tahoma"/>
          <w:szCs w:val="18"/>
        </w:rPr>
        <w:t>SQL Server Standard</w:t>
      </w:r>
    </w:p>
    <w:p w14:paraId="476268B4" w14:textId="77777777" w:rsidR="00613BBB" w:rsidRPr="0058047D" w:rsidRDefault="00613BBB" w:rsidP="00346F4B">
      <w:pPr>
        <w:numPr>
          <w:ilvl w:val="0"/>
          <w:numId w:val="73"/>
        </w:numPr>
        <w:spacing w:after="60"/>
      </w:pPr>
      <w:r w:rsidRPr="0058047D">
        <w:rPr>
          <w:rFonts w:cs="Tahoma"/>
          <w:szCs w:val="18"/>
        </w:rPr>
        <w:t xml:space="preserve">SQL Server Standard Per Core </w:t>
      </w:r>
    </w:p>
    <w:p w14:paraId="2557AD24" w14:textId="77777777" w:rsidR="00613BBB" w:rsidRPr="0058047D" w:rsidRDefault="00613BBB" w:rsidP="00346F4B">
      <w:pPr>
        <w:numPr>
          <w:ilvl w:val="0"/>
          <w:numId w:val="73"/>
        </w:numPr>
        <w:spacing w:after="60"/>
      </w:pPr>
      <w:r w:rsidRPr="0058047D">
        <w:rPr>
          <w:rFonts w:cs="Tahoma"/>
          <w:szCs w:val="18"/>
        </w:rPr>
        <w:t xml:space="preserve">SQL Server Enterprise Per Core </w:t>
      </w:r>
    </w:p>
    <w:p w14:paraId="2F99F933" w14:textId="77777777" w:rsidR="00894563" w:rsidRPr="0058047D" w:rsidRDefault="00894563" w:rsidP="00346F4B">
      <w:pPr>
        <w:numPr>
          <w:ilvl w:val="0"/>
          <w:numId w:val="73"/>
        </w:numPr>
        <w:spacing w:after="60"/>
      </w:pPr>
      <w:r w:rsidRPr="0058047D">
        <w:rPr>
          <w:rFonts w:cs="Tahoma"/>
          <w:szCs w:val="18"/>
        </w:rPr>
        <w:t>SQL Server Business Intelligence</w:t>
      </w:r>
    </w:p>
    <w:p w14:paraId="40F9D911" w14:textId="77777777" w:rsidR="00EB42F3" w:rsidRPr="0058047D" w:rsidRDefault="00EB42F3" w:rsidP="00346F4B">
      <w:pPr>
        <w:numPr>
          <w:ilvl w:val="0"/>
          <w:numId w:val="73"/>
        </w:numPr>
        <w:spacing w:after="60"/>
      </w:pPr>
      <w:r w:rsidRPr="0058047D">
        <w:rPr>
          <w:rFonts w:cs="Tahoma"/>
          <w:szCs w:val="18"/>
        </w:rPr>
        <w:t>SQL Server Parallel Data Warehouse</w:t>
      </w:r>
    </w:p>
    <w:p w14:paraId="4C093C37" w14:textId="77777777" w:rsidR="00613BBB" w:rsidRPr="0058047D" w:rsidRDefault="00613BBB" w:rsidP="00346F4B">
      <w:pPr>
        <w:numPr>
          <w:ilvl w:val="0"/>
          <w:numId w:val="73"/>
        </w:numPr>
        <w:spacing w:after="60"/>
      </w:pPr>
      <w:r w:rsidRPr="0058047D">
        <w:rPr>
          <w:rFonts w:cs="Tahoma"/>
          <w:szCs w:val="18"/>
        </w:rPr>
        <w:t>BizTalk Server Standard Per Core</w:t>
      </w:r>
    </w:p>
    <w:p w14:paraId="1957D80F" w14:textId="77777777" w:rsidR="00613BBB" w:rsidRPr="0058047D" w:rsidRDefault="00613BBB" w:rsidP="00346F4B">
      <w:pPr>
        <w:numPr>
          <w:ilvl w:val="0"/>
          <w:numId w:val="73"/>
        </w:numPr>
        <w:spacing w:after="60"/>
      </w:pPr>
      <w:r w:rsidRPr="0058047D">
        <w:rPr>
          <w:rFonts w:cs="Tahoma"/>
          <w:szCs w:val="18"/>
        </w:rPr>
        <w:t>BizTalk Server Enterprise Per Core</w:t>
      </w:r>
    </w:p>
    <w:p w14:paraId="5A087544" w14:textId="77777777" w:rsidR="00613BBB" w:rsidRPr="0058047D" w:rsidRDefault="00613BBB" w:rsidP="00346F4B">
      <w:pPr>
        <w:numPr>
          <w:ilvl w:val="0"/>
          <w:numId w:val="73"/>
        </w:numPr>
        <w:spacing w:after="60"/>
      </w:pPr>
      <w:r w:rsidRPr="0058047D">
        <w:rPr>
          <w:rFonts w:cs="Tahoma"/>
          <w:szCs w:val="18"/>
        </w:rPr>
        <w:t>BizTalk Server Branch Per Core</w:t>
      </w:r>
    </w:p>
    <w:p w14:paraId="118785ED" w14:textId="77777777" w:rsidR="00613BBB" w:rsidRPr="000C1619" w:rsidRDefault="00613BBB" w:rsidP="00346F4B">
      <w:pPr>
        <w:numPr>
          <w:ilvl w:val="0"/>
          <w:numId w:val="73"/>
        </w:numPr>
        <w:spacing w:after="60"/>
        <w:rPr>
          <w:rFonts w:cs="Tahoma"/>
          <w:szCs w:val="18"/>
        </w:rPr>
      </w:pPr>
      <w:r w:rsidRPr="0058047D">
        <w:rPr>
          <w:rFonts w:cs="Tahoma"/>
          <w:szCs w:val="18"/>
        </w:rPr>
        <w:t>Office SharePoint Server</w:t>
      </w:r>
    </w:p>
    <w:p w14:paraId="17298EDF" w14:textId="77777777" w:rsidR="00EB3A5F" w:rsidRPr="0058047D" w:rsidRDefault="00EB3A5F" w:rsidP="00EB3A5F">
      <w:pPr>
        <w:spacing w:line="276" w:lineRule="auto"/>
        <w:jc w:val="both"/>
      </w:pPr>
      <w:r w:rsidRPr="0058047D">
        <w:t>I prodotti che si qualificano del Componente Core Infrastructure sono:</w:t>
      </w:r>
    </w:p>
    <w:p w14:paraId="305AB636" w14:textId="77777777" w:rsidR="00EB3A5F" w:rsidRPr="0058047D" w:rsidRDefault="00EB3A5F" w:rsidP="00EB3A5F"/>
    <w:p w14:paraId="230D0E1C" w14:textId="77777777" w:rsidR="00EB3A5F" w:rsidRPr="0058047D" w:rsidRDefault="00EB3A5F" w:rsidP="00EB3A5F">
      <w:pPr>
        <w:numPr>
          <w:ilvl w:val="0"/>
          <w:numId w:val="73"/>
        </w:numPr>
        <w:spacing w:after="60"/>
      </w:pPr>
      <w:r w:rsidRPr="0058047D">
        <w:t>CIS DataCenter (Windows Server Datacenter e System Center Datacenter)</w:t>
      </w:r>
    </w:p>
    <w:p w14:paraId="46E30F81" w14:textId="77777777" w:rsidR="00EB3A5F" w:rsidRPr="0058047D" w:rsidRDefault="00EB3A5F" w:rsidP="00EB3A5F">
      <w:pPr>
        <w:numPr>
          <w:ilvl w:val="0"/>
          <w:numId w:val="73"/>
        </w:numPr>
        <w:spacing w:after="60"/>
      </w:pPr>
      <w:r w:rsidRPr="0058047D">
        <w:t>CIS Standard (Windows Server Standard e System Center Standard)</w:t>
      </w:r>
    </w:p>
    <w:p w14:paraId="0FD69EB5" w14:textId="77777777" w:rsidR="00613BBB" w:rsidRPr="0058047D" w:rsidRDefault="00613BBB" w:rsidP="00077CE5"/>
    <w:p w14:paraId="37934D3D" w14:textId="77777777" w:rsidR="00613BBB" w:rsidRPr="0058047D" w:rsidRDefault="00613BBB" w:rsidP="00FF1B2B">
      <w:pPr>
        <w:pStyle w:val="AppendixBodyText"/>
        <w:spacing w:after="0"/>
        <w:jc w:val="both"/>
      </w:pPr>
      <w:r w:rsidRPr="0058047D">
        <w:rPr>
          <w:rFonts w:ascii="Tahoma" w:hAnsi="Tahoma" w:cs="Tahoma"/>
          <w:sz w:val="18"/>
          <w:szCs w:val="18"/>
        </w:rPr>
        <w:t>La seguente tabella elenca le conversioni delle soglie di spesa SA, in caso di contratti stipulati in valute diverse dall</w:t>
      </w:r>
      <w:r w:rsidR="001C4212">
        <w:rPr>
          <w:rFonts w:ascii="Tahoma" w:hAnsi="Tahoma" w:cs="Tahoma"/>
          <w:sz w:val="18"/>
          <w:szCs w:val="18"/>
        </w:rPr>
        <w:t>’</w:t>
      </w:r>
      <w:r w:rsidRPr="0058047D">
        <w:rPr>
          <w:rFonts w:ascii="Tahoma" w:hAnsi="Tahoma" w:cs="Tahoma"/>
          <w:sz w:val="18"/>
          <w:szCs w:val="18"/>
        </w:rPr>
        <w:t>USD.</w:t>
      </w:r>
      <w:r w:rsidR="00E34ED3" w:rsidRPr="0058047D">
        <w:rPr>
          <w:rFonts w:ascii="Tahoma" w:hAnsi="Tahoma" w:cs="Tahoma"/>
          <w:sz w:val="18"/>
          <w:szCs w:val="18"/>
        </w:rPr>
        <w:t xml:space="preserve"> </w:t>
      </w:r>
      <w:r w:rsidRPr="0058047D">
        <w:rPr>
          <w:rFonts w:ascii="Tahoma" w:hAnsi="Tahoma" w:cs="Tahoma"/>
          <w:sz w:val="18"/>
          <w:szCs w:val="18"/>
        </w:rPr>
        <w:t>A causa delle fluttuazioni dei tassi di cambio, i valori riportati nella tabella sono soggetti a variazione senza preavviso.</w:t>
      </w:r>
    </w:p>
    <w:p w14:paraId="2906DB94" w14:textId="77777777" w:rsidR="00E74270" w:rsidRPr="0058047D" w:rsidRDefault="00E74270" w:rsidP="00FF1B2B">
      <w:pPr>
        <w:pStyle w:val="AppendixBodyText"/>
        <w:spacing w:after="0"/>
        <w:jc w:val="both"/>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58047D" w14:paraId="52710CA5" w14:textId="77777777" w:rsidTr="00EB3A5F">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07227C02" w14:textId="77777777" w:rsidR="00E74270" w:rsidRPr="0058047D" w:rsidRDefault="00E74270" w:rsidP="00E74270">
            <w:pPr>
              <w:pStyle w:val="AppendixBodyText"/>
              <w:jc w:val="center"/>
              <w:rPr>
                <w:rFonts w:ascii="Tahoma" w:hAnsi="Tahoma" w:cs="Tahoma"/>
                <w:b/>
                <w:bCs/>
              </w:rPr>
            </w:pPr>
            <w:r w:rsidRPr="0058047D">
              <w:rPr>
                <w:rFonts w:ascii="Tahoma" w:hAnsi="Tahoma" w:cs="Tahoma"/>
                <w:b/>
                <w:bCs/>
              </w:rPr>
              <w:t>Valuta</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50FC17E4" w14:textId="77777777" w:rsidR="00E74270" w:rsidRPr="0058047D" w:rsidRDefault="00E74270" w:rsidP="00E74270">
            <w:pPr>
              <w:pStyle w:val="AppendixBodyText"/>
              <w:jc w:val="center"/>
              <w:rPr>
                <w:rFonts w:ascii="Tahoma" w:hAnsi="Tahoma" w:cs="Tahoma"/>
                <w:b/>
                <w:bCs/>
              </w:rPr>
            </w:pPr>
            <w:r w:rsidRPr="0058047D">
              <w:rPr>
                <w:rFonts w:ascii="Tahoma" w:hAnsi="Tahoma" w:cs="Tahoma"/>
                <w:b/>
                <w:bCs/>
              </w:rPr>
              <w:t>Codice Valuta</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722D6463" w14:textId="77777777" w:rsidR="00E74270" w:rsidRPr="0058047D" w:rsidRDefault="00E74270" w:rsidP="00E74270">
            <w:pPr>
              <w:pStyle w:val="AppendixBodyText"/>
              <w:jc w:val="center"/>
              <w:rPr>
                <w:rFonts w:ascii="Tahoma" w:hAnsi="Tahoma" w:cs="Tahoma"/>
                <w:b/>
                <w:bCs/>
              </w:rPr>
            </w:pPr>
            <w:r w:rsidRPr="0058047D">
              <w:rPr>
                <w:rFonts w:ascii="Tahoma" w:hAnsi="Tahoma" w:cs="Tahoma"/>
                <w:b/>
                <w:bCs/>
              </w:rPr>
              <w:t xml:space="preserve">Spesa Media Annuale Minima per SA per beneficiare del PRS Illimitato 24x7 </w:t>
            </w:r>
          </w:p>
        </w:tc>
      </w:tr>
      <w:tr w:rsidR="00E74270" w:rsidRPr="0058047D" w14:paraId="294FE1A0" w14:textId="77777777" w:rsidTr="00EB3A5F">
        <w:trPr>
          <w:trHeight w:val="236"/>
          <w:jc w:val="center"/>
        </w:trPr>
        <w:tc>
          <w:tcPr>
            <w:tcW w:w="1757" w:type="dxa"/>
            <w:vAlign w:val="bottom"/>
          </w:tcPr>
          <w:p w14:paraId="55FEF852" w14:textId="77777777" w:rsidR="00E74270" w:rsidRPr="0058047D" w:rsidRDefault="00E74270" w:rsidP="00E74270">
            <w:pPr>
              <w:pStyle w:val="AppendixBodyText"/>
              <w:rPr>
                <w:rFonts w:ascii="Tahoma" w:hAnsi="Tahoma" w:cs="Tahoma"/>
                <w:sz w:val="18"/>
                <w:szCs w:val="18"/>
              </w:rPr>
            </w:pPr>
            <w:r w:rsidRPr="0058047D">
              <w:rPr>
                <w:rFonts w:ascii="Tahoma" w:hAnsi="Tahoma" w:cs="Tahoma"/>
                <w:sz w:val="18"/>
                <w:szCs w:val="18"/>
              </w:rPr>
              <w:t>Dollaro statunitense</w:t>
            </w:r>
          </w:p>
        </w:tc>
        <w:tc>
          <w:tcPr>
            <w:tcW w:w="1112" w:type="dxa"/>
            <w:vAlign w:val="bottom"/>
          </w:tcPr>
          <w:p w14:paraId="31894E96" w14:textId="77777777" w:rsidR="00E74270" w:rsidRPr="0058047D" w:rsidRDefault="00E74270" w:rsidP="00E74270">
            <w:pPr>
              <w:pStyle w:val="AppendixBodyText"/>
              <w:jc w:val="center"/>
              <w:rPr>
                <w:rFonts w:ascii="Tahoma" w:hAnsi="Tahoma" w:cs="Tahoma"/>
                <w:sz w:val="18"/>
                <w:szCs w:val="18"/>
              </w:rPr>
            </w:pPr>
            <w:r w:rsidRPr="0058047D">
              <w:rPr>
                <w:rFonts w:ascii="Tahoma" w:hAnsi="Tahoma" w:cs="Tahoma"/>
                <w:sz w:val="18"/>
                <w:szCs w:val="18"/>
              </w:rPr>
              <w:t>USD</w:t>
            </w:r>
          </w:p>
        </w:tc>
        <w:tc>
          <w:tcPr>
            <w:tcW w:w="3152" w:type="dxa"/>
            <w:vAlign w:val="bottom"/>
          </w:tcPr>
          <w:p w14:paraId="7B98A070" w14:textId="77777777" w:rsidR="00E74270" w:rsidRPr="0058047D" w:rsidRDefault="00E74270" w:rsidP="00147698">
            <w:pPr>
              <w:pStyle w:val="AppendixBodyText"/>
              <w:jc w:val="right"/>
              <w:rPr>
                <w:rFonts w:ascii="Tahoma" w:hAnsi="Tahoma" w:cs="Tahoma"/>
                <w:sz w:val="18"/>
                <w:szCs w:val="18"/>
              </w:rPr>
            </w:pPr>
            <w:r w:rsidRPr="0058047D">
              <w:rPr>
                <w:rFonts w:ascii="Tahoma" w:hAnsi="Tahoma" w:cs="Tahoma"/>
                <w:color w:val="000000"/>
                <w:sz w:val="18"/>
                <w:szCs w:val="18"/>
              </w:rPr>
              <w:t>250</w:t>
            </w:r>
            <w:r w:rsidR="00147698">
              <w:rPr>
                <w:rFonts w:ascii="Tahoma" w:hAnsi="Tahoma" w:cs="Tahoma"/>
                <w:color w:val="000000"/>
                <w:sz w:val="18"/>
                <w:szCs w:val="18"/>
              </w:rPr>
              <w:t>.</w:t>
            </w:r>
            <w:r w:rsidRPr="0058047D">
              <w:rPr>
                <w:rFonts w:ascii="Tahoma" w:hAnsi="Tahoma" w:cs="Tahoma"/>
                <w:color w:val="000000"/>
                <w:sz w:val="18"/>
                <w:szCs w:val="18"/>
              </w:rPr>
              <w:t>000</w:t>
            </w:r>
          </w:p>
        </w:tc>
      </w:tr>
      <w:tr w:rsidR="00E74270" w:rsidRPr="0058047D" w14:paraId="7371F231" w14:textId="77777777" w:rsidTr="00EB3A5F">
        <w:trPr>
          <w:trHeight w:val="236"/>
          <w:jc w:val="center"/>
        </w:trPr>
        <w:tc>
          <w:tcPr>
            <w:tcW w:w="1757" w:type="dxa"/>
            <w:vAlign w:val="bottom"/>
          </w:tcPr>
          <w:p w14:paraId="788F7131" w14:textId="77777777" w:rsidR="00E74270" w:rsidRPr="0058047D" w:rsidRDefault="00E74270" w:rsidP="00E74270">
            <w:pPr>
              <w:pStyle w:val="AppendixBodyText"/>
              <w:rPr>
                <w:rFonts w:ascii="Tahoma" w:hAnsi="Tahoma" w:cs="Tahoma"/>
                <w:sz w:val="18"/>
                <w:szCs w:val="18"/>
              </w:rPr>
            </w:pPr>
            <w:r w:rsidRPr="0058047D">
              <w:rPr>
                <w:rFonts w:ascii="Tahoma" w:hAnsi="Tahoma" w:cs="Tahoma"/>
                <w:sz w:val="18"/>
                <w:szCs w:val="18"/>
              </w:rPr>
              <w:t>Dollaro australiano</w:t>
            </w:r>
          </w:p>
        </w:tc>
        <w:tc>
          <w:tcPr>
            <w:tcW w:w="1112" w:type="dxa"/>
            <w:vAlign w:val="bottom"/>
          </w:tcPr>
          <w:p w14:paraId="31F65C3D" w14:textId="77777777" w:rsidR="00E74270" w:rsidRPr="0058047D" w:rsidRDefault="00E74270" w:rsidP="00E74270">
            <w:pPr>
              <w:pStyle w:val="AppendixBodyText"/>
              <w:jc w:val="center"/>
              <w:rPr>
                <w:rFonts w:ascii="Tahoma" w:hAnsi="Tahoma" w:cs="Tahoma"/>
                <w:sz w:val="18"/>
                <w:szCs w:val="18"/>
              </w:rPr>
            </w:pPr>
            <w:r w:rsidRPr="0058047D">
              <w:rPr>
                <w:rFonts w:ascii="Tahoma" w:hAnsi="Tahoma" w:cs="Tahoma"/>
                <w:sz w:val="18"/>
                <w:szCs w:val="18"/>
              </w:rPr>
              <w:t>AUD</w:t>
            </w:r>
          </w:p>
        </w:tc>
        <w:tc>
          <w:tcPr>
            <w:tcW w:w="3152" w:type="dxa"/>
            <w:vAlign w:val="bottom"/>
          </w:tcPr>
          <w:p w14:paraId="533D5851" w14:textId="77777777" w:rsidR="00E74270" w:rsidRPr="0058047D" w:rsidRDefault="00E74270" w:rsidP="00147698">
            <w:pPr>
              <w:pStyle w:val="AppendixBodyText"/>
              <w:jc w:val="right"/>
              <w:rPr>
                <w:rFonts w:ascii="Tahoma" w:hAnsi="Tahoma" w:cs="Tahoma"/>
                <w:sz w:val="18"/>
                <w:szCs w:val="18"/>
              </w:rPr>
            </w:pPr>
            <w:r w:rsidRPr="0058047D">
              <w:rPr>
                <w:rFonts w:ascii="Tahoma" w:hAnsi="Tahoma" w:cs="Tahoma"/>
                <w:color w:val="000000"/>
                <w:sz w:val="18"/>
                <w:szCs w:val="18"/>
              </w:rPr>
              <w:t>375</w:t>
            </w:r>
            <w:r w:rsidR="00147698">
              <w:rPr>
                <w:rFonts w:ascii="Tahoma" w:hAnsi="Tahoma" w:cs="Tahoma"/>
                <w:color w:val="000000"/>
                <w:sz w:val="18"/>
                <w:szCs w:val="18"/>
              </w:rPr>
              <w:t>.</w:t>
            </w:r>
            <w:r w:rsidRPr="0058047D">
              <w:rPr>
                <w:rFonts w:ascii="Tahoma" w:hAnsi="Tahoma" w:cs="Tahoma"/>
                <w:color w:val="000000"/>
                <w:sz w:val="18"/>
                <w:szCs w:val="18"/>
              </w:rPr>
              <w:t>000</w:t>
            </w:r>
          </w:p>
        </w:tc>
      </w:tr>
      <w:tr w:rsidR="00E74270" w:rsidRPr="0058047D" w14:paraId="4312B2D9" w14:textId="77777777" w:rsidTr="00EB3A5F">
        <w:trPr>
          <w:trHeight w:val="236"/>
          <w:jc w:val="center"/>
        </w:trPr>
        <w:tc>
          <w:tcPr>
            <w:tcW w:w="1757" w:type="dxa"/>
            <w:vAlign w:val="bottom"/>
          </w:tcPr>
          <w:p w14:paraId="756528AD" w14:textId="77777777" w:rsidR="00E74270" w:rsidRPr="0058047D" w:rsidRDefault="00E74270" w:rsidP="00E74270">
            <w:pPr>
              <w:pStyle w:val="AppendixBodyText"/>
              <w:rPr>
                <w:rFonts w:ascii="Tahoma" w:hAnsi="Tahoma" w:cs="Tahoma"/>
                <w:sz w:val="18"/>
                <w:szCs w:val="18"/>
              </w:rPr>
            </w:pPr>
            <w:r w:rsidRPr="0058047D">
              <w:rPr>
                <w:rFonts w:ascii="Tahoma" w:hAnsi="Tahoma" w:cs="Tahoma"/>
                <w:sz w:val="18"/>
                <w:szCs w:val="18"/>
              </w:rPr>
              <w:t>Dollaro canadese</w:t>
            </w:r>
          </w:p>
        </w:tc>
        <w:tc>
          <w:tcPr>
            <w:tcW w:w="1112" w:type="dxa"/>
            <w:vAlign w:val="bottom"/>
          </w:tcPr>
          <w:p w14:paraId="44D65DD2" w14:textId="77777777" w:rsidR="00E74270" w:rsidRPr="0058047D" w:rsidRDefault="00E74270" w:rsidP="00E74270">
            <w:pPr>
              <w:pStyle w:val="AppendixBodyText"/>
              <w:jc w:val="center"/>
              <w:rPr>
                <w:rFonts w:ascii="Tahoma" w:hAnsi="Tahoma" w:cs="Tahoma"/>
                <w:sz w:val="18"/>
                <w:szCs w:val="18"/>
              </w:rPr>
            </w:pPr>
            <w:r w:rsidRPr="0058047D">
              <w:rPr>
                <w:rFonts w:ascii="Tahoma" w:hAnsi="Tahoma" w:cs="Tahoma"/>
                <w:sz w:val="18"/>
                <w:szCs w:val="18"/>
              </w:rPr>
              <w:t>CAD</w:t>
            </w:r>
          </w:p>
        </w:tc>
        <w:tc>
          <w:tcPr>
            <w:tcW w:w="3152" w:type="dxa"/>
            <w:vAlign w:val="bottom"/>
          </w:tcPr>
          <w:p w14:paraId="6EDA2D8F" w14:textId="77777777" w:rsidR="00E74270" w:rsidRPr="0058047D" w:rsidRDefault="00E74270" w:rsidP="00147698">
            <w:pPr>
              <w:pStyle w:val="AppendixBodyText"/>
              <w:jc w:val="right"/>
              <w:rPr>
                <w:rFonts w:ascii="Tahoma" w:hAnsi="Tahoma" w:cs="Tahoma"/>
                <w:sz w:val="18"/>
                <w:szCs w:val="18"/>
              </w:rPr>
            </w:pPr>
            <w:r w:rsidRPr="0058047D">
              <w:rPr>
                <w:rFonts w:ascii="Tahoma" w:hAnsi="Tahoma" w:cs="Tahoma"/>
                <w:color w:val="000000"/>
                <w:sz w:val="18"/>
                <w:szCs w:val="18"/>
              </w:rPr>
              <w:t>337</w:t>
            </w:r>
            <w:r w:rsidR="00147698">
              <w:rPr>
                <w:rFonts w:ascii="Tahoma" w:hAnsi="Tahoma" w:cs="Tahoma"/>
                <w:color w:val="000000"/>
                <w:sz w:val="18"/>
                <w:szCs w:val="18"/>
              </w:rPr>
              <w:t>.</w:t>
            </w:r>
            <w:r w:rsidRPr="0058047D">
              <w:rPr>
                <w:rFonts w:ascii="Tahoma" w:hAnsi="Tahoma" w:cs="Tahoma"/>
                <w:color w:val="000000"/>
                <w:sz w:val="18"/>
                <w:szCs w:val="18"/>
              </w:rPr>
              <w:t>500</w:t>
            </w:r>
          </w:p>
        </w:tc>
      </w:tr>
      <w:tr w:rsidR="00E74270" w:rsidRPr="0058047D" w14:paraId="0CE5999E" w14:textId="77777777" w:rsidTr="00EB3A5F">
        <w:trPr>
          <w:trHeight w:val="236"/>
          <w:jc w:val="center"/>
        </w:trPr>
        <w:tc>
          <w:tcPr>
            <w:tcW w:w="1757" w:type="dxa"/>
            <w:vAlign w:val="bottom"/>
          </w:tcPr>
          <w:p w14:paraId="3F63F7E3" w14:textId="77777777" w:rsidR="00E74270" w:rsidRPr="0058047D" w:rsidRDefault="00E74270" w:rsidP="00E74270">
            <w:pPr>
              <w:pStyle w:val="AppendixBodyText"/>
              <w:rPr>
                <w:rFonts w:ascii="Tahoma" w:hAnsi="Tahoma" w:cs="Tahoma"/>
                <w:sz w:val="18"/>
                <w:szCs w:val="18"/>
              </w:rPr>
            </w:pPr>
            <w:r w:rsidRPr="0058047D">
              <w:rPr>
                <w:rFonts w:ascii="Tahoma" w:hAnsi="Tahoma" w:cs="Tahoma"/>
                <w:sz w:val="18"/>
                <w:szCs w:val="18"/>
              </w:rPr>
              <w:t>Franco svizzero</w:t>
            </w:r>
          </w:p>
        </w:tc>
        <w:tc>
          <w:tcPr>
            <w:tcW w:w="1112" w:type="dxa"/>
            <w:vAlign w:val="bottom"/>
          </w:tcPr>
          <w:p w14:paraId="79299D1F" w14:textId="77777777" w:rsidR="00E74270" w:rsidRPr="0058047D" w:rsidRDefault="00E74270" w:rsidP="00E74270">
            <w:pPr>
              <w:pStyle w:val="AppendixBodyText"/>
              <w:jc w:val="center"/>
              <w:rPr>
                <w:rFonts w:ascii="Tahoma" w:hAnsi="Tahoma" w:cs="Tahoma"/>
                <w:sz w:val="18"/>
                <w:szCs w:val="18"/>
              </w:rPr>
            </w:pPr>
            <w:r w:rsidRPr="0058047D">
              <w:rPr>
                <w:rFonts w:ascii="Tahoma" w:hAnsi="Tahoma" w:cs="Tahoma"/>
                <w:sz w:val="18"/>
                <w:szCs w:val="18"/>
              </w:rPr>
              <w:t>CHF</w:t>
            </w:r>
          </w:p>
        </w:tc>
        <w:tc>
          <w:tcPr>
            <w:tcW w:w="3152" w:type="dxa"/>
            <w:vAlign w:val="bottom"/>
          </w:tcPr>
          <w:p w14:paraId="4C7DB069" w14:textId="77777777" w:rsidR="00E74270" w:rsidRPr="0058047D" w:rsidRDefault="00E74270" w:rsidP="00147698">
            <w:pPr>
              <w:pStyle w:val="AppendixBodyText"/>
              <w:jc w:val="right"/>
              <w:rPr>
                <w:rFonts w:ascii="Tahoma" w:hAnsi="Tahoma" w:cs="Tahoma"/>
                <w:sz w:val="18"/>
                <w:szCs w:val="18"/>
              </w:rPr>
            </w:pPr>
            <w:r w:rsidRPr="0058047D">
              <w:rPr>
                <w:rFonts w:ascii="Tahoma" w:hAnsi="Tahoma" w:cs="Tahoma"/>
                <w:color w:val="000000"/>
                <w:sz w:val="18"/>
                <w:szCs w:val="18"/>
              </w:rPr>
              <w:t>412</w:t>
            </w:r>
            <w:r w:rsidR="00147698">
              <w:rPr>
                <w:rFonts w:ascii="Tahoma" w:hAnsi="Tahoma" w:cs="Tahoma"/>
                <w:color w:val="000000"/>
                <w:sz w:val="18"/>
                <w:szCs w:val="18"/>
              </w:rPr>
              <w:t>.</w:t>
            </w:r>
            <w:r w:rsidRPr="0058047D">
              <w:rPr>
                <w:rFonts w:ascii="Tahoma" w:hAnsi="Tahoma" w:cs="Tahoma"/>
                <w:color w:val="000000"/>
                <w:sz w:val="18"/>
                <w:szCs w:val="18"/>
              </w:rPr>
              <w:t>500</w:t>
            </w:r>
          </w:p>
        </w:tc>
      </w:tr>
      <w:tr w:rsidR="00E74270" w:rsidRPr="0058047D" w14:paraId="26BB801C" w14:textId="77777777" w:rsidTr="00EB3A5F">
        <w:trPr>
          <w:trHeight w:val="236"/>
          <w:jc w:val="center"/>
        </w:trPr>
        <w:tc>
          <w:tcPr>
            <w:tcW w:w="1757" w:type="dxa"/>
            <w:vAlign w:val="bottom"/>
          </w:tcPr>
          <w:p w14:paraId="5F430455" w14:textId="77777777" w:rsidR="00E74270" w:rsidRPr="0058047D" w:rsidRDefault="00E74270" w:rsidP="00E74270">
            <w:pPr>
              <w:pStyle w:val="AppendixBodyText"/>
              <w:rPr>
                <w:rFonts w:ascii="Tahoma" w:hAnsi="Tahoma" w:cs="Tahoma"/>
                <w:sz w:val="18"/>
                <w:szCs w:val="18"/>
              </w:rPr>
            </w:pPr>
            <w:r w:rsidRPr="0058047D">
              <w:rPr>
                <w:rFonts w:ascii="Tahoma" w:hAnsi="Tahoma" w:cs="Tahoma"/>
                <w:sz w:val="18"/>
                <w:szCs w:val="18"/>
              </w:rPr>
              <w:t>Renminbi cinese</w:t>
            </w:r>
          </w:p>
        </w:tc>
        <w:tc>
          <w:tcPr>
            <w:tcW w:w="1112" w:type="dxa"/>
            <w:vAlign w:val="bottom"/>
          </w:tcPr>
          <w:p w14:paraId="290A2B17" w14:textId="77777777" w:rsidR="00E74270" w:rsidRPr="0058047D" w:rsidRDefault="00E74270" w:rsidP="00E74270">
            <w:pPr>
              <w:pStyle w:val="AppendixBodyText"/>
              <w:jc w:val="center"/>
              <w:rPr>
                <w:rFonts w:ascii="Tahoma" w:hAnsi="Tahoma" w:cs="Tahoma"/>
                <w:sz w:val="18"/>
                <w:szCs w:val="18"/>
              </w:rPr>
            </w:pPr>
            <w:r w:rsidRPr="0058047D">
              <w:rPr>
                <w:rFonts w:ascii="Tahoma" w:hAnsi="Tahoma" w:cs="Tahoma"/>
                <w:sz w:val="18"/>
                <w:szCs w:val="18"/>
              </w:rPr>
              <w:t>CNY</w:t>
            </w:r>
          </w:p>
        </w:tc>
        <w:tc>
          <w:tcPr>
            <w:tcW w:w="3152" w:type="dxa"/>
            <w:vAlign w:val="bottom"/>
          </w:tcPr>
          <w:p w14:paraId="0623CEA7" w14:textId="77777777" w:rsidR="00E74270" w:rsidRPr="0058047D" w:rsidRDefault="00E74270" w:rsidP="00147698">
            <w:pPr>
              <w:pStyle w:val="AppendixBodyText"/>
              <w:jc w:val="right"/>
              <w:rPr>
                <w:rFonts w:ascii="Tahoma" w:hAnsi="Tahoma" w:cs="Tahoma"/>
                <w:sz w:val="18"/>
                <w:szCs w:val="18"/>
              </w:rPr>
            </w:pPr>
            <w:r w:rsidRPr="0058047D">
              <w:rPr>
                <w:rFonts w:ascii="Tahoma" w:hAnsi="Tahoma" w:cs="Tahoma"/>
                <w:color w:val="000000"/>
                <w:sz w:val="18"/>
                <w:szCs w:val="18"/>
              </w:rPr>
              <w:t>2</w:t>
            </w:r>
            <w:r w:rsidR="00147698">
              <w:rPr>
                <w:rFonts w:ascii="Tahoma" w:hAnsi="Tahoma" w:cs="Tahoma"/>
                <w:color w:val="000000"/>
                <w:sz w:val="18"/>
                <w:szCs w:val="18"/>
              </w:rPr>
              <w:t>.</w:t>
            </w:r>
            <w:r w:rsidRPr="0058047D">
              <w:rPr>
                <w:rFonts w:ascii="Tahoma" w:hAnsi="Tahoma" w:cs="Tahoma"/>
                <w:color w:val="000000"/>
                <w:sz w:val="18"/>
                <w:szCs w:val="18"/>
              </w:rPr>
              <w:t>062</w:t>
            </w:r>
            <w:r w:rsidR="00147698">
              <w:rPr>
                <w:rFonts w:ascii="Tahoma" w:hAnsi="Tahoma" w:cs="Tahoma"/>
                <w:color w:val="000000"/>
                <w:sz w:val="18"/>
                <w:szCs w:val="18"/>
              </w:rPr>
              <w:t>.</w:t>
            </w:r>
            <w:r w:rsidRPr="0058047D">
              <w:rPr>
                <w:rFonts w:ascii="Tahoma" w:hAnsi="Tahoma" w:cs="Tahoma"/>
                <w:color w:val="000000"/>
                <w:sz w:val="18"/>
                <w:szCs w:val="18"/>
              </w:rPr>
              <w:t>500</w:t>
            </w:r>
          </w:p>
        </w:tc>
      </w:tr>
      <w:tr w:rsidR="00E74270" w:rsidRPr="0058047D" w14:paraId="3B1FEDF2" w14:textId="77777777" w:rsidTr="00EB3A5F">
        <w:trPr>
          <w:trHeight w:val="236"/>
          <w:jc w:val="center"/>
        </w:trPr>
        <w:tc>
          <w:tcPr>
            <w:tcW w:w="1757" w:type="dxa"/>
            <w:vAlign w:val="bottom"/>
          </w:tcPr>
          <w:p w14:paraId="022E88CB" w14:textId="77777777" w:rsidR="00E74270" w:rsidRPr="0058047D" w:rsidRDefault="00E74270" w:rsidP="00E74270">
            <w:pPr>
              <w:pStyle w:val="AppendixBodyText"/>
              <w:rPr>
                <w:rFonts w:ascii="Tahoma" w:hAnsi="Tahoma" w:cs="Tahoma"/>
                <w:sz w:val="18"/>
                <w:szCs w:val="18"/>
              </w:rPr>
            </w:pPr>
            <w:r w:rsidRPr="0058047D">
              <w:rPr>
                <w:rFonts w:ascii="Tahoma" w:hAnsi="Tahoma" w:cs="Tahoma"/>
                <w:sz w:val="18"/>
                <w:szCs w:val="18"/>
              </w:rPr>
              <w:t>Corone Danesi</w:t>
            </w:r>
          </w:p>
        </w:tc>
        <w:tc>
          <w:tcPr>
            <w:tcW w:w="1112" w:type="dxa"/>
            <w:vAlign w:val="bottom"/>
          </w:tcPr>
          <w:p w14:paraId="4E428652" w14:textId="77777777" w:rsidR="00E74270" w:rsidRPr="0058047D" w:rsidRDefault="00E74270" w:rsidP="00E74270">
            <w:pPr>
              <w:pStyle w:val="AppendixBodyText"/>
              <w:jc w:val="center"/>
              <w:rPr>
                <w:rFonts w:ascii="Tahoma" w:hAnsi="Tahoma" w:cs="Tahoma"/>
                <w:sz w:val="18"/>
                <w:szCs w:val="18"/>
              </w:rPr>
            </w:pPr>
            <w:r w:rsidRPr="0058047D">
              <w:rPr>
                <w:rFonts w:ascii="Tahoma" w:hAnsi="Tahoma" w:cs="Tahoma"/>
                <w:sz w:val="18"/>
                <w:szCs w:val="18"/>
              </w:rPr>
              <w:t>DKK</w:t>
            </w:r>
          </w:p>
        </w:tc>
        <w:tc>
          <w:tcPr>
            <w:tcW w:w="3152" w:type="dxa"/>
            <w:vAlign w:val="bottom"/>
          </w:tcPr>
          <w:p w14:paraId="6927E8EE" w14:textId="77777777" w:rsidR="00E74270" w:rsidRPr="0058047D" w:rsidRDefault="00E74270" w:rsidP="00147698">
            <w:pPr>
              <w:pStyle w:val="AppendixBodyText"/>
              <w:jc w:val="right"/>
              <w:rPr>
                <w:rFonts w:ascii="Tahoma" w:hAnsi="Tahoma" w:cs="Tahoma"/>
                <w:sz w:val="18"/>
                <w:szCs w:val="18"/>
              </w:rPr>
            </w:pPr>
            <w:r w:rsidRPr="0058047D">
              <w:rPr>
                <w:rFonts w:ascii="Tahoma" w:hAnsi="Tahoma" w:cs="Tahoma"/>
                <w:color w:val="000000"/>
                <w:sz w:val="18"/>
                <w:szCs w:val="18"/>
              </w:rPr>
              <w:t>2</w:t>
            </w:r>
            <w:r w:rsidR="00147698">
              <w:rPr>
                <w:rFonts w:ascii="Tahoma" w:hAnsi="Tahoma" w:cs="Tahoma"/>
                <w:color w:val="000000"/>
                <w:sz w:val="18"/>
                <w:szCs w:val="18"/>
              </w:rPr>
              <w:t>.</w:t>
            </w:r>
            <w:r w:rsidRPr="0058047D">
              <w:rPr>
                <w:rFonts w:ascii="Tahoma" w:hAnsi="Tahoma" w:cs="Tahoma"/>
                <w:color w:val="000000"/>
                <w:sz w:val="18"/>
                <w:szCs w:val="18"/>
              </w:rPr>
              <w:t>000</w:t>
            </w:r>
            <w:r w:rsidR="00147698">
              <w:rPr>
                <w:rFonts w:ascii="Tahoma" w:hAnsi="Tahoma" w:cs="Tahoma"/>
                <w:color w:val="000000"/>
                <w:sz w:val="18"/>
                <w:szCs w:val="18"/>
              </w:rPr>
              <w:t>.</w:t>
            </w:r>
            <w:r w:rsidRPr="0058047D">
              <w:rPr>
                <w:rFonts w:ascii="Tahoma" w:hAnsi="Tahoma" w:cs="Tahoma"/>
                <w:color w:val="000000"/>
                <w:sz w:val="18"/>
                <w:szCs w:val="18"/>
              </w:rPr>
              <w:t>000</w:t>
            </w:r>
          </w:p>
        </w:tc>
      </w:tr>
      <w:tr w:rsidR="00E74270" w:rsidRPr="0058047D" w14:paraId="38B6D13E" w14:textId="77777777" w:rsidTr="00EB3A5F">
        <w:trPr>
          <w:trHeight w:val="236"/>
          <w:jc w:val="center"/>
        </w:trPr>
        <w:tc>
          <w:tcPr>
            <w:tcW w:w="1757" w:type="dxa"/>
            <w:vAlign w:val="bottom"/>
          </w:tcPr>
          <w:p w14:paraId="52F81D94" w14:textId="77777777" w:rsidR="00E74270" w:rsidRPr="0058047D" w:rsidRDefault="00E74270" w:rsidP="00E74270">
            <w:pPr>
              <w:pStyle w:val="AppendixBodyText"/>
              <w:rPr>
                <w:rFonts w:ascii="Tahoma" w:hAnsi="Tahoma" w:cs="Tahoma"/>
                <w:sz w:val="18"/>
                <w:szCs w:val="18"/>
              </w:rPr>
            </w:pPr>
            <w:r w:rsidRPr="0058047D">
              <w:rPr>
                <w:rFonts w:ascii="Tahoma" w:hAnsi="Tahoma" w:cs="Tahoma"/>
                <w:sz w:val="18"/>
                <w:szCs w:val="18"/>
              </w:rPr>
              <w:t>EURO</w:t>
            </w:r>
          </w:p>
        </w:tc>
        <w:tc>
          <w:tcPr>
            <w:tcW w:w="1112" w:type="dxa"/>
            <w:vAlign w:val="bottom"/>
          </w:tcPr>
          <w:p w14:paraId="1393873E" w14:textId="77777777" w:rsidR="00E74270" w:rsidRPr="0058047D" w:rsidRDefault="00E74270" w:rsidP="00E74270">
            <w:pPr>
              <w:pStyle w:val="AppendixBodyText"/>
              <w:jc w:val="center"/>
              <w:rPr>
                <w:rFonts w:ascii="Tahoma" w:hAnsi="Tahoma" w:cs="Tahoma"/>
                <w:sz w:val="18"/>
                <w:szCs w:val="18"/>
              </w:rPr>
            </w:pPr>
            <w:r w:rsidRPr="0058047D">
              <w:rPr>
                <w:rFonts w:ascii="Tahoma" w:hAnsi="Tahoma" w:cs="Tahoma"/>
                <w:sz w:val="18"/>
                <w:szCs w:val="18"/>
              </w:rPr>
              <w:t>EUR</w:t>
            </w:r>
          </w:p>
        </w:tc>
        <w:tc>
          <w:tcPr>
            <w:tcW w:w="3152" w:type="dxa"/>
            <w:vAlign w:val="bottom"/>
          </w:tcPr>
          <w:p w14:paraId="1DB80C26" w14:textId="77777777" w:rsidR="00E74270" w:rsidRPr="0058047D" w:rsidRDefault="00E74270" w:rsidP="00147698">
            <w:pPr>
              <w:pStyle w:val="AppendixBodyText"/>
              <w:jc w:val="right"/>
              <w:rPr>
                <w:rFonts w:ascii="Tahoma" w:hAnsi="Tahoma" w:cs="Tahoma"/>
                <w:sz w:val="18"/>
                <w:szCs w:val="18"/>
              </w:rPr>
            </w:pPr>
            <w:r w:rsidRPr="0058047D">
              <w:rPr>
                <w:rFonts w:ascii="Tahoma" w:hAnsi="Tahoma" w:cs="Tahoma"/>
                <w:color w:val="000000"/>
                <w:sz w:val="18"/>
                <w:szCs w:val="18"/>
              </w:rPr>
              <w:t>268</w:t>
            </w:r>
            <w:r w:rsidR="00147698">
              <w:rPr>
                <w:rFonts w:ascii="Tahoma" w:hAnsi="Tahoma" w:cs="Tahoma"/>
                <w:color w:val="000000"/>
                <w:sz w:val="18"/>
                <w:szCs w:val="18"/>
              </w:rPr>
              <w:t>.</w:t>
            </w:r>
            <w:r w:rsidRPr="0058047D">
              <w:rPr>
                <w:rFonts w:ascii="Tahoma" w:hAnsi="Tahoma" w:cs="Tahoma"/>
                <w:color w:val="000000"/>
                <w:sz w:val="18"/>
                <w:szCs w:val="18"/>
              </w:rPr>
              <w:t>750</w:t>
            </w:r>
          </w:p>
        </w:tc>
      </w:tr>
      <w:tr w:rsidR="00E74270" w:rsidRPr="0058047D" w14:paraId="061F4414" w14:textId="77777777" w:rsidTr="00EB3A5F">
        <w:trPr>
          <w:trHeight w:val="236"/>
          <w:jc w:val="center"/>
        </w:trPr>
        <w:tc>
          <w:tcPr>
            <w:tcW w:w="1757" w:type="dxa"/>
            <w:vAlign w:val="bottom"/>
          </w:tcPr>
          <w:p w14:paraId="5885FD48" w14:textId="77777777" w:rsidR="00E74270" w:rsidRPr="0058047D" w:rsidRDefault="00E74270" w:rsidP="00E74270">
            <w:pPr>
              <w:pStyle w:val="AppendixBodyText"/>
              <w:rPr>
                <w:rFonts w:ascii="Tahoma" w:hAnsi="Tahoma" w:cs="Tahoma"/>
                <w:sz w:val="18"/>
                <w:szCs w:val="18"/>
              </w:rPr>
            </w:pPr>
            <w:r w:rsidRPr="0058047D">
              <w:rPr>
                <w:rFonts w:ascii="Tahoma" w:hAnsi="Tahoma" w:cs="Tahoma"/>
                <w:sz w:val="18"/>
                <w:szCs w:val="18"/>
              </w:rPr>
              <w:t>Sterlina britannica</w:t>
            </w:r>
          </w:p>
        </w:tc>
        <w:tc>
          <w:tcPr>
            <w:tcW w:w="1112" w:type="dxa"/>
            <w:vAlign w:val="bottom"/>
          </w:tcPr>
          <w:p w14:paraId="2752911E" w14:textId="77777777" w:rsidR="00E74270" w:rsidRPr="0058047D" w:rsidRDefault="00E74270" w:rsidP="00E74270">
            <w:pPr>
              <w:pStyle w:val="AppendixBodyText"/>
              <w:jc w:val="center"/>
              <w:rPr>
                <w:rFonts w:ascii="Tahoma" w:hAnsi="Tahoma" w:cs="Tahoma"/>
                <w:sz w:val="18"/>
                <w:szCs w:val="18"/>
              </w:rPr>
            </w:pPr>
            <w:r w:rsidRPr="0058047D">
              <w:rPr>
                <w:rFonts w:ascii="Tahoma" w:hAnsi="Tahoma" w:cs="Tahoma"/>
                <w:sz w:val="18"/>
                <w:szCs w:val="18"/>
              </w:rPr>
              <w:t>GBP</w:t>
            </w:r>
          </w:p>
        </w:tc>
        <w:tc>
          <w:tcPr>
            <w:tcW w:w="3152" w:type="dxa"/>
            <w:vAlign w:val="bottom"/>
          </w:tcPr>
          <w:p w14:paraId="2595FD33" w14:textId="77777777" w:rsidR="00E74270" w:rsidRPr="0058047D" w:rsidRDefault="00E74270" w:rsidP="00147698">
            <w:pPr>
              <w:pStyle w:val="AppendixBodyText"/>
              <w:jc w:val="right"/>
              <w:rPr>
                <w:rFonts w:ascii="Tahoma" w:hAnsi="Tahoma" w:cs="Tahoma"/>
                <w:sz w:val="18"/>
                <w:szCs w:val="18"/>
              </w:rPr>
            </w:pPr>
            <w:r w:rsidRPr="0058047D">
              <w:rPr>
                <w:rFonts w:ascii="Tahoma" w:hAnsi="Tahoma" w:cs="Tahoma"/>
                <w:color w:val="000000"/>
                <w:sz w:val="18"/>
                <w:szCs w:val="18"/>
              </w:rPr>
              <w:t>168</w:t>
            </w:r>
            <w:r w:rsidR="00147698">
              <w:rPr>
                <w:rFonts w:ascii="Tahoma" w:hAnsi="Tahoma" w:cs="Tahoma"/>
                <w:color w:val="000000"/>
                <w:sz w:val="18"/>
                <w:szCs w:val="18"/>
              </w:rPr>
              <w:t>.</w:t>
            </w:r>
            <w:r w:rsidRPr="0058047D">
              <w:rPr>
                <w:rFonts w:ascii="Tahoma" w:hAnsi="Tahoma" w:cs="Tahoma"/>
                <w:color w:val="000000"/>
                <w:sz w:val="18"/>
                <w:szCs w:val="18"/>
              </w:rPr>
              <w:t>750</w:t>
            </w:r>
          </w:p>
        </w:tc>
      </w:tr>
      <w:tr w:rsidR="00E74270" w:rsidRPr="0058047D" w14:paraId="7B680562" w14:textId="77777777" w:rsidTr="00EB3A5F">
        <w:trPr>
          <w:trHeight w:val="236"/>
          <w:jc w:val="center"/>
        </w:trPr>
        <w:tc>
          <w:tcPr>
            <w:tcW w:w="1757" w:type="dxa"/>
            <w:vAlign w:val="bottom"/>
          </w:tcPr>
          <w:p w14:paraId="78836FBB" w14:textId="77777777" w:rsidR="00E74270" w:rsidRPr="0058047D" w:rsidRDefault="00E74270" w:rsidP="00E74270">
            <w:pPr>
              <w:pStyle w:val="AppendixBodyText"/>
              <w:rPr>
                <w:rFonts w:ascii="Tahoma" w:hAnsi="Tahoma" w:cs="Tahoma"/>
                <w:sz w:val="18"/>
                <w:szCs w:val="18"/>
              </w:rPr>
            </w:pPr>
            <w:r w:rsidRPr="0058047D">
              <w:rPr>
                <w:rFonts w:ascii="Tahoma" w:hAnsi="Tahoma" w:cs="Tahoma"/>
                <w:sz w:val="18"/>
                <w:szCs w:val="18"/>
              </w:rPr>
              <w:t>Yen Giapponesi</w:t>
            </w:r>
          </w:p>
        </w:tc>
        <w:tc>
          <w:tcPr>
            <w:tcW w:w="1112" w:type="dxa"/>
            <w:vAlign w:val="bottom"/>
          </w:tcPr>
          <w:p w14:paraId="6562492D" w14:textId="77777777" w:rsidR="00E74270" w:rsidRPr="0058047D" w:rsidRDefault="00E74270" w:rsidP="00E74270">
            <w:pPr>
              <w:pStyle w:val="AppendixBodyText"/>
              <w:jc w:val="center"/>
              <w:rPr>
                <w:rFonts w:ascii="Tahoma" w:hAnsi="Tahoma" w:cs="Tahoma"/>
                <w:sz w:val="18"/>
                <w:szCs w:val="18"/>
              </w:rPr>
            </w:pPr>
            <w:r w:rsidRPr="0058047D">
              <w:rPr>
                <w:rFonts w:ascii="Tahoma" w:hAnsi="Tahoma" w:cs="Tahoma"/>
                <w:sz w:val="18"/>
                <w:szCs w:val="18"/>
              </w:rPr>
              <w:t>JPY</w:t>
            </w:r>
          </w:p>
        </w:tc>
        <w:tc>
          <w:tcPr>
            <w:tcW w:w="3152" w:type="dxa"/>
            <w:vAlign w:val="bottom"/>
          </w:tcPr>
          <w:p w14:paraId="069E2116" w14:textId="77777777" w:rsidR="00E74270" w:rsidRPr="0058047D" w:rsidRDefault="00E74270" w:rsidP="00147698">
            <w:pPr>
              <w:pStyle w:val="AppendixBodyText"/>
              <w:jc w:val="right"/>
              <w:rPr>
                <w:rFonts w:ascii="Tahoma" w:hAnsi="Tahoma" w:cs="Tahoma"/>
                <w:sz w:val="18"/>
                <w:szCs w:val="18"/>
              </w:rPr>
            </w:pPr>
            <w:r w:rsidRPr="0058047D">
              <w:rPr>
                <w:rFonts w:ascii="Tahoma" w:hAnsi="Tahoma" w:cs="Tahoma"/>
                <w:color w:val="000000"/>
                <w:sz w:val="18"/>
                <w:szCs w:val="18"/>
              </w:rPr>
              <w:t>30</w:t>
            </w:r>
            <w:r w:rsidR="00147698">
              <w:rPr>
                <w:rFonts w:ascii="Tahoma" w:hAnsi="Tahoma" w:cs="Tahoma"/>
                <w:color w:val="000000"/>
                <w:sz w:val="18"/>
                <w:szCs w:val="18"/>
              </w:rPr>
              <w:t>.</w:t>
            </w:r>
            <w:r w:rsidRPr="0058047D">
              <w:rPr>
                <w:rFonts w:ascii="Tahoma" w:hAnsi="Tahoma" w:cs="Tahoma"/>
                <w:color w:val="000000"/>
                <w:sz w:val="18"/>
                <w:szCs w:val="18"/>
              </w:rPr>
              <w:t>000</w:t>
            </w:r>
            <w:r w:rsidR="00147698">
              <w:rPr>
                <w:rFonts w:ascii="Tahoma" w:hAnsi="Tahoma" w:cs="Tahoma"/>
                <w:color w:val="000000"/>
                <w:sz w:val="18"/>
                <w:szCs w:val="18"/>
              </w:rPr>
              <w:t>.</w:t>
            </w:r>
            <w:r w:rsidRPr="0058047D">
              <w:rPr>
                <w:rFonts w:ascii="Tahoma" w:hAnsi="Tahoma" w:cs="Tahoma"/>
                <w:color w:val="000000"/>
                <w:sz w:val="18"/>
                <w:szCs w:val="18"/>
              </w:rPr>
              <w:t>000</w:t>
            </w:r>
          </w:p>
        </w:tc>
      </w:tr>
      <w:tr w:rsidR="00E74270" w:rsidRPr="0058047D" w14:paraId="44D83B78" w14:textId="77777777" w:rsidTr="00EB3A5F">
        <w:trPr>
          <w:trHeight w:val="236"/>
          <w:jc w:val="center"/>
        </w:trPr>
        <w:tc>
          <w:tcPr>
            <w:tcW w:w="1757" w:type="dxa"/>
            <w:vAlign w:val="bottom"/>
          </w:tcPr>
          <w:p w14:paraId="60A369E0" w14:textId="77777777" w:rsidR="00E74270" w:rsidRPr="0058047D" w:rsidRDefault="00E74270" w:rsidP="00E74270">
            <w:pPr>
              <w:pStyle w:val="AppendixBodyText"/>
              <w:rPr>
                <w:rFonts w:ascii="Tahoma" w:hAnsi="Tahoma" w:cs="Tahoma"/>
                <w:sz w:val="18"/>
                <w:szCs w:val="18"/>
              </w:rPr>
            </w:pPr>
            <w:r w:rsidRPr="0058047D">
              <w:rPr>
                <w:rFonts w:ascii="Tahoma" w:hAnsi="Tahoma" w:cs="Tahoma"/>
                <w:sz w:val="18"/>
                <w:szCs w:val="18"/>
              </w:rPr>
              <w:t>Won Coreani</w:t>
            </w:r>
          </w:p>
        </w:tc>
        <w:tc>
          <w:tcPr>
            <w:tcW w:w="1112" w:type="dxa"/>
            <w:vAlign w:val="bottom"/>
          </w:tcPr>
          <w:p w14:paraId="78219827" w14:textId="77777777" w:rsidR="00E74270" w:rsidRPr="0058047D" w:rsidRDefault="00E74270" w:rsidP="00E74270">
            <w:pPr>
              <w:pStyle w:val="AppendixBodyText"/>
              <w:jc w:val="center"/>
              <w:rPr>
                <w:rFonts w:ascii="Tahoma" w:hAnsi="Tahoma" w:cs="Tahoma"/>
                <w:sz w:val="18"/>
                <w:szCs w:val="18"/>
              </w:rPr>
            </w:pPr>
            <w:r w:rsidRPr="0058047D">
              <w:rPr>
                <w:rFonts w:ascii="Tahoma" w:hAnsi="Tahoma" w:cs="Tahoma"/>
                <w:sz w:val="18"/>
                <w:szCs w:val="18"/>
              </w:rPr>
              <w:t>KRW</w:t>
            </w:r>
          </w:p>
        </w:tc>
        <w:tc>
          <w:tcPr>
            <w:tcW w:w="3152" w:type="dxa"/>
            <w:vAlign w:val="bottom"/>
          </w:tcPr>
          <w:p w14:paraId="3BD711F2" w14:textId="77777777" w:rsidR="00E74270" w:rsidRPr="0058047D" w:rsidRDefault="00E74270" w:rsidP="00147698">
            <w:pPr>
              <w:pStyle w:val="AppendixBodyText"/>
              <w:jc w:val="right"/>
              <w:rPr>
                <w:rFonts w:ascii="Tahoma" w:hAnsi="Tahoma" w:cs="Tahoma"/>
                <w:sz w:val="18"/>
                <w:szCs w:val="18"/>
              </w:rPr>
            </w:pPr>
            <w:r w:rsidRPr="0058047D">
              <w:rPr>
                <w:rFonts w:ascii="Tahoma" w:hAnsi="Tahoma" w:cs="Tahoma"/>
                <w:color w:val="000000"/>
                <w:sz w:val="18"/>
                <w:szCs w:val="18"/>
              </w:rPr>
              <w:t>300</w:t>
            </w:r>
            <w:r w:rsidR="00147698">
              <w:rPr>
                <w:rFonts w:ascii="Tahoma" w:hAnsi="Tahoma" w:cs="Tahoma"/>
                <w:color w:val="000000"/>
                <w:sz w:val="18"/>
                <w:szCs w:val="18"/>
              </w:rPr>
              <w:t>.</w:t>
            </w:r>
            <w:r w:rsidRPr="0058047D">
              <w:rPr>
                <w:rFonts w:ascii="Tahoma" w:hAnsi="Tahoma" w:cs="Tahoma"/>
                <w:color w:val="000000"/>
                <w:sz w:val="18"/>
                <w:szCs w:val="18"/>
              </w:rPr>
              <w:t>000</w:t>
            </w:r>
            <w:r w:rsidR="00147698">
              <w:rPr>
                <w:rFonts w:ascii="Tahoma" w:hAnsi="Tahoma" w:cs="Tahoma"/>
                <w:color w:val="000000"/>
                <w:sz w:val="18"/>
                <w:szCs w:val="18"/>
              </w:rPr>
              <w:t>.</w:t>
            </w:r>
            <w:r w:rsidRPr="0058047D">
              <w:rPr>
                <w:rFonts w:ascii="Tahoma" w:hAnsi="Tahoma" w:cs="Tahoma"/>
                <w:color w:val="000000"/>
                <w:sz w:val="18"/>
                <w:szCs w:val="18"/>
              </w:rPr>
              <w:t>000</w:t>
            </w:r>
          </w:p>
        </w:tc>
      </w:tr>
      <w:tr w:rsidR="00E74270" w:rsidRPr="0058047D" w14:paraId="63715DFD" w14:textId="77777777" w:rsidTr="00EB3A5F">
        <w:trPr>
          <w:trHeight w:val="236"/>
          <w:jc w:val="center"/>
        </w:trPr>
        <w:tc>
          <w:tcPr>
            <w:tcW w:w="1757" w:type="dxa"/>
            <w:vAlign w:val="bottom"/>
          </w:tcPr>
          <w:p w14:paraId="366E3A2B" w14:textId="77777777" w:rsidR="00E74270" w:rsidRPr="0058047D" w:rsidRDefault="00E74270" w:rsidP="00E74270">
            <w:pPr>
              <w:pStyle w:val="AppendixBodyText"/>
              <w:rPr>
                <w:rFonts w:ascii="Tahoma" w:hAnsi="Tahoma" w:cs="Tahoma"/>
                <w:sz w:val="18"/>
                <w:szCs w:val="18"/>
              </w:rPr>
            </w:pPr>
            <w:r w:rsidRPr="0058047D">
              <w:rPr>
                <w:rFonts w:ascii="Tahoma" w:hAnsi="Tahoma" w:cs="Tahoma"/>
                <w:sz w:val="18"/>
                <w:szCs w:val="18"/>
              </w:rPr>
              <w:t>Corone Norvegesi</w:t>
            </w:r>
          </w:p>
        </w:tc>
        <w:tc>
          <w:tcPr>
            <w:tcW w:w="1112" w:type="dxa"/>
            <w:vAlign w:val="bottom"/>
          </w:tcPr>
          <w:p w14:paraId="3DBA59B7" w14:textId="77777777" w:rsidR="00E74270" w:rsidRPr="0058047D" w:rsidRDefault="00E74270" w:rsidP="00E74270">
            <w:pPr>
              <w:pStyle w:val="AppendixBodyText"/>
              <w:jc w:val="center"/>
              <w:rPr>
                <w:rFonts w:ascii="Tahoma" w:hAnsi="Tahoma" w:cs="Tahoma"/>
                <w:sz w:val="18"/>
                <w:szCs w:val="18"/>
              </w:rPr>
            </w:pPr>
            <w:r w:rsidRPr="0058047D">
              <w:rPr>
                <w:rFonts w:ascii="Tahoma" w:hAnsi="Tahoma" w:cs="Tahoma"/>
                <w:sz w:val="18"/>
                <w:szCs w:val="18"/>
              </w:rPr>
              <w:t>NOK</w:t>
            </w:r>
          </w:p>
        </w:tc>
        <w:tc>
          <w:tcPr>
            <w:tcW w:w="3152" w:type="dxa"/>
            <w:vAlign w:val="bottom"/>
          </w:tcPr>
          <w:p w14:paraId="31109002" w14:textId="77777777" w:rsidR="00E74270" w:rsidRPr="0058047D" w:rsidRDefault="00E74270" w:rsidP="00147698">
            <w:pPr>
              <w:pStyle w:val="AppendixBodyText"/>
              <w:jc w:val="right"/>
              <w:rPr>
                <w:rFonts w:ascii="Tahoma" w:hAnsi="Tahoma" w:cs="Tahoma"/>
                <w:sz w:val="18"/>
                <w:szCs w:val="18"/>
              </w:rPr>
            </w:pPr>
            <w:r w:rsidRPr="0058047D">
              <w:rPr>
                <w:rFonts w:ascii="Tahoma" w:hAnsi="Tahoma" w:cs="Tahoma"/>
                <w:color w:val="000000"/>
                <w:sz w:val="18"/>
                <w:szCs w:val="18"/>
              </w:rPr>
              <w:t>2</w:t>
            </w:r>
            <w:r w:rsidR="00147698">
              <w:rPr>
                <w:rFonts w:ascii="Tahoma" w:hAnsi="Tahoma" w:cs="Tahoma"/>
                <w:color w:val="000000"/>
                <w:sz w:val="18"/>
                <w:szCs w:val="18"/>
              </w:rPr>
              <w:t>.</w:t>
            </w:r>
            <w:r w:rsidRPr="0058047D">
              <w:rPr>
                <w:rFonts w:ascii="Tahoma" w:hAnsi="Tahoma" w:cs="Tahoma"/>
                <w:color w:val="000000"/>
                <w:sz w:val="18"/>
                <w:szCs w:val="18"/>
              </w:rPr>
              <w:t>062</w:t>
            </w:r>
            <w:r w:rsidR="00147698">
              <w:rPr>
                <w:rFonts w:ascii="Tahoma" w:hAnsi="Tahoma" w:cs="Tahoma"/>
                <w:color w:val="000000"/>
                <w:sz w:val="18"/>
                <w:szCs w:val="18"/>
              </w:rPr>
              <w:t>.</w:t>
            </w:r>
            <w:r w:rsidRPr="0058047D">
              <w:rPr>
                <w:rFonts w:ascii="Tahoma" w:hAnsi="Tahoma" w:cs="Tahoma"/>
                <w:color w:val="000000"/>
                <w:sz w:val="18"/>
                <w:szCs w:val="18"/>
              </w:rPr>
              <w:t>500</w:t>
            </w:r>
          </w:p>
        </w:tc>
      </w:tr>
      <w:tr w:rsidR="00E74270" w:rsidRPr="0058047D" w14:paraId="2B36810C" w14:textId="77777777" w:rsidTr="00EB3A5F">
        <w:trPr>
          <w:trHeight w:val="236"/>
          <w:jc w:val="center"/>
        </w:trPr>
        <w:tc>
          <w:tcPr>
            <w:tcW w:w="1757" w:type="dxa"/>
            <w:vAlign w:val="bottom"/>
          </w:tcPr>
          <w:p w14:paraId="0F2F94C5" w14:textId="77777777" w:rsidR="00E74270" w:rsidRPr="0058047D" w:rsidRDefault="00E74270" w:rsidP="00E74270">
            <w:pPr>
              <w:pStyle w:val="AppendixBodyText"/>
              <w:rPr>
                <w:rFonts w:ascii="Tahoma" w:hAnsi="Tahoma" w:cs="Tahoma"/>
                <w:sz w:val="18"/>
                <w:szCs w:val="18"/>
              </w:rPr>
            </w:pPr>
            <w:r w:rsidRPr="0058047D">
              <w:rPr>
                <w:rFonts w:ascii="Tahoma" w:hAnsi="Tahoma" w:cs="Tahoma"/>
                <w:sz w:val="18"/>
                <w:szCs w:val="18"/>
              </w:rPr>
              <w:t>Dollaro neozelandese</w:t>
            </w:r>
          </w:p>
        </w:tc>
        <w:tc>
          <w:tcPr>
            <w:tcW w:w="1112" w:type="dxa"/>
            <w:vAlign w:val="bottom"/>
          </w:tcPr>
          <w:p w14:paraId="2F6B0596" w14:textId="77777777" w:rsidR="00E74270" w:rsidRPr="0058047D" w:rsidRDefault="00E74270" w:rsidP="00E74270">
            <w:pPr>
              <w:pStyle w:val="AppendixBodyText"/>
              <w:jc w:val="center"/>
              <w:rPr>
                <w:rFonts w:ascii="Tahoma" w:hAnsi="Tahoma" w:cs="Tahoma"/>
                <w:sz w:val="18"/>
                <w:szCs w:val="18"/>
              </w:rPr>
            </w:pPr>
            <w:r w:rsidRPr="0058047D">
              <w:rPr>
                <w:rFonts w:ascii="Tahoma" w:hAnsi="Tahoma" w:cs="Tahoma"/>
                <w:sz w:val="18"/>
                <w:szCs w:val="18"/>
              </w:rPr>
              <w:t>NZD</w:t>
            </w:r>
          </w:p>
        </w:tc>
        <w:tc>
          <w:tcPr>
            <w:tcW w:w="3152" w:type="dxa"/>
            <w:vAlign w:val="bottom"/>
          </w:tcPr>
          <w:p w14:paraId="37C211ED" w14:textId="77777777" w:rsidR="00E74270" w:rsidRPr="0058047D" w:rsidRDefault="00E74270" w:rsidP="00147698">
            <w:pPr>
              <w:pStyle w:val="AppendixBodyText"/>
              <w:jc w:val="right"/>
              <w:rPr>
                <w:rFonts w:ascii="Tahoma" w:hAnsi="Tahoma" w:cs="Tahoma"/>
                <w:sz w:val="18"/>
                <w:szCs w:val="18"/>
              </w:rPr>
            </w:pPr>
            <w:r w:rsidRPr="0058047D">
              <w:rPr>
                <w:rFonts w:ascii="Tahoma" w:hAnsi="Tahoma" w:cs="Tahoma"/>
                <w:color w:val="000000"/>
                <w:sz w:val="18"/>
                <w:szCs w:val="18"/>
              </w:rPr>
              <w:t>437</w:t>
            </w:r>
            <w:r w:rsidR="00147698">
              <w:rPr>
                <w:rFonts w:ascii="Tahoma" w:hAnsi="Tahoma" w:cs="Tahoma"/>
                <w:color w:val="000000"/>
                <w:sz w:val="18"/>
                <w:szCs w:val="18"/>
              </w:rPr>
              <w:t>.</w:t>
            </w:r>
            <w:r w:rsidRPr="0058047D">
              <w:rPr>
                <w:rFonts w:ascii="Tahoma" w:hAnsi="Tahoma" w:cs="Tahoma"/>
                <w:color w:val="000000"/>
                <w:sz w:val="18"/>
                <w:szCs w:val="18"/>
              </w:rPr>
              <w:t>500</w:t>
            </w:r>
          </w:p>
        </w:tc>
      </w:tr>
      <w:tr w:rsidR="00E74270" w:rsidRPr="0058047D" w14:paraId="44D33FEE" w14:textId="77777777" w:rsidTr="00EB3A5F">
        <w:trPr>
          <w:trHeight w:val="236"/>
          <w:jc w:val="center"/>
        </w:trPr>
        <w:tc>
          <w:tcPr>
            <w:tcW w:w="1757" w:type="dxa"/>
            <w:vAlign w:val="bottom"/>
          </w:tcPr>
          <w:p w14:paraId="65017BEE" w14:textId="77777777" w:rsidR="00E74270" w:rsidRPr="0058047D" w:rsidRDefault="00E74270" w:rsidP="00E74270">
            <w:pPr>
              <w:pStyle w:val="AppendixBodyText"/>
              <w:rPr>
                <w:rFonts w:ascii="Tahoma" w:hAnsi="Tahoma" w:cs="Tahoma"/>
                <w:sz w:val="18"/>
                <w:szCs w:val="18"/>
              </w:rPr>
            </w:pPr>
            <w:r w:rsidRPr="0058047D">
              <w:rPr>
                <w:rFonts w:ascii="Tahoma" w:hAnsi="Tahoma" w:cs="Tahoma"/>
                <w:sz w:val="18"/>
                <w:szCs w:val="18"/>
              </w:rPr>
              <w:t>Corone Svedesi</w:t>
            </w:r>
          </w:p>
        </w:tc>
        <w:tc>
          <w:tcPr>
            <w:tcW w:w="1112" w:type="dxa"/>
            <w:vAlign w:val="bottom"/>
          </w:tcPr>
          <w:p w14:paraId="04FC39BF" w14:textId="77777777" w:rsidR="00E74270" w:rsidRPr="0058047D" w:rsidRDefault="00E74270" w:rsidP="00E74270">
            <w:pPr>
              <w:pStyle w:val="AppendixBodyText"/>
              <w:jc w:val="center"/>
              <w:rPr>
                <w:rFonts w:ascii="Tahoma" w:hAnsi="Tahoma" w:cs="Tahoma"/>
                <w:sz w:val="18"/>
                <w:szCs w:val="18"/>
              </w:rPr>
            </w:pPr>
            <w:r w:rsidRPr="0058047D">
              <w:rPr>
                <w:rFonts w:ascii="Tahoma" w:hAnsi="Tahoma" w:cs="Tahoma"/>
                <w:sz w:val="18"/>
                <w:szCs w:val="18"/>
              </w:rPr>
              <w:t>SEK</w:t>
            </w:r>
          </w:p>
        </w:tc>
        <w:tc>
          <w:tcPr>
            <w:tcW w:w="3152" w:type="dxa"/>
            <w:vAlign w:val="bottom"/>
          </w:tcPr>
          <w:p w14:paraId="5B401785" w14:textId="77777777" w:rsidR="00E74270" w:rsidRPr="0058047D" w:rsidRDefault="00E74270" w:rsidP="00147698">
            <w:pPr>
              <w:pStyle w:val="AppendixBodyText"/>
              <w:jc w:val="right"/>
              <w:rPr>
                <w:rFonts w:ascii="Tahoma" w:hAnsi="Tahoma" w:cs="Tahoma"/>
                <w:sz w:val="18"/>
                <w:szCs w:val="18"/>
              </w:rPr>
            </w:pPr>
            <w:r w:rsidRPr="0058047D">
              <w:rPr>
                <w:rFonts w:ascii="Tahoma" w:hAnsi="Tahoma" w:cs="Tahoma"/>
                <w:color w:val="000000"/>
                <w:sz w:val="18"/>
                <w:szCs w:val="18"/>
              </w:rPr>
              <w:t>2</w:t>
            </w:r>
            <w:r w:rsidR="00147698">
              <w:rPr>
                <w:rFonts w:ascii="Tahoma" w:hAnsi="Tahoma" w:cs="Tahoma"/>
                <w:color w:val="000000"/>
                <w:sz w:val="18"/>
                <w:szCs w:val="18"/>
              </w:rPr>
              <w:t>.</w:t>
            </w:r>
            <w:r w:rsidRPr="0058047D">
              <w:rPr>
                <w:rFonts w:ascii="Tahoma" w:hAnsi="Tahoma" w:cs="Tahoma"/>
                <w:color w:val="000000"/>
                <w:sz w:val="18"/>
                <w:szCs w:val="18"/>
              </w:rPr>
              <w:t>500</w:t>
            </w:r>
            <w:r w:rsidR="00147698">
              <w:rPr>
                <w:rFonts w:ascii="Tahoma" w:hAnsi="Tahoma" w:cs="Tahoma"/>
                <w:color w:val="000000"/>
                <w:sz w:val="18"/>
                <w:szCs w:val="18"/>
              </w:rPr>
              <w:t>.</w:t>
            </w:r>
            <w:r w:rsidRPr="0058047D">
              <w:rPr>
                <w:rFonts w:ascii="Tahoma" w:hAnsi="Tahoma" w:cs="Tahoma"/>
                <w:color w:val="000000"/>
                <w:sz w:val="18"/>
                <w:szCs w:val="18"/>
              </w:rPr>
              <w:t>000</w:t>
            </w:r>
          </w:p>
        </w:tc>
      </w:tr>
      <w:tr w:rsidR="00E74270" w:rsidRPr="0058047D" w14:paraId="6E1F07EB" w14:textId="77777777" w:rsidTr="00EB3A5F">
        <w:trPr>
          <w:trHeight w:val="236"/>
          <w:jc w:val="center"/>
        </w:trPr>
        <w:tc>
          <w:tcPr>
            <w:tcW w:w="1757" w:type="dxa"/>
            <w:vAlign w:val="bottom"/>
          </w:tcPr>
          <w:p w14:paraId="7748558A" w14:textId="77777777" w:rsidR="00E74270" w:rsidRPr="0058047D" w:rsidRDefault="00E74270" w:rsidP="00E74270">
            <w:pPr>
              <w:pStyle w:val="AppendixBodyText"/>
              <w:rPr>
                <w:rFonts w:ascii="Tahoma" w:hAnsi="Tahoma" w:cs="Tahoma"/>
                <w:sz w:val="18"/>
                <w:szCs w:val="18"/>
              </w:rPr>
            </w:pPr>
            <w:r w:rsidRPr="0058047D">
              <w:rPr>
                <w:rFonts w:ascii="Tahoma" w:hAnsi="Tahoma" w:cs="Tahoma"/>
                <w:sz w:val="18"/>
                <w:szCs w:val="18"/>
              </w:rPr>
              <w:t>Nuovo dollaro taiwanese</w:t>
            </w:r>
          </w:p>
        </w:tc>
        <w:tc>
          <w:tcPr>
            <w:tcW w:w="1112" w:type="dxa"/>
            <w:vAlign w:val="bottom"/>
          </w:tcPr>
          <w:p w14:paraId="2D06854C" w14:textId="77777777" w:rsidR="00E74270" w:rsidRPr="0058047D" w:rsidRDefault="00E74270" w:rsidP="00E74270">
            <w:pPr>
              <w:pStyle w:val="AppendixBodyText"/>
              <w:jc w:val="center"/>
              <w:rPr>
                <w:rFonts w:ascii="Tahoma" w:hAnsi="Tahoma" w:cs="Tahoma"/>
                <w:sz w:val="18"/>
                <w:szCs w:val="18"/>
              </w:rPr>
            </w:pPr>
            <w:r w:rsidRPr="0058047D">
              <w:rPr>
                <w:rFonts w:ascii="Tahoma" w:hAnsi="Tahoma" w:cs="Tahoma"/>
                <w:sz w:val="18"/>
                <w:szCs w:val="18"/>
              </w:rPr>
              <w:t>TWD</w:t>
            </w:r>
          </w:p>
        </w:tc>
        <w:tc>
          <w:tcPr>
            <w:tcW w:w="3152" w:type="dxa"/>
            <w:vAlign w:val="bottom"/>
          </w:tcPr>
          <w:p w14:paraId="6E347951" w14:textId="77777777" w:rsidR="00E74270" w:rsidRPr="0058047D" w:rsidRDefault="00E74270" w:rsidP="00147698">
            <w:pPr>
              <w:pStyle w:val="AppendixBodyText"/>
              <w:jc w:val="right"/>
              <w:rPr>
                <w:rFonts w:ascii="Tahoma" w:hAnsi="Tahoma" w:cs="Tahoma"/>
                <w:sz w:val="18"/>
                <w:szCs w:val="18"/>
              </w:rPr>
            </w:pPr>
            <w:r w:rsidRPr="0058047D">
              <w:rPr>
                <w:rFonts w:ascii="Tahoma" w:hAnsi="Tahoma" w:cs="Tahoma"/>
                <w:color w:val="000000"/>
                <w:sz w:val="18"/>
                <w:szCs w:val="18"/>
              </w:rPr>
              <w:t>8</w:t>
            </w:r>
            <w:r w:rsidR="00147698">
              <w:rPr>
                <w:rFonts w:ascii="Tahoma" w:hAnsi="Tahoma" w:cs="Tahoma"/>
                <w:color w:val="000000"/>
                <w:sz w:val="18"/>
                <w:szCs w:val="18"/>
              </w:rPr>
              <w:t>.</w:t>
            </w:r>
            <w:r w:rsidRPr="0058047D">
              <w:rPr>
                <w:rFonts w:ascii="Tahoma" w:hAnsi="Tahoma" w:cs="Tahoma"/>
                <w:color w:val="000000"/>
                <w:sz w:val="18"/>
                <w:szCs w:val="18"/>
              </w:rPr>
              <w:t>750</w:t>
            </w:r>
            <w:r w:rsidR="00147698">
              <w:rPr>
                <w:rFonts w:ascii="Tahoma" w:hAnsi="Tahoma" w:cs="Tahoma"/>
                <w:color w:val="000000"/>
                <w:sz w:val="18"/>
                <w:szCs w:val="18"/>
              </w:rPr>
              <w:t>.</w:t>
            </w:r>
            <w:r w:rsidRPr="0058047D">
              <w:rPr>
                <w:rFonts w:ascii="Tahoma" w:hAnsi="Tahoma" w:cs="Tahoma"/>
                <w:color w:val="000000"/>
                <w:sz w:val="18"/>
                <w:szCs w:val="18"/>
              </w:rPr>
              <w:t>000</w:t>
            </w:r>
          </w:p>
        </w:tc>
      </w:tr>
      <w:tr w:rsidR="00E74270" w:rsidRPr="0058047D" w14:paraId="2F6AFFBF" w14:textId="77777777" w:rsidTr="00EB3A5F">
        <w:trPr>
          <w:trHeight w:val="236"/>
          <w:jc w:val="center"/>
        </w:trPr>
        <w:tc>
          <w:tcPr>
            <w:tcW w:w="1757" w:type="dxa"/>
            <w:vAlign w:val="bottom"/>
          </w:tcPr>
          <w:p w14:paraId="377FA700" w14:textId="77777777" w:rsidR="00E74270" w:rsidRPr="0058047D" w:rsidRDefault="00E74270" w:rsidP="00E74270">
            <w:pPr>
              <w:pStyle w:val="AppendixBodyText"/>
              <w:rPr>
                <w:rFonts w:ascii="Tahoma" w:hAnsi="Tahoma" w:cs="Tahoma"/>
                <w:sz w:val="18"/>
                <w:szCs w:val="18"/>
              </w:rPr>
            </w:pPr>
            <w:r w:rsidRPr="0058047D">
              <w:rPr>
                <w:rFonts w:ascii="Tahoma" w:hAnsi="Tahoma" w:cs="Tahoma"/>
                <w:sz w:val="18"/>
                <w:szCs w:val="18"/>
              </w:rPr>
              <w:t>Rupia indiana</w:t>
            </w:r>
          </w:p>
        </w:tc>
        <w:tc>
          <w:tcPr>
            <w:tcW w:w="1112" w:type="dxa"/>
            <w:vAlign w:val="bottom"/>
          </w:tcPr>
          <w:p w14:paraId="373682BE" w14:textId="77777777" w:rsidR="00E74270" w:rsidRPr="0058047D" w:rsidRDefault="00E74270" w:rsidP="00E74270">
            <w:pPr>
              <w:pStyle w:val="AppendixBodyText"/>
              <w:jc w:val="center"/>
              <w:rPr>
                <w:rFonts w:ascii="Tahoma" w:hAnsi="Tahoma" w:cs="Tahoma"/>
                <w:sz w:val="18"/>
                <w:szCs w:val="18"/>
              </w:rPr>
            </w:pPr>
            <w:r w:rsidRPr="0058047D">
              <w:rPr>
                <w:rFonts w:ascii="Tahoma" w:hAnsi="Tahoma" w:cs="Tahoma"/>
                <w:sz w:val="18"/>
                <w:szCs w:val="18"/>
              </w:rPr>
              <w:t>INR</w:t>
            </w:r>
          </w:p>
        </w:tc>
        <w:tc>
          <w:tcPr>
            <w:tcW w:w="3152" w:type="dxa"/>
            <w:vAlign w:val="bottom"/>
          </w:tcPr>
          <w:p w14:paraId="41428166" w14:textId="77777777" w:rsidR="00E74270" w:rsidRPr="0058047D" w:rsidRDefault="00E74270" w:rsidP="00147698">
            <w:pPr>
              <w:pStyle w:val="AppendixBodyText"/>
              <w:jc w:val="right"/>
              <w:rPr>
                <w:rFonts w:ascii="Tahoma" w:hAnsi="Tahoma" w:cs="Tahoma"/>
                <w:color w:val="000000"/>
                <w:sz w:val="18"/>
                <w:szCs w:val="18"/>
              </w:rPr>
            </w:pPr>
            <w:r w:rsidRPr="0058047D">
              <w:rPr>
                <w:rFonts w:ascii="Tahoma" w:hAnsi="Tahoma" w:cs="Tahoma"/>
                <w:sz w:val="18"/>
                <w:szCs w:val="18"/>
              </w:rPr>
              <w:t>12</w:t>
            </w:r>
            <w:r w:rsidR="00147698">
              <w:rPr>
                <w:rFonts w:ascii="Tahoma" w:hAnsi="Tahoma" w:cs="Tahoma"/>
                <w:sz w:val="18"/>
                <w:szCs w:val="18"/>
              </w:rPr>
              <w:t>.</w:t>
            </w:r>
            <w:r w:rsidRPr="0058047D">
              <w:rPr>
                <w:rFonts w:ascii="Tahoma" w:hAnsi="Tahoma" w:cs="Tahoma"/>
                <w:sz w:val="18"/>
                <w:szCs w:val="18"/>
              </w:rPr>
              <w:t>500</w:t>
            </w:r>
            <w:r w:rsidR="00147698">
              <w:rPr>
                <w:rFonts w:ascii="Tahoma" w:hAnsi="Tahoma" w:cs="Tahoma"/>
                <w:sz w:val="18"/>
                <w:szCs w:val="18"/>
              </w:rPr>
              <w:t>.</w:t>
            </w:r>
            <w:r w:rsidRPr="0058047D">
              <w:rPr>
                <w:rFonts w:ascii="Tahoma" w:hAnsi="Tahoma" w:cs="Tahoma"/>
                <w:sz w:val="18"/>
                <w:szCs w:val="18"/>
              </w:rPr>
              <w:t>000</w:t>
            </w:r>
          </w:p>
        </w:tc>
      </w:tr>
      <w:tr w:rsidR="00E74270" w:rsidRPr="0058047D" w14:paraId="3D82ACEB" w14:textId="77777777" w:rsidTr="00EB3A5F">
        <w:trPr>
          <w:trHeight w:val="236"/>
          <w:jc w:val="center"/>
        </w:trPr>
        <w:tc>
          <w:tcPr>
            <w:tcW w:w="1757" w:type="dxa"/>
            <w:vAlign w:val="bottom"/>
          </w:tcPr>
          <w:p w14:paraId="36E2061F" w14:textId="77777777" w:rsidR="00E74270" w:rsidRPr="0058047D" w:rsidRDefault="00E74270" w:rsidP="00E74270">
            <w:pPr>
              <w:pStyle w:val="AppendixBodyText"/>
              <w:rPr>
                <w:rFonts w:ascii="Tahoma" w:hAnsi="Tahoma" w:cs="Tahoma"/>
                <w:sz w:val="18"/>
                <w:szCs w:val="18"/>
              </w:rPr>
            </w:pPr>
            <w:r w:rsidRPr="0058047D">
              <w:rPr>
                <w:rFonts w:ascii="Tahoma" w:hAnsi="Tahoma" w:cs="Tahoma"/>
                <w:sz w:val="18"/>
                <w:szCs w:val="18"/>
              </w:rPr>
              <w:t>Rublo russo</w:t>
            </w:r>
          </w:p>
        </w:tc>
        <w:tc>
          <w:tcPr>
            <w:tcW w:w="1112" w:type="dxa"/>
            <w:vAlign w:val="bottom"/>
          </w:tcPr>
          <w:p w14:paraId="1811B4E5" w14:textId="77777777" w:rsidR="00E74270" w:rsidRPr="0058047D" w:rsidRDefault="00E74270" w:rsidP="00E74270">
            <w:pPr>
              <w:pStyle w:val="AppendixBodyText"/>
              <w:jc w:val="center"/>
              <w:rPr>
                <w:rFonts w:ascii="Tahoma" w:hAnsi="Tahoma" w:cs="Tahoma"/>
                <w:sz w:val="18"/>
                <w:szCs w:val="18"/>
              </w:rPr>
            </w:pPr>
            <w:r w:rsidRPr="0058047D">
              <w:rPr>
                <w:rFonts w:ascii="Tahoma" w:hAnsi="Tahoma" w:cs="Tahoma"/>
                <w:sz w:val="18"/>
                <w:szCs w:val="18"/>
              </w:rPr>
              <w:t>RUB</w:t>
            </w:r>
          </w:p>
        </w:tc>
        <w:tc>
          <w:tcPr>
            <w:tcW w:w="3152" w:type="dxa"/>
            <w:vAlign w:val="bottom"/>
          </w:tcPr>
          <w:p w14:paraId="7A5582AA" w14:textId="77777777" w:rsidR="00E74270" w:rsidRPr="0058047D" w:rsidRDefault="00E74270" w:rsidP="00147698">
            <w:pPr>
              <w:pStyle w:val="AppendixBodyText"/>
              <w:jc w:val="right"/>
              <w:rPr>
                <w:rFonts w:ascii="Tahoma" w:hAnsi="Tahoma" w:cs="Tahoma"/>
                <w:color w:val="000000"/>
                <w:sz w:val="18"/>
                <w:szCs w:val="18"/>
              </w:rPr>
            </w:pPr>
            <w:r w:rsidRPr="0058047D">
              <w:rPr>
                <w:rFonts w:ascii="Tahoma" w:hAnsi="Tahoma" w:cs="Tahoma"/>
                <w:sz w:val="18"/>
                <w:szCs w:val="18"/>
              </w:rPr>
              <w:t>8</w:t>
            </w:r>
            <w:r w:rsidR="00147698">
              <w:rPr>
                <w:rFonts w:ascii="Tahoma" w:hAnsi="Tahoma" w:cs="Tahoma"/>
                <w:sz w:val="18"/>
                <w:szCs w:val="18"/>
              </w:rPr>
              <w:t>.</w:t>
            </w:r>
            <w:r w:rsidRPr="0058047D">
              <w:rPr>
                <w:rFonts w:ascii="Tahoma" w:hAnsi="Tahoma" w:cs="Tahoma"/>
                <w:sz w:val="18"/>
                <w:szCs w:val="18"/>
              </w:rPr>
              <w:t>250</w:t>
            </w:r>
            <w:r w:rsidR="00147698">
              <w:rPr>
                <w:rFonts w:ascii="Tahoma" w:hAnsi="Tahoma" w:cs="Tahoma"/>
                <w:sz w:val="18"/>
                <w:szCs w:val="18"/>
              </w:rPr>
              <w:t>.</w:t>
            </w:r>
            <w:r w:rsidRPr="0058047D">
              <w:rPr>
                <w:rFonts w:ascii="Tahoma" w:hAnsi="Tahoma" w:cs="Tahoma"/>
                <w:sz w:val="18"/>
                <w:szCs w:val="18"/>
              </w:rPr>
              <w:t>000</w:t>
            </w:r>
          </w:p>
        </w:tc>
      </w:tr>
    </w:tbl>
    <w:p w14:paraId="59308245" w14:textId="77777777" w:rsidR="00EB3A5F" w:rsidRPr="0058047D" w:rsidRDefault="00EB3A5F" w:rsidP="00EB3A5F">
      <w:pPr>
        <w:jc w:val="both"/>
      </w:pPr>
    </w:p>
    <w:p w14:paraId="3502752C" w14:textId="77777777" w:rsidR="00EB3A5F" w:rsidRPr="0058047D" w:rsidRDefault="00EB3A5F" w:rsidP="000C1619">
      <w:pPr>
        <w:spacing w:line="276" w:lineRule="auto"/>
      </w:pPr>
      <w:r w:rsidRPr="0058047D">
        <w:t>Quando l</w:t>
      </w:r>
      <w:r w:rsidR="001C4212">
        <w:t>’</w:t>
      </w:r>
      <w:r w:rsidRPr="0058047D">
        <w:t xml:space="preserve">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3A55E63C" w14:textId="77777777" w:rsidR="00EB3A5F" w:rsidRPr="0058047D" w:rsidRDefault="00EB3A5F" w:rsidP="000C1619">
      <w:pPr>
        <w:spacing w:line="276" w:lineRule="auto"/>
      </w:pPr>
    </w:p>
    <w:p w14:paraId="0C6E700E" w14:textId="77777777" w:rsidR="00EB3A5F" w:rsidRPr="0058047D" w:rsidRDefault="00EB3A5F" w:rsidP="00EB3A5F">
      <w:pPr>
        <w:spacing w:line="276" w:lineRule="auto"/>
      </w:pPr>
      <w:r w:rsidRPr="0058047D">
        <w:t>(2) Inoltre le società che acquistano licenze per PDW e dispongono di un Contratto Premier Services attivo sono idonee a beneficiare degli interventi previsti dal PRS Illimitato 24x7, indipendentemente dal disporre di un</w:t>
      </w:r>
      <w:r w:rsidR="001C4212">
        <w:t>’</w:t>
      </w:r>
      <w:r w:rsidRPr="0058047D">
        <w:t xml:space="preserve">iscrizione SCE o dalla loro spesa SCE. Quando le società acquistano licenze per PDW, Microsoft non concederà interventi sulla base della spesa effettiva per SA relativa a tale prodotto. Gli interventi PRS Illimitati 24x7 non possono essere convertiti in ore o interventi di Supporto per la Risoluzione dei Problemi Premier. </w:t>
      </w:r>
    </w:p>
    <w:p w14:paraId="03CD7DEA" w14:textId="77777777" w:rsidR="00EB3A5F" w:rsidRPr="0058047D" w:rsidRDefault="00EB3A5F" w:rsidP="000C1619">
      <w:pPr>
        <w:spacing w:line="276" w:lineRule="auto"/>
      </w:pPr>
    </w:p>
    <w:p w14:paraId="7D642FA7" w14:textId="77777777" w:rsidR="00EB3A5F" w:rsidRPr="0058047D" w:rsidRDefault="00EB3A5F" w:rsidP="000C1619">
      <w:pPr>
        <w:spacing w:line="276" w:lineRule="auto"/>
      </w:pPr>
      <w:r w:rsidRPr="000C1619">
        <w:t xml:space="preserve">Mentre tutte le società qualificanti riceveranno un numero di interventi PRS 24x7, il numero di contatti di </w:t>
      </w:r>
      <w:r w:rsidR="000C1619">
        <w:t>support </w:t>
      </w:r>
      <w:r w:rsidRPr="000C1619">
        <w:t>consentiti per gestire il PRS Illimitato 24x7 varia in base all</w:t>
      </w:r>
      <w:r w:rsidR="001C4212" w:rsidRPr="000C1619">
        <w:t>’</w:t>
      </w:r>
      <w:r w:rsidRPr="000C1619">
        <w:t>ammontare della spesa SA. Tutte le società idonee hanno diritto ad almeno quattro contatti autorizzati più un contatto aggiuntivo per ogni $125.000 aggiuntivi di</w:t>
      </w:r>
      <w:r w:rsidR="000C1619">
        <w:t> </w:t>
      </w:r>
      <w:r w:rsidRPr="000C1619">
        <w:t>spesa SA in base al programma o ai programmi SCE o VL ai sensi dei quali hanno acquistato le licenze per PDW. In</w:t>
      </w:r>
      <w:r w:rsidR="000C1619">
        <w:t> </w:t>
      </w:r>
      <w:r w:rsidRPr="000C1619">
        <w:t>caso di contratti in valuta estera, le società idonee hanno diritto ad almeno quattro contratti autorizzati più un</w:t>
      </w:r>
      <w:r w:rsidR="000C1619">
        <w:t> </w:t>
      </w:r>
      <w:r w:rsidRPr="000C1619">
        <w:t>contratto aggiuntivo per ogni spesa SA incrementale pari a 125.000 USD della spesa SA media annuale effettuata nella valuta estera applicabile. Fare riferimento alla tabella seguente:</w:t>
      </w:r>
    </w:p>
    <w:p w14:paraId="07851BF9" w14:textId="77777777" w:rsidR="00EB3A5F" w:rsidRPr="0058047D" w:rsidRDefault="00EB3A5F" w:rsidP="00EB3A5F">
      <w:pPr>
        <w:jc w:val="both"/>
      </w:pPr>
    </w:p>
    <w:p w14:paraId="188ECE24" w14:textId="77777777" w:rsidR="00EB3A5F" w:rsidRPr="0058047D" w:rsidRDefault="00EB3A5F" w:rsidP="00EB3A5F">
      <w:pPr>
        <w:jc w:val="both"/>
      </w:pPr>
      <w:r w:rsidRPr="0058047D">
        <w:rPr>
          <w:color w:val="000000"/>
        </w:rPr>
        <w:t>La seguente tabella si applica alle società in possesso di un SCE o che dispongono di licenze per PDW:</w:t>
      </w:r>
    </w:p>
    <w:p w14:paraId="3986F4C6" w14:textId="77777777" w:rsidR="00EB3A5F" w:rsidRPr="0058047D" w:rsidRDefault="00EB3A5F" w:rsidP="00EB3A5F"/>
    <w:tbl>
      <w:tblPr>
        <w:tblW w:w="0" w:type="auto"/>
        <w:tblInd w:w="2308" w:type="dxa"/>
        <w:tblCellMar>
          <w:left w:w="0" w:type="dxa"/>
          <w:right w:w="0" w:type="dxa"/>
        </w:tblCellMar>
        <w:tblLook w:val="04A0" w:firstRow="1" w:lastRow="0" w:firstColumn="1" w:lastColumn="0" w:noHBand="0" w:noVBand="1"/>
      </w:tblPr>
      <w:tblGrid>
        <w:gridCol w:w="2160"/>
        <w:gridCol w:w="2520"/>
      </w:tblGrid>
      <w:tr w:rsidR="00EB3A5F" w:rsidRPr="0058047D" w14:paraId="38F6D534" w14:textId="77777777" w:rsidTr="00892A1D">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09692487" w14:textId="77777777" w:rsidR="00EB3A5F" w:rsidRPr="0058047D" w:rsidRDefault="00EB3A5F" w:rsidP="006305F8">
            <w:pPr>
              <w:jc w:val="center"/>
              <w:rPr>
                <w:color w:val="000000"/>
              </w:rPr>
            </w:pPr>
            <w:r w:rsidRPr="0058047D">
              <w:rPr>
                <w:b/>
                <w:bCs/>
                <w:color w:val="000000"/>
              </w:rPr>
              <w:t>Spesa Media Annuale</w:t>
            </w:r>
            <w:r w:rsidR="006305F8">
              <w:rPr>
                <w:b/>
                <w:bCs/>
                <w:color w:val="000000"/>
              </w:rPr>
              <w:t> </w:t>
            </w:r>
            <w:r w:rsidRPr="0058047D">
              <w:rPr>
                <w:b/>
                <w:bCs/>
                <w:color w:val="000000"/>
              </w:rPr>
              <w:t>per SA</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21AB054B" w14:textId="77777777" w:rsidR="00EB3A5F" w:rsidRPr="0058047D" w:rsidRDefault="00EB3A5F" w:rsidP="00892A1D">
            <w:pPr>
              <w:jc w:val="center"/>
              <w:rPr>
                <w:color w:val="000000"/>
              </w:rPr>
            </w:pPr>
            <w:r w:rsidRPr="0058047D">
              <w:rPr>
                <w:b/>
                <w:bCs/>
                <w:color w:val="000000"/>
              </w:rPr>
              <w:t>Contatti di supporto consentiti</w:t>
            </w:r>
          </w:p>
        </w:tc>
      </w:tr>
      <w:tr w:rsidR="00EB3A5F" w:rsidRPr="0058047D" w14:paraId="6B540101"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05E0640" w14:textId="77777777" w:rsidR="00EB3A5F" w:rsidRPr="0058047D" w:rsidRDefault="00EB3A5F" w:rsidP="00147698">
            <w:pPr>
              <w:jc w:val="center"/>
              <w:rPr>
                <w:color w:val="000000"/>
              </w:rPr>
            </w:pPr>
            <w:r w:rsidRPr="0058047D">
              <w:rPr>
                <w:color w:val="000000"/>
              </w:rPr>
              <w:t>$250</w:t>
            </w:r>
            <w:r w:rsidR="00147698">
              <w:rPr>
                <w:color w:val="000000"/>
              </w:rPr>
              <w:t>.</w:t>
            </w:r>
            <w:r w:rsidRPr="0058047D">
              <w:rPr>
                <w:color w:val="000000"/>
              </w:rPr>
              <w:t>000 - $374</w:t>
            </w:r>
            <w:r w:rsidR="00147698">
              <w:rPr>
                <w:color w:val="000000"/>
              </w:rPr>
              <w:t>.</w:t>
            </w:r>
            <w:r w:rsidRPr="0058047D">
              <w:rPr>
                <w:color w:val="000000"/>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6222C7B3" w14:textId="77777777" w:rsidR="00EB3A5F" w:rsidRPr="0058047D" w:rsidRDefault="00EB3A5F" w:rsidP="00892A1D">
            <w:pPr>
              <w:jc w:val="center"/>
              <w:rPr>
                <w:color w:val="000000"/>
              </w:rPr>
            </w:pPr>
            <w:r w:rsidRPr="0058047D">
              <w:rPr>
                <w:color w:val="000000"/>
              </w:rPr>
              <w:t>4</w:t>
            </w:r>
          </w:p>
        </w:tc>
      </w:tr>
      <w:tr w:rsidR="00EB3A5F" w:rsidRPr="0058047D" w14:paraId="4ECEBBAC"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0B7818C" w14:textId="77777777" w:rsidR="00EB3A5F" w:rsidRPr="0058047D" w:rsidRDefault="00EB3A5F" w:rsidP="00147698">
            <w:pPr>
              <w:jc w:val="center"/>
            </w:pPr>
            <w:r w:rsidRPr="0058047D">
              <w:t>$375</w:t>
            </w:r>
            <w:r w:rsidR="00147698">
              <w:t>.</w:t>
            </w:r>
            <w:r w:rsidRPr="0058047D">
              <w:t>000 - $499</w:t>
            </w:r>
            <w:r w:rsidR="00147698">
              <w:t>.</w:t>
            </w:r>
            <w:r w:rsidRPr="0058047D">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6AF186D6" w14:textId="77777777" w:rsidR="00EB3A5F" w:rsidRPr="0058047D" w:rsidRDefault="00EB3A5F" w:rsidP="00892A1D">
            <w:pPr>
              <w:jc w:val="center"/>
            </w:pPr>
            <w:r w:rsidRPr="0058047D">
              <w:t>5</w:t>
            </w:r>
          </w:p>
        </w:tc>
      </w:tr>
      <w:tr w:rsidR="00EB3A5F" w:rsidRPr="0058047D" w14:paraId="133103B4"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C02A01B" w14:textId="77777777" w:rsidR="00EB3A5F" w:rsidRPr="0058047D" w:rsidRDefault="00EB3A5F" w:rsidP="00147698">
            <w:pPr>
              <w:jc w:val="center"/>
            </w:pPr>
            <w:r w:rsidRPr="0058047D">
              <w:t>$500</w:t>
            </w:r>
            <w:r w:rsidR="00147698">
              <w:t>.</w:t>
            </w:r>
            <w:r w:rsidRPr="0058047D">
              <w:t>000 - $624</w:t>
            </w:r>
            <w:r w:rsidR="00147698">
              <w:t>.</w:t>
            </w:r>
            <w:r w:rsidRPr="0058047D">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3BC517DB" w14:textId="77777777" w:rsidR="00EB3A5F" w:rsidRPr="0058047D" w:rsidRDefault="00EB3A5F" w:rsidP="00892A1D">
            <w:pPr>
              <w:jc w:val="center"/>
            </w:pPr>
            <w:r w:rsidRPr="0058047D">
              <w:t>6</w:t>
            </w:r>
          </w:p>
        </w:tc>
      </w:tr>
      <w:tr w:rsidR="00EB3A5F" w:rsidRPr="0058047D" w14:paraId="1A78C44C"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A67CD62" w14:textId="77777777" w:rsidR="00EB3A5F" w:rsidRPr="0058047D" w:rsidRDefault="00EB3A5F" w:rsidP="00147698">
            <w:pPr>
              <w:jc w:val="center"/>
            </w:pPr>
            <w:r w:rsidRPr="0058047D">
              <w:t>$625</w:t>
            </w:r>
            <w:r w:rsidR="00147698">
              <w:t>.</w:t>
            </w:r>
            <w:r w:rsidRPr="0058047D">
              <w:t>000 - $749</w:t>
            </w:r>
            <w:r w:rsidR="00147698">
              <w:t>.</w:t>
            </w:r>
            <w:r w:rsidRPr="0058047D">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5B3EFCE5" w14:textId="77777777" w:rsidR="00EB3A5F" w:rsidRPr="0058047D" w:rsidRDefault="00EB3A5F" w:rsidP="00892A1D">
            <w:pPr>
              <w:jc w:val="center"/>
            </w:pPr>
            <w:r w:rsidRPr="0058047D">
              <w:t>7</w:t>
            </w:r>
          </w:p>
        </w:tc>
      </w:tr>
      <w:tr w:rsidR="00EB3A5F" w:rsidRPr="0058047D" w14:paraId="2CE282A6"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60F48B0" w14:textId="77777777" w:rsidR="00EB3A5F" w:rsidRPr="0058047D" w:rsidRDefault="00EB3A5F" w:rsidP="00147698">
            <w:pPr>
              <w:jc w:val="center"/>
            </w:pPr>
            <w:r w:rsidRPr="0058047D">
              <w:t>$750</w:t>
            </w:r>
            <w:r w:rsidR="00147698">
              <w:t>.</w:t>
            </w:r>
            <w:r w:rsidRPr="0058047D">
              <w:t>000 - $874</w:t>
            </w:r>
            <w:r w:rsidR="00147698">
              <w:t>.</w:t>
            </w:r>
            <w:r w:rsidRPr="0058047D">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336460CE" w14:textId="77777777" w:rsidR="00EB3A5F" w:rsidRPr="0058047D" w:rsidRDefault="00EB3A5F" w:rsidP="00892A1D">
            <w:pPr>
              <w:jc w:val="center"/>
            </w:pPr>
            <w:r w:rsidRPr="0058047D">
              <w:t>8</w:t>
            </w:r>
          </w:p>
        </w:tc>
      </w:tr>
    </w:tbl>
    <w:p w14:paraId="08BADC8C" w14:textId="77777777" w:rsidR="00EB3A5F" w:rsidRPr="0058047D" w:rsidRDefault="00EB3A5F" w:rsidP="00EB3A5F">
      <w:pPr>
        <w:jc w:val="both"/>
      </w:pPr>
    </w:p>
    <w:p w14:paraId="03AB89DB" w14:textId="77777777" w:rsidR="00EB3A5F" w:rsidRPr="0058047D" w:rsidRDefault="00EB3A5F" w:rsidP="00EB3A5F">
      <w:pPr>
        <w:jc w:val="both"/>
      </w:pPr>
      <w:r w:rsidRPr="0058047D">
        <w:t>Le richieste di supporto dovrebbero essere effettuate via telefono o Web da un contatto designato dalla società e seguire la procedura descritta nel Contratto Premier Services della società. Il vantaggio PRS Illimitato 24x7 include soltanto i Servizi per la Risoluzione dei Problemi. Il tempo eventualmente dedicato dal Technical Account Manager (TAM) o dal Designated Support Engineer (DSE) alla risoluzione del problema sarà conteggiato nell</w:t>
      </w:r>
      <w:r w:rsidR="001C4212">
        <w:t>’</w:t>
      </w:r>
      <w:r w:rsidRPr="0058047D">
        <w:t xml:space="preserve">ambito del Contratto Premier Services della società. </w:t>
      </w:r>
    </w:p>
    <w:p w14:paraId="66D4435D" w14:textId="77777777" w:rsidR="00023FE7" w:rsidRPr="0058047D" w:rsidRDefault="00023FE7" w:rsidP="00F42FB8">
      <w:pPr>
        <w:pStyle w:val="Heading3"/>
      </w:pPr>
    </w:p>
    <w:p w14:paraId="78293873" w14:textId="77777777" w:rsidR="00620185" w:rsidRPr="0058047D" w:rsidRDefault="00620185" w:rsidP="00F42FB8">
      <w:pPr>
        <w:pStyle w:val="Heading3"/>
      </w:pPr>
      <w:bookmarkStart w:id="736" w:name="_Toc336338238"/>
      <w:bookmarkStart w:id="737" w:name="_Toc371663632"/>
      <w:r w:rsidRPr="0058047D">
        <w:rPr>
          <w:rFonts w:ascii="Tahoma" w:hAnsi="Tahoma" w:cs="Tahoma"/>
          <w:color w:val="000000"/>
          <w:sz w:val="24"/>
          <w:szCs w:val="18"/>
        </w:rPr>
        <w:t>System Center Advisor</w:t>
      </w:r>
      <w:bookmarkEnd w:id="736"/>
      <w:bookmarkEnd w:id="737"/>
    </w:p>
    <w:p w14:paraId="606782AB" w14:textId="77777777" w:rsidR="00620185" w:rsidRPr="0058047D" w:rsidRDefault="00620185" w:rsidP="00F42FB8"/>
    <w:p w14:paraId="7E0CD3BA" w14:textId="77777777" w:rsidR="001C1727" w:rsidRPr="0058047D" w:rsidRDefault="00F56FC9">
      <w:r w:rsidRPr="0058047D">
        <w:rPr>
          <w:rFonts w:cs="Tahoma"/>
          <w:szCs w:val="18"/>
        </w:rPr>
        <w:t xml:space="preserve">Le società con copertura Software Assurance attiva per le licenze software per le edizioni di Windows Server, SQL Server, Exchange Server e SharePoint Server identificate nella tabella che segue sono idonee a utilizzare System Center Advisor come specificato nei Diritti di Utilizzo del Prodotto. </w:t>
      </w:r>
    </w:p>
    <w:p w14:paraId="4D237F34" w14:textId="77777777" w:rsidR="003479E5" w:rsidRPr="0058047D" w:rsidRDefault="003479E5" w:rsidP="00792D1E">
      <w:pPr>
        <w:outlineLvl w:val="2"/>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A13BC3" w:rsidRPr="0058047D" w14:paraId="3BB66B7F" w14:textId="77777777" w:rsidTr="007E466C">
        <w:tc>
          <w:tcPr>
            <w:tcW w:w="3760" w:type="dxa"/>
            <w:gridSpan w:val="2"/>
            <w:shd w:val="clear" w:color="auto" w:fill="FABF8F"/>
          </w:tcPr>
          <w:p w14:paraId="65D3D8D0" w14:textId="77777777" w:rsidR="00A13BC3" w:rsidRPr="0058047D" w:rsidRDefault="00A13BC3" w:rsidP="006305F8">
            <w:pPr>
              <w:spacing w:before="120" w:after="120" w:line="269" w:lineRule="auto"/>
              <w:jc w:val="center"/>
              <w:rPr>
                <w:rFonts w:cs="Tahoma"/>
                <w:b/>
                <w:bCs/>
                <w:color w:val="000000"/>
                <w:szCs w:val="18"/>
                <w:lang w:eastAsia="ja-JP"/>
              </w:rPr>
            </w:pPr>
            <w:r w:rsidRPr="0058047D">
              <w:rPr>
                <w:rFonts w:cs="Tahoma"/>
                <w:b/>
                <w:bCs/>
                <w:color w:val="000000"/>
                <w:szCs w:val="18"/>
              </w:rPr>
              <w:t>Software Server Qualificante*</w:t>
            </w:r>
          </w:p>
        </w:tc>
        <w:tc>
          <w:tcPr>
            <w:tcW w:w="1774" w:type="dxa"/>
            <w:shd w:val="clear" w:color="auto" w:fill="FABF8F"/>
          </w:tcPr>
          <w:p w14:paraId="0B31851F" w14:textId="77777777" w:rsidR="00A13BC3" w:rsidRPr="0058047D" w:rsidRDefault="00A13BC3" w:rsidP="006305F8">
            <w:pPr>
              <w:spacing w:after="200" w:line="269" w:lineRule="auto"/>
              <w:jc w:val="center"/>
              <w:rPr>
                <w:rFonts w:cs="Tahoma"/>
                <w:b/>
                <w:bCs/>
                <w:color w:val="000000"/>
                <w:szCs w:val="18"/>
                <w:lang w:eastAsia="ja-JP"/>
              </w:rPr>
            </w:pPr>
          </w:p>
        </w:tc>
        <w:tc>
          <w:tcPr>
            <w:tcW w:w="1913" w:type="dxa"/>
            <w:shd w:val="clear" w:color="auto" w:fill="FABF8F"/>
          </w:tcPr>
          <w:p w14:paraId="05CCBCC6" w14:textId="77777777" w:rsidR="00A13BC3" w:rsidRPr="0058047D" w:rsidRDefault="00A13BC3" w:rsidP="006305F8">
            <w:pPr>
              <w:spacing w:after="200" w:line="269" w:lineRule="auto"/>
              <w:jc w:val="center"/>
              <w:rPr>
                <w:rFonts w:cs="Tahoma"/>
                <w:b/>
                <w:bCs/>
                <w:color w:val="000000"/>
                <w:szCs w:val="18"/>
                <w:lang w:eastAsia="ja-JP"/>
              </w:rPr>
            </w:pPr>
          </w:p>
        </w:tc>
        <w:tc>
          <w:tcPr>
            <w:tcW w:w="1391" w:type="dxa"/>
            <w:shd w:val="clear" w:color="auto" w:fill="FABF8F"/>
          </w:tcPr>
          <w:p w14:paraId="1A72A87C" w14:textId="77777777" w:rsidR="00A13BC3" w:rsidRPr="0058047D" w:rsidRDefault="00A13BC3" w:rsidP="006305F8">
            <w:pPr>
              <w:spacing w:after="200" w:line="269" w:lineRule="auto"/>
              <w:jc w:val="center"/>
              <w:rPr>
                <w:rFonts w:cs="Tahoma"/>
                <w:b/>
                <w:bCs/>
                <w:color w:val="000000"/>
                <w:szCs w:val="18"/>
                <w:lang w:eastAsia="ja-JP"/>
              </w:rPr>
            </w:pPr>
          </w:p>
        </w:tc>
      </w:tr>
      <w:tr w:rsidR="00A13BC3" w:rsidRPr="0058047D" w14:paraId="54D9FD16" w14:textId="77777777" w:rsidTr="007E466C">
        <w:tc>
          <w:tcPr>
            <w:tcW w:w="1912" w:type="dxa"/>
            <w:shd w:val="clear" w:color="auto" w:fill="FABF8F"/>
            <w:vAlign w:val="center"/>
          </w:tcPr>
          <w:p w14:paraId="6046C7CB" w14:textId="77777777" w:rsidR="00A13BC3" w:rsidRPr="0058047D" w:rsidRDefault="00A13BC3" w:rsidP="006305F8">
            <w:pPr>
              <w:spacing w:before="120" w:after="120" w:line="269" w:lineRule="auto"/>
              <w:jc w:val="center"/>
              <w:rPr>
                <w:rFonts w:cs="Tahoma"/>
                <w:color w:val="000000"/>
                <w:szCs w:val="18"/>
                <w:lang w:eastAsia="ja-JP"/>
              </w:rPr>
            </w:pPr>
            <w:r w:rsidRPr="0058047D">
              <w:rPr>
                <w:rFonts w:cs="Tahoma"/>
                <w:b/>
                <w:bCs/>
                <w:color w:val="000000"/>
                <w:szCs w:val="18"/>
              </w:rPr>
              <w:t>Windows Server</w:t>
            </w:r>
          </w:p>
        </w:tc>
        <w:tc>
          <w:tcPr>
            <w:tcW w:w="1848" w:type="dxa"/>
            <w:shd w:val="clear" w:color="auto" w:fill="FABF8F"/>
            <w:vAlign w:val="center"/>
          </w:tcPr>
          <w:p w14:paraId="166B9CBA" w14:textId="77777777" w:rsidR="00A13BC3" w:rsidRPr="0058047D" w:rsidRDefault="00A13BC3" w:rsidP="006305F8">
            <w:pPr>
              <w:spacing w:before="120" w:after="120" w:line="269" w:lineRule="auto"/>
              <w:jc w:val="center"/>
              <w:rPr>
                <w:rFonts w:cs="Tahoma"/>
                <w:color w:val="000000"/>
                <w:szCs w:val="18"/>
                <w:lang w:eastAsia="ja-JP"/>
              </w:rPr>
            </w:pPr>
            <w:r w:rsidRPr="0058047D">
              <w:rPr>
                <w:rFonts w:cs="Tahoma"/>
                <w:b/>
                <w:bCs/>
                <w:color w:val="000000"/>
                <w:szCs w:val="18"/>
              </w:rPr>
              <w:t>SQL Server</w:t>
            </w:r>
          </w:p>
        </w:tc>
        <w:tc>
          <w:tcPr>
            <w:tcW w:w="1774" w:type="dxa"/>
            <w:shd w:val="clear" w:color="auto" w:fill="FABF8F"/>
            <w:vAlign w:val="center"/>
          </w:tcPr>
          <w:p w14:paraId="39684737" w14:textId="77777777" w:rsidR="00A13BC3" w:rsidRPr="0058047D" w:rsidRDefault="00A13BC3" w:rsidP="006305F8">
            <w:pPr>
              <w:spacing w:before="120" w:after="120" w:line="269" w:lineRule="auto"/>
              <w:jc w:val="center"/>
              <w:rPr>
                <w:rFonts w:cs="Tahoma"/>
                <w:b/>
                <w:bCs/>
                <w:color w:val="000000"/>
                <w:szCs w:val="18"/>
                <w:lang w:eastAsia="ja-JP"/>
              </w:rPr>
            </w:pPr>
            <w:r w:rsidRPr="0058047D">
              <w:rPr>
                <w:rFonts w:cs="Tahoma"/>
                <w:b/>
                <w:bCs/>
                <w:color w:val="000000"/>
                <w:szCs w:val="18"/>
              </w:rPr>
              <w:t>Exchange Server</w:t>
            </w:r>
          </w:p>
        </w:tc>
        <w:tc>
          <w:tcPr>
            <w:tcW w:w="1913" w:type="dxa"/>
            <w:shd w:val="clear" w:color="auto" w:fill="FABF8F"/>
            <w:vAlign w:val="center"/>
          </w:tcPr>
          <w:p w14:paraId="7080D2EF" w14:textId="77777777" w:rsidR="00A13BC3" w:rsidRPr="0058047D" w:rsidRDefault="00A13BC3" w:rsidP="006305F8">
            <w:pPr>
              <w:spacing w:before="120" w:after="120" w:line="269" w:lineRule="auto"/>
              <w:jc w:val="center"/>
              <w:rPr>
                <w:rFonts w:cs="Tahoma"/>
                <w:b/>
                <w:bCs/>
                <w:color w:val="000000"/>
                <w:szCs w:val="18"/>
                <w:lang w:eastAsia="ja-JP"/>
              </w:rPr>
            </w:pPr>
            <w:r w:rsidRPr="0058047D">
              <w:rPr>
                <w:rFonts w:cs="Tahoma"/>
                <w:b/>
                <w:bCs/>
                <w:color w:val="000000"/>
                <w:szCs w:val="18"/>
              </w:rPr>
              <w:t>SharePoint Server</w:t>
            </w:r>
          </w:p>
        </w:tc>
        <w:tc>
          <w:tcPr>
            <w:tcW w:w="1391" w:type="dxa"/>
            <w:shd w:val="clear" w:color="auto" w:fill="FABF8F"/>
            <w:vAlign w:val="center"/>
          </w:tcPr>
          <w:p w14:paraId="1928FF61" w14:textId="77777777" w:rsidR="00A13BC3" w:rsidRPr="0058047D" w:rsidRDefault="00A13BC3" w:rsidP="006305F8">
            <w:pPr>
              <w:spacing w:before="120" w:after="120" w:line="269" w:lineRule="auto"/>
              <w:jc w:val="center"/>
              <w:rPr>
                <w:rFonts w:cs="Tahoma"/>
                <w:b/>
                <w:bCs/>
                <w:color w:val="000000"/>
                <w:szCs w:val="18"/>
                <w:lang w:eastAsia="ja-JP"/>
              </w:rPr>
            </w:pPr>
            <w:r w:rsidRPr="0058047D">
              <w:rPr>
                <w:rFonts w:cs="Tahoma"/>
                <w:b/>
                <w:bCs/>
                <w:color w:val="000000"/>
                <w:szCs w:val="18"/>
              </w:rPr>
              <w:t>Lync Server</w:t>
            </w:r>
          </w:p>
        </w:tc>
      </w:tr>
      <w:tr w:rsidR="00A13BC3" w:rsidRPr="0058047D" w14:paraId="00B7CDAB" w14:textId="77777777" w:rsidTr="007E466C">
        <w:tc>
          <w:tcPr>
            <w:tcW w:w="1912" w:type="dxa"/>
          </w:tcPr>
          <w:p w14:paraId="49CF0E75" w14:textId="77777777" w:rsidR="00A13BC3" w:rsidRPr="0058047D" w:rsidRDefault="00A13BC3" w:rsidP="006305F8">
            <w:pPr>
              <w:spacing w:after="200" w:line="269" w:lineRule="auto"/>
              <w:jc w:val="center"/>
              <w:rPr>
                <w:rFonts w:cs="Tahoma"/>
                <w:color w:val="000000"/>
                <w:szCs w:val="18"/>
                <w:lang w:eastAsia="ja-JP"/>
              </w:rPr>
            </w:pPr>
            <w:r w:rsidRPr="0058047D">
              <w:rPr>
                <w:rFonts w:cs="Tahoma"/>
                <w:color w:val="000000"/>
                <w:szCs w:val="18"/>
              </w:rPr>
              <w:t>Windows Server Datacenter</w:t>
            </w:r>
          </w:p>
        </w:tc>
        <w:tc>
          <w:tcPr>
            <w:tcW w:w="1848" w:type="dxa"/>
          </w:tcPr>
          <w:p w14:paraId="276A73B3" w14:textId="77777777" w:rsidR="00A13BC3" w:rsidRPr="0058047D" w:rsidRDefault="00A13BC3" w:rsidP="006305F8">
            <w:pPr>
              <w:spacing w:after="200" w:line="269" w:lineRule="auto"/>
              <w:jc w:val="center"/>
              <w:rPr>
                <w:rFonts w:cs="Tahoma"/>
                <w:color w:val="000000"/>
                <w:szCs w:val="18"/>
                <w:lang w:eastAsia="ja-JP"/>
              </w:rPr>
            </w:pPr>
            <w:r w:rsidRPr="0058047D">
              <w:rPr>
                <w:rFonts w:cs="Tahoma"/>
                <w:color w:val="000000"/>
                <w:szCs w:val="18"/>
              </w:rPr>
              <w:t xml:space="preserve">SQL Server Parallel Data Warehouse </w:t>
            </w:r>
          </w:p>
        </w:tc>
        <w:tc>
          <w:tcPr>
            <w:tcW w:w="1774" w:type="dxa"/>
          </w:tcPr>
          <w:p w14:paraId="39E561A9" w14:textId="77777777" w:rsidR="00A13BC3" w:rsidRPr="0058047D" w:rsidRDefault="00A13BC3" w:rsidP="006305F8">
            <w:pPr>
              <w:spacing w:after="200" w:line="269" w:lineRule="auto"/>
              <w:jc w:val="center"/>
              <w:rPr>
                <w:rFonts w:cs="Tahoma"/>
                <w:color w:val="000000"/>
                <w:szCs w:val="18"/>
                <w:lang w:eastAsia="ja-JP"/>
              </w:rPr>
            </w:pPr>
            <w:r w:rsidRPr="0058047D">
              <w:rPr>
                <w:rFonts w:cs="Tahoma"/>
                <w:color w:val="000000"/>
                <w:szCs w:val="18"/>
              </w:rPr>
              <w:t>Exchange Small Business Server</w:t>
            </w:r>
          </w:p>
        </w:tc>
        <w:tc>
          <w:tcPr>
            <w:tcW w:w="1913" w:type="dxa"/>
          </w:tcPr>
          <w:p w14:paraId="2FE05CBF" w14:textId="77777777" w:rsidR="00A13BC3" w:rsidRPr="0058047D" w:rsidRDefault="00A13BC3" w:rsidP="006305F8">
            <w:pPr>
              <w:spacing w:after="200" w:line="269" w:lineRule="auto"/>
              <w:jc w:val="center"/>
              <w:rPr>
                <w:rFonts w:cs="Tahoma"/>
                <w:color w:val="000000"/>
                <w:szCs w:val="18"/>
                <w:lang w:eastAsia="ja-JP"/>
              </w:rPr>
            </w:pPr>
            <w:r w:rsidRPr="0058047D">
              <w:rPr>
                <w:rFonts w:cs="Tahoma"/>
                <w:color w:val="000000"/>
                <w:szCs w:val="18"/>
              </w:rPr>
              <w:t>SharePoint for Internet Sites Server Enterprise</w:t>
            </w:r>
          </w:p>
        </w:tc>
        <w:tc>
          <w:tcPr>
            <w:tcW w:w="1391" w:type="dxa"/>
          </w:tcPr>
          <w:p w14:paraId="4D52E8BF" w14:textId="77777777" w:rsidR="00A13BC3" w:rsidRPr="0058047D" w:rsidRDefault="00A13BC3" w:rsidP="006305F8">
            <w:pPr>
              <w:spacing w:after="200" w:line="269" w:lineRule="auto"/>
              <w:jc w:val="center"/>
              <w:rPr>
                <w:rFonts w:cs="Tahoma"/>
                <w:color w:val="000000"/>
                <w:szCs w:val="18"/>
                <w:lang w:eastAsia="ja-JP"/>
              </w:rPr>
            </w:pPr>
            <w:r w:rsidRPr="0058047D">
              <w:rPr>
                <w:rFonts w:cs="Tahoma"/>
                <w:color w:val="000000"/>
                <w:szCs w:val="18"/>
              </w:rPr>
              <w:t>Lync Server 2010 Enterprise Edition</w:t>
            </w:r>
          </w:p>
        </w:tc>
      </w:tr>
      <w:tr w:rsidR="00A13BC3" w:rsidRPr="0058047D" w14:paraId="787982BA" w14:textId="77777777" w:rsidTr="007E466C">
        <w:tc>
          <w:tcPr>
            <w:tcW w:w="1912" w:type="dxa"/>
          </w:tcPr>
          <w:p w14:paraId="2659CA47" w14:textId="77777777" w:rsidR="00A13BC3" w:rsidRPr="0058047D" w:rsidRDefault="00A13BC3" w:rsidP="006305F8">
            <w:pPr>
              <w:spacing w:after="200" w:line="269" w:lineRule="auto"/>
              <w:jc w:val="center"/>
              <w:rPr>
                <w:rFonts w:cs="Tahoma"/>
                <w:szCs w:val="18"/>
              </w:rPr>
            </w:pPr>
            <w:r w:rsidRPr="0058047D">
              <w:rPr>
                <w:rFonts w:cs="Tahoma"/>
                <w:color w:val="000000"/>
                <w:szCs w:val="18"/>
              </w:rPr>
              <w:t>Windows Server Enterprise</w:t>
            </w:r>
          </w:p>
        </w:tc>
        <w:tc>
          <w:tcPr>
            <w:tcW w:w="1848" w:type="dxa"/>
          </w:tcPr>
          <w:p w14:paraId="5DB1BF43" w14:textId="77777777" w:rsidR="00A13BC3" w:rsidRPr="0058047D" w:rsidRDefault="00A13BC3" w:rsidP="006305F8">
            <w:pPr>
              <w:spacing w:after="200" w:line="269" w:lineRule="auto"/>
              <w:jc w:val="center"/>
              <w:rPr>
                <w:rFonts w:cs="Tahoma"/>
                <w:szCs w:val="18"/>
                <w:lang w:eastAsia="ja-JP"/>
              </w:rPr>
            </w:pPr>
            <w:r w:rsidRPr="0058047D">
              <w:rPr>
                <w:rFonts w:cs="Tahoma"/>
                <w:color w:val="000000"/>
                <w:szCs w:val="18"/>
              </w:rPr>
              <w:t>SQL Server Datacenter</w:t>
            </w:r>
          </w:p>
        </w:tc>
        <w:tc>
          <w:tcPr>
            <w:tcW w:w="1774" w:type="dxa"/>
          </w:tcPr>
          <w:p w14:paraId="07035EE6" w14:textId="77777777" w:rsidR="00A13BC3" w:rsidRPr="0058047D" w:rsidRDefault="00A13BC3" w:rsidP="006305F8">
            <w:pPr>
              <w:spacing w:after="200" w:line="269" w:lineRule="auto"/>
              <w:jc w:val="center"/>
              <w:rPr>
                <w:rFonts w:cs="Tahoma"/>
                <w:color w:val="000000"/>
                <w:szCs w:val="18"/>
                <w:lang w:eastAsia="ja-JP"/>
              </w:rPr>
            </w:pPr>
            <w:r w:rsidRPr="0058047D">
              <w:rPr>
                <w:rFonts w:cs="Tahoma"/>
                <w:color w:val="000000"/>
                <w:szCs w:val="18"/>
              </w:rPr>
              <w:t>Exchange Server Enterprise</w:t>
            </w:r>
          </w:p>
        </w:tc>
        <w:tc>
          <w:tcPr>
            <w:tcW w:w="1913" w:type="dxa"/>
          </w:tcPr>
          <w:p w14:paraId="275C486A" w14:textId="77777777" w:rsidR="00A13BC3" w:rsidRPr="0058047D" w:rsidRDefault="00A13BC3" w:rsidP="006305F8">
            <w:pPr>
              <w:spacing w:after="200" w:line="269" w:lineRule="auto"/>
              <w:jc w:val="center"/>
              <w:rPr>
                <w:rFonts w:cs="Tahoma"/>
                <w:color w:val="000000"/>
                <w:szCs w:val="18"/>
                <w:lang w:eastAsia="ja-JP"/>
              </w:rPr>
            </w:pPr>
            <w:r w:rsidRPr="0058047D">
              <w:rPr>
                <w:rFonts w:cs="Tahoma"/>
                <w:color w:val="000000"/>
                <w:szCs w:val="18"/>
              </w:rPr>
              <w:t>SharePoint for Internet Sites Server Standard</w:t>
            </w:r>
          </w:p>
        </w:tc>
        <w:tc>
          <w:tcPr>
            <w:tcW w:w="1391" w:type="dxa"/>
          </w:tcPr>
          <w:p w14:paraId="1A52E074" w14:textId="77777777" w:rsidR="00A13BC3" w:rsidRPr="0058047D" w:rsidRDefault="00A13BC3" w:rsidP="006305F8">
            <w:pPr>
              <w:spacing w:after="200" w:line="269" w:lineRule="auto"/>
              <w:jc w:val="center"/>
              <w:rPr>
                <w:rFonts w:cs="Tahoma"/>
                <w:color w:val="000000"/>
                <w:szCs w:val="18"/>
                <w:lang w:eastAsia="ja-JP"/>
              </w:rPr>
            </w:pPr>
            <w:r w:rsidRPr="0058047D">
              <w:rPr>
                <w:rFonts w:cs="Tahoma"/>
                <w:color w:val="000000"/>
                <w:szCs w:val="18"/>
              </w:rPr>
              <w:t>Lync Server 2010 Standard Edition</w:t>
            </w:r>
          </w:p>
        </w:tc>
      </w:tr>
      <w:tr w:rsidR="00A13BC3" w:rsidRPr="0058047D" w14:paraId="4C261713" w14:textId="77777777" w:rsidTr="007E466C">
        <w:tc>
          <w:tcPr>
            <w:tcW w:w="1912" w:type="dxa"/>
          </w:tcPr>
          <w:p w14:paraId="68990970" w14:textId="77777777" w:rsidR="00A13BC3" w:rsidRPr="0058047D" w:rsidRDefault="00A13BC3" w:rsidP="006305F8">
            <w:pPr>
              <w:spacing w:after="200" w:line="269" w:lineRule="auto"/>
              <w:jc w:val="center"/>
              <w:rPr>
                <w:rFonts w:cs="Tahoma"/>
                <w:szCs w:val="18"/>
                <w:lang w:eastAsia="ja-JP"/>
              </w:rPr>
            </w:pPr>
            <w:r w:rsidRPr="0058047D">
              <w:rPr>
                <w:rFonts w:cs="Tahoma"/>
                <w:color w:val="000000"/>
                <w:szCs w:val="18"/>
              </w:rPr>
              <w:t>Windows Server Standard</w:t>
            </w:r>
          </w:p>
        </w:tc>
        <w:tc>
          <w:tcPr>
            <w:tcW w:w="1848" w:type="dxa"/>
          </w:tcPr>
          <w:p w14:paraId="520BEEDE" w14:textId="77777777" w:rsidR="00A13BC3" w:rsidRPr="0058047D" w:rsidRDefault="00A13BC3" w:rsidP="006305F8">
            <w:pPr>
              <w:spacing w:after="200" w:line="269" w:lineRule="auto"/>
              <w:jc w:val="center"/>
              <w:rPr>
                <w:rFonts w:cs="Tahoma"/>
                <w:szCs w:val="18"/>
                <w:lang w:eastAsia="ja-JP"/>
              </w:rPr>
            </w:pPr>
            <w:r w:rsidRPr="0058047D">
              <w:rPr>
                <w:rFonts w:cs="Tahoma"/>
                <w:szCs w:val="18"/>
              </w:rPr>
              <w:t>SQL Server Enterprise</w:t>
            </w:r>
          </w:p>
        </w:tc>
        <w:tc>
          <w:tcPr>
            <w:tcW w:w="1774" w:type="dxa"/>
          </w:tcPr>
          <w:p w14:paraId="2ED7AB0B" w14:textId="77777777" w:rsidR="00A13BC3" w:rsidRPr="0058047D" w:rsidRDefault="00A13BC3" w:rsidP="006305F8">
            <w:pPr>
              <w:spacing w:after="200" w:line="269" w:lineRule="auto"/>
              <w:jc w:val="center"/>
              <w:rPr>
                <w:rFonts w:cs="Tahoma"/>
                <w:color w:val="000000"/>
                <w:szCs w:val="18"/>
                <w:lang w:eastAsia="ja-JP"/>
              </w:rPr>
            </w:pPr>
            <w:r w:rsidRPr="0058047D">
              <w:rPr>
                <w:rFonts w:cs="Tahoma"/>
                <w:color w:val="000000"/>
                <w:szCs w:val="18"/>
              </w:rPr>
              <w:t>Exchange Server Standard</w:t>
            </w:r>
          </w:p>
        </w:tc>
        <w:tc>
          <w:tcPr>
            <w:tcW w:w="1913" w:type="dxa"/>
          </w:tcPr>
          <w:p w14:paraId="22C98A28" w14:textId="77777777" w:rsidR="00A13BC3" w:rsidRPr="0058047D" w:rsidRDefault="00A13BC3" w:rsidP="006305F8">
            <w:pPr>
              <w:spacing w:after="200" w:line="269" w:lineRule="auto"/>
              <w:jc w:val="center"/>
              <w:rPr>
                <w:rFonts w:cs="Tahoma"/>
                <w:color w:val="000000"/>
                <w:szCs w:val="18"/>
                <w:lang w:eastAsia="ja-JP"/>
              </w:rPr>
            </w:pPr>
            <w:r w:rsidRPr="0058047D">
              <w:rPr>
                <w:rFonts w:cs="Tahoma"/>
                <w:color w:val="000000"/>
                <w:szCs w:val="18"/>
              </w:rPr>
              <w:t>SharePoint Server</w:t>
            </w:r>
          </w:p>
        </w:tc>
        <w:tc>
          <w:tcPr>
            <w:tcW w:w="1391" w:type="dxa"/>
          </w:tcPr>
          <w:p w14:paraId="28C5ED1C" w14:textId="77777777" w:rsidR="00A13BC3" w:rsidRPr="0058047D" w:rsidRDefault="00A13BC3" w:rsidP="006305F8">
            <w:pPr>
              <w:spacing w:after="200" w:line="269" w:lineRule="auto"/>
              <w:jc w:val="center"/>
              <w:rPr>
                <w:rFonts w:cs="Tahoma"/>
                <w:color w:val="000000"/>
                <w:szCs w:val="18"/>
                <w:lang w:eastAsia="ja-JP"/>
              </w:rPr>
            </w:pPr>
          </w:p>
        </w:tc>
      </w:tr>
      <w:tr w:rsidR="00A13BC3" w:rsidRPr="0058047D" w14:paraId="4E66C903" w14:textId="77777777" w:rsidTr="007E466C">
        <w:tc>
          <w:tcPr>
            <w:tcW w:w="1912" w:type="dxa"/>
          </w:tcPr>
          <w:p w14:paraId="6C500DD0" w14:textId="77777777" w:rsidR="00A13BC3" w:rsidRPr="0058047D" w:rsidRDefault="00A13BC3" w:rsidP="006305F8">
            <w:pPr>
              <w:spacing w:after="200" w:line="269" w:lineRule="auto"/>
              <w:jc w:val="center"/>
              <w:rPr>
                <w:rFonts w:cs="Tahoma"/>
                <w:szCs w:val="18"/>
                <w:lang w:eastAsia="ja-JP"/>
              </w:rPr>
            </w:pPr>
            <w:r w:rsidRPr="0058047D">
              <w:rPr>
                <w:rFonts w:cs="Tahoma"/>
                <w:szCs w:val="18"/>
              </w:rPr>
              <w:t>Premium Add-on per Windows Small Business Server</w:t>
            </w:r>
          </w:p>
        </w:tc>
        <w:tc>
          <w:tcPr>
            <w:tcW w:w="1848" w:type="dxa"/>
          </w:tcPr>
          <w:p w14:paraId="562EE391" w14:textId="77777777" w:rsidR="00A13BC3" w:rsidRPr="0058047D" w:rsidRDefault="00A13BC3" w:rsidP="006305F8">
            <w:pPr>
              <w:spacing w:after="200" w:line="269" w:lineRule="auto"/>
              <w:jc w:val="center"/>
              <w:rPr>
                <w:rFonts w:cs="Tahoma"/>
                <w:szCs w:val="18"/>
                <w:lang w:eastAsia="ja-JP"/>
              </w:rPr>
            </w:pPr>
            <w:r w:rsidRPr="0058047D">
              <w:rPr>
                <w:rFonts w:cs="Tahoma"/>
                <w:szCs w:val="18"/>
              </w:rPr>
              <w:t>SQL Server Standard</w:t>
            </w:r>
          </w:p>
        </w:tc>
        <w:tc>
          <w:tcPr>
            <w:tcW w:w="1774" w:type="dxa"/>
          </w:tcPr>
          <w:p w14:paraId="5FDD0704" w14:textId="77777777" w:rsidR="00A13BC3" w:rsidRPr="0058047D" w:rsidRDefault="00A13BC3" w:rsidP="006305F8">
            <w:pPr>
              <w:spacing w:after="200" w:line="269" w:lineRule="auto"/>
              <w:jc w:val="center"/>
              <w:rPr>
                <w:rFonts w:cs="Tahoma"/>
                <w:szCs w:val="18"/>
                <w:lang w:eastAsia="ja-JP"/>
              </w:rPr>
            </w:pPr>
          </w:p>
        </w:tc>
        <w:tc>
          <w:tcPr>
            <w:tcW w:w="1913" w:type="dxa"/>
          </w:tcPr>
          <w:p w14:paraId="3D632063" w14:textId="77777777" w:rsidR="00A13BC3" w:rsidRPr="0058047D" w:rsidRDefault="00A13BC3" w:rsidP="006305F8">
            <w:pPr>
              <w:spacing w:after="200" w:line="269" w:lineRule="auto"/>
              <w:jc w:val="center"/>
              <w:rPr>
                <w:rFonts w:cs="Tahoma"/>
                <w:szCs w:val="18"/>
                <w:lang w:eastAsia="ja-JP"/>
              </w:rPr>
            </w:pPr>
          </w:p>
        </w:tc>
        <w:tc>
          <w:tcPr>
            <w:tcW w:w="1391" w:type="dxa"/>
          </w:tcPr>
          <w:p w14:paraId="1EDE3A14" w14:textId="77777777" w:rsidR="00A13BC3" w:rsidRPr="0058047D" w:rsidRDefault="00A13BC3" w:rsidP="006305F8">
            <w:pPr>
              <w:spacing w:after="200" w:line="269" w:lineRule="auto"/>
              <w:jc w:val="center"/>
              <w:rPr>
                <w:rFonts w:cs="Tahoma"/>
                <w:szCs w:val="18"/>
                <w:lang w:eastAsia="ja-JP"/>
              </w:rPr>
            </w:pPr>
          </w:p>
        </w:tc>
      </w:tr>
      <w:tr w:rsidR="00A13BC3" w:rsidRPr="0058047D" w14:paraId="5A0B679A" w14:textId="77777777" w:rsidTr="007E466C">
        <w:tc>
          <w:tcPr>
            <w:tcW w:w="1912" w:type="dxa"/>
          </w:tcPr>
          <w:p w14:paraId="583A5753" w14:textId="77777777" w:rsidR="00A13BC3" w:rsidRPr="0058047D" w:rsidRDefault="00A13BC3" w:rsidP="006305F8">
            <w:pPr>
              <w:spacing w:after="200" w:line="269" w:lineRule="auto"/>
              <w:jc w:val="center"/>
              <w:rPr>
                <w:rFonts w:cs="Tahoma"/>
                <w:szCs w:val="18"/>
                <w:lang w:eastAsia="ja-JP"/>
              </w:rPr>
            </w:pPr>
            <w:r w:rsidRPr="0058047D">
              <w:rPr>
                <w:rFonts w:cs="Tahoma"/>
                <w:szCs w:val="18"/>
              </w:rPr>
              <w:t>Windows Small Business Server Standard</w:t>
            </w:r>
          </w:p>
        </w:tc>
        <w:tc>
          <w:tcPr>
            <w:tcW w:w="1848" w:type="dxa"/>
          </w:tcPr>
          <w:p w14:paraId="5134DFD2" w14:textId="77777777" w:rsidR="00A13BC3" w:rsidRPr="0058047D" w:rsidRDefault="00A13BC3" w:rsidP="006305F8">
            <w:pPr>
              <w:spacing w:after="200" w:line="269" w:lineRule="auto"/>
              <w:jc w:val="center"/>
              <w:rPr>
                <w:rFonts w:cs="Tahoma"/>
                <w:szCs w:val="18"/>
                <w:lang w:eastAsia="ja-JP"/>
              </w:rPr>
            </w:pPr>
            <w:r w:rsidRPr="0058047D">
              <w:rPr>
                <w:rFonts w:cs="Tahoma"/>
                <w:szCs w:val="18"/>
              </w:rPr>
              <w:t>SQL Server Workgroup</w:t>
            </w:r>
          </w:p>
        </w:tc>
        <w:tc>
          <w:tcPr>
            <w:tcW w:w="1774" w:type="dxa"/>
          </w:tcPr>
          <w:p w14:paraId="747B5EDE" w14:textId="77777777" w:rsidR="00A13BC3" w:rsidRPr="0058047D" w:rsidRDefault="00A13BC3" w:rsidP="006305F8">
            <w:pPr>
              <w:spacing w:after="200" w:line="269" w:lineRule="auto"/>
              <w:jc w:val="center"/>
              <w:rPr>
                <w:rFonts w:cs="Tahoma"/>
                <w:szCs w:val="18"/>
                <w:lang w:eastAsia="ja-JP"/>
              </w:rPr>
            </w:pPr>
          </w:p>
        </w:tc>
        <w:tc>
          <w:tcPr>
            <w:tcW w:w="1913" w:type="dxa"/>
          </w:tcPr>
          <w:p w14:paraId="3BF353D9" w14:textId="77777777" w:rsidR="00A13BC3" w:rsidRPr="0058047D" w:rsidRDefault="00A13BC3" w:rsidP="006305F8">
            <w:pPr>
              <w:spacing w:after="200" w:line="269" w:lineRule="auto"/>
              <w:jc w:val="center"/>
              <w:rPr>
                <w:rFonts w:cs="Tahoma"/>
                <w:szCs w:val="18"/>
                <w:lang w:eastAsia="ja-JP"/>
              </w:rPr>
            </w:pPr>
          </w:p>
        </w:tc>
        <w:tc>
          <w:tcPr>
            <w:tcW w:w="1391" w:type="dxa"/>
          </w:tcPr>
          <w:p w14:paraId="00E48693" w14:textId="77777777" w:rsidR="00A13BC3" w:rsidRPr="0058047D" w:rsidRDefault="00A13BC3" w:rsidP="006305F8">
            <w:pPr>
              <w:spacing w:after="200" w:line="269" w:lineRule="auto"/>
              <w:jc w:val="center"/>
              <w:rPr>
                <w:rFonts w:cs="Tahoma"/>
                <w:szCs w:val="18"/>
                <w:lang w:eastAsia="ja-JP"/>
              </w:rPr>
            </w:pPr>
          </w:p>
        </w:tc>
      </w:tr>
      <w:tr w:rsidR="00A13BC3" w:rsidRPr="0058047D" w14:paraId="0D3D077C" w14:textId="77777777" w:rsidTr="007E466C">
        <w:tc>
          <w:tcPr>
            <w:tcW w:w="1912" w:type="dxa"/>
          </w:tcPr>
          <w:p w14:paraId="0292739D" w14:textId="77777777" w:rsidR="00A13BC3" w:rsidRPr="0058047D" w:rsidRDefault="00A13BC3" w:rsidP="006305F8">
            <w:pPr>
              <w:spacing w:after="200" w:line="269" w:lineRule="auto"/>
              <w:jc w:val="center"/>
              <w:rPr>
                <w:rFonts w:cs="Tahoma"/>
                <w:szCs w:val="18"/>
                <w:lang w:eastAsia="ja-JP"/>
              </w:rPr>
            </w:pPr>
            <w:r w:rsidRPr="0058047D">
              <w:rPr>
                <w:rFonts w:cs="Tahoma"/>
                <w:szCs w:val="18"/>
              </w:rPr>
              <w:t>Windows Small Business Server Essentials</w:t>
            </w:r>
          </w:p>
        </w:tc>
        <w:tc>
          <w:tcPr>
            <w:tcW w:w="1848" w:type="dxa"/>
          </w:tcPr>
          <w:p w14:paraId="476A05DB" w14:textId="77777777" w:rsidR="00A13BC3" w:rsidRPr="0058047D" w:rsidRDefault="00A13BC3" w:rsidP="006305F8">
            <w:pPr>
              <w:spacing w:after="200" w:line="269" w:lineRule="auto"/>
              <w:jc w:val="center"/>
              <w:rPr>
                <w:rFonts w:cs="Tahoma"/>
                <w:szCs w:val="18"/>
                <w:lang w:eastAsia="ja-JP"/>
              </w:rPr>
            </w:pPr>
            <w:r w:rsidRPr="0058047D">
              <w:rPr>
                <w:rFonts w:cs="Tahoma"/>
                <w:szCs w:val="18"/>
              </w:rPr>
              <w:t>SQL Server Small Business</w:t>
            </w:r>
          </w:p>
        </w:tc>
        <w:tc>
          <w:tcPr>
            <w:tcW w:w="1774" w:type="dxa"/>
          </w:tcPr>
          <w:p w14:paraId="496F88C3" w14:textId="77777777" w:rsidR="00A13BC3" w:rsidRPr="0058047D" w:rsidRDefault="00A13BC3" w:rsidP="006305F8">
            <w:pPr>
              <w:spacing w:after="200" w:line="269" w:lineRule="auto"/>
              <w:jc w:val="center"/>
              <w:rPr>
                <w:rFonts w:cs="Tahoma"/>
                <w:szCs w:val="18"/>
                <w:lang w:eastAsia="ja-JP"/>
              </w:rPr>
            </w:pPr>
          </w:p>
        </w:tc>
        <w:tc>
          <w:tcPr>
            <w:tcW w:w="1913" w:type="dxa"/>
          </w:tcPr>
          <w:p w14:paraId="56DE8864" w14:textId="77777777" w:rsidR="00A13BC3" w:rsidRPr="0058047D" w:rsidRDefault="00A13BC3" w:rsidP="006305F8">
            <w:pPr>
              <w:spacing w:after="200" w:line="269" w:lineRule="auto"/>
              <w:jc w:val="center"/>
              <w:rPr>
                <w:rFonts w:cs="Tahoma"/>
                <w:szCs w:val="18"/>
                <w:lang w:eastAsia="ja-JP"/>
              </w:rPr>
            </w:pPr>
          </w:p>
        </w:tc>
        <w:tc>
          <w:tcPr>
            <w:tcW w:w="1391" w:type="dxa"/>
          </w:tcPr>
          <w:p w14:paraId="32233F38" w14:textId="77777777" w:rsidR="00A13BC3" w:rsidRPr="0058047D" w:rsidRDefault="00A13BC3" w:rsidP="006305F8">
            <w:pPr>
              <w:spacing w:after="200" w:line="269" w:lineRule="auto"/>
              <w:jc w:val="center"/>
              <w:rPr>
                <w:rFonts w:cs="Tahoma"/>
                <w:szCs w:val="18"/>
                <w:lang w:eastAsia="ja-JP"/>
              </w:rPr>
            </w:pPr>
          </w:p>
        </w:tc>
      </w:tr>
      <w:tr w:rsidR="00A13BC3" w:rsidRPr="0058047D" w14:paraId="70FD6100" w14:textId="77777777" w:rsidTr="007E466C">
        <w:tc>
          <w:tcPr>
            <w:tcW w:w="1912" w:type="dxa"/>
          </w:tcPr>
          <w:p w14:paraId="7954E61A" w14:textId="77777777" w:rsidR="00A13BC3" w:rsidRPr="0058047D" w:rsidRDefault="00A13BC3" w:rsidP="006305F8">
            <w:pPr>
              <w:spacing w:after="200" w:line="269" w:lineRule="auto"/>
              <w:jc w:val="center"/>
              <w:rPr>
                <w:rFonts w:cs="Tahoma"/>
                <w:szCs w:val="18"/>
                <w:lang w:eastAsia="ja-JP"/>
              </w:rPr>
            </w:pPr>
            <w:r w:rsidRPr="0058047D">
              <w:rPr>
                <w:rFonts w:cs="Tahoma"/>
                <w:szCs w:val="18"/>
              </w:rPr>
              <w:t>Windows Web Server</w:t>
            </w:r>
          </w:p>
        </w:tc>
        <w:tc>
          <w:tcPr>
            <w:tcW w:w="1848" w:type="dxa"/>
          </w:tcPr>
          <w:p w14:paraId="490C6D47" w14:textId="77777777" w:rsidR="00A13BC3" w:rsidRPr="0058047D" w:rsidRDefault="00A13BC3" w:rsidP="006305F8">
            <w:pPr>
              <w:spacing w:after="200" w:line="269" w:lineRule="auto"/>
              <w:jc w:val="center"/>
              <w:rPr>
                <w:rFonts w:cs="Tahoma"/>
                <w:szCs w:val="18"/>
                <w:lang w:eastAsia="ja-JP"/>
              </w:rPr>
            </w:pPr>
            <w:r w:rsidRPr="0058047D">
              <w:rPr>
                <w:rFonts w:cs="Tahoma"/>
                <w:szCs w:val="18"/>
              </w:rPr>
              <w:t>SQL Server Web</w:t>
            </w:r>
          </w:p>
        </w:tc>
        <w:tc>
          <w:tcPr>
            <w:tcW w:w="1774" w:type="dxa"/>
          </w:tcPr>
          <w:p w14:paraId="7CC9241E" w14:textId="77777777" w:rsidR="00A13BC3" w:rsidRPr="0058047D" w:rsidRDefault="00A13BC3" w:rsidP="006305F8">
            <w:pPr>
              <w:spacing w:after="200" w:line="269" w:lineRule="auto"/>
              <w:jc w:val="center"/>
              <w:rPr>
                <w:rFonts w:cs="Tahoma"/>
                <w:szCs w:val="18"/>
                <w:lang w:eastAsia="ja-JP"/>
              </w:rPr>
            </w:pPr>
          </w:p>
        </w:tc>
        <w:tc>
          <w:tcPr>
            <w:tcW w:w="1913" w:type="dxa"/>
          </w:tcPr>
          <w:p w14:paraId="4B7B7F3F" w14:textId="77777777" w:rsidR="00A13BC3" w:rsidRPr="0058047D" w:rsidRDefault="00A13BC3" w:rsidP="006305F8">
            <w:pPr>
              <w:spacing w:after="200" w:line="269" w:lineRule="auto"/>
              <w:jc w:val="center"/>
              <w:rPr>
                <w:rFonts w:cs="Tahoma"/>
                <w:szCs w:val="18"/>
                <w:lang w:eastAsia="ja-JP"/>
              </w:rPr>
            </w:pPr>
          </w:p>
        </w:tc>
        <w:tc>
          <w:tcPr>
            <w:tcW w:w="1391" w:type="dxa"/>
          </w:tcPr>
          <w:p w14:paraId="5BCD6089" w14:textId="77777777" w:rsidR="00A13BC3" w:rsidRPr="0058047D" w:rsidRDefault="00A13BC3" w:rsidP="006305F8">
            <w:pPr>
              <w:spacing w:after="200" w:line="269" w:lineRule="auto"/>
              <w:jc w:val="center"/>
              <w:rPr>
                <w:rFonts w:cs="Tahoma"/>
                <w:szCs w:val="18"/>
                <w:lang w:eastAsia="ja-JP"/>
              </w:rPr>
            </w:pPr>
          </w:p>
        </w:tc>
      </w:tr>
      <w:tr w:rsidR="00A13BC3" w:rsidRPr="0058047D" w14:paraId="5CF300DD" w14:textId="77777777" w:rsidTr="007E466C">
        <w:tc>
          <w:tcPr>
            <w:tcW w:w="1912" w:type="dxa"/>
          </w:tcPr>
          <w:p w14:paraId="437F3928" w14:textId="77777777" w:rsidR="00A13BC3" w:rsidRPr="0058047D" w:rsidRDefault="00A13BC3" w:rsidP="006305F8">
            <w:pPr>
              <w:spacing w:after="200" w:line="269" w:lineRule="auto"/>
              <w:jc w:val="center"/>
              <w:rPr>
                <w:rFonts w:cs="Tahoma"/>
                <w:szCs w:val="18"/>
                <w:lang w:eastAsia="ja-JP"/>
              </w:rPr>
            </w:pPr>
            <w:r w:rsidRPr="0058047D">
              <w:rPr>
                <w:rFonts w:cs="Tahoma"/>
                <w:szCs w:val="18"/>
              </w:rPr>
              <w:t>Windows HPC Server Suite</w:t>
            </w:r>
          </w:p>
        </w:tc>
        <w:tc>
          <w:tcPr>
            <w:tcW w:w="1848" w:type="dxa"/>
          </w:tcPr>
          <w:p w14:paraId="02C08CA0" w14:textId="77777777" w:rsidR="00A13BC3" w:rsidRPr="0058047D" w:rsidRDefault="00A13BC3" w:rsidP="006305F8">
            <w:pPr>
              <w:spacing w:after="200" w:line="269" w:lineRule="auto"/>
              <w:jc w:val="center"/>
              <w:rPr>
                <w:rFonts w:cs="Tahoma"/>
                <w:szCs w:val="18"/>
                <w:lang w:eastAsia="ja-JP"/>
              </w:rPr>
            </w:pPr>
            <w:r w:rsidRPr="0058047D">
              <w:rPr>
                <w:rFonts w:cs="Tahoma"/>
                <w:szCs w:val="18"/>
              </w:rPr>
              <w:t>SQL Server Developer</w:t>
            </w:r>
          </w:p>
        </w:tc>
        <w:tc>
          <w:tcPr>
            <w:tcW w:w="1774" w:type="dxa"/>
          </w:tcPr>
          <w:p w14:paraId="2FDF887A" w14:textId="77777777" w:rsidR="00A13BC3" w:rsidRPr="0058047D" w:rsidRDefault="00A13BC3" w:rsidP="006305F8">
            <w:pPr>
              <w:spacing w:after="200" w:line="269" w:lineRule="auto"/>
              <w:jc w:val="center"/>
              <w:rPr>
                <w:rFonts w:cs="Tahoma"/>
                <w:szCs w:val="18"/>
                <w:lang w:eastAsia="ja-JP"/>
              </w:rPr>
            </w:pPr>
          </w:p>
        </w:tc>
        <w:tc>
          <w:tcPr>
            <w:tcW w:w="1913" w:type="dxa"/>
          </w:tcPr>
          <w:p w14:paraId="2D838C90" w14:textId="77777777" w:rsidR="00A13BC3" w:rsidRPr="0058047D" w:rsidRDefault="00A13BC3" w:rsidP="006305F8">
            <w:pPr>
              <w:spacing w:after="200" w:line="269" w:lineRule="auto"/>
              <w:jc w:val="center"/>
              <w:rPr>
                <w:rFonts w:cs="Tahoma"/>
                <w:szCs w:val="18"/>
                <w:lang w:eastAsia="ja-JP"/>
              </w:rPr>
            </w:pPr>
          </w:p>
        </w:tc>
        <w:tc>
          <w:tcPr>
            <w:tcW w:w="1391" w:type="dxa"/>
          </w:tcPr>
          <w:p w14:paraId="2AB42B6F" w14:textId="77777777" w:rsidR="00A13BC3" w:rsidRPr="0058047D" w:rsidRDefault="00A13BC3" w:rsidP="006305F8">
            <w:pPr>
              <w:spacing w:after="200" w:line="269" w:lineRule="auto"/>
              <w:jc w:val="center"/>
              <w:rPr>
                <w:rFonts w:cs="Tahoma"/>
                <w:szCs w:val="18"/>
                <w:lang w:eastAsia="ja-JP"/>
              </w:rPr>
            </w:pPr>
          </w:p>
        </w:tc>
      </w:tr>
      <w:tr w:rsidR="00A13BC3" w:rsidRPr="0058047D" w14:paraId="1F99F98A" w14:textId="77777777" w:rsidTr="007E466C">
        <w:tc>
          <w:tcPr>
            <w:tcW w:w="1912" w:type="dxa"/>
          </w:tcPr>
          <w:p w14:paraId="7174F952" w14:textId="77777777" w:rsidR="00A13BC3" w:rsidRPr="0058047D" w:rsidRDefault="00A13BC3" w:rsidP="006305F8">
            <w:pPr>
              <w:spacing w:after="200" w:line="269" w:lineRule="auto"/>
              <w:jc w:val="center"/>
              <w:rPr>
                <w:rFonts w:cs="Tahoma"/>
                <w:szCs w:val="18"/>
                <w:lang w:eastAsia="ja-JP"/>
              </w:rPr>
            </w:pPr>
            <w:r w:rsidRPr="0058047D">
              <w:rPr>
                <w:rFonts w:cs="Tahoma"/>
                <w:szCs w:val="18"/>
              </w:rPr>
              <w:t>Windows Server HPC Edition</w:t>
            </w:r>
          </w:p>
        </w:tc>
        <w:tc>
          <w:tcPr>
            <w:tcW w:w="1848" w:type="dxa"/>
          </w:tcPr>
          <w:p w14:paraId="2F8DB33B" w14:textId="77777777" w:rsidR="00A13BC3" w:rsidRPr="0058047D" w:rsidRDefault="00A13BC3" w:rsidP="006305F8">
            <w:pPr>
              <w:spacing w:after="200" w:line="269" w:lineRule="auto"/>
              <w:jc w:val="center"/>
              <w:rPr>
                <w:rFonts w:cs="Tahoma"/>
                <w:szCs w:val="18"/>
                <w:lang w:eastAsia="ja-JP"/>
              </w:rPr>
            </w:pPr>
            <w:r w:rsidRPr="0058047D">
              <w:rPr>
                <w:rFonts w:cs="Tahoma"/>
                <w:szCs w:val="18"/>
              </w:rPr>
              <w:t>SQL Server Business Intelligence</w:t>
            </w:r>
          </w:p>
        </w:tc>
        <w:tc>
          <w:tcPr>
            <w:tcW w:w="1774" w:type="dxa"/>
          </w:tcPr>
          <w:p w14:paraId="6A219C66" w14:textId="77777777" w:rsidR="00A13BC3" w:rsidRPr="0058047D" w:rsidRDefault="00A13BC3" w:rsidP="006305F8">
            <w:pPr>
              <w:spacing w:after="200" w:line="269" w:lineRule="auto"/>
              <w:jc w:val="center"/>
              <w:rPr>
                <w:rFonts w:cs="Tahoma"/>
                <w:szCs w:val="18"/>
                <w:lang w:eastAsia="ja-JP"/>
              </w:rPr>
            </w:pPr>
          </w:p>
        </w:tc>
        <w:tc>
          <w:tcPr>
            <w:tcW w:w="1913" w:type="dxa"/>
          </w:tcPr>
          <w:p w14:paraId="2679D736" w14:textId="77777777" w:rsidR="00A13BC3" w:rsidRPr="0058047D" w:rsidRDefault="00A13BC3" w:rsidP="006305F8">
            <w:pPr>
              <w:spacing w:after="200" w:line="269" w:lineRule="auto"/>
              <w:jc w:val="center"/>
              <w:rPr>
                <w:rFonts w:cs="Tahoma"/>
                <w:szCs w:val="18"/>
                <w:lang w:eastAsia="ja-JP"/>
              </w:rPr>
            </w:pPr>
          </w:p>
        </w:tc>
        <w:tc>
          <w:tcPr>
            <w:tcW w:w="1391" w:type="dxa"/>
          </w:tcPr>
          <w:p w14:paraId="2B420A82" w14:textId="77777777" w:rsidR="00A13BC3" w:rsidRPr="0058047D" w:rsidRDefault="00A13BC3" w:rsidP="006305F8">
            <w:pPr>
              <w:spacing w:after="200" w:line="269" w:lineRule="auto"/>
              <w:jc w:val="center"/>
              <w:rPr>
                <w:rFonts w:cs="Tahoma"/>
                <w:szCs w:val="18"/>
                <w:lang w:eastAsia="ja-JP"/>
              </w:rPr>
            </w:pPr>
          </w:p>
        </w:tc>
      </w:tr>
      <w:tr w:rsidR="00A13BC3" w:rsidRPr="0058047D" w14:paraId="26B45E69" w14:textId="77777777" w:rsidTr="007E466C">
        <w:tc>
          <w:tcPr>
            <w:tcW w:w="1912" w:type="dxa"/>
          </w:tcPr>
          <w:p w14:paraId="7106F494" w14:textId="77777777" w:rsidR="00A13BC3" w:rsidRPr="0058047D" w:rsidRDefault="00A13BC3" w:rsidP="006305F8">
            <w:pPr>
              <w:spacing w:after="200" w:line="269" w:lineRule="auto"/>
              <w:jc w:val="center"/>
              <w:rPr>
                <w:rFonts w:cs="Tahoma"/>
                <w:szCs w:val="18"/>
                <w:lang w:eastAsia="ja-JP"/>
              </w:rPr>
            </w:pPr>
            <w:r w:rsidRPr="0058047D">
              <w:rPr>
                <w:rFonts w:cs="Tahoma"/>
                <w:szCs w:val="18"/>
              </w:rPr>
              <w:t xml:space="preserve">Core Infrastructure Server Suite Datacenter </w:t>
            </w:r>
          </w:p>
        </w:tc>
        <w:tc>
          <w:tcPr>
            <w:tcW w:w="1848" w:type="dxa"/>
          </w:tcPr>
          <w:p w14:paraId="32E1BC9D" w14:textId="77777777" w:rsidR="00A13BC3" w:rsidRPr="0058047D" w:rsidRDefault="00A13BC3" w:rsidP="006305F8">
            <w:pPr>
              <w:spacing w:after="200" w:line="269" w:lineRule="auto"/>
              <w:jc w:val="center"/>
              <w:rPr>
                <w:rFonts w:cs="Tahoma"/>
                <w:szCs w:val="18"/>
              </w:rPr>
            </w:pPr>
          </w:p>
        </w:tc>
        <w:tc>
          <w:tcPr>
            <w:tcW w:w="1774" w:type="dxa"/>
          </w:tcPr>
          <w:p w14:paraId="190DADC7" w14:textId="77777777" w:rsidR="00A13BC3" w:rsidRPr="0058047D" w:rsidRDefault="00A13BC3" w:rsidP="006305F8">
            <w:pPr>
              <w:spacing w:after="200" w:line="269" w:lineRule="auto"/>
              <w:jc w:val="center"/>
              <w:rPr>
                <w:rFonts w:cs="Tahoma"/>
                <w:szCs w:val="18"/>
              </w:rPr>
            </w:pPr>
          </w:p>
        </w:tc>
        <w:tc>
          <w:tcPr>
            <w:tcW w:w="1913" w:type="dxa"/>
          </w:tcPr>
          <w:p w14:paraId="3CD05D7F" w14:textId="77777777" w:rsidR="00A13BC3" w:rsidRPr="0058047D" w:rsidRDefault="00A13BC3" w:rsidP="006305F8">
            <w:pPr>
              <w:spacing w:after="200" w:line="269" w:lineRule="auto"/>
              <w:jc w:val="center"/>
              <w:rPr>
                <w:rFonts w:cs="Tahoma"/>
                <w:szCs w:val="18"/>
              </w:rPr>
            </w:pPr>
          </w:p>
        </w:tc>
        <w:tc>
          <w:tcPr>
            <w:tcW w:w="1391" w:type="dxa"/>
          </w:tcPr>
          <w:p w14:paraId="209F9F70" w14:textId="77777777" w:rsidR="00A13BC3" w:rsidRPr="0058047D" w:rsidRDefault="00A13BC3" w:rsidP="006305F8">
            <w:pPr>
              <w:spacing w:after="200" w:line="269" w:lineRule="auto"/>
              <w:jc w:val="center"/>
              <w:rPr>
                <w:rFonts w:cs="Tahoma"/>
                <w:szCs w:val="18"/>
              </w:rPr>
            </w:pPr>
          </w:p>
        </w:tc>
      </w:tr>
      <w:tr w:rsidR="00A13BC3" w:rsidRPr="0058047D" w14:paraId="32F6F43D" w14:textId="77777777" w:rsidTr="00075CCA">
        <w:tc>
          <w:tcPr>
            <w:tcW w:w="1912" w:type="dxa"/>
          </w:tcPr>
          <w:p w14:paraId="7096AA00" w14:textId="77777777" w:rsidR="00A13BC3" w:rsidRPr="0058047D" w:rsidRDefault="00A13BC3" w:rsidP="006305F8">
            <w:pPr>
              <w:spacing w:after="200" w:line="269" w:lineRule="auto"/>
              <w:jc w:val="center"/>
              <w:rPr>
                <w:rFonts w:cs="Tahoma"/>
                <w:szCs w:val="18"/>
                <w:lang w:eastAsia="ja-JP"/>
              </w:rPr>
            </w:pPr>
            <w:r w:rsidRPr="0058047D">
              <w:rPr>
                <w:rFonts w:cs="Tahoma"/>
                <w:szCs w:val="18"/>
              </w:rPr>
              <w:t>Core Infrastructure Server Suite Enterprise</w:t>
            </w:r>
          </w:p>
        </w:tc>
        <w:tc>
          <w:tcPr>
            <w:tcW w:w="1848" w:type="dxa"/>
          </w:tcPr>
          <w:p w14:paraId="5F04A341" w14:textId="77777777" w:rsidR="00A13BC3" w:rsidRPr="0058047D" w:rsidRDefault="00A13BC3" w:rsidP="006305F8">
            <w:pPr>
              <w:spacing w:after="200" w:line="269" w:lineRule="auto"/>
              <w:jc w:val="center"/>
              <w:rPr>
                <w:rFonts w:cs="Tahoma"/>
                <w:szCs w:val="18"/>
              </w:rPr>
            </w:pPr>
          </w:p>
        </w:tc>
        <w:tc>
          <w:tcPr>
            <w:tcW w:w="1774" w:type="dxa"/>
          </w:tcPr>
          <w:p w14:paraId="4FF7EC20" w14:textId="77777777" w:rsidR="00A13BC3" w:rsidRPr="0058047D" w:rsidRDefault="00A13BC3" w:rsidP="006305F8">
            <w:pPr>
              <w:spacing w:after="200" w:line="269" w:lineRule="auto"/>
              <w:jc w:val="center"/>
              <w:rPr>
                <w:rFonts w:cs="Tahoma"/>
                <w:szCs w:val="18"/>
              </w:rPr>
            </w:pPr>
          </w:p>
        </w:tc>
        <w:tc>
          <w:tcPr>
            <w:tcW w:w="1913" w:type="dxa"/>
          </w:tcPr>
          <w:p w14:paraId="752A5699" w14:textId="77777777" w:rsidR="00A13BC3" w:rsidRPr="0058047D" w:rsidRDefault="00A13BC3" w:rsidP="006305F8">
            <w:pPr>
              <w:spacing w:after="200" w:line="269" w:lineRule="auto"/>
              <w:jc w:val="center"/>
              <w:rPr>
                <w:rFonts w:cs="Tahoma"/>
                <w:szCs w:val="18"/>
              </w:rPr>
            </w:pPr>
          </w:p>
        </w:tc>
        <w:tc>
          <w:tcPr>
            <w:tcW w:w="1391" w:type="dxa"/>
          </w:tcPr>
          <w:p w14:paraId="744916A7" w14:textId="77777777" w:rsidR="00A13BC3" w:rsidRPr="0058047D" w:rsidRDefault="00A13BC3" w:rsidP="006305F8">
            <w:pPr>
              <w:spacing w:after="200" w:line="269" w:lineRule="auto"/>
              <w:jc w:val="center"/>
              <w:rPr>
                <w:rFonts w:cs="Tahoma"/>
                <w:szCs w:val="18"/>
              </w:rPr>
            </w:pPr>
          </w:p>
        </w:tc>
      </w:tr>
      <w:tr w:rsidR="00A13BC3" w:rsidRPr="0058047D" w14:paraId="222A52A4" w14:textId="77777777" w:rsidTr="00075CCA">
        <w:tc>
          <w:tcPr>
            <w:tcW w:w="1912" w:type="dxa"/>
          </w:tcPr>
          <w:p w14:paraId="47048D78" w14:textId="77777777" w:rsidR="00A13BC3" w:rsidRPr="0058047D" w:rsidRDefault="00A13BC3" w:rsidP="006305F8">
            <w:pPr>
              <w:spacing w:after="200" w:line="269" w:lineRule="auto"/>
              <w:jc w:val="center"/>
              <w:rPr>
                <w:rFonts w:cs="Tahoma"/>
                <w:szCs w:val="18"/>
                <w:lang w:eastAsia="ja-JP"/>
              </w:rPr>
            </w:pPr>
            <w:r w:rsidRPr="0058047D">
              <w:rPr>
                <w:rFonts w:cs="Tahoma"/>
                <w:szCs w:val="18"/>
              </w:rPr>
              <w:t>Core Infrastructure Server Suite Standard</w:t>
            </w:r>
          </w:p>
        </w:tc>
        <w:tc>
          <w:tcPr>
            <w:tcW w:w="1848" w:type="dxa"/>
          </w:tcPr>
          <w:p w14:paraId="14B40F1C" w14:textId="77777777" w:rsidR="00A13BC3" w:rsidRPr="0058047D" w:rsidRDefault="00A13BC3" w:rsidP="006305F8">
            <w:pPr>
              <w:spacing w:after="200" w:line="269" w:lineRule="auto"/>
              <w:jc w:val="center"/>
              <w:rPr>
                <w:rFonts w:cs="Tahoma"/>
                <w:szCs w:val="18"/>
              </w:rPr>
            </w:pPr>
          </w:p>
        </w:tc>
        <w:tc>
          <w:tcPr>
            <w:tcW w:w="1774" w:type="dxa"/>
          </w:tcPr>
          <w:p w14:paraId="5AB468D5" w14:textId="77777777" w:rsidR="00A13BC3" w:rsidRPr="0058047D" w:rsidRDefault="00A13BC3" w:rsidP="006305F8">
            <w:pPr>
              <w:spacing w:after="200" w:line="269" w:lineRule="auto"/>
              <w:jc w:val="center"/>
              <w:rPr>
                <w:rFonts w:cs="Tahoma"/>
                <w:szCs w:val="18"/>
              </w:rPr>
            </w:pPr>
          </w:p>
        </w:tc>
        <w:tc>
          <w:tcPr>
            <w:tcW w:w="1913" w:type="dxa"/>
          </w:tcPr>
          <w:p w14:paraId="56268E0B" w14:textId="77777777" w:rsidR="00A13BC3" w:rsidRPr="0058047D" w:rsidRDefault="00A13BC3" w:rsidP="006305F8">
            <w:pPr>
              <w:spacing w:after="200" w:line="269" w:lineRule="auto"/>
              <w:jc w:val="center"/>
              <w:rPr>
                <w:rFonts w:cs="Tahoma"/>
                <w:szCs w:val="18"/>
              </w:rPr>
            </w:pPr>
          </w:p>
        </w:tc>
        <w:tc>
          <w:tcPr>
            <w:tcW w:w="1391" w:type="dxa"/>
          </w:tcPr>
          <w:p w14:paraId="20240D98" w14:textId="77777777" w:rsidR="00A13BC3" w:rsidRPr="0058047D" w:rsidRDefault="00A13BC3" w:rsidP="006305F8">
            <w:pPr>
              <w:spacing w:after="200" w:line="269" w:lineRule="auto"/>
              <w:jc w:val="center"/>
              <w:rPr>
                <w:rFonts w:cs="Tahoma"/>
                <w:szCs w:val="18"/>
              </w:rPr>
            </w:pPr>
          </w:p>
        </w:tc>
      </w:tr>
    </w:tbl>
    <w:p w14:paraId="4CB12FED" w14:textId="77777777" w:rsidR="003479E5" w:rsidRPr="0058047D" w:rsidRDefault="003479E5" w:rsidP="00792D1E"/>
    <w:p w14:paraId="4488627A" w14:textId="77777777" w:rsidR="003479E5" w:rsidRPr="0058047D" w:rsidRDefault="003479E5" w:rsidP="00792D1E">
      <w:r w:rsidRPr="0058047D">
        <w:rPr>
          <w:rFonts w:cs="Tahoma"/>
          <w:bCs/>
          <w:szCs w:val="18"/>
        </w:rPr>
        <w:t>*La copertura Software Assurance per le Licenze CAL per il Software Server Qualificante non qualifica le società per il vantaggio di Software Assurance System Center Advisor.</w:t>
      </w:r>
      <w:r w:rsidR="00E34ED3" w:rsidRPr="0058047D">
        <w:rPr>
          <w:rFonts w:cs="Tahoma"/>
          <w:bCs/>
          <w:szCs w:val="18"/>
        </w:rPr>
        <w:t xml:space="preserve"> </w:t>
      </w:r>
      <w:r w:rsidRPr="0058047D">
        <w:rPr>
          <w:rFonts w:cs="Tahoma"/>
          <w:bCs/>
          <w:szCs w:val="18"/>
        </w:rPr>
        <w:t>Le società dovranno disporre di una copertura per le licenze software ai sensi delle quali viene eseguito il Software Server Qualificante.</w:t>
      </w:r>
    </w:p>
    <w:p w14:paraId="3F36B1D2" w14:textId="77777777" w:rsidR="003479E5" w:rsidRPr="0058047D" w:rsidRDefault="003479E5" w:rsidP="00792D1E"/>
    <w:p w14:paraId="3050946A" w14:textId="77777777" w:rsidR="000D454E" w:rsidRPr="0058047D" w:rsidRDefault="000D454E" w:rsidP="00792D1E">
      <w:r w:rsidRPr="0058047D">
        <w:rPr>
          <w:rFonts w:cs="Tahoma"/>
          <w:szCs w:val="18"/>
        </w:rPr>
        <w:t>Le società con la copertura Software Assurance attiva per le Licenze di Gestione identificate nella tabella che segue sono idonee a utilizzare System Center Advisor come specificato nei Diritti di Utilizzo del Prodotto.</w:t>
      </w:r>
    </w:p>
    <w:p w14:paraId="1E5A7928" w14:textId="77777777" w:rsidR="000D454E" w:rsidRPr="0058047D" w:rsidRDefault="000D454E" w:rsidP="000D454E">
      <w:pPr>
        <w:outlineLvl w:val="2"/>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58047D" w14:paraId="20A45240"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14:paraId="0FE6B46C" w14:textId="77777777" w:rsidR="000D454E" w:rsidRPr="0058047D" w:rsidRDefault="000D454E" w:rsidP="007E466C">
            <w:pPr>
              <w:spacing w:before="120" w:after="120" w:line="276" w:lineRule="auto"/>
              <w:jc w:val="center"/>
              <w:rPr>
                <w:rFonts w:cs="Tahoma"/>
                <w:b/>
                <w:color w:val="000000"/>
                <w:szCs w:val="18"/>
                <w:lang w:eastAsia="ja-JP"/>
              </w:rPr>
            </w:pPr>
            <w:r w:rsidRPr="0058047D">
              <w:rPr>
                <w:rFonts w:cs="Tahoma"/>
                <w:b/>
                <w:color w:val="000000"/>
                <w:szCs w:val="18"/>
              </w:rPr>
              <w:t>Licenze di Gestione Qualificanti</w:t>
            </w:r>
          </w:p>
        </w:tc>
      </w:tr>
      <w:tr w:rsidR="000D454E" w:rsidRPr="0058047D" w14:paraId="652A22EF"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5AF431DF" w14:textId="77777777" w:rsidR="000D454E" w:rsidRPr="0058047D" w:rsidRDefault="000D454E" w:rsidP="007E466C">
            <w:pPr>
              <w:spacing w:before="120" w:after="120"/>
              <w:jc w:val="center"/>
              <w:rPr>
                <w:rFonts w:cs="Tahoma"/>
                <w:color w:val="000000"/>
                <w:szCs w:val="18"/>
                <w:lang w:eastAsia="ja-JP"/>
              </w:rPr>
            </w:pPr>
            <w:r w:rsidRPr="0058047D">
              <w:rPr>
                <w:rFonts w:cs="Tahoma"/>
                <w:color w:val="000000"/>
                <w:szCs w:val="18"/>
              </w:rPr>
              <w:t>Licenza di Gestione Server per System Center 2012 Datacenter</w:t>
            </w:r>
          </w:p>
        </w:tc>
      </w:tr>
      <w:tr w:rsidR="000D454E" w:rsidRPr="0058047D" w14:paraId="1D66D21D"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1C8B0C62" w14:textId="77777777" w:rsidR="000D454E" w:rsidRPr="0058047D" w:rsidRDefault="000D454E" w:rsidP="007E466C">
            <w:pPr>
              <w:spacing w:before="120" w:after="120" w:line="276" w:lineRule="auto"/>
              <w:jc w:val="center"/>
              <w:rPr>
                <w:rFonts w:cs="Tahoma"/>
                <w:szCs w:val="18"/>
              </w:rPr>
            </w:pPr>
            <w:r w:rsidRPr="0058047D">
              <w:rPr>
                <w:rFonts w:cs="Tahoma"/>
                <w:color w:val="000000"/>
                <w:szCs w:val="18"/>
              </w:rPr>
              <w:t>Licenza di Gestione Server per System Center 2012 Standard</w:t>
            </w:r>
          </w:p>
        </w:tc>
      </w:tr>
    </w:tbl>
    <w:p w14:paraId="0C975318" w14:textId="77777777" w:rsidR="00E06FE8" w:rsidRPr="0058047D" w:rsidRDefault="000E6E21" w:rsidP="00E06FE8">
      <w:pPr>
        <w:keepNext/>
        <w:keepLines/>
        <w:spacing w:before="40" w:line="259" w:lineRule="auto"/>
        <w:outlineLvl w:val="2"/>
      </w:pPr>
      <w:bookmarkStart w:id="738" w:name="_Toc336338239"/>
      <w:r w:rsidRPr="0058047D">
        <w:rPr>
          <w:rFonts w:eastAsiaTheme="majorEastAsia" w:cs="Tahoma"/>
          <w:color w:val="000000"/>
          <w:szCs w:val="18"/>
        </w:rPr>
        <w:cr/>
      </w:r>
      <w:r w:rsidRPr="0058047D">
        <w:rPr>
          <w:rFonts w:eastAsiaTheme="majorEastAsia" w:cs="Tahoma"/>
          <w:b/>
          <w:color w:val="000000"/>
          <w:sz w:val="24"/>
          <w:szCs w:val="18"/>
        </w:rPr>
        <w:t>System Center Global Service Monitor</w:t>
      </w:r>
    </w:p>
    <w:p w14:paraId="245B67CF" w14:textId="77777777" w:rsidR="006305F8" w:rsidRDefault="006305F8" w:rsidP="007E466C">
      <w:pPr>
        <w:rPr>
          <w:rFonts w:cs="Tahoma"/>
          <w:szCs w:val="18"/>
        </w:rPr>
      </w:pPr>
    </w:p>
    <w:p w14:paraId="61AA2A7E" w14:textId="77777777" w:rsidR="00E06FE8" w:rsidRPr="0058047D" w:rsidRDefault="00E06FE8" w:rsidP="007E466C">
      <w:r w:rsidRPr="0058047D">
        <w:rPr>
          <w:rFonts w:cs="Tahoma"/>
          <w:szCs w:val="18"/>
        </w:rPr>
        <w:t>Le società con la copertura Software Assurance attiva per le Licenze di Gestione identificate nella tabella che segue sono idonee a utilizzare System Center Global Service Monitor come specificato nei Diritti di Utilizzo del Prodotto.</w:t>
      </w:r>
    </w:p>
    <w:p w14:paraId="582D09C0" w14:textId="77777777" w:rsidR="000E6E21" w:rsidRPr="0058047D" w:rsidRDefault="000E6E21" w:rsidP="007E466C"/>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58047D" w14:paraId="5A16986E"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52DBECC1" w14:textId="77777777" w:rsidR="00E06FE8" w:rsidRPr="0058047D" w:rsidRDefault="00E06FE8" w:rsidP="007E466C">
            <w:pPr>
              <w:spacing w:before="120" w:after="120"/>
              <w:jc w:val="center"/>
              <w:rPr>
                <w:rFonts w:cs="Tahoma"/>
                <w:b/>
                <w:szCs w:val="18"/>
              </w:rPr>
            </w:pPr>
            <w:r w:rsidRPr="0058047D">
              <w:rPr>
                <w:rFonts w:cs="Tahoma"/>
                <w:b/>
                <w:szCs w:val="18"/>
              </w:rPr>
              <w:t>Licenze di Gestione Qualificanti</w:t>
            </w:r>
          </w:p>
        </w:tc>
      </w:tr>
      <w:tr w:rsidR="000E6E21" w:rsidRPr="0058047D" w14:paraId="2301D0A7"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2FE29884" w14:textId="77777777" w:rsidR="00E06FE8" w:rsidRPr="0058047D" w:rsidRDefault="00E06FE8" w:rsidP="007E466C">
            <w:pPr>
              <w:spacing w:before="120" w:after="120"/>
              <w:jc w:val="center"/>
              <w:rPr>
                <w:rFonts w:cs="Tahoma"/>
                <w:szCs w:val="18"/>
              </w:rPr>
            </w:pPr>
            <w:r w:rsidRPr="0058047D">
              <w:rPr>
                <w:rFonts w:cs="Tahoma"/>
                <w:szCs w:val="18"/>
              </w:rPr>
              <w:t>Licenza di Gestione Server per System Center Datacenter</w:t>
            </w:r>
          </w:p>
        </w:tc>
      </w:tr>
      <w:tr w:rsidR="000E6E21" w:rsidRPr="0058047D" w14:paraId="17F9F59A"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17AE6233" w14:textId="77777777" w:rsidR="00E06FE8" w:rsidRPr="0058047D" w:rsidRDefault="00E06FE8" w:rsidP="007E466C">
            <w:pPr>
              <w:spacing w:before="120" w:after="120"/>
              <w:jc w:val="center"/>
              <w:rPr>
                <w:rFonts w:cs="Tahoma"/>
                <w:szCs w:val="18"/>
              </w:rPr>
            </w:pPr>
            <w:r w:rsidRPr="0058047D">
              <w:rPr>
                <w:rFonts w:cs="Tahoma"/>
                <w:szCs w:val="18"/>
              </w:rPr>
              <w:t>Licenza di Gestione Server per System Center Standard</w:t>
            </w:r>
          </w:p>
        </w:tc>
      </w:tr>
    </w:tbl>
    <w:p w14:paraId="6B4FDBD3" w14:textId="77777777" w:rsidR="00E06FE8" w:rsidRPr="0058047D" w:rsidRDefault="00E06FE8"/>
    <w:p w14:paraId="71B12768" w14:textId="77777777" w:rsidR="00023FE7" w:rsidRPr="0058047D" w:rsidRDefault="00023FE7">
      <w:pPr>
        <w:pStyle w:val="Heading3"/>
      </w:pPr>
      <w:bookmarkStart w:id="739" w:name="_Toc371663633"/>
      <w:r w:rsidRPr="0058047D">
        <w:rPr>
          <w:rFonts w:ascii="Tahoma" w:hAnsi="Tahoma" w:cs="Tahoma"/>
          <w:sz w:val="24"/>
        </w:rPr>
        <w:t>Back-up per Ripristino di Emergenza “a Freddo”</w:t>
      </w:r>
      <w:bookmarkEnd w:id="738"/>
      <w:bookmarkEnd w:id="739"/>
      <w:r w:rsidRPr="0058047D">
        <w:rPr>
          <w:rFonts w:ascii="Tahoma" w:hAnsi="Tahoma" w:cs="Tahoma"/>
          <w:sz w:val="24"/>
        </w:rPr>
        <w:t xml:space="preserve"> </w:t>
      </w:r>
    </w:p>
    <w:p w14:paraId="3441C76E" w14:textId="77777777" w:rsidR="00023FE7" w:rsidRPr="0058047D" w:rsidRDefault="00023FE7"/>
    <w:p w14:paraId="5A8C8A2C" w14:textId="77777777" w:rsidR="008A15A8" w:rsidRPr="0058047D" w:rsidRDefault="008A15A8" w:rsidP="00792D1E">
      <w:r w:rsidRPr="0058047D">
        <w:rPr>
          <w:rFonts w:eastAsia="Calibri" w:cs="Tahoma"/>
          <w:szCs w:val="18"/>
        </w:rPr>
        <w:t>Le società con copertura Software Assurance per i prodotti server qualificanti e relative CAL sono idonee a ricevere licenze server gratuite per tali prodotti a fini del ripristino di emergenza (DR).</w:t>
      </w:r>
    </w:p>
    <w:p w14:paraId="5C9D9133" w14:textId="77777777" w:rsidR="00792D1E" w:rsidRPr="0058047D" w:rsidRDefault="00792D1E" w:rsidP="00792D1E"/>
    <w:p w14:paraId="23D83BDA" w14:textId="77777777" w:rsidR="00023FE7" w:rsidRPr="0058047D" w:rsidRDefault="00023FE7" w:rsidP="00792D1E">
      <w:pPr>
        <w:pStyle w:val="AppendixFlushBulletedList"/>
        <w:tabs>
          <w:tab w:val="clear" w:pos="360"/>
          <w:tab w:val="num" w:pos="0"/>
        </w:tabs>
        <w:ind w:left="0" w:firstLine="0"/>
      </w:pPr>
      <w:r w:rsidRPr="0058047D">
        <w:rPr>
          <w:rFonts w:ascii="Tahoma" w:hAnsi="Tahoma" w:cs="Tahoma"/>
          <w:sz w:val="18"/>
          <w:szCs w:val="18"/>
        </w:rPr>
        <w:t>Per ogni licenza server qualificante per la quale (i) una società sia iscritta a SA e (ii) la società abbia iscritto a SA tutte le relative CAL (se richieste dal prodotto), verrà concessa alla società stessa una seconda licenza server, ai sensi della quale la società potrà distribuire lo stesso prodotto su un server di back-up “a freddo” unicamente per fini di DR, durante il periodo di validità della copertura Software Assurance.</w:t>
      </w:r>
      <w:r w:rsidR="00E34ED3" w:rsidRPr="0058047D">
        <w:rPr>
          <w:rFonts w:ascii="Tahoma" w:hAnsi="Tahoma" w:cs="Tahoma"/>
          <w:sz w:val="18"/>
          <w:szCs w:val="18"/>
        </w:rPr>
        <w:t xml:space="preserve"> </w:t>
      </w:r>
      <w:r w:rsidRPr="0058047D">
        <w:rPr>
          <w:rFonts w:ascii="Tahoma" w:hAnsi="Tahoma" w:cs="Tahoma"/>
          <w:sz w:val="18"/>
          <w:szCs w:val="18"/>
        </w:rPr>
        <w:t>La distribuzione e l</w:t>
      </w:r>
      <w:r w:rsidR="001C4212">
        <w:rPr>
          <w:rFonts w:ascii="Tahoma" w:hAnsi="Tahoma" w:cs="Tahoma"/>
          <w:sz w:val="18"/>
          <w:szCs w:val="18"/>
        </w:rPr>
        <w:t>’</w:t>
      </w:r>
      <w:r w:rsidRPr="0058047D">
        <w:rPr>
          <w:rFonts w:ascii="Tahoma" w:hAnsi="Tahoma" w:cs="Tahoma"/>
          <w:sz w:val="18"/>
          <w:szCs w:val="18"/>
        </w:rPr>
        <w:t>utilizzo del software da parte della società ai sensi delle licenze DR sono soggetti alle condizioni del relativo contratto di licenza.</w:t>
      </w:r>
    </w:p>
    <w:p w14:paraId="397CEA5F" w14:textId="77777777" w:rsidR="00023FE7" w:rsidRPr="003F471F" w:rsidRDefault="00023FE7" w:rsidP="00792D1E">
      <w:pPr>
        <w:pStyle w:val="Heading3"/>
        <w:rPr>
          <w:lang w:val="it-IT"/>
        </w:rPr>
      </w:pPr>
      <w:bookmarkStart w:id="740" w:name="_Toc336338240"/>
      <w:bookmarkStart w:id="741" w:name="_Toc371663634"/>
      <w:r w:rsidRPr="003F471F">
        <w:rPr>
          <w:rFonts w:ascii="Tahoma" w:hAnsi="Tahoma" w:cs="Tahoma"/>
          <w:sz w:val="24"/>
          <w:lang w:val="it-IT"/>
        </w:rPr>
        <w:t>Servizi in Abbonamento TechNet SA</w:t>
      </w:r>
      <w:bookmarkEnd w:id="740"/>
      <w:bookmarkEnd w:id="741"/>
    </w:p>
    <w:p w14:paraId="0837FFA1" w14:textId="77777777" w:rsidR="00023FE7" w:rsidRPr="003F471F" w:rsidRDefault="00023FE7" w:rsidP="00792D1E">
      <w:pPr>
        <w:rPr>
          <w:lang w:val="it-IT"/>
        </w:rPr>
      </w:pPr>
    </w:p>
    <w:p w14:paraId="6756710B" w14:textId="77777777" w:rsidR="004A4D28" w:rsidRPr="003F471F" w:rsidRDefault="00A65414" w:rsidP="00792D1E">
      <w:pPr>
        <w:pStyle w:val="AppendixBodyText"/>
        <w:spacing w:after="0"/>
        <w:rPr>
          <w:lang w:val="it-IT"/>
        </w:rPr>
      </w:pPr>
      <w:r w:rsidRPr="003F471F">
        <w:rPr>
          <w:rFonts w:ascii="Tahoma" w:eastAsia="Calibri" w:hAnsi="Tahoma" w:cs="Tahoma"/>
          <w:sz w:val="18"/>
          <w:szCs w:val="18"/>
          <w:lang w:val="it-IT"/>
        </w:rPr>
        <w:t>Le società con copertura Software Assurance per i prodotti qualificanti del pool di prodotti server sono idonee a</w:t>
      </w:r>
      <w:r w:rsidR="00147698" w:rsidRPr="003F471F">
        <w:rPr>
          <w:rFonts w:ascii="Tahoma" w:eastAsia="Calibri" w:hAnsi="Tahoma" w:cs="Tahoma"/>
          <w:sz w:val="18"/>
          <w:szCs w:val="18"/>
          <w:lang w:val="it-IT"/>
        </w:rPr>
        <w:t> </w:t>
      </w:r>
      <w:r w:rsidRPr="003F471F">
        <w:rPr>
          <w:rFonts w:ascii="Tahoma" w:eastAsia="Calibri" w:hAnsi="Tahoma" w:cs="Tahoma"/>
          <w:sz w:val="18"/>
          <w:szCs w:val="18"/>
          <w:lang w:val="it-IT"/>
        </w:rPr>
        <w:t xml:space="preserve">beneficiare del supporto per i Servizi in Abbonamento TechNet SA durante il periodo di validità della copertura Software Assurance. </w:t>
      </w:r>
      <w:r w:rsidRPr="003F471F">
        <w:rPr>
          <w:rFonts w:ascii="Tahoma" w:hAnsi="Tahoma" w:cs="Tahoma"/>
          <w:sz w:val="18"/>
          <w:szCs w:val="18"/>
          <w:lang w:val="it-IT"/>
        </w:rPr>
        <w:t>In questo modo i professionisti IT riceveranno risposte a domande tecniche da colleghi che operano nello stesso settore.</w:t>
      </w:r>
      <w:r w:rsidR="00E34ED3" w:rsidRPr="003F471F">
        <w:rPr>
          <w:rFonts w:ascii="Tahoma" w:hAnsi="Tahoma" w:cs="Tahoma"/>
          <w:sz w:val="18"/>
          <w:szCs w:val="18"/>
          <w:lang w:val="it-IT"/>
        </w:rPr>
        <w:t xml:space="preserve"> </w:t>
      </w:r>
      <w:r w:rsidRPr="003F471F">
        <w:rPr>
          <w:rFonts w:ascii="Tahoma" w:hAnsi="Tahoma" w:cs="Tahoma"/>
          <w:sz w:val="18"/>
          <w:szCs w:val="18"/>
          <w:lang w:val="it-IT"/>
        </w:rPr>
        <w:t>Esperti Microsoft forniranno assistenza per monitorare i newsgroup e contribuire a</w:t>
      </w:r>
      <w:r w:rsidR="00147698" w:rsidRPr="003F471F">
        <w:rPr>
          <w:rFonts w:ascii="Tahoma" w:hAnsi="Tahoma" w:cs="Tahoma"/>
          <w:sz w:val="18"/>
          <w:szCs w:val="18"/>
          <w:lang w:val="it-IT"/>
        </w:rPr>
        <w:t> </w:t>
      </w:r>
      <w:r w:rsidRPr="003F471F">
        <w:rPr>
          <w:rFonts w:ascii="Tahoma" w:hAnsi="Tahoma" w:cs="Tahoma"/>
          <w:sz w:val="18"/>
          <w:szCs w:val="18"/>
          <w:lang w:val="it-IT"/>
        </w:rPr>
        <w:t>garantire l</w:t>
      </w:r>
      <w:r w:rsidR="001C4212" w:rsidRPr="003F471F">
        <w:rPr>
          <w:rFonts w:ascii="Tahoma" w:hAnsi="Tahoma" w:cs="Tahoma"/>
          <w:sz w:val="18"/>
          <w:szCs w:val="18"/>
          <w:lang w:val="it-IT"/>
        </w:rPr>
        <w:t>’</w:t>
      </w:r>
      <w:r w:rsidRPr="003F471F">
        <w:rPr>
          <w:rFonts w:ascii="Tahoma" w:hAnsi="Tahoma" w:cs="Tahoma"/>
          <w:sz w:val="18"/>
          <w:szCs w:val="18"/>
          <w:lang w:val="it-IT"/>
        </w:rPr>
        <w:t>accuratezza.</w:t>
      </w:r>
      <w:r w:rsidR="00E34ED3" w:rsidRPr="003F471F">
        <w:rPr>
          <w:rFonts w:ascii="Tahoma" w:hAnsi="Tahoma" w:cs="Tahoma"/>
          <w:sz w:val="18"/>
          <w:szCs w:val="18"/>
          <w:lang w:val="it-IT"/>
        </w:rPr>
        <w:t xml:space="preserve"> </w:t>
      </w:r>
      <w:r w:rsidRPr="003F471F">
        <w:rPr>
          <w:rFonts w:ascii="Tahoma" w:hAnsi="Tahoma" w:cs="Tahoma"/>
          <w:sz w:val="18"/>
          <w:szCs w:val="18"/>
          <w:lang w:val="it-IT"/>
        </w:rPr>
        <w:t>Le società idonee riceveranno gli ID Utente necessari ad accedere ai servizi online.</w:t>
      </w:r>
      <w:r w:rsidR="00E34ED3" w:rsidRPr="003F471F">
        <w:rPr>
          <w:rFonts w:ascii="Tahoma" w:hAnsi="Tahoma" w:cs="Tahoma"/>
          <w:sz w:val="18"/>
          <w:szCs w:val="18"/>
          <w:lang w:val="it-IT"/>
        </w:rPr>
        <w:t xml:space="preserve"> </w:t>
      </w:r>
    </w:p>
    <w:p w14:paraId="7A3B9D9E" w14:textId="77777777" w:rsidR="00FE5F1D" w:rsidRPr="003F471F" w:rsidRDefault="00FE5F1D" w:rsidP="00792D1E">
      <w:pPr>
        <w:pStyle w:val="AppendixBodyText"/>
        <w:spacing w:after="0"/>
        <w:rPr>
          <w:lang w:val="it-IT"/>
        </w:rPr>
      </w:pPr>
    </w:p>
    <w:p w14:paraId="5C1AA272" w14:textId="77777777" w:rsidR="00023FE7" w:rsidRPr="003F471F" w:rsidRDefault="00023FE7" w:rsidP="00792D1E">
      <w:pPr>
        <w:pStyle w:val="AppendixBodyText"/>
        <w:spacing w:after="0"/>
        <w:rPr>
          <w:lang w:val="it-IT"/>
        </w:rPr>
      </w:pPr>
      <w:r w:rsidRPr="003F471F">
        <w:rPr>
          <w:rFonts w:ascii="Tahoma" w:hAnsi="Tahoma" w:cs="Tahoma"/>
          <w:sz w:val="18"/>
          <w:szCs w:val="18"/>
          <w:lang w:val="it-IT"/>
        </w:rPr>
        <w:t>Le società riceveranno un ID Utente per ogni prodotto idoneo coperto da Software Assurance, come mostrato di</w:t>
      </w:r>
      <w:r w:rsidR="00147698" w:rsidRPr="003F471F">
        <w:rPr>
          <w:rFonts w:ascii="Tahoma" w:hAnsi="Tahoma" w:cs="Tahoma"/>
          <w:sz w:val="18"/>
          <w:szCs w:val="18"/>
          <w:lang w:val="it-IT"/>
        </w:rPr>
        <w:t> </w:t>
      </w:r>
      <w:r w:rsidRPr="003F471F">
        <w:rPr>
          <w:rFonts w:ascii="Tahoma" w:hAnsi="Tahoma" w:cs="Tahoma"/>
          <w:sz w:val="18"/>
          <w:szCs w:val="18"/>
          <w:lang w:val="it-IT"/>
        </w:rPr>
        <w:t>seguito:</w:t>
      </w:r>
    </w:p>
    <w:p w14:paraId="04D6C68F" w14:textId="77777777" w:rsidR="00023FE7" w:rsidRPr="003F471F" w:rsidRDefault="00023FE7" w:rsidP="00792D1E">
      <w:pPr>
        <w:pStyle w:val="AppendixBodyText"/>
        <w:spacing w:after="0"/>
        <w:rPr>
          <w:lang w:val="it-IT"/>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27"/>
        <w:gridCol w:w="2921"/>
        <w:gridCol w:w="2340"/>
      </w:tblGrid>
      <w:tr w:rsidR="0036654E" w:rsidRPr="0058047D" w14:paraId="70A97A7A" w14:textId="77777777" w:rsidTr="00147698">
        <w:trPr>
          <w:trHeight w:val="178"/>
        </w:trPr>
        <w:tc>
          <w:tcPr>
            <w:tcW w:w="2027" w:type="dxa"/>
            <w:tcBorders>
              <w:top w:val="single" w:sz="8" w:space="0" w:color="auto"/>
              <w:left w:val="single" w:sz="8" w:space="0" w:color="auto"/>
              <w:bottom w:val="single" w:sz="8" w:space="0" w:color="auto"/>
              <w:right w:val="single" w:sz="8" w:space="0" w:color="auto"/>
            </w:tcBorders>
            <w:shd w:val="clear" w:color="auto" w:fill="FFCC99"/>
            <w:vAlign w:val="center"/>
          </w:tcPr>
          <w:p w14:paraId="3E8C18F1" w14:textId="77777777" w:rsidR="0036654E" w:rsidRPr="0058047D" w:rsidRDefault="0036654E" w:rsidP="00D824E9">
            <w:pPr>
              <w:pStyle w:val="AppendixTableHeadings"/>
              <w:keepNext/>
              <w:rPr>
                <w:rFonts w:ascii="Tahoma" w:hAnsi="Tahoma" w:cs="Tahoma"/>
                <w:sz w:val="20"/>
                <w:szCs w:val="20"/>
              </w:rPr>
            </w:pPr>
            <w:r w:rsidRPr="0058047D">
              <w:rPr>
                <w:rFonts w:ascii="Tahoma" w:hAnsi="Tahoma" w:cs="Tahoma"/>
                <w:sz w:val="20"/>
                <w:szCs w:val="20"/>
              </w:rPr>
              <w:t>Gruppo di Prodotti</w:t>
            </w:r>
          </w:p>
        </w:tc>
        <w:tc>
          <w:tcPr>
            <w:tcW w:w="2921" w:type="dxa"/>
            <w:tcBorders>
              <w:top w:val="single" w:sz="8" w:space="0" w:color="auto"/>
              <w:left w:val="single" w:sz="8" w:space="0" w:color="auto"/>
              <w:bottom w:val="single" w:sz="8" w:space="0" w:color="auto"/>
              <w:right w:val="single" w:sz="8" w:space="0" w:color="auto"/>
            </w:tcBorders>
            <w:shd w:val="clear" w:color="auto" w:fill="FFCC99"/>
            <w:vAlign w:val="center"/>
          </w:tcPr>
          <w:p w14:paraId="1FA5A9D9" w14:textId="77777777" w:rsidR="0036654E" w:rsidRPr="0058047D" w:rsidRDefault="0036654E" w:rsidP="00147698">
            <w:pPr>
              <w:pStyle w:val="AppendixTableHeadings"/>
              <w:rPr>
                <w:rFonts w:ascii="Tahoma" w:hAnsi="Tahoma" w:cs="Tahoma"/>
                <w:sz w:val="20"/>
                <w:szCs w:val="20"/>
              </w:rPr>
            </w:pPr>
            <w:r w:rsidRPr="0058047D">
              <w:rPr>
                <w:rFonts w:ascii="Tahoma" w:hAnsi="Tahoma" w:cs="Tahoma"/>
                <w:sz w:val="20"/>
                <w:szCs w:val="20"/>
              </w:rPr>
              <w:t>Open License, Open Value Subscription - Education Solutions, Open Value e</w:t>
            </w:r>
            <w:r w:rsidR="00147698">
              <w:rPr>
                <w:rFonts w:ascii="Tahoma" w:hAnsi="Tahoma" w:cs="Tahoma"/>
                <w:sz w:val="20"/>
                <w:szCs w:val="20"/>
              </w:rPr>
              <w:t> </w:t>
            </w:r>
            <w:r w:rsidRPr="0058047D">
              <w:rPr>
                <w:rFonts w:ascii="Tahoma" w:hAnsi="Tahoma" w:cs="Tahoma"/>
                <w:sz w:val="20"/>
                <w:szCs w:val="20"/>
              </w:rPr>
              <w:t>Academic con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3171AA92" w14:textId="77777777" w:rsidR="0036654E" w:rsidRPr="0058047D" w:rsidRDefault="0036654E">
            <w:pPr>
              <w:pStyle w:val="AppendixTableHeadings"/>
              <w:rPr>
                <w:rFonts w:ascii="Tahoma" w:hAnsi="Tahoma" w:cs="Tahoma"/>
                <w:sz w:val="20"/>
                <w:szCs w:val="20"/>
              </w:rPr>
            </w:pPr>
            <w:r w:rsidRPr="0058047D">
              <w:rPr>
                <w:rFonts w:ascii="Tahoma" w:hAnsi="Tahoma" w:cs="Tahoma"/>
                <w:sz w:val="20"/>
                <w:szCs w:val="20"/>
              </w:rPr>
              <w:t>Select/Select Plus/EA</w:t>
            </w:r>
          </w:p>
        </w:tc>
      </w:tr>
      <w:tr w:rsidR="0036654E" w:rsidRPr="003F471F" w14:paraId="112D1B4F" w14:textId="77777777" w:rsidTr="00147698">
        <w:tc>
          <w:tcPr>
            <w:tcW w:w="2027" w:type="dxa"/>
            <w:tcBorders>
              <w:top w:val="single" w:sz="8" w:space="0" w:color="auto"/>
              <w:left w:val="single" w:sz="8" w:space="0" w:color="auto"/>
              <w:bottom w:val="single" w:sz="8" w:space="0" w:color="auto"/>
              <w:right w:val="single" w:sz="8" w:space="0" w:color="auto"/>
            </w:tcBorders>
            <w:shd w:val="clear" w:color="auto" w:fill="FFFFFF"/>
            <w:vAlign w:val="center"/>
          </w:tcPr>
          <w:p w14:paraId="30CC998D" w14:textId="77777777" w:rsidR="0036654E" w:rsidRPr="0058047D" w:rsidRDefault="0036654E" w:rsidP="00D824E9">
            <w:pPr>
              <w:pStyle w:val="AppendixTableText"/>
              <w:keepNext/>
              <w:rPr>
                <w:rFonts w:ascii="Tahoma" w:hAnsi="Tahoma" w:cs="Tahoma"/>
                <w:b/>
              </w:rPr>
            </w:pPr>
            <w:r w:rsidRPr="0058047D">
              <w:rPr>
                <w:rFonts w:ascii="Tahoma" w:hAnsi="Tahoma" w:cs="Tahoma"/>
                <w:b/>
                <w:sz w:val="20"/>
              </w:rPr>
              <w:t>Pool di Server</w:t>
            </w:r>
          </w:p>
        </w:tc>
        <w:tc>
          <w:tcPr>
            <w:tcW w:w="2921" w:type="dxa"/>
            <w:tcBorders>
              <w:top w:val="single" w:sz="8" w:space="0" w:color="auto"/>
              <w:left w:val="single" w:sz="8" w:space="0" w:color="auto"/>
              <w:bottom w:val="single" w:sz="8" w:space="0" w:color="auto"/>
              <w:right w:val="single" w:sz="8" w:space="0" w:color="auto"/>
            </w:tcBorders>
            <w:shd w:val="clear" w:color="auto" w:fill="FFFFFF"/>
            <w:vAlign w:val="center"/>
          </w:tcPr>
          <w:p w14:paraId="342B7A2F" w14:textId="77777777" w:rsidR="0036654E" w:rsidRPr="003F471F" w:rsidRDefault="0036654E" w:rsidP="00A9099B">
            <w:pPr>
              <w:pStyle w:val="AppendixTableText"/>
              <w:rPr>
                <w:lang w:val="it-IT"/>
              </w:rPr>
            </w:pPr>
            <w:r w:rsidRPr="003F471F">
              <w:rPr>
                <w:rFonts w:ascii="Tahoma" w:hAnsi="Tahoma" w:cs="Tahoma"/>
                <w:lang w:val="it-IT"/>
              </w:rPr>
              <w:t>1 ID Utente per</w:t>
            </w:r>
          </w:p>
          <w:p w14:paraId="02FB2D40" w14:textId="77777777" w:rsidR="0036654E" w:rsidRPr="003F471F" w:rsidRDefault="0036654E" w:rsidP="00A9099B">
            <w:pPr>
              <w:pStyle w:val="AppendixTableText"/>
              <w:rPr>
                <w:lang w:val="it-IT"/>
              </w:rPr>
            </w:pPr>
            <w:r w:rsidRPr="003F471F">
              <w:rPr>
                <w:rFonts w:ascii="Tahoma" w:hAnsi="Tahoma" w:cs="Tahoma"/>
                <w:lang w:val="it-IT"/>
              </w:rPr>
              <w:t>Licenza Server</w:t>
            </w:r>
          </w:p>
          <w:p w14:paraId="7903B15C" w14:textId="77777777" w:rsidR="0036654E" w:rsidRPr="003F471F" w:rsidRDefault="0036654E">
            <w:pPr>
              <w:pStyle w:val="AppendixTableText"/>
              <w:rPr>
                <w:rFonts w:ascii="Tahoma" w:hAnsi="Tahoma" w:cs="Tahoma"/>
                <w:lang w:val="it-IT"/>
              </w:rPr>
            </w:pPr>
            <w:r w:rsidRPr="003F471F">
              <w:rPr>
                <w:rFonts w:ascii="Tahoma" w:hAnsi="Tahoma" w:cs="Tahoma"/>
                <w:lang w:val="it-IT"/>
              </w:rPr>
              <w:t>(una volta soddisfatto il requisito di 5 SA Server)</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1DB810B6" w14:textId="77777777" w:rsidR="0036654E" w:rsidRPr="003F471F" w:rsidRDefault="0036654E" w:rsidP="00A9099B">
            <w:pPr>
              <w:pStyle w:val="AppendixTableText"/>
              <w:rPr>
                <w:lang w:val="it-IT"/>
              </w:rPr>
            </w:pPr>
            <w:r w:rsidRPr="003F471F">
              <w:rPr>
                <w:rFonts w:ascii="Tahoma" w:hAnsi="Tahoma" w:cs="Tahoma"/>
                <w:lang w:val="it-IT"/>
              </w:rPr>
              <w:t>1 ID Utente per</w:t>
            </w:r>
          </w:p>
          <w:p w14:paraId="3965CB18" w14:textId="77777777" w:rsidR="0036654E" w:rsidRPr="003F471F" w:rsidRDefault="0036654E">
            <w:pPr>
              <w:pStyle w:val="AppendixTableText"/>
              <w:rPr>
                <w:rFonts w:ascii="Tahoma" w:hAnsi="Tahoma" w:cs="Tahoma"/>
                <w:lang w:val="it-IT"/>
              </w:rPr>
            </w:pPr>
            <w:r w:rsidRPr="003F471F">
              <w:rPr>
                <w:rFonts w:ascii="Tahoma" w:hAnsi="Tahoma" w:cs="Tahoma"/>
                <w:lang w:val="it-IT"/>
              </w:rPr>
              <w:t>Licenza Server</w:t>
            </w:r>
          </w:p>
        </w:tc>
      </w:tr>
    </w:tbl>
    <w:p w14:paraId="0A7D5309" w14:textId="77777777" w:rsidR="00B2460D" w:rsidRPr="003F471F" w:rsidRDefault="00B2460D">
      <w:pPr>
        <w:pStyle w:val="AppendixBodyText"/>
        <w:rPr>
          <w:lang w:val="it-IT"/>
        </w:rPr>
      </w:pPr>
    </w:p>
    <w:p w14:paraId="04E72FA1" w14:textId="77777777" w:rsidR="00023FE7" w:rsidRPr="003F471F" w:rsidRDefault="00023FE7" w:rsidP="00792D1E">
      <w:pPr>
        <w:pStyle w:val="AppendixBodyText"/>
        <w:spacing w:after="0"/>
        <w:rPr>
          <w:lang w:val="it-IT"/>
        </w:rPr>
      </w:pPr>
    </w:p>
    <w:tbl>
      <w:tblPr>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77"/>
        <w:gridCol w:w="1134"/>
        <w:gridCol w:w="1260"/>
        <w:gridCol w:w="1343"/>
        <w:gridCol w:w="1375"/>
        <w:gridCol w:w="1242"/>
        <w:gridCol w:w="1719"/>
      </w:tblGrid>
      <w:tr w:rsidR="0043190C" w:rsidRPr="0058047D" w14:paraId="1E2F216A" w14:textId="77777777" w:rsidTr="00147698">
        <w:trPr>
          <w:trHeight w:val="178"/>
        </w:trPr>
        <w:tc>
          <w:tcPr>
            <w:tcW w:w="1377" w:type="dxa"/>
            <w:shd w:val="clear" w:color="auto" w:fill="FFCC99"/>
            <w:vAlign w:val="center"/>
          </w:tcPr>
          <w:p w14:paraId="341ADF2C" w14:textId="77777777" w:rsidR="0043190C" w:rsidRPr="0058047D" w:rsidRDefault="0043190C" w:rsidP="00147698">
            <w:pPr>
              <w:pStyle w:val="AppendixTableHeadings"/>
              <w:keepNext/>
              <w:spacing w:line="240" w:lineRule="auto"/>
              <w:rPr>
                <w:rFonts w:ascii="Tahoma" w:hAnsi="Tahoma" w:cs="Tahoma"/>
                <w:sz w:val="20"/>
                <w:szCs w:val="20"/>
              </w:rPr>
            </w:pPr>
            <w:r w:rsidRPr="0058047D">
              <w:rPr>
                <w:rFonts w:ascii="Tahoma" w:hAnsi="Tahoma" w:cs="Tahoma"/>
                <w:sz w:val="20"/>
                <w:szCs w:val="20"/>
              </w:rPr>
              <w:t>Gruppo di Prodotti</w:t>
            </w:r>
          </w:p>
        </w:tc>
        <w:tc>
          <w:tcPr>
            <w:tcW w:w="1134" w:type="dxa"/>
            <w:shd w:val="clear" w:color="auto" w:fill="FFCC99"/>
            <w:vAlign w:val="center"/>
          </w:tcPr>
          <w:p w14:paraId="05F070DB" w14:textId="77777777" w:rsidR="0043190C" w:rsidRPr="0058047D" w:rsidRDefault="0043190C" w:rsidP="00147698">
            <w:pPr>
              <w:pStyle w:val="AppendixTableHeadings"/>
              <w:keepNext/>
              <w:spacing w:line="240" w:lineRule="auto"/>
              <w:rPr>
                <w:rFonts w:ascii="Tahoma" w:hAnsi="Tahoma" w:cs="Tahoma"/>
                <w:sz w:val="20"/>
                <w:szCs w:val="20"/>
              </w:rPr>
            </w:pPr>
            <w:r w:rsidRPr="0058047D">
              <w:rPr>
                <w:rFonts w:ascii="Tahoma" w:hAnsi="Tahoma" w:cs="Tahoma"/>
                <w:sz w:val="20"/>
                <w:szCs w:val="20"/>
              </w:rPr>
              <w:t>Open Value con SAM</w:t>
            </w:r>
          </w:p>
        </w:tc>
        <w:tc>
          <w:tcPr>
            <w:tcW w:w="1260" w:type="dxa"/>
            <w:shd w:val="clear" w:color="auto" w:fill="FFCC99"/>
            <w:vAlign w:val="center"/>
          </w:tcPr>
          <w:p w14:paraId="74263B2D" w14:textId="77777777" w:rsidR="0043190C" w:rsidRPr="0058047D" w:rsidRDefault="0043190C" w:rsidP="00147698">
            <w:pPr>
              <w:pStyle w:val="AppendixTableHeadings"/>
              <w:keepNext/>
              <w:spacing w:line="240" w:lineRule="auto"/>
            </w:pPr>
            <w:r w:rsidRPr="0058047D">
              <w:rPr>
                <w:rFonts w:ascii="Tahoma" w:hAnsi="Tahoma" w:cs="Tahoma"/>
                <w:sz w:val="20"/>
                <w:szCs w:val="20"/>
              </w:rPr>
              <w:t>SAM</w:t>
            </w:r>
          </w:p>
          <w:p w14:paraId="79B92155" w14:textId="77777777" w:rsidR="0043190C" w:rsidRPr="0058047D" w:rsidRDefault="0043190C" w:rsidP="00147698">
            <w:pPr>
              <w:pStyle w:val="AppendixTableHeadings"/>
              <w:keepNext/>
              <w:spacing w:line="240" w:lineRule="auto"/>
              <w:rPr>
                <w:rFonts w:ascii="Tahoma" w:hAnsi="Tahoma" w:cs="Tahoma"/>
                <w:sz w:val="20"/>
                <w:szCs w:val="20"/>
              </w:rPr>
            </w:pPr>
            <w:r w:rsidRPr="0058047D">
              <w:rPr>
                <w:rFonts w:ascii="Tahoma" w:hAnsi="Tahoma" w:cs="Tahoma"/>
                <w:sz w:val="20"/>
                <w:szCs w:val="20"/>
              </w:rPr>
              <w:t>250-2</w:t>
            </w:r>
            <w:r w:rsidR="00147698">
              <w:rPr>
                <w:rFonts w:ascii="Tahoma" w:hAnsi="Tahoma" w:cs="Tahoma"/>
                <w:sz w:val="20"/>
                <w:szCs w:val="20"/>
              </w:rPr>
              <w:t>.</w:t>
            </w:r>
            <w:r w:rsidRPr="0058047D">
              <w:rPr>
                <w:rFonts w:ascii="Tahoma" w:hAnsi="Tahoma" w:cs="Tahoma"/>
                <w:sz w:val="20"/>
                <w:szCs w:val="20"/>
              </w:rPr>
              <w:t xml:space="preserve">399 </w:t>
            </w:r>
          </w:p>
        </w:tc>
        <w:tc>
          <w:tcPr>
            <w:tcW w:w="1343" w:type="dxa"/>
            <w:shd w:val="clear" w:color="auto" w:fill="FFCC99"/>
            <w:vAlign w:val="center"/>
          </w:tcPr>
          <w:p w14:paraId="4E40C0F9" w14:textId="77777777" w:rsidR="0043190C" w:rsidRPr="0058047D" w:rsidRDefault="0043190C" w:rsidP="00147698">
            <w:pPr>
              <w:pStyle w:val="AppendixTableHeadings"/>
              <w:keepNext/>
              <w:spacing w:line="240" w:lineRule="auto"/>
            </w:pPr>
            <w:r w:rsidRPr="0058047D">
              <w:rPr>
                <w:rFonts w:ascii="Tahoma" w:hAnsi="Tahoma" w:cs="Tahoma"/>
                <w:sz w:val="20"/>
                <w:szCs w:val="20"/>
              </w:rPr>
              <w:t>SAM</w:t>
            </w:r>
          </w:p>
          <w:p w14:paraId="2537FD7B" w14:textId="77777777" w:rsidR="0043190C" w:rsidRPr="0058047D" w:rsidRDefault="0043190C" w:rsidP="00147698">
            <w:pPr>
              <w:pStyle w:val="AppendixTableHeadings"/>
              <w:keepNext/>
              <w:spacing w:line="240" w:lineRule="auto"/>
              <w:rPr>
                <w:rFonts w:ascii="Tahoma" w:hAnsi="Tahoma" w:cs="Tahoma"/>
                <w:sz w:val="20"/>
                <w:szCs w:val="20"/>
              </w:rPr>
            </w:pPr>
            <w:r w:rsidRPr="0058047D">
              <w:rPr>
                <w:rFonts w:ascii="Tahoma" w:hAnsi="Tahoma" w:cs="Tahoma"/>
                <w:sz w:val="20"/>
                <w:szCs w:val="20"/>
              </w:rPr>
              <w:t>2</w:t>
            </w:r>
            <w:r w:rsidR="00147698">
              <w:rPr>
                <w:rFonts w:ascii="Tahoma" w:hAnsi="Tahoma" w:cs="Tahoma"/>
                <w:sz w:val="20"/>
                <w:szCs w:val="20"/>
              </w:rPr>
              <w:t>.</w:t>
            </w:r>
            <w:r w:rsidRPr="0058047D">
              <w:rPr>
                <w:rFonts w:ascii="Tahoma" w:hAnsi="Tahoma" w:cs="Tahoma"/>
                <w:sz w:val="20"/>
                <w:szCs w:val="20"/>
              </w:rPr>
              <w:t>400-5</w:t>
            </w:r>
            <w:r w:rsidR="00147698">
              <w:rPr>
                <w:rFonts w:ascii="Tahoma" w:hAnsi="Tahoma" w:cs="Tahoma"/>
                <w:sz w:val="20"/>
                <w:szCs w:val="20"/>
              </w:rPr>
              <w:t>.</w:t>
            </w:r>
            <w:r w:rsidRPr="0058047D">
              <w:rPr>
                <w:rFonts w:ascii="Tahoma" w:hAnsi="Tahoma" w:cs="Tahoma"/>
                <w:sz w:val="20"/>
                <w:szCs w:val="20"/>
              </w:rPr>
              <w:t>999</w:t>
            </w:r>
          </w:p>
        </w:tc>
        <w:tc>
          <w:tcPr>
            <w:tcW w:w="1375" w:type="dxa"/>
            <w:shd w:val="clear" w:color="auto" w:fill="FFCC99"/>
            <w:vAlign w:val="center"/>
          </w:tcPr>
          <w:p w14:paraId="7004162C" w14:textId="77777777" w:rsidR="0043190C" w:rsidRPr="0058047D" w:rsidRDefault="0043190C" w:rsidP="00147698">
            <w:pPr>
              <w:pStyle w:val="AppendixTableHeadings"/>
              <w:keepNext/>
              <w:spacing w:line="240" w:lineRule="auto"/>
            </w:pPr>
            <w:r w:rsidRPr="0058047D">
              <w:rPr>
                <w:rFonts w:ascii="Tahoma" w:hAnsi="Tahoma" w:cs="Tahoma"/>
                <w:sz w:val="20"/>
                <w:szCs w:val="20"/>
              </w:rPr>
              <w:t>SAM</w:t>
            </w:r>
          </w:p>
          <w:p w14:paraId="67D3828E" w14:textId="77777777" w:rsidR="0043190C" w:rsidRPr="0058047D" w:rsidRDefault="0043190C" w:rsidP="00147698">
            <w:pPr>
              <w:pStyle w:val="AppendixTableHeadings"/>
              <w:keepNext/>
              <w:spacing w:line="240" w:lineRule="auto"/>
              <w:rPr>
                <w:rFonts w:ascii="Tahoma" w:hAnsi="Tahoma" w:cs="Tahoma"/>
                <w:sz w:val="20"/>
                <w:szCs w:val="20"/>
              </w:rPr>
            </w:pPr>
            <w:r w:rsidRPr="0058047D">
              <w:rPr>
                <w:rFonts w:ascii="Tahoma" w:hAnsi="Tahoma" w:cs="Tahoma"/>
                <w:sz w:val="20"/>
                <w:szCs w:val="20"/>
              </w:rPr>
              <w:t>6</w:t>
            </w:r>
            <w:r w:rsidR="00147698">
              <w:rPr>
                <w:rFonts w:ascii="Tahoma" w:hAnsi="Tahoma" w:cs="Tahoma"/>
                <w:sz w:val="20"/>
                <w:szCs w:val="20"/>
              </w:rPr>
              <w:t>.</w:t>
            </w:r>
            <w:r w:rsidRPr="0058047D">
              <w:rPr>
                <w:rFonts w:ascii="Tahoma" w:hAnsi="Tahoma" w:cs="Tahoma"/>
                <w:sz w:val="20"/>
                <w:szCs w:val="20"/>
              </w:rPr>
              <w:t>000-14</w:t>
            </w:r>
            <w:r w:rsidR="00147698">
              <w:rPr>
                <w:rFonts w:ascii="Tahoma" w:hAnsi="Tahoma" w:cs="Tahoma"/>
                <w:sz w:val="20"/>
                <w:szCs w:val="20"/>
              </w:rPr>
              <w:t>.</w:t>
            </w:r>
            <w:r w:rsidRPr="0058047D">
              <w:rPr>
                <w:rFonts w:ascii="Tahoma" w:hAnsi="Tahoma" w:cs="Tahoma"/>
                <w:sz w:val="20"/>
                <w:szCs w:val="20"/>
              </w:rPr>
              <w:t>999</w:t>
            </w:r>
          </w:p>
        </w:tc>
        <w:tc>
          <w:tcPr>
            <w:tcW w:w="1242" w:type="dxa"/>
            <w:shd w:val="clear" w:color="auto" w:fill="FFCC99"/>
            <w:vAlign w:val="center"/>
          </w:tcPr>
          <w:p w14:paraId="38446312" w14:textId="77777777" w:rsidR="0043190C" w:rsidRPr="0058047D" w:rsidRDefault="0043190C" w:rsidP="00147698">
            <w:pPr>
              <w:pStyle w:val="AppendixTableHeadings"/>
              <w:keepNext/>
              <w:spacing w:line="240" w:lineRule="auto"/>
            </w:pPr>
            <w:r w:rsidRPr="0058047D">
              <w:rPr>
                <w:rFonts w:ascii="Tahoma" w:hAnsi="Tahoma" w:cs="Tahoma"/>
                <w:sz w:val="20"/>
                <w:szCs w:val="20"/>
              </w:rPr>
              <w:t>SAM</w:t>
            </w:r>
          </w:p>
          <w:p w14:paraId="32996914" w14:textId="77777777" w:rsidR="0043190C" w:rsidRPr="0058047D" w:rsidRDefault="0043190C" w:rsidP="00147698">
            <w:pPr>
              <w:pStyle w:val="AppendixTableHeadings"/>
              <w:keepNext/>
              <w:spacing w:line="240" w:lineRule="auto"/>
              <w:rPr>
                <w:rFonts w:ascii="Tahoma" w:hAnsi="Tahoma" w:cs="Tahoma"/>
                <w:sz w:val="20"/>
                <w:szCs w:val="20"/>
              </w:rPr>
            </w:pPr>
            <w:r w:rsidRPr="0058047D">
              <w:rPr>
                <w:rFonts w:ascii="Tahoma" w:hAnsi="Tahoma" w:cs="Tahoma"/>
                <w:sz w:val="20"/>
                <w:szCs w:val="20"/>
              </w:rPr>
              <w:t>15</w:t>
            </w:r>
            <w:r w:rsidR="00147698">
              <w:rPr>
                <w:rFonts w:ascii="Tahoma" w:hAnsi="Tahoma" w:cs="Tahoma"/>
                <w:sz w:val="20"/>
                <w:szCs w:val="20"/>
              </w:rPr>
              <w:t>.</w:t>
            </w:r>
            <w:r w:rsidRPr="0058047D">
              <w:rPr>
                <w:rFonts w:ascii="Tahoma" w:hAnsi="Tahoma" w:cs="Tahoma"/>
                <w:sz w:val="20"/>
                <w:szCs w:val="20"/>
              </w:rPr>
              <w:t>000+</w:t>
            </w:r>
          </w:p>
        </w:tc>
        <w:tc>
          <w:tcPr>
            <w:tcW w:w="1719" w:type="dxa"/>
            <w:shd w:val="clear" w:color="auto" w:fill="FFCC99"/>
            <w:vAlign w:val="center"/>
          </w:tcPr>
          <w:p w14:paraId="4260FF4E" w14:textId="77777777" w:rsidR="0043190C" w:rsidRPr="0058047D" w:rsidRDefault="0043190C" w:rsidP="00147698">
            <w:pPr>
              <w:pStyle w:val="AppendixTableHeadings"/>
              <w:keepNext/>
              <w:spacing w:line="240" w:lineRule="auto"/>
              <w:rPr>
                <w:rFonts w:ascii="Tahoma" w:hAnsi="Tahoma" w:cs="Tahoma"/>
                <w:sz w:val="20"/>
                <w:szCs w:val="20"/>
              </w:rPr>
            </w:pPr>
            <w:r w:rsidRPr="0058047D">
              <w:rPr>
                <w:rFonts w:ascii="Tahoma" w:hAnsi="Tahoma" w:cs="Tahoma"/>
                <w:sz w:val="20"/>
                <w:szCs w:val="20"/>
              </w:rPr>
              <w:t>Academic Select/</w:t>
            </w:r>
            <w:r w:rsidR="00147698">
              <w:rPr>
                <w:rFonts w:ascii="Tahoma" w:hAnsi="Tahoma" w:cs="Tahoma"/>
                <w:sz w:val="20"/>
                <w:szCs w:val="20"/>
              </w:rPr>
              <w:br/>
            </w:r>
            <w:r w:rsidRPr="0058047D">
              <w:rPr>
                <w:rFonts w:ascii="Tahoma" w:hAnsi="Tahoma" w:cs="Tahoma"/>
                <w:sz w:val="20"/>
                <w:szCs w:val="20"/>
              </w:rPr>
              <w:t>Select Plus</w:t>
            </w:r>
            <w:r w:rsidR="00147698">
              <w:rPr>
                <w:rFonts w:ascii="Tahoma" w:hAnsi="Tahoma" w:cs="Tahoma"/>
                <w:sz w:val="20"/>
                <w:szCs w:val="20"/>
              </w:rPr>
              <w:t> </w:t>
            </w:r>
            <w:r w:rsidRPr="0058047D">
              <w:rPr>
                <w:rFonts w:ascii="Tahoma" w:hAnsi="Tahoma" w:cs="Tahoma"/>
                <w:sz w:val="20"/>
                <w:szCs w:val="20"/>
              </w:rPr>
              <w:t>for Academic/</w:t>
            </w:r>
            <w:r w:rsidR="00147698">
              <w:rPr>
                <w:rFonts w:ascii="Tahoma" w:hAnsi="Tahoma" w:cs="Tahoma"/>
                <w:sz w:val="20"/>
                <w:szCs w:val="20"/>
              </w:rPr>
              <w:br/>
            </w:r>
            <w:r w:rsidRPr="0058047D">
              <w:rPr>
                <w:rFonts w:ascii="Tahoma" w:hAnsi="Tahoma" w:cs="Tahoma"/>
                <w:sz w:val="20"/>
                <w:szCs w:val="20"/>
              </w:rPr>
              <w:t>Open con SAM</w:t>
            </w:r>
          </w:p>
        </w:tc>
      </w:tr>
      <w:tr w:rsidR="0043190C" w:rsidRPr="003F471F" w14:paraId="6917E1BD" w14:textId="77777777" w:rsidTr="00147698">
        <w:trPr>
          <w:trHeight w:val="236"/>
        </w:trPr>
        <w:tc>
          <w:tcPr>
            <w:tcW w:w="1377" w:type="dxa"/>
            <w:vAlign w:val="center"/>
          </w:tcPr>
          <w:p w14:paraId="11219D54" w14:textId="77777777" w:rsidR="0043190C" w:rsidRPr="0058047D" w:rsidRDefault="0043190C" w:rsidP="00147698">
            <w:pPr>
              <w:pStyle w:val="AppendixTableText"/>
              <w:keepNext/>
              <w:spacing w:line="240" w:lineRule="auto"/>
              <w:rPr>
                <w:rFonts w:ascii="Tahoma" w:hAnsi="Tahoma" w:cs="Tahoma"/>
              </w:rPr>
            </w:pPr>
            <w:r w:rsidRPr="0058047D">
              <w:rPr>
                <w:rFonts w:ascii="Tahoma" w:hAnsi="Tahoma" w:cs="Tahoma"/>
                <w:b/>
              </w:rPr>
              <w:t>Pool di</w:t>
            </w:r>
            <w:r w:rsidRPr="0058047D">
              <w:rPr>
                <w:rFonts w:ascii="Tahoma" w:hAnsi="Tahoma" w:cs="Tahoma"/>
              </w:rPr>
              <w:t xml:space="preserve"> </w:t>
            </w:r>
            <w:r w:rsidRPr="0058047D">
              <w:rPr>
                <w:rFonts w:ascii="Tahoma" w:hAnsi="Tahoma" w:cs="Tahoma"/>
                <w:b/>
              </w:rPr>
              <w:t>Applicazioni</w:t>
            </w:r>
          </w:p>
        </w:tc>
        <w:tc>
          <w:tcPr>
            <w:tcW w:w="1134" w:type="dxa"/>
            <w:vAlign w:val="center"/>
          </w:tcPr>
          <w:p w14:paraId="519D4D5F" w14:textId="77777777" w:rsidR="0043190C" w:rsidRPr="0058047D" w:rsidRDefault="0043190C" w:rsidP="00147698">
            <w:pPr>
              <w:pStyle w:val="AppendixTableText"/>
              <w:keepNext/>
              <w:spacing w:line="240" w:lineRule="auto"/>
              <w:rPr>
                <w:rFonts w:ascii="Tahoma" w:hAnsi="Tahoma" w:cs="Tahoma"/>
              </w:rPr>
            </w:pPr>
            <w:r w:rsidRPr="0058047D">
              <w:rPr>
                <w:rFonts w:ascii="Tahoma" w:hAnsi="Tahoma" w:cs="Tahoma"/>
              </w:rPr>
              <w:t>1 ID Utente per contratto</w:t>
            </w:r>
          </w:p>
        </w:tc>
        <w:tc>
          <w:tcPr>
            <w:tcW w:w="1260" w:type="dxa"/>
            <w:vAlign w:val="center"/>
          </w:tcPr>
          <w:p w14:paraId="1AAE15A6" w14:textId="77777777" w:rsidR="0043190C" w:rsidRPr="003F471F" w:rsidRDefault="0043190C" w:rsidP="00147698">
            <w:pPr>
              <w:pStyle w:val="AppendixTableText"/>
              <w:keepNext/>
              <w:spacing w:line="240" w:lineRule="auto"/>
              <w:rPr>
                <w:lang w:val="it-IT"/>
              </w:rPr>
            </w:pPr>
            <w:r w:rsidRPr="003F471F">
              <w:rPr>
                <w:rFonts w:ascii="Tahoma" w:hAnsi="Tahoma" w:cs="Tahoma"/>
                <w:lang w:val="it-IT"/>
              </w:rPr>
              <w:t>2 ID Utente per</w:t>
            </w:r>
          </w:p>
          <w:p w14:paraId="23813681" w14:textId="77777777" w:rsidR="0043190C" w:rsidRPr="003F471F" w:rsidRDefault="0043190C" w:rsidP="00147698">
            <w:pPr>
              <w:pStyle w:val="AppendixTableText"/>
              <w:keepNext/>
              <w:spacing w:line="240" w:lineRule="auto"/>
              <w:rPr>
                <w:lang w:val="it-IT"/>
              </w:rPr>
            </w:pPr>
            <w:r w:rsidRPr="003F471F">
              <w:rPr>
                <w:rFonts w:ascii="Tahoma" w:hAnsi="Tahoma" w:cs="Tahoma"/>
                <w:lang w:val="it-IT"/>
              </w:rPr>
              <w:t>Idoneo</w:t>
            </w:r>
          </w:p>
          <w:p w14:paraId="2F14CB5B" w14:textId="77777777" w:rsidR="0043190C" w:rsidRPr="003F471F" w:rsidRDefault="0043190C" w:rsidP="00147698">
            <w:pPr>
              <w:pStyle w:val="AppendixTableText"/>
              <w:keepNext/>
              <w:spacing w:line="240" w:lineRule="auto"/>
              <w:rPr>
                <w:rFonts w:ascii="Tahoma" w:hAnsi="Tahoma" w:cs="Tahoma"/>
                <w:lang w:val="it-IT"/>
              </w:rPr>
            </w:pPr>
            <w:r w:rsidRPr="003F471F">
              <w:rPr>
                <w:rFonts w:ascii="Tahoma" w:hAnsi="Tahoma" w:cs="Tahoma"/>
                <w:lang w:val="it-IT"/>
              </w:rPr>
              <w:t>Qualificante</w:t>
            </w:r>
          </w:p>
        </w:tc>
        <w:tc>
          <w:tcPr>
            <w:tcW w:w="1343" w:type="dxa"/>
            <w:vAlign w:val="center"/>
          </w:tcPr>
          <w:p w14:paraId="4BCA2964" w14:textId="77777777" w:rsidR="0043190C" w:rsidRPr="003F471F" w:rsidRDefault="0043190C" w:rsidP="00147698">
            <w:pPr>
              <w:pStyle w:val="AppendixTableText"/>
              <w:keepNext/>
              <w:spacing w:line="240" w:lineRule="auto"/>
              <w:rPr>
                <w:lang w:val="it-IT"/>
              </w:rPr>
            </w:pPr>
            <w:r w:rsidRPr="003F471F">
              <w:rPr>
                <w:rFonts w:ascii="Tahoma" w:hAnsi="Tahoma" w:cs="Tahoma"/>
                <w:lang w:val="it-IT"/>
              </w:rPr>
              <w:t>5 ID Utente per</w:t>
            </w:r>
          </w:p>
          <w:p w14:paraId="25A2B82C" w14:textId="77777777" w:rsidR="0043190C" w:rsidRPr="003F471F" w:rsidRDefault="0043190C" w:rsidP="00147698">
            <w:pPr>
              <w:pStyle w:val="AppendixTableText"/>
              <w:keepNext/>
              <w:spacing w:line="240" w:lineRule="auto"/>
              <w:rPr>
                <w:lang w:val="it-IT"/>
              </w:rPr>
            </w:pPr>
            <w:r w:rsidRPr="003F471F">
              <w:rPr>
                <w:rFonts w:ascii="Tahoma" w:hAnsi="Tahoma" w:cs="Tahoma"/>
                <w:lang w:val="it-IT"/>
              </w:rPr>
              <w:t>Idoneo</w:t>
            </w:r>
          </w:p>
          <w:p w14:paraId="6E803777" w14:textId="77777777" w:rsidR="0043190C" w:rsidRPr="003F471F" w:rsidRDefault="0043190C" w:rsidP="00147698">
            <w:pPr>
              <w:pStyle w:val="AppendixTableText"/>
              <w:keepNext/>
              <w:spacing w:line="240" w:lineRule="auto"/>
              <w:rPr>
                <w:rFonts w:ascii="Tahoma" w:hAnsi="Tahoma" w:cs="Tahoma"/>
                <w:lang w:val="it-IT"/>
              </w:rPr>
            </w:pPr>
            <w:r w:rsidRPr="003F471F">
              <w:rPr>
                <w:rFonts w:ascii="Tahoma" w:hAnsi="Tahoma" w:cs="Tahoma"/>
                <w:lang w:val="it-IT"/>
              </w:rPr>
              <w:t>Qualificante</w:t>
            </w:r>
          </w:p>
        </w:tc>
        <w:tc>
          <w:tcPr>
            <w:tcW w:w="1375" w:type="dxa"/>
            <w:vAlign w:val="center"/>
          </w:tcPr>
          <w:p w14:paraId="47DCB502" w14:textId="77777777" w:rsidR="0043190C" w:rsidRPr="003F471F" w:rsidRDefault="0043190C" w:rsidP="00147698">
            <w:pPr>
              <w:pStyle w:val="AppendixTableText"/>
              <w:keepNext/>
              <w:spacing w:line="240" w:lineRule="auto"/>
              <w:rPr>
                <w:lang w:val="it-IT"/>
              </w:rPr>
            </w:pPr>
            <w:r w:rsidRPr="003F471F">
              <w:rPr>
                <w:rFonts w:ascii="Tahoma" w:hAnsi="Tahoma" w:cs="Tahoma"/>
                <w:lang w:val="it-IT"/>
              </w:rPr>
              <w:t>10 ID Utente per</w:t>
            </w:r>
          </w:p>
          <w:p w14:paraId="7918F367" w14:textId="77777777" w:rsidR="0043190C" w:rsidRPr="003F471F" w:rsidRDefault="0043190C" w:rsidP="00147698">
            <w:pPr>
              <w:pStyle w:val="AppendixTableText"/>
              <w:keepNext/>
              <w:spacing w:line="240" w:lineRule="auto"/>
              <w:rPr>
                <w:lang w:val="it-IT"/>
              </w:rPr>
            </w:pPr>
            <w:r w:rsidRPr="003F471F">
              <w:rPr>
                <w:rFonts w:ascii="Tahoma" w:hAnsi="Tahoma" w:cs="Tahoma"/>
                <w:lang w:val="it-IT"/>
              </w:rPr>
              <w:t>Idoneo</w:t>
            </w:r>
          </w:p>
          <w:p w14:paraId="4D3EA2EA" w14:textId="77777777" w:rsidR="0043190C" w:rsidRPr="003F471F" w:rsidRDefault="0043190C" w:rsidP="00147698">
            <w:pPr>
              <w:pStyle w:val="AppendixTableText"/>
              <w:keepNext/>
              <w:spacing w:line="240" w:lineRule="auto"/>
              <w:rPr>
                <w:rFonts w:ascii="Tahoma" w:hAnsi="Tahoma" w:cs="Tahoma"/>
                <w:lang w:val="it-IT"/>
              </w:rPr>
            </w:pPr>
            <w:r w:rsidRPr="003F471F">
              <w:rPr>
                <w:rFonts w:ascii="Tahoma" w:hAnsi="Tahoma" w:cs="Tahoma"/>
                <w:lang w:val="it-IT"/>
              </w:rPr>
              <w:t>Qualificante</w:t>
            </w:r>
          </w:p>
        </w:tc>
        <w:tc>
          <w:tcPr>
            <w:tcW w:w="1242" w:type="dxa"/>
            <w:vAlign w:val="center"/>
          </w:tcPr>
          <w:p w14:paraId="76FCC571" w14:textId="77777777" w:rsidR="0043190C" w:rsidRPr="003F471F" w:rsidRDefault="0043190C" w:rsidP="00147698">
            <w:pPr>
              <w:pStyle w:val="AppendixTableText"/>
              <w:keepNext/>
              <w:spacing w:line="240" w:lineRule="auto"/>
              <w:rPr>
                <w:lang w:val="it-IT"/>
              </w:rPr>
            </w:pPr>
            <w:r w:rsidRPr="003F471F">
              <w:rPr>
                <w:rFonts w:ascii="Tahoma" w:hAnsi="Tahoma" w:cs="Tahoma"/>
                <w:lang w:val="it-IT"/>
              </w:rPr>
              <w:t>20 ID Utente per</w:t>
            </w:r>
          </w:p>
          <w:p w14:paraId="5A2F8978" w14:textId="77777777" w:rsidR="0043190C" w:rsidRPr="003F471F" w:rsidRDefault="0043190C" w:rsidP="00147698">
            <w:pPr>
              <w:pStyle w:val="AppendixTableText"/>
              <w:keepNext/>
              <w:spacing w:line="240" w:lineRule="auto"/>
              <w:rPr>
                <w:lang w:val="it-IT"/>
              </w:rPr>
            </w:pPr>
            <w:r w:rsidRPr="003F471F">
              <w:rPr>
                <w:rFonts w:ascii="Tahoma" w:hAnsi="Tahoma" w:cs="Tahoma"/>
                <w:lang w:val="it-IT"/>
              </w:rPr>
              <w:t>Idoneo</w:t>
            </w:r>
          </w:p>
          <w:p w14:paraId="6CB99F87" w14:textId="77777777" w:rsidR="0043190C" w:rsidRPr="003F471F" w:rsidRDefault="0043190C" w:rsidP="00147698">
            <w:pPr>
              <w:pStyle w:val="AppendixTableText"/>
              <w:keepNext/>
              <w:spacing w:line="240" w:lineRule="auto"/>
              <w:rPr>
                <w:rFonts w:ascii="Tahoma" w:hAnsi="Tahoma" w:cs="Tahoma"/>
                <w:lang w:val="it-IT"/>
              </w:rPr>
            </w:pPr>
            <w:r w:rsidRPr="003F471F">
              <w:rPr>
                <w:rFonts w:ascii="Tahoma" w:hAnsi="Tahoma" w:cs="Tahoma"/>
                <w:lang w:val="it-IT"/>
              </w:rPr>
              <w:t>Qualificante</w:t>
            </w:r>
          </w:p>
        </w:tc>
        <w:tc>
          <w:tcPr>
            <w:tcW w:w="1719" w:type="dxa"/>
            <w:vAlign w:val="center"/>
          </w:tcPr>
          <w:p w14:paraId="2829DD34" w14:textId="77777777" w:rsidR="0043190C" w:rsidRPr="003F471F" w:rsidRDefault="0043190C" w:rsidP="00147698">
            <w:pPr>
              <w:pStyle w:val="AppendixTableText"/>
              <w:keepNext/>
              <w:spacing w:line="240" w:lineRule="auto"/>
              <w:rPr>
                <w:rFonts w:ascii="Tahoma" w:hAnsi="Tahoma" w:cs="Tahoma"/>
                <w:lang w:val="it-IT"/>
              </w:rPr>
            </w:pPr>
            <w:r w:rsidRPr="003F471F">
              <w:rPr>
                <w:rFonts w:ascii="Tahoma" w:hAnsi="Tahoma" w:cs="Tahoma"/>
                <w:lang w:val="it-IT"/>
              </w:rPr>
              <w:t>1 ID Utente per iscrizione/</w:t>
            </w:r>
            <w:r w:rsidR="00147698" w:rsidRPr="003F471F">
              <w:rPr>
                <w:rFonts w:ascii="Tahoma" w:hAnsi="Tahoma" w:cs="Tahoma"/>
                <w:lang w:val="it-IT"/>
              </w:rPr>
              <w:br/>
            </w:r>
            <w:r w:rsidRPr="003F471F">
              <w:rPr>
                <w:rFonts w:ascii="Tahoma" w:hAnsi="Tahoma" w:cs="Tahoma"/>
                <w:lang w:val="it-IT"/>
              </w:rPr>
              <w:t>contratto</w:t>
            </w:r>
          </w:p>
        </w:tc>
      </w:tr>
      <w:tr w:rsidR="0043190C" w:rsidRPr="003F471F" w14:paraId="5D350ACF" w14:textId="77777777" w:rsidTr="00147698">
        <w:trPr>
          <w:trHeight w:val="236"/>
        </w:trPr>
        <w:tc>
          <w:tcPr>
            <w:tcW w:w="1377" w:type="dxa"/>
            <w:vAlign w:val="center"/>
          </w:tcPr>
          <w:p w14:paraId="543C054C" w14:textId="77777777" w:rsidR="0043190C" w:rsidRPr="0058047D" w:rsidRDefault="0043190C" w:rsidP="00147698">
            <w:pPr>
              <w:pStyle w:val="AppendixTableText"/>
              <w:keepNext/>
              <w:spacing w:line="240" w:lineRule="auto"/>
              <w:rPr>
                <w:rFonts w:ascii="Tahoma" w:hAnsi="Tahoma" w:cs="Tahoma"/>
              </w:rPr>
            </w:pPr>
            <w:r w:rsidRPr="0058047D">
              <w:rPr>
                <w:rFonts w:ascii="Tahoma" w:hAnsi="Tahoma" w:cs="Tahoma"/>
                <w:b/>
              </w:rPr>
              <w:t>Pool di</w:t>
            </w:r>
            <w:r w:rsidRPr="0058047D">
              <w:rPr>
                <w:rFonts w:ascii="Tahoma" w:hAnsi="Tahoma" w:cs="Tahoma"/>
              </w:rPr>
              <w:t xml:space="preserve"> </w:t>
            </w:r>
            <w:r w:rsidRPr="0058047D">
              <w:rPr>
                <w:rFonts w:ascii="Tahoma" w:hAnsi="Tahoma" w:cs="Tahoma"/>
                <w:b/>
              </w:rPr>
              <w:t>Sistemi</w:t>
            </w:r>
          </w:p>
        </w:tc>
        <w:tc>
          <w:tcPr>
            <w:tcW w:w="1134" w:type="dxa"/>
            <w:vAlign w:val="center"/>
          </w:tcPr>
          <w:p w14:paraId="1DA41532" w14:textId="77777777" w:rsidR="0043190C" w:rsidRPr="0058047D" w:rsidRDefault="0043190C" w:rsidP="00147698">
            <w:pPr>
              <w:pStyle w:val="AppendixTableText"/>
              <w:keepNext/>
              <w:spacing w:line="240" w:lineRule="auto"/>
              <w:rPr>
                <w:rFonts w:ascii="Tahoma" w:hAnsi="Tahoma" w:cs="Tahoma"/>
              </w:rPr>
            </w:pPr>
            <w:r w:rsidRPr="0058047D">
              <w:rPr>
                <w:rFonts w:ascii="Tahoma" w:hAnsi="Tahoma" w:cs="Tahoma"/>
              </w:rPr>
              <w:t>1 ID Utente per contratto</w:t>
            </w:r>
          </w:p>
        </w:tc>
        <w:tc>
          <w:tcPr>
            <w:tcW w:w="1260" w:type="dxa"/>
            <w:vAlign w:val="center"/>
          </w:tcPr>
          <w:p w14:paraId="3ACDD7CF" w14:textId="77777777" w:rsidR="0043190C" w:rsidRPr="003F471F" w:rsidRDefault="0043190C" w:rsidP="00147698">
            <w:pPr>
              <w:pStyle w:val="AppendixTableText"/>
              <w:keepNext/>
              <w:spacing w:line="240" w:lineRule="auto"/>
              <w:rPr>
                <w:lang w:val="it-IT"/>
              </w:rPr>
            </w:pPr>
            <w:r w:rsidRPr="003F471F">
              <w:rPr>
                <w:rFonts w:ascii="Tahoma" w:hAnsi="Tahoma" w:cs="Tahoma"/>
                <w:lang w:val="it-IT"/>
              </w:rPr>
              <w:t>2 ID Utente per</w:t>
            </w:r>
          </w:p>
          <w:p w14:paraId="05DD0655" w14:textId="77777777" w:rsidR="0043190C" w:rsidRPr="003F471F" w:rsidRDefault="0043190C" w:rsidP="00147698">
            <w:pPr>
              <w:pStyle w:val="AppendixTableText"/>
              <w:keepNext/>
              <w:spacing w:line="240" w:lineRule="auto"/>
              <w:rPr>
                <w:lang w:val="it-IT"/>
              </w:rPr>
            </w:pPr>
            <w:r w:rsidRPr="003F471F">
              <w:rPr>
                <w:rFonts w:ascii="Tahoma" w:hAnsi="Tahoma" w:cs="Tahoma"/>
                <w:lang w:val="it-IT"/>
              </w:rPr>
              <w:t>Idoneo</w:t>
            </w:r>
          </w:p>
          <w:p w14:paraId="0B488E19" w14:textId="77777777" w:rsidR="0043190C" w:rsidRPr="003F471F" w:rsidRDefault="0043190C" w:rsidP="00147698">
            <w:pPr>
              <w:pStyle w:val="AppendixTableText"/>
              <w:keepNext/>
              <w:spacing w:line="240" w:lineRule="auto"/>
              <w:rPr>
                <w:rFonts w:ascii="Tahoma" w:hAnsi="Tahoma" w:cs="Tahoma"/>
                <w:lang w:val="it-IT"/>
              </w:rPr>
            </w:pPr>
            <w:r w:rsidRPr="003F471F">
              <w:rPr>
                <w:rFonts w:ascii="Tahoma" w:hAnsi="Tahoma" w:cs="Tahoma"/>
                <w:lang w:val="it-IT"/>
              </w:rPr>
              <w:t>Qualificante</w:t>
            </w:r>
          </w:p>
        </w:tc>
        <w:tc>
          <w:tcPr>
            <w:tcW w:w="1343" w:type="dxa"/>
            <w:vAlign w:val="center"/>
          </w:tcPr>
          <w:p w14:paraId="798016CA" w14:textId="77777777" w:rsidR="0043190C" w:rsidRPr="003F471F" w:rsidRDefault="00F30075" w:rsidP="00147698">
            <w:pPr>
              <w:pStyle w:val="AppendixTableText"/>
              <w:keepNext/>
              <w:spacing w:line="240" w:lineRule="auto"/>
              <w:rPr>
                <w:lang w:val="it-IT"/>
              </w:rPr>
            </w:pPr>
            <w:r w:rsidRPr="003F471F">
              <w:rPr>
                <w:rFonts w:ascii="Tahoma" w:hAnsi="Tahoma" w:cs="Tahoma"/>
                <w:lang w:val="it-IT"/>
              </w:rPr>
              <w:t>3 ID Utente per</w:t>
            </w:r>
          </w:p>
          <w:p w14:paraId="41F74F0D" w14:textId="77777777" w:rsidR="0043190C" w:rsidRPr="003F471F" w:rsidRDefault="0043190C" w:rsidP="00147698">
            <w:pPr>
              <w:pStyle w:val="AppendixTableText"/>
              <w:keepNext/>
              <w:spacing w:line="240" w:lineRule="auto"/>
              <w:rPr>
                <w:lang w:val="it-IT"/>
              </w:rPr>
            </w:pPr>
            <w:r w:rsidRPr="003F471F">
              <w:rPr>
                <w:rFonts w:ascii="Tahoma" w:hAnsi="Tahoma" w:cs="Tahoma"/>
                <w:lang w:val="it-IT"/>
              </w:rPr>
              <w:t>Idoneo</w:t>
            </w:r>
          </w:p>
          <w:p w14:paraId="47A06F61" w14:textId="77777777" w:rsidR="0043190C" w:rsidRPr="003F471F" w:rsidRDefault="0043190C" w:rsidP="00147698">
            <w:pPr>
              <w:pStyle w:val="AppendixTableText"/>
              <w:keepNext/>
              <w:spacing w:line="240" w:lineRule="auto"/>
              <w:rPr>
                <w:rFonts w:ascii="Tahoma" w:hAnsi="Tahoma" w:cs="Tahoma"/>
                <w:lang w:val="it-IT"/>
              </w:rPr>
            </w:pPr>
            <w:r w:rsidRPr="003F471F">
              <w:rPr>
                <w:rFonts w:ascii="Tahoma" w:hAnsi="Tahoma" w:cs="Tahoma"/>
                <w:lang w:val="it-IT"/>
              </w:rPr>
              <w:t>Qualificante</w:t>
            </w:r>
          </w:p>
        </w:tc>
        <w:tc>
          <w:tcPr>
            <w:tcW w:w="1375" w:type="dxa"/>
            <w:vAlign w:val="center"/>
          </w:tcPr>
          <w:p w14:paraId="70DDA4EB" w14:textId="77777777" w:rsidR="0043190C" w:rsidRPr="003F471F" w:rsidRDefault="00F30075" w:rsidP="00147698">
            <w:pPr>
              <w:pStyle w:val="AppendixTableText"/>
              <w:keepNext/>
              <w:spacing w:line="240" w:lineRule="auto"/>
              <w:rPr>
                <w:lang w:val="it-IT"/>
              </w:rPr>
            </w:pPr>
            <w:r w:rsidRPr="003F471F">
              <w:rPr>
                <w:rFonts w:ascii="Tahoma" w:hAnsi="Tahoma" w:cs="Tahoma"/>
                <w:lang w:val="it-IT"/>
              </w:rPr>
              <w:t>5 ID Utente per</w:t>
            </w:r>
          </w:p>
          <w:p w14:paraId="020CAC8F" w14:textId="77777777" w:rsidR="0043190C" w:rsidRPr="003F471F" w:rsidRDefault="0043190C" w:rsidP="00147698">
            <w:pPr>
              <w:pStyle w:val="AppendixTableText"/>
              <w:keepNext/>
              <w:spacing w:line="240" w:lineRule="auto"/>
              <w:rPr>
                <w:lang w:val="it-IT"/>
              </w:rPr>
            </w:pPr>
            <w:r w:rsidRPr="003F471F">
              <w:rPr>
                <w:rFonts w:ascii="Tahoma" w:hAnsi="Tahoma" w:cs="Tahoma"/>
                <w:lang w:val="it-IT"/>
              </w:rPr>
              <w:t>Idoneo</w:t>
            </w:r>
          </w:p>
          <w:p w14:paraId="3B448DB1" w14:textId="77777777" w:rsidR="0043190C" w:rsidRPr="003F471F" w:rsidRDefault="0043190C" w:rsidP="00147698">
            <w:pPr>
              <w:pStyle w:val="AppendixTableText"/>
              <w:keepNext/>
              <w:spacing w:line="240" w:lineRule="auto"/>
              <w:rPr>
                <w:rFonts w:ascii="Tahoma" w:hAnsi="Tahoma" w:cs="Tahoma"/>
                <w:lang w:val="it-IT"/>
              </w:rPr>
            </w:pPr>
            <w:r w:rsidRPr="003F471F">
              <w:rPr>
                <w:rFonts w:ascii="Tahoma" w:hAnsi="Tahoma" w:cs="Tahoma"/>
                <w:lang w:val="it-IT"/>
              </w:rPr>
              <w:t>Qualificante</w:t>
            </w:r>
          </w:p>
        </w:tc>
        <w:tc>
          <w:tcPr>
            <w:tcW w:w="1242" w:type="dxa"/>
            <w:vAlign w:val="center"/>
          </w:tcPr>
          <w:p w14:paraId="4FFC8B6E" w14:textId="77777777" w:rsidR="0043190C" w:rsidRPr="003F471F" w:rsidRDefault="00F30075" w:rsidP="00147698">
            <w:pPr>
              <w:pStyle w:val="AppendixTableText"/>
              <w:keepNext/>
              <w:spacing w:line="240" w:lineRule="auto"/>
              <w:rPr>
                <w:lang w:val="it-IT"/>
              </w:rPr>
            </w:pPr>
            <w:r w:rsidRPr="003F471F">
              <w:rPr>
                <w:rFonts w:ascii="Tahoma" w:hAnsi="Tahoma" w:cs="Tahoma"/>
                <w:lang w:val="it-IT"/>
              </w:rPr>
              <w:t>10 ID Utente per</w:t>
            </w:r>
          </w:p>
          <w:p w14:paraId="267DDA6C" w14:textId="77777777" w:rsidR="0043190C" w:rsidRPr="003F471F" w:rsidRDefault="0043190C" w:rsidP="00147698">
            <w:pPr>
              <w:pStyle w:val="AppendixTableText"/>
              <w:keepNext/>
              <w:spacing w:line="240" w:lineRule="auto"/>
              <w:rPr>
                <w:lang w:val="it-IT"/>
              </w:rPr>
            </w:pPr>
            <w:r w:rsidRPr="003F471F">
              <w:rPr>
                <w:rFonts w:ascii="Tahoma" w:hAnsi="Tahoma" w:cs="Tahoma"/>
                <w:lang w:val="it-IT"/>
              </w:rPr>
              <w:t>Idoneo</w:t>
            </w:r>
          </w:p>
          <w:p w14:paraId="45312472" w14:textId="77777777" w:rsidR="0043190C" w:rsidRPr="003F471F" w:rsidRDefault="0043190C" w:rsidP="00147698">
            <w:pPr>
              <w:pStyle w:val="AppendixTableText"/>
              <w:keepNext/>
              <w:spacing w:line="240" w:lineRule="auto"/>
              <w:rPr>
                <w:rFonts w:ascii="Tahoma" w:hAnsi="Tahoma" w:cs="Tahoma"/>
                <w:lang w:val="it-IT"/>
              </w:rPr>
            </w:pPr>
            <w:r w:rsidRPr="003F471F">
              <w:rPr>
                <w:rFonts w:ascii="Tahoma" w:hAnsi="Tahoma" w:cs="Tahoma"/>
                <w:lang w:val="it-IT"/>
              </w:rPr>
              <w:t>Qualificante</w:t>
            </w:r>
          </w:p>
        </w:tc>
        <w:tc>
          <w:tcPr>
            <w:tcW w:w="1719" w:type="dxa"/>
            <w:vAlign w:val="center"/>
          </w:tcPr>
          <w:p w14:paraId="095000A2" w14:textId="77777777" w:rsidR="0043190C" w:rsidRPr="003F471F" w:rsidRDefault="0043190C" w:rsidP="00147698">
            <w:pPr>
              <w:pStyle w:val="AppendixTableText"/>
              <w:keepNext/>
              <w:spacing w:line="240" w:lineRule="auto"/>
              <w:rPr>
                <w:rFonts w:ascii="Tahoma" w:hAnsi="Tahoma" w:cs="Tahoma"/>
                <w:lang w:val="it-IT"/>
              </w:rPr>
            </w:pPr>
            <w:r w:rsidRPr="003F471F">
              <w:rPr>
                <w:rFonts w:ascii="Tahoma" w:hAnsi="Tahoma" w:cs="Tahoma"/>
                <w:lang w:val="it-IT"/>
              </w:rPr>
              <w:t>1 ID Utente per iscrizione/</w:t>
            </w:r>
            <w:r w:rsidR="00147698" w:rsidRPr="003F471F">
              <w:rPr>
                <w:rFonts w:ascii="Tahoma" w:hAnsi="Tahoma" w:cs="Tahoma"/>
                <w:lang w:val="it-IT"/>
              </w:rPr>
              <w:br/>
            </w:r>
            <w:r w:rsidRPr="003F471F">
              <w:rPr>
                <w:rFonts w:ascii="Tahoma" w:hAnsi="Tahoma" w:cs="Tahoma"/>
                <w:lang w:val="it-IT"/>
              </w:rPr>
              <w:t>contratto</w:t>
            </w:r>
          </w:p>
        </w:tc>
      </w:tr>
    </w:tbl>
    <w:p w14:paraId="56EC9DBC" w14:textId="77777777" w:rsidR="00147698" w:rsidRPr="003F471F" w:rsidRDefault="00147698" w:rsidP="00147698">
      <w:pPr>
        <w:pStyle w:val="Heading3"/>
        <w:rPr>
          <w:rFonts w:ascii="Tahoma" w:hAnsi="Tahoma" w:cs="Tahoma"/>
          <w:b w:val="0"/>
          <w:sz w:val="18"/>
          <w:szCs w:val="18"/>
          <w:lang w:val="it-IT"/>
        </w:rPr>
      </w:pPr>
    </w:p>
    <w:p w14:paraId="4E6C1CC6" w14:textId="77777777" w:rsidR="009D26EE" w:rsidRPr="003F471F" w:rsidRDefault="009D26EE" w:rsidP="00792D1E">
      <w:pPr>
        <w:pStyle w:val="AppendixFlushBulletedList"/>
        <w:tabs>
          <w:tab w:val="clear" w:pos="360"/>
          <w:tab w:val="num" w:pos="0"/>
        </w:tabs>
        <w:ind w:left="0" w:firstLine="0"/>
        <w:rPr>
          <w:lang w:val="it-IT"/>
        </w:rPr>
      </w:pPr>
      <w:r w:rsidRPr="003F471F">
        <w:rPr>
          <w:rFonts w:ascii="Tahoma" w:hAnsi="Tahoma" w:cs="Tahoma"/>
          <w:sz w:val="18"/>
          <w:szCs w:val="18"/>
          <w:lang w:val="it-IT"/>
        </w:rPr>
        <w:t>Ogni ID Utente attribuisce a una persona il diritto di registrarsi e di avere accesso al sito dei servizi online riservato agli Iscritti, inclusi, a titolo esemplificativo: Online Concierge Chat, Managed Newsgroups e contenuto Premium.</w:t>
      </w:r>
    </w:p>
    <w:p w14:paraId="2498ABDA" w14:textId="77777777" w:rsidR="00792D1E" w:rsidRPr="003F471F" w:rsidRDefault="00792D1E" w:rsidP="00147698">
      <w:pPr>
        <w:pStyle w:val="Heading3"/>
        <w:rPr>
          <w:rFonts w:ascii="Tahoma" w:hAnsi="Tahoma" w:cs="Tahoma"/>
          <w:b w:val="0"/>
          <w:sz w:val="18"/>
          <w:szCs w:val="18"/>
          <w:lang w:val="it-IT"/>
        </w:rPr>
      </w:pPr>
    </w:p>
    <w:p w14:paraId="10058E75" w14:textId="77777777" w:rsidR="008C0608" w:rsidRPr="003F471F" w:rsidRDefault="008C0608" w:rsidP="00792D1E">
      <w:pPr>
        <w:pStyle w:val="AppendixFlushBulletedList"/>
        <w:tabs>
          <w:tab w:val="clear" w:pos="360"/>
          <w:tab w:val="num" w:pos="0"/>
        </w:tabs>
        <w:ind w:left="0" w:firstLine="0"/>
        <w:rPr>
          <w:lang w:val="it-IT"/>
        </w:rPr>
      </w:pPr>
      <w:r w:rsidRPr="003F471F">
        <w:rPr>
          <w:rFonts w:ascii="Tahoma" w:hAnsi="Tahoma" w:cs="Tahoma"/>
          <w:sz w:val="18"/>
          <w:szCs w:val="18"/>
          <w:lang w:val="it-IT"/>
        </w:rPr>
        <w:t>Per essere idonee a ricevere questo vantaggio, le società con prodotti Open License, Open Value, Open Value Subscription - Education Solutions, Academic Select License e Select Plus for Academic dovranno acquistare Software</w:t>
      </w:r>
      <w:r w:rsidR="00147698" w:rsidRPr="003F471F">
        <w:rPr>
          <w:rFonts w:ascii="Tahoma" w:hAnsi="Tahoma" w:cs="Tahoma"/>
          <w:sz w:val="18"/>
          <w:szCs w:val="18"/>
          <w:lang w:val="it-IT"/>
        </w:rPr>
        <w:t> </w:t>
      </w:r>
      <w:r w:rsidRPr="003F471F">
        <w:rPr>
          <w:rFonts w:ascii="Tahoma" w:hAnsi="Tahoma" w:cs="Tahoma"/>
          <w:sz w:val="18"/>
          <w:szCs w:val="18"/>
          <w:lang w:val="it-IT"/>
        </w:rPr>
        <w:t>Assurance per un minimo di cinque licenze server per prodotti qualificanti.</w:t>
      </w:r>
    </w:p>
    <w:p w14:paraId="4036E430" w14:textId="77777777" w:rsidR="00792D1E" w:rsidRPr="003F471F" w:rsidRDefault="00792D1E" w:rsidP="00147698">
      <w:pPr>
        <w:pStyle w:val="Heading3"/>
        <w:rPr>
          <w:rFonts w:ascii="Tahoma" w:hAnsi="Tahoma" w:cs="Tahoma"/>
          <w:b w:val="0"/>
          <w:sz w:val="18"/>
          <w:szCs w:val="18"/>
          <w:lang w:val="it-IT"/>
        </w:rPr>
      </w:pPr>
    </w:p>
    <w:p w14:paraId="14DCDC6F" w14:textId="77777777" w:rsidR="00023FE7" w:rsidRPr="003F471F" w:rsidRDefault="009D26EE" w:rsidP="00792D1E">
      <w:pPr>
        <w:pStyle w:val="AppendixBodyText"/>
        <w:spacing w:after="0"/>
        <w:rPr>
          <w:lang w:val="it-IT"/>
        </w:rPr>
      </w:pPr>
      <w:r w:rsidRPr="003F471F">
        <w:rPr>
          <w:rFonts w:ascii="Tahoma" w:hAnsi="Tahoma" w:cs="Tahoma"/>
          <w:sz w:val="18"/>
          <w:szCs w:val="18"/>
          <w:lang w:val="it-IT"/>
        </w:rPr>
        <w:t>L</w:t>
      </w:r>
      <w:r w:rsidR="001C4212" w:rsidRPr="003F471F">
        <w:rPr>
          <w:rFonts w:ascii="Tahoma" w:hAnsi="Tahoma" w:cs="Tahoma"/>
          <w:sz w:val="18"/>
          <w:szCs w:val="18"/>
          <w:lang w:val="it-IT"/>
        </w:rPr>
        <w:t>’</w:t>
      </w:r>
      <w:r w:rsidRPr="003F471F">
        <w:rPr>
          <w:rFonts w:ascii="Tahoma" w:hAnsi="Tahoma" w:cs="Tahoma"/>
          <w:sz w:val="18"/>
          <w:szCs w:val="18"/>
          <w:lang w:val="it-IT"/>
        </w:rPr>
        <w:t>utilizzo del software per i Servizi in Abbonamento TechNet SA da parte delle società è soggetto alle condizioni del</w:t>
      </w:r>
      <w:r w:rsidR="00147698" w:rsidRPr="003F471F">
        <w:rPr>
          <w:rFonts w:ascii="Tahoma" w:hAnsi="Tahoma" w:cs="Tahoma"/>
          <w:sz w:val="18"/>
          <w:szCs w:val="18"/>
          <w:lang w:val="it-IT"/>
        </w:rPr>
        <w:t> </w:t>
      </w:r>
      <w:r w:rsidRPr="003F471F">
        <w:rPr>
          <w:rFonts w:ascii="Tahoma" w:hAnsi="Tahoma" w:cs="Tahoma"/>
          <w:sz w:val="18"/>
          <w:szCs w:val="18"/>
          <w:lang w:val="it-IT"/>
        </w:rPr>
        <w:t>relativo contratto di licenza.</w:t>
      </w:r>
    </w:p>
    <w:p w14:paraId="78013D60" w14:textId="77777777" w:rsidR="004D4D43" w:rsidRPr="003F471F" w:rsidRDefault="004D4D43" w:rsidP="00F0652C">
      <w:pPr>
        <w:pStyle w:val="Heading3"/>
        <w:rPr>
          <w:rFonts w:ascii="Tahoma" w:hAnsi="Tahoma" w:cs="Tahoma"/>
          <w:b w:val="0"/>
          <w:sz w:val="18"/>
          <w:szCs w:val="18"/>
          <w:lang w:val="it-IT"/>
        </w:rPr>
      </w:pPr>
    </w:p>
    <w:p w14:paraId="629C8EC6" w14:textId="77777777" w:rsidR="00023FE7" w:rsidRPr="003F471F" w:rsidRDefault="00023FE7" w:rsidP="00F0652C">
      <w:pPr>
        <w:pStyle w:val="Heading3"/>
        <w:rPr>
          <w:lang w:val="it-IT"/>
        </w:rPr>
      </w:pPr>
      <w:bookmarkStart w:id="742" w:name="_Toc336338241"/>
      <w:bookmarkStart w:id="743" w:name="_Toc371663635"/>
      <w:r w:rsidRPr="003F471F">
        <w:rPr>
          <w:rFonts w:ascii="Tahoma" w:hAnsi="Tahoma"/>
          <w:sz w:val="24"/>
          <w:lang w:val="it-IT"/>
        </w:rPr>
        <w:t>TechNet Plus Direct</w:t>
      </w:r>
      <w:bookmarkEnd w:id="742"/>
      <w:bookmarkEnd w:id="743"/>
    </w:p>
    <w:p w14:paraId="2B1E285C" w14:textId="77777777" w:rsidR="00F0652C" w:rsidRPr="003F471F" w:rsidRDefault="00F0652C" w:rsidP="00F0652C">
      <w:pPr>
        <w:rPr>
          <w:lang w:val="it-IT"/>
        </w:rPr>
      </w:pPr>
    </w:p>
    <w:p w14:paraId="3EFF1083" w14:textId="77777777" w:rsidR="00792D1E" w:rsidRPr="0058047D" w:rsidRDefault="00A65414" w:rsidP="00792D1E">
      <w:pPr>
        <w:pStyle w:val="AppendixBodyText"/>
        <w:spacing w:after="0"/>
      </w:pPr>
      <w:r w:rsidRPr="003F471F">
        <w:rPr>
          <w:rFonts w:ascii="Tahoma" w:hAnsi="Tahoma" w:cs="Tahoma"/>
          <w:sz w:val="18"/>
          <w:szCs w:val="18"/>
          <w:lang w:val="it-IT"/>
        </w:rPr>
        <w:t>Le società con copertura Software Assurance su prodotti qualificanti del pool di server sono idonee a beneficiare dell</w:t>
      </w:r>
      <w:r w:rsidR="001C4212" w:rsidRPr="003F471F">
        <w:rPr>
          <w:rFonts w:ascii="Tahoma" w:hAnsi="Tahoma" w:cs="Tahoma"/>
          <w:sz w:val="18"/>
          <w:szCs w:val="18"/>
          <w:lang w:val="it-IT"/>
        </w:rPr>
        <w:t>’</w:t>
      </w:r>
      <w:r w:rsidRPr="003F471F">
        <w:rPr>
          <w:rFonts w:ascii="Tahoma" w:hAnsi="Tahoma" w:cs="Tahoma"/>
          <w:sz w:val="18"/>
          <w:szCs w:val="18"/>
          <w:lang w:val="it-IT"/>
        </w:rPr>
        <w:t>Abbonamento a TechNet Plus Direct durante il periodo di validità della copertura Software Assurance.</w:t>
      </w:r>
      <w:r w:rsidR="00E34ED3" w:rsidRPr="003F471F">
        <w:rPr>
          <w:rFonts w:ascii="Tahoma" w:hAnsi="Tahoma" w:cs="Tahoma"/>
          <w:sz w:val="18"/>
          <w:szCs w:val="18"/>
          <w:lang w:val="it-IT"/>
        </w:rPr>
        <w:t xml:space="preserve"> </w:t>
      </w:r>
      <w:r w:rsidRPr="003F471F">
        <w:rPr>
          <w:rFonts w:ascii="Tahoma" w:hAnsi="Tahoma" w:cs="Tahoma"/>
          <w:sz w:val="18"/>
          <w:szCs w:val="18"/>
          <w:lang w:val="it-IT"/>
        </w:rPr>
        <w:t xml:space="preserve">In questo modo i professionisti IT avranno accesso al contenuto di TechNet Plus Direct che include la Knowledge Base Microsoft, formazione tecnica, download, patch di protezione, service pack e articoli esplicativi. </w:t>
      </w:r>
      <w:r w:rsidRPr="0058047D">
        <w:rPr>
          <w:rFonts w:ascii="Tahoma" w:hAnsi="Tahoma" w:cs="Tahoma"/>
          <w:sz w:val="18"/>
          <w:szCs w:val="18"/>
        </w:rPr>
        <w:t>Le società beneficeranno, inoltre, di quanto segue:</w:t>
      </w:r>
    </w:p>
    <w:p w14:paraId="5A29492E" w14:textId="77777777" w:rsidR="00023FE7" w:rsidRPr="0058047D" w:rsidRDefault="00023FE7" w:rsidP="00792D1E">
      <w:pPr>
        <w:pStyle w:val="AppendixBodyText"/>
        <w:spacing w:after="0"/>
      </w:pPr>
    </w:p>
    <w:p w14:paraId="7CE95082" w14:textId="77777777" w:rsidR="00023FE7" w:rsidRPr="003F471F" w:rsidRDefault="00023FE7" w:rsidP="00346F4B">
      <w:pPr>
        <w:pStyle w:val="AppendixFlushBulletedList"/>
        <w:numPr>
          <w:ilvl w:val="0"/>
          <w:numId w:val="111"/>
        </w:numPr>
        <w:spacing w:after="60"/>
        <w:ind w:left="1440"/>
        <w:rPr>
          <w:lang w:val="it-IT"/>
        </w:rPr>
      </w:pPr>
      <w:r w:rsidRPr="003F471F">
        <w:rPr>
          <w:rFonts w:ascii="Tahoma" w:hAnsi="Tahoma" w:cs="Tahoma"/>
          <w:sz w:val="18"/>
          <w:szCs w:val="18"/>
          <w:lang w:val="it-IT"/>
        </w:rPr>
        <w:t xml:space="preserve">Accesso al download di software in versione completa concesso in licenza a scopo di valutazione; sono compresi i sistemi operativi, i server e il software Office System Microsoft. </w:t>
      </w:r>
    </w:p>
    <w:p w14:paraId="1DC29386" w14:textId="77777777" w:rsidR="00023FE7" w:rsidRPr="003F471F" w:rsidRDefault="00023FE7" w:rsidP="00346F4B">
      <w:pPr>
        <w:pStyle w:val="AppendixFlushBulletedList"/>
        <w:numPr>
          <w:ilvl w:val="0"/>
          <w:numId w:val="111"/>
        </w:numPr>
        <w:spacing w:after="60"/>
        <w:ind w:left="1440"/>
        <w:rPr>
          <w:lang w:val="it-IT"/>
        </w:rPr>
      </w:pPr>
      <w:r w:rsidRPr="003F471F">
        <w:rPr>
          <w:rFonts w:ascii="Tahoma" w:hAnsi="Tahoma" w:cs="Tahoma"/>
          <w:sz w:val="18"/>
          <w:szCs w:val="18"/>
          <w:lang w:val="it-IT"/>
        </w:rPr>
        <w:t>Accesso al download di software Beta (versioni prototipo di software Microsoft).</w:t>
      </w:r>
    </w:p>
    <w:p w14:paraId="4CA23EBD" w14:textId="77777777" w:rsidR="00023FE7" w:rsidRPr="003F471F" w:rsidRDefault="00023FE7" w:rsidP="00346F4B">
      <w:pPr>
        <w:pStyle w:val="AppendixFlushBulletedList"/>
        <w:numPr>
          <w:ilvl w:val="0"/>
          <w:numId w:val="111"/>
        </w:numPr>
        <w:spacing w:after="60"/>
        <w:ind w:left="1440"/>
        <w:rPr>
          <w:lang w:val="it-IT"/>
        </w:rPr>
      </w:pPr>
      <w:r w:rsidRPr="003F471F">
        <w:rPr>
          <w:rFonts w:ascii="Tahoma" w:hAnsi="Tahoma" w:cs="Tahoma"/>
          <w:sz w:val="18"/>
          <w:szCs w:val="18"/>
          <w:lang w:val="it-IT"/>
        </w:rPr>
        <w:t>Due (2) interventi d supporto tecnico gratuiti all</w:t>
      </w:r>
      <w:r w:rsidR="001C4212" w:rsidRPr="003F471F">
        <w:rPr>
          <w:rFonts w:ascii="Tahoma" w:hAnsi="Tahoma" w:cs="Tahoma"/>
          <w:sz w:val="18"/>
          <w:szCs w:val="18"/>
          <w:lang w:val="it-IT"/>
        </w:rPr>
        <w:t>’</w:t>
      </w:r>
      <w:r w:rsidRPr="003F471F">
        <w:rPr>
          <w:rFonts w:ascii="Tahoma" w:hAnsi="Tahoma" w:cs="Tahoma"/>
          <w:sz w:val="18"/>
          <w:szCs w:val="18"/>
          <w:lang w:val="it-IT"/>
        </w:rPr>
        <w:t xml:space="preserve">anno e il 20% di sconto sugli interventi aggiuntivi tramite supporto telefonico acquistati dalla società. </w:t>
      </w:r>
    </w:p>
    <w:p w14:paraId="074DC84F" w14:textId="77777777" w:rsidR="00023FE7" w:rsidRPr="003F471F" w:rsidRDefault="00023FE7" w:rsidP="00346F4B">
      <w:pPr>
        <w:pStyle w:val="AppendixFlushBulletedList"/>
        <w:numPr>
          <w:ilvl w:val="0"/>
          <w:numId w:val="111"/>
        </w:numPr>
        <w:spacing w:after="60"/>
        <w:ind w:left="1440"/>
        <w:rPr>
          <w:lang w:val="it-IT"/>
        </w:rPr>
      </w:pPr>
      <w:r w:rsidRPr="003F471F">
        <w:rPr>
          <w:rFonts w:ascii="Tahoma" w:hAnsi="Tahoma" w:cs="Tahoma"/>
          <w:sz w:val="18"/>
          <w:szCs w:val="18"/>
          <w:lang w:val="it-IT"/>
        </w:rPr>
        <w:t xml:space="preserve">Servizio illimitato di Supporto per Managed Newsgroup e Online Concierge. </w:t>
      </w:r>
    </w:p>
    <w:p w14:paraId="4E0A248A" w14:textId="77777777" w:rsidR="00023FE7" w:rsidRPr="003F471F" w:rsidRDefault="00023FE7" w:rsidP="00792D1E">
      <w:pPr>
        <w:pStyle w:val="AppendixBodyText"/>
        <w:spacing w:after="0"/>
        <w:rPr>
          <w:lang w:val="it-IT"/>
        </w:rPr>
      </w:pPr>
    </w:p>
    <w:p w14:paraId="7628918E" w14:textId="77777777" w:rsidR="00023FE7" w:rsidRPr="003F471F" w:rsidRDefault="00023FE7" w:rsidP="00792D1E">
      <w:pPr>
        <w:pStyle w:val="AppendixBodyText"/>
        <w:spacing w:after="0"/>
        <w:rPr>
          <w:lang w:val="it-IT"/>
        </w:rPr>
      </w:pPr>
      <w:r w:rsidRPr="003F471F">
        <w:rPr>
          <w:rFonts w:ascii="Tahoma" w:hAnsi="Tahoma" w:cs="Tahoma"/>
          <w:sz w:val="18"/>
          <w:szCs w:val="18"/>
          <w:lang w:val="it-IT"/>
        </w:rPr>
        <w:t>Le società idonee riceveranno un abbonamento per iscrizione qualificante, come mostrato di seguito:</w:t>
      </w:r>
    </w:p>
    <w:p w14:paraId="0D64E31C" w14:textId="77777777" w:rsidR="00023FE7" w:rsidRPr="003F471F" w:rsidRDefault="00023FE7" w:rsidP="00792D1E">
      <w:pPr>
        <w:pStyle w:val="AppendixBodyText"/>
        <w:tabs>
          <w:tab w:val="left" w:pos="1425"/>
        </w:tabs>
        <w:spacing w:after="0"/>
        <w:rPr>
          <w:lang w:val="it-IT"/>
        </w:rPr>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270612" w:rsidRPr="0058047D" w14:paraId="7E62CED4" w14:textId="77777777"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726959A6" w14:textId="77777777" w:rsidR="00270612" w:rsidRPr="0058047D" w:rsidRDefault="00270612" w:rsidP="00D824E9">
            <w:pPr>
              <w:keepNext/>
              <w:jc w:val="center"/>
              <w:rPr>
                <w:rFonts w:cs="Tahoma"/>
                <w:b/>
                <w:bCs/>
                <w:color w:val="000000"/>
                <w:sz w:val="20"/>
                <w:szCs w:val="20"/>
                <w:highlight w:val="yellow"/>
              </w:rPr>
            </w:pPr>
            <w:r w:rsidRPr="0058047D">
              <w:rPr>
                <w:rFonts w:cs="Tahoma"/>
                <w:b/>
                <w:bCs/>
                <w:color w:val="000000"/>
                <w:sz w:val="20"/>
                <w:szCs w:val="20"/>
              </w:rPr>
              <w:t>Prodotto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4EA12326" w14:textId="77777777" w:rsidR="00270612" w:rsidRPr="0058047D" w:rsidRDefault="00270612" w:rsidP="00CA4488">
            <w:pPr>
              <w:jc w:val="center"/>
              <w:rPr>
                <w:rFonts w:cs="Tahoma"/>
                <w:b/>
                <w:bCs/>
                <w:color w:val="000000"/>
                <w:sz w:val="20"/>
                <w:szCs w:val="20"/>
                <w:highlight w:val="yellow"/>
              </w:rPr>
            </w:pPr>
            <w:r w:rsidRPr="0058047D">
              <w:rPr>
                <w:rFonts w:cs="Tahoma"/>
                <w:b/>
                <w:bCs/>
                <w:color w:val="000000"/>
                <w:sz w:val="20"/>
                <w:szCs w:val="20"/>
              </w:rPr>
              <w:t>Licenza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16CE4DBC" w14:textId="77777777" w:rsidR="00270612" w:rsidRPr="0058047D" w:rsidRDefault="00270612" w:rsidP="00CA4488">
            <w:pPr>
              <w:jc w:val="center"/>
              <w:rPr>
                <w:rFonts w:cs="Tahoma"/>
                <w:b/>
                <w:bCs/>
                <w:color w:val="000000"/>
                <w:sz w:val="20"/>
                <w:szCs w:val="20"/>
                <w:highlight w:val="yellow"/>
              </w:rPr>
            </w:pPr>
            <w:r w:rsidRPr="0058047D">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0388F27A" w14:textId="77777777" w:rsidR="00270612" w:rsidRPr="0058047D" w:rsidRDefault="00270612" w:rsidP="00CA4488">
            <w:pPr>
              <w:jc w:val="center"/>
              <w:rPr>
                <w:rFonts w:cs="Tahoma"/>
                <w:b/>
                <w:bCs/>
                <w:color w:val="000000"/>
                <w:sz w:val="20"/>
                <w:szCs w:val="20"/>
              </w:rPr>
            </w:pPr>
            <w:r w:rsidRPr="0058047D">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37CAE93E" w14:textId="77777777" w:rsidR="00270612" w:rsidRPr="0058047D" w:rsidRDefault="00270612" w:rsidP="00CA4488">
            <w:pPr>
              <w:jc w:val="center"/>
              <w:rPr>
                <w:rFonts w:cs="Tahoma"/>
                <w:b/>
                <w:bCs/>
                <w:color w:val="000000"/>
                <w:sz w:val="20"/>
                <w:szCs w:val="20"/>
                <w:highlight w:val="yellow"/>
              </w:rPr>
            </w:pPr>
            <w:r w:rsidRPr="0058047D">
              <w:rPr>
                <w:rFonts w:cs="Tahoma"/>
                <w:b/>
                <w:bCs/>
                <w:color w:val="000000"/>
                <w:sz w:val="20"/>
                <w:szCs w:val="20"/>
              </w:rPr>
              <w:t>Select (diversa da Academic) /Select Plus (diversa da Academic)/EA</w:t>
            </w:r>
          </w:p>
        </w:tc>
      </w:tr>
      <w:tr w:rsidR="00270612" w:rsidRPr="0058047D" w14:paraId="7C7DB8E6" w14:textId="77777777"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2FA59D04" w14:textId="77777777" w:rsidR="00270612" w:rsidRPr="0058047D" w:rsidRDefault="00270612" w:rsidP="00CA4488">
            <w:pPr>
              <w:rPr>
                <w:rFonts w:cs="Tahoma"/>
                <w:color w:val="000000"/>
                <w:szCs w:val="18"/>
                <w:highlight w:val="yellow"/>
              </w:rPr>
            </w:pPr>
            <w:r w:rsidRPr="0058047D">
              <w:rPr>
                <w:rFonts w:cs="Tahoma"/>
                <w:b/>
                <w:bCs/>
                <w:iCs/>
                <w:color w:val="000000"/>
                <w:szCs w:val="18"/>
              </w:rPr>
              <w:t>Licenze</w:t>
            </w:r>
            <w:r w:rsidRPr="0058047D">
              <w:rPr>
                <w:rFonts w:cs="Tahoma"/>
                <w:b/>
                <w:color w:val="000000"/>
                <w:szCs w:val="18"/>
              </w:rPr>
              <w:t xml:space="preserve"> Server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7F8581FC" w14:textId="77777777" w:rsidR="00270612" w:rsidRPr="0058047D" w:rsidRDefault="00270612" w:rsidP="00CA4488">
            <w:pPr>
              <w:jc w:val="center"/>
              <w:rPr>
                <w:rFonts w:cs="Tahoma"/>
                <w:color w:val="000000"/>
                <w:szCs w:val="18"/>
                <w:highlight w:val="yellow"/>
              </w:rPr>
            </w:pPr>
            <w:r w:rsidRPr="0058047D">
              <w:rPr>
                <w:rFonts w:cs="Tahoma"/>
                <w:color w:val="000000"/>
                <w:szCs w:val="18"/>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3FD89117" w14:textId="77777777" w:rsidR="00270612" w:rsidRPr="0058047D" w:rsidRDefault="00270612" w:rsidP="00147698">
            <w:pPr>
              <w:jc w:val="center"/>
              <w:rPr>
                <w:rFonts w:cs="Tahoma"/>
                <w:color w:val="000000"/>
                <w:szCs w:val="18"/>
                <w:highlight w:val="yellow"/>
              </w:rPr>
            </w:pPr>
            <w:r w:rsidRPr="0058047D">
              <w:rPr>
                <w:rFonts w:cs="Tahoma"/>
                <w:color w:val="000000"/>
                <w:szCs w:val="18"/>
              </w:rPr>
              <w:t>1 sottoscrizione per</w:t>
            </w:r>
            <w:r w:rsidR="00147698">
              <w:rPr>
                <w:rFonts w:cs="Tahoma"/>
                <w:color w:val="000000"/>
                <w:szCs w:val="18"/>
              </w:rPr>
              <w:t> </w:t>
            </w:r>
            <w:r w:rsidRPr="0058047D">
              <w:rPr>
                <w:rFonts w:cs="Tahoma"/>
                <w:color w:val="000000"/>
                <w:szCs w:val="18"/>
              </w:rPr>
              <w:t>iscrizione</w:t>
            </w:r>
          </w:p>
        </w:tc>
        <w:tc>
          <w:tcPr>
            <w:tcW w:w="2160" w:type="dxa"/>
            <w:tcBorders>
              <w:top w:val="single" w:sz="8" w:space="0" w:color="auto"/>
              <w:left w:val="nil"/>
              <w:bottom w:val="single" w:sz="8" w:space="0" w:color="auto"/>
              <w:right w:val="single" w:sz="8" w:space="0" w:color="auto"/>
            </w:tcBorders>
          </w:tcPr>
          <w:p w14:paraId="7242F299" w14:textId="77777777" w:rsidR="00270612" w:rsidRPr="0058047D" w:rsidRDefault="00270612" w:rsidP="00147698">
            <w:pPr>
              <w:ind w:left="360"/>
              <w:rPr>
                <w:rFonts w:cs="Tahoma"/>
                <w:color w:val="000000"/>
                <w:szCs w:val="18"/>
              </w:rPr>
            </w:pPr>
            <w:r w:rsidRPr="0058047D">
              <w:rPr>
                <w:rFonts w:cs="Tahoma"/>
                <w:color w:val="000000"/>
                <w:szCs w:val="18"/>
              </w:rPr>
              <w:t>1 sottoscrizione per</w:t>
            </w:r>
            <w:r w:rsidR="00147698">
              <w:rPr>
                <w:rFonts w:cs="Tahoma"/>
                <w:color w:val="000000"/>
                <w:szCs w:val="18"/>
              </w:rPr>
              <w:t> </w:t>
            </w:r>
            <w:r w:rsidRPr="0058047D">
              <w:rPr>
                <w:rFonts w:cs="Tahoma"/>
                <w:color w:val="000000"/>
                <w:szCs w:val="18"/>
              </w:rPr>
              <w:t>iscrizione</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0D61D038" w14:textId="77777777" w:rsidR="00270612" w:rsidRPr="0058047D" w:rsidRDefault="00270612" w:rsidP="00147698">
            <w:pPr>
              <w:rPr>
                <w:rFonts w:cs="Tahoma"/>
                <w:color w:val="000000"/>
                <w:szCs w:val="18"/>
              </w:rPr>
            </w:pPr>
            <w:r w:rsidRPr="0058047D">
              <w:rPr>
                <w:rFonts w:cs="Tahoma"/>
                <w:color w:val="000000"/>
                <w:szCs w:val="18"/>
              </w:rPr>
              <w:t>1 sottoscrizione per</w:t>
            </w:r>
            <w:r w:rsidR="00147698">
              <w:rPr>
                <w:rFonts w:cs="Tahoma"/>
                <w:color w:val="000000"/>
                <w:szCs w:val="18"/>
              </w:rPr>
              <w:t> </w:t>
            </w:r>
            <w:r w:rsidRPr="0058047D">
              <w:rPr>
                <w:rFonts w:cs="Tahoma"/>
                <w:color w:val="000000"/>
                <w:szCs w:val="18"/>
              </w:rPr>
              <w:t>iscrizione</w:t>
            </w:r>
          </w:p>
        </w:tc>
      </w:tr>
    </w:tbl>
    <w:p w14:paraId="7E2B5779" w14:textId="77777777" w:rsidR="00F30075" w:rsidRPr="003F471F" w:rsidRDefault="00F30075" w:rsidP="00F30075">
      <w:pPr>
        <w:tabs>
          <w:tab w:val="num" w:pos="0"/>
        </w:tabs>
        <w:rPr>
          <w:sz w:val="16"/>
          <w:szCs w:val="16"/>
          <w:lang w:val="it-IT"/>
        </w:rPr>
      </w:pPr>
      <w:r w:rsidRPr="003F471F">
        <w:rPr>
          <w:rFonts w:cs="Tahoma"/>
          <w:i/>
          <w:color w:val="000000"/>
          <w:sz w:val="16"/>
          <w:szCs w:val="16"/>
          <w:lang w:val="it-IT"/>
        </w:rPr>
        <w:t>* Se la società dispone della copertura SA attiva su cinque licenze software</w:t>
      </w:r>
    </w:p>
    <w:p w14:paraId="5FC7A9FA" w14:textId="77777777" w:rsidR="00270612" w:rsidRPr="003F471F" w:rsidRDefault="00270612" w:rsidP="00270612">
      <w:pPr>
        <w:pStyle w:val="AppendixFlushBulletedList"/>
        <w:tabs>
          <w:tab w:val="clear" w:pos="360"/>
          <w:tab w:val="num" w:pos="0"/>
        </w:tabs>
        <w:ind w:left="0" w:firstLine="0"/>
        <w:rPr>
          <w:lang w:val="it-IT"/>
        </w:rPr>
      </w:pPr>
    </w:p>
    <w:p w14:paraId="09D0C0C1" w14:textId="77777777" w:rsidR="00270612" w:rsidRPr="003F471F" w:rsidRDefault="00270612" w:rsidP="00270612">
      <w:pPr>
        <w:pStyle w:val="AppendixFlushBulletedList"/>
        <w:tabs>
          <w:tab w:val="clear" w:pos="360"/>
          <w:tab w:val="num" w:pos="0"/>
        </w:tabs>
        <w:ind w:left="0" w:firstLine="0"/>
        <w:rPr>
          <w:lang w:val="it-IT"/>
        </w:rPr>
      </w:pPr>
      <w:r w:rsidRPr="003F471F">
        <w:rPr>
          <w:rFonts w:ascii="Tahoma" w:hAnsi="Tahoma" w:cs="Tahoma"/>
          <w:color w:val="000000"/>
          <w:sz w:val="18"/>
          <w:szCs w:val="18"/>
          <w:lang w:val="it-IT"/>
        </w:rPr>
        <w:t>L</w:t>
      </w:r>
      <w:r w:rsidR="001C4212" w:rsidRPr="003F471F">
        <w:rPr>
          <w:rFonts w:ascii="Tahoma" w:hAnsi="Tahoma" w:cs="Tahoma"/>
          <w:color w:val="000000"/>
          <w:sz w:val="18"/>
          <w:szCs w:val="18"/>
          <w:lang w:val="it-IT"/>
        </w:rPr>
        <w:t>’</w:t>
      </w:r>
      <w:r w:rsidRPr="003F471F">
        <w:rPr>
          <w:rFonts w:ascii="Tahoma" w:hAnsi="Tahoma" w:cs="Tahoma"/>
          <w:color w:val="000000"/>
          <w:sz w:val="18"/>
          <w:szCs w:val="18"/>
          <w:lang w:val="it-IT"/>
        </w:rPr>
        <w:t>utilizzo del software TechNet Plus Direct, in versione prototipo e di valutazione, da parte delle società è soggetto alle condizioni del relativo contratto di licenza.</w:t>
      </w:r>
      <w:r w:rsidR="00E34ED3" w:rsidRPr="003F471F">
        <w:rPr>
          <w:rFonts w:ascii="Tahoma" w:hAnsi="Tahoma" w:cs="Tahoma"/>
          <w:color w:val="000000"/>
          <w:sz w:val="18"/>
          <w:szCs w:val="18"/>
          <w:lang w:val="it-IT"/>
        </w:rPr>
        <w:t xml:space="preserve"> </w:t>
      </w:r>
    </w:p>
    <w:p w14:paraId="287F52EE" w14:textId="77777777" w:rsidR="00270612" w:rsidRPr="003F471F" w:rsidRDefault="00270612" w:rsidP="00270612">
      <w:pPr>
        <w:pStyle w:val="AppendixFlushBulletedList"/>
        <w:tabs>
          <w:tab w:val="clear" w:pos="360"/>
          <w:tab w:val="num" w:pos="0"/>
        </w:tabs>
        <w:ind w:left="0" w:firstLine="0"/>
        <w:rPr>
          <w:lang w:val="it-IT"/>
        </w:rPr>
      </w:pPr>
      <w:r w:rsidRPr="003F471F">
        <w:rPr>
          <w:rFonts w:ascii="Tahoma" w:hAnsi="Tahoma" w:cs="Tahoma"/>
          <w:color w:val="000000"/>
          <w:sz w:val="18"/>
          <w:szCs w:val="18"/>
          <w:lang w:val="it-IT"/>
        </w:rPr>
        <w:t xml:space="preserve">Il software in versione completa concesso in licenza non contiene “time bomb” ed è fornito esclusivamente a scopi di valutazione, non per un utilizzo in ambienti di produzione. </w:t>
      </w:r>
    </w:p>
    <w:p w14:paraId="379D2B62" w14:textId="77777777" w:rsidR="004D4D43" w:rsidRPr="003F471F" w:rsidRDefault="004D4D43" w:rsidP="00270612">
      <w:pPr>
        <w:pStyle w:val="AppendixFlushBulletedList"/>
        <w:tabs>
          <w:tab w:val="clear" w:pos="360"/>
          <w:tab w:val="num" w:pos="0"/>
        </w:tabs>
        <w:ind w:left="0" w:firstLine="0"/>
        <w:rPr>
          <w:lang w:val="it-IT"/>
        </w:rPr>
      </w:pPr>
    </w:p>
    <w:p w14:paraId="23962DEA" w14:textId="77777777" w:rsidR="00147698" w:rsidRPr="003F471F" w:rsidRDefault="00147698" w:rsidP="00270612">
      <w:pPr>
        <w:pStyle w:val="AppendixFlushBulletedList"/>
        <w:tabs>
          <w:tab w:val="clear" w:pos="360"/>
          <w:tab w:val="num" w:pos="0"/>
        </w:tabs>
        <w:ind w:left="0" w:firstLine="0"/>
        <w:rPr>
          <w:lang w:val="it-IT"/>
        </w:rPr>
      </w:pPr>
    </w:p>
    <w:p w14:paraId="536C1F48" w14:textId="77777777" w:rsidR="00270612" w:rsidRPr="003F471F" w:rsidRDefault="00270612" w:rsidP="00270612">
      <w:pPr>
        <w:pStyle w:val="AppendixFlushBulletedList"/>
        <w:tabs>
          <w:tab w:val="clear" w:pos="360"/>
          <w:tab w:val="num" w:pos="0"/>
        </w:tabs>
        <w:ind w:left="0" w:firstLine="0"/>
        <w:rPr>
          <w:lang w:val="it-IT"/>
        </w:rPr>
      </w:pPr>
      <w:r w:rsidRPr="003F471F">
        <w:rPr>
          <w:rFonts w:ascii="Tahoma" w:hAnsi="Tahoma" w:cs="Tahoma"/>
          <w:color w:val="000000"/>
          <w:sz w:val="18"/>
          <w:szCs w:val="18"/>
          <w:lang w:val="it-IT"/>
        </w:rPr>
        <w:t>Le società con copertura SA hanno il diritto di condividere il contenuto tecnico all</w:t>
      </w:r>
      <w:r w:rsidR="001C4212" w:rsidRPr="003F471F">
        <w:rPr>
          <w:rFonts w:ascii="Tahoma" w:hAnsi="Tahoma" w:cs="Tahoma"/>
          <w:color w:val="000000"/>
          <w:sz w:val="18"/>
          <w:szCs w:val="18"/>
          <w:lang w:val="it-IT"/>
        </w:rPr>
        <w:t>’</w:t>
      </w:r>
      <w:r w:rsidRPr="003F471F">
        <w:rPr>
          <w:rFonts w:ascii="Tahoma" w:hAnsi="Tahoma" w:cs="Tahoma"/>
          <w:color w:val="000000"/>
          <w:sz w:val="18"/>
          <w:szCs w:val="18"/>
          <w:lang w:val="it-IT"/>
        </w:rPr>
        <w:t>interno dell</w:t>
      </w:r>
      <w:r w:rsidR="001C4212" w:rsidRPr="003F471F">
        <w:rPr>
          <w:rFonts w:ascii="Tahoma" w:hAnsi="Tahoma" w:cs="Tahoma"/>
          <w:color w:val="000000"/>
          <w:sz w:val="18"/>
          <w:szCs w:val="18"/>
          <w:lang w:val="it-IT"/>
        </w:rPr>
        <w:t>’</w:t>
      </w:r>
      <w:r w:rsidRPr="003F471F">
        <w:rPr>
          <w:rFonts w:ascii="Tahoma" w:hAnsi="Tahoma" w:cs="Tahoma"/>
          <w:color w:val="000000"/>
          <w:sz w:val="18"/>
          <w:szCs w:val="18"/>
          <w:lang w:val="it-IT"/>
        </w:rPr>
        <w:t>organizzazione, tra cui la</w:t>
      </w:r>
      <w:r w:rsidR="00147698" w:rsidRPr="003F471F">
        <w:rPr>
          <w:rFonts w:ascii="Tahoma" w:hAnsi="Tahoma" w:cs="Tahoma"/>
          <w:color w:val="000000"/>
          <w:sz w:val="18"/>
          <w:szCs w:val="18"/>
          <w:lang w:val="it-IT"/>
        </w:rPr>
        <w:t> </w:t>
      </w:r>
      <w:r w:rsidRPr="003F471F">
        <w:rPr>
          <w:rFonts w:ascii="Tahoma" w:hAnsi="Tahoma" w:cs="Tahoma"/>
          <w:color w:val="000000"/>
          <w:sz w:val="18"/>
          <w:szCs w:val="18"/>
          <w:lang w:val="it-IT"/>
        </w:rPr>
        <w:t xml:space="preserve">Knowledge Base, la formazione tecnica, i download, i service pack e le patch di protezione. Tuttavia, i seguenti vantaggi sono riservati unicamente al sottoscrittore principale e non si possono condividere: software in versione completa fornito per scopi di valutazione, software in versione beta, interventi di supporto tecnico e sconto, managed newsgroup e online concierge e altri servizi premium disponibili solo sul sito Web dei Servizi TechNet Plus Direct. </w:t>
      </w:r>
    </w:p>
    <w:p w14:paraId="75F8EC9D" w14:textId="77777777" w:rsidR="00792D1E" w:rsidRPr="003F471F" w:rsidRDefault="00792D1E" w:rsidP="00270612">
      <w:pPr>
        <w:pStyle w:val="AppendixFlushBulletedList"/>
        <w:tabs>
          <w:tab w:val="clear" w:pos="360"/>
          <w:tab w:val="num" w:pos="0"/>
        </w:tabs>
        <w:ind w:left="0" w:firstLine="0"/>
        <w:rPr>
          <w:lang w:val="it-IT"/>
        </w:rPr>
      </w:pPr>
    </w:p>
    <w:p w14:paraId="699A2C9B" w14:textId="77777777" w:rsidR="00270612" w:rsidRPr="003F471F" w:rsidRDefault="00270612" w:rsidP="00270612">
      <w:pPr>
        <w:pStyle w:val="AppendixFlushBulletedList"/>
        <w:tabs>
          <w:tab w:val="clear" w:pos="360"/>
          <w:tab w:val="num" w:pos="0"/>
        </w:tabs>
        <w:ind w:left="0" w:firstLine="0"/>
        <w:rPr>
          <w:lang w:val="it-IT"/>
        </w:rPr>
      </w:pPr>
      <w:r w:rsidRPr="003F471F">
        <w:rPr>
          <w:rFonts w:ascii="Tahoma" w:hAnsi="Tahoma" w:cs="Tahoma"/>
          <w:color w:val="000000"/>
          <w:sz w:val="18"/>
          <w:szCs w:val="18"/>
          <w:lang w:val="it-IT"/>
        </w:rPr>
        <w:t>Non tutti i servizi e i vantaggi TechNet Plus Direct sono disponibili in ogni paese.</w:t>
      </w:r>
      <w:r w:rsidR="00E34ED3" w:rsidRPr="003F471F">
        <w:rPr>
          <w:rFonts w:ascii="Tahoma" w:hAnsi="Tahoma" w:cs="Tahoma"/>
          <w:color w:val="000000"/>
          <w:sz w:val="18"/>
          <w:szCs w:val="18"/>
          <w:lang w:val="it-IT"/>
        </w:rPr>
        <w:t xml:space="preserve"> </w:t>
      </w:r>
    </w:p>
    <w:p w14:paraId="5AAE33F6" w14:textId="77777777" w:rsidR="00792D1E" w:rsidRPr="003F471F" w:rsidRDefault="00792D1E" w:rsidP="00270612">
      <w:pPr>
        <w:pStyle w:val="AppendixFlushBulletedList"/>
        <w:tabs>
          <w:tab w:val="clear" w:pos="360"/>
          <w:tab w:val="num" w:pos="0"/>
        </w:tabs>
        <w:ind w:left="0" w:firstLine="0"/>
        <w:rPr>
          <w:lang w:val="it-IT"/>
        </w:rPr>
      </w:pPr>
    </w:p>
    <w:p w14:paraId="680C55A8" w14:textId="77777777" w:rsidR="00270612" w:rsidRPr="003F471F" w:rsidRDefault="00270612" w:rsidP="00270612">
      <w:pPr>
        <w:pStyle w:val="AppendixFlushBulletedList"/>
        <w:tabs>
          <w:tab w:val="clear" w:pos="360"/>
          <w:tab w:val="num" w:pos="0"/>
        </w:tabs>
        <w:ind w:left="0" w:firstLine="0"/>
        <w:rPr>
          <w:lang w:val="it-IT"/>
        </w:rPr>
      </w:pPr>
      <w:r w:rsidRPr="003F471F">
        <w:rPr>
          <w:rFonts w:ascii="Tahoma" w:hAnsi="Tahoma" w:cs="Tahoma"/>
          <w:color w:val="000000"/>
          <w:sz w:val="18"/>
          <w:szCs w:val="18"/>
          <w:lang w:val="it-IT"/>
        </w:rPr>
        <w:t xml:space="preserve">Per ulteriori informazioni sulla disponibilità in base al Paese, visitare la pagina </w:t>
      </w:r>
      <w:hyperlink r:id="rId29" w:history="1">
        <w:r w:rsidR="00147698" w:rsidRPr="003F471F">
          <w:rPr>
            <w:rStyle w:val="Hyperlink"/>
            <w:rFonts w:ascii="Tahoma" w:hAnsi="Tahoma" w:cs="Tahoma"/>
            <w:color w:val="000000"/>
            <w:sz w:val="18"/>
            <w:szCs w:val="18"/>
            <w:lang w:val="it-IT"/>
          </w:rPr>
          <w:t>www.microsoft.com/technet/subscription</w:t>
        </w:r>
      </w:hyperlink>
      <w:r w:rsidRPr="003F471F">
        <w:rPr>
          <w:rFonts w:ascii="Tahoma" w:hAnsi="Tahoma" w:cs="Tahoma"/>
          <w:color w:val="000000"/>
          <w:sz w:val="18"/>
          <w:szCs w:val="18"/>
          <w:lang w:val="it-IT"/>
        </w:rPr>
        <w:t xml:space="preserve">. </w:t>
      </w:r>
    </w:p>
    <w:p w14:paraId="3C3F0073" w14:textId="77777777" w:rsidR="00270612" w:rsidRPr="003F471F" w:rsidRDefault="00270612" w:rsidP="00270612">
      <w:pPr>
        <w:pStyle w:val="AppendixFlushBulletedList"/>
        <w:tabs>
          <w:tab w:val="clear" w:pos="360"/>
          <w:tab w:val="num" w:pos="0"/>
        </w:tabs>
        <w:ind w:left="0" w:firstLine="0"/>
        <w:rPr>
          <w:lang w:val="it-IT"/>
        </w:rPr>
      </w:pPr>
      <w:r w:rsidRPr="003F471F">
        <w:rPr>
          <w:rFonts w:ascii="Tahoma" w:hAnsi="Tahoma" w:cs="Tahoma"/>
          <w:color w:val="000000"/>
          <w:sz w:val="18"/>
          <w:szCs w:val="18"/>
          <w:lang w:val="it-IT"/>
        </w:rPr>
        <w:t>Il diritto delle società di utilizzare software TechNet Plus Direct e software in versione prototipo e di valutazione cessa alla scadenza della copertura Software Assurance.</w:t>
      </w:r>
    </w:p>
    <w:p w14:paraId="5800FD43" w14:textId="77777777" w:rsidR="00023FE7" w:rsidRPr="003F471F" w:rsidRDefault="00023FE7">
      <w:pPr>
        <w:pStyle w:val="Heading3"/>
        <w:tabs>
          <w:tab w:val="num" w:pos="0"/>
        </w:tabs>
        <w:rPr>
          <w:lang w:val="it-IT"/>
        </w:rPr>
      </w:pPr>
    </w:p>
    <w:p w14:paraId="3900EA1A" w14:textId="77777777" w:rsidR="004D4D43" w:rsidRPr="003F471F" w:rsidRDefault="004D4D43" w:rsidP="004D4D43">
      <w:pPr>
        <w:pStyle w:val="Heading3"/>
        <w:tabs>
          <w:tab w:val="num" w:pos="0"/>
        </w:tabs>
        <w:rPr>
          <w:lang w:val="it-IT"/>
        </w:rPr>
      </w:pPr>
      <w:bookmarkStart w:id="744" w:name="_Toc336338242"/>
      <w:bookmarkStart w:id="745" w:name="_Toc371663636"/>
      <w:r w:rsidRPr="003F471F">
        <w:rPr>
          <w:rFonts w:ascii="Tahoma" w:hAnsi="Tahoma" w:cs="Tahoma"/>
          <w:sz w:val="24"/>
          <w:lang w:val="it-IT"/>
        </w:rPr>
        <w:t>Mobilità delle Licenze tramite Software Assurance</w:t>
      </w:r>
      <w:bookmarkEnd w:id="744"/>
      <w:bookmarkEnd w:id="745"/>
    </w:p>
    <w:p w14:paraId="7321BD76" w14:textId="77777777" w:rsidR="004D4D43" w:rsidRPr="003F471F" w:rsidRDefault="004D4D43" w:rsidP="0007218F">
      <w:pPr>
        <w:pStyle w:val="Heading3"/>
        <w:tabs>
          <w:tab w:val="num" w:pos="0"/>
        </w:tabs>
        <w:rPr>
          <w:lang w:val="it-IT"/>
        </w:rPr>
      </w:pPr>
    </w:p>
    <w:p w14:paraId="706E45C9" w14:textId="77777777" w:rsidR="004D4D43" w:rsidRPr="003F471F" w:rsidRDefault="004D4D43" w:rsidP="002171C3">
      <w:pPr>
        <w:rPr>
          <w:lang w:val="it-IT"/>
        </w:rPr>
      </w:pPr>
      <w:bookmarkStart w:id="746" w:name="_Toc294048012"/>
      <w:bookmarkStart w:id="747" w:name="_Toc294048569"/>
      <w:bookmarkStart w:id="748" w:name="_Toc294092640"/>
      <w:bookmarkStart w:id="749" w:name="_Toc295819320"/>
      <w:bookmarkStart w:id="750" w:name="_Toc298795971"/>
      <w:bookmarkStart w:id="751" w:name="_Toc299369847"/>
      <w:bookmarkStart w:id="752" w:name="_Toc300391558"/>
      <w:bookmarkStart w:id="753" w:name="_Toc301939835"/>
      <w:bookmarkStart w:id="754" w:name="_Toc304801232"/>
      <w:bookmarkStart w:id="755" w:name="_Toc312399280"/>
      <w:bookmarkStart w:id="756" w:name="_Toc315289087"/>
      <w:bookmarkStart w:id="757" w:name="_Toc317591243"/>
      <w:bookmarkStart w:id="758" w:name="_Toc325313196"/>
      <w:bookmarkStart w:id="759" w:name="_Toc325609219"/>
      <w:r w:rsidRPr="003F471F">
        <w:rPr>
          <w:lang w:val="it-IT"/>
        </w:rPr>
        <w:t>Mobilità delle Licenze tramite Software Assurance consente di spostare determinate licenze on-premise con copertura Software Assurance su server condivisi di terzi.</w:t>
      </w:r>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p>
    <w:p w14:paraId="51781BD7" w14:textId="77777777" w:rsidR="004D4D43" w:rsidRPr="003F471F" w:rsidRDefault="004D4D43" w:rsidP="002171C3">
      <w:pPr>
        <w:rPr>
          <w:lang w:val="it-IT"/>
        </w:rPr>
      </w:pPr>
    </w:p>
    <w:p w14:paraId="07D0EFA2" w14:textId="77777777" w:rsidR="004D4D43" w:rsidRPr="003F471F" w:rsidRDefault="004D4D43" w:rsidP="002171C3">
      <w:pPr>
        <w:rPr>
          <w:lang w:val="it-IT"/>
        </w:rPr>
      </w:pPr>
      <w:bookmarkStart w:id="760" w:name="_Toc294048013"/>
      <w:bookmarkStart w:id="761" w:name="_Toc294048570"/>
      <w:bookmarkStart w:id="762" w:name="_Toc294092641"/>
      <w:bookmarkStart w:id="763" w:name="_Toc295819321"/>
      <w:bookmarkStart w:id="764" w:name="_Toc298795972"/>
      <w:bookmarkStart w:id="765" w:name="_Toc299369848"/>
      <w:bookmarkStart w:id="766" w:name="_Toc300391559"/>
      <w:bookmarkStart w:id="767" w:name="_Toc301939836"/>
      <w:bookmarkStart w:id="768" w:name="_Toc304801233"/>
      <w:bookmarkStart w:id="769" w:name="_Toc307350402"/>
      <w:bookmarkStart w:id="770" w:name="_Toc308429813"/>
      <w:bookmarkStart w:id="771" w:name="_Toc312399281"/>
      <w:bookmarkStart w:id="772" w:name="_Toc315289088"/>
      <w:bookmarkStart w:id="773" w:name="_Toc317591244"/>
      <w:bookmarkStart w:id="774" w:name="_Toc323034197"/>
      <w:bookmarkStart w:id="775" w:name="_Toc325313197"/>
      <w:bookmarkStart w:id="776" w:name="_Toc325609220"/>
      <w:r w:rsidRPr="003F471F">
        <w:rPr>
          <w:lang w:val="it-IT"/>
        </w:rPr>
        <w:t>Tutti i Prodotti attualmente idonei per “Mobilità delle Licenze all</w:t>
      </w:r>
      <w:r w:rsidR="001C4212" w:rsidRPr="003F471F">
        <w:rPr>
          <w:lang w:val="it-IT"/>
        </w:rPr>
        <w:t>’</w:t>
      </w:r>
      <w:r w:rsidRPr="003F471F">
        <w:rPr>
          <w:lang w:val="it-IT"/>
        </w:rPr>
        <w:t>interno di Server Farm” in base a quanto definito nei Diritti di Utilizzo del Prodotto (PUR) e con copertura Software Assurance sono idonei per Mobilità delle Licenze tramite Software Assurance. Inoltre, sono idonei per Mobilità delle Licenze tramite Software Assurance anche i Prodotti seguenti:</w:t>
      </w:r>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p>
    <w:p w14:paraId="7585DC3C" w14:textId="77777777" w:rsidR="004D4D43" w:rsidRPr="003F471F" w:rsidRDefault="004D4D43" w:rsidP="00F86E06">
      <w:pPr>
        <w:rPr>
          <w:lang w:val="it-IT"/>
        </w:rPr>
      </w:pPr>
    </w:p>
    <w:p w14:paraId="2B5EE774" w14:textId="77777777" w:rsidR="004D4D43" w:rsidRPr="003F471F" w:rsidRDefault="004D4D43" w:rsidP="00346F4B">
      <w:pPr>
        <w:numPr>
          <w:ilvl w:val="0"/>
          <w:numId w:val="74"/>
        </w:numPr>
        <w:spacing w:after="60"/>
        <w:ind w:left="1440"/>
        <w:rPr>
          <w:lang w:val="it-IT"/>
        </w:rPr>
      </w:pPr>
      <w:bookmarkStart w:id="777" w:name="_Toc294048014"/>
      <w:bookmarkStart w:id="778" w:name="_Toc294048571"/>
      <w:bookmarkStart w:id="779" w:name="_Toc294092642"/>
      <w:bookmarkStart w:id="780" w:name="_Toc295819322"/>
      <w:bookmarkStart w:id="781" w:name="_Toc298795973"/>
      <w:bookmarkStart w:id="782" w:name="_Toc299369849"/>
      <w:bookmarkStart w:id="783" w:name="_Toc300391560"/>
      <w:bookmarkStart w:id="784" w:name="_Toc301939837"/>
      <w:bookmarkStart w:id="785" w:name="_Toc304801234"/>
      <w:bookmarkStart w:id="786" w:name="_Toc307350403"/>
      <w:bookmarkStart w:id="787" w:name="_Toc308429814"/>
      <w:bookmarkStart w:id="788" w:name="_Toc312399282"/>
      <w:bookmarkStart w:id="789" w:name="_Toc315289089"/>
      <w:bookmarkStart w:id="790" w:name="_Toc317591245"/>
      <w:bookmarkStart w:id="791" w:name="_Toc323034198"/>
      <w:bookmarkStart w:id="792" w:name="_Toc325313198"/>
      <w:bookmarkStart w:id="793" w:name="_Toc325609221"/>
      <w:r w:rsidRPr="003F471F">
        <w:rPr>
          <w:lang w:val="it-IT"/>
        </w:rPr>
        <w:t>SQL Server Standard -- Per Processore e Server/CAL (solo licenze per processore e server) con</w:t>
      </w:r>
      <w:r w:rsidR="00147698" w:rsidRPr="003F471F">
        <w:rPr>
          <w:lang w:val="it-IT"/>
        </w:rPr>
        <w:t> </w:t>
      </w:r>
      <w:r w:rsidRPr="003F471F">
        <w:rPr>
          <w:lang w:val="it-IT"/>
        </w:rPr>
        <w:t>Software Assurance</w:t>
      </w:r>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p>
    <w:p w14:paraId="72E21824" w14:textId="77777777" w:rsidR="004D4D43" w:rsidRPr="003F471F" w:rsidRDefault="004D4D43" w:rsidP="00346F4B">
      <w:pPr>
        <w:numPr>
          <w:ilvl w:val="0"/>
          <w:numId w:val="74"/>
        </w:numPr>
        <w:spacing w:after="60"/>
        <w:ind w:left="1440"/>
        <w:rPr>
          <w:lang w:val="it-IT"/>
        </w:rPr>
      </w:pPr>
      <w:bookmarkStart w:id="794" w:name="_Toc294048015"/>
      <w:bookmarkStart w:id="795" w:name="_Toc294048572"/>
      <w:bookmarkStart w:id="796" w:name="_Toc294092643"/>
      <w:bookmarkStart w:id="797" w:name="_Toc295819323"/>
      <w:bookmarkStart w:id="798" w:name="_Toc298795974"/>
      <w:bookmarkStart w:id="799" w:name="_Toc299369850"/>
      <w:bookmarkStart w:id="800" w:name="_Toc300391561"/>
      <w:bookmarkStart w:id="801" w:name="_Toc301939838"/>
      <w:bookmarkStart w:id="802" w:name="_Toc304801235"/>
      <w:bookmarkStart w:id="803" w:name="_Toc307350404"/>
      <w:bookmarkStart w:id="804" w:name="_Toc308429815"/>
      <w:bookmarkStart w:id="805" w:name="_Toc312399283"/>
      <w:bookmarkStart w:id="806" w:name="_Toc315289090"/>
      <w:bookmarkStart w:id="807" w:name="_Toc317591246"/>
      <w:bookmarkStart w:id="808" w:name="_Toc323034199"/>
      <w:bookmarkStart w:id="809" w:name="_Toc325313199"/>
      <w:bookmarkStart w:id="810" w:name="_Toc325609222"/>
      <w:r w:rsidRPr="003F471F">
        <w:rPr>
          <w:lang w:val="it-IT"/>
        </w:rPr>
        <w:t>System Center - tutte le Licenze di Gestione Server (ML), incluse SMSE e SMSD con Software Assurance</w:t>
      </w:r>
      <w:bookmarkEnd w:id="794"/>
      <w:bookmarkEnd w:id="795"/>
      <w:bookmarkEnd w:id="796"/>
      <w:bookmarkEnd w:id="797"/>
      <w:bookmarkEnd w:id="798"/>
      <w:bookmarkEnd w:id="799"/>
      <w:bookmarkEnd w:id="800"/>
      <w:bookmarkEnd w:id="801"/>
      <w:bookmarkEnd w:id="802"/>
      <w:bookmarkEnd w:id="803"/>
      <w:bookmarkEnd w:id="804"/>
      <w:bookmarkEnd w:id="805"/>
      <w:bookmarkEnd w:id="806"/>
      <w:r w:rsidRPr="003F471F">
        <w:rPr>
          <w:lang w:val="it-IT"/>
        </w:rPr>
        <w:t>e System Center 2012 Standard e Datacenter con Software Assurance</w:t>
      </w:r>
      <w:bookmarkEnd w:id="807"/>
      <w:bookmarkEnd w:id="808"/>
      <w:bookmarkEnd w:id="809"/>
      <w:bookmarkEnd w:id="810"/>
    </w:p>
    <w:p w14:paraId="66C51676" w14:textId="77777777" w:rsidR="00973A93" w:rsidRPr="003F471F" w:rsidRDefault="00973A93">
      <w:pPr>
        <w:rPr>
          <w:lang w:val="it-IT"/>
        </w:rPr>
      </w:pPr>
      <w:bookmarkStart w:id="811" w:name="_Toc294048016"/>
      <w:bookmarkStart w:id="812" w:name="_Toc294048573"/>
      <w:bookmarkStart w:id="813" w:name="_Toc294092644"/>
      <w:bookmarkStart w:id="814" w:name="_Toc295819324"/>
      <w:bookmarkStart w:id="815" w:name="_Toc298795975"/>
      <w:bookmarkStart w:id="816" w:name="_Toc299369851"/>
      <w:bookmarkStart w:id="817" w:name="_Toc300391562"/>
      <w:bookmarkStart w:id="818" w:name="_Toc301939839"/>
      <w:bookmarkStart w:id="819" w:name="_Toc304801236"/>
      <w:bookmarkStart w:id="820" w:name="_Toc307350405"/>
      <w:bookmarkStart w:id="821" w:name="_Toc308429816"/>
      <w:bookmarkStart w:id="822" w:name="_Toc312399284"/>
      <w:bookmarkStart w:id="823" w:name="_Toc315289091"/>
      <w:bookmarkStart w:id="824" w:name="_Toc317591247"/>
      <w:bookmarkStart w:id="825" w:name="_Toc323034200"/>
      <w:bookmarkStart w:id="826" w:name="_Toc325313200"/>
      <w:bookmarkStart w:id="827" w:name="_Toc325609223"/>
    </w:p>
    <w:p w14:paraId="31FB9099" w14:textId="77777777" w:rsidR="004D4D43" w:rsidRPr="003F471F" w:rsidRDefault="004D4D43" w:rsidP="002171C3">
      <w:pPr>
        <w:rPr>
          <w:lang w:val="it-IT"/>
        </w:rPr>
      </w:pPr>
      <w:r w:rsidRPr="003F471F">
        <w:rPr>
          <w:lang w:val="it-IT"/>
        </w:rPr>
        <w:t>Per utilizzare Mobilità delle Licenze tramite Software Assurance, le società dovranno:</w:t>
      </w:r>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p>
    <w:p w14:paraId="1AE70E5B" w14:textId="77777777" w:rsidR="004D4D43" w:rsidRPr="003F471F" w:rsidRDefault="004D4D43" w:rsidP="00F86E06">
      <w:pPr>
        <w:rPr>
          <w:lang w:val="it-IT"/>
        </w:rPr>
      </w:pPr>
    </w:p>
    <w:p w14:paraId="2D1E8B8E" w14:textId="77777777" w:rsidR="004D4D43" w:rsidRPr="003F471F" w:rsidRDefault="004D4D43" w:rsidP="00346F4B">
      <w:pPr>
        <w:numPr>
          <w:ilvl w:val="0"/>
          <w:numId w:val="63"/>
        </w:numPr>
        <w:spacing w:after="60"/>
        <w:ind w:left="1440"/>
        <w:rPr>
          <w:lang w:val="it-IT"/>
        </w:rPr>
      </w:pPr>
      <w:bookmarkStart w:id="828" w:name="_Toc294048017"/>
      <w:bookmarkStart w:id="829" w:name="_Toc294048574"/>
      <w:bookmarkStart w:id="830" w:name="_Toc294092645"/>
      <w:bookmarkStart w:id="831" w:name="_Toc295819325"/>
      <w:bookmarkStart w:id="832" w:name="_Toc298795976"/>
      <w:bookmarkStart w:id="833" w:name="_Toc299369852"/>
      <w:bookmarkStart w:id="834" w:name="_Toc300391563"/>
      <w:bookmarkStart w:id="835" w:name="_Toc301939840"/>
      <w:bookmarkStart w:id="836" w:name="_Toc304801237"/>
      <w:bookmarkStart w:id="837" w:name="_Toc307350406"/>
      <w:bookmarkStart w:id="838" w:name="_Toc308429817"/>
      <w:bookmarkStart w:id="839" w:name="_Toc312399285"/>
      <w:bookmarkStart w:id="840" w:name="_Toc315289092"/>
      <w:bookmarkStart w:id="841" w:name="_Toc317591248"/>
      <w:bookmarkStart w:id="842" w:name="_Toc323034201"/>
      <w:bookmarkStart w:id="843" w:name="_Toc325313201"/>
      <w:bookmarkStart w:id="844" w:name="_Toc325609224"/>
      <w:r w:rsidRPr="003F471F">
        <w:rPr>
          <w:lang w:val="it-IT"/>
        </w:rPr>
        <w:t>gestire la copertura Software Assurance per le licenze ai sensi delle quali eseguono software o gestiscono ambienti di sistemi operativi su server di terzi condivisi nonché tutte le CAL, External Connector e licenze di gestione corrispondenti;</w:t>
      </w:r>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p>
    <w:p w14:paraId="07DC9FE7" w14:textId="77777777" w:rsidR="004D4D43" w:rsidRPr="003F471F" w:rsidRDefault="004D4D43" w:rsidP="00346F4B">
      <w:pPr>
        <w:numPr>
          <w:ilvl w:val="0"/>
          <w:numId w:val="63"/>
        </w:numPr>
        <w:spacing w:after="60"/>
        <w:ind w:left="1440"/>
        <w:rPr>
          <w:lang w:val="it-IT"/>
        </w:rPr>
      </w:pPr>
      <w:bookmarkStart w:id="845" w:name="_Toc294048018"/>
      <w:bookmarkStart w:id="846" w:name="_Toc294048575"/>
      <w:bookmarkStart w:id="847" w:name="_Toc294092646"/>
      <w:bookmarkStart w:id="848" w:name="_Toc295819326"/>
      <w:bookmarkStart w:id="849" w:name="_Toc298795977"/>
      <w:bookmarkStart w:id="850" w:name="_Toc299369853"/>
      <w:bookmarkStart w:id="851" w:name="_Toc300391564"/>
      <w:bookmarkStart w:id="852" w:name="_Toc301939841"/>
      <w:bookmarkStart w:id="853" w:name="_Toc304801238"/>
      <w:bookmarkStart w:id="854" w:name="_Toc307350407"/>
      <w:bookmarkStart w:id="855" w:name="_Toc308429818"/>
      <w:bookmarkStart w:id="856" w:name="_Toc312399286"/>
      <w:bookmarkStart w:id="857" w:name="_Toc315289093"/>
      <w:bookmarkStart w:id="858" w:name="_Toc317591249"/>
      <w:bookmarkStart w:id="859" w:name="_Toc323034202"/>
      <w:bookmarkStart w:id="860" w:name="_Toc325313202"/>
      <w:bookmarkStart w:id="861" w:name="_Toc325609225"/>
      <w:r w:rsidRPr="003F471F">
        <w:rPr>
          <w:lang w:val="it-IT"/>
        </w:rPr>
        <w:t>distribuire le proprie licenze solo con Partner di Mobilità delle Licenze tramite Software Assurance qualificati. L</w:t>
      </w:r>
      <w:r w:rsidR="001C4212" w:rsidRPr="003F471F">
        <w:rPr>
          <w:lang w:val="it-IT"/>
        </w:rPr>
        <w:t>’</w:t>
      </w:r>
      <w:r w:rsidRPr="003F471F">
        <w:rPr>
          <w:lang w:val="it-IT"/>
        </w:rPr>
        <w:t xml:space="preserve">elenco dei Partner di Mobilità delle Licenze tramite Software Assurance qualificati è disponibile sul sito Web </w:t>
      </w:r>
      <w:r w:rsidR="00147698" w:rsidRPr="003F471F">
        <w:rPr>
          <w:lang w:val="it-IT"/>
        </w:rPr>
        <w:t>http://www.microsoft.com/licensing/software-assurance/license-mobility</w:t>
      </w:r>
      <w:r w:rsidRPr="003F471F">
        <w:rPr>
          <w:lang w:val="it-IT"/>
        </w:rPr>
        <w:t xml:space="preserve"> e</w:t>
      </w:r>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p>
    <w:p w14:paraId="35EF282D" w14:textId="77777777" w:rsidR="004D4D43" w:rsidRPr="003F471F" w:rsidRDefault="004D4D43" w:rsidP="00346F4B">
      <w:pPr>
        <w:numPr>
          <w:ilvl w:val="0"/>
          <w:numId w:val="63"/>
        </w:numPr>
        <w:spacing w:after="60"/>
        <w:ind w:left="1440"/>
        <w:rPr>
          <w:lang w:val="it-IT"/>
        </w:rPr>
      </w:pPr>
      <w:bookmarkStart w:id="862" w:name="_Toc294048019"/>
      <w:bookmarkStart w:id="863" w:name="_Toc294048576"/>
      <w:bookmarkStart w:id="864" w:name="_Toc294092647"/>
      <w:bookmarkStart w:id="865" w:name="_Toc295819327"/>
      <w:bookmarkStart w:id="866" w:name="_Toc298795978"/>
      <w:bookmarkStart w:id="867" w:name="_Toc299369854"/>
      <w:bookmarkStart w:id="868" w:name="_Toc300391565"/>
      <w:bookmarkStart w:id="869" w:name="_Toc301939842"/>
      <w:bookmarkStart w:id="870" w:name="_Toc304801239"/>
      <w:bookmarkStart w:id="871" w:name="_Toc307350408"/>
      <w:bookmarkStart w:id="872" w:name="_Toc308429819"/>
      <w:bookmarkStart w:id="873" w:name="_Toc312399287"/>
      <w:bookmarkStart w:id="874" w:name="_Toc315289094"/>
      <w:bookmarkStart w:id="875" w:name="_Toc317591250"/>
      <w:bookmarkStart w:id="876" w:name="_Toc323034203"/>
      <w:bookmarkStart w:id="877" w:name="_Toc325313203"/>
      <w:bookmarkStart w:id="878" w:name="_Toc325609226"/>
      <w:r w:rsidRPr="003F471F">
        <w:rPr>
          <w:lang w:val="it-IT"/>
        </w:rPr>
        <w:t>completare e inviare il modulo per la Convalida della Mobilità delle Licenze con ciascun Partner di Mobilità delle Licenze tramite Software Assurance qualificato che eseguirà il software in licenza delle società sui server condivisi dei partner.</w:t>
      </w:r>
      <w:r w:rsidR="00E34ED3" w:rsidRPr="003F471F">
        <w:rPr>
          <w:lang w:val="it-IT"/>
        </w:rPr>
        <w:t xml:space="preserve"> </w:t>
      </w:r>
      <w:r w:rsidRPr="003F471F">
        <w:rPr>
          <w:lang w:val="it-IT"/>
        </w:rPr>
        <w:t>Il modulo per la Convalida della Mobilità delle Licenze verrà messo a disposizione delle società dal Partner di Mobilità delle Licenze tramite Software Assurance qualificato.</w:t>
      </w:r>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p>
    <w:p w14:paraId="32E51639" w14:textId="77777777" w:rsidR="004D4D43" w:rsidRPr="003F471F" w:rsidRDefault="004D4D43" w:rsidP="002171C3">
      <w:pPr>
        <w:rPr>
          <w:lang w:val="it-IT"/>
        </w:rPr>
      </w:pPr>
    </w:p>
    <w:p w14:paraId="19925450" w14:textId="77777777" w:rsidR="004D4D43" w:rsidRPr="003F471F" w:rsidRDefault="004D4D43" w:rsidP="002171C3">
      <w:pPr>
        <w:rPr>
          <w:lang w:val="it-IT"/>
        </w:rPr>
      </w:pPr>
      <w:bookmarkStart w:id="879" w:name="_Toc294048020"/>
      <w:bookmarkStart w:id="880" w:name="_Toc294048577"/>
      <w:bookmarkStart w:id="881" w:name="_Toc294092648"/>
      <w:bookmarkStart w:id="882" w:name="_Toc295819328"/>
      <w:bookmarkStart w:id="883" w:name="_Toc298795979"/>
      <w:bookmarkStart w:id="884" w:name="_Toc299369855"/>
      <w:bookmarkStart w:id="885" w:name="_Toc300391566"/>
      <w:bookmarkStart w:id="886" w:name="_Toc301939843"/>
      <w:bookmarkStart w:id="887" w:name="_Toc304801240"/>
      <w:bookmarkStart w:id="888" w:name="_Toc307350409"/>
      <w:bookmarkStart w:id="889" w:name="_Toc308429820"/>
      <w:bookmarkStart w:id="890" w:name="_Toc312399288"/>
      <w:bookmarkStart w:id="891" w:name="_Toc317591251"/>
      <w:bookmarkStart w:id="892" w:name="_Toc323034204"/>
      <w:bookmarkStart w:id="893" w:name="_Toc325313204"/>
      <w:bookmarkStart w:id="894" w:name="_Toc325609227"/>
      <w:r w:rsidRPr="003F471F">
        <w:rPr>
          <w:lang w:val="it-IT"/>
        </w:rPr>
        <w:t>I diritti delle società di eseguire software in licenza e gestire OSE su server di terzi condivisi scadranno al termine della copertura Software Assurance su tali licenze o sulle licenze di accesso o di gestione corrispondenti.</w:t>
      </w:r>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p>
    <w:p w14:paraId="1DB93F1B" w14:textId="77777777" w:rsidR="004D4D43" w:rsidRPr="003F471F" w:rsidRDefault="004D4D43" w:rsidP="0007218F">
      <w:pPr>
        <w:rPr>
          <w:lang w:val="it-IT"/>
        </w:rPr>
      </w:pPr>
    </w:p>
    <w:p w14:paraId="66B6B191" w14:textId="77777777" w:rsidR="00023FE7" w:rsidRPr="003F471F" w:rsidRDefault="00023FE7" w:rsidP="00D824E9">
      <w:pPr>
        <w:pStyle w:val="Heading3"/>
        <w:keepNext/>
        <w:tabs>
          <w:tab w:val="num" w:pos="0"/>
        </w:tabs>
        <w:rPr>
          <w:lang w:val="it-IT"/>
        </w:rPr>
      </w:pPr>
      <w:bookmarkStart w:id="895" w:name="_Toc336338243"/>
      <w:bookmarkStart w:id="896" w:name="_Toc371663637"/>
      <w:r w:rsidRPr="003F471F">
        <w:rPr>
          <w:rFonts w:ascii="Tahoma" w:hAnsi="Tahoma" w:cs="Tahoma"/>
          <w:sz w:val="24"/>
          <w:lang w:val="it-IT"/>
        </w:rPr>
        <w:t>Windows Thin PC</w:t>
      </w:r>
      <w:bookmarkEnd w:id="895"/>
      <w:bookmarkEnd w:id="896"/>
    </w:p>
    <w:p w14:paraId="09C701D0" w14:textId="77777777" w:rsidR="00023FE7" w:rsidRPr="003F471F" w:rsidRDefault="00023FE7" w:rsidP="0007218F">
      <w:pPr>
        <w:pStyle w:val="Heading3"/>
        <w:rPr>
          <w:lang w:val="it-IT"/>
        </w:rPr>
      </w:pPr>
    </w:p>
    <w:p w14:paraId="329D3EE3" w14:textId="77777777" w:rsidR="0008414D" w:rsidRPr="003F471F" w:rsidRDefault="0008414D" w:rsidP="0007218F">
      <w:pPr>
        <w:rPr>
          <w:lang w:val="it-IT"/>
        </w:rPr>
      </w:pPr>
      <w:r w:rsidRPr="003F471F">
        <w:rPr>
          <w:rFonts w:eastAsia="Calibri" w:cs="Tahoma"/>
          <w:szCs w:val="20"/>
          <w:lang w:val="it-IT"/>
        </w:rPr>
        <w:t xml:space="preserve">Le società che abbiano stipulato Contratti Multilicenza con copertura Software Assurance attiva per il sistema operativo desktop Windows o licenze attive per VDA o Windows Intune </w:t>
      </w:r>
      <w:r w:rsidRPr="003F471F">
        <w:rPr>
          <w:rFonts w:cs="Tahoma"/>
          <w:szCs w:val="18"/>
          <w:lang w:val="it-IT"/>
        </w:rPr>
        <w:t xml:space="preserve">(Per Dispositivo) </w:t>
      </w:r>
      <w:r w:rsidRPr="003F471F">
        <w:rPr>
          <w:rFonts w:eastAsia="Calibri" w:cs="Tahoma"/>
          <w:szCs w:val="20"/>
          <w:lang w:val="it-IT"/>
        </w:rPr>
        <w:t xml:space="preserve">sono idonee per questo vantaggio. Le società che accedono a questo vantaggio </w:t>
      </w:r>
      <w:r w:rsidRPr="003F471F">
        <w:rPr>
          <w:rFonts w:eastAsia="Calibri" w:cs="Tahoma"/>
          <w:color w:val="000000"/>
          <w:szCs w:val="20"/>
          <w:lang w:val="it-IT"/>
        </w:rPr>
        <w:t xml:space="preserve">in base a </w:t>
      </w:r>
      <w:r w:rsidRPr="003F471F">
        <w:rPr>
          <w:rFonts w:eastAsia="Calibri" w:cs="Tahoma"/>
          <w:szCs w:val="20"/>
          <w:lang w:val="it-IT"/>
        </w:rPr>
        <w:t>VDA dovranno disporre di un sistema operativo qualificante</w:t>
      </w:r>
      <w:r w:rsidRPr="003F471F">
        <w:rPr>
          <w:rFonts w:eastAsia="Calibri" w:cs="Tahoma"/>
          <w:color w:val="1F497D"/>
          <w:szCs w:val="20"/>
          <w:lang w:val="it-IT"/>
        </w:rPr>
        <w:t xml:space="preserve"> </w:t>
      </w:r>
      <w:r w:rsidRPr="003F471F">
        <w:rPr>
          <w:rFonts w:eastAsia="Calibri" w:cs="Tahoma"/>
          <w:color w:val="000000"/>
          <w:szCs w:val="20"/>
          <w:lang w:val="it-IT"/>
        </w:rPr>
        <w:t xml:space="preserve">installato nel dispositivo con licenza </w:t>
      </w:r>
      <w:r w:rsidRPr="003F471F">
        <w:rPr>
          <w:rFonts w:eastAsia="Calibri" w:cs="Tahoma"/>
          <w:szCs w:val="20"/>
          <w:lang w:val="it-IT"/>
        </w:rPr>
        <w:t xml:space="preserve">in base alla tabella dei Sistemi Operativi Qualificanti come descritto alla sezione </w:t>
      </w:r>
      <w:r w:rsidRPr="003F471F">
        <w:rPr>
          <w:rFonts w:eastAsia="Calibri" w:cs="Tahoma"/>
          <w:color w:val="000000"/>
          <w:szCs w:val="20"/>
          <w:lang w:val="it-IT"/>
        </w:rPr>
        <w:t xml:space="preserve">Note del Prodotto, </w:t>
      </w:r>
      <w:r w:rsidRPr="003F471F">
        <w:rPr>
          <w:rFonts w:eastAsia="Calibri" w:cs="Tahoma"/>
          <w:szCs w:val="20"/>
          <w:lang w:val="it-IT"/>
        </w:rPr>
        <w:t>Pool di Sistemi del presente documento.</w:t>
      </w:r>
      <w:r w:rsidR="00E34ED3" w:rsidRPr="003F471F">
        <w:rPr>
          <w:rFonts w:eastAsia="Calibri" w:cs="Tahoma"/>
          <w:szCs w:val="20"/>
          <w:lang w:val="it-IT"/>
        </w:rPr>
        <w:t xml:space="preserve"> </w:t>
      </w:r>
    </w:p>
    <w:p w14:paraId="55825864" w14:textId="77777777" w:rsidR="0008414D" w:rsidRPr="003F471F" w:rsidRDefault="0008414D" w:rsidP="0007218F">
      <w:pPr>
        <w:rPr>
          <w:lang w:val="it-IT"/>
        </w:rPr>
      </w:pPr>
    </w:p>
    <w:p w14:paraId="0485CA93" w14:textId="77777777" w:rsidR="0008414D" w:rsidRPr="003F471F" w:rsidRDefault="0008414D" w:rsidP="0007218F">
      <w:pPr>
        <w:rPr>
          <w:lang w:val="it-IT"/>
        </w:rPr>
      </w:pPr>
      <w:r w:rsidRPr="003F471F">
        <w:rPr>
          <w:rFonts w:eastAsia="Calibri" w:cs="Tahoma"/>
          <w:szCs w:val="20"/>
          <w:lang w:val="it-IT"/>
        </w:rPr>
        <w:t>Windows Thin PC è una soluzione basata sul Sistema Operativo Windows con un footprint più piccolo, progettata per società che desiderano ridefinire i PC esistenti</w:t>
      </w:r>
      <w:r w:rsidRPr="003F471F">
        <w:rPr>
          <w:rFonts w:eastAsia="Calibri" w:cs="Tahoma"/>
          <w:color w:val="1F497D"/>
          <w:szCs w:val="20"/>
          <w:lang w:val="it-IT"/>
        </w:rPr>
        <w:t xml:space="preserve"> </w:t>
      </w:r>
      <w:r w:rsidRPr="003F471F">
        <w:rPr>
          <w:rFonts w:eastAsia="Calibri" w:cs="Tahoma"/>
          <w:szCs w:val="20"/>
          <w:lang w:val="it-IT"/>
        </w:rPr>
        <w:t>in grado di eseguire Windows 8</w:t>
      </w:r>
      <w:r w:rsidR="00B76EEE">
        <w:rPr>
          <w:rFonts w:eastAsia="Calibri" w:cs="Tahoma"/>
          <w:szCs w:val="20"/>
          <w:lang w:val="it-IT"/>
        </w:rPr>
        <w:t>.1</w:t>
      </w:r>
      <w:r w:rsidRPr="003F471F">
        <w:rPr>
          <w:rFonts w:eastAsia="Calibri" w:cs="Tahoma"/>
          <w:szCs w:val="20"/>
          <w:lang w:val="it-IT"/>
        </w:rPr>
        <w:t xml:space="preserve"> per la connessione a un desktop centralizzato senza dover acquistare nuovo hardware thin client. Le società idonee potranno utilizzare Windows Thin PC al posto di istanze di sistemi operativi desktop Windows che sono autorizzate a utilizzare in base alla copertura Software Assurance Windows, a licenze per Windows Intune </w:t>
      </w:r>
      <w:r w:rsidRPr="003F471F">
        <w:rPr>
          <w:rFonts w:cs="Tahoma"/>
          <w:szCs w:val="18"/>
          <w:lang w:val="it-IT"/>
        </w:rPr>
        <w:t>(Per Dispositivo)</w:t>
      </w:r>
      <w:r w:rsidRPr="003F471F">
        <w:rPr>
          <w:rFonts w:eastAsia="Calibri" w:cs="Tahoma"/>
          <w:color w:val="000000"/>
          <w:szCs w:val="20"/>
          <w:lang w:val="it-IT"/>
        </w:rPr>
        <w:t xml:space="preserve"> o per Windows </w:t>
      </w:r>
      <w:r w:rsidRPr="003F471F">
        <w:rPr>
          <w:rFonts w:eastAsia="Calibri" w:cs="Tahoma"/>
          <w:szCs w:val="20"/>
          <w:lang w:val="it-IT"/>
        </w:rPr>
        <w:t>VDA. L</w:t>
      </w:r>
      <w:r w:rsidR="001C4212" w:rsidRPr="003F471F">
        <w:rPr>
          <w:rFonts w:eastAsia="Calibri" w:cs="Tahoma"/>
          <w:szCs w:val="20"/>
          <w:lang w:val="it-IT"/>
        </w:rPr>
        <w:t>’</w:t>
      </w:r>
      <w:r w:rsidRPr="003F471F">
        <w:rPr>
          <w:rFonts w:eastAsia="Calibri" w:cs="Tahoma"/>
          <w:szCs w:val="20"/>
          <w:lang w:val="it-IT"/>
        </w:rPr>
        <w:t>utilizzo di Windows Thin PC da parte delle società è soggetto alle condizioni del rispettivo contratto di licenza.</w:t>
      </w:r>
    </w:p>
    <w:p w14:paraId="1BB91F81" w14:textId="77777777" w:rsidR="00023FE7" w:rsidRPr="003F471F" w:rsidRDefault="00023FE7" w:rsidP="0007218F">
      <w:pPr>
        <w:rPr>
          <w:lang w:val="it-IT"/>
        </w:rPr>
      </w:pPr>
    </w:p>
    <w:p w14:paraId="27FA50E3" w14:textId="77777777" w:rsidR="00F30075" w:rsidRPr="003F471F" w:rsidRDefault="00F30075" w:rsidP="0007218F">
      <w:pPr>
        <w:outlineLvl w:val="2"/>
        <w:rPr>
          <w:lang w:val="it-IT"/>
        </w:rPr>
      </w:pPr>
      <w:bookmarkStart w:id="897" w:name="_Toc291204568"/>
      <w:r w:rsidRPr="003F471F">
        <w:rPr>
          <w:rFonts w:cs="Tahoma"/>
          <w:b/>
          <w:sz w:val="24"/>
          <w:szCs w:val="20"/>
          <w:lang w:val="it-IT"/>
        </w:rPr>
        <w:t>Supporto Hotfix Esteso</w:t>
      </w:r>
      <w:bookmarkEnd w:id="897"/>
    </w:p>
    <w:p w14:paraId="48FDD0B5" w14:textId="77777777" w:rsidR="00F30075" w:rsidRPr="003F471F" w:rsidRDefault="00F30075" w:rsidP="0007218F">
      <w:pPr>
        <w:outlineLvl w:val="2"/>
        <w:rPr>
          <w:lang w:val="it-IT"/>
        </w:rPr>
      </w:pPr>
    </w:p>
    <w:p w14:paraId="4C3C8B17" w14:textId="77777777" w:rsidR="00F30075" w:rsidRPr="003F471F" w:rsidRDefault="00F30075" w:rsidP="00F30075">
      <w:pPr>
        <w:rPr>
          <w:lang w:val="it-IT"/>
        </w:rPr>
      </w:pPr>
      <w:r w:rsidRPr="003F471F">
        <w:rPr>
          <w:rFonts w:cs="Tahoma"/>
          <w:lang w:val="it-IT"/>
        </w:rPr>
        <w:t>Supporto Hotfix Esteso è disponibile per le società seguenti:</w:t>
      </w:r>
    </w:p>
    <w:p w14:paraId="49B0DB4E" w14:textId="77777777" w:rsidR="0007218F" w:rsidRPr="003F471F" w:rsidRDefault="0007218F" w:rsidP="00F30075">
      <w:pPr>
        <w:rPr>
          <w:lang w:val="it-IT"/>
        </w:rPr>
      </w:pPr>
    </w:p>
    <w:p w14:paraId="20DA1308" w14:textId="77777777" w:rsidR="00F30075" w:rsidRPr="003F471F" w:rsidRDefault="00F30075" w:rsidP="00346F4B">
      <w:pPr>
        <w:numPr>
          <w:ilvl w:val="0"/>
          <w:numId w:val="48"/>
        </w:numPr>
        <w:spacing w:after="60"/>
        <w:ind w:left="1440"/>
        <w:contextualSpacing/>
        <w:jc w:val="both"/>
        <w:rPr>
          <w:lang w:val="it-IT"/>
        </w:rPr>
      </w:pPr>
      <w:r w:rsidRPr="003F471F">
        <w:rPr>
          <w:rFonts w:eastAsia="Calibri" w:cs="Tahoma"/>
          <w:szCs w:val="18"/>
          <w:lang w:val="it-IT"/>
        </w:rPr>
        <w:t>Le società che non dispongono di Contratti Academic Select, Select Plus for Academic, Campus e</w:t>
      </w:r>
      <w:r w:rsidR="00147698" w:rsidRPr="003F471F">
        <w:rPr>
          <w:rFonts w:eastAsia="Calibri" w:cs="Tahoma"/>
          <w:szCs w:val="18"/>
          <w:lang w:val="it-IT"/>
        </w:rPr>
        <w:t> </w:t>
      </w:r>
      <w:r w:rsidRPr="003F471F">
        <w:rPr>
          <w:rFonts w:eastAsia="Calibri" w:cs="Tahoma"/>
          <w:szCs w:val="18"/>
          <w:lang w:val="it-IT"/>
        </w:rPr>
        <w:t>School e Open Value Subscription - Education Solutions, ma hanno la copertura Partecipazione a</w:t>
      </w:r>
      <w:r w:rsidR="00147698" w:rsidRPr="003F471F">
        <w:rPr>
          <w:rFonts w:eastAsia="Calibri" w:cs="Tahoma"/>
          <w:szCs w:val="18"/>
          <w:lang w:val="it-IT"/>
        </w:rPr>
        <w:t> </w:t>
      </w:r>
      <w:r w:rsidRPr="003F471F">
        <w:rPr>
          <w:rFonts w:eastAsia="Calibri" w:cs="Tahoma"/>
          <w:szCs w:val="18"/>
          <w:lang w:val="it-IT"/>
        </w:rPr>
        <w:t xml:space="preserve">Software Assurance per il Pool di Applicazioni si qualificano per il Supporto Hotfix Esteso per i prodotti del pool di Applicazioni. </w:t>
      </w:r>
    </w:p>
    <w:p w14:paraId="6918EF9F" w14:textId="77777777" w:rsidR="00F30075" w:rsidRPr="00B76EEE" w:rsidRDefault="00B76EEE" w:rsidP="00346F4B">
      <w:pPr>
        <w:numPr>
          <w:ilvl w:val="0"/>
          <w:numId w:val="48"/>
        </w:numPr>
        <w:spacing w:after="60"/>
        <w:ind w:left="1440"/>
        <w:jc w:val="both"/>
        <w:rPr>
          <w:szCs w:val="18"/>
          <w:lang w:val="it-IT"/>
        </w:rPr>
      </w:pPr>
      <w:r w:rsidRPr="00B76EEE">
        <w:rPr>
          <w:rFonts w:cs="Tahoma"/>
          <w:szCs w:val="18"/>
          <w:lang w:val="it-IT"/>
        </w:rPr>
        <w:t>Le società che non sono società con contratti Academic Select, Select Plus for Academic, Campus e School e Open Value Subscription - Education Solutions, ma che hanno la copertura Partecipazione a Software Assurance per pool di Sistemi si qualificano per il Supporto Hotfix Esteso per il sistema operativo desktop Windows e/o il sistema operativo integrato Windows (con copertura Partecipazione a Software Assurance per un prodotto Windows Embedded).</w:t>
      </w:r>
    </w:p>
    <w:p w14:paraId="7CAD9F2B" w14:textId="77777777" w:rsidR="00F30075" w:rsidRPr="003F471F" w:rsidRDefault="00F30075" w:rsidP="00346F4B">
      <w:pPr>
        <w:numPr>
          <w:ilvl w:val="0"/>
          <w:numId w:val="48"/>
        </w:numPr>
        <w:spacing w:after="60"/>
        <w:ind w:left="1440"/>
        <w:jc w:val="both"/>
        <w:rPr>
          <w:lang w:val="it-IT"/>
        </w:rPr>
      </w:pPr>
      <w:r w:rsidRPr="003F471F">
        <w:rPr>
          <w:rFonts w:cs="Tahoma"/>
          <w:szCs w:val="18"/>
          <w:lang w:val="it-IT"/>
        </w:rPr>
        <w:t>Le società che dispongono di abbonamenti per Windows Intune (Per Dispositivo) si qualificano per</w:t>
      </w:r>
      <w:r w:rsidR="00147698" w:rsidRPr="003F471F">
        <w:rPr>
          <w:rFonts w:cs="Tahoma"/>
          <w:szCs w:val="18"/>
          <w:lang w:val="it-IT"/>
        </w:rPr>
        <w:t> </w:t>
      </w:r>
      <w:r w:rsidRPr="003F471F">
        <w:rPr>
          <w:rFonts w:cs="Tahoma"/>
          <w:szCs w:val="18"/>
          <w:lang w:val="it-IT"/>
        </w:rPr>
        <w:t>il Supporto Hotfix Esteso per il sistema operativo desktop Windows.</w:t>
      </w:r>
    </w:p>
    <w:p w14:paraId="2BC030DB" w14:textId="77777777" w:rsidR="0007218F" w:rsidRPr="0058047D" w:rsidRDefault="007627B7" w:rsidP="00346F4B">
      <w:pPr>
        <w:numPr>
          <w:ilvl w:val="0"/>
          <w:numId w:val="48"/>
        </w:numPr>
        <w:spacing w:after="60"/>
        <w:ind w:left="1440"/>
        <w:contextualSpacing/>
      </w:pPr>
      <w:r w:rsidRPr="003F471F">
        <w:rPr>
          <w:rFonts w:eastAsia="Calibri" w:cs="Tahoma"/>
          <w:szCs w:val="18"/>
          <w:lang w:val="it-IT"/>
        </w:rPr>
        <w:t>Le società (che non sono società Academic) in possesso di Software Assurance per almeno un prodotto server si qualificano per il Supporto Hotfix Esteso per i prodotti Server.</w:t>
      </w:r>
      <w:r w:rsidR="00E34ED3" w:rsidRPr="003F471F">
        <w:rPr>
          <w:rFonts w:eastAsia="Calibri" w:cs="Tahoma"/>
          <w:szCs w:val="18"/>
          <w:lang w:val="it-IT"/>
        </w:rPr>
        <w:t xml:space="preserve"> </w:t>
      </w:r>
      <w:r w:rsidRPr="0058047D">
        <w:rPr>
          <w:rFonts w:cs="Tahoma"/>
          <w:szCs w:val="18"/>
        </w:rPr>
        <w:t>I seguenti prodotti server rientrano nella copertura:</w:t>
      </w:r>
    </w:p>
    <w:p w14:paraId="071EFB55" w14:textId="77777777" w:rsidR="007627B7" w:rsidRPr="0058047D" w:rsidRDefault="007627B7" w:rsidP="00346F4B">
      <w:pPr>
        <w:numPr>
          <w:ilvl w:val="2"/>
          <w:numId w:val="48"/>
        </w:numPr>
        <w:spacing w:after="60"/>
        <w:ind w:left="1980"/>
        <w:contextualSpacing/>
      </w:pPr>
      <w:r w:rsidRPr="0058047D">
        <w:rPr>
          <w:rFonts w:cs="Tahoma"/>
          <w:iCs/>
          <w:color w:val="000000"/>
          <w:szCs w:val="18"/>
        </w:rPr>
        <w:t>Microsoft Exchange Server, Microsoft SQL Server, System Center 2012 e Windows Server.</w:t>
      </w:r>
    </w:p>
    <w:p w14:paraId="4A9CA114" w14:textId="77777777" w:rsidR="0007218F" w:rsidRPr="0058047D" w:rsidRDefault="0007218F" w:rsidP="0007218F">
      <w:pPr>
        <w:spacing w:after="200" w:line="276" w:lineRule="auto"/>
        <w:contextualSpacing/>
      </w:pPr>
    </w:p>
    <w:p w14:paraId="75DC54C1" w14:textId="77777777" w:rsidR="00023FE7" w:rsidRPr="003F471F" w:rsidRDefault="00023FE7">
      <w:pPr>
        <w:rPr>
          <w:lang w:val="it-IT"/>
        </w:rPr>
      </w:pPr>
      <w:r w:rsidRPr="003F471F">
        <w:rPr>
          <w:rFonts w:cs="Tahoma"/>
          <w:szCs w:val="18"/>
          <w:lang w:val="it-IT"/>
        </w:rPr>
        <w:t>Il Supporto Hotfix Esteso è un beneficio per versioni software più vecchie che abbiano effettuato la transizione dal Supporto Mainstream a quello Esteso.</w:t>
      </w:r>
      <w:r w:rsidR="00E34ED3" w:rsidRPr="003F471F">
        <w:rPr>
          <w:rFonts w:cs="Tahoma"/>
          <w:szCs w:val="18"/>
          <w:lang w:val="it-IT"/>
        </w:rPr>
        <w:t xml:space="preserve"> </w:t>
      </w:r>
      <w:r w:rsidRPr="003F471F">
        <w:rPr>
          <w:rFonts w:cs="Tahoma"/>
          <w:szCs w:val="18"/>
          <w:lang w:val="it-IT"/>
        </w:rPr>
        <w:t>I corrispettivi annuali normalmente addebitati nel quadro del contratto di Supporto Esteso sono sospesi durante il periodo di validità della copertura Software Server per le società idonee a</w:t>
      </w:r>
      <w:r w:rsidR="00147698" w:rsidRPr="003F471F">
        <w:rPr>
          <w:rFonts w:cs="Tahoma"/>
          <w:szCs w:val="18"/>
          <w:lang w:val="it-IT"/>
        </w:rPr>
        <w:t> </w:t>
      </w:r>
      <w:r w:rsidRPr="003F471F">
        <w:rPr>
          <w:rFonts w:cs="Tahoma"/>
          <w:szCs w:val="18"/>
          <w:lang w:val="it-IT"/>
        </w:rPr>
        <w:t>ricevere questo beneficio Software Assurance. Le società idonee a ricevere questo beneficio non avranno l</w:t>
      </w:r>
      <w:r w:rsidR="001C4212" w:rsidRPr="003F471F">
        <w:rPr>
          <w:rFonts w:cs="Tahoma"/>
          <w:szCs w:val="18"/>
          <w:lang w:val="it-IT"/>
        </w:rPr>
        <w:t>’</w:t>
      </w:r>
      <w:r w:rsidRPr="003F471F">
        <w:rPr>
          <w:rFonts w:cs="Tahoma"/>
          <w:szCs w:val="18"/>
          <w:lang w:val="it-IT"/>
        </w:rPr>
        <w:t>obbligo di abbonarsi entro un periodo di 90 giorni di transizione del prodotto al Supporto Esteso.</w:t>
      </w:r>
      <w:r w:rsidR="00E34ED3" w:rsidRPr="003F471F">
        <w:rPr>
          <w:rFonts w:cs="Tahoma"/>
          <w:szCs w:val="18"/>
          <w:lang w:val="it-IT"/>
        </w:rPr>
        <w:t xml:space="preserve"> </w:t>
      </w:r>
    </w:p>
    <w:p w14:paraId="20AC5DCF" w14:textId="77777777" w:rsidR="00023FE7" w:rsidRPr="003F471F" w:rsidRDefault="00023FE7">
      <w:pPr>
        <w:rPr>
          <w:lang w:val="it-IT"/>
        </w:rPr>
      </w:pPr>
    </w:p>
    <w:p w14:paraId="0F97A50B" w14:textId="77777777" w:rsidR="00023FE7" w:rsidRPr="003F471F" w:rsidRDefault="00023FE7">
      <w:pPr>
        <w:rPr>
          <w:lang w:val="it-IT"/>
        </w:rPr>
      </w:pPr>
      <w:r w:rsidRPr="003F471F">
        <w:rPr>
          <w:rFonts w:cs="Tahoma"/>
          <w:szCs w:val="18"/>
          <w:lang w:val="it-IT"/>
        </w:rPr>
        <w:t>Le società sono comunque responsabili dei corrispettivi delle singole Hotfix.</w:t>
      </w:r>
      <w:r w:rsidR="00E34ED3" w:rsidRPr="003F471F">
        <w:rPr>
          <w:rFonts w:cs="Tahoma"/>
          <w:szCs w:val="18"/>
          <w:lang w:val="it-IT"/>
        </w:rPr>
        <w:t xml:space="preserve"> </w:t>
      </w:r>
      <w:r w:rsidRPr="003F471F">
        <w:rPr>
          <w:rFonts w:cs="Tahoma"/>
          <w:szCs w:val="18"/>
          <w:lang w:val="it-IT"/>
        </w:rPr>
        <w:t>Un contratto Premier o Essential costituisce condizione preliminare per l</w:t>
      </w:r>
      <w:r w:rsidR="001C4212" w:rsidRPr="003F471F">
        <w:rPr>
          <w:rFonts w:cs="Tahoma"/>
          <w:szCs w:val="18"/>
          <w:lang w:val="it-IT"/>
        </w:rPr>
        <w:t>’</w:t>
      </w:r>
      <w:r w:rsidRPr="003F471F">
        <w:rPr>
          <w:rFonts w:cs="Tahoma"/>
          <w:szCs w:val="18"/>
          <w:lang w:val="it-IT"/>
        </w:rPr>
        <w:t>idoneità.</w:t>
      </w:r>
    </w:p>
    <w:p w14:paraId="47A35E7A" w14:textId="77777777" w:rsidR="00D87E94" w:rsidRPr="003F471F" w:rsidRDefault="00D87E94" w:rsidP="00D87E94">
      <w:pPr>
        <w:rPr>
          <w:lang w:val="it-IT"/>
        </w:rPr>
      </w:pPr>
    </w:p>
    <w:p w14:paraId="616C5319" w14:textId="77777777" w:rsidR="00023FE7" w:rsidRPr="0058047D" w:rsidRDefault="00023FE7">
      <w:pPr>
        <w:pStyle w:val="Heading3"/>
      </w:pPr>
      <w:bookmarkStart w:id="898" w:name="_Toc336338244"/>
      <w:bookmarkStart w:id="899" w:name="_Toc371663638"/>
      <w:r w:rsidRPr="0058047D">
        <w:rPr>
          <w:rFonts w:ascii="Tahoma" w:hAnsi="Tahoma" w:cs="Tahoma"/>
          <w:sz w:val="24"/>
        </w:rPr>
        <w:t>Microsoft Desktop Optimization Pack per Software Assurance</w:t>
      </w:r>
      <w:bookmarkEnd w:id="898"/>
      <w:bookmarkEnd w:id="899"/>
    </w:p>
    <w:p w14:paraId="13BCCBB0" w14:textId="77777777" w:rsidR="00023FE7" w:rsidRPr="0058047D" w:rsidRDefault="00023FE7"/>
    <w:p w14:paraId="4CDEDE1A" w14:textId="77777777" w:rsidR="00F30075" w:rsidRPr="003F471F" w:rsidRDefault="00F30075" w:rsidP="00F30075">
      <w:pPr>
        <w:rPr>
          <w:lang w:val="it-IT"/>
        </w:rPr>
      </w:pPr>
      <w:r w:rsidRPr="003F471F">
        <w:rPr>
          <w:rFonts w:eastAsia="MS PGothic" w:cs="Tahoma"/>
          <w:szCs w:val="18"/>
          <w:lang w:val="it-IT"/>
        </w:rPr>
        <w:t>Microsoft Desktop Optimization Pack per Software Assurance (MDOP) è un acquisto opzionale a disposizione unicamente delle società che dispongono delle seguenti caratteristiche:</w:t>
      </w:r>
    </w:p>
    <w:p w14:paraId="1CFB6A02" w14:textId="77777777" w:rsidR="00E762F8" w:rsidRPr="003F471F" w:rsidRDefault="00E762F8" w:rsidP="00F30075">
      <w:pPr>
        <w:rPr>
          <w:lang w:val="it-IT"/>
        </w:rPr>
      </w:pPr>
    </w:p>
    <w:p w14:paraId="741E8B0A" w14:textId="77777777" w:rsidR="00F30075" w:rsidRPr="003F471F" w:rsidRDefault="00F30075" w:rsidP="00346F4B">
      <w:pPr>
        <w:numPr>
          <w:ilvl w:val="0"/>
          <w:numId w:val="47"/>
        </w:numPr>
        <w:spacing w:after="60" w:line="276" w:lineRule="auto"/>
        <w:ind w:left="1440" w:hanging="274"/>
        <w:rPr>
          <w:lang w:val="it-IT"/>
        </w:rPr>
      </w:pPr>
      <w:r w:rsidRPr="003F471F">
        <w:rPr>
          <w:rFonts w:eastAsia="MS PGothic" w:cs="Tahoma"/>
          <w:szCs w:val="18"/>
          <w:lang w:val="it-IT"/>
        </w:rPr>
        <w:t>copertura Software Assurance Attiva per le licenze del sistema operativo desktop Windows;</w:t>
      </w:r>
    </w:p>
    <w:p w14:paraId="52C9074D" w14:textId="77777777" w:rsidR="00F30075" w:rsidRPr="003F471F" w:rsidRDefault="00F30075" w:rsidP="00346F4B">
      <w:pPr>
        <w:numPr>
          <w:ilvl w:val="0"/>
          <w:numId w:val="47"/>
        </w:numPr>
        <w:spacing w:after="60" w:line="276" w:lineRule="auto"/>
        <w:ind w:left="1440" w:hanging="274"/>
        <w:rPr>
          <w:lang w:val="it-IT"/>
        </w:rPr>
      </w:pPr>
      <w:r w:rsidRPr="003F471F">
        <w:rPr>
          <w:rFonts w:eastAsia="MS PGothic" w:cs="Tahoma"/>
          <w:szCs w:val="18"/>
          <w:lang w:val="it-IT"/>
        </w:rPr>
        <w:t>sottoscrizioni attive per Windows Virtual Desktop Access o</w:t>
      </w:r>
    </w:p>
    <w:p w14:paraId="0529FACE" w14:textId="77777777" w:rsidR="00F30075" w:rsidRPr="003F471F" w:rsidRDefault="00F30075" w:rsidP="00346F4B">
      <w:pPr>
        <w:numPr>
          <w:ilvl w:val="0"/>
          <w:numId w:val="47"/>
        </w:numPr>
        <w:spacing w:after="60" w:line="276" w:lineRule="auto"/>
        <w:ind w:left="1440" w:hanging="274"/>
        <w:rPr>
          <w:lang w:val="it-IT"/>
        </w:rPr>
      </w:pPr>
      <w:r w:rsidRPr="003F471F">
        <w:rPr>
          <w:rFonts w:eastAsia="MS PGothic" w:cs="Tahoma"/>
          <w:szCs w:val="18"/>
          <w:lang w:val="it-IT"/>
        </w:rPr>
        <w:t xml:space="preserve">sottoscrizioni attive per Windows Intune </w:t>
      </w:r>
      <w:r w:rsidRPr="003F471F">
        <w:rPr>
          <w:rFonts w:cs="Tahoma"/>
          <w:szCs w:val="18"/>
          <w:lang w:val="it-IT"/>
        </w:rPr>
        <w:t>(Per Dispositivo) o</w:t>
      </w:r>
    </w:p>
    <w:p w14:paraId="36875E8B" w14:textId="77777777" w:rsidR="00421D4A" w:rsidRPr="003F471F" w:rsidRDefault="00421D4A" w:rsidP="00346F4B">
      <w:pPr>
        <w:numPr>
          <w:ilvl w:val="0"/>
          <w:numId w:val="47"/>
        </w:numPr>
        <w:spacing w:after="200" w:line="276" w:lineRule="auto"/>
        <w:ind w:left="1440" w:hanging="270"/>
        <w:rPr>
          <w:lang w:val="it-IT"/>
        </w:rPr>
      </w:pPr>
      <w:r w:rsidRPr="003F471F">
        <w:rPr>
          <w:rFonts w:eastAsia="MS PGothic" w:cs="Tahoma"/>
          <w:color w:val="000000"/>
          <w:szCs w:val="18"/>
          <w:lang w:val="it-IT"/>
        </w:rPr>
        <w:t xml:space="preserve">sottoscrizioni attive per la </w:t>
      </w:r>
      <w:r w:rsidRPr="003F471F">
        <w:rPr>
          <w:rFonts w:eastAsia="MS PGothic" w:cs="Tahoma"/>
          <w:szCs w:val="18"/>
          <w:lang w:val="it-IT"/>
        </w:rPr>
        <w:t>Licenza “Subscription” per Windows Companion</w:t>
      </w:r>
    </w:p>
    <w:p w14:paraId="0242CCB2" w14:textId="77777777" w:rsidR="00023FE7" w:rsidRPr="003F471F" w:rsidRDefault="00023FE7">
      <w:pPr>
        <w:rPr>
          <w:lang w:val="it-IT"/>
        </w:rPr>
      </w:pPr>
      <w:r w:rsidRPr="003F471F">
        <w:rPr>
          <w:rFonts w:eastAsia="MS PGothic" w:cs="Tahoma"/>
          <w:color w:val="000000"/>
          <w:szCs w:val="18"/>
          <w:lang w:val="it-IT"/>
        </w:rPr>
        <w:t>Per ulteriori informazioni su questo prodotto fare riferimento alle Note del Prodotto nella sezione relativa ai gruppi di sistemi del presente documento. MDOP non è disponibile per le licenze per il Sistema Operativo Windows Embedded.</w:t>
      </w:r>
    </w:p>
    <w:p w14:paraId="57B3861B" w14:textId="77777777" w:rsidR="00147698" w:rsidRPr="003F471F" w:rsidRDefault="00147698">
      <w:pPr>
        <w:rPr>
          <w:lang w:val="it-IT"/>
        </w:rPr>
      </w:pPr>
    </w:p>
    <w:p w14:paraId="1D2C918E" w14:textId="77777777" w:rsidR="002D7B73" w:rsidRPr="003F471F" w:rsidRDefault="008C0608" w:rsidP="00AF1D88">
      <w:pPr>
        <w:keepNext/>
        <w:rPr>
          <w:lang w:val="it-IT"/>
        </w:rPr>
      </w:pPr>
      <w:r w:rsidRPr="003F471F">
        <w:rPr>
          <w:rFonts w:cs="Tahoma"/>
          <w:b/>
          <w:color w:val="000000"/>
          <w:sz w:val="24"/>
          <w:szCs w:val="18"/>
          <w:lang w:val="it-IT"/>
        </w:rPr>
        <w:t>Diritti di Virtualizzazione per i Desktop con Licenza Windows</w:t>
      </w:r>
    </w:p>
    <w:p w14:paraId="51D8B39A" w14:textId="77777777" w:rsidR="0043735F" w:rsidRPr="003F471F" w:rsidRDefault="0043735F" w:rsidP="008C0608">
      <w:pPr>
        <w:rPr>
          <w:lang w:val="it-IT"/>
        </w:rPr>
      </w:pPr>
    </w:p>
    <w:p w14:paraId="016EEB93" w14:textId="77777777" w:rsidR="008C0608" w:rsidRPr="003F471F" w:rsidRDefault="008C0608" w:rsidP="008C0608">
      <w:pPr>
        <w:rPr>
          <w:lang w:val="it-IT"/>
        </w:rPr>
      </w:pPr>
      <w:r w:rsidRPr="003F471F">
        <w:rPr>
          <w:rFonts w:cs="Tahoma"/>
          <w:color w:val="000000"/>
          <w:szCs w:val="18"/>
          <w:lang w:val="it-IT"/>
        </w:rPr>
        <w:t>Le società che hanno stipulato Contratti Multilicenza dispongono di un certo grado di flessibilità in merito alla modalità di distribuzione di Windows 8</w:t>
      </w:r>
      <w:r w:rsidR="00B76EEE">
        <w:rPr>
          <w:rFonts w:cs="Tahoma"/>
          <w:color w:val="000000"/>
          <w:szCs w:val="18"/>
          <w:lang w:val="it-IT"/>
        </w:rPr>
        <w:t>.1</w:t>
      </w:r>
      <w:r w:rsidRPr="003F471F">
        <w:rPr>
          <w:rFonts w:cs="Tahoma"/>
          <w:color w:val="000000"/>
          <w:szCs w:val="18"/>
          <w:lang w:val="it-IT"/>
        </w:rPr>
        <w:t xml:space="preserve"> tra le diverse organizzazioni.</w:t>
      </w:r>
      <w:r w:rsidR="00E34ED3" w:rsidRPr="003F471F">
        <w:rPr>
          <w:rFonts w:cs="Tahoma"/>
          <w:color w:val="000000"/>
          <w:szCs w:val="18"/>
          <w:lang w:val="it-IT"/>
        </w:rPr>
        <w:t xml:space="preserve"> </w:t>
      </w:r>
    </w:p>
    <w:p w14:paraId="1750049A" w14:textId="77777777" w:rsidR="008C0608" w:rsidRPr="003F471F" w:rsidRDefault="008C0608" w:rsidP="008C0608">
      <w:pPr>
        <w:jc w:val="both"/>
        <w:rPr>
          <w:lang w:val="it-IT"/>
        </w:rPr>
      </w:pPr>
      <w:r w:rsidRPr="003F471F">
        <w:rPr>
          <w:rFonts w:cs="Tahoma"/>
          <w:szCs w:val="18"/>
          <w:lang w:val="it-IT"/>
        </w:rPr>
        <w:t>Le società che dispongono di una o entrambe le seguenti caratteristiche potranno usufruire dei diritti sull</w:t>
      </w:r>
      <w:r w:rsidR="001C4212" w:rsidRPr="003F471F">
        <w:rPr>
          <w:rFonts w:cs="Tahoma"/>
          <w:szCs w:val="18"/>
          <w:lang w:val="it-IT"/>
        </w:rPr>
        <w:t>’</w:t>
      </w:r>
      <w:r w:rsidRPr="003F471F">
        <w:rPr>
          <w:rFonts w:cs="Tahoma"/>
          <w:szCs w:val="18"/>
          <w:lang w:val="it-IT"/>
        </w:rPr>
        <w:t>utilizzo della</w:t>
      </w:r>
      <w:r w:rsidR="00147698" w:rsidRPr="003F471F">
        <w:rPr>
          <w:rFonts w:cs="Tahoma"/>
          <w:szCs w:val="18"/>
          <w:lang w:val="it-IT"/>
        </w:rPr>
        <w:t> </w:t>
      </w:r>
      <w:r w:rsidRPr="003F471F">
        <w:rPr>
          <w:rFonts w:cs="Tahoma"/>
          <w:szCs w:val="18"/>
          <w:lang w:val="it-IT"/>
        </w:rPr>
        <w:t>virtualizzazione:</w:t>
      </w:r>
    </w:p>
    <w:p w14:paraId="73CD4323" w14:textId="77777777" w:rsidR="00BF1889" w:rsidRPr="003F471F" w:rsidRDefault="00BF1889" w:rsidP="008C0608">
      <w:pPr>
        <w:jc w:val="both"/>
        <w:rPr>
          <w:lang w:val="it-IT"/>
        </w:rPr>
      </w:pPr>
    </w:p>
    <w:p w14:paraId="24958E17" w14:textId="77777777" w:rsidR="00F30075" w:rsidRPr="003F471F" w:rsidRDefault="00F30075" w:rsidP="00346F4B">
      <w:pPr>
        <w:numPr>
          <w:ilvl w:val="0"/>
          <w:numId w:val="39"/>
        </w:numPr>
        <w:spacing w:after="60" w:line="276" w:lineRule="auto"/>
        <w:ind w:left="1440"/>
        <w:rPr>
          <w:lang w:val="it-IT"/>
        </w:rPr>
      </w:pPr>
      <w:r w:rsidRPr="003F471F">
        <w:rPr>
          <w:rFonts w:eastAsia="MS PGothic" w:cs="Tahoma"/>
          <w:szCs w:val="18"/>
          <w:lang w:val="it-IT"/>
        </w:rPr>
        <w:t>copertura Software Assurance Attiva per le licenze del sistema operativo desktop Windows;</w:t>
      </w:r>
    </w:p>
    <w:p w14:paraId="1878C7AC" w14:textId="77777777" w:rsidR="00AC246A" w:rsidRPr="003F471F" w:rsidRDefault="00F30075" w:rsidP="00346F4B">
      <w:pPr>
        <w:numPr>
          <w:ilvl w:val="0"/>
          <w:numId w:val="39"/>
        </w:numPr>
        <w:spacing w:after="60" w:line="276" w:lineRule="auto"/>
        <w:ind w:left="1440"/>
        <w:jc w:val="both"/>
        <w:rPr>
          <w:lang w:val="it-IT"/>
        </w:rPr>
      </w:pPr>
      <w:r w:rsidRPr="003F471F">
        <w:rPr>
          <w:rFonts w:cs="Tahoma"/>
          <w:szCs w:val="18"/>
          <w:lang w:val="it-IT"/>
        </w:rPr>
        <w:t>vantaggio dei Servizi Online fornito insieme agli acquisti di Windows Intune (Per Dispositivo)</w:t>
      </w:r>
    </w:p>
    <w:p w14:paraId="6C90D79D" w14:textId="77777777" w:rsidR="00F30075" w:rsidRPr="003F471F" w:rsidRDefault="00F30075" w:rsidP="00346F4B">
      <w:pPr>
        <w:numPr>
          <w:ilvl w:val="0"/>
          <w:numId w:val="39"/>
        </w:numPr>
        <w:spacing w:after="60" w:line="276" w:lineRule="auto"/>
        <w:ind w:left="1440"/>
        <w:jc w:val="both"/>
        <w:rPr>
          <w:lang w:val="it-IT"/>
        </w:rPr>
      </w:pPr>
      <w:r w:rsidRPr="003F471F">
        <w:rPr>
          <w:rFonts w:cs="Tahoma"/>
          <w:szCs w:val="18"/>
          <w:lang w:val="it-IT"/>
        </w:rPr>
        <w:t>sottoscrizioni attive per Windows Intune (Per Dispositivo)</w:t>
      </w:r>
    </w:p>
    <w:p w14:paraId="0BACA2D7" w14:textId="77777777" w:rsidR="00F30075" w:rsidRPr="003F471F" w:rsidRDefault="00F30075" w:rsidP="008C0608">
      <w:pPr>
        <w:rPr>
          <w:lang w:val="it-IT"/>
        </w:rPr>
      </w:pPr>
    </w:p>
    <w:p w14:paraId="78EFCEDF" w14:textId="77777777" w:rsidR="002D7B73" w:rsidRPr="003F471F" w:rsidRDefault="002D7B73" w:rsidP="008C0608">
      <w:pPr>
        <w:rPr>
          <w:lang w:val="it-IT"/>
        </w:rPr>
      </w:pPr>
      <w:r w:rsidRPr="003F471F">
        <w:rPr>
          <w:rFonts w:cs="Tahoma"/>
          <w:color w:val="000000"/>
          <w:szCs w:val="18"/>
          <w:lang w:val="it-IT"/>
        </w:rPr>
        <w:t>Tale diritto di utilizzo consente di eseguire il software su un massimo di quattro macchine virtuali locali.</w:t>
      </w:r>
      <w:r w:rsidR="00E34ED3" w:rsidRPr="003F471F">
        <w:rPr>
          <w:rFonts w:cs="Tahoma"/>
          <w:color w:val="000000"/>
          <w:szCs w:val="18"/>
          <w:lang w:val="it-IT"/>
        </w:rPr>
        <w:t xml:space="preserve"> </w:t>
      </w:r>
      <w:r w:rsidRPr="003F471F">
        <w:rPr>
          <w:rFonts w:cs="Tahoma"/>
          <w:color w:val="000000"/>
          <w:szCs w:val="18"/>
          <w:lang w:val="it-IT"/>
        </w:rPr>
        <w:t>Mentre il diritto di utilizzo di Windows 8</w:t>
      </w:r>
      <w:r w:rsidR="00B76EEE">
        <w:rPr>
          <w:rFonts w:cs="Tahoma"/>
          <w:color w:val="000000"/>
          <w:szCs w:val="18"/>
          <w:lang w:val="it-IT"/>
        </w:rPr>
        <w:t>.1</w:t>
      </w:r>
      <w:r w:rsidRPr="003F471F">
        <w:rPr>
          <w:rFonts w:cs="Tahoma"/>
          <w:color w:val="000000"/>
          <w:szCs w:val="18"/>
          <w:lang w:val="it-IT"/>
        </w:rPr>
        <w:t xml:space="preserve"> Enterprise potrà mantenere validità anche dopo la scadenza della copertura Software Assurance, il Diritto di Utilizzo della Virtualizzazione cesserà. Per ulteriori informazioni sui diritti di utilizzo, l</w:t>
      </w:r>
      <w:r w:rsidR="001C4212" w:rsidRPr="003F471F">
        <w:rPr>
          <w:rFonts w:cs="Tahoma"/>
          <w:color w:val="000000"/>
          <w:szCs w:val="18"/>
          <w:lang w:val="it-IT"/>
        </w:rPr>
        <w:t>’</w:t>
      </w:r>
      <w:r w:rsidRPr="003F471F">
        <w:rPr>
          <w:rFonts w:cs="Tahoma"/>
          <w:color w:val="000000"/>
          <w:szCs w:val="18"/>
          <w:lang w:val="it-IT"/>
        </w:rPr>
        <w:t>utente dovrà fare riferimento al documento Diritti di Utilizzo del Prodotto.</w:t>
      </w:r>
    </w:p>
    <w:p w14:paraId="22E026C4" w14:textId="77777777" w:rsidR="00C831EC" w:rsidRPr="003F471F" w:rsidRDefault="00C831EC" w:rsidP="002D7B73">
      <w:pPr>
        <w:pStyle w:val="Heading3"/>
        <w:rPr>
          <w:lang w:val="it-IT"/>
        </w:rPr>
      </w:pPr>
      <w:bookmarkStart w:id="900" w:name="_Toc257907651"/>
      <w:bookmarkStart w:id="901" w:name="_Toc233026785"/>
    </w:p>
    <w:p w14:paraId="0C3BFA75" w14:textId="77777777" w:rsidR="002D7B73" w:rsidRPr="003F471F" w:rsidRDefault="002D7B73" w:rsidP="002D7B73">
      <w:pPr>
        <w:pStyle w:val="Heading3"/>
        <w:rPr>
          <w:lang w:val="it-IT"/>
        </w:rPr>
      </w:pPr>
      <w:bookmarkStart w:id="902" w:name="_Toc336338245"/>
      <w:bookmarkStart w:id="903" w:name="_Toc371663639"/>
      <w:r w:rsidRPr="003F471F">
        <w:rPr>
          <w:rFonts w:ascii="Tahoma" w:hAnsi="Tahoma"/>
          <w:color w:val="000000"/>
          <w:sz w:val="24"/>
          <w:lang w:val="it-IT"/>
        </w:rPr>
        <w:t>Diritti per</w:t>
      </w:r>
      <w:bookmarkEnd w:id="900"/>
      <w:r w:rsidRPr="003F471F">
        <w:rPr>
          <w:rFonts w:ascii="Tahoma" w:hAnsi="Tahoma"/>
          <w:color w:val="000000"/>
          <w:sz w:val="24"/>
          <w:lang w:val="it-IT"/>
        </w:rPr>
        <w:t xml:space="preserve"> Windows Virtual Desktop Access (VDA)</w:t>
      </w:r>
      <w:bookmarkEnd w:id="902"/>
      <w:bookmarkEnd w:id="903"/>
    </w:p>
    <w:p w14:paraId="74041864" w14:textId="77777777" w:rsidR="002D7B73" w:rsidRPr="003F471F" w:rsidRDefault="002D7B73" w:rsidP="002D7B73">
      <w:pPr>
        <w:rPr>
          <w:lang w:val="it-IT"/>
        </w:rPr>
      </w:pPr>
    </w:p>
    <w:p w14:paraId="5C28B5E1" w14:textId="77777777" w:rsidR="00EC5C9D" w:rsidRPr="003F471F" w:rsidRDefault="00EC5C9D" w:rsidP="00EC5C9D">
      <w:pPr>
        <w:rPr>
          <w:lang w:val="it-IT"/>
        </w:rPr>
      </w:pPr>
      <w:r w:rsidRPr="003F471F">
        <w:rPr>
          <w:rFonts w:eastAsia="Calibri" w:cs="Tahoma"/>
          <w:color w:val="000000"/>
          <w:szCs w:val="18"/>
          <w:lang w:val="it-IT"/>
        </w:rPr>
        <w:t xml:space="preserve">I diritti per Windows VDA sono disponibili per le società con copertura Software Assurance per il sistema operativo desktop Windows e per le società con licenza per Windows Intune </w:t>
      </w:r>
      <w:r w:rsidRPr="003F471F">
        <w:rPr>
          <w:rFonts w:cs="Tahoma"/>
          <w:szCs w:val="18"/>
          <w:lang w:val="it-IT"/>
        </w:rPr>
        <w:t>(Per Dispositivo)</w:t>
      </w:r>
      <w:r w:rsidRPr="003F471F">
        <w:rPr>
          <w:rFonts w:eastAsia="Calibri" w:cs="Tahoma"/>
          <w:color w:val="000000"/>
          <w:szCs w:val="18"/>
          <w:lang w:val="it-IT"/>
        </w:rPr>
        <w:t>.</w:t>
      </w:r>
      <w:r w:rsidR="00E34ED3" w:rsidRPr="003F471F">
        <w:rPr>
          <w:rFonts w:eastAsia="Calibri" w:cs="Tahoma"/>
          <w:color w:val="000000"/>
          <w:szCs w:val="18"/>
          <w:lang w:val="it-IT"/>
        </w:rPr>
        <w:t xml:space="preserve"> </w:t>
      </w:r>
      <w:r w:rsidR="00B76EEE" w:rsidRPr="00B76EEE">
        <w:rPr>
          <w:rFonts w:cs="Tahoma"/>
          <w:szCs w:val="18"/>
          <w:lang w:val="it-IT"/>
        </w:rPr>
        <w:t>Sono disponibili anche come licenza “Subscription” specifica per dispositivi non coperti da</w:t>
      </w:r>
      <w:r w:rsidR="00B76EEE" w:rsidRPr="00B76EEE">
        <w:rPr>
          <w:rFonts w:cs="Tahoma"/>
          <w:szCs w:val="18"/>
          <w:lang w:val="it-IT"/>
        </w:rPr>
        <w:t xml:space="preserve"> Software Assurance per Windows</w:t>
      </w:r>
      <w:r w:rsidRPr="00B76EEE">
        <w:rPr>
          <w:rFonts w:eastAsia="Calibri" w:cs="Tahoma"/>
          <w:color w:val="000000"/>
          <w:szCs w:val="18"/>
          <w:lang w:val="it-IT"/>
        </w:rPr>
        <w:t>.</w:t>
      </w:r>
      <w:r w:rsidRPr="003F471F">
        <w:rPr>
          <w:rFonts w:eastAsia="Calibri" w:cs="Tahoma"/>
          <w:color w:val="000000"/>
          <w:szCs w:val="18"/>
          <w:lang w:val="it-IT"/>
        </w:rPr>
        <w:t xml:space="preserve"> La licenza “subscription” VDA concede alle società il diritto di eseguire la versione più recente del sistema operativo desktop Windows messa a</w:t>
      </w:r>
      <w:r w:rsidR="00147698" w:rsidRPr="003F471F">
        <w:rPr>
          <w:rFonts w:eastAsia="Calibri" w:cs="Tahoma"/>
          <w:color w:val="000000"/>
          <w:szCs w:val="18"/>
          <w:lang w:val="it-IT"/>
        </w:rPr>
        <w:t> </w:t>
      </w:r>
      <w:r w:rsidRPr="003F471F">
        <w:rPr>
          <w:rFonts w:eastAsia="Calibri" w:cs="Tahoma"/>
          <w:color w:val="000000"/>
          <w:szCs w:val="18"/>
          <w:lang w:val="it-IT"/>
        </w:rPr>
        <w:t>disposizione durante il periodo di validità dell</w:t>
      </w:r>
      <w:r w:rsidR="001C4212" w:rsidRPr="003F471F">
        <w:rPr>
          <w:rFonts w:eastAsia="Calibri" w:cs="Tahoma"/>
          <w:color w:val="000000"/>
          <w:szCs w:val="18"/>
          <w:lang w:val="it-IT"/>
        </w:rPr>
        <w:t>’</w:t>
      </w:r>
      <w:r w:rsidRPr="003F471F">
        <w:rPr>
          <w:rFonts w:eastAsia="Calibri" w:cs="Tahoma"/>
          <w:color w:val="000000"/>
          <w:szCs w:val="18"/>
          <w:lang w:val="it-IT"/>
        </w:rPr>
        <w:t>abbonamento.</w:t>
      </w:r>
    </w:p>
    <w:p w14:paraId="20D654D4" w14:textId="77777777" w:rsidR="00EC5C9D" w:rsidRPr="003F471F" w:rsidRDefault="00EC5C9D" w:rsidP="00EC5C9D">
      <w:pPr>
        <w:rPr>
          <w:lang w:val="it-IT"/>
        </w:rPr>
      </w:pPr>
    </w:p>
    <w:p w14:paraId="5981058E" w14:textId="77777777" w:rsidR="00EC5C9D" w:rsidRPr="003F471F" w:rsidRDefault="00EC5C9D" w:rsidP="00EC5C9D">
      <w:pPr>
        <w:rPr>
          <w:lang w:val="it-IT"/>
        </w:rPr>
      </w:pPr>
      <w:r w:rsidRPr="003F471F">
        <w:rPr>
          <w:rFonts w:eastAsia="Calibri" w:cs="Tahoma"/>
          <w:color w:val="000000"/>
          <w:szCs w:val="18"/>
          <w:lang w:val="it-IT"/>
        </w:rPr>
        <w:t>Per ulteriori informazioni su VDA, fare riferimento al documento Diritti di Utilizzo del Prodotto.</w:t>
      </w:r>
    </w:p>
    <w:bookmarkEnd w:id="901"/>
    <w:p w14:paraId="45BF0FCC" w14:textId="77777777" w:rsidR="00023FE7" w:rsidRPr="003F471F" w:rsidRDefault="00023FE7">
      <w:pPr>
        <w:rPr>
          <w:lang w:val="it-IT"/>
        </w:rPr>
      </w:pPr>
    </w:p>
    <w:p w14:paraId="4DCDDE93" w14:textId="77777777" w:rsidR="00023FE7" w:rsidRPr="003F471F" w:rsidRDefault="00023FE7">
      <w:pPr>
        <w:rPr>
          <w:lang w:val="it-IT"/>
        </w:rPr>
      </w:pPr>
      <w:bookmarkStart w:id="904" w:name="_Toc336338246"/>
      <w:bookmarkStart w:id="905" w:name="_Toc371663640"/>
      <w:r w:rsidRPr="003F471F">
        <w:rPr>
          <w:rStyle w:val="Heading3Char"/>
          <w:rFonts w:ascii="Tahoma" w:hAnsi="Tahoma"/>
          <w:sz w:val="24"/>
          <w:lang w:val="it-IT"/>
        </w:rPr>
        <w:t>Disponibilità di Licenze Step-Up</w:t>
      </w:r>
      <w:bookmarkEnd w:id="904"/>
      <w:bookmarkEnd w:id="905"/>
      <w:r w:rsidRPr="003F471F">
        <w:rPr>
          <w:rFonts w:cs="Tahoma"/>
          <w:b/>
          <w:sz w:val="24"/>
          <w:szCs w:val="20"/>
          <w:lang w:val="it-IT"/>
        </w:rPr>
        <w:t>*</w:t>
      </w:r>
    </w:p>
    <w:p w14:paraId="6DE08298" w14:textId="77777777" w:rsidR="00023FE7" w:rsidRPr="003F471F" w:rsidRDefault="00023FE7">
      <w:pPr>
        <w:rPr>
          <w:lang w:val="it-IT"/>
        </w:rPr>
      </w:pPr>
    </w:p>
    <w:p w14:paraId="58FEEF36" w14:textId="77777777" w:rsidR="00023FE7" w:rsidRPr="003F471F" w:rsidRDefault="00AD6AD6">
      <w:pPr>
        <w:rPr>
          <w:lang w:val="it-IT"/>
        </w:rPr>
      </w:pPr>
      <w:r w:rsidRPr="003F471F">
        <w:rPr>
          <w:rFonts w:cs="Tahoma"/>
          <w:szCs w:val="18"/>
          <w:lang w:val="it-IT"/>
        </w:rPr>
        <w:t xml:space="preserve">Le società potranno eseguire la migrazione da una versione di livello inferiore a una versione di livello superiore di determinati prodotti con una Licenza Step-Up. Le società dovranno disporre di una licenza con copertura Software Assurance attiva per il prodotto qualificante, al fine di </w:t>
      </w:r>
      <w:r w:rsidRPr="003F471F">
        <w:rPr>
          <w:rFonts w:cs="Tahoma"/>
          <w:color w:val="000000"/>
          <w:szCs w:val="18"/>
          <w:lang w:val="it-IT"/>
        </w:rPr>
        <w:t>acquistare una Licenza Step-Up. La Licenza Step-Up dovrà essere acquistata, e sarà valida unicamente dopo l</w:t>
      </w:r>
      <w:r w:rsidR="001C4212" w:rsidRPr="003F471F">
        <w:rPr>
          <w:rFonts w:cs="Tahoma"/>
          <w:color w:val="000000"/>
          <w:szCs w:val="18"/>
          <w:lang w:val="it-IT"/>
        </w:rPr>
        <w:t>’</w:t>
      </w:r>
      <w:r w:rsidRPr="003F471F">
        <w:rPr>
          <w:rFonts w:cs="Tahoma"/>
          <w:color w:val="000000"/>
          <w:szCs w:val="18"/>
          <w:lang w:val="it-IT"/>
        </w:rPr>
        <w:t>acquisto, nell</w:t>
      </w:r>
      <w:r w:rsidR="001C4212" w:rsidRPr="003F471F">
        <w:rPr>
          <w:rFonts w:cs="Tahoma"/>
          <w:color w:val="000000"/>
          <w:szCs w:val="18"/>
          <w:lang w:val="it-IT"/>
        </w:rPr>
        <w:t>’</w:t>
      </w:r>
      <w:r w:rsidRPr="003F471F">
        <w:rPr>
          <w:rFonts w:cs="Tahoma"/>
          <w:color w:val="000000"/>
          <w:szCs w:val="18"/>
          <w:lang w:val="it-IT"/>
        </w:rPr>
        <w:t>ambito del medesimo contratto multilicenza e della medesima iscrizione, se disponibili, ai sensi dei quali è stata originariamente acquistata la copertura Software Assurance del prodotto</w:t>
      </w:r>
      <w:r w:rsidRPr="003F471F">
        <w:rPr>
          <w:rFonts w:cs="Tahoma"/>
          <w:szCs w:val="18"/>
          <w:lang w:val="it-IT"/>
        </w:rPr>
        <w:t xml:space="preserve"> qualificante.</w:t>
      </w:r>
      <w:r w:rsidR="00E34ED3" w:rsidRPr="003F471F">
        <w:rPr>
          <w:rFonts w:cs="Tahoma"/>
          <w:szCs w:val="18"/>
          <w:lang w:val="it-IT"/>
        </w:rPr>
        <w:t xml:space="preserve"> </w:t>
      </w:r>
      <w:r w:rsidRPr="003F471F">
        <w:rPr>
          <w:rFonts w:cs="Tahoma"/>
          <w:szCs w:val="18"/>
          <w:lang w:val="it-IT"/>
        </w:rPr>
        <w:t>Il diritto di utilizzo del software da parte della società ai sensi della Licenza Step-Up è subordinato al possesso e al mantenimento di una Licenza per il prodotto qualificante. Le società non possono trasferire la Licenza per il prodotto qualificante separatamente dalla Licenza Step-Up.</w:t>
      </w:r>
      <w:r w:rsidR="00E34ED3" w:rsidRPr="003F471F">
        <w:rPr>
          <w:rFonts w:cs="Tahoma"/>
          <w:szCs w:val="18"/>
          <w:lang w:val="it-IT"/>
        </w:rPr>
        <w:t xml:space="preserve"> </w:t>
      </w:r>
      <w:r w:rsidRPr="003F471F">
        <w:rPr>
          <w:rFonts w:cs="Tahoma"/>
          <w:szCs w:val="18"/>
          <w:lang w:val="it-IT"/>
        </w:rPr>
        <w:t>I diritti perpetui delle società concessi ai sensi della Licenza Step-Up prevalgono e sostituiscono la licenza sottostante per il prodotto qualificante. Per ulteriori informazioni, consultare il Documento relativo alla Licenza Step-up per Enterprise Edition nel quadro del Programma per Contratti Multilicenza all</w:t>
      </w:r>
      <w:r w:rsidR="001C4212" w:rsidRPr="003F471F">
        <w:rPr>
          <w:rFonts w:cs="Tahoma"/>
          <w:szCs w:val="18"/>
          <w:lang w:val="it-IT"/>
        </w:rPr>
        <w:t>’</w:t>
      </w:r>
      <w:r w:rsidRPr="003F471F">
        <w:rPr>
          <w:rFonts w:cs="Tahoma"/>
          <w:szCs w:val="18"/>
          <w:lang w:val="it-IT"/>
        </w:rPr>
        <w:t xml:space="preserve">indirizzo: </w:t>
      </w:r>
      <w:r w:rsidR="00147698" w:rsidRPr="003F471F">
        <w:rPr>
          <w:rFonts w:cs="Tahoma"/>
          <w:szCs w:val="18"/>
          <w:lang w:val="it-IT"/>
        </w:rPr>
        <w:t>http://</w:t>
      </w:r>
      <w:hyperlink r:id="rId30" w:history="1">
        <w:r w:rsidR="00147698" w:rsidRPr="003F471F">
          <w:rPr>
            <w:rStyle w:val="Hyperlink"/>
            <w:rFonts w:cs="Tahoma"/>
            <w:szCs w:val="18"/>
            <w:lang w:val="it-IT"/>
          </w:rPr>
          <w:t>www.microsoft.com/licensing</w:t>
        </w:r>
      </w:hyperlink>
      <w:r w:rsidRPr="003F471F">
        <w:rPr>
          <w:rFonts w:cs="Tahoma"/>
          <w:szCs w:val="18"/>
          <w:lang w:val="it-IT"/>
        </w:rPr>
        <w:t xml:space="preserve"> </w:t>
      </w:r>
    </w:p>
    <w:p w14:paraId="472BDD55" w14:textId="77777777" w:rsidR="00023FE7" w:rsidRPr="003F471F" w:rsidRDefault="00023FE7">
      <w:pPr>
        <w:rPr>
          <w:lang w:val="it-IT"/>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58047D" w14:paraId="1AEA7D48" w14:textId="77777777" w:rsidTr="001E3F7D">
        <w:trPr>
          <w:tblHeader/>
        </w:trPr>
        <w:tc>
          <w:tcPr>
            <w:tcW w:w="4230" w:type="dxa"/>
            <w:shd w:val="clear" w:color="auto" w:fill="FABF8F"/>
            <w:tcMar>
              <w:top w:w="0" w:type="dxa"/>
              <w:left w:w="108" w:type="dxa"/>
              <w:bottom w:w="0" w:type="dxa"/>
              <w:right w:w="108" w:type="dxa"/>
            </w:tcMar>
            <w:hideMark/>
          </w:tcPr>
          <w:p w14:paraId="78D6E33D" w14:textId="77777777" w:rsidR="003573CD" w:rsidRPr="0058047D" w:rsidRDefault="003573CD" w:rsidP="00554A35">
            <w:pPr>
              <w:jc w:val="center"/>
              <w:rPr>
                <w:rFonts w:eastAsia="Calibri" w:cs="Tahoma"/>
                <w:b/>
                <w:sz w:val="20"/>
                <w:szCs w:val="20"/>
              </w:rPr>
            </w:pPr>
            <w:r w:rsidRPr="0058047D">
              <w:rPr>
                <w:rFonts w:cs="Tahoma"/>
                <w:b/>
                <w:sz w:val="20"/>
                <w:szCs w:val="20"/>
              </w:rPr>
              <w:t>Step-Up Da</w:t>
            </w:r>
          </w:p>
        </w:tc>
        <w:tc>
          <w:tcPr>
            <w:tcW w:w="4230" w:type="dxa"/>
            <w:shd w:val="clear" w:color="auto" w:fill="FABF8F"/>
            <w:tcMar>
              <w:top w:w="0" w:type="dxa"/>
              <w:left w:w="108" w:type="dxa"/>
              <w:bottom w:w="0" w:type="dxa"/>
              <w:right w:w="108" w:type="dxa"/>
            </w:tcMar>
            <w:hideMark/>
          </w:tcPr>
          <w:p w14:paraId="66D8816F" w14:textId="77777777" w:rsidR="003573CD" w:rsidRPr="0058047D" w:rsidRDefault="003573CD" w:rsidP="00554A35">
            <w:pPr>
              <w:jc w:val="center"/>
              <w:rPr>
                <w:rFonts w:eastAsia="Calibri" w:cs="Tahoma"/>
                <w:b/>
                <w:sz w:val="20"/>
                <w:szCs w:val="20"/>
              </w:rPr>
            </w:pPr>
            <w:r w:rsidRPr="0058047D">
              <w:rPr>
                <w:rFonts w:cs="Tahoma"/>
                <w:b/>
                <w:sz w:val="20"/>
                <w:szCs w:val="20"/>
              </w:rPr>
              <w:t>Step-Up A</w:t>
            </w:r>
          </w:p>
        </w:tc>
      </w:tr>
      <w:tr w:rsidR="003573CD" w:rsidRPr="0058047D" w14:paraId="1DB6CB28" w14:textId="77777777" w:rsidTr="001E3F7D">
        <w:tc>
          <w:tcPr>
            <w:tcW w:w="4230" w:type="dxa"/>
            <w:tcMar>
              <w:top w:w="0" w:type="dxa"/>
              <w:left w:w="108" w:type="dxa"/>
              <w:bottom w:w="0" w:type="dxa"/>
              <w:right w:w="108" w:type="dxa"/>
            </w:tcMar>
            <w:hideMark/>
          </w:tcPr>
          <w:p w14:paraId="30D4F399" w14:textId="77777777" w:rsidR="003573CD" w:rsidRPr="0058047D" w:rsidRDefault="003573CD" w:rsidP="00554A35">
            <w:pPr>
              <w:rPr>
                <w:rFonts w:eastAsia="Calibri" w:cs="Tahoma"/>
                <w:szCs w:val="18"/>
              </w:rPr>
            </w:pPr>
            <w:r w:rsidRPr="0058047D">
              <w:rPr>
                <w:rFonts w:cs="Tahoma"/>
                <w:szCs w:val="18"/>
              </w:rPr>
              <w:t>BizTalk</w:t>
            </w:r>
            <w:r w:rsidR="00E53A46" w:rsidRPr="0058047D">
              <w:rPr>
                <w:rFonts w:cs="Tahoma"/>
                <w:szCs w:val="18"/>
                <w:vertAlign w:val="superscript"/>
              </w:rPr>
              <w:t>®</w:t>
            </w:r>
            <w:r w:rsidRPr="0058047D">
              <w:rPr>
                <w:rFonts w:cs="Tahoma"/>
                <w:szCs w:val="18"/>
              </w:rPr>
              <w:t xml:space="preserve"> Server Branch</w:t>
            </w:r>
          </w:p>
        </w:tc>
        <w:tc>
          <w:tcPr>
            <w:tcW w:w="4230" w:type="dxa"/>
            <w:tcMar>
              <w:top w:w="0" w:type="dxa"/>
              <w:left w:w="108" w:type="dxa"/>
              <w:bottom w:w="0" w:type="dxa"/>
              <w:right w:w="108" w:type="dxa"/>
            </w:tcMar>
            <w:hideMark/>
          </w:tcPr>
          <w:p w14:paraId="7491F026" w14:textId="77777777" w:rsidR="003573CD" w:rsidRPr="0058047D" w:rsidRDefault="003573CD" w:rsidP="00554A35">
            <w:pPr>
              <w:rPr>
                <w:rFonts w:eastAsia="Calibri" w:cs="Tahoma"/>
                <w:szCs w:val="18"/>
              </w:rPr>
            </w:pPr>
            <w:r w:rsidRPr="0058047D">
              <w:rPr>
                <w:rFonts w:cs="Tahoma"/>
                <w:szCs w:val="18"/>
              </w:rPr>
              <w:t>BizTalk</w:t>
            </w:r>
            <w:r w:rsidR="00E53A46" w:rsidRPr="0058047D">
              <w:rPr>
                <w:rFonts w:cs="Tahoma"/>
                <w:szCs w:val="18"/>
                <w:vertAlign w:val="superscript"/>
              </w:rPr>
              <w:t>®</w:t>
            </w:r>
            <w:r w:rsidRPr="0058047D">
              <w:rPr>
                <w:rFonts w:cs="Tahoma"/>
                <w:szCs w:val="18"/>
              </w:rPr>
              <w:t xml:space="preserve"> Server Standard</w:t>
            </w:r>
          </w:p>
        </w:tc>
      </w:tr>
      <w:tr w:rsidR="003573CD" w:rsidRPr="0058047D" w14:paraId="19987B94" w14:textId="77777777" w:rsidTr="001E3F7D">
        <w:tc>
          <w:tcPr>
            <w:tcW w:w="4230" w:type="dxa"/>
            <w:tcMar>
              <w:top w:w="0" w:type="dxa"/>
              <w:left w:w="108" w:type="dxa"/>
              <w:bottom w:w="0" w:type="dxa"/>
              <w:right w:w="108" w:type="dxa"/>
            </w:tcMar>
            <w:hideMark/>
          </w:tcPr>
          <w:p w14:paraId="089C7FFF" w14:textId="77777777" w:rsidR="003573CD" w:rsidRPr="0058047D" w:rsidRDefault="003573CD" w:rsidP="00554A35">
            <w:pPr>
              <w:rPr>
                <w:rFonts w:eastAsia="Calibri" w:cs="Tahoma"/>
                <w:szCs w:val="18"/>
              </w:rPr>
            </w:pPr>
            <w:r w:rsidRPr="0058047D">
              <w:rPr>
                <w:rFonts w:cs="Tahoma"/>
                <w:szCs w:val="18"/>
              </w:rPr>
              <w:t>BizTalk</w:t>
            </w:r>
            <w:r w:rsidR="00E53A46" w:rsidRPr="0058047D">
              <w:rPr>
                <w:rFonts w:cs="Tahoma"/>
                <w:szCs w:val="18"/>
                <w:vertAlign w:val="superscript"/>
              </w:rPr>
              <w:t>®</w:t>
            </w:r>
            <w:r w:rsidRPr="0058047D">
              <w:rPr>
                <w:rFonts w:cs="Tahoma"/>
                <w:szCs w:val="18"/>
              </w:rPr>
              <w:t xml:space="preserve"> Server Branch</w:t>
            </w:r>
          </w:p>
        </w:tc>
        <w:tc>
          <w:tcPr>
            <w:tcW w:w="4230" w:type="dxa"/>
            <w:tcMar>
              <w:top w:w="0" w:type="dxa"/>
              <w:left w:w="108" w:type="dxa"/>
              <w:bottom w:w="0" w:type="dxa"/>
              <w:right w:w="108" w:type="dxa"/>
            </w:tcMar>
            <w:hideMark/>
          </w:tcPr>
          <w:p w14:paraId="76E71188" w14:textId="77777777" w:rsidR="003573CD" w:rsidRPr="0058047D" w:rsidRDefault="003573CD" w:rsidP="00554A35">
            <w:pPr>
              <w:rPr>
                <w:rFonts w:eastAsia="Calibri" w:cs="Tahoma"/>
                <w:szCs w:val="18"/>
              </w:rPr>
            </w:pPr>
            <w:r w:rsidRPr="0058047D">
              <w:rPr>
                <w:rFonts w:cs="Tahoma"/>
                <w:szCs w:val="18"/>
              </w:rPr>
              <w:t>BizTalk</w:t>
            </w:r>
            <w:r w:rsidR="00E53A46" w:rsidRPr="0058047D">
              <w:rPr>
                <w:rFonts w:cs="Tahoma"/>
                <w:szCs w:val="18"/>
                <w:vertAlign w:val="superscript"/>
              </w:rPr>
              <w:t>®</w:t>
            </w:r>
            <w:r w:rsidRPr="0058047D">
              <w:rPr>
                <w:rFonts w:cs="Tahoma"/>
                <w:szCs w:val="18"/>
              </w:rPr>
              <w:t xml:space="preserve"> Server Enterprise</w:t>
            </w:r>
          </w:p>
        </w:tc>
      </w:tr>
      <w:tr w:rsidR="003573CD" w:rsidRPr="0058047D" w14:paraId="08B4BB0A" w14:textId="77777777" w:rsidTr="001E3F7D">
        <w:tc>
          <w:tcPr>
            <w:tcW w:w="4230" w:type="dxa"/>
            <w:tcMar>
              <w:top w:w="0" w:type="dxa"/>
              <w:left w:w="108" w:type="dxa"/>
              <w:bottom w:w="0" w:type="dxa"/>
              <w:right w:w="108" w:type="dxa"/>
            </w:tcMar>
            <w:hideMark/>
          </w:tcPr>
          <w:p w14:paraId="09C9A945" w14:textId="77777777" w:rsidR="003573CD" w:rsidRPr="0058047D" w:rsidRDefault="003573CD" w:rsidP="00554A35">
            <w:pPr>
              <w:rPr>
                <w:rFonts w:eastAsia="Calibri" w:cs="Tahoma"/>
                <w:szCs w:val="18"/>
              </w:rPr>
            </w:pPr>
            <w:r w:rsidRPr="0058047D">
              <w:rPr>
                <w:rFonts w:cs="Tahoma"/>
                <w:szCs w:val="18"/>
              </w:rPr>
              <w:t>BizTalk</w:t>
            </w:r>
            <w:r w:rsidR="00E53A46" w:rsidRPr="0058047D">
              <w:rPr>
                <w:rFonts w:cs="Tahoma"/>
                <w:szCs w:val="18"/>
                <w:vertAlign w:val="superscript"/>
              </w:rPr>
              <w:t>®</w:t>
            </w:r>
            <w:r w:rsidRPr="0058047D">
              <w:rPr>
                <w:rFonts w:cs="Tahoma"/>
                <w:szCs w:val="18"/>
              </w:rPr>
              <w:t xml:space="preserve"> Server Standard</w:t>
            </w:r>
          </w:p>
        </w:tc>
        <w:tc>
          <w:tcPr>
            <w:tcW w:w="4230" w:type="dxa"/>
            <w:tcMar>
              <w:top w:w="0" w:type="dxa"/>
              <w:left w:w="108" w:type="dxa"/>
              <w:bottom w:w="0" w:type="dxa"/>
              <w:right w:w="108" w:type="dxa"/>
            </w:tcMar>
            <w:hideMark/>
          </w:tcPr>
          <w:p w14:paraId="186F8101" w14:textId="77777777" w:rsidR="003573CD" w:rsidRPr="0058047D" w:rsidRDefault="003573CD" w:rsidP="00554A35">
            <w:pPr>
              <w:rPr>
                <w:rFonts w:eastAsia="Calibri" w:cs="Tahoma"/>
                <w:szCs w:val="18"/>
              </w:rPr>
            </w:pPr>
            <w:r w:rsidRPr="0058047D">
              <w:rPr>
                <w:rFonts w:cs="Tahoma"/>
                <w:szCs w:val="18"/>
              </w:rPr>
              <w:t>BizTalk</w:t>
            </w:r>
            <w:r w:rsidR="00E53A46" w:rsidRPr="0058047D">
              <w:rPr>
                <w:rFonts w:cs="Tahoma"/>
                <w:szCs w:val="18"/>
                <w:vertAlign w:val="superscript"/>
              </w:rPr>
              <w:t>®</w:t>
            </w:r>
            <w:r w:rsidRPr="0058047D">
              <w:rPr>
                <w:rFonts w:cs="Tahoma"/>
                <w:szCs w:val="18"/>
              </w:rPr>
              <w:t xml:space="preserve"> Server Enterprise</w:t>
            </w:r>
          </w:p>
        </w:tc>
      </w:tr>
      <w:tr w:rsidR="003573CD" w:rsidRPr="0058047D" w14:paraId="30735128" w14:textId="77777777" w:rsidTr="001E3F7D">
        <w:tc>
          <w:tcPr>
            <w:tcW w:w="4230" w:type="dxa"/>
            <w:tcMar>
              <w:top w:w="0" w:type="dxa"/>
              <w:left w:w="108" w:type="dxa"/>
              <w:bottom w:w="0" w:type="dxa"/>
              <w:right w:w="108" w:type="dxa"/>
            </w:tcMar>
            <w:hideMark/>
          </w:tcPr>
          <w:p w14:paraId="1878208A" w14:textId="77777777" w:rsidR="003573CD" w:rsidRPr="0058047D" w:rsidRDefault="003573CD" w:rsidP="00554A35">
            <w:pPr>
              <w:rPr>
                <w:rFonts w:eastAsia="Calibri" w:cs="Tahoma"/>
                <w:szCs w:val="18"/>
              </w:rPr>
            </w:pPr>
            <w:r w:rsidRPr="0058047D">
              <w:rPr>
                <w:rFonts w:cs="Tahoma"/>
                <w:szCs w:val="18"/>
              </w:rPr>
              <w:t>Commerce Server Standard</w:t>
            </w:r>
          </w:p>
        </w:tc>
        <w:tc>
          <w:tcPr>
            <w:tcW w:w="4230" w:type="dxa"/>
            <w:tcMar>
              <w:top w:w="0" w:type="dxa"/>
              <w:left w:w="108" w:type="dxa"/>
              <w:bottom w:w="0" w:type="dxa"/>
              <w:right w:w="108" w:type="dxa"/>
            </w:tcMar>
            <w:hideMark/>
          </w:tcPr>
          <w:p w14:paraId="5385008F" w14:textId="77777777" w:rsidR="003573CD" w:rsidRPr="0058047D" w:rsidRDefault="003573CD" w:rsidP="00554A35">
            <w:pPr>
              <w:rPr>
                <w:rFonts w:eastAsia="Calibri" w:cs="Tahoma"/>
                <w:szCs w:val="18"/>
              </w:rPr>
            </w:pPr>
            <w:r w:rsidRPr="0058047D">
              <w:rPr>
                <w:rFonts w:cs="Tahoma"/>
                <w:szCs w:val="18"/>
              </w:rPr>
              <w:t>Commerce Server Enterprise</w:t>
            </w:r>
          </w:p>
        </w:tc>
      </w:tr>
      <w:tr w:rsidR="003573CD" w:rsidRPr="0058047D" w14:paraId="18449BE5" w14:textId="77777777" w:rsidTr="001E3F7D">
        <w:trPr>
          <w:trHeight w:val="238"/>
        </w:trPr>
        <w:tc>
          <w:tcPr>
            <w:tcW w:w="4230" w:type="dxa"/>
            <w:tcMar>
              <w:top w:w="0" w:type="dxa"/>
              <w:left w:w="108" w:type="dxa"/>
              <w:bottom w:w="0" w:type="dxa"/>
              <w:right w:w="108" w:type="dxa"/>
            </w:tcMar>
            <w:hideMark/>
          </w:tcPr>
          <w:p w14:paraId="52FD31E3" w14:textId="77777777" w:rsidR="003573CD" w:rsidRPr="0058047D" w:rsidRDefault="003573CD" w:rsidP="00554A35">
            <w:pPr>
              <w:rPr>
                <w:rFonts w:eastAsia="Calibri" w:cs="Tahoma"/>
                <w:szCs w:val="18"/>
              </w:rPr>
            </w:pPr>
            <w:r w:rsidRPr="0058047D">
              <w:rPr>
                <w:rFonts w:cs="Tahoma"/>
                <w:szCs w:val="18"/>
              </w:rPr>
              <w:t>Core CAL Suite</w:t>
            </w:r>
          </w:p>
        </w:tc>
        <w:tc>
          <w:tcPr>
            <w:tcW w:w="4230" w:type="dxa"/>
            <w:tcMar>
              <w:top w:w="0" w:type="dxa"/>
              <w:left w:w="108" w:type="dxa"/>
              <w:bottom w:w="0" w:type="dxa"/>
              <w:right w:w="108" w:type="dxa"/>
            </w:tcMar>
            <w:hideMark/>
          </w:tcPr>
          <w:p w14:paraId="566FC0CF" w14:textId="77777777" w:rsidR="003573CD" w:rsidRPr="0058047D" w:rsidRDefault="003573CD" w:rsidP="00554A35">
            <w:pPr>
              <w:rPr>
                <w:rFonts w:eastAsia="Calibri" w:cs="Tahoma"/>
                <w:szCs w:val="18"/>
              </w:rPr>
            </w:pPr>
            <w:r w:rsidRPr="0058047D">
              <w:rPr>
                <w:rFonts w:cs="Tahoma"/>
                <w:szCs w:val="18"/>
              </w:rPr>
              <w:t>Enterprise CAL Suite</w:t>
            </w:r>
          </w:p>
        </w:tc>
      </w:tr>
      <w:tr w:rsidR="00E87953" w:rsidRPr="0058047D" w14:paraId="6E7CFE47" w14:textId="77777777" w:rsidTr="001E3F7D">
        <w:trPr>
          <w:trHeight w:val="247"/>
        </w:trPr>
        <w:tc>
          <w:tcPr>
            <w:tcW w:w="4230" w:type="dxa"/>
            <w:tcMar>
              <w:top w:w="0" w:type="dxa"/>
              <w:left w:w="108" w:type="dxa"/>
              <w:bottom w:w="0" w:type="dxa"/>
              <w:right w:w="108" w:type="dxa"/>
            </w:tcMar>
          </w:tcPr>
          <w:p w14:paraId="1B1D59BD" w14:textId="77777777" w:rsidR="00E87953" w:rsidRPr="0058047D" w:rsidRDefault="00E87953" w:rsidP="00734CF4">
            <w:pPr>
              <w:rPr>
                <w:rFonts w:cs="Tahoma"/>
                <w:color w:val="000000"/>
                <w:szCs w:val="18"/>
              </w:rPr>
            </w:pPr>
            <w:r w:rsidRPr="0058047D">
              <w:rPr>
                <w:rFonts w:cs="Tahoma"/>
                <w:color w:val="000000"/>
                <w:szCs w:val="18"/>
              </w:rPr>
              <w:t>Core CAL Suite Bridge per Office 365</w:t>
            </w:r>
          </w:p>
        </w:tc>
        <w:tc>
          <w:tcPr>
            <w:tcW w:w="4230" w:type="dxa"/>
            <w:tcMar>
              <w:top w:w="0" w:type="dxa"/>
              <w:left w:w="108" w:type="dxa"/>
              <w:bottom w:w="0" w:type="dxa"/>
              <w:right w:w="108" w:type="dxa"/>
            </w:tcMar>
          </w:tcPr>
          <w:p w14:paraId="50086E51" w14:textId="77777777" w:rsidR="00E87953" w:rsidRPr="0058047D" w:rsidRDefault="00E87953" w:rsidP="00734CF4">
            <w:pPr>
              <w:rPr>
                <w:rFonts w:cs="Tahoma"/>
                <w:color w:val="000000"/>
                <w:szCs w:val="18"/>
              </w:rPr>
            </w:pPr>
            <w:r w:rsidRPr="0058047D">
              <w:rPr>
                <w:rFonts w:cs="Tahoma"/>
                <w:color w:val="000000"/>
                <w:szCs w:val="18"/>
              </w:rPr>
              <w:t>Enterprise CAL Suite Bridge per Office 365</w:t>
            </w:r>
          </w:p>
        </w:tc>
      </w:tr>
      <w:tr w:rsidR="00E87953" w:rsidRPr="0058047D" w14:paraId="328C099B" w14:textId="77777777" w:rsidTr="001E3F7D">
        <w:trPr>
          <w:trHeight w:val="247"/>
        </w:trPr>
        <w:tc>
          <w:tcPr>
            <w:tcW w:w="4230" w:type="dxa"/>
            <w:tcMar>
              <w:top w:w="0" w:type="dxa"/>
              <w:left w:w="108" w:type="dxa"/>
              <w:bottom w:w="0" w:type="dxa"/>
              <w:right w:w="108" w:type="dxa"/>
            </w:tcMar>
          </w:tcPr>
          <w:p w14:paraId="4C33D65D" w14:textId="77777777" w:rsidR="00E87953" w:rsidRPr="0058047D" w:rsidRDefault="00E87953" w:rsidP="007C6582">
            <w:pPr>
              <w:rPr>
                <w:rFonts w:cs="Tahoma"/>
                <w:color w:val="000000"/>
                <w:szCs w:val="18"/>
              </w:rPr>
            </w:pPr>
            <w:r w:rsidRPr="0058047D">
              <w:rPr>
                <w:rFonts w:cs="Tahoma"/>
                <w:color w:val="000000"/>
                <w:szCs w:val="18"/>
              </w:rPr>
              <w:t>Core CAL Suite Bridge per Windows</w:t>
            </w:r>
            <w:r w:rsidR="00E53A46" w:rsidRPr="0058047D">
              <w:rPr>
                <w:rFonts w:cs="Tahoma"/>
                <w:color w:val="000000"/>
                <w:szCs w:val="18"/>
                <w:vertAlign w:val="superscript"/>
              </w:rPr>
              <w:t>®</w:t>
            </w:r>
            <w:r w:rsidRPr="0058047D">
              <w:rPr>
                <w:rFonts w:cs="Tahoma"/>
                <w:color w:val="000000"/>
                <w:szCs w:val="18"/>
              </w:rPr>
              <w:t xml:space="preserve"> Intune</w:t>
            </w:r>
          </w:p>
        </w:tc>
        <w:tc>
          <w:tcPr>
            <w:tcW w:w="4230" w:type="dxa"/>
            <w:tcMar>
              <w:top w:w="0" w:type="dxa"/>
              <w:left w:w="108" w:type="dxa"/>
              <w:bottom w:w="0" w:type="dxa"/>
              <w:right w:w="108" w:type="dxa"/>
            </w:tcMar>
          </w:tcPr>
          <w:p w14:paraId="7BB38F43" w14:textId="77777777" w:rsidR="00E87953" w:rsidRPr="0058047D" w:rsidRDefault="00E87953" w:rsidP="007C6582">
            <w:pPr>
              <w:rPr>
                <w:rFonts w:cs="Tahoma"/>
                <w:color w:val="000000"/>
                <w:szCs w:val="18"/>
              </w:rPr>
            </w:pPr>
            <w:r w:rsidRPr="0058047D">
              <w:rPr>
                <w:rFonts w:cs="Tahoma"/>
                <w:color w:val="000000"/>
                <w:szCs w:val="18"/>
              </w:rPr>
              <w:t>Enterprise CAL Suite Bridge per Windows</w:t>
            </w:r>
            <w:r w:rsidR="00E53A46" w:rsidRPr="0058047D">
              <w:rPr>
                <w:rFonts w:cs="Tahoma"/>
                <w:color w:val="000000"/>
                <w:szCs w:val="18"/>
                <w:vertAlign w:val="superscript"/>
              </w:rPr>
              <w:t>®</w:t>
            </w:r>
            <w:r w:rsidRPr="0058047D">
              <w:rPr>
                <w:rFonts w:cs="Tahoma"/>
                <w:color w:val="000000"/>
                <w:szCs w:val="18"/>
              </w:rPr>
              <w:t xml:space="preserve"> Intune</w:t>
            </w:r>
          </w:p>
        </w:tc>
      </w:tr>
      <w:tr w:rsidR="000466E8" w:rsidRPr="0058047D" w14:paraId="418D37F6" w14:textId="77777777" w:rsidTr="001E3F7D">
        <w:trPr>
          <w:trHeight w:val="247"/>
        </w:trPr>
        <w:tc>
          <w:tcPr>
            <w:tcW w:w="4230" w:type="dxa"/>
            <w:tcMar>
              <w:top w:w="0" w:type="dxa"/>
              <w:left w:w="108" w:type="dxa"/>
              <w:bottom w:w="0" w:type="dxa"/>
              <w:right w:w="108" w:type="dxa"/>
            </w:tcMar>
          </w:tcPr>
          <w:p w14:paraId="41595A59" w14:textId="77777777" w:rsidR="000466E8" w:rsidRPr="0058047D" w:rsidRDefault="0054507B" w:rsidP="00147698">
            <w:pPr>
              <w:rPr>
                <w:rFonts w:cs="Tahoma"/>
                <w:color w:val="000000"/>
                <w:szCs w:val="18"/>
              </w:rPr>
            </w:pPr>
            <w:r w:rsidRPr="0058047D">
              <w:rPr>
                <w:rFonts w:cs="Tahoma"/>
                <w:color w:val="000000"/>
                <w:szCs w:val="18"/>
              </w:rPr>
              <w:t>Core CAL Suite Bridge per Office 365 e</w:t>
            </w:r>
            <w:r w:rsidR="00147698">
              <w:rPr>
                <w:rFonts w:cs="Tahoma"/>
                <w:color w:val="000000"/>
                <w:szCs w:val="18"/>
              </w:rPr>
              <w:t> </w:t>
            </w:r>
            <w:r w:rsidRPr="0058047D">
              <w:rPr>
                <w:rFonts w:cs="Tahoma"/>
                <w:color w:val="000000"/>
                <w:szCs w:val="18"/>
              </w:rPr>
              <w:t>Windows</w:t>
            </w:r>
            <w:r w:rsidR="00E53A46" w:rsidRPr="0058047D">
              <w:rPr>
                <w:rFonts w:cs="Tahoma"/>
                <w:color w:val="000000"/>
                <w:szCs w:val="18"/>
                <w:vertAlign w:val="superscript"/>
              </w:rPr>
              <w:t>®</w:t>
            </w:r>
            <w:r w:rsidR="00147698">
              <w:rPr>
                <w:rFonts w:cs="Tahoma"/>
                <w:color w:val="000000"/>
                <w:szCs w:val="18"/>
              </w:rPr>
              <w:t> </w:t>
            </w:r>
            <w:r w:rsidRPr="0058047D">
              <w:rPr>
                <w:rFonts w:cs="Tahoma"/>
                <w:color w:val="000000"/>
                <w:szCs w:val="18"/>
              </w:rPr>
              <w:t>Intune</w:t>
            </w:r>
          </w:p>
        </w:tc>
        <w:tc>
          <w:tcPr>
            <w:tcW w:w="4230" w:type="dxa"/>
            <w:tcMar>
              <w:top w:w="0" w:type="dxa"/>
              <w:left w:w="108" w:type="dxa"/>
              <w:bottom w:w="0" w:type="dxa"/>
              <w:right w:w="108" w:type="dxa"/>
            </w:tcMar>
          </w:tcPr>
          <w:p w14:paraId="1BEBD669" w14:textId="77777777" w:rsidR="000466E8" w:rsidRPr="0058047D" w:rsidRDefault="00C3058D" w:rsidP="00147698">
            <w:pPr>
              <w:rPr>
                <w:rFonts w:cs="Tahoma"/>
                <w:color w:val="000000"/>
                <w:szCs w:val="18"/>
              </w:rPr>
            </w:pPr>
            <w:r w:rsidRPr="0058047D">
              <w:rPr>
                <w:rFonts w:eastAsia="Calibri" w:cs="Tahoma"/>
                <w:szCs w:val="18"/>
              </w:rPr>
              <w:t>Enterprise CAL Suite Bridge per Office 365 e</w:t>
            </w:r>
            <w:r w:rsidR="00147698">
              <w:rPr>
                <w:rFonts w:eastAsia="Calibri" w:cs="Tahoma"/>
                <w:szCs w:val="18"/>
              </w:rPr>
              <w:t> </w:t>
            </w:r>
            <w:r w:rsidRPr="0058047D">
              <w:rPr>
                <w:rFonts w:eastAsia="Calibri" w:cs="Tahoma"/>
                <w:szCs w:val="18"/>
              </w:rPr>
              <w:t>Windows</w:t>
            </w:r>
            <w:r w:rsidR="00E53A46" w:rsidRPr="0058047D">
              <w:rPr>
                <w:rFonts w:cs="Tahoma"/>
                <w:color w:val="000000"/>
                <w:szCs w:val="18"/>
                <w:vertAlign w:val="superscript"/>
              </w:rPr>
              <w:t>®</w:t>
            </w:r>
            <w:r w:rsidRPr="0058047D">
              <w:rPr>
                <w:rFonts w:cs="Tahoma"/>
                <w:color w:val="000000"/>
                <w:szCs w:val="18"/>
                <w:vertAlign w:val="superscript"/>
              </w:rPr>
              <w:t xml:space="preserve"> </w:t>
            </w:r>
            <w:r w:rsidRPr="0058047D">
              <w:rPr>
                <w:rFonts w:eastAsia="Calibri" w:cs="Tahoma"/>
                <w:szCs w:val="18"/>
              </w:rPr>
              <w:t>Intune</w:t>
            </w:r>
          </w:p>
        </w:tc>
      </w:tr>
      <w:tr w:rsidR="004C6855" w:rsidRPr="003F471F" w14:paraId="3EC393B0" w14:textId="77777777" w:rsidTr="001E3F7D">
        <w:trPr>
          <w:trHeight w:val="247"/>
        </w:trPr>
        <w:tc>
          <w:tcPr>
            <w:tcW w:w="4230" w:type="dxa"/>
            <w:tcMar>
              <w:top w:w="0" w:type="dxa"/>
              <w:left w:w="108" w:type="dxa"/>
              <w:bottom w:w="0" w:type="dxa"/>
              <w:right w:w="108" w:type="dxa"/>
            </w:tcMar>
            <w:hideMark/>
          </w:tcPr>
          <w:p w14:paraId="61A8AC96" w14:textId="77777777" w:rsidR="004C6855" w:rsidRPr="003F471F" w:rsidRDefault="004C6855" w:rsidP="00554A35">
            <w:pPr>
              <w:rPr>
                <w:rFonts w:cs="Tahoma"/>
                <w:szCs w:val="18"/>
                <w:lang w:val="fr-FR"/>
              </w:rPr>
            </w:pPr>
            <w:r w:rsidRPr="003F471F">
              <w:rPr>
                <w:rFonts w:cs="Tahoma"/>
                <w:color w:val="000000"/>
                <w:szCs w:val="18"/>
                <w:lang w:val="fr-FR"/>
              </w:rPr>
              <w:t>Core Infrastructure Server Suite Standard</w:t>
            </w:r>
          </w:p>
        </w:tc>
        <w:tc>
          <w:tcPr>
            <w:tcW w:w="4230" w:type="dxa"/>
            <w:tcMar>
              <w:top w:w="0" w:type="dxa"/>
              <w:left w:w="108" w:type="dxa"/>
              <w:bottom w:w="0" w:type="dxa"/>
              <w:right w:w="108" w:type="dxa"/>
            </w:tcMar>
            <w:hideMark/>
          </w:tcPr>
          <w:p w14:paraId="1EF1D6A1" w14:textId="77777777" w:rsidR="004C6855" w:rsidRPr="003F471F" w:rsidRDefault="004C6855" w:rsidP="00933674">
            <w:pPr>
              <w:rPr>
                <w:rFonts w:cs="Tahoma"/>
                <w:szCs w:val="18"/>
                <w:lang w:val="fr-FR"/>
              </w:rPr>
            </w:pPr>
            <w:r w:rsidRPr="003F471F">
              <w:rPr>
                <w:rFonts w:cs="Tahoma"/>
                <w:color w:val="000000"/>
                <w:szCs w:val="18"/>
                <w:lang w:val="fr-FR"/>
              </w:rPr>
              <w:t>Core Infrastructure Server Suite Datacenter</w:t>
            </w:r>
          </w:p>
        </w:tc>
      </w:tr>
      <w:tr w:rsidR="003573CD" w:rsidRPr="003F471F" w14:paraId="08784217" w14:textId="77777777" w:rsidTr="001E3F7D">
        <w:tc>
          <w:tcPr>
            <w:tcW w:w="4230" w:type="dxa"/>
            <w:tcMar>
              <w:top w:w="0" w:type="dxa"/>
              <w:left w:w="108" w:type="dxa"/>
              <w:bottom w:w="0" w:type="dxa"/>
              <w:right w:w="108" w:type="dxa"/>
            </w:tcMar>
            <w:hideMark/>
          </w:tcPr>
          <w:p w14:paraId="70059F6D" w14:textId="77777777" w:rsidR="003573CD" w:rsidRPr="0058047D" w:rsidRDefault="003573CD" w:rsidP="00394D2B">
            <w:pPr>
              <w:rPr>
                <w:rFonts w:eastAsia="Calibri" w:cs="Tahoma"/>
                <w:szCs w:val="18"/>
              </w:rPr>
            </w:pPr>
            <w:r w:rsidRPr="0058047D">
              <w:rPr>
                <w:rFonts w:cs="Tahoma"/>
                <w:szCs w:val="18"/>
              </w:rPr>
              <w:t>Desktop Education con Core CAL</w:t>
            </w:r>
          </w:p>
        </w:tc>
        <w:tc>
          <w:tcPr>
            <w:tcW w:w="4230" w:type="dxa"/>
            <w:tcMar>
              <w:top w:w="0" w:type="dxa"/>
              <w:left w:w="108" w:type="dxa"/>
              <w:bottom w:w="0" w:type="dxa"/>
              <w:right w:w="108" w:type="dxa"/>
            </w:tcMar>
            <w:hideMark/>
          </w:tcPr>
          <w:p w14:paraId="22C2064B" w14:textId="77777777" w:rsidR="003573CD" w:rsidRPr="003F471F" w:rsidRDefault="003573CD" w:rsidP="00394D2B">
            <w:pPr>
              <w:rPr>
                <w:rFonts w:eastAsia="Calibri" w:cs="Tahoma"/>
                <w:szCs w:val="18"/>
                <w:lang w:val="fr-FR"/>
              </w:rPr>
            </w:pPr>
            <w:r w:rsidRPr="003F471F">
              <w:rPr>
                <w:rFonts w:cs="Tahoma"/>
                <w:szCs w:val="18"/>
                <w:lang w:val="fr-FR"/>
              </w:rPr>
              <w:t>Desktop Education con Enterprise CAL Suite</w:t>
            </w:r>
          </w:p>
        </w:tc>
      </w:tr>
      <w:tr w:rsidR="003573CD" w:rsidRPr="0058047D" w14:paraId="6BB53CEB" w14:textId="77777777" w:rsidTr="001E3F7D">
        <w:tc>
          <w:tcPr>
            <w:tcW w:w="4230" w:type="dxa"/>
            <w:tcMar>
              <w:top w:w="0" w:type="dxa"/>
              <w:left w:w="108" w:type="dxa"/>
              <w:bottom w:w="0" w:type="dxa"/>
              <w:right w:w="108" w:type="dxa"/>
            </w:tcMar>
            <w:hideMark/>
          </w:tcPr>
          <w:p w14:paraId="088C33D7" w14:textId="77777777" w:rsidR="003573CD" w:rsidRPr="0058047D" w:rsidRDefault="003573CD" w:rsidP="00554A35">
            <w:pPr>
              <w:rPr>
                <w:rFonts w:eastAsia="Calibri" w:cs="Tahoma"/>
                <w:szCs w:val="18"/>
              </w:rPr>
            </w:pPr>
            <w:r w:rsidRPr="0058047D">
              <w:rPr>
                <w:rFonts w:cs="Tahoma"/>
                <w:szCs w:val="18"/>
              </w:rPr>
              <w:t>Desktop School con Core CAL</w:t>
            </w:r>
          </w:p>
        </w:tc>
        <w:tc>
          <w:tcPr>
            <w:tcW w:w="4230" w:type="dxa"/>
            <w:tcMar>
              <w:top w:w="0" w:type="dxa"/>
              <w:left w:w="108" w:type="dxa"/>
              <w:bottom w:w="0" w:type="dxa"/>
              <w:right w:w="108" w:type="dxa"/>
            </w:tcMar>
            <w:hideMark/>
          </w:tcPr>
          <w:p w14:paraId="05AD7D86" w14:textId="77777777" w:rsidR="003573CD" w:rsidRPr="0058047D" w:rsidRDefault="00ED0F02" w:rsidP="00554A35">
            <w:pPr>
              <w:rPr>
                <w:rFonts w:eastAsia="Calibri" w:cs="Tahoma"/>
                <w:szCs w:val="18"/>
              </w:rPr>
            </w:pPr>
            <w:r w:rsidRPr="0058047D">
              <w:rPr>
                <w:rFonts w:cs="Tahoma"/>
                <w:szCs w:val="18"/>
              </w:rPr>
              <w:t>Desktop School con Enterprise CAL Suite</w:t>
            </w:r>
          </w:p>
        </w:tc>
      </w:tr>
      <w:tr w:rsidR="003573CD" w:rsidRPr="0058047D" w14:paraId="68E68116" w14:textId="77777777" w:rsidTr="001E3F7D">
        <w:tc>
          <w:tcPr>
            <w:tcW w:w="4230" w:type="dxa"/>
            <w:tcMar>
              <w:top w:w="0" w:type="dxa"/>
              <w:left w:w="108" w:type="dxa"/>
              <w:bottom w:w="0" w:type="dxa"/>
              <w:right w:w="108" w:type="dxa"/>
            </w:tcMar>
            <w:hideMark/>
          </w:tcPr>
          <w:p w14:paraId="22EEE8E7" w14:textId="77777777" w:rsidR="003573CD" w:rsidRPr="0058047D" w:rsidRDefault="003573CD" w:rsidP="00554A35">
            <w:pPr>
              <w:rPr>
                <w:rFonts w:eastAsia="Calibri" w:cs="Tahoma"/>
                <w:szCs w:val="18"/>
                <w:lang w:val="fr-FR"/>
              </w:rPr>
            </w:pPr>
            <w:r w:rsidRPr="0058047D">
              <w:rPr>
                <w:rFonts w:cs="Tahoma"/>
                <w:szCs w:val="18"/>
              </w:rPr>
              <w:t>Exchange Server Standard</w:t>
            </w:r>
          </w:p>
        </w:tc>
        <w:tc>
          <w:tcPr>
            <w:tcW w:w="4230" w:type="dxa"/>
            <w:tcMar>
              <w:top w:w="0" w:type="dxa"/>
              <w:left w:w="108" w:type="dxa"/>
              <w:bottom w:w="0" w:type="dxa"/>
              <w:right w:w="108" w:type="dxa"/>
            </w:tcMar>
            <w:hideMark/>
          </w:tcPr>
          <w:p w14:paraId="42699E30" w14:textId="77777777" w:rsidR="003573CD" w:rsidRPr="0058047D" w:rsidRDefault="003573CD" w:rsidP="00554A35">
            <w:pPr>
              <w:rPr>
                <w:rFonts w:eastAsia="Calibri" w:cs="Tahoma"/>
                <w:szCs w:val="18"/>
              </w:rPr>
            </w:pPr>
            <w:r w:rsidRPr="0058047D">
              <w:rPr>
                <w:rFonts w:cs="Tahoma"/>
                <w:szCs w:val="18"/>
              </w:rPr>
              <w:t>Exchange Server Enterprise</w:t>
            </w:r>
          </w:p>
        </w:tc>
      </w:tr>
      <w:tr w:rsidR="004D4D43" w:rsidRPr="0058047D" w14:paraId="549804C5" w14:textId="77777777" w:rsidTr="001E3F7D">
        <w:tc>
          <w:tcPr>
            <w:tcW w:w="4230" w:type="dxa"/>
            <w:tcMar>
              <w:top w:w="0" w:type="dxa"/>
              <w:left w:w="108" w:type="dxa"/>
              <w:bottom w:w="0" w:type="dxa"/>
              <w:right w:w="108" w:type="dxa"/>
            </w:tcMar>
          </w:tcPr>
          <w:p w14:paraId="6DF3072D" w14:textId="77777777" w:rsidR="004D4D43" w:rsidRPr="0058047D" w:rsidRDefault="004D4D43" w:rsidP="00AB4C80">
            <w:pPr>
              <w:rPr>
                <w:rFonts w:cs="Tahoma"/>
                <w:szCs w:val="18"/>
              </w:rPr>
            </w:pPr>
            <w:r w:rsidRPr="0058047D">
              <w:rPr>
                <w:rFonts w:cs="Tahoma"/>
                <w:szCs w:val="18"/>
              </w:rPr>
              <w:t>Forefront TMG Standard</w:t>
            </w:r>
          </w:p>
        </w:tc>
        <w:tc>
          <w:tcPr>
            <w:tcW w:w="4230" w:type="dxa"/>
            <w:tcMar>
              <w:top w:w="0" w:type="dxa"/>
              <w:left w:w="108" w:type="dxa"/>
              <w:bottom w:w="0" w:type="dxa"/>
              <w:right w:w="108" w:type="dxa"/>
            </w:tcMar>
          </w:tcPr>
          <w:p w14:paraId="1F672F8D" w14:textId="77777777" w:rsidR="004D4D43" w:rsidRPr="0058047D" w:rsidRDefault="004D4D43" w:rsidP="00AB4C80">
            <w:pPr>
              <w:rPr>
                <w:rFonts w:cs="Tahoma"/>
                <w:szCs w:val="18"/>
              </w:rPr>
            </w:pPr>
            <w:r w:rsidRPr="0058047D">
              <w:rPr>
                <w:rFonts w:cs="Tahoma"/>
                <w:szCs w:val="18"/>
              </w:rPr>
              <w:t>Forefront TMG Enterprise</w:t>
            </w:r>
          </w:p>
        </w:tc>
      </w:tr>
      <w:tr w:rsidR="003573CD" w:rsidRPr="0058047D" w14:paraId="065B28C6" w14:textId="77777777" w:rsidTr="001E3F7D">
        <w:tc>
          <w:tcPr>
            <w:tcW w:w="4230" w:type="dxa"/>
            <w:tcMar>
              <w:top w:w="0" w:type="dxa"/>
              <w:left w:w="108" w:type="dxa"/>
              <w:bottom w:w="0" w:type="dxa"/>
              <w:right w:w="108" w:type="dxa"/>
            </w:tcMar>
            <w:hideMark/>
          </w:tcPr>
          <w:p w14:paraId="66FBDD85" w14:textId="77777777" w:rsidR="003573CD" w:rsidRPr="0058047D" w:rsidRDefault="003573CD" w:rsidP="00147698">
            <w:pPr>
              <w:rPr>
                <w:rFonts w:eastAsia="Calibri" w:cs="Tahoma"/>
                <w:szCs w:val="18"/>
              </w:rPr>
            </w:pPr>
            <w:r w:rsidRPr="0058047D">
              <w:rPr>
                <w:rFonts w:cs="Tahoma"/>
                <w:szCs w:val="18"/>
              </w:rPr>
              <w:t>Internet Security &amp; Acceleration (ISA) Standard</w:t>
            </w:r>
            <w:r w:rsidR="00147698">
              <w:rPr>
                <w:rFonts w:cs="Tahoma"/>
                <w:szCs w:val="18"/>
              </w:rPr>
              <w:t> </w:t>
            </w:r>
            <w:r w:rsidRPr="0058047D">
              <w:rPr>
                <w:rFonts w:cs="Tahoma"/>
                <w:szCs w:val="18"/>
              </w:rPr>
              <w:t>Server</w:t>
            </w:r>
          </w:p>
        </w:tc>
        <w:tc>
          <w:tcPr>
            <w:tcW w:w="4230" w:type="dxa"/>
            <w:tcMar>
              <w:top w:w="0" w:type="dxa"/>
              <w:left w:w="108" w:type="dxa"/>
              <w:bottom w:w="0" w:type="dxa"/>
              <w:right w:w="108" w:type="dxa"/>
            </w:tcMar>
            <w:hideMark/>
          </w:tcPr>
          <w:p w14:paraId="676E1CFE" w14:textId="77777777" w:rsidR="003573CD" w:rsidRPr="0058047D" w:rsidRDefault="003573CD" w:rsidP="00554A35">
            <w:pPr>
              <w:rPr>
                <w:rFonts w:eastAsia="Calibri" w:cs="Tahoma"/>
                <w:szCs w:val="18"/>
              </w:rPr>
            </w:pPr>
            <w:r w:rsidRPr="0058047D">
              <w:rPr>
                <w:rFonts w:cs="Tahoma"/>
                <w:szCs w:val="18"/>
              </w:rPr>
              <w:t>Internet Security and Acceleration (ISA) Enterprise Server</w:t>
            </w:r>
          </w:p>
        </w:tc>
      </w:tr>
      <w:tr w:rsidR="00781A60" w:rsidRPr="0058047D" w14:paraId="6A5C54CE" w14:textId="77777777" w:rsidTr="001E3F7D">
        <w:tc>
          <w:tcPr>
            <w:tcW w:w="4230" w:type="dxa"/>
            <w:tcMar>
              <w:top w:w="0" w:type="dxa"/>
              <w:left w:w="108" w:type="dxa"/>
              <w:bottom w:w="0" w:type="dxa"/>
              <w:right w:w="108" w:type="dxa"/>
            </w:tcMar>
          </w:tcPr>
          <w:p w14:paraId="7237E801" w14:textId="77777777" w:rsidR="00781A60" w:rsidRPr="0058047D" w:rsidRDefault="00781A60" w:rsidP="00554A35">
            <w:pPr>
              <w:rPr>
                <w:rFonts w:cs="Tahoma"/>
                <w:szCs w:val="18"/>
              </w:rPr>
            </w:pPr>
            <w:r w:rsidRPr="0058047D">
              <w:rPr>
                <w:rFonts w:cs="Tahoma"/>
                <w:szCs w:val="18"/>
              </w:rPr>
              <w:t>Microsoft Dynamics CRM Workgroup Server 2011</w:t>
            </w:r>
          </w:p>
        </w:tc>
        <w:tc>
          <w:tcPr>
            <w:tcW w:w="4230" w:type="dxa"/>
            <w:tcMar>
              <w:top w:w="0" w:type="dxa"/>
              <w:left w:w="108" w:type="dxa"/>
              <w:bottom w:w="0" w:type="dxa"/>
              <w:right w:w="108" w:type="dxa"/>
            </w:tcMar>
          </w:tcPr>
          <w:p w14:paraId="65CC516B" w14:textId="77777777" w:rsidR="00781A60" w:rsidRPr="0058047D" w:rsidRDefault="00781A60" w:rsidP="00554A35">
            <w:pPr>
              <w:rPr>
                <w:rFonts w:cs="Tahoma"/>
                <w:szCs w:val="18"/>
              </w:rPr>
            </w:pPr>
            <w:r w:rsidRPr="0058047D">
              <w:rPr>
                <w:rFonts w:cs="Tahoma"/>
                <w:szCs w:val="18"/>
              </w:rPr>
              <w:t>Microsoft Dynamics CRM Server 2011</w:t>
            </w:r>
          </w:p>
        </w:tc>
      </w:tr>
      <w:tr w:rsidR="003573CD" w:rsidRPr="0058047D" w14:paraId="23884805" w14:textId="77777777" w:rsidTr="001E3F7D">
        <w:tc>
          <w:tcPr>
            <w:tcW w:w="4230" w:type="dxa"/>
            <w:tcMar>
              <w:top w:w="0" w:type="dxa"/>
              <w:left w:w="108" w:type="dxa"/>
              <w:bottom w:w="0" w:type="dxa"/>
              <w:right w:w="108" w:type="dxa"/>
            </w:tcMar>
            <w:hideMark/>
          </w:tcPr>
          <w:p w14:paraId="732E41FE" w14:textId="77777777" w:rsidR="003573CD" w:rsidRPr="0058047D" w:rsidRDefault="003573CD" w:rsidP="00554A35">
            <w:pPr>
              <w:rPr>
                <w:rFonts w:eastAsia="Calibri" w:cs="Tahoma"/>
                <w:szCs w:val="18"/>
              </w:rPr>
            </w:pPr>
            <w:r w:rsidRPr="0058047D">
              <w:rPr>
                <w:rFonts w:cs="Tahoma"/>
                <w:szCs w:val="18"/>
              </w:rPr>
              <w:t xml:space="preserve">Office Standard </w:t>
            </w:r>
          </w:p>
        </w:tc>
        <w:tc>
          <w:tcPr>
            <w:tcW w:w="4230" w:type="dxa"/>
            <w:tcMar>
              <w:top w:w="0" w:type="dxa"/>
              <w:left w:w="108" w:type="dxa"/>
              <w:bottom w:w="0" w:type="dxa"/>
              <w:right w:w="108" w:type="dxa"/>
            </w:tcMar>
            <w:hideMark/>
          </w:tcPr>
          <w:p w14:paraId="50A6A156" w14:textId="77777777" w:rsidR="003573CD" w:rsidRPr="0058047D" w:rsidRDefault="003573CD" w:rsidP="00554A35">
            <w:pPr>
              <w:rPr>
                <w:rFonts w:eastAsia="Calibri" w:cs="Tahoma"/>
                <w:szCs w:val="18"/>
                <w:lang w:val="fr-FR"/>
              </w:rPr>
            </w:pPr>
            <w:r w:rsidRPr="0058047D">
              <w:rPr>
                <w:rFonts w:cs="Tahoma"/>
                <w:szCs w:val="18"/>
              </w:rPr>
              <w:t xml:space="preserve">Office Professional Plus </w:t>
            </w:r>
          </w:p>
        </w:tc>
      </w:tr>
      <w:tr w:rsidR="003573CD" w:rsidRPr="0058047D" w14:paraId="35F80BBA" w14:textId="77777777" w:rsidTr="001E3F7D">
        <w:tc>
          <w:tcPr>
            <w:tcW w:w="4230" w:type="dxa"/>
            <w:tcMar>
              <w:top w:w="0" w:type="dxa"/>
              <w:left w:w="108" w:type="dxa"/>
              <w:bottom w:w="0" w:type="dxa"/>
              <w:right w:w="108" w:type="dxa"/>
            </w:tcMar>
            <w:hideMark/>
          </w:tcPr>
          <w:p w14:paraId="3E3FB13F" w14:textId="77777777" w:rsidR="003573CD" w:rsidRPr="0058047D" w:rsidRDefault="003573CD" w:rsidP="00554A35">
            <w:pPr>
              <w:rPr>
                <w:rFonts w:eastAsia="Calibri" w:cs="Tahoma"/>
                <w:szCs w:val="18"/>
              </w:rPr>
            </w:pPr>
            <w:r w:rsidRPr="0058047D">
              <w:rPr>
                <w:rFonts w:cs="Tahoma"/>
                <w:szCs w:val="18"/>
              </w:rPr>
              <w:t>Professional Desktop</w:t>
            </w:r>
          </w:p>
        </w:tc>
        <w:tc>
          <w:tcPr>
            <w:tcW w:w="4230" w:type="dxa"/>
            <w:tcMar>
              <w:top w:w="0" w:type="dxa"/>
              <w:left w:w="108" w:type="dxa"/>
              <w:bottom w:w="0" w:type="dxa"/>
              <w:right w:w="108" w:type="dxa"/>
            </w:tcMar>
            <w:hideMark/>
          </w:tcPr>
          <w:p w14:paraId="2C7F9807" w14:textId="77777777" w:rsidR="003573CD" w:rsidRPr="0058047D" w:rsidRDefault="003573CD" w:rsidP="00554A35">
            <w:pPr>
              <w:rPr>
                <w:rFonts w:eastAsia="Calibri" w:cs="Tahoma"/>
                <w:szCs w:val="18"/>
              </w:rPr>
            </w:pPr>
            <w:r w:rsidRPr="0058047D">
              <w:rPr>
                <w:rFonts w:cs="Tahoma"/>
                <w:szCs w:val="18"/>
              </w:rPr>
              <w:t>Enterprise Desktop</w:t>
            </w:r>
          </w:p>
        </w:tc>
      </w:tr>
      <w:tr w:rsidR="008925CF" w:rsidRPr="0058047D" w14:paraId="294E6107" w14:textId="77777777" w:rsidTr="001E3F7D">
        <w:tc>
          <w:tcPr>
            <w:tcW w:w="4230" w:type="dxa"/>
            <w:tcMar>
              <w:top w:w="0" w:type="dxa"/>
              <w:left w:w="108" w:type="dxa"/>
              <w:bottom w:w="0" w:type="dxa"/>
              <w:right w:w="108" w:type="dxa"/>
            </w:tcMar>
            <w:hideMark/>
          </w:tcPr>
          <w:p w14:paraId="07E6A77B" w14:textId="77777777" w:rsidR="008925CF" w:rsidRPr="0058047D" w:rsidRDefault="008925CF" w:rsidP="008925CF">
            <w:pPr>
              <w:rPr>
                <w:rFonts w:cs="Tahoma"/>
                <w:color w:val="000000"/>
                <w:szCs w:val="18"/>
              </w:rPr>
            </w:pPr>
            <w:r w:rsidRPr="0058047D">
              <w:rPr>
                <w:rFonts w:cs="Tahoma"/>
                <w:color w:val="000000"/>
                <w:szCs w:val="18"/>
              </w:rPr>
              <w:t>Professional Desktop con Microsoft</w:t>
            </w:r>
            <w:bookmarkStart w:id="906" w:name="_Toc236810936"/>
            <w:r w:rsidRPr="0058047D">
              <w:rPr>
                <w:rFonts w:cs="Tahoma"/>
                <w:color w:val="000000"/>
                <w:szCs w:val="18"/>
              </w:rPr>
              <w:t xml:space="preserve"> Desktop Optimization Pack </w:t>
            </w:r>
            <w:bookmarkEnd w:id="906"/>
          </w:p>
        </w:tc>
        <w:tc>
          <w:tcPr>
            <w:tcW w:w="4230" w:type="dxa"/>
            <w:tcMar>
              <w:top w:w="0" w:type="dxa"/>
              <w:left w:w="108" w:type="dxa"/>
              <w:bottom w:w="0" w:type="dxa"/>
              <w:right w:w="108" w:type="dxa"/>
            </w:tcMar>
            <w:hideMark/>
          </w:tcPr>
          <w:p w14:paraId="36B3C30B" w14:textId="77777777" w:rsidR="008925CF" w:rsidRPr="0058047D" w:rsidRDefault="008925CF" w:rsidP="00147698">
            <w:pPr>
              <w:rPr>
                <w:rFonts w:cs="Tahoma"/>
                <w:color w:val="000000"/>
                <w:szCs w:val="18"/>
              </w:rPr>
            </w:pPr>
            <w:r w:rsidRPr="0058047D">
              <w:rPr>
                <w:rFonts w:cs="Tahoma"/>
                <w:color w:val="000000"/>
                <w:szCs w:val="18"/>
              </w:rPr>
              <w:t>Enterprise Desktop con Microsoft Desktop</w:t>
            </w:r>
            <w:r w:rsidR="00147698">
              <w:rPr>
                <w:rFonts w:cs="Tahoma"/>
                <w:color w:val="000000"/>
                <w:szCs w:val="18"/>
              </w:rPr>
              <w:t> </w:t>
            </w:r>
            <w:r w:rsidRPr="0058047D">
              <w:rPr>
                <w:rFonts w:cs="Tahoma"/>
                <w:color w:val="000000"/>
                <w:szCs w:val="18"/>
              </w:rPr>
              <w:t>Optimization Pack</w:t>
            </w:r>
          </w:p>
        </w:tc>
      </w:tr>
      <w:tr w:rsidR="009F254F" w:rsidRPr="0058047D" w14:paraId="3378B95B" w14:textId="77777777" w:rsidTr="001E3F7D">
        <w:tc>
          <w:tcPr>
            <w:tcW w:w="4230" w:type="dxa"/>
            <w:tcMar>
              <w:top w:w="0" w:type="dxa"/>
              <w:left w:w="108" w:type="dxa"/>
              <w:bottom w:w="0" w:type="dxa"/>
              <w:right w:w="108" w:type="dxa"/>
            </w:tcMar>
            <w:hideMark/>
          </w:tcPr>
          <w:p w14:paraId="3EED0FD3" w14:textId="77777777" w:rsidR="009F254F" w:rsidRPr="0058047D" w:rsidRDefault="009F254F" w:rsidP="00CA4488">
            <w:pPr>
              <w:rPr>
                <w:rFonts w:eastAsia="Calibri" w:cs="Tahoma"/>
                <w:color w:val="000000"/>
                <w:szCs w:val="18"/>
              </w:rPr>
            </w:pPr>
            <w:r w:rsidRPr="0058047D">
              <w:rPr>
                <w:rFonts w:cs="Tahoma"/>
                <w:color w:val="000000"/>
                <w:szCs w:val="18"/>
              </w:rPr>
              <w:t xml:space="preserve">Project Standard </w:t>
            </w:r>
          </w:p>
        </w:tc>
        <w:tc>
          <w:tcPr>
            <w:tcW w:w="4230" w:type="dxa"/>
            <w:tcMar>
              <w:top w:w="0" w:type="dxa"/>
              <w:left w:w="108" w:type="dxa"/>
              <w:bottom w:w="0" w:type="dxa"/>
              <w:right w:w="108" w:type="dxa"/>
            </w:tcMar>
            <w:hideMark/>
          </w:tcPr>
          <w:p w14:paraId="2784FA07" w14:textId="77777777" w:rsidR="009F254F" w:rsidRPr="0058047D" w:rsidRDefault="009F254F" w:rsidP="00CA4488">
            <w:pPr>
              <w:rPr>
                <w:rFonts w:eastAsia="Calibri" w:cs="Tahoma"/>
                <w:color w:val="000000"/>
                <w:szCs w:val="18"/>
              </w:rPr>
            </w:pPr>
            <w:r w:rsidRPr="0058047D">
              <w:rPr>
                <w:rFonts w:cs="Tahoma"/>
                <w:color w:val="000000"/>
                <w:szCs w:val="18"/>
              </w:rPr>
              <w:t xml:space="preserve">Project Professional </w:t>
            </w:r>
          </w:p>
        </w:tc>
      </w:tr>
      <w:tr w:rsidR="003573CD" w:rsidRPr="0058047D" w14:paraId="633B7826" w14:textId="77777777" w:rsidTr="001E3F7D">
        <w:tc>
          <w:tcPr>
            <w:tcW w:w="4230" w:type="dxa"/>
            <w:tcMar>
              <w:top w:w="0" w:type="dxa"/>
              <w:left w:w="108" w:type="dxa"/>
              <w:bottom w:w="0" w:type="dxa"/>
              <w:right w:w="108" w:type="dxa"/>
            </w:tcMar>
            <w:hideMark/>
          </w:tcPr>
          <w:p w14:paraId="396BB798" w14:textId="77777777" w:rsidR="003573CD" w:rsidRPr="0058047D" w:rsidRDefault="003573CD" w:rsidP="00E53A46">
            <w:pPr>
              <w:rPr>
                <w:rFonts w:eastAsia="Calibri" w:cs="Tahoma"/>
                <w:color w:val="000000"/>
                <w:szCs w:val="18"/>
              </w:rPr>
            </w:pPr>
            <w:r w:rsidRPr="0058047D">
              <w:rPr>
                <w:rFonts w:cs="Tahoma"/>
                <w:color w:val="000000"/>
                <w:szCs w:val="18"/>
              </w:rPr>
              <w:t>SQL Server™ Standard Core</w:t>
            </w:r>
          </w:p>
        </w:tc>
        <w:tc>
          <w:tcPr>
            <w:tcW w:w="4230" w:type="dxa"/>
            <w:tcMar>
              <w:top w:w="0" w:type="dxa"/>
              <w:left w:w="108" w:type="dxa"/>
              <w:bottom w:w="0" w:type="dxa"/>
              <w:right w:w="108" w:type="dxa"/>
            </w:tcMar>
            <w:hideMark/>
          </w:tcPr>
          <w:p w14:paraId="746F0C65" w14:textId="77777777" w:rsidR="003573CD" w:rsidRPr="0058047D" w:rsidRDefault="003573CD" w:rsidP="00E53A46">
            <w:pPr>
              <w:rPr>
                <w:rFonts w:eastAsia="Calibri" w:cs="Tahoma"/>
                <w:color w:val="000000"/>
                <w:szCs w:val="18"/>
              </w:rPr>
            </w:pPr>
            <w:r w:rsidRPr="0058047D">
              <w:rPr>
                <w:rFonts w:cs="Tahoma"/>
                <w:color w:val="000000"/>
                <w:szCs w:val="18"/>
              </w:rPr>
              <w:t>SQL Server™ Enterprise Core</w:t>
            </w:r>
          </w:p>
        </w:tc>
      </w:tr>
      <w:tr w:rsidR="00270F92" w:rsidRPr="0058047D" w14:paraId="59AAD5B7" w14:textId="77777777" w:rsidTr="001E3F7D">
        <w:tc>
          <w:tcPr>
            <w:tcW w:w="4230" w:type="dxa"/>
            <w:tcMar>
              <w:top w:w="0" w:type="dxa"/>
              <w:left w:w="108" w:type="dxa"/>
              <w:bottom w:w="0" w:type="dxa"/>
              <w:right w:w="108" w:type="dxa"/>
            </w:tcMar>
            <w:hideMark/>
          </w:tcPr>
          <w:p w14:paraId="7B7D3493" w14:textId="77777777" w:rsidR="00270F92" w:rsidRPr="0058047D" w:rsidRDefault="00270F92" w:rsidP="00E53A46">
            <w:pPr>
              <w:rPr>
                <w:rFonts w:eastAsia="Calibri" w:cs="Tahoma"/>
                <w:szCs w:val="18"/>
              </w:rPr>
            </w:pPr>
            <w:r w:rsidRPr="0058047D">
              <w:rPr>
                <w:rFonts w:cs="Tahoma"/>
                <w:szCs w:val="18"/>
              </w:rPr>
              <w:t xml:space="preserve">SQL Server™ </w:t>
            </w:r>
            <w:r w:rsidRPr="0058047D">
              <w:rPr>
                <w:rFonts w:cs="Tahoma"/>
                <w:color w:val="000000"/>
                <w:szCs w:val="18"/>
              </w:rPr>
              <w:t>Standard</w:t>
            </w:r>
          </w:p>
        </w:tc>
        <w:tc>
          <w:tcPr>
            <w:tcW w:w="4230" w:type="dxa"/>
            <w:tcMar>
              <w:top w:w="0" w:type="dxa"/>
              <w:left w:w="108" w:type="dxa"/>
              <w:bottom w:w="0" w:type="dxa"/>
              <w:right w:w="108" w:type="dxa"/>
            </w:tcMar>
            <w:hideMark/>
          </w:tcPr>
          <w:p w14:paraId="0D56E564" w14:textId="77777777" w:rsidR="00270F92" w:rsidRPr="0058047D" w:rsidRDefault="00270F92" w:rsidP="00E53A46">
            <w:pPr>
              <w:rPr>
                <w:rFonts w:eastAsia="Calibri" w:cs="Tahoma"/>
                <w:szCs w:val="18"/>
              </w:rPr>
            </w:pPr>
            <w:r w:rsidRPr="0058047D">
              <w:rPr>
                <w:rFonts w:cs="Tahoma"/>
                <w:szCs w:val="18"/>
              </w:rPr>
              <w:t>SQL Server™ Business Intelligence</w:t>
            </w:r>
          </w:p>
        </w:tc>
      </w:tr>
      <w:tr w:rsidR="003573CD" w:rsidRPr="0058047D" w14:paraId="1FD0319E" w14:textId="77777777" w:rsidTr="001E3F7D">
        <w:tc>
          <w:tcPr>
            <w:tcW w:w="4230" w:type="dxa"/>
            <w:tcMar>
              <w:top w:w="0" w:type="dxa"/>
              <w:left w:w="108" w:type="dxa"/>
              <w:bottom w:w="0" w:type="dxa"/>
              <w:right w:w="108" w:type="dxa"/>
            </w:tcMar>
            <w:hideMark/>
          </w:tcPr>
          <w:p w14:paraId="09D5A3A7" w14:textId="77777777" w:rsidR="003573CD" w:rsidRPr="0058047D" w:rsidRDefault="00D04131" w:rsidP="00554A35">
            <w:pPr>
              <w:rPr>
                <w:rFonts w:eastAsia="Calibri" w:cs="Tahoma"/>
                <w:szCs w:val="18"/>
              </w:rPr>
            </w:pPr>
            <w:r w:rsidRPr="0058047D">
              <w:rPr>
                <w:rFonts w:cs="Tahoma"/>
                <w:szCs w:val="18"/>
              </w:rPr>
              <w:t>System Center 2012 Standard</w:t>
            </w:r>
          </w:p>
        </w:tc>
        <w:tc>
          <w:tcPr>
            <w:tcW w:w="4230" w:type="dxa"/>
            <w:tcMar>
              <w:top w:w="0" w:type="dxa"/>
              <w:left w:w="108" w:type="dxa"/>
              <w:bottom w:w="0" w:type="dxa"/>
              <w:right w:w="108" w:type="dxa"/>
            </w:tcMar>
            <w:hideMark/>
          </w:tcPr>
          <w:p w14:paraId="63F3ECCC" w14:textId="77777777" w:rsidR="003573CD" w:rsidRPr="0058047D" w:rsidRDefault="00D04131" w:rsidP="00554A35">
            <w:pPr>
              <w:rPr>
                <w:rFonts w:eastAsia="Calibri" w:cs="Tahoma"/>
                <w:szCs w:val="18"/>
              </w:rPr>
            </w:pPr>
            <w:r w:rsidRPr="0058047D">
              <w:rPr>
                <w:rFonts w:cs="Tahoma"/>
                <w:szCs w:val="18"/>
              </w:rPr>
              <w:t>System Center 2012 Datacenter</w:t>
            </w:r>
          </w:p>
        </w:tc>
      </w:tr>
      <w:tr w:rsidR="009F254F" w:rsidRPr="0058047D" w14:paraId="0F314582" w14:textId="77777777" w:rsidTr="001E3F7D">
        <w:tc>
          <w:tcPr>
            <w:tcW w:w="4230" w:type="dxa"/>
            <w:tcMar>
              <w:top w:w="0" w:type="dxa"/>
              <w:left w:w="108" w:type="dxa"/>
              <w:bottom w:w="0" w:type="dxa"/>
              <w:right w:w="108" w:type="dxa"/>
            </w:tcMar>
            <w:hideMark/>
          </w:tcPr>
          <w:p w14:paraId="110C3645" w14:textId="77777777" w:rsidR="009F254F" w:rsidRPr="0058047D" w:rsidRDefault="009F254F" w:rsidP="00CA4488">
            <w:pPr>
              <w:rPr>
                <w:rFonts w:eastAsia="Calibri" w:cs="Tahoma"/>
                <w:color w:val="000000"/>
                <w:szCs w:val="18"/>
              </w:rPr>
            </w:pPr>
            <w:r w:rsidRPr="0058047D">
              <w:rPr>
                <w:rFonts w:cs="Tahoma"/>
                <w:color w:val="000000"/>
                <w:szCs w:val="18"/>
              </w:rPr>
              <w:t>Visio</w:t>
            </w:r>
            <w:r w:rsidR="00E53A46" w:rsidRPr="0058047D">
              <w:rPr>
                <w:rFonts w:cs="Tahoma"/>
                <w:color w:val="000000"/>
                <w:szCs w:val="18"/>
                <w:vertAlign w:val="superscript"/>
              </w:rPr>
              <w:t>®</w:t>
            </w:r>
            <w:r w:rsidRPr="0058047D">
              <w:rPr>
                <w:rFonts w:cs="Tahoma"/>
                <w:color w:val="000000"/>
                <w:szCs w:val="18"/>
              </w:rPr>
              <w:t xml:space="preserve"> Standard</w:t>
            </w:r>
          </w:p>
        </w:tc>
        <w:tc>
          <w:tcPr>
            <w:tcW w:w="4230" w:type="dxa"/>
            <w:tcMar>
              <w:top w:w="0" w:type="dxa"/>
              <w:left w:w="108" w:type="dxa"/>
              <w:bottom w:w="0" w:type="dxa"/>
              <w:right w:w="108" w:type="dxa"/>
            </w:tcMar>
            <w:hideMark/>
          </w:tcPr>
          <w:p w14:paraId="1C8AAD91" w14:textId="77777777" w:rsidR="009F254F" w:rsidRPr="0058047D" w:rsidRDefault="009F254F" w:rsidP="00CA4488">
            <w:pPr>
              <w:rPr>
                <w:rFonts w:eastAsia="Calibri" w:cs="Tahoma"/>
                <w:color w:val="000000"/>
                <w:szCs w:val="18"/>
              </w:rPr>
            </w:pPr>
            <w:r w:rsidRPr="0058047D">
              <w:rPr>
                <w:rFonts w:cs="Tahoma"/>
                <w:color w:val="000000"/>
                <w:szCs w:val="18"/>
              </w:rPr>
              <w:t>Visio</w:t>
            </w:r>
            <w:r w:rsidR="00E53A46" w:rsidRPr="0058047D">
              <w:rPr>
                <w:rFonts w:cs="Tahoma"/>
                <w:color w:val="000000"/>
                <w:szCs w:val="18"/>
                <w:vertAlign w:val="superscript"/>
              </w:rPr>
              <w:t>®</w:t>
            </w:r>
            <w:r w:rsidRPr="0058047D">
              <w:rPr>
                <w:rFonts w:cs="Tahoma"/>
                <w:color w:val="000000"/>
                <w:szCs w:val="18"/>
              </w:rPr>
              <w:t xml:space="preserve"> Professional</w:t>
            </w:r>
          </w:p>
        </w:tc>
      </w:tr>
      <w:tr w:rsidR="009F254F" w:rsidRPr="0058047D" w14:paraId="525032FA" w14:textId="77777777" w:rsidTr="001E3F7D">
        <w:tc>
          <w:tcPr>
            <w:tcW w:w="4230" w:type="dxa"/>
            <w:tcMar>
              <w:top w:w="0" w:type="dxa"/>
              <w:left w:w="108" w:type="dxa"/>
              <w:bottom w:w="0" w:type="dxa"/>
              <w:right w:w="108" w:type="dxa"/>
            </w:tcMar>
            <w:hideMark/>
          </w:tcPr>
          <w:p w14:paraId="704437AF" w14:textId="77777777" w:rsidR="009F254F" w:rsidRPr="003F471F" w:rsidRDefault="009F254F" w:rsidP="00CA4488">
            <w:pPr>
              <w:rPr>
                <w:rFonts w:eastAsia="Calibri" w:cs="Tahoma"/>
                <w:color w:val="000000"/>
                <w:szCs w:val="18"/>
                <w:lang w:val="it-IT"/>
              </w:rPr>
            </w:pPr>
            <w:r w:rsidRPr="003F471F">
              <w:rPr>
                <w:rFonts w:cs="Tahoma"/>
                <w:color w:val="000000"/>
                <w:szCs w:val="18"/>
                <w:lang w:val="it-IT"/>
              </w:rPr>
              <w:t>Visual Studio Professional con MSDN</w:t>
            </w:r>
          </w:p>
        </w:tc>
        <w:tc>
          <w:tcPr>
            <w:tcW w:w="4230" w:type="dxa"/>
            <w:tcMar>
              <w:top w:w="0" w:type="dxa"/>
              <w:left w:w="108" w:type="dxa"/>
              <w:bottom w:w="0" w:type="dxa"/>
              <w:right w:w="108" w:type="dxa"/>
            </w:tcMar>
            <w:hideMark/>
          </w:tcPr>
          <w:p w14:paraId="04191BE8" w14:textId="77777777" w:rsidR="009F254F" w:rsidRPr="0058047D" w:rsidRDefault="009F254F" w:rsidP="00CA4488">
            <w:pPr>
              <w:rPr>
                <w:rFonts w:eastAsia="Calibri" w:cs="Tahoma"/>
                <w:color w:val="000000"/>
                <w:szCs w:val="18"/>
              </w:rPr>
            </w:pPr>
            <w:r w:rsidRPr="0058047D">
              <w:rPr>
                <w:rFonts w:cs="Tahoma"/>
                <w:color w:val="000000"/>
                <w:szCs w:val="18"/>
              </w:rPr>
              <w:t>Visual Studio Premium con MSDN</w:t>
            </w:r>
          </w:p>
        </w:tc>
      </w:tr>
      <w:tr w:rsidR="009F254F" w:rsidRPr="003F471F" w14:paraId="2C3977DC" w14:textId="77777777" w:rsidTr="001E3F7D">
        <w:tc>
          <w:tcPr>
            <w:tcW w:w="4230" w:type="dxa"/>
            <w:tcMar>
              <w:top w:w="0" w:type="dxa"/>
              <w:left w:w="108" w:type="dxa"/>
              <w:bottom w:w="0" w:type="dxa"/>
              <w:right w:w="108" w:type="dxa"/>
            </w:tcMar>
            <w:hideMark/>
          </w:tcPr>
          <w:p w14:paraId="69C0744A" w14:textId="77777777" w:rsidR="009F254F" w:rsidRPr="0058047D" w:rsidRDefault="009F254F" w:rsidP="00CA4488">
            <w:pPr>
              <w:rPr>
                <w:rFonts w:eastAsia="Calibri" w:cs="Tahoma"/>
                <w:szCs w:val="18"/>
              </w:rPr>
            </w:pPr>
            <w:r w:rsidRPr="0058047D">
              <w:rPr>
                <w:rFonts w:cs="Tahoma"/>
                <w:szCs w:val="18"/>
              </w:rPr>
              <w:t>Visual Studio Premium con MSDN</w:t>
            </w:r>
          </w:p>
        </w:tc>
        <w:tc>
          <w:tcPr>
            <w:tcW w:w="4230" w:type="dxa"/>
            <w:tcMar>
              <w:top w:w="0" w:type="dxa"/>
              <w:left w:w="108" w:type="dxa"/>
              <w:bottom w:w="0" w:type="dxa"/>
              <w:right w:w="108" w:type="dxa"/>
            </w:tcMar>
            <w:hideMark/>
          </w:tcPr>
          <w:p w14:paraId="173A2210" w14:textId="77777777" w:rsidR="009F254F" w:rsidRPr="003F471F" w:rsidRDefault="009F254F" w:rsidP="00CA4488">
            <w:pPr>
              <w:rPr>
                <w:rFonts w:eastAsia="Calibri" w:cs="Tahoma"/>
                <w:szCs w:val="18"/>
                <w:lang w:val="it-IT"/>
              </w:rPr>
            </w:pPr>
            <w:r w:rsidRPr="003F471F">
              <w:rPr>
                <w:rFonts w:cs="Tahoma"/>
                <w:szCs w:val="18"/>
                <w:lang w:val="it-IT"/>
              </w:rPr>
              <w:t>Visual Studio Ultimate con MSDN</w:t>
            </w:r>
          </w:p>
        </w:tc>
      </w:tr>
      <w:tr w:rsidR="009F254F" w:rsidRPr="0058047D" w14:paraId="5C8B686A" w14:textId="77777777" w:rsidTr="001E3F7D">
        <w:tc>
          <w:tcPr>
            <w:tcW w:w="4230" w:type="dxa"/>
            <w:tcMar>
              <w:top w:w="0" w:type="dxa"/>
              <w:left w:w="108" w:type="dxa"/>
              <w:bottom w:w="0" w:type="dxa"/>
              <w:right w:w="108" w:type="dxa"/>
            </w:tcMar>
            <w:hideMark/>
          </w:tcPr>
          <w:p w14:paraId="33B807AB" w14:textId="77777777" w:rsidR="009F254F" w:rsidRPr="0058047D" w:rsidRDefault="009F254F" w:rsidP="00CA4488">
            <w:pPr>
              <w:rPr>
                <w:rFonts w:eastAsia="Calibri" w:cs="Tahoma"/>
                <w:szCs w:val="18"/>
              </w:rPr>
            </w:pPr>
            <w:r w:rsidRPr="0058047D">
              <w:rPr>
                <w:rFonts w:cs="Tahoma"/>
                <w:szCs w:val="18"/>
              </w:rPr>
              <w:t>Visual Studio Test Professional con MSDN</w:t>
            </w:r>
          </w:p>
        </w:tc>
        <w:tc>
          <w:tcPr>
            <w:tcW w:w="4230" w:type="dxa"/>
            <w:tcMar>
              <w:top w:w="0" w:type="dxa"/>
              <w:left w:w="108" w:type="dxa"/>
              <w:bottom w:w="0" w:type="dxa"/>
              <w:right w:w="108" w:type="dxa"/>
            </w:tcMar>
            <w:hideMark/>
          </w:tcPr>
          <w:p w14:paraId="360AEF4F" w14:textId="77777777" w:rsidR="009F254F" w:rsidRPr="0058047D" w:rsidRDefault="009F254F" w:rsidP="007E710C">
            <w:pPr>
              <w:rPr>
                <w:rFonts w:eastAsia="Calibri" w:cs="Tahoma"/>
                <w:szCs w:val="18"/>
              </w:rPr>
            </w:pPr>
            <w:r w:rsidRPr="0058047D">
              <w:rPr>
                <w:rFonts w:cs="Tahoma"/>
                <w:szCs w:val="18"/>
              </w:rPr>
              <w:t>Visual Studio Premium con MSDN</w:t>
            </w:r>
          </w:p>
        </w:tc>
      </w:tr>
      <w:tr w:rsidR="003573CD" w:rsidRPr="0058047D" w14:paraId="5C7F33F8" w14:textId="77777777" w:rsidTr="001E3F7D">
        <w:tc>
          <w:tcPr>
            <w:tcW w:w="4230" w:type="dxa"/>
            <w:tcMar>
              <w:top w:w="0" w:type="dxa"/>
              <w:left w:w="108" w:type="dxa"/>
              <w:bottom w:w="0" w:type="dxa"/>
              <w:right w:w="108" w:type="dxa"/>
            </w:tcMar>
            <w:hideMark/>
          </w:tcPr>
          <w:p w14:paraId="6B31859E" w14:textId="77777777" w:rsidR="003573CD" w:rsidRPr="0058047D" w:rsidRDefault="003573CD" w:rsidP="00554A35">
            <w:pPr>
              <w:rPr>
                <w:rFonts w:eastAsia="Calibri" w:cs="Tahoma"/>
                <w:szCs w:val="18"/>
              </w:rPr>
            </w:pPr>
            <w:r w:rsidRPr="0058047D">
              <w:rPr>
                <w:rFonts w:cs="Tahoma"/>
                <w:szCs w:val="18"/>
              </w:rPr>
              <w:t>Windows</w:t>
            </w:r>
            <w:r w:rsidR="00E53A46" w:rsidRPr="0058047D">
              <w:rPr>
                <w:rFonts w:cs="Tahoma"/>
                <w:szCs w:val="18"/>
                <w:vertAlign w:val="superscript"/>
              </w:rPr>
              <w:t>®</w:t>
            </w:r>
            <w:r w:rsidRPr="0058047D">
              <w:rPr>
                <w:rFonts w:cs="Tahoma"/>
                <w:szCs w:val="18"/>
              </w:rPr>
              <w:t xml:space="preserve"> Server™ Standard</w:t>
            </w:r>
          </w:p>
        </w:tc>
        <w:tc>
          <w:tcPr>
            <w:tcW w:w="4230" w:type="dxa"/>
            <w:tcMar>
              <w:top w:w="0" w:type="dxa"/>
              <w:left w:w="108" w:type="dxa"/>
              <w:bottom w:w="0" w:type="dxa"/>
              <w:right w:w="108" w:type="dxa"/>
            </w:tcMar>
            <w:hideMark/>
          </w:tcPr>
          <w:p w14:paraId="65DFF9CE" w14:textId="77777777" w:rsidR="003573CD" w:rsidRPr="0058047D" w:rsidRDefault="003573CD" w:rsidP="00554A35">
            <w:pPr>
              <w:rPr>
                <w:rFonts w:eastAsia="Calibri" w:cs="Tahoma"/>
                <w:szCs w:val="18"/>
              </w:rPr>
            </w:pPr>
            <w:r w:rsidRPr="0058047D">
              <w:rPr>
                <w:rFonts w:cs="Tahoma"/>
                <w:szCs w:val="18"/>
              </w:rPr>
              <w:t>Windows</w:t>
            </w:r>
            <w:r w:rsidR="00E53A46" w:rsidRPr="0058047D">
              <w:rPr>
                <w:rFonts w:cs="Tahoma"/>
                <w:szCs w:val="18"/>
                <w:vertAlign w:val="superscript"/>
              </w:rPr>
              <w:t>®</w:t>
            </w:r>
            <w:r w:rsidRPr="0058047D">
              <w:rPr>
                <w:rFonts w:cs="Tahoma"/>
                <w:szCs w:val="18"/>
              </w:rPr>
              <w:t xml:space="preserve"> Server™ Datacenter</w:t>
            </w:r>
          </w:p>
        </w:tc>
      </w:tr>
    </w:tbl>
    <w:p w14:paraId="16F98CA9" w14:textId="77777777" w:rsidR="003573CD" w:rsidRPr="003F471F" w:rsidRDefault="003573CD" w:rsidP="00AF1D88">
      <w:pPr>
        <w:pStyle w:val="AppendixBodyText"/>
        <w:rPr>
          <w:lang w:val="it-IT"/>
        </w:rPr>
      </w:pPr>
      <w:r w:rsidRPr="003F471F">
        <w:rPr>
          <w:rFonts w:ascii="Tahoma" w:hAnsi="Tahoma" w:cs="Tahoma"/>
          <w:b/>
          <w:i/>
          <w:sz w:val="16"/>
          <w:szCs w:val="16"/>
          <w:lang w:val="it-IT"/>
        </w:rPr>
        <w:t>*Nota:</w:t>
      </w:r>
      <w:r w:rsidRPr="003F471F">
        <w:rPr>
          <w:rFonts w:ascii="Tahoma" w:hAnsi="Tahoma" w:cs="Tahoma"/>
          <w:i/>
          <w:sz w:val="16"/>
          <w:szCs w:val="16"/>
          <w:lang w:val="it-IT"/>
        </w:rPr>
        <w:t xml:space="preserve"> La lista dei prodotti per cui sono disponibili Licenze Step-up è soggetta a modifiche.</w:t>
      </w:r>
    </w:p>
    <w:p w14:paraId="7E95E185" w14:textId="77777777" w:rsidR="003573CD" w:rsidRPr="003F471F" w:rsidRDefault="003573CD">
      <w:pPr>
        <w:rPr>
          <w:lang w:val="it-IT"/>
        </w:rPr>
      </w:pPr>
    </w:p>
    <w:p w14:paraId="56F99903" w14:textId="77777777" w:rsidR="00023FE7" w:rsidRPr="003F471F" w:rsidRDefault="00023FE7">
      <w:pPr>
        <w:pStyle w:val="AppendixBodyText"/>
        <w:ind w:left="1710" w:hanging="1260"/>
        <w:rPr>
          <w:lang w:val="it-IT"/>
        </w:rPr>
      </w:pPr>
      <w:r w:rsidRPr="003F471F">
        <w:rPr>
          <w:rFonts w:ascii="Tahoma" w:hAnsi="Tahoma" w:cs="Tahoma"/>
          <w:b/>
          <w:i/>
          <w:lang w:val="it-IT"/>
        </w:rPr>
        <w:t xml:space="preserve"> </w:t>
      </w:r>
    </w:p>
    <w:p w14:paraId="406FDEEF" w14:textId="77777777" w:rsidR="00023FE7" w:rsidRPr="003F471F" w:rsidRDefault="00CA395A" w:rsidP="00147698">
      <w:pPr>
        <w:pStyle w:val="Heading1"/>
        <w:spacing w:before="0"/>
        <w:rPr>
          <w:lang w:val="it-IT"/>
        </w:rPr>
      </w:pPr>
      <w:r w:rsidRPr="003F471F">
        <w:rPr>
          <w:lang w:val="it-IT"/>
        </w:rPr>
        <w:br w:type="page"/>
      </w:r>
      <w:bookmarkStart w:id="907" w:name="_Toc317591256"/>
      <w:bookmarkStart w:id="908" w:name="_Toc336338247"/>
      <w:bookmarkStart w:id="909" w:name="_Toc371663641"/>
      <w:r w:rsidRPr="003F471F">
        <w:rPr>
          <w:lang w:val="it-IT"/>
        </w:rPr>
        <w:t>ARTICOLO 8 - Servizi</w:t>
      </w:r>
      <w:bookmarkEnd w:id="907"/>
      <w:bookmarkEnd w:id="908"/>
      <w:bookmarkEnd w:id="909"/>
    </w:p>
    <w:p w14:paraId="1EC83E4F" w14:textId="77777777" w:rsidR="00023FE7" w:rsidRPr="003F471F" w:rsidRDefault="00023FE7">
      <w:pPr>
        <w:rPr>
          <w:lang w:val="it-IT"/>
        </w:rPr>
      </w:pPr>
    </w:p>
    <w:p w14:paraId="030B1B1E" w14:textId="77777777" w:rsidR="00DD7F8E" w:rsidRPr="003F471F" w:rsidRDefault="00DD7F8E" w:rsidP="00607FE8">
      <w:pPr>
        <w:jc w:val="both"/>
        <w:rPr>
          <w:lang w:val="it-IT"/>
        </w:rPr>
      </w:pPr>
      <w:r w:rsidRPr="003F471F">
        <w:rPr>
          <w:rFonts w:eastAsia="Times New Roman" w:cs="Tahoma"/>
          <w:szCs w:val="20"/>
          <w:lang w:val="it-IT"/>
        </w:rPr>
        <w:t>Il diritto di utilizzo dei Servizi acquistati dalla presente Lista dei Prodotti da parte della società è disciplinato (1) dal Contratto Multilicenza della società e (2) da qualunque contratto per i Servizi Microsoft di livello master applicabile alla società all</w:t>
      </w:r>
      <w:r w:rsidR="001C4212" w:rsidRPr="003F471F">
        <w:rPr>
          <w:rFonts w:eastAsia="Times New Roman" w:cs="Tahoma"/>
          <w:szCs w:val="20"/>
          <w:lang w:val="it-IT"/>
        </w:rPr>
        <w:t>’</w:t>
      </w:r>
      <w:r w:rsidRPr="003F471F">
        <w:rPr>
          <w:rFonts w:eastAsia="Times New Roman" w:cs="Tahoma"/>
          <w:szCs w:val="20"/>
          <w:lang w:val="it-IT"/>
        </w:rPr>
        <w:t>epoca dell</w:t>
      </w:r>
      <w:r w:rsidR="001C4212" w:rsidRPr="003F471F">
        <w:rPr>
          <w:rFonts w:eastAsia="Times New Roman" w:cs="Tahoma"/>
          <w:szCs w:val="20"/>
          <w:lang w:val="it-IT"/>
        </w:rPr>
        <w:t>’</w:t>
      </w:r>
      <w:r w:rsidRPr="003F471F">
        <w:rPr>
          <w:rFonts w:eastAsia="Times New Roman" w:cs="Tahoma"/>
          <w:szCs w:val="20"/>
          <w:lang w:val="it-IT"/>
        </w:rPr>
        <w:t>acquisto. Nell</w:t>
      </w:r>
      <w:r w:rsidR="001C4212" w:rsidRPr="003F471F">
        <w:rPr>
          <w:rFonts w:eastAsia="Times New Roman" w:cs="Tahoma"/>
          <w:szCs w:val="20"/>
          <w:lang w:val="it-IT"/>
        </w:rPr>
        <w:t>’</w:t>
      </w:r>
      <w:r w:rsidRPr="003F471F">
        <w:rPr>
          <w:rFonts w:eastAsia="Times New Roman" w:cs="Tahoma"/>
          <w:szCs w:val="20"/>
          <w:lang w:val="it-IT"/>
        </w:rPr>
        <w:t>eventualità di discrepanze, il contratto più aggiornato relativo ai Servizi avrà la priorità.</w:t>
      </w:r>
      <w:r w:rsidR="00E34ED3" w:rsidRPr="003F471F">
        <w:rPr>
          <w:rFonts w:eastAsia="Times New Roman" w:cs="Tahoma"/>
          <w:szCs w:val="20"/>
          <w:lang w:val="it-IT"/>
        </w:rPr>
        <w:t xml:space="preserve"> </w:t>
      </w:r>
      <w:r w:rsidRPr="003F471F">
        <w:rPr>
          <w:rFonts w:cs="Tahoma"/>
          <w:color w:val="000000"/>
          <w:szCs w:val="18"/>
          <w:lang w:val="it-IT"/>
        </w:rPr>
        <w:t>Se il contratto Volume License o le condizioni dei Servizi di livello master della società non contengono disposizioni relative alla Titolarità dei Servizi e alla lingua della Licenza, si applicheranno i Diritti sull</w:t>
      </w:r>
      <w:r w:rsidR="001C4212" w:rsidRPr="003F471F">
        <w:rPr>
          <w:rFonts w:cs="Tahoma"/>
          <w:color w:val="000000"/>
          <w:szCs w:val="18"/>
          <w:lang w:val="it-IT"/>
        </w:rPr>
        <w:t>’</w:t>
      </w:r>
      <w:r w:rsidRPr="003F471F">
        <w:rPr>
          <w:rFonts w:cs="Tahoma"/>
          <w:color w:val="000000"/>
          <w:szCs w:val="18"/>
          <w:lang w:val="it-IT"/>
        </w:rPr>
        <w:t>utilizzo, di</w:t>
      </w:r>
      <w:r w:rsidR="00147698" w:rsidRPr="003F471F">
        <w:rPr>
          <w:rFonts w:cs="Tahoma"/>
          <w:color w:val="000000"/>
          <w:szCs w:val="18"/>
          <w:lang w:val="it-IT"/>
        </w:rPr>
        <w:t> </w:t>
      </w:r>
      <w:r w:rsidRPr="003F471F">
        <w:rPr>
          <w:rFonts w:cs="Tahoma"/>
          <w:color w:val="000000"/>
          <w:szCs w:val="18"/>
          <w:lang w:val="it-IT"/>
        </w:rPr>
        <w:t>titolarità e di licenza definiti nelle Condizioni di Servizio Aggiuntive riportate di seguito.</w:t>
      </w:r>
      <w:r w:rsidR="00E34ED3" w:rsidRPr="003F471F">
        <w:rPr>
          <w:rFonts w:cs="Tahoma"/>
          <w:color w:val="000000"/>
          <w:szCs w:val="18"/>
          <w:lang w:val="it-IT"/>
        </w:rPr>
        <w:t xml:space="preserve"> </w:t>
      </w:r>
      <w:r w:rsidRPr="003F471F">
        <w:rPr>
          <w:rFonts w:eastAsia="Times New Roman" w:cs="Tahoma"/>
          <w:szCs w:val="20"/>
          <w:lang w:val="it-IT"/>
        </w:rPr>
        <w:t>Qualora la società non abbia stipulato con Microsoft un contratto per i Servizi di livello master, si applicheranno le Condizioni di Servizio Aggiuntive riportate di seguito.</w:t>
      </w:r>
    </w:p>
    <w:p w14:paraId="5C1C0D23" w14:textId="77777777" w:rsidR="00DD7F8E" w:rsidRPr="003F471F" w:rsidRDefault="00DD7F8E" w:rsidP="00607FE8">
      <w:pPr>
        <w:jc w:val="both"/>
        <w:rPr>
          <w:lang w:val="it-IT"/>
        </w:rPr>
      </w:pPr>
    </w:p>
    <w:p w14:paraId="3B30DD3F" w14:textId="77777777" w:rsidR="00DD7F8E" w:rsidRPr="003F471F" w:rsidRDefault="00DD7F8E" w:rsidP="00607FE8">
      <w:pPr>
        <w:spacing w:after="75"/>
        <w:rPr>
          <w:lang w:val="it-IT"/>
        </w:rPr>
      </w:pPr>
      <w:r w:rsidRPr="003F471F">
        <w:rPr>
          <w:rFonts w:eastAsia="Times New Roman" w:cs="Tahoma"/>
          <w:szCs w:val="20"/>
          <w:lang w:val="it-IT"/>
        </w:rPr>
        <w:t xml:space="preserve">Una descrizione dettagliata dei Servizi che le società possono acquistare è fornita nelle sezioni seguenti. </w:t>
      </w:r>
    </w:p>
    <w:p w14:paraId="5CA48916" w14:textId="77777777" w:rsidR="00DD7F8E" w:rsidRPr="003F471F" w:rsidRDefault="00DD7F8E" w:rsidP="00607FE8">
      <w:pPr>
        <w:spacing w:after="75"/>
        <w:rPr>
          <w:lang w:val="it-IT"/>
        </w:rPr>
      </w:pPr>
      <w:r w:rsidRPr="003F471F">
        <w:rPr>
          <w:rFonts w:eastAsia="Times New Roman" w:cs="Tahoma"/>
          <w:szCs w:val="20"/>
          <w:lang w:val="it-IT"/>
        </w:rPr>
        <w:t>La disponibilità delle offerte seguenti varia in base alla regione e al Programma per Contratti Multilicenza. Alcune offerte potrebbero non essere disponibili per gli Enti Pubblici con determinate eccezioni limitate in merito a progetti pilota. Le società dovranno contattare il proprio rivenditore o l</w:t>
      </w:r>
      <w:r w:rsidR="001C4212" w:rsidRPr="003F471F">
        <w:rPr>
          <w:rFonts w:eastAsia="Times New Roman" w:cs="Tahoma"/>
          <w:szCs w:val="20"/>
          <w:lang w:val="it-IT"/>
        </w:rPr>
        <w:t>’</w:t>
      </w:r>
      <w:r w:rsidRPr="003F471F">
        <w:rPr>
          <w:rFonts w:eastAsia="Times New Roman" w:cs="Tahoma"/>
          <w:szCs w:val="20"/>
          <w:lang w:val="it-IT"/>
        </w:rPr>
        <w:t>Account Manager designato da Microsoft per richiedere informazioni relative alla disponibilità di una determinata offerta.</w:t>
      </w:r>
    </w:p>
    <w:p w14:paraId="2F2BEA9C" w14:textId="77777777" w:rsidR="00F42FB8" w:rsidRPr="003F471F" w:rsidRDefault="00F42FB8" w:rsidP="00DD7F8E">
      <w:pPr>
        <w:rPr>
          <w:lang w:val="it-IT"/>
        </w:rPr>
      </w:pPr>
    </w:p>
    <w:p w14:paraId="42D41F70" w14:textId="77777777" w:rsidR="00DD7F8E" w:rsidRPr="003F471F" w:rsidRDefault="00DD7F8E" w:rsidP="00DD7F8E">
      <w:pPr>
        <w:rPr>
          <w:lang w:val="it-IT"/>
        </w:rPr>
      </w:pPr>
      <w:r w:rsidRPr="003F471F">
        <w:rPr>
          <w:b/>
          <w:sz w:val="24"/>
          <w:szCs w:val="24"/>
          <w:lang w:val="it-IT"/>
        </w:rPr>
        <w:t>Offerte di Supporto Tecnico Microsoft Premier</w:t>
      </w:r>
    </w:p>
    <w:p w14:paraId="5EC6F170" w14:textId="77777777" w:rsidR="00DB2D1E" w:rsidRPr="003F471F" w:rsidRDefault="00DB2D1E" w:rsidP="00DC0853">
      <w:pPr>
        <w:rPr>
          <w:lang w:val="it-IT"/>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58047D" w14:paraId="3B09E4E1" w14:textId="77777777" w:rsidTr="002A6416">
        <w:tc>
          <w:tcPr>
            <w:tcW w:w="3168" w:type="dxa"/>
            <w:shd w:val="clear" w:color="auto" w:fill="FABF8F"/>
            <w:vAlign w:val="center"/>
          </w:tcPr>
          <w:p w14:paraId="11294928" w14:textId="77777777" w:rsidR="00DB2D1E" w:rsidRPr="0058047D" w:rsidRDefault="00DB2D1E" w:rsidP="00DE73D4">
            <w:pPr>
              <w:jc w:val="center"/>
              <w:rPr>
                <w:rFonts w:cs="Tahoma"/>
                <w:color w:val="000000"/>
                <w:szCs w:val="18"/>
              </w:rPr>
            </w:pPr>
            <w:r w:rsidRPr="0058047D">
              <w:rPr>
                <w:rFonts w:cs="Tahoma"/>
                <w:b/>
                <w:bCs/>
                <w:color w:val="000000"/>
                <w:sz w:val="20"/>
                <w:szCs w:val="18"/>
              </w:rPr>
              <w:t xml:space="preserve">Area </w:t>
            </w:r>
            <w:r w:rsidRPr="0058047D">
              <w:rPr>
                <w:rFonts w:cs="Tahoma"/>
                <w:b/>
                <w:bCs/>
                <w:color w:val="000000"/>
                <w:sz w:val="20"/>
                <w:szCs w:val="18"/>
                <w:vertAlign w:val="superscript"/>
              </w:rPr>
              <w:t>1</w:t>
            </w:r>
          </w:p>
        </w:tc>
        <w:tc>
          <w:tcPr>
            <w:tcW w:w="1580" w:type="dxa"/>
            <w:shd w:val="clear" w:color="auto" w:fill="FABF8F"/>
            <w:vAlign w:val="center"/>
          </w:tcPr>
          <w:p w14:paraId="77E8337B" w14:textId="77777777" w:rsidR="00DB2D1E" w:rsidRPr="0058047D" w:rsidRDefault="00DB2D1E" w:rsidP="00DE73D4">
            <w:pPr>
              <w:jc w:val="center"/>
              <w:rPr>
                <w:rFonts w:cs="Tahoma"/>
                <w:color w:val="000000"/>
                <w:sz w:val="20"/>
                <w:szCs w:val="20"/>
              </w:rPr>
            </w:pPr>
            <w:r w:rsidRPr="0058047D">
              <w:rPr>
                <w:rFonts w:cs="Tahoma"/>
                <w:b/>
                <w:bCs/>
                <w:color w:val="000000"/>
                <w:sz w:val="20"/>
                <w:szCs w:val="20"/>
              </w:rPr>
              <w:t>Premier Core</w:t>
            </w:r>
          </w:p>
        </w:tc>
        <w:tc>
          <w:tcPr>
            <w:tcW w:w="1444" w:type="dxa"/>
            <w:shd w:val="clear" w:color="auto" w:fill="FABF8F"/>
          </w:tcPr>
          <w:p w14:paraId="220BFF7B" w14:textId="77777777" w:rsidR="00DB2D1E" w:rsidRPr="0058047D" w:rsidRDefault="00DB2D1E" w:rsidP="00DE73D4">
            <w:pPr>
              <w:jc w:val="center"/>
              <w:rPr>
                <w:rFonts w:cs="Tahoma"/>
                <w:b/>
                <w:bCs/>
                <w:color w:val="000000"/>
                <w:sz w:val="20"/>
                <w:szCs w:val="18"/>
              </w:rPr>
            </w:pPr>
            <w:r w:rsidRPr="0058047D">
              <w:rPr>
                <w:rFonts w:cs="Tahoma"/>
                <w:b/>
                <w:bCs/>
                <w:color w:val="000000"/>
                <w:sz w:val="20"/>
                <w:szCs w:val="18"/>
              </w:rPr>
              <w:t>Premier Foundation</w:t>
            </w:r>
          </w:p>
        </w:tc>
        <w:tc>
          <w:tcPr>
            <w:tcW w:w="1687" w:type="dxa"/>
            <w:shd w:val="clear" w:color="auto" w:fill="FABF8F"/>
            <w:vAlign w:val="center"/>
          </w:tcPr>
          <w:p w14:paraId="4154C6A8" w14:textId="77777777" w:rsidR="00DB2D1E" w:rsidRPr="0058047D" w:rsidRDefault="00DB2D1E" w:rsidP="00DE73D4">
            <w:pPr>
              <w:jc w:val="center"/>
              <w:rPr>
                <w:rFonts w:cs="Tahoma"/>
                <w:color w:val="000000"/>
                <w:szCs w:val="18"/>
              </w:rPr>
            </w:pPr>
            <w:r w:rsidRPr="0058047D">
              <w:rPr>
                <w:rFonts w:cs="Tahoma"/>
                <w:b/>
                <w:bCs/>
                <w:color w:val="000000"/>
                <w:sz w:val="20"/>
                <w:szCs w:val="18"/>
              </w:rPr>
              <w:t>Premier Standard</w:t>
            </w:r>
          </w:p>
        </w:tc>
        <w:tc>
          <w:tcPr>
            <w:tcW w:w="1589" w:type="dxa"/>
            <w:shd w:val="clear" w:color="auto" w:fill="FABF8F"/>
            <w:vAlign w:val="center"/>
          </w:tcPr>
          <w:p w14:paraId="6C5604FA" w14:textId="77777777" w:rsidR="00DB2D1E" w:rsidRPr="0058047D" w:rsidRDefault="00DB2D1E" w:rsidP="00DE73D4">
            <w:pPr>
              <w:jc w:val="center"/>
              <w:rPr>
                <w:rFonts w:cs="Tahoma"/>
                <w:color w:val="000000"/>
                <w:szCs w:val="18"/>
              </w:rPr>
            </w:pPr>
            <w:r w:rsidRPr="0058047D">
              <w:rPr>
                <w:rFonts w:cs="Tahoma"/>
                <w:b/>
                <w:bCs/>
                <w:color w:val="000000"/>
                <w:sz w:val="20"/>
                <w:szCs w:val="18"/>
              </w:rPr>
              <w:t>Premier Plus</w:t>
            </w:r>
          </w:p>
        </w:tc>
      </w:tr>
      <w:tr w:rsidR="00DB2D1E" w:rsidRPr="0058047D" w14:paraId="3C9E9213" w14:textId="77777777" w:rsidTr="002A6416">
        <w:tc>
          <w:tcPr>
            <w:tcW w:w="3168" w:type="dxa"/>
            <w:vAlign w:val="center"/>
          </w:tcPr>
          <w:p w14:paraId="059E6189" w14:textId="77777777" w:rsidR="00DB2D1E" w:rsidRPr="0058047D" w:rsidRDefault="00DB2D1E" w:rsidP="00DE73D4">
            <w:pPr>
              <w:rPr>
                <w:rFonts w:cs="Tahoma"/>
                <w:color w:val="000000"/>
                <w:szCs w:val="18"/>
              </w:rPr>
            </w:pPr>
            <w:r w:rsidRPr="0058047D">
              <w:rPr>
                <w:rFonts w:cs="Tahoma"/>
                <w:color w:val="000000"/>
                <w:szCs w:val="18"/>
              </w:rPr>
              <w:t xml:space="preserve">Support Account Management </w:t>
            </w:r>
          </w:p>
        </w:tc>
        <w:tc>
          <w:tcPr>
            <w:tcW w:w="1580" w:type="dxa"/>
            <w:vAlign w:val="center"/>
          </w:tcPr>
          <w:p w14:paraId="2810776C" w14:textId="77777777" w:rsidR="00DB2D1E" w:rsidRPr="0058047D" w:rsidRDefault="00DB2D1E" w:rsidP="00DE73D4">
            <w:pPr>
              <w:jc w:val="center"/>
              <w:rPr>
                <w:rFonts w:cs="Tahoma"/>
                <w:color w:val="000000"/>
                <w:szCs w:val="18"/>
              </w:rPr>
            </w:pPr>
            <w:r w:rsidRPr="0058047D">
              <w:rPr>
                <w:rFonts w:ascii="MS UI Gothic" w:eastAsia="MS UI Gothic" w:hAnsi="MS UI Gothic" w:cs="MS UI Gothic"/>
                <w:color w:val="000000"/>
                <w:szCs w:val="18"/>
              </w:rPr>
              <w:t>✓</w:t>
            </w:r>
          </w:p>
        </w:tc>
        <w:tc>
          <w:tcPr>
            <w:tcW w:w="1444" w:type="dxa"/>
            <w:vAlign w:val="center"/>
          </w:tcPr>
          <w:p w14:paraId="1AC23BFC" w14:textId="77777777" w:rsidR="00DB2D1E" w:rsidRPr="0058047D" w:rsidRDefault="00DB2D1E" w:rsidP="00DE73D4">
            <w:pPr>
              <w:jc w:val="center"/>
              <w:rPr>
                <w:rFonts w:cs="Tahoma"/>
                <w:color w:val="000000"/>
                <w:szCs w:val="18"/>
              </w:rPr>
            </w:pPr>
            <w:r w:rsidRPr="0058047D">
              <w:rPr>
                <w:rFonts w:ascii="MS UI Gothic" w:eastAsia="MS UI Gothic" w:hAnsi="MS UI Gothic" w:cs="MS UI Gothic"/>
                <w:color w:val="000000"/>
                <w:szCs w:val="18"/>
              </w:rPr>
              <w:t>✓</w:t>
            </w:r>
          </w:p>
        </w:tc>
        <w:tc>
          <w:tcPr>
            <w:tcW w:w="1687" w:type="dxa"/>
            <w:vAlign w:val="center"/>
          </w:tcPr>
          <w:p w14:paraId="2883EC8B" w14:textId="77777777" w:rsidR="00DB2D1E" w:rsidRPr="0058047D" w:rsidRDefault="00DB2D1E" w:rsidP="00DE73D4">
            <w:pPr>
              <w:jc w:val="center"/>
              <w:rPr>
                <w:rFonts w:cs="Tahoma"/>
                <w:color w:val="000000"/>
                <w:szCs w:val="18"/>
              </w:rPr>
            </w:pPr>
            <w:r w:rsidRPr="0058047D">
              <w:rPr>
                <w:rFonts w:cs="Tahoma"/>
                <w:color w:val="000000"/>
                <w:szCs w:val="18"/>
              </w:rPr>
              <w:t>√</w:t>
            </w:r>
          </w:p>
        </w:tc>
        <w:tc>
          <w:tcPr>
            <w:tcW w:w="1589" w:type="dxa"/>
            <w:vAlign w:val="center"/>
          </w:tcPr>
          <w:p w14:paraId="68165A99" w14:textId="77777777" w:rsidR="00DB2D1E" w:rsidRPr="0058047D" w:rsidRDefault="00DB2D1E" w:rsidP="00DE73D4">
            <w:pPr>
              <w:jc w:val="center"/>
              <w:rPr>
                <w:rFonts w:cs="Tahoma"/>
                <w:color w:val="000000"/>
                <w:szCs w:val="18"/>
              </w:rPr>
            </w:pPr>
            <w:r w:rsidRPr="0058047D">
              <w:rPr>
                <w:rFonts w:cs="Tahoma"/>
                <w:color w:val="000000"/>
                <w:szCs w:val="18"/>
              </w:rPr>
              <w:t>√</w:t>
            </w:r>
          </w:p>
        </w:tc>
      </w:tr>
      <w:tr w:rsidR="00DB2D1E" w:rsidRPr="0058047D" w14:paraId="2CBB969C" w14:textId="77777777" w:rsidTr="002A6416">
        <w:tc>
          <w:tcPr>
            <w:tcW w:w="3168" w:type="dxa"/>
            <w:vAlign w:val="center"/>
          </w:tcPr>
          <w:p w14:paraId="2A56AB5C" w14:textId="77777777" w:rsidR="00DB2D1E" w:rsidRPr="0058047D" w:rsidRDefault="00DB2D1E" w:rsidP="00DE73D4">
            <w:pPr>
              <w:rPr>
                <w:rFonts w:cs="Tahoma"/>
                <w:color w:val="000000"/>
                <w:szCs w:val="18"/>
              </w:rPr>
            </w:pPr>
            <w:r w:rsidRPr="0058047D">
              <w:rPr>
                <w:rFonts w:cs="Tahoma"/>
                <w:color w:val="000000"/>
                <w:szCs w:val="18"/>
              </w:rPr>
              <w:t>Profiling e Reporting dell</w:t>
            </w:r>
            <w:r w:rsidR="001C4212">
              <w:rPr>
                <w:rFonts w:cs="Tahoma"/>
                <w:color w:val="000000"/>
                <w:szCs w:val="18"/>
              </w:rPr>
              <w:t>’</w:t>
            </w:r>
            <w:r w:rsidRPr="0058047D">
              <w:rPr>
                <w:rFonts w:cs="Tahoma"/>
                <w:color w:val="000000"/>
                <w:szCs w:val="18"/>
              </w:rPr>
              <w:t>Account</w:t>
            </w:r>
          </w:p>
        </w:tc>
        <w:tc>
          <w:tcPr>
            <w:tcW w:w="1580" w:type="dxa"/>
            <w:vAlign w:val="center"/>
          </w:tcPr>
          <w:p w14:paraId="59F8B4B3" w14:textId="77777777" w:rsidR="00DB2D1E" w:rsidRPr="0058047D" w:rsidRDefault="00DB2D1E" w:rsidP="00DE73D4">
            <w:pPr>
              <w:jc w:val="center"/>
              <w:rPr>
                <w:rFonts w:cs="Tahoma"/>
                <w:color w:val="000000"/>
                <w:szCs w:val="18"/>
              </w:rPr>
            </w:pPr>
            <w:r w:rsidRPr="0058047D">
              <w:rPr>
                <w:rFonts w:cs="Tahoma"/>
                <w:color w:val="000000"/>
                <w:szCs w:val="18"/>
              </w:rPr>
              <w:t>Mensile</w:t>
            </w:r>
          </w:p>
        </w:tc>
        <w:tc>
          <w:tcPr>
            <w:tcW w:w="1444" w:type="dxa"/>
            <w:vAlign w:val="center"/>
          </w:tcPr>
          <w:p w14:paraId="35390D6C" w14:textId="77777777" w:rsidR="00DB2D1E" w:rsidRPr="0058047D" w:rsidRDefault="00DB2D1E" w:rsidP="00DE73D4">
            <w:pPr>
              <w:jc w:val="center"/>
              <w:rPr>
                <w:rFonts w:cs="Tahoma"/>
                <w:color w:val="000000"/>
                <w:szCs w:val="18"/>
              </w:rPr>
            </w:pPr>
            <w:r w:rsidRPr="0058047D">
              <w:rPr>
                <w:rFonts w:cs="Tahoma"/>
                <w:color w:val="000000"/>
                <w:szCs w:val="18"/>
              </w:rPr>
              <w:t>Mensile</w:t>
            </w:r>
          </w:p>
        </w:tc>
        <w:tc>
          <w:tcPr>
            <w:tcW w:w="1687" w:type="dxa"/>
            <w:vAlign w:val="center"/>
          </w:tcPr>
          <w:p w14:paraId="68C4AC44" w14:textId="77777777" w:rsidR="00DB2D1E" w:rsidRPr="0058047D" w:rsidRDefault="00DB2D1E" w:rsidP="00DE73D4">
            <w:pPr>
              <w:jc w:val="center"/>
              <w:rPr>
                <w:rFonts w:cs="Tahoma"/>
                <w:color w:val="000000"/>
                <w:szCs w:val="18"/>
              </w:rPr>
            </w:pPr>
            <w:r w:rsidRPr="0058047D">
              <w:rPr>
                <w:rFonts w:cs="Tahoma"/>
                <w:color w:val="000000"/>
                <w:szCs w:val="18"/>
              </w:rPr>
              <w:t>Mensile</w:t>
            </w:r>
          </w:p>
        </w:tc>
        <w:tc>
          <w:tcPr>
            <w:tcW w:w="1589" w:type="dxa"/>
            <w:vAlign w:val="center"/>
          </w:tcPr>
          <w:p w14:paraId="5C11AA35" w14:textId="77777777" w:rsidR="00DB2D1E" w:rsidRPr="0058047D" w:rsidRDefault="00DB2D1E" w:rsidP="00DE73D4">
            <w:pPr>
              <w:jc w:val="center"/>
              <w:rPr>
                <w:rFonts w:cs="Tahoma"/>
                <w:color w:val="000000"/>
                <w:szCs w:val="18"/>
              </w:rPr>
            </w:pPr>
            <w:r w:rsidRPr="0058047D">
              <w:rPr>
                <w:rFonts w:cs="Tahoma"/>
                <w:color w:val="000000"/>
                <w:szCs w:val="18"/>
              </w:rPr>
              <w:t>Mensile</w:t>
            </w:r>
          </w:p>
        </w:tc>
      </w:tr>
      <w:tr w:rsidR="00DB2D1E" w:rsidRPr="0058047D" w14:paraId="698AA334" w14:textId="77777777" w:rsidTr="002A6416">
        <w:tc>
          <w:tcPr>
            <w:tcW w:w="3168" w:type="dxa"/>
            <w:vAlign w:val="center"/>
          </w:tcPr>
          <w:p w14:paraId="338DB2F8" w14:textId="77777777" w:rsidR="00DB2D1E" w:rsidRPr="003F471F" w:rsidRDefault="00DB2D1E" w:rsidP="00DE73D4">
            <w:pPr>
              <w:rPr>
                <w:rFonts w:cs="Tahoma"/>
                <w:color w:val="000000"/>
                <w:szCs w:val="18"/>
                <w:lang w:val="it-IT"/>
              </w:rPr>
            </w:pPr>
            <w:r w:rsidRPr="003F471F">
              <w:rPr>
                <w:rFonts w:cs="Tahoma"/>
                <w:color w:val="000000"/>
                <w:szCs w:val="18"/>
                <w:lang w:val="it-IT"/>
              </w:rPr>
              <w:t>Support Assistance (Ore allocate annualmente)</w:t>
            </w:r>
          </w:p>
        </w:tc>
        <w:tc>
          <w:tcPr>
            <w:tcW w:w="1580" w:type="dxa"/>
            <w:vAlign w:val="center"/>
          </w:tcPr>
          <w:p w14:paraId="5E1794D5" w14:textId="77777777" w:rsidR="00DB2D1E" w:rsidRPr="0058047D" w:rsidRDefault="00DB2D1E" w:rsidP="00DE73D4">
            <w:pPr>
              <w:jc w:val="center"/>
              <w:rPr>
                <w:rFonts w:cs="Tahoma"/>
                <w:color w:val="000000"/>
                <w:szCs w:val="18"/>
              </w:rPr>
            </w:pPr>
            <w:r w:rsidRPr="0058047D">
              <w:rPr>
                <w:rFonts w:cs="Tahoma"/>
                <w:color w:val="000000"/>
                <w:szCs w:val="18"/>
              </w:rPr>
              <w:t>Fino a 10 ore</w:t>
            </w:r>
          </w:p>
        </w:tc>
        <w:tc>
          <w:tcPr>
            <w:tcW w:w="1444" w:type="dxa"/>
          </w:tcPr>
          <w:p w14:paraId="49B586D2" w14:textId="77777777" w:rsidR="00DB2D1E" w:rsidRPr="003F471F" w:rsidRDefault="00DB2D1E" w:rsidP="00DE73D4">
            <w:pPr>
              <w:jc w:val="center"/>
              <w:rPr>
                <w:rFonts w:cs="Tahoma"/>
                <w:color w:val="000000"/>
                <w:szCs w:val="18"/>
                <w:lang w:val="it-IT"/>
              </w:rPr>
            </w:pPr>
            <w:r w:rsidRPr="003F471F">
              <w:rPr>
                <w:rFonts w:cs="Tahoma"/>
                <w:color w:val="000000"/>
                <w:szCs w:val="18"/>
                <w:lang w:val="it-IT"/>
              </w:rPr>
              <w:t>Fino a 10 ore</w:t>
            </w:r>
            <w:r w:rsidRPr="003F471F">
              <w:rPr>
                <w:rFonts w:cs="Tahoma"/>
                <w:color w:val="000000"/>
                <w:szCs w:val="18"/>
                <w:lang w:val="it-IT"/>
              </w:rPr>
              <w:br/>
              <w:t>+ 1 Controllo dello Stato</w:t>
            </w:r>
            <w:r w:rsidRPr="003F471F">
              <w:rPr>
                <w:rFonts w:cs="Tahoma"/>
                <w:color w:val="000000"/>
                <w:szCs w:val="18"/>
                <w:lang w:val="it-IT"/>
              </w:rPr>
              <w:br/>
              <w:t>+ 1 Workshop</w:t>
            </w:r>
          </w:p>
        </w:tc>
        <w:tc>
          <w:tcPr>
            <w:tcW w:w="1687" w:type="dxa"/>
            <w:vAlign w:val="center"/>
          </w:tcPr>
          <w:p w14:paraId="5401FF27" w14:textId="77777777" w:rsidR="00DB2D1E" w:rsidRPr="0058047D" w:rsidRDefault="00DB2D1E" w:rsidP="00DE73D4">
            <w:pPr>
              <w:jc w:val="center"/>
              <w:rPr>
                <w:rFonts w:cs="Tahoma"/>
                <w:color w:val="000000"/>
                <w:szCs w:val="18"/>
              </w:rPr>
            </w:pPr>
            <w:r w:rsidRPr="0058047D">
              <w:rPr>
                <w:rFonts w:cs="Tahoma"/>
                <w:color w:val="000000"/>
                <w:szCs w:val="18"/>
              </w:rPr>
              <w:t>Fino a 120 ore</w:t>
            </w:r>
          </w:p>
        </w:tc>
        <w:tc>
          <w:tcPr>
            <w:tcW w:w="1589" w:type="dxa"/>
            <w:vAlign w:val="center"/>
          </w:tcPr>
          <w:p w14:paraId="6BA66557" w14:textId="77777777" w:rsidR="00DB2D1E" w:rsidRPr="0058047D" w:rsidRDefault="00DB2D1E" w:rsidP="00DE73D4">
            <w:pPr>
              <w:jc w:val="center"/>
              <w:rPr>
                <w:rFonts w:cs="Tahoma"/>
                <w:color w:val="000000"/>
                <w:szCs w:val="18"/>
              </w:rPr>
            </w:pPr>
            <w:r w:rsidRPr="0058047D">
              <w:rPr>
                <w:rFonts w:cs="Tahoma"/>
                <w:color w:val="000000"/>
                <w:szCs w:val="18"/>
              </w:rPr>
              <w:t>Fino a 160 ore</w:t>
            </w:r>
          </w:p>
        </w:tc>
      </w:tr>
      <w:tr w:rsidR="00DB2D1E" w:rsidRPr="0058047D" w14:paraId="412A05CF" w14:textId="77777777" w:rsidTr="002A6416">
        <w:tc>
          <w:tcPr>
            <w:tcW w:w="3168" w:type="dxa"/>
            <w:vAlign w:val="center"/>
          </w:tcPr>
          <w:p w14:paraId="06A3F19D" w14:textId="77777777" w:rsidR="00DB2D1E" w:rsidRPr="0058047D" w:rsidRDefault="00DB2D1E" w:rsidP="00DE73D4">
            <w:pPr>
              <w:rPr>
                <w:rFonts w:cs="Tahoma"/>
                <w:color w:val="000000"/>
                <w:szCs w:val="18"/>
              </w:rPr>
            </w:pPr>
            <w:r w:rsidRPr="0058047D">
              <w:rPr>
                <w:rFonts w:cs="Tahoma"/>
                <w:color w:val="000000"/>
                <w:szCs w:val="18"/>
              </w:rPr>
              <w:t>Problem Resolution Support (PRS) (allocato annualmente)</w:t>
            </w:r>
          </w:p>
        </w:tc>
        <w:tc>
          <w:tcPr>
            <w:tcW w:w="1580" w:type="dxa"/>
            <w:vAlign w:val="center"/>
          </w:tcPr>
          <w:p w14:paraId="5A78C0D7" w14:textId="77777777" w:rsidR="00DB2D1E" w:rsidRPr="0058047D" w:rsidRDefault="00DB2D1E" w:rsidP="00DE73D4">
            <w:pPr>
              <w:jc w:val="center"/>
              <w:rPr>
                <w:rFonts w:cs="Tahoma"/>
                <w:color w:val="000000"/>
                <w:szCs w:val="18"/>
              </w:rPr>
            </w:pPr>
            <w:r w:rsidRPr="0058047D">
              <w:rPr>
                <w:rFonts w:cs="Tahoma"/>
                <w:color w:val="000000"/>
                <w:szCs w:val="18"/>
              </w:rPr>
              <w:t>Fino a 40 ore</w:t>
            </w:r>
          </w:p>
        </w:tc>
        <w:tc>
          <w:tcPr>
            <w:tcW w:w="1444" w:type="dxa"/>
          </w:tcPr>
          <w:p w14:paraId="658AE9C5" w14:textId="77777777" w:rsidR="00DB2D1E" w:rsidRPr="0058047D" w:rsidRDefault="00DB2D1E" w:rsidP="00DE73D4">
            <w:pPr>
              <w:spacing w:before="120"/>
              <w:jc w:val="center"/>
              <w:rPr>
                <w:rFonts w:cs="Tahoma"/>
                <w:color w:val="000000"/>
                <w:szCs w:val="18"/>
              </w:rPr>
            </w:pPr>
            <w:r w:rsidRPr="0058047D">
              <w:rPr>
                <w:rFonts w:cs="Tahoma"/>
                <w:color w:val="000000"/>
                <w:szCs w:val="18"/>
              </w:rPr>
              <w:t>Fino a 30 ore</w:t>
            </w:r>
          </w:p>
        </w:tc>
        <w:tc>
          <w:tcPr>
            <w:tcW w:w="1687" w:type="dxa"/>
            <w:vAlign w:val="center"/>
          </w:tcPr>
          <w:p w14:paraId="1D371976" w14:textId="77777777" w:rsidR="00DB2D1E" w:rsidRPr="0058047D" w:rsidRDefault="00DB2D1E" w:rsidP="00DE73D4">
            <w:pPr>
              <w:jc w:val="center"/>
              <w:rPr>
                <w:rFonts w:cs="Tahoma"/>
                <w:color w:val="000000"/>
                <w:szCs w:val="18"/>
              </w:rPr>
            </w:pPr>
            <w:r w:rsidRPr="0058047D">
              <w:rPr>
                <w:rFonts w:cs="Tahoma"/>
                <w:color w:val="000000"/>
                <w:szCs w:val="18"/>
              </w:rPr>
              <w:t>Fino a 80 ore</w:t>
            </w:r>
          </w:p>
        </w:tc>
        <w:tc>
          <w:tcPr>
            <w:tcW w:w="1589" w:type="dxa"/>
            <w:vAlign w:val="center"/>
          </w:tcPr>
          <w:p w14:paraId="65D8971C" w14:textId="77777777" w:rsidR="00DB2D1E" w:rsidRPr="0058047D" w:rsidRDefault="00DB2D1E" w:rsidP="00DE73D4">
            <w:pPr>
              <w:jc w:val="center"/>
              <w:rPr>
                <w:rFonts w:cs="Tahoma"/>
                <w:color w:val="000000"/>
                <w:szCs w:val="18"/>
              </w:rPr>
            </w:pPr>
            <w:r w:rsidRPr="0058047D">
              <w:rPr>
                <w:rFonts w:cs="Tahoma"/>
                <w:color w:val="000000"/>
                <w:szCs w:val="18"/>
              </w:rPr>
              <w:t>Fino a 140 ore</w:t>
            </w:r>
          </w:p>
        </w:tc>
      </w:tr>
      <w:tr w:rsidR="00DB2D1E" w:rsidRPr="0058047D" w14:paraId="177C8719" w14:textId="77777777" w:rsidTr="002A6416">
        <w:tc>
          <w:tcPr>
            <w:tcW w:w="3168" w:type="dxa"/>
            <w:vAlign w:val="center"/>
          </w:tcPr>
          <w:p w14:paraId="042D9A9D" w14:textId="77777777" w:rsidR="00DB2D1E" w:rsidRPr="003F471F" w:rsidRDefault="00DB2D1E" w:rsidP="00DE73D4">
            <w:pPr>
              <w:rPr>
                <w:rFonts w:cs="Tahoma"/>
                <w:color w:val="000000"/>
                <w:szCs w:val="18"/>
                <w:lang w:val="it-IT"/>
              </w:rPr>
            </w:pPr>
            <w:r w:rsidRPr="003F471F">
              <w:rPr>
                <w:rFonts w:cs="Tahoma"/>
                <w:color w:val="000000"/>
                <w:szCs w:val="18"/>
                <w:lang w:val="it-IT"/>
              </w:rPr>
              <w:t>Critical Situation Escalation Management 24x7 (Livello di Severità 1)</w:t>
            </w:r>
          </w:p>
        </w:tc>
        <w:tc>
          <w:tcPr>
            <w:tcW w:w="1580" w:type="dxa"/>
            <w:vAlign w:val="center"/>
          </w:tcPr>
          <w:p w14:paraId="6491264A" w14:textId="77777777" w:rsidR="00DB2D1E" w:rsidRPr="0058047D" w:rsidRDefault="00DB2D1E" w:rsidP="00DE73D4">
            <w:pPr>
              <w:jc w:val="center"/>
              <w:rPr>
                <w:rFonts w:cs="Tahoma"/>
                <w:color w:val="000000"/>
                <w:szCs w:val="18"/>
              </w:rPr>
            </w:pPr>
            <w:r w:rsidRPr="0058047D">
              <w:rPr>
                <w:rFonts w:ascii="MS UI Gothic" w:eastAsia="MS UI Gothic" w:hAnsi="MS UI Gothic" w:cs="MS UI Gothic"/>
                <w:color w:val="000000"/>
                <w:szCs w:val="18"/>
              </w:rPr>
              <w:t>✓</w:t>
            </w:r>
          </w:p>
        </w:tc>
        <w:tc>
          <w:tcPr>
            <w:tcW w:w="1444" w:type="dxa"/>
            <w:vAlign w:val="center"/>
          </w:tcPr>
          <w:p w14:paraId="2F76D9FF" w14:textId="77777777" w:rsidR="00DB2D1E" w:rsidRPr="0058047D" w:rsidRDefault="00DB2D1E" w:rsidP="00DE73D4">
            <w:pPr>
              <w:jc w:val="center"/>
              <w:rPr>
                <w:rFonts w:cs="Tahoma"/>
                <w:color w:val="000000"/>
                <w:szCs w:val="18"/>
              </w:rPr>
            </w:pPr>
            <w:r w:rsidRPr="0058047D">
              <w:rPr>
                <w:rFonts w:ascii="MS UI Gothic" w:eastAsia="MS UI Gothic" w:hAnsi="MS UI Gothic" w:cs="MS UI Gothic"/>
                <w:color w:val="000000"/>
                <w:szCs w:val="18"/>
              </w:rPr>
              <w:t>✓</w:t>
            </w:r>
          </w:p>
        </w:tc>
        <w:tc>
          <w:tcPr>
            <w:tcW w:w="1687" w:type="dxa"/>
            <w:vAlign w:val="center"/>
          </w:tcPr>
          <w:p w14:paraId="7D95E1CD" w14:textId="77777777" w:rsidR="00DB2D1E" w:rsidRPr="0058047D" w:rsidRDefault="00DB2D1E" w:rsidP="00DE73D4">
            <w:pPr>
              <w:jc w:val="center"/>
              <w:rPr>
                <w:rFonts w:cs="Tahoma"/>
                <w:color w:val="000000"/>
                <w:szCs w:val="18"/>
              </w:rPr>
            </w:pPr>
            <w:r w:rsidRPr="0058047D">
              <w:rPr>
                <w:rFonts w:cs="Tahoma"/>
                <w:color w:val="000000"/>
                <w:szCs w:val="18"/>
              </w:rPr>
              <w:t>√</w:t>
            </w:r>
          </w:p>
        </w:tc>
        <w:tc>
          <w:tcPr>
            <w:tcW w:w="1589" w:type="dxa"/>
            <w:vAlign w:val="center"/>
          </w:tcPr>
          <w:p w14:paraId="7A047153" w14:textId="77777777" w:rsidR="00DB2D1E" w:rsidRPr="0058047D" w:rsidRDefault="00DB2D1E" w:rsidP="00DE73D4">
            <w:pPr>
              <w:jc w:val="center"/>
              <w:rPr>
                <w:rFonts w:cs="Tahoma"/>
                <w:color w:val="000000"/>
                <w:szCs w:val="18"/>
              </w:rPr>
            </w:pPr>
            <w:r w:rsidRPr="0058047D">
              <w:rPr>
                <w:rFonts w:cs="Tahoma"/>
                <w:color w:val="000000"/>
                <w:szCs w:val="18"/>
              </w:rPr>
              <w:t>√</w:t>
            </w:r>
          </w:p>
        </w:tc>
      </w:tr>
      <w:tr w:rsidR="00DB2D1E" w:rsidRPr="0058047D" w14:paraId="78527701" w14:textId="77777777" w:rsidTr="002A6416">
        <w:tc>
          <w:tcPr>
            <w:tcW w:w="3168" w:type="dxa"/>
            <w:vAlign w:val="center"/>
          </w:tcPr>
          <w:p w14:paraId="1F578CFF" w14:textId="77777777" w:rsidR="00DB2D1E" w:rsidRPr="0058047D" w:rsidRDefault="00DB2D1E" w:rsidP="00DE73D4">
            <w:pPr>
              <w:rPr>
                <w:rFonts w:cs="Tahoma"/>
                <w:color w:val="000000"/>
                <w:szCs w:val="18"/>
              </w:rPr>
            </w:pPr>
            <w:r w:rsidRPr="0058047D">
              <w:rPr>
                <w:rFonts w:cs="Tahoma"/>
                <w:color w:val="000000"/>
                <w:szCs w:val="18"/>
              </w:rPr>
              <w:t>Rapid Onsite Support</w:t>
            </w:r>
          </w:p>
        </w:tc>
        <w:tc>
          <w:tcPr>
            <w:tcW w:w="1580" w:type="dxa"/>
            <w:vAlign w:val="center"/>
          </w:tcPr>
          <w:p w14:paraId="7CC8CDFA" w14:textId="77777777" w:rsidR="00DB2D1E" w:rsidRPr="0058047D" w:rsidRDefault="00DB2D1E" w:rsidP="00DE73D4">
            <w:pPr>
              <w:jc w:val="center"/>
              <w:rPr>
                <w:rFonts w:cs="Tahoma"/>
                <w:color w:val="000000"/>
                <w:szCs w:val="18"/>
              </w:rPr>
            </w:pPr>
            <w:r w:rsidRPr="0058047D">
              <w:rPr>
                <w:rFonts w:ascii="MS UI Gothic" w:eastAsia="MS UI Gothic" w:hAnsi="MS UI Gothic" w:cs="MS UI Gothic"/>
                <w:color w:val="000000"/>
                <w:szCs w:val="18"/>
              </w:rPr>
              <w:t>✓</w:t>
            </w:r>
          </w:p>
        </w:tc>
        <w:tc>
          <w:tcPr>
            <w:tcW w:w="1444" w:type="dxa"/>
            <w:vAlign w:val="center"/>
          </w:tcPr>
          <w:p w14:paraId="3E92EAA1" w14:textId="77777777" w:rsidR="00DB2D1E" w:rsidRPr="0058047D" w:rsidRDefault="00DB2D1E" w:rsidP="00DE73D4">
            <w:pPr>
              <w:jc w:val="center"/>
              <w:rPr>
                <w:rFonts w:cs="Tahoma"/>
                <w:color w:val="000000"/>
                <w:szCs w:val="18"/>
              </w:rPr>
            </w:pPr>
            <w:r w:rsidRPr="0058047D">
              <w:rPr>
                <w:rFonts w:ascii="MS UI Gothic" w:eastAsia="MS UI Gothic" w:hAnsi="MS UI Gothic" w:cs="MS UI Gothic"/>
                <w:color w:val="000000"/>
                <w:szCs w:val="18"/>
              </w:rPr>
              <w:t>✓</w:t>
            </w:r>
          </w:p>
        </w:tc>
        <w:tc>
          <w:tcPr>
            <w:tcW w:w="1687" w:type="dxa"/>
            <w:vAlign w:val="center"/>
          </w:tcPr>
          <w:p w14:paraId="253FF13D" w14:textId="77777777" w:rsidR="00DB2D1E" w:rsidRPr="0058047D" w:rsidRDefault="00DB2D1E" w:rsidP="00DE73D4">
            <w:pPr>
              <w:jc w:val="center"/>
              <w:rPr>
                <w:rFonts w:cs="Tahoma"/>
                <w:color w:val="000000"/>
                <w:szCs w:val="18"/>
              </w:rPr>
            </w:pPr>
            <w:r w:rsidRPr="0058047D">
              <w:rPr>
                <w:rFonts w:cs="Tahoma"/>
                <w:color w:val="000000"/>
                <w:szCs w:val="18"/>
              </w:rPr>
              <w:t>√</w:t>
            </w:r>
          </w:p>
        </w:tc>
        <w:tc>
          <w:tcPr>
            <w:tcW w:w="1589" w:type="dxa"/>
            <w:vAlign w:val="center"/>
          </w:tcPr>
          <w:p w14:paraId="21168754" w14:textId="77777777" w:rsidR="00DB2D1E" w:rsidRPr="0058047D" w:rsidRDefault="00DB2D1E" w:rsidP="00DE73D4">
            <w:pPr>
              <w:jc w:val="center"/>
              <w:rPr>
                <w:rFonts w:cs="Tahoma"/>
                <w:color w:val="000000"/>
                <w:szCs w:val="18"/>
              </w:rPr>
            </w:pPr>
            <w:r w:rsidRPr="0058047D">
              <w:rPr>
                <w:rFonts w:cs="Tahoma"/>
                <w:color w:val="000000"/>
                <w:szCs w:val="18"/>
              </w:rPr>
              <w:t>√</w:t>
            </w:r>
          </w:p>
        </w:tc>
      </w:tr>
      <w:tr w:rsidR="00DB2D1E" w:rsidRPr="0058047D" w14:paraId="27AE7B2D" w14:textId="77777777" w:rsidTr="002A6416">
        <w:tc>
          <w:tcPr>
            <w:tcW w:w="3168" w:type="dxa"/>
            <w:vAlign w:val="center"/>
          </w:tcPr>
          <w:p w14:paraId="0EAC6B3C" w14:textId="77777777" w:rsidR="00DB2D1E" w:rsidRPr="0058047D" w:rsidRDefault="00DB2D1E" w:rsidP="00DE73D4">
            <w:pPr>
              <w:rPr>
                <w:rFonts w:cs="Tahoma"/>
                <w:color w:val="000000"/>
                <w:szCs w:val="18"/>
              </w:rPr>
            </w:pPr>
            <w:r w:rsidRPr="0058047D">
              <w:rPr>
                <w:rFonts w:cs="Tahoma"/>
                <w:color w:val="000000"/>
                <w:szCs w:val="18"/>
              </w:rPr>
              <w:t>Proactive Information Service</w:t>
            </w:r>
          </w:p>
        </w:tc>
        <w:tc>
          <w:tcPr>
            <w:tcW w:w="1580" w:type="dxa"/>
            <w:vAlign w:val="center"/>
          </w:tcPr>
          <w:p w14:paraId="079A98AB" w14:textId="77777777" w:rsidR="00DB2D1E" w:rsidRPr="0058047D" w:rsidRDefault="00DB2D1E" w:rsidP="00DE73D4">
            <w:pPr>
              <w:jc w:val="center"/>
              <w:rPr>
                <w:rFonts w:cs="Tahoma"/>
                <w:color w:val="000000"/>
                <w:szCs w:val="18"/>
              </w:rPr>
            </w:pPr>
            <w:r w:rsidRPr="0058047D">
              <w:rPr>
                <w:rFonts w:ascii="MS UI Gothic" w:eastAsia="MS UI Gothic" w:hAnsi="MS UI Gothic" w:cs="MS UI Gothic"/>
                <w:color w:val="000000"/>
                <w:szCs w:val="18"/>
              </w:rPr>
              <w:t>✓</w:t>
            </w:r>
          </w:p>
        </w:tc>
        <w:tc>
          <w:tcPr>
            <w:tcW w:w="1444" w:type="dxa"/>
            <w:vAlign w:val="center"/>
          </w:tcPr>
          <w:p w14:paraId="50DF909E" w14:textId="77777777" w:rsidR="00DB2D1E" w:rsidRPr="0058047D" w:rsidRDefault="00DB2D1E" w:rsidP="00DE73D4">
            <w:pPr>
              <w:jc w:val="center"/>
              <w:rPr>
                <w:rFonts w:cs="Tahoma"/>
                <w:color w:val="000000"/>
                <w:szCs w:val="18"/>
              </w:rPr>
            </w:pPr>
            <w:r w:rsidRPr="0058047D">
              <w:rPr>
                <w:rFonts w:ascii="MS UI Gothic" w:eastAsia="MS UI Gothic" w:hAnsi="MS UI Gothic" w:cs="MS UI Gothic"/>
                <w:color w:val="000000"/>
                <w:szCs w:val="18"/>
              </w:rPr>
              <w:t>✓</w:t>
            </w:r>
          </w:p>
        </w:tc>
        <w:tc>
          <w:tcPr>
            <w:tcW w:w="1687" w:type="dxa"/>
            <w:vAlign w:val="center"/>
          </w:tcPr>
          <w:p w14:paraId="2BBBD597" w14:textId="77777777" w:rsidR="00DB2D1E" w:rsidRPr="0058047D" w:rsidRDefault="00DB2D1E" w:rsidP="00DE73D4">
            <w:pPr>
              <w:jc w:val="center"/>
              <w:rPr>
                <w:rFonts w:cs="Tahoma"/>
                <w:color w:val="000000"/>
                <w:szCs w:val="18"/>
              </w:rPr>
            </w:pPr>
            <w:r w:rsidRPr="0058047D">
              <w:rPr>
                <w:rFonts w:cs="Tahoma"/>
                <w:color w:val="000000"/>
                <w:szCs w:val="18"/>
              </w:rPr>
              <w:t>√</w:t>
            </w:r>
          </w:p>
        </w:tc>
        <w:tc>
          <w:tcPr>
            <w:tcW w:w="1589" w:type="dxa"/>
            <w:vAlign w:val="center"/>
          </w:tcPr>
          <w:p w14:paraId="5FFDD3AD" w14:textId="77777777" w:rsidR="00DB2D1E" w:rsidRPr="0058047D" w:rsidRDefault="00DB2D1E" w:rsidP="00DE73D4">
            <w:pPr>
              <w:jc w:val="center"/>
              <w:rPr>
                <w:rFonts w:cs="Tahoma"/>
                <w:color w:val="000000"/>
                <w:szCs w:val="18"/>
              </w:rPr>
            </w:pPr>
            <w:r w:rsidRPr="0058047D">
              <w:rPr>
                <w:rFonts w:cs="Tahoma"/>
                <w:color w:val="000000"/>
                <w:szCs w:val="18"/>
              </w:rPr>
              <w:t>√</w:t>
            </w:r>
          </w:p>
        </w:tc>
      </w:tr>
      <w:tr w:rsidR="00DB2D1E" w:rsidRPr="0058047D" w14:paraId="0F4E2A84" w14:textId="77777777" w:rsidTr="002A6416">
        <w:tc>
          <w:tcPr>
            <w:tcW w:w="3168" w:type="dxa"/>
            <w:vAlign w:val="center"/>
          </w:tcPr>
          <w:p w14:paraId="6BB83354" w14:textId="77777777" w:rsidR="00DB2D1E" w:rsidRPr="0058047D" w:rsidRDefault="00DB2D1E" w:rsidP="00DE73D4">
            <w:pPr>
              <w:rPr>
                <w:rFonts w:cs="Tahoma"/>
                <w:color w:val="000000"/>
                <w:szCs w:val="18"/>
              </w:rPr>
            </w:pPr>
            <w:r w:rsidRPr="0058047D">
              <w:rPr>
                <w:rFonts w:cs="Tahoma"/>
                <w:color w:val="000000"/>
                <w:szCs w:val="18"/>
              </w:rPr>
              <w:t>Microsoft Premier Online</w:t>
            </w:r>
          </w:p>
        </w:tc>
        <w:tc>
          <w:tcPr>
            <w:tcW w:w="1580" w:type="dxa"/>
            <w:vAlign w:val="center"/>
          </w:tcPr>
          <w:p w14:paraId="14961062" w14:textId="77777777" w:rsidR="00DB2D1E" w:rsidRPr="0058047D" w:rsidRDefault="00DB2D1E" w:rsidP="00DE73D4">
            <w:pPr>
              <w:jc w:val="center"/>
              <w:rPr>
                <w:rFonts w:cs="Tahoma"/>
                <w:color w:val="000000"/>
                <w:szCs w:val="18"/>
              </w:rPr>
            </w:pPr>
            <w:r w:rsidRPr="0058047D">
              <w:rPr>
                <w:rFonts w:ascii="MS UI Gothic" w:eastAsia="MS UI Gothic" w:hAnsi="MS UI Gothic" w:cs="MS UI Gothic"/>
                <w:color w:val="000000"/>
                <w:szCs w:val="18"/>
              </w:rPr>
              <w:t>✓</w:t>
            </w:r>
          </w:p>
        </w:tc>
        <w:tc>
          <w:tcPr>
            <w:tcW w:w="1444" w:type="dxa"/>
            <w:vAlign w:val="center"/>
          </w:tcPr>
          <w:p w14:paraId="5BFF449C" w14:textId="77777777" w:rsidR="00DB2D1E" w:rsidRPr="0058047D" w:rsidRDefault="00DB2D1E" w:rsidP="00DE73D4">
            <w:pPr>
              <w:jc w:val="center"/>
              <w:rPr>
                <w:rFonts w:cs="Tahoma"/>
                <w:color w:val="000000"/>
                <w:szCs w:val="18"/>
              </w:rPr>
            </w:pPr>
            <w:r w:rsidRPr="0058047D">
              <w:rPr>
                <w:rFonts w:ascii="MS UI Gothic" w:eastAsia="MS UI Gothic" w:hAnsi="MS UI Gothic" w:cs="MS UI Gothic"/>
                <w:color w:val="000000"/>
                <w:szCs w:val="18"/>
              </w:rPr>
              <w:t>✓</w:t>
            </w:r>
          </w:p>
        </w:tc>
        <w:tc>
          <w:tcPr>
            <w:tcW w:w="1687" w:type="dxa"/>
            <w:vAlign w:val="center"/>
          </w:tcPr>
          <w:p w14:paraId="6AF7F9AC" w14:textId="77777777" w:rsidR="00DB2D1E" w:rsidRPr="0058047D" w:rsidRDefault="00DB2D1E" w:rsidP="00DE73D4">
            <w:pPr>
              <w:jc w:val="center"/>
              <w:rPr>
                <w:rFonts w:cs="Tahoma"/>
                <w:color w:val="000000"/>
                <w:szCs w:val="18"/>
              </w:rPr>
            </w:pPr>
            <w:r w:rsidRPr="0058047D">
              <w:rPr>
                <w:rFonts w:cs="Tahoma"/>
                <w:color w:val="000000"/>
                <w:szCs w:val="18"/>
              </w:rPr>
              <w:t>√</w:t>
            </w:r>
          </w:p>
        </w:tc>
        <w:tc>
          <w:tcPr>
            <w:tcW w:w="1589" w:type="dxa"/>
            <w:vAlign w:val="center"/>
          </w:tcPr>
          <w:p w14:paraId="463235FE" w14:textId="77777777" w:rsidR="00DB2D1E" w:rsidRPr="0058047D" w:rsidRDefault="00DB2D1E" w:rsidP="00DE73D4">
            <w:pPr>
              <w:jc w:val="center"/>
              <w:rPr>
                <w:rFonts w:cs="Tahoma"/>
                <w:color w:val="000000"/>
                <w:szCs w:val="18"/>
              </w:rPr>
            </w:pPr>
            <w:r w:rsidRPr="0058047D">
              <w:rPr>
                <w:rFonts w:cs="Tahoma"/>
                <w:color w:val="000000"/>
                <w:szCs w:val="18"/>
              </w:rPr>
              <w:t>√</w:t>
            </w:r>
          </w:p>
        </w:tc>
      </w:tr>
      <w:tr w:rsidR="00DB2D1E" w:rsidRPr="0058047D" w14:paraId="56EAACB6" w14:textId="77777777" w:rsidTr="002A6416">
        <w:tc>
          <w:tcPr>
            <w:tcW w:w="3168" w:type="dxa"/>
            <w:vAlign w:val="center"/>
          </w:tcPr>
          <w:p w14:paraId="44C1CA3E" w14:textId="77777777" w:rsidR="00DB2D1E" w:rsidRPr="0058047D" w:rsidRDefault="00DB2D1E" w:rsidP="00DE73D4">
            <w:pPr>
              <w:rPr>
                <w:rFonts w:cs="Tahoma"/>
                <w:color w:val="000000"/>
                <w:szCs w:val="18"/>
              </w:rPr>
            </w:pPr>
            <w:r w:rsidRPr="0058047D">
              <w:rPr>
                <w:rFonts w:cs="Tahoma"/>
                <w:color w:val="000000"/>
                <w:szCs w:val="18"/>
              </w:rPr>
              <w:t xml:space="preserve">Ore di Aggiunta </w:t>
            </w:r>
          </w:p>
        </w:tc>
        <w:tc>
          <w:tcPr>
            <w:tcW w:w="1580" w:type="dxa"/>
            <w:vAlign w:val="center"/>
          </w:tcPr>
          <w:p w14:paraId="59788084" w14:textId="77777777" w:rsidR="00DB2D1E" w:rsidRPr="0058047D" w:rsidRDefault="00DB2D1E" w:rsidP="00DE73D4">
            <w:pPr>
              <w:jc w:val="center"/>
              <w:rPr>
                <w:rFonts w:cs="Tahoma"/>
                <w:color w:val="000000"/>
                <w:szCs w:val="18"/>
              </w:rPr>
            </w:pPr>
            <w:r w:rsidRPr="0058047D">
              <w:rPr>
                <w:rFonts w:cs="Tahoma"/>
                <w:color w:val="000000"/>
                <w:szCs w:val="18"/>
              </w:rPr>
              <w:t>Pacchetti da 20</w:t>
            </w:r>
          </w:p>
        </w:tc>
        <w:tc>
          <w:tcPr>
            <w:tcW w:w="1444" w:type="dxa"/>
            <w:vAlign w:val="center"/>
          </w:tcPr>
          <w:p w14:paraId="7EE7398A" w14:textId="77777777" w:rsidR="00DB2D1E" w:rsidRPr="0058047D" w:rsidRDefault="00DB2D1E" w:rsidP="00DE73D4">
            <w:pPr>
              <w:jc w:val="center"/>
              <w:rPr>
                <w:rFonts w:cs="Tahoma"/>
                <w:color w:val="000000"/>
                <w:szCs w:val="18"/>
              </w:rPr>
            </w:pPr>
            <w:r w:rsidRPr="0058047D">
              <w:rPr>
                <w:rFonts w:cs="Tahoma"/>
                <w:color w:val="000000"/>
                <w:szCs w:val="18"/>
              </w:rPr>
              <w:t>Pacchetti da 20</w:t>
            </w:r>
          </w:p>
        </w:tc>
        <w:tc>
          <w:tcPr>
            <w:tcW w:w="1687" w:type="dxa"/>
            <w:vAlign w:val="center"/>
          </w:tcPr>
          <w:p w14:paraId="0797716D" w14:textId="77777777" w:rsidR="00DB2D1E" w:rsidRPr="0058047D" w:rsidRDefault="00DB2D1E" w:rsidP="00DE73D4">
            <w:pPr>
              <w:jc w:val="center"/>
              <w:rPr>
                <w:rFonts w:cs="Tahoma"/>
                <w:color w:val="000000"/>
                <w:szCs w:val="18"/>
              </w:rPr>
            </w:pPr>
            <w:r w:rsidRPr="0058047D">
              <w:rPr>
                <w:rFonts w:cs="Tahoma"/>
                <w:color w:val="000000"/>
                <w:szCs w:val="18"/>
              </w:rPr>
              <w:t>Pacchetti da 20</w:t>
            </w:r>
          </w:p>
        </w:tc>
        <w:tc>
          <w:tcPr>
            <w:tcW w:w="1589" w:type="dxa"/>
            <w:vAlign w:val="center"/>
          </w:tcPr>
          <w:p w14:paraId="57E713AD" w14:textId="77777777" w:rsidR="00DB2D1E" w:rsidRPr="0058047D" w:rsidRDefault="00DB2D1E" w:rsidP="00DE73D4">
            <w:pPr>
              <w:jc w:val="center"/>
              <w:rPr>
                <w:rFonts w:cs="Tahoma"/>
                <w:color w:val="000000"/>
                <w:szCs w:val="18"/>
              </w:rPr>
            </w:pPr>
            <w:r w:rsidRPr="0058047D">
              <w:rPr>
                <w:rFonts w:cs="Tahoma"/>
                <w:color w:val="000000"/>
                <w:szCs w:val="18"/>
              </w:rPr>
              <w:t>Pacchetti da 20</w:t>
            </w:r>
          </w:p>
        </w:tc>
      </w:tr>
    </w:tbl>
    <w:p w14:paraId="03F0AC4B" w14:textId="77777777" w:rsidR="00DB2D1E" w:rsidRPr="003F471F" w:rsidRDefault="00DB2D1E" w:rsidP="00DB2D1E">
      <w:pPr>
        <w:pStyle w:val="tableclose"/>
        <w:tabs>
          <w:tab w:val="left" w:pos="810"/>
        </w:tabs>
        <w:ind w:left="810" w:hanging="720"/>
        <w:rPr>
          <w:sz w:val="16"/>
          <w:szCs w:val="16"/>
          <w:lang w:val="it-IT"/>
        </w:rPr>
      </w:pPr>
      <w:r w:rsidRPr="003F471F">
        <w:rPr>
          <w:rFonts w:ascii="Tahoma" w:hAnsi="Tahoma" w:cs="Tahoma"/>
          <w:i/>
          <w:color w:val="000000"/>
          <w:sz w:val="16"/>
          <w:szCs w:val="16"/>
          <w:vertAlign w:val="superscript"/>
          <w:lang w:val="it-IT"/>
        </w:rPr>
        <w:t>1</w:t>
      </w:r>
      <w:r w:rsidRPr="003F471F">
        <w:rPr>
          <w:rFonts w:ascii="Tahoma" w:hAnsi="Tahoma" w:cs="Tahoma"/>
          <w:i/>
          <w:color w:val="000000"/>
          <w:sz w:val="16"/>
          <w:szCs w:val="16"/>
          <w:lang w:val="it-IT"/>
        </w:rPr>
        <w:t xml:space="preserve"> Le Ore Lavorative sono definite su base locale.</w:t>
      </w:r>
    </w:p>
    <w:p w14:paraId="430E7B7C" w14:textId="77777777" w:rsidR="00DB2D1E" w:rsidRPr="003F471F" w:rsidRDefault="00DB2D1E" w:rsidP="00F42FB8">
      <w:pPr>
        <w:pStyle w:val="BodyText2"/>
        <w:spacing w:after="0" w:line="240" w:lineRule="auto"/>
        <w:rPr>
          <w:rFonts w:ascii="Tahoma" w:hAnsi="Tahoma" w:cs="Tahoma"/>
          <w:sz w:val="18"/>
          <w:szCs w:val="18"/>
          <w:lang w:val="it-IT"/>
        </w:rPr>
      </w:pPr>
    </w:p>
    <w:p w14:paraId="1DA40D67" w14:textId="77777777" w:rsidR="00DB2D1E" w:rsidRPr="003F471F" w:rsidRDefault="00DB2D1E" w:rsidP="00CA52FE">
      <w:pPr>
        <w:pStyle w:val="BodyText2"/>
        <w:spacing w:after="0" w:line="240" w:lineRule="auto"/>
        <w:rPr>
          <w:lang w:val="it-IT"/>
        </w:rPr>
      </w:pPr>
      <w:r w:rsidRPr="003F471F">
        <w:rPr>
          <w:lang w:val="it-IT"/>
        </w:rPr>
        <w:t xml:space="preserve">Il servizio </w:t>
      </w:r>
      <w:r w:rsidRPr="003F471F">
        <w:rPr>
          <w:rFonts w:ascii="Tahoma" w:hAnsi="Tahoma" w:cs="Tahoma"/>
          <w:b/>
          <w:bCs/>
          <w:color w:val="000000"/>
          <w:sz w:val="18"/>
          <w:szCs w:val="18"/>
          <w:lang w:val="it-IT"/>
        </w:rPr>
        <w:t>Support Account Management</w:t>
      </w:r>
      <w:r w:rsidRPr="003F471F">
        <w:rPr>
          <w:rFonts w:ascii="Tahoma" w:hAnsi="Tahoma" w:cs="Tahoma"/>
          <w:color w:val="000000"/>
          <w:sz w:val="18"/>
          <w:szCs w:val="18"/>
          <w:lang w:val="it-IT"/>
        </w:rPr>
        <w:t xml:space="preserve"> semplifica la creazione e la gestione delle relazioni con il personale di gestione e di fornitura del servizio della società, nonché l</w:t>
      </w:r>
      <w:r w:rsidR="001C4212" w:rsidRPr="003F471F">
        <w:rPr>
          <w:rFonts w:ascii="Tahoma" w:hAnsi="Tahoma" w:cs="Tahoma"/>
          <w:color w:val="000000"/>
          <w:sz w:val="18"/>
          <w:szCs w:val="18"/>
          <w:lang w:val="it-IT"/>
        </w:rPr>
        <w:t>’</w:t>
      </w:r>
      <w:r w:rsidRPr="003F471F">
        <w:rPr>
          <w:rFonts w:ascii="Tahoma" w:hAnsi="Tahoma" w:cs="Tahoma"/>
          <w:color w:val="000000"/>
          <w:sz w:val="18"/>
          <w:szCs w:val="18"/>
          <w:lang w:val="it-IT"/>
        </w:rPr>
        <w:t xml:space="preserve">organizzazione di ogni elemento del piano dei servizi della società in modo conforme ai requisiti aziendali. </w:t>
      </w:r>
    </w:p>
    <w:p w14:paraId="39A2FB97" w14:textId="77777777" w:rsidR="00CA52FE" w:rsidRPr="003F471F" w:rsidRDefault="00CA52FE" w:rsidP="00CA52FE">
      <w:pPr>
        <w:pStyle w:val="BodyText2"/>
        <w:spacing w:after="0" w:line="240" w:lineRule="auto"/>
        <w:rPr>
          <w:rFonts w:ascii="Tahoma" w:hAnsi="Tahoma" w:cs="Tahoma"/>
          <w:sz w:val="18"/>
          <w:szCs w:val="18"/>
          <w:lang w:val="it-IT"/>
        </w:rPr>
      </w:pPr>
    </w:p>
    <w:p w14:paraId="3C9A9B29" w14:textId="77777777" w:rsidR="00DB2D1E" w:rsidRPr="003F471F" w:rsidRDefault="00DB2D1E" w:rsidP="00CA52FE">
      <w:pPr>
        <w:jc w:val="both"/>
        <w:rPr>
          <w:lang w:val="it-IT"/>
        </w:rPr>
      </w:pPr>
      <w:r w:rsidRPr="003F471F">
        <w:rPr>
          <w:lang w:val="it-IT"/>
        </w:rPr>
        <w:t xml:space="preserve">Il servizio </w:t>
      </w:r>
      <w:r w:rsidRPr="003F471F">
        <w:rPr>
          <w:rFonts w:cs="Tahoma"/>
          <w:b/>
          <w:bCs/>
          <w:color w:val="000000"/>
          <w:szCs w:val="18"/>
          <w:lang w:val="it-IT"/>
        </w:rPr>
        <w:t xml:space="preserve">Support Assistance </w:t>
      </w:r>
      <w:r w:rsidRPr="003F471F">
        <w:rPr>
          <w:rFonts w:cs="Tahoma"/>
          <w:color w:val="000000"/>
          <w:szCs w:val="18"/>
          <w:lang w:val="it-IT"/>
        </w:rPr>
        <w:t>fornisce indicazioni e suggerimenti a breve termine (in base alle risorse Microsoft disponibili) relativi a problemi che non rientrano nell</w:t>
      </w:r>
      <w:r w:rsidR="001C4212" w:rsidRPr="003F471F">
        <w:rPr>
          <w:rFonts w:cs="Tahoma"/>
          <w:color w:val="000000"/>
          <w:szCs w:val="18"/>
          <w:lang w:val="it-IT"/>
        </w:rPr>
        <w:t>’</w:t>
      </w:r>
      <w:r w:rsidRPr="003F471F">
        <w:rPr>
          <w:rFonts w:cs="Tahoma"/>
          <w:color w:val="000000"/>
          <w:szCs w:val="18"/>
          <w:lang w:val="it-IT"/>
        </w:rPr>
        <w:t>ambito del servizio Problem Resolution Support, nonché a</w:t>
      </w:r>
      <w:r w:rsidR="00147698" w:rsidRPr="003F471F">
        <w:rPr>
          <w:rFonts w:cs="Tahoma"/>
          <w:color w:val="000000"/>
          <w:szCs w:val="18"/>
          <w:lang w:val="it-IT"/>
        </w:rPr>
        <w:t> </w:t>
      </w:r>
      <w:r w:rsidRPr="003F471F">
        <w:rPr>
          <w:rFonts w:cs="Tahoma"/>
          <w:color w:val="000000"/>
          <w:szCs w:val="18"/>
          <w:lang w:val="it-IT"/>
        </w:rPr>
        <w:t>richieste di assistenza consultiva in merito a problemi a livello di progettazione, sviluppo e implementazione.</w:t>
      </w:r>
    </w:p>
    <w:p w14:paraId="123F3C6E" w14:textId="77777777" w:rsidR="00CA52FE" w:rsidRPr="003F471F" w:rsidRDefault="00CA52FE" w:rsidP="00147698">
      <w:pPr>
        <w:pStyle w:val="BodyText2"/>
        <w:spacing w:after="0" w:line="240" w:lineRule="auto"/>
        <w:rPr>
          <w:rFonts w:ascii="Tahoma" w:hAnsi="Tahoma" w:cs="Tahoma"/>
          <w:sz w:val="18"/>
          <w:szCs w:val="18"/>
          <w:lang w:val="it-IT"/>
        </w:rPr>
      </w:pPr>
    </w:p>
    <w:p w14:paraId="1EFDF4D8" w14:textId="77777777" w:rsidR="00676723" w:rsidRPr="003F471F" w:rsidRDefault="00DB2D1E" w:rsidP="00CA52FE">
      <w:pPr>
        <w:rPr>
          <w:lang w:val="it-IT"/>
        </w:rPr>
      </w:pPr>
      <w:r w:rsidRPr="003F471F">
        <w:rPr>
          <w:lang w:val="it-IT"/>
        </w:rPr>
        <w:t xml:space="preserve">Il servizio </w:t>
      </w:r>
      <w:r w:rsidRPr="003F471F">
        <w:rPr>
          <w:rFonts w:cs="Tahoma"/>
          <w:b/>
          <w:bCs/>
          <w:color w:val="000000"/>
          <w:szCs w:val="18"/>
          <w:lang w:val="it-IT"/>
        </w:rPr>
        <w:t xml:space="preserve">Problem Resolution Support </w:t>
      </w:r>
      <w:r w:rsidRPr="003F471F">
        <w:rPr>
          <w:rFonts w:cs="Tahoma"/>
          <w:color w:val="000000"/>
          <w:szCs w:val="18"/>
          <w:lang w:val="it-IT"/>
        </w:rPr>
        <w:t>fornisce assistenza quando, durante l</w:t>
      </w:r>
      <w:r w:rsidR="001C4212" w:rsidRPr="003F471F">
        <w:rPr>
          <w:rFonts w:cs="Tahoma"/>
          <w:color w:val="000000"/>
          <w:szCs w:val="18"/>
          <w:lang w:val="it-IT"/>
        </w:rPr>
        <w:t>’</w:t>
      </w:r>
      <w:r w:rsidRPr="003F471F">
        <w:rPr>
          <w:rFonts w:cs="Tahoma"/>
          <w:color w:val="000000"/>
          <w:szCs w:val="18"/>
          <w:lang w:val="it-IT"/>
        </w:rPr>
        <w:t>utilizzo dei prodotti Microsoft, si</w:t>
      </w:r>
      <w:r w:rsidR="00147698" w:rsidRPr="003F471F">
        <w:rPr>
          <w:rFonts w:cs="Tahoma"/>
          <w:color w:val="000000"/>
          <w:szCs w:val="18"/>
          <w:lang w:val="it-IT"/>
        </w:rPr>
        <w:t> </w:t>
      </w:r>
      <w:r w:rsidRPr="003F471F">
        <w:rPr>
          <w:rFonts w:cs="Tahoma"/>
          <w:color w:val="000000"/>
          <w:szCs w:val="18"/>
          <w:lang w:val="it-IT"/>
        </w:rPr>
        <w:t>verificano problemi con sintomi specifici, la cui causa sia ragionevolmente attribuibile ai prodotti Microsoft.</w:t>
      </w:r>
    </w:p>
    <w:p w14:paraId="0FA6D4BE" w14:textId="77777777" w:rsidR="00676723" w:rsidRPr="003F471F" w:rsidRDefault="00676723">
      <w:pPr>
        <w:rPr>
          <w:lang w:val="it-IT"/>
        </w:rPr>
      </w:pPr>
      <w:r w:rsidRPr="003F471F">
        <w:rPr>
          <w:rFonts w:cs="Tahoma"/>
          <w:color w:val="000000"/>
          <w:szCs w:val="18"/>
          <w:lang w:val="it-IT"/>
        </w:rPr>
        <w:br w:type="page"/>
      </w: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58047D" w14:paraId="20F988BE" w14:textId="77777777"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0E3C4170" w14:textId="77777777" w:rsidR="00DB2D1E" w:rsidRPr="0058047D" w:rsidRDefault="001C1727" w:rsidP="00DE73D4">
            <w:pPr>
              <w:pStyle w:val="tableclose"/>
              <w:spacing w:line="276" w:lineRule="auto"/>
              <w:rPr>
                <w:rFonts w:ascii="Tahoma" w:hAnsi="Tahoma" w:cs="Tahoma"/>
                <w:b/>
                <w:color w:val="000000"/>
              </w:rPr>
            </w:pPr>
            <w:r w:rsidRPr="003F471F">
              <w:rPr>
                <w:rFonts w:cs="Tahoma"/>
                <w:color w:val="000000"/>
                <w:sz w:val="6"/>
                <w:lang w:val="it-IT"/>
              </w:rPr>
              <w:br w:type="page"/>
            </w:r>
            <w:r w:rsidRPr="0058047D">
              <w:rPr>
                <w:rFonts w:ascii="Tahoma" w:hAnsi="Tahoma" w:cs="Tahoma"/>
                <w:b/>
                <w:color w:val="000000"/>
              </w:rPr>
              <w:t>Severity</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38A712F2" w14:textId="77777777" w:rsidR="00DB2D1E" w:rsidRPr="0058047D" w:rsidRDefault="00DB2D1E" w:rsidP="00DE73D4">
            <w:pPr>
              <w:pStyle w:val="tableclose"/>
              <w:spacing w:line="276" w:lineRule="auto"/>
              <w:rPr>
                <w:rFonts w:ascii="Tahoma" w:hAnsi="Tahoma" w:cs="Tahoma"/>
                <w:b/>
                <w:color w:val="000000"/>
              </w:rPr>
            </w:pPr>
            <w:r w:rsidRPr="0058047D">
              <w:rPr>
                <w:rFonts w:ascii="Tahoma" w:hAnsi="Tahoma" w:cs="Tahoma"/>
                <w:b/>
                <w:color w:val="000000"/>
              </w:rPr>
              <w:t>Situazione</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7C8E9CA9" w14:textId="77777777" w:rsidR="00DB2D1E" w:rsidRPr="0058047D" w:rsidRDefault="00DB2D1E" w:rsidP="00DE73D4">
            <w:pPr>
              <w:pStyle w:val="tableclose"/>
              <w:spacing w:line="276" w:lineRule="auto"/>
              <w:rPr>
                <w:rFonts w:ascii="Tahoma" w:hAnsi="Tahoma" w:cs="Tahoma"/>
                <w:b/>
                <w:color w:val="000000"/>
              </w:rPr>
            </w:pPr>
            <w:r w:rsidRPr="0058047D">
              <w:rPr>
                <w:rFonts w:ascii="Tahoma" w:hAnsi="Tahoma" w:cs="Tahoma"/>
                <w:b/>
                <w:color w:val="000000"/>
              </w:rPr>
              <w:t>Risposta Microsoft Prevista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061CFBEE" w14:textId="77777777" w:rsidR="00DB2D1E" w:rsidRPr="0058047D" w:rsidRDefault="00DB2D1E" w:rsidP="00DE73D4">
            <w:pPr>
              <w:pStyle w:val="tableclose"/>
              <w:spacing w:line="276" w:lineRule="auto"/>
              <w:rPr>
                <w:rFonts w:ascii="Tahoma" w:hAnsi="Tahoma" w:cs="Tahoma"/>
                <w:b/>
                <w:color w:val="000000"/>
              </w:rPr>
            </w:pPr>
            <w:r w:rsidRPr="0058047D">
              <w:rPr>
                <w:rFonts w:ascii="Tahoma" w:hAnsi="Tahoma" w:cs="Tahoma"/>
                <w:b/>
                <w:color w:val="000000"/>
              </w:rPr>
              <w:t>Risposta della Società Prevista</w:t>
            </w:r>
          </w:p>
        </w:tc>
      </w:tr>
      <w:tr w:rsidR="00DB2D1E" w:rsidRPr="003F471F" w14:paraId="34F2C2C2"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FFFAC1B" w14:textId="77777777" w:rsidR="00DB2D1E" w:rsidRPr="0058047D" w:rsidRDefault="00DB2D1E" w:rsidP="00DE73D4">
            <w:pPr>
              <w:pStyle w:val="tableclose"/>
              <w:spacing w:line="276" w:lineRule="auto"/>
              <w:rPr>
                <w:rFonts w:ascii="Tahoma" w:hAnsi="Tahoma" w:cs="Tahoma"/>
                <w:color w:val="000000"/>
                <w:sz w:val="18"/>
                <w:szCs w:val="18"/>
              </w:rPr>
            </w:pPr>
            <w:r w:rsidRPr="0058047D">
              <w:rPr>
                <w:rFonts w:ascii="Tahoma" w:hAnsi="Tahoma" w:cs="Tahoma"/>
                <w:color w:val="000000"/>
                <w:sz w:val="18"/>
                <w:szCs w:val="18"/>
              </w:rPr>
              <w:t>1. Formulazione solo telefonica</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2E7A3B70" w14:textId="77777777" w:rsidR="00DB2D1E" w:rsidRPr="00147698" w:rsidRDefault="00DB2D1E" w:rsidP="00346F4B">
            <w:pPr>
              <w:pStyle w:val="ListBullet3"/>
              <w:numPr>
                <w:ilvl w:val="0"/>
                <w:numId w:val="60"/>
              </w:numPr>
              <w:spacing w:line="276" w:lineRule="auto"/>
              <w:rPr>
                <w:rFonts w:ascii="Tahoma" w:hAnsi="Tahoma" w:cs="Tahoma"/>
                <w:sz w:val="18"/>
                <w:szCs w:val="18"/>
              </w:rPr>
            </w:pPr>
            <w:r w:rsidRPr="00147698">
              <w:rPr>
                <w:rFonts w:ascii="Tahoma" w:hAnsi="Tahoma" w:cs="Tahoma"/>
                <w:color w:val="000000"/>
                <w:sz w:val="18"/>
                <w:szCs w:val="18"/>
              </w:rPr>
              <w:t xml:space="preserve">Impatto commerciale catastrofico </w:t>
            </w:r>
          </w:p>
          <w:p w14:paraId="2246F0EF" w14:textId="77777777" w:rsidR="00DB2D1E" w:rsidRPr="003F471F" w:rsidRDefault="00DB2D1E" w:rsidP="00346F4B">
            <w:pPr>
              <w:pStyle w:val="ListBullet3"/>
              <w:numPr>
                <w:ilvl w:val="0"/>
                <w:numId w:val="60"/>
              </w:numPr>
              <w:spacing w:line="276" w:lineRule="auto"/>
              <w:rPr>
                <w:rFonts w:ascii="Tahoma" w:hAnsi="Tahoma" w:cs="Tahoma"/>
                <w:sz w:val="18"/>
                <w:szCs w:val="18"/>
                <w:lang w:val="it-IT"/>
              </w:rPr>
            </w:pPr>
            <w:r w:rsidRPr="003F471F">
              <w:rPr>
                <w:rFonts w:ascii="Tahoma" w:hAnsi="Tahoma" w:cs="Tahoma"/>
                <w:color w:val="000000"/>
                <w:sz w:val="18"/>
                <w:szCs w:val="18"/>
                <w:lang w:val="it-IT"/>
              </w:rPr>
              <w:t>Perdita completa di un procedimento commerciale cruciale (mission critical) e impossibilità di continuare in modo adeguato il lavoro</w:t>
            </w:r>
          </w:p>
          <w:p w14:paraId="1695D1F9" w14:textId="77777777" w:rsidR="00DB2D1E" w:rsidRPr="003F471F" w:rsidRDefault="00DB2D1E" w:rsidP="00346F4B">
            <w:pPr>
              <w:pStyle w:val="ListBullet3"/>
              <w:numPr>
                <w:ilvl w:val="0"/>
                <w:numId w:val="60"/>
              </w:numPr>
              <w:spacing w:line="276" w:lineRule="auto"/>
              <w:rPr>
                <w:rFonts w:ascii="Tahoma" w:hAnsi="Tahoma" w:cs="Tahoma"/>
                <w:color w:val="000000"/>
                <w:sz w:val="18"/>
                <w:szCs w:val="18"/>
                <w:lang w:val="it-IT"/>
              </w:rPr>
            </w:pPr>
            <w:r w:rsidRPr="003F471F">
              <w:rPr>
                <w:rFonts w:ascii="Tahoma" w:hAnsi="Tahoma" w:cs="Tahoma"/>
                <w:color w:val="000000"/>
                <w:sz w:val="18"/>
                <w:szCs w:val="18"/>
                <w:lang w:val="it-IT"/>
              </w:rPr>
              <w:t>Necessità di un intervento immediato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CA50C6F" w14:textId="77777777" w:rsidR="00DB2D1E" w:rsidRPr="003F471F" w:rsidRDefault="00DB2D1E" w:rsidP="00346F4B">
            <w:pPr>
              <w:pStyle w:val="ListBullet3"/>
              <w:numPr>
                <w:ilvl w:val="0"/>
                <w:numId w:val="61"/>
              </w:numPr>
              <w:spacing w:line="276" w:lineRule="auto"/>
              <w:rPr>
                <w:rFonts w:ascii="Tahoma" w:hAnsi="Tahoma" w:cs="Tahoma"/>
                <w:sz w:val="18"/>
                <w:szCs w:val="18"/>
                <w:lang w:val="it-IT"/>
              </w:rPr>
            </w:pPr>
            <w:r w:rsidRPr="003F471F">
              <w:rPr>
                <w:rFonts w:ascii="Tahoma" w:hAnsi="Tahoma" w:cs="Tahoma"/>
                <w:color w:val="000000"/>
                <w:sz w:val="18"/>
                <w:szCs w:val="18"/>
                <w:lang w:val="it-IT"/>
              </w:rPr>
              <w:t>Risposta alla prima chiamata in 1 ora o meno</w:t>
            </w:r>
          </w:p>
          <w:p w14:paraId="32DAC309" w14:textId="77777777" w:rsidR="00DB2D1E" w:rsidRPr="003F471F" w:rsidRDefault="00DB2D1E" w:rsidP="00346F4B">
            <w:pPr>
              <w:pStyle w:val="ListBullet3"/>
              <w:numPr>
                <w:ilvl w:val="0"/>
                <w:numId w:val="61"/>
              </w:numPr>
              <w:spacing w:line="276" w:lineRule="auto"/>
              <w:rPr>
                <w:rFonts w:ascii="Tahoma" w:hAnsi="Tahoma" w:cs="Tahoma"/>
                <w:sz w:val="18"/>
                <w:szCs w:val="18"/>
                <w:lang w:val="it-IT"/>
              </w:rPr>
            </w:pPr>
            <w:r w:rsidRPr="003F471F">
              <w:rPr>
                <w:rFonts w:ascii="Tahoma" w:hAnsi="Tahoma" w:cs="Tahoma"/>
                <w:color w:val="000000"/>
                <w:sz w:val="18"/>
                <w:szCs w:val="18"/>
                <w:lang w:val="it-IT"/>
              </w:rPr>
              <w:t>Risorse Microsoft sul sito il più presto possibile</w:t>
            </w:r>
          </w:p>
          <w:p w14:paraId="0D78F967" w14:textId="77777777" w:rsidR="00DB2D1E" w:rsidRPr="00147698" w:rsidRDefault="00DB2D1E" w:rsidP="00346F4B">
            <w:pPr>
              <w:pStyle w:val="ListBullet3"/>
              <w:numPr>
                <w:ilvl w:val="0"/>
                <w:numId w:val="61"/>
              </w:numPr>
              <w:spacing w:line="276" w:lineRule="auto"/>
              <w:rPr>
                <w:rFonts w:ascii="Tahoma" w:hAnsi="Tahoma" w:cs="Tahoma"/>
                <w:sz w:val="18"/>
                <w:szCs w:val="18"/>
              </w:rPr>
            </w:pPr>
            <w:r w:rsidRPr="00147698">
              <w:rPr>
                <w:rFonts w:ascii="Tahoma" w:hAnsi="Tahoma" w:cs="Tahoma"/>
                <w:color w:val="000000"/>
                <w:sz w:val="18"/>
                <w:szCs w:val="18"/>
              </w:rPr>
              <w:t>Impegno continuo 24x7</w:t>
            </w:r>
          </w:p>
          <w:p w14:paraId="7504A2AE" w14:textId="77777777" w:rsidR="00DB2D1E" w:rsidRPr="003F471F" w:rsidRDefault="00DB2D1E" w:rsidP="00346F4B">
            <w:pPr>
              <w:pStyle w:val="ListBullet3"/>
              <w:numPr>
                <w:ilvl w:val="0"/>
                <w:numId w:val="61"/>
              </w:numPr>
              <w:spacing w:line="276" w:lineRule="auto"/>
              <w:rPr>
                <w:rFonts w:ascii="Tahoma" w:hAnsi="Tahoma" w:cs="Tahoma"/>
                <w:sz w:val="18"/>
                <w:szCs w:val="18"/>
                <w:lang w:val="it-IT"/>
              </w:rPr>
            </w:pPr>
            <w:r w:rsidRPr="003F471F">
              <w:rPr>
                <w:rFonts w:ascii="Tahoma" w:hAnsi="Tahoma" w:cs="Tahoma"/>
                <w:color w:val="000000"/>
                <w:sz w:val="18"/>
                <w:szCs w:val="18"/>
                <w:lang w:val="it-IT"/>
              </w:rPr>
              <w:t>Escalation Rapida ai team dei Prodotti di Microsoft</w:t>
            </w:r>
          </w:p>
          <w:p w14:paraId="4DE1EB3D" w14:textId="77777777" w:rsidR="00DB2D1E" w:rsidRPr="003F471F" w:rsidRDefault="00DB2D1E" w:rsidP="00346F4B">
            <w:pPr>
              <w:pStyle w:val="ListBullet3"/>
              <w:numPr>
                <w:ilvl w:val="0"/>
                <w:numId w:val="61"/>
              </w:numPr>
              <w:spacing w:line="276" w:lineRule="auto"/>
              <w:rPr>
                <w:rFonts w:ascii="Tahoma" w:hAnsi="Tahoma" w:cs="Tahoma"/>
                <w:color w:val="000000"/>
                <w:sz w:val="18"/>
                <w:szCs w:val="18"/>
                <w:lang w:val="it-IT"/>
              </w:rPr>
            </w:pPr>
            <w:r w:rsidRPr="003F471F">
              <w:rPr>
                <w:rFonts w:ascii="Tahoma" w:hAnsi="Tahoma" w:cs="Tahoma"/>
                <w:color w:val="000000"/>
                <w:sz w:val="18"/>
                <w:szCs w:val="18"/>
                <w:lang w:val="it-IT"/>
              </w:rPr>
              <w:t xml:space="preserve">Comunicazione dei Dirigenti di Alto Livello di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6F0A7114" w14:textId="77777777" w:rsidR="00DB2D1E" w:rsidRPr="003F471F" w:rsidRDefault="00DB2D1E" w:rsidP="00346F4B">
            <w:pPr>
              <w:pStyle w:val="ListBullet3"/>
              <w:numPr>
                <w:ilvl w:val="0"/>
                <w:numId w:val="62"/>
              </w:numPr>
              <w:spacing w:line="276" w:lineRule="auto"/>
              <w:rPr>
                <w:rFonts w:ascii="Tahoma" w:hAnsi="Tahoma" w:cs="Tahoma"/>
                <w:sz w:val="18"/>
                <w:szCs w:val="18"/>
                <w:lang w:val="it-IT"/>
              </w:rPr>
            </w:pPr>
            <w:r w:rsidRPr="003F471F">
              <w:rPr>
                <w:rFonts w:ascii="Tahoma" w:hAnsi="Tahoma" w:cs="Tahoma"/>
                <w:color w:val="000000"/>
                <w:sz w:val="18"/>
                <w:szCs w:val="18"/>
                <w:lang w:val="it-IT"/>
              </w:rPr>
              <w:t xml:space="preserve">Comunicazione dei dirigenti di alto livello della società </w:t>
            </w:r>
          </w:p>
          <w:p w14:paraId="7EA0F802" w14:textId="77777777" w:rsidR="00DB2D1E" w:rsidRPr="003F471F" w:rsidRDefault="00DB2D1E" w:rsidP="00346F4B">
            <w:pPr>
              <w:pStyle w:val="ListBullet3"/>
              <w:numPr>
                <w:ilvl w:val="0"/>
                <w:numId w:val="62"/>
              </w:numPr>
              <w:spacing w:line="276" w:lineRule="auto"/>
              <w:rPr>
                <w:rFonts w:ascii="Tahoma" w:hAnsi="Tahoma" w:cs="Tahoma"/>
                <w:sz w:val="18"/>
                <w:szCs w:val="18"/>
                <w:lang w:val="it-IT"/>
              </w:rPr>
            </w:pPr>
            <w:r w:rsidRPr="003F471F">
              <w:rPr>
                <w:rFonts w:ascii="Tahoma" w:hAnsi="Tahoma" w:cs="Tahoma"/>
                <w:color w:val="000000"/>
                <w:sz w:val="18"/>
                <w:szCs w:val="18"/>
                <w:lang w:val="it-IT"/>
              </w:rPr>
              <w:t>Allocazione delle risorse appropriate per sostenere l</w:t>
            </w:r>
            <w:r w:rsidR="001C4212" w:rsidRPr="003F471F">
              <w:rPr>
                <w:rFonts w:ascii="Tahoma" w:hAnsi="Tahoma" w:cs="Tahoma"/>
                <w:color w:val="000000"/>
                <w:sz w:val="18"/>
                <w:szCs w:val="18"/>
                <w:lang w:val="it-IT"/>
              </w:rPr>
              <w:t>’</w:t>
            </w:r>
            <w:r w:rsidRPr="003F471F">
              <w:rPr>
                <w:rFonts w:ascii="Tahoma" w:hAnsi="Tahoma" w:cs="Tahoma"/>
                <w:color w:val="000000"/>
                <w:sz w:val="18"/>
                <w:szCs w:val="18"/>
                <w:lang w:val="it-IT"/>
              </w:rPr>
              <w:t>impegno continuo 24x7</w:t>
            </w:r>
            <w:r w:rsidRPr="003F471F">
              <w:rPr>
                <w:rFonts w:ascii="Tahoma" w:hAnsi="Tahoma" w:cs="Tahoma"/>
                <w:color w:val="000000"/>
                <w:sz w:val="18"/>
                <w:szCs w:val="18"/>
                <w:vertAlign w:val="superscript"/>
                <w:lang w:val="it-IT"/>
              </w:rPr>
              <w:t>2</w:t>
            </w:r>
          </w:p>
          <w:p w14:paraId="00576CBA" w14:textId="77777777" w:rsidR="00DB2D1E" w:rsidRPr="003F471F" w:rsidRDefault="00DB2D1E" w:rsidP="00700477">
            <w:pPr>
              <w:pStyle w:val="ListBullet3"/>
              <w:numPr>
                <w:ilvl w:val="0"/>
                <w:numId w:val="62"/>
              </w:numPr>
              <w:spacing w:line="276" w:lineRule="auto"/>
              <w:rPr>
                <w:rFonts w:ascii="Tahoma" w:hAnsi="Tahoma" w:cs="Tahoma"/>
                <w:color w:val="000000"/>
                <w:sz w:val="18"/>
                <w:szCs w:val="18"/>
                <w:lang w:val="it-IT"/>
              </w:rPr>
            </w:pPr>
            <w:r w:rsidRPr="003F471F">
              <w:rPr>
                <w:rFonts w:ascii="Tahoma" w:hAnsi="Tahoma" w:cs="Tahoma"/>
                <w:color w:val="000000"/>
                <w:sz w:val="18"/>
                <w:szCs w:val="18"/>
                <w:lang w:val="it-IT"/>
              </w:rPr>
              <w:t>Accesso e risposte rapide dall</w:t>
            </w:r>
            <w:r w:rsidR="001C4212" w:rsidRPr="003F471F">
              <w:rPr>
                <w:rFonts w:ascii="Tahoma" w:hAnsi="Tahoma" w:cs="Tahoma"/>
                <w:color w:val="000000"/>
                <w:sz w:val="18"/>
                <w:szCs w:val="18"/>
                <w:lang w:val="it-IT"/>
              </w:rPr>
              <w:t>’</w:t>
            </w:r>
            <w:r w:rsidRPr="003F471F">
              <w:rPr>
                <w:rFonts w:ascii="Tahoma" w:hAnsi="Tahoma" w:cs="Tahoma"/>
                <w:color w:val="000000"/>
                <w:sz w:val="18"/>
                <w:szCs w:val="18"/>
                <w:lang w:val="it-IT"/>
              </w:rPr>
              <w:t>autorità di</w:t>
            </w:r>
            <w:r w:rsidR="00700477" w:rsidRPr="003F471F">
              <w:rPr>
                <w:rFonts w:ascii="Tahoma" w:hAnsi="Tahoma" w:cs="Tahoma"/>
                <w:color w:val="000000"/>
                <w:sz w:val="18"/>
                <w:szCs w:val="18"/>
                <w:lang w:val="it-IT"/>
              </w:rPr>
              <w:t> </w:t>
            </w:r>
            <w:r w:rsidRPr="003F471F">
              <w:rPr>
                <w:rFonts w:ascii="Tahoma" w:hAnsi="Tahoma" w:cs="Tahoma"/>
                <w:color w:val="000000"/>
                <w:sz w:val="18"/>
                <w:szCs w:val="18"/>
                <w:lang w:val="it-IT"/>
              </w:rPr>
              <w:t>controllo delle modifiche</w:t>
            </w:r>
          </w:p>
        </w:tc>
      </w:tr>
      <w:tr w:rsidR="00DB2D1E" w:rsidRPr="0058047D" w14:paraId="4C31BFEB"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026663E" w14:textId="77777777" w:rsidR="00DB2D1E" w:rsidRPr="0058047D" w:rsidRDefault="00DB2D1E" w:rsidP="00DE73D4">
            <w:pPr>
              <w:pStyle w:val="tableclose"/>
              <w:spacing w:line="276" w:lineRule="auto"/>
              <w:rPr>
                <w:rFonts w:ascii="Tahoma" w:hAnsi="Tahoma" w:cs="Tahoma"/>
                <w:color w:val="000000"/>
                <w:sz w:val="18"/>
                <w:szCs w:val="18"/>
              </w:rPr>
            </w:pPr>
            <w:r w:rsidRPr="0058047D">
              <w:rPr>
                <w:rFonts w:ascii="Tahoma" w:hAnsi="Tahoma" w:cs="Tahoma"/>
                <w:color w:val="000000"/>
                <w:sz w:val="18"/>
                <w:szCs w:val="18"/>
              </w:rPr>
              <w:t>A Formulazione solo telefonica</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3C2D319D" w14:textId="77777777" w:rsidR="00DB2D1E" w:rsidRPr="00147698" w:rsidRDefault="00DB2D1E" w:rsidP="00346F4B">
            <w:pPr>
              <w:pStyle w:val="ListBullet3"/>
              <w:numPr>
                <w:ilvl w:val="0"/>
                <w:numId w:val="60"/>
              </w:numPr>
              <w:spacing w:line="276" w:lineRule="auto"/>
              <w:rPr>
                <w:rFonts w:ascii="Tahoma" w:hAnsi="Tahoma" w:cs="Tahoma"/>
                <w:sz w:val="18"/>
                <w:szCs w:val="18"/>
              </w:rPr>
            </w:pPr>
            <w:r w:rsidRPr="00147698">
              <w:rPr>
                <w:rFonts w:ascii="Tahoma" w:hAnsi="Tahoma" w:cs="Tahoma"/>
                <w:color w:val="000000"/>
                <w:sz w:val="18"/>
                <w:szCs w:val="18"/>
              </w:rPr>
              <w:t xml:space="preserve">Impatto commerciale critico </w:t>
            </w:r>
          </w:p>
          <w:p w14:paraId="2CD52CC0" w14:textId="77777777" w:rsidR="00DB2D1E" w:rsidRPr="003F471F" w:rsidRDefault="00DB2D1E" w:rsidP="00346F4B">
            <w:pPr>
              <w:pStyle w:val="ListBullet3"/>
              <w:numPr>
                <w:ilvl w:val="0"/>
                <w:numId w:val="60"/>
              </w:numPr>
              <w:spacing w:line="276" w:lineRule="auto"/>
              <w:rPr>
                <w:rFonts w:ascii="Tahoma" w:hAnsi="Tahoma" w:cs="Tahoma"/>
                <w:sz w:val="18"/>
                <w:szCs w:val="18"/>
                <w:lang w:val="it-IT"/>
              </w:rPr>
            </w:pPr>
            <w:r w:rsidRPr="003F471F">
              <w:rPr>
                <w:rFonts w:ascii="Tahoma" w:hAnsi="Tahoma" w:cs="Tahoma"/>
                <w:color w:val="000000"/>
                <w:sz w:val="18"/>
                <w:szCs w:val="18"/>
                <w:lang w:val="it-IT"/>
              </w:rPr>
              <w:t>Perdita o degradazione significativa dei servizi</w:t>
            </w:r>
          </w:p>
          <w:p w14:paraId="09229DFE" w14:textId="77777777" w:rsidR="00DB2D1E" w:rsidRPr="00147698" w:rsidRDefault="00DB2D1E" w:rsidP="00346F4B">
            <w:pPr>
              <w:pStyle w:val="ListBullet3"/>
              <w:numPr>
                <w:ilvl w:val="0"/>
                <w:numId w:val="60"/>
              </w:numPr>
              <w:spacing w:line="276" w:lineRule="auto"/>
              <w:rPr>
                <w:rFonts w:ascii="Tahoma" w:hAnsi="Tahoma" w:cs="Tahoma"/>
                <w:color w:val="000000"/>
                <w:sz w:val="18"/>
                <w:szCs w:val="18"/>
              </w:rPr>
            </w:pPr>
            <w:r w:rsidRPr="00147698">
              <w:rPr>
                <w:rFonts w:ascii="Tahoma" w:hAnsi="Tahoma" w:cs="Tahoma"/>
                <w:color w:val="000000"/>
                <w:sz w:val="18"/>
                <w:szCs w:val="18"/>
              </w:rPr>
              <w:t>Necessità dell</w:t>
            </w:r>
            <w:r w:rsidR="001C4212">
              <w:rPr>
                <w:rFonts w:ascii="Tahoma" w:hAnsi="Tahoma" w:cs="Tahoma"/>
                <w:color w:val="000000"/>
                <w:sz w:val="18"/>
                <w:szCs w:val="18"/>
              </w:rPr>
              <w:t>’</w:t>
            </w:r>
            <w:r w:rsidRPr="00147698">
              <w:rPr>
                <w:rFonts w:ascii="Tahoma" w:hAnsi="Tahoma" w:cs="Tahoma"/>
                <w:color w:val="000000"/>
                <w:sz w:val="18"/>
                <w:szCs w:val="18"/>
              </w:rPr>
              <w:t>intervento entro 1 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1013BD64" w14:textId="77777777" w:rsidR="00DB2D1E" w:rsidRPr="003F471F" w:rsidRDefault="00DB2D1E" w:rsidP="00346F4B">
            <w:pPr>
              <w:pStyle w:val="ListBullet3"/>
              <w:numPr>
                <w:ilvl w:val="0"/>
                <w:numId w:val="61"/>
              </w:numPr>
              <w:spacing w:line="276" w:lineRule="auto"/>
              <w:rPr>
                <w:rFonts w:ascii="Tahoma" w:hAnsi="Tahoma" w:cs="Tahoma"/>
                <w:sz w:val="18"/>
                <w:szCs w:val="18"/>
                <w:lang w:val="it-IT"/>
              </w:rPr>
            </w:pPr>
            <w:r w:rsidRPr="003F471F">
              <w:rPr>
                <w:rFonts w:ascii="Tahoma" w:hAnsi="Tahoma" w:cs="Tahoma"/>
                <w:color w:val="000000"/>
                <w:sz w:val="18"/>
                <w:szCs w:val="18"/>
                <w:lang w:val="it-IT"/>
              </w:rPr>
              <w:t>Risposta alla prima chiamata in 1 ora o meno</w:t>
            </w:r>
          </w:p>
          <w:p w14:paraId="60556DEF" w14:textId="77777777" w:rsidR="00DB2D1E" w:rsidRPr="003F471F" w:rsidRDefault="00DB2D1E" w:rsidP="00346F4B">
            <w:pPr>
              <w:pStyle w:val="ListBullet3"/>
              <w:numPr>
                <w:ilvl w:val="0"/>
                <w:numId w:val="61"/>
              </w:numPr>
              <w:spacing w:line="276" w:lineRule="auto"/>
              <w:rPr>
                <w:rFonts w:ascii="Tahoma" w:hAnsi="Tahoma" w:cs="Tahoma"/>
                <w:sz w:val="18"/>
                <w:szCs w:val="18"/>
                <w:lang w:val="it-IT"/>
              </w:rPr>
            </w:pPr>
            <w:r w:rsidRPr="003F471F">
              <w:rPr>
                <w:rFonts w:ascii="Tahoma" w:hAnsi="Tahoma" w:cs="Tahoma"/>
                <w:color w:val="000000"/>
                <w:sz w:val="18"/>
                <w:szCs w:val="18"/>
                <w:lang w:val="it-IT"/>
              </w:rPr>
              <w:t>Risorse Microsoft presso la sede della società, come richiesto.</w:t>
            </w:r>
          </w:p>
          <w:p w14:paraId="4867440A" w14:textId="77777777" w:rsidR="00DB2D1E" w:rsidRPr="00147698" w:rsidRDefault="00DB2D1E" w:rsidP="00346F4B">
            <w:pPr>
              <w:pStyle w:val="ListBullet3"/>
              <w:numPr>
                <w:ilvl w:val="0"/>
                <w:numId w:val="61"/>
              </w:numPr>
              <w:spacing w:line="276" w:lineRule="auto"/>
              <w:rPr>
                <w:rFonts w:ascii="Tahoma" w:hAnsi="Tahoma" w:cs="Tahoma"/>
                <w:sz w:val="18"/>
                <w:szCs w:val="18"/>
              </w:rPr>
            </w:pPr>
            <w:r w:rsidRPr="00147698">
              <w:rPr>
                <w:rFonts w:ascii="Tahoma" w:hAnsi="Tahoma" w:cs="Tahoma"/>
                <w:color w:val="000000"/>
                <w:sz w:val="18"/>
                <w:szCs w:val="18"/>
              </w:rPr>
              <w:t>Impegno continuo 24x7</w:t>
            </w:r>
          </w:p>
          <w:p w14:paraId="3CAA01C9" w14:textId="77777777" w:rsidR="00DB2D1E" w:rsidRPr="003F471F" w:rsidRDefault="00DB2D1E" w:rsidP="00346F4B">
            <w:pPr>
              <w:pStyle w:val="ListBullet3"/>
              <w:numPr>
                <w:ilvl w:val="0"/>
                <w:numId w:val="61"/>
              </w:numPr>
              <w:spacing w:line="276" w:lineRule="auto"/>
              <w:rPr>
                <w:rFonts w:ascii="Tahoma" w:hAnsi="Tahoma" w:cs="Tahoma"/>
                <w:color w:val="000000"/>
                <w:sz w:val="18"/>
                <w:szCs w:val="18"/>
                <w:lang w:val="it-IT"/>
              </w:rPr>
            </w:pPr>
            <w:r w:rsidRPr="003F471F">
              <w:rPr>
                <w:rFonts w:ascii="Tahoma" w:hAnsi="Tahoma" w:cs="Tahoma"/>
                <w:color w:val="000000"/>
                <w:sz w:val="18"/>
                <w:szCs w:val="18"/>
                <w:lang w:val="it-IT"/>
              </w:rPr>
              <w:t>Comunicazione dei Dirigenti di Alto Livello di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611340CD" w14:textId="77777777" w:rsidR="00DB2D1E" w:rsidRPr="003F471F" w:rsidRDefault="00DB2D1E" w:rsidP="00346F4B">
            <w:pPr>
              <w:pStyle w:val="ListBullet3"/>
              <w:numPr>
                <w:ilvl w:val="0"/>
                <w:numId w:val="62"/>
              </w:numPr>
              <w:spacing w:line="276" w:lineRule="auto"/>
              <w:rPr>
                <w:rFonts w:ascii="Tahoma" w:hAnsi="Tahoma" w:cs="Tahoma"/>
                <w:sz w:val="18"/>
                <w:szCs w:val="18"/>
                <w:lang w:val="it-IT"/>
              </w:rPr>
            </w:pPr>
            <w:r w:rsidRPr="003F471F">
              <w:rPr>
                <w:rFonts w:ascii="Tahoma" w:hAnsi="Tahoma" w:cs="Tahoma"/>
                <w:color w:val="000000"/>
                <w:sz w:val="18"/>
                <w:szCs w:val="18"/>
                <w:lang w:val="it-IT"/>
              </w:rPr>
              <w:t>Allocazione delle risorse appropriate per sostenere l</w:t>
            </w:r>
            <w:r w:rsidR="001C4212" w:rsidRPr="003F471F">
              <w:rPr>
                <w:rFonts w:ascii="Tahoma" w:hAnsi="Tahoma" w:cs="Tahoma"/>
                <w:color w:val="000000"/>
                <w:sz w:val="18"/>
                <w:szCs w:val="18"/>
                <w:lang w:val="it-IT"/>
              </w:rPr>
              <w:t>’</w:t>
            </w:r>
            <w:r w:rsidRPr="003F471F">
              <w:rPr>
                <w:rFonts w:ascii="Tahoma" w:hAnsi="Tahoma" w:cs="Tahoma"/>
                <w:color w:val="000000"/>
                <w:sz w:val="18"/>
                <w:szCs w:val="18"/>
                <w:lang w:val="it-IT"/>
              </w:rPr>
              <w:t>impegno continuo 24x7</w:t>
            </w:r>
            <w:r w:rsidRPr="003F471F">
              <w:rPr>
                <w:rFonts w:ascii="Tahoma" w:hAnsi="Tahoma" w:cs="Tahoma"/>
                <w:color w:val="000000"/>
                <w:sz w:val="18"/>
                <w:szCs w:val="18"/>
                <w:vertAlign w:val="superscript"/>
                <w:lang w:val="it-IT"/>
              </w:rPr>
              <w:t>2</w:t>
            </w:r>
          </w:p>
          <w:p w14:paraId="3AA9EEEF" w14:textId="77777777" w:rsidR="00DB2D1E" w:rsidRPr="003F471F" w:rsidRDefault="00DB2D1E" w:rsidP="00346F4B">
            <w:pPr>
              <w:pStyle w:val="ListBullet3"/>
              <w:numPr>
                <w:ilvl w:val="0"/>
                <w:numId w:val="62"/>
              </w:numPr>
              <w:spacing w:line="276" w:lineRule="auto"/>
              <w:rPr>
                <w:rFonts w:ascii="Tahoma" w:hAnsi="Tahoma" w:cs="Tahoma"/>
                <w:sz w:val="18"/>
                <w:szCs w:val="18"/>
                <w:lang w:val="it-IT"/>
              </w:rPr>
            </w:pPr>
            <w:r w:rsidRPr="003F471F">
              <w:rPr>
                <w:rFonts w:ascii="Tahoma" w:hAnsi="Tahoma" w:cs="Tahoma"/>
                <w:color w:val="000000"/>
                <w:sz w:val="18"/>
                <w:szCs w:val="18"/>
                <w:lang w:val="it-IT"/>
              </w:rPr>
              <w:t>Accesso e risposte rapide dall</w:t>
            </w:r>
            <w:r w:rsidR="001C4212" w:rsidRPr="003F471F">
              <w:rPr>
                <w:rFonts w:ascii="Tahoma" w:hAnsi="Tahoma" w:cs="Tahoma"/>
                <w:color w:val="000000"/>
                <w:sz w:val="18"/>
                <w:szCs w:val="18"/>
                <w:lang w:val="it-IT"/>
              </w:rPr>
              <w:t>’</w:t>
            </w:r>
            <w:r w:rsidRPr="003F471F">
              <w:rPr>
                <w:rFonts w:ascii="Tahoma" w:hAnsi="Tahoma" w:cs="Tahoma"/>
                <w:color w:val="000000"/>
                <w:sz w:val="18"/>
                <w:szCs w:val="18"/>
                <w:lang w:val="it-IT"/>
              </w:rPr>
              <w:t>autorità di</w:t>
            </w:r>
            <w:r w:rsidR="00700477" w:rsidRPr="003F471F">
              <w:rPr>
                <w:rFonts w:ascii="Tahoma" w:hAnsi="Tahoma" w:cs="Tahoma"/>
                <w:color w:val="000000"/>
                <w:sz w:val="18"/>
                <w:szCs w:val="18"/>
                <w:lang w:val="it-IT"/>
              </w:rPr>
              <w:t> </w:t>
            </w:r>
            <w:r w:rsidRPr="003F471F">
              <w:rPr>
                <w:rFonts w:ascii="Tahoma" w:hAnsi="Tahoma" w:cs="Tahoma"/>
                <w:color w:val="000000"/>
                <w:sz w:val="18"/>
                <w:szCs w:val="18"/>
                <w:lang w:val="it-IT"/>
              </w:rPr>
              <w:t>controllo delle modifiche</w:t>
            </w:r>
          </w:p>
          <w:p w14:paraId="24402755" w14:textId="77777777" w:rsidR="00DB2D1E" w:rsidRPr="00147698" w:rsidRDefault="00DB2D1E" w:rsidP="00346F4B">
            <w:pPr>
              <w:pStyle w:val="ListBullet3"/>
              <w:numPr>
                <w:ilvl w:val="0"/>
                <w:numId w:val="62"/>
              </w:numPr>
              <w:spacing w:line="276" w:lineRule="auto"/>
              <w:rPr>
                <w:rFonts w:ascii="Tahoma" w:hAnsi="Tahoma" w:cs="Tahoma"/>
                <w:color w:val="000000"/>
                <w:sz w:val="18"/>
                <w:szCs w:val="18"/>
              </w:rPr>
            </w:pPr>
            <w:r w:rsidRPr="00147698">
              <w:rPr>
                <w:rFonts w:ascii="Tahoma" w:hAnsi="Tahoma" w:cs="Tahoma"/>
                <w:color w:val="000000"/>
                <w:sz w:val="18"/>
                <w:szCs w:val="18"/>
              </w:rPr>
              <w:t>Comunicazione della direzione</w:t>
            </w:r>
          </w:p>
        </w:tc>
      </w:tr>
      <w:tr w:rsidR="00DB2D1E" w:rsidRPr="003F471F" w14:paraId="385D0F29"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B9C849F" w14:textId="77777777" w:rsidR="00DB2D1E" w:rsidRPr="003F471F" w:rsidRDefault="00DB2D1E" w:rsidP="00DE73D4">
            <w:pPr>
              <w:pStyle w:val="tableclose"/>
              <w:spacing w:line="276" w:lineRule="auto"/>
              <w:rPr>
                <w:rFonts w:ascii="Tahoma" w:hAnsi="Tahoma" w:cs="Tahoma"/>
                <w:color w:val="000000"/>
                <w:sz w:val="18"/>
                <w:szCs w:val="18"/>
                <w:lang w:val="it-IT"/>
              </w:rPr>
            </w:pPr>
            <w:r w:rsidRPr="003F471F">
              <w:rPr>
                <w:rFonts w:ascii="Tahoma" w:hAnsi="Tahoma" w:cs="Tahoma"/>
                <w:color w:val="000000"/>
                <w:sz w:val="18"/>
                <w:szCs w:val="18"/>
                <w:lang w:val="it-IT"/>
              </w:rPr>
              <w:t>B Formulazione telefonica o invio tramite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2E9890F8" w14:textId="77777777" w:rsidR="00DB2D1E" w:rsidRPr="00147698" w:rsidRDefault="00DB2D1E" w:rsidP="00346F4B">
            <w:pPr>
              <w:pStyle w:val="ListBullet3"/>
              <w:numPr>
                <w:ilvl w:val="0"/>
                <w:numId w:val="60"/>
              </w:numPr>
              <w:spacing w:line="276" w:lineRule="auto"/>
              <w:rPr>
                <w:rFonts w:ascii="Tahoma" w:hAnsi="Tahoma" w:cs="Tahoma"/>
                <w:sz w:val="18"/>
                <w:szCs w:val="18"/>
              </w:rPr>
            </w:pPr>
            <w:r w:rsidRPr="00147698">
              <w:rPr>
                <w:rFonts w:ascii="Tahoma" w:hAnsi="Tahoma" w:cs="Tahoma"/>
                <w:color w:val="000000"/>
                <w:sz w:val="18"/>
                <w:szCs w:val="18"/>
              </w:rPr>
              <w:t xml:space="preserve">Impatto commerciale moderato: </w:t>
            </w:r>
          </w:p>
          <w:p w14:paraId="2DFE3F54" w14:textId="77777777" w:rsidR="00DB2D1E" w:rsidRPr="003F471F" w:rsidRDefault="00DB2D1E" w:rsidP="00346F4B">
            <w:pPr>
              <w:pStyle w:val="ListBullet3"/>
              <w:numPr>
                <w:ilvl w:val="0"/>
                <w:numId w:val="60"/>
              </w:numPr>
              <w:spacing w:line="276" w:lineRule="auto"/>
              <w:rPr>
                <w:rFonts w:ascii="Tahoma" w:hAnsi="Tahoma" w:cs="Tahoma"/>
                <w:sz w:val="18"/>
                <w:szCs w:val="18"/>
                <w:lang w:val="it-IT"/>
              </w:rPr>
            </w:pPr>
            <w:r w:rsidRPr="003F471F">
              <w:rPr>
                <w:rFonts w:ascii="Tahoma" w:hAnsi="Tahoma" w:cs="Tahoma"/>
                <w:color w:val="000000"/>
                <w:sz w:val="18"/>
                <w:szCs w:val="18"/>
                <w:lang w:val="it-IT"/>
              </w:rPr>
              <w:t>Perdita o degradazione moderata dei servizi e possibilità di continuare il lavoro in modo meno efficiente.</w:t>
            </w:r>
          </w:p>
          <w:p w14:paraId="0DD04D10" w14:textId="77777777" w:rsidR="00DB2D1E" w:rsidRPr="003F471F" w:rsidRDefault="00DB2D1E" w:rsidP="00346F4B">
            <w:pPr>
              <w:pStyle w:val="ListBullet3"/>
              <w:numPr>
                <w:ilvl w:val="0"/>
                <w:numId w:val="60"/>
              </w:numPr>
              <w:spacing w:line="276" w:lineRule="auto"/>
              <w:rPr>
                <w:rFonts w:ascii="Tahoma" w:hAnsi="Tahoma" w:cs="Tahoma"/>
                <w:color w:val="000000"/>
                <w:sz w:val="18"/>
                <w:szCs w:val="18"/>
                <w:lang w:val="it-IT"/>
              </w:rPr>
            </w:pPr>
            <w:r w:rsidRPr="003F471F">
              <w:rPr>
                <w:rFonts w:ascii="Tahoma" w:hAnsi="Tahoma" w:cs="Tahoma"/>
                <w:color w:val="000000"/>
                <w:sz w:val="18"/>
                <w:szCs w:val="18"/>
                <w:lang w:val="it-IT"/>
              </w:rPr>
              <w:t>Necessità dell</w:t>
            </w:r>
            <w:r w:rsidR="001C4212" w:rsidRPr="003F471F">
              <w:rPr>
                <w:rFonts w:ascii="Tahoma" w:hAnsi="Tahoma" w:cs="Tahoma"/>
                <w:color w:val="000000"/>
                <w:sz w:val="18"/>
                <w:szCs w:val="18"/>
                <w:lang w:val="it-IT"/>
              </w:rPr>
              <w:t>’</w:t>
            </w:r>
            <w:r w:rsidRPr="003F471F">
              <w:rPr>
                <w:rFonts w:ascii="Tahoma" w:hAnsi="Tahoma" w:cs="Tahoma"/>
                <w:color w:val="000000"/>
                <w:sz w:val="18"/>
                <w:szCs w:val="18"/>
                <w:lang w:val="it-IT"/>
              </w:rPr>
              <w:t>intervento entro 2 Ore Lavorative</w:t>
            </w:r>
            <w:r w:rsidRPr="003F471F">
              <w:rPr>
                <w:rFonts w:ascii="Tahoma" w:hAnsi="Tahoma" w:cs="Tahoma"/>
                <w:color w:val="000000"/>
                <w:sz w:val="18"/>
                <w:szCs w:val="18"/>
                <w:vertAlign w:val="superscript"/>
                <w:lang w:val="it-I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B292699" w14:textId="77777777" w:rsidR="00DB2D1E" w:rsidRPr="003F471F" w:rsidRDefault="00DB2D1E" w:rsidP="00346F4B">
            <w:pPr>
              <w:pStyle w:val="ListBullet3"/>
              <w:numPr>
                <w:ilvl w:val="0"/>
                <w:numId w:val="61"/>
              </w:numPr>
              <w:spacing w:line="276" w:lineRule="auto"/>
              <w:rPr>
                <w:rFonts w:ascii="Tahoma" w:hAnsi="Tahoma" w:cs="Tahoma"/>
                <w:sz w:val="18"/>
                <w:szCs w:val="18"/>
                <w:lang w:val="it-IT"/>
              </w:rPr>
            </w:pPr>
            <w:r w:rsidRPr="003F471F">
              <w:rPr>
                <w:rFonts w:ascii="Tahoma" w:hAnsi="Tahoma" w:cs="Tahoma"/>
                <w:color w:val="000000"/>
                <w:sz w:val="18"/>
                <w:szCs w:val="18"/>
                <w:lang w:val="it-IT"/>
              </w:rPr>
              <w:t>Risposta alla prima chiamata in 2 ore o meno</w:t>
            </w:r>
          </w:p>
          <w:p w14:paraId="44BA6F82" w14:textId="77777777" w:rsidR="00DB2D1E" w:rsidRPr="003F471F" w:rsidRDefault="00DB2D1E" w:rsidP="00346F4B">
            <w:pPr>
              <w:pStyle w:val="ListBullet3"/>
              <w:numPr>
                <w:ilvl w:val="0"/>
                <w:numId w:val="61"/>
              </w:numPr>
              <w:spacing w:line="276" w:lineRule="auto"/>
              <w:rPr>
                <w:rFonts w:ascii="Tahoma" w:hAnsi="Tahoma" w:cs="Tahoma"/>
                <w:sz w:val="18"/>
                <w:szCs w:val="18"/>
                <w:lang w:val="it-IT"/>
              </w:rPr>
            </w:pPr>
            <w:r w:rsidRPr="003F471F">
              <w:rPr>
                <w:rFonts w:ascii="Tahoma" w:hAnsi="Tahoma" w:cs="Tahoma"/>
                <w:color w:val="000000"/>
                <w:sz w:val="18"/>
                <w:szCs w:val="18"/>
                <w:lang w:val="it-IT"/>
              </w:rPr>
              <w:t>Impegno solo durante le Ore Lavorative</w:t>
            </w:r>
            <w:r w:rsidRPr="003F471F">
              <w:rPr>
                <w:rFonts w:ascii="Tahoma" w:hAnsi="Tahoma" w:cs="Tahoma"/>
                <w:color w:val="000000"/>
                <w:sz w:val="18"/>
                <w:szCs w:val="18"/>
                <w:vertAlign w:val="superscript"/>
                <w:lang w:val="it-IT"/>
              </w:rPr>
              <w:t>1</w:t>
            </w:r>
          </w:p>
          <w:p w14:paraId="3F54A358" w14:textId="77777777" w:rsidR="00DB2D1E" w:rsidRPr="003F471F"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it-IT"/>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2D0B4DFF" w14:textId="77777777" w:rsidR="00DB2D1E" w:rsidRPr="003F471F" w:rsidRDefault="00DB2D1E" w:rsidP="00346F4B">
            <w:pPr>
              <w:pStyle w:val="ListBullet3"/>
              <w:numPr>
                <w:ilvl w:val="0"/>
                <w:numId w:val="62"/>
              </w:numPr>
              <w:spacing w:line="276" w:lineRule="auto"/>
              <w:rPr>
                <w:rFonts w:ascii="Tahoma" w:hAnsi="Tahoma" w:cs="Tahoma"/>
                <w:sz w:val="18"/>
                <w:szCs w:val="18"/>
                <w:lang w:val="it-IT"/>
              </w:rPr>
            </w:pPr>
            <w:r w:rsidRPr="003F471F">
              <w:rPr>
                <w:rFonts w:ascii="Tahoma" w:hAnsi="Tahoma" w:cs="Tahoma"/>
                <w:color w:val="000000"/>
                <w:sz w:val="18"/>
                <w:szCs w:val="18"/>
                <w:lang w:val="it-IT"/>
              </w:rPr>
              <w:t>Allocazione di risorse appropriate per sostenere l</w:t>
            </w:r>
            <w:r w:rsidR="001C4212" w:rsidRPr="003F471F">
              <w:rPr>
                <w:rFonts w:ascii="Tahoma" w:hAnsi="Tahoma" w:cs="Tahoma"/>
                <w:color w:val="000000"/>
                <w:sz w:val="18"/>
                <w:szCs w:val="18"/>
                <w:lang w:val="it-IT"/>
              </w:rPr>
              <w:t>’</w:t>
            </w:r>
            <w:r w:rsidRPr="003F471F">
              <w:rPr>
                <w:rFonts w:ascii="Tahoma" w:hAnsi="Tahoma" w:cs="Tahoma"/>
                <w:color w:val="000000"/>
                <w:sz w:val="18"/>
                <w:szCs w:val="18"/>
                <w:lang w:val="it-IT"/>
              </w:rPr>
              <w:t>impegno continuo durante le</w:t>
            </w:r>
            <w:r w:rsidR="00700477" w:rsidRPr="003F471F">
              <w:rPr>
                <w:rFonts w:ascii="Tahoma" w:hAnsi="Tahoma" w:cs="Tahoma"/>
                <w:color w:val="000000"/>
                <w:sz w:val="18"/>
                <w:szCs w:val="18"/>
                <w:lang w:val="it-IT"/>
              </w:rPr>
              <w:t> </w:t>
            </w:r>
            <w:r w:rsidRPr="003F471F">
              <w:rPr>
                <w:rFonts w:ascii="Tahoma" w:hAnsi="Tahoma" w:cs="Tahoma"/>
                <w:color w:val="000000"/>
                <w:sz w:val="18"/>
                <w:szCs w:val="18"/>
                <w:lang w:val="it-IT"/>
              </w:rPr>
              <w:t>Ore Lavorative</w:t>
            </w:r>
            <w:r w:rsidRPr="003F471F">
              <w:rPr>
                <w:rFonts w:ascii="Tahoma" w:hAnsi="Tahoma" w:cs="Tahoma"/>
                <w:color w:val="000000"/>
                <w:sz w:val="18"/>
                <w:szCs w:val="18"/>
                <w:vertAlign w:val="superscript"/>
                <w:lang w:val="it-IT"/>
              </w:rPr>
              <w:t>1</w:t>
            </w:r>
          </w:p>
          <w:p w14:paraId="25BC001D" w14:textId="77777777" w:rsidR="00DB2D1E" w:rsidRPr="003F471F" w:rsidRDefault="00DB2D1E" w:rsidP="00346F4B">
            <w:pPr>
              <w:pStyle w:val="ListBullet3"/>
              <w:numPr>
                <w:ilvl w:val="0"/>
                <w:numId w:val="62"/>
              </w:numPr>
              <w:spacing w:line="276" w:lineRule="auto"/>
              <w:rPr>
                <w:rFonts w:ascii="Tahoma" w:hAnsi="Tahoma" w:cs="Tahoma"/>
                <w:color w:val="000000"/>
                <w:sz w:val="18"/>
                <w:szCs w:val="18"/>
                <w:lang w:val="it-IT"/>
              </w:rPr>
            </w:pPr>
            <w:r w:rsidRPr="003F471F">
              <w:rPr>
                <w:rFonts w:ascii="Tahoma" w:hAnsi="Tahoma" w:cs="Tahoma"/>
                <w:color w:val="000000"/>
                <w:sz w:val="18"/>
                <w:szCs w:val="18"/>
                <w:lang w:val="it-IT"/>
              </w:rPr>
              <w:t>Accesso e risposta dall</w:t>
            </w:r>
            <w:r w:rsidR="001C4212" w:rsidRPr="003F471F">
              <w:rPr>
                <w:rFonts w:ascii="Tahoma" w:hAnsi="Tahoma" w:cs="Tahoma"/>
                <w:color w:val="000000"/>
                <w:sz w:val="18"/>
                <w:szCs w:val="18"/>
                <w:lang w:val="it-IT"/>
              </w:rPr>
              <w:t>’</w:t>
            </w:r>
            <w:r w:rsidRPr="003F471F">
              <w:rPr>
                <w:rFonts w:ascii="Tahoma" w:hAnsi="Tahoma" w:cs="Tahoma"/>
                <w:color w:val="000000"/>
                <w:sz w:val="18"/>
                <w:szCs w:val="18"/>
                <w:lang w:val="it-IT"/>
              </w:rPr>
              <w:t>autorità preposta al controllo delle modifiche entro 4 Ore Lavorative</w:t>
            </w:r>
            <w:r w:rsidRPr="003F471F">
              <w:rPr>
                <w:rFonts w:ascii="Tahoma" w:hAnsi="Tahoma" w:cs="Tahoma"/>
                <w:color w:val="000000"/>
                <w:sz w:val="18"/>
                <w:szCs w:val="18"/>
                <w:vertAlign w:val="superscript"/>
                <w:lang w:val="it-IT"/>
              </w:rPr>
              <w:t>1</w:t>
            </w:r>
          </w:p>
        </w:tc>
      </w:tr>
      <w:tr w:rsidR="00DB2D1E" w:rsidRPr="0058047D" w14:paraId="026B8B46"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51B5B54" w14:textId="77777777" w:rsidR="00DB2D1E" w:rsidRPr="003F471F" w:rsidRDefault="00DB2D1E" w:rsidP="00DE73D4">
            <w:pPr>
              <w:pStyle w:val="tableclose"/>
              <w:spacing w:line="276" w:lineRule="auto"/>
              <w:rPr>
                <w:rFonts w:ascii="Tahoma" w:hAnsi="Tahoma" w:cs="Tahoma"/>
                <w:color w:val="000000"/>
                <w:sz w:val="18"/>
                <w:szCs w:val="18"/>
                <w:lang w:val="it-IT"/>
              </w:rPr>
            </w:pPr>
            <w:r w:rsidRPr="003F471F">
              <w:rPr>
                <w:rFonts w:ascii="Tahoma" w:hAnsi="Tahoma" w:cs="Tahoma"/>
                <w:color w:val="000000"/>
                <w:sz w:val="18"/>
                <w:szCs w:val="18"/>
                <w:lang w:val="it-IT"/>
              </w:rPr>
              <w:t>C Formulazione telefonica o invio tramite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658B91A3" w14:textId="77777777" w:rsidR="00DB2D1E" w:rsidRPr="00147698" w:rsidRDefault="00DB2D1E" w:rsidP="00346F4B">
            <w:pPr>
              <w:pStyle w:val="ListBullet3"/>
              <w:numPr>
                <w:ilvl w:val="0"/>
                <w:numId w:val="60"/>
              </w:numPr>
              <w:spacing w:line="276" w:lineRule="auto"/>
              <w:rPr>
                <w:rFonts w:ascii="Tahoma" w:hAnsi="Tahoma" w:cs="Tahoma"/>
                <w:sz w:val="18"/>
                <w:szCs w:val="18"/>
              </w:rPr>
            </w:pPr>
            <w:r w:rsidRPr="00147698">
              <w:rPr>
                <w:rFonts w:ascii="Tahoma" w:hAnsi="Tahoma" w:cs="Tahoma"/>
                <w:color w:val="000000"/>
                <w:sz w:val="18"/>
                <w:szCs w:val="18"/>
              </w:rPr>
              <w:t xml:space="preserve">Impatto commerciale minimo </w:t>
            </w:r>
          </w:p>
          <w:p w14:paraId="365EF82D" w14:textId="77777777" w:rsidR="00DB2D1E" w:rsidRPr="003F471F" w:rsidRDefault="00DB2D1E" w:rsidP="00346F4B">
            <w:pPr>
              <w:pStyle w:val="ListBullet3"/>
              <w:numPr>
                <w:ilvl w:val="0"/>
                <w:numId w:val="60"/>
              </w:numPr>
              <w:spacing w:line="276" w:lineRule="auto"/>
              <w:rPr>
                <w:rFonts w:ascii="Tahoma" w:hAnsi="Tahoma" w:cs="Tahoma"/>
                <w:sz w:val="18"/>
                <w:szCs w:val="18"/>
                <w:lang w:val="it-IT"/>
              </w:rPr>
            </w:pPr>
            <w:r w:rsidRPr="003F471F">
              <w:rPr>
                <w:rFonts w:ascii="Tahoma" w:hAnsi="Tahoma" w:cs="Tahoma"/>
                <w:color w:val="000000"/>
                <w:sz w:val="18"/>
                <w:szCs w:val="18"/>
                <w:lang w:val="it-IT"/>
              </w:rPr>
              <w:t>Funzionamento sostanzialmente nella norma, in alcuni casi con qualche minimo impedimento dei servizi.</w:t>
            </w:r>
          </w:p>
          <w:p w14:paraId="7463A7A4" w14:textId="77777777" w:rsidR="00DB2D1E" w:rsidRPr="003F471F" w:rsidRDefault="00DB2D1E" w:rsidP="00346F4B">
            <w:pPr>
              <w:pStyle w:val="ListBullet3"/>
              <w:numPr>
                <w:ilvl w:val="0"/>
                <w:numId w:val="60"/>
              </w:numPr>
              <w:spacing w:line="276" w:lineRule="auto"/>
              <w:rPr>
                <w:rFonts w:ascii="Tahoma" w:hAnsi="Tahoma" w:cs="Tahoma"/>
                <w:color w:val="000000"/>
                <w:sz w:val="18"/>
                <w:szCs w:val="18"/>
                <w:lang w:val="it-IT"/>
              </w:rPr>
            </w:pPr>
            <w:r w:rsidRPr="003F471F">
              <w:rPr>
                <w:rFonts w:ascii="Tahoma" w:hAnsi="Tahoma" w:cs="Tahoma"/>
                <w:color w:val="000000"/>
                <w:sz w:val="18"/>
                <w:szCs w:val="18"/>
                <w:lang w:val="it-IT"/>
              </w:rPr>
              <w:t>Necessità dell</w:t>
            </w:r>
            <w:r w:rsidR="001C4212" w:rsidRPr="003F471F">
              <w:rPr>
                <w:rFonts w:ascii="Tahoma" w:hAnsi="Tahoma" w:cs="Tahoma"/>
                <w:color w:val="000000"/>
                <w:sz w:val="18"/>
                <w:szCs w:val="18"/>
                <w:lang w:val="it-IT"/>
              </w:rPr>
              <w:t>’</w:t>
            </w:r>
            <w:r w:rsidRPr="003F471F">
              <w:rPr>
                <w:rFonts w:ascii="Tahoma" w:hAnsi="Tahoma" w:cs="Tahoma"/>
                <w:color w:val="000000"/>
                <w:sz w:val="18"/>
                <w:szCs w:val="18"/>
                <w:lang w:val="it-IT"/>
              </w:rPr>
              <w:t>intervento entro 4 Ore Lavorative</w:t>
            </w:r>
            <w:r w:rsidRPr="003F471F">
              <w:rPr>
                <w:rFonts w:ascii="Tahoma" w:hAnsi="Tahoma" w:cs="Tahoma"/>
                <w:color w:val="000000"/>
                <w:sz w:val="18"/>
                <w:szCs w:val="18"/>
                <w:vertAlign w:val="superscript"/>
                <w:lang w:val="it-I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E2341DB" w14:textId="77777777" w:rsidR="00DB2D1E" w:rsidRPr="003F471F" w:rsidRDefault="00DB2D1E" w:rsidP="00346F4B">
            <w:pPr>
              <w:pStyle w:val="ListBullet3"/>
              <w:numPr>
                <w:ilvl w:val="0"/>
                <w:numId w:val="61"/>
              </w:numPr>
              <w:spacing w:line="276" w:lineRule="auto"/>
              <w:rPr>
                <w:rFonts w:ascii="Tahoma" w:hAnsi="Tahoma" w:cs="Tahoma"/>
                <w:sz w:val="18"/>
                <w:szCs w:val="18"/>
                <w:lang w:val="it-IT"/>
              </w:rPr>
            </w:pPr>
            <w:r w:rsidRPr="003F471F">
              <w:rPr>
                <w:rFonts w:ascii="Tahoma" w:hAnsi="Tahoma" w:cs="Tahoma"/>
                <w:color w:val="000000"/>
                <w:sz w:val="18"/>
                <w:szCs w:val="18"/>
                <w:lang w:val="it-IT"/>
              </w:rPr>
              <w:t>Risposta alla prima chiamata in 4 ore o meno</w:t>
            </w:r>
          </w:p>
          <w:p w14:paraId="19A22B07" w14:textId="77777777" w:rsidR="00DB2D1E" w:rsidRPr="003F471F" w:rsidRDefault="00DB2D1E" w:rsidP="00346F4B">
            <w:pPr>
              <w:pStyle w:val="ListBullet3"/>
              <w:numPr>
                <w:ilvl w:val="0"/>
                <w:numId w:val="61"/>
              </w:numPr>
              <w:spacing w:line="276" w:lineRule="auto"/>
              <w:rPr>
                <w:rFonts w:ascii="Tahoma" w:hAnsi="Tahoma" w:cs="Tahoma"/>
                <w:sz w:val="18"/>
                <w:szCs w:val="18"/>
                <w:lang w:val="it-IT"/>
              </w:rPr>
            </w:pPr>
            <w:r w:rsidRPr="003F471F">
              <w:rPr>
                <w:rFonts w:ascii="Tahoma" w:hAnsi="Tahoma" w:cs="Tahoma"/>
                <w:color w:val="000000"/>
                <w:sz w:val="18"/>
                <w:szCs w:val="18"/>
                <w:lang w:val="it-IT"/>
              </w:rPr>
              <w:t>Impegno solo durante le Ore Lavorative</w:t>
            </w:r>
            <w:r w:rsidRPr="003F471F">
              <w:rPr>
                <w:rFonts w:ascii="Tahoma" w:hAnsi="Tahoma" w:cs="Tahoma"/>
                <w:color w:val="000000"/>
                <w:sz w:val="18"/>
                <w:szCs w:val="18"/>
                <w:vertAlign w:val="superscript"/>
                <w:lang w:val="it-IT"/>
              </w:rPr>
              <w:t>1</w:t>
            </w:r>
          </w:p>
          <w:p w14:paraId="7D59756B" w14:textId="77777777" w:rsidR="00DB2D1E" w:rsidRPr="003F471F" w:rsidRDefault="00DB2D1E" w:rsidP="00DE73D4">
            <w:pPr>
              <w:pStyle w:val="tableclose"/>
              <w:spacing w:line="276" w:lineRule="auto"/>
              <w:ind w:left="529" w:hanging="450"/>
              <w:rPr>
                <w:rFonts w:ascii="Tahoma" w:hAnsi="Tahoma" w:cs="Tahoma"/>
                <w:color w:val="000000"/>
                <w:sz w:val="18"/>
                <w:szCs w:val="18"/>
                <w:lang w:val="it-IT"/>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6BFA8DD1" w14:textId="77777777" w:rsidR="00DB2D1E" w:rsidRPr="003F471F" w:rsidRDefault="00DB2D1E" w:rsidP="00346F4B">
            <w:pPr>
              <w:pStyle w:val="ListBullet3"/>
              <w:numPr>
                <w:ilvl w:val="0"/>
                <w:numId w:val="62"/>
              </w:numPr>
              <w:spacing w:line="276" w:lineRule="auto"/>
              <w:rPr>
                <w:rFonts w:ascii="Tahoma" w:hAnsi="Tahoma" w:cs="Tahoma"/>
                <w:sz w:val="18"/>
                <w:szCs w:val="18"/>
                <w:lang w:val="it-IT"/>
              </w:rPr>
            </w:pPr>
            <w:r w:rsidRPr="003F471F">
              <w:rPr>
                <w:rFonts w:ascii="Tahoma" w:hAnsi="Tahoma" w:cs="Tahoma"/>
                <w:color w:val="000000"/>
                <w:sz w:val="18"/>
                <w:szCs w:val="18"/>
                <w:lang w:val="it-IT"/>
              </w:rPr>
              <w:t>Informazioni accurate da parte di chi segue il</w:t>
            </w:r>
            <w:r w:rsidR="00700477" w:rsidRPr="003F471F">
              <w:rPr>
                <w:rFonts w:ascii="Tahoma" w:hAnsi="Tahoma" w:cs="Tahoma"/>
                <w:color w:val="000000"/>
                <w:sz w:val="18"/>
                <w:szCs w:val="18"/>
                <w:lang w:val="it-IT"/>
              </w:rPr>
              <w:t> </w:t>
            </w:r>
            <w:r w:rsidRPr="003F471F">
              <w:rPr>
                <w:rFonts w:ascii="Tahoma" w:hAnsi="Tahoma" w:cs="Tahoma"/>
                <w:color w:val="000000"/>
                <w:sz w:val="18"/>
                <w:szCs w:val="18"/>
                <w:lang w:val="it-IT"/>
              </w:rPr>
              <w:t>caso</w:t>
            </w:r>
          </w:p>
          <w:p w14:paraId="061F8630" w14:textId="77777777" w:rsidR="00DB2D1E" w:rsidRPr="00147698" w:rsidRDefault="00DB2D1E" w:rsidP="00346F4B">
            <w:pPr>
              <w:pStyle w:val="ListBullet3"/>
              <w:numPr>
                <w:ilvl w:val="0"/>
                <w:numId w:val="62"/>
              </w:numPr>
              <w:spacing w:line="276" w:lineRule="auto"/>
              <w:rPr>
                <w:rFonts w:ascii="Tahoma" w:hAnsi="Tahoma" w:cs="Tahoma"/>
                <w:color w:val="000000"/>
                <w:sz w:val="18"/>
                <w:szCs w:val="18"/>
              </w:rPr>
            </w:pPr>
            <w:r w:rsidRPr="00147698">
              <w:rPr>
                <w:rFonts w:ascii="Tahoma" w:hAnsi="Tahoma" w:cs="Tahoma"/>
                <w:color w:val="000000"/>
                <w:sz w:val="18"/>
                <w:szCs w:val="18"/>
              </w:rPr>
              <w:t>Risposta entro 24 ore.</w:t>
            </w:r>
          </w:p>
        </w:tc>
      </w:tr>
    </w:tbl>
    <w:p w14:paraId="72CAB9DE" w14:textId="77777777" w:rsidR="00DB2D1E" w:rsidRPr="003F471F" w:rsidRDefault="00DB2D1E" w:rsidP="00DB2D1E">
      <w:pPr>
        <w:pStyle w:val="tableclose"/>
        <w:rPr>
          <w:sz w:val="16"/>
          <w:szCs w:val="16"/>
          <w:lang w:val="it-IT"/>
        </w:rPr>
      </w:pPr>
      <w:r w:rsidRPr="003F471F">
        <w:rPr>
          <w:rFonts w:ascii="Tahoma" w:hAnsi="Tahoma" w:cs="Tahoma"/>
          <w:i/>
          <w:color w:val="000000"/>
          <w:sz w:val="16"/>
          <w:szCs w:val="16"/>
          <w:vertAlign w:val="superscript"/>
          <w:lang w:val="it-IT"/>
        </w:rPr>
        <w:t>1</w:t>
      </w:r>
      <w:r w:rsidRPr="003F471F">
        <w:rPr>
          <w:rFonts w:ascii="Tahoma" w:hAnsi="Tahoma" w:cs="Tahoma"/>
          <w:i/>
          <w:color w:val="000000"/>
          <w:sz w:val="16"/>
          <w:szCs w:val="16"/>
          <w:lang w:val="it-IT"/>
        </w:rPr>
        <w:t xml:space="preserve"> Le Ore Lavorative sono definite su base locale.</w:t>
      </w:r>
    </w:p>
    <w:p w14:paraId="664977C1" w14:textId="77777777" w:rsidR="00DB2D1E" w:rsidRPr="003F471F" w:rsidRDefault="00DB2D1E" w:rsidP="00F42FB8">
      <w:pPr>
        <w:pStyle w:val="tableclose"/>
        <w:rPr>
          <w:sz w:val="16"/>
          <w:szCs w:val="16"/>
          <w:lang w:val="it-IT"/>
        </w:rPr>
      </w:pPr>
      <w:r w:rsidRPr="003F471F">
        <w:rPr>
          <w:rFonts w:ascii="Tahoma" w:hAnsi="Tahoma" w:cs="Tahoma"/>
          <w:i/>
          <w:color w:val="000000"/>
          <w:sz w:val="16"/>
          <w:szCs w:val="16"/>
          <w:vertAlign w:val="superscript"/>
          <w:lang w:val="it-IT"/>
        </w:rPr>
        <w:t>2</w:t>
      </w:r>
      <w:r w:rsidRPr="003F471F">
        <w:rPr>
          <w:rFonts w:ascii="Tahoma" w:hAnsi="Tahoma" w:cs="Tahoma"/>
          <w:i/>
          <w:color w:val="000000"/>
          <w:sz w:val="16"/>
          <w:szCs w:val="16"/>
          <w:lang w:val="it-IT"/>
        </w:rPr>
        <w:t xml:space="preserve"> È possibile che Microsoft riduca il livello di gravità se la società non è in grado di fornire risorse o risposte adeguate a supporto dell</w:t>
      </w:r>
      <w:r w:rsidR="001C4212" w:rsidRPr="003F471F">
        <w:rPr>
          <w:rFonts w:ascii="Tahoma" w:hAnsi="Tahoma" w:cs="Tahoma"/>
          <w:i/>
          <w:color w:val="000000"/>
          <w:sz w:val="16"/>
          <w:szCs w:val="16"/>
          <w:lang w:val="it-IT"/>
        </w:rPr>
        <w:t>’</w:t>
      </w:r>
      <w:r w:rsidRPr="003F471F">
        <w:rPr>
          <w:rFonts w:ascii="Tahoma" w:hAnsi="Tahoma" w:cs="Tahoma"/>
          <w:i/>
          <w:color w:val="000000"/>
          <w:sz w:val="16"/>
          <w:szCs w:val="16"/>
          <w:lang w:val="it-IT"/>
        </w:rPr>
        <w:t>impegno di Microsoft volto a risolvere il problema.</w:t>
      </w:r>
    </w:p>
    <w:p w14:paraId="2B840C7E" w14:textId="77777777" w:rsidR="00DB2D1E" w:rsidRPr="003F471F" w:rsidRDefault="00DB2D1E" w:rsidP="00F42FB8">
      <w:pPr>
        <w:rPr>
          <w:lang w:val="it-IT"/>
        </w:rPr>
      </w:pPr>
    </w:p>
    <w:p w14:paraId="03E00E66" w14:textId="77777777" w:rsidR="00DB2D1E" w:rsidRPr="003F471F" w:rsidRDefault="00DB2D1E" w:rsidP="00DB2D1E">
      <w:pPr>
        <w:spacing w:after="120"/>
        <w:rPr>
          <w:lang w:val="it-IT"/>
        </w:rPr>
      </w:pPr>
      <w:r w:rsidRPr="003F471F">
        <w:rPr>
          <w:lang w:val="it-IT"/>
        </w:rPr>
        <w:t xml:space="preserve">Il servizio </w:t>
      </w:r>
      <w:r w:rsidRPr="003F471F">
        <w:rPr>
          <w:rFonts w:cs="Tahoma"/>
          <w:b/>
          <w:bCs/>
          <w:color w:val="000000"/>
          <w:szCs w:val="18"/>
          <w:lang w:val="it-IT"/>
        </w:rPr>
        <w:t>Information Services</w:t>
      </w:r>
      <w:r w:rsidRPr="003F471F">
        <w:rPr>
          <w:rFonts w:cs="Tahoma"/>
          <w:color w:val="000000"/>
          <w:szCs w:val="18"/>
          <w:lang w:val="it-IT"/>
        </w:rPr>
        <w:t xml:space="preserve"> include l</w:t>
      </w:r>
      <w:r w:rsidR="001C4212" w:rsidRPr="003F471F">
        <w:rPr>
          <w:rFonts w:cs="Tahoma"/>
          <w:color w:val="000000"/>
          <w:szCs w:val="18"/>
          <w:lang w:val="it-IT"/>
        </w:rPr>
        <w:t>’</w:t>
      </w:r>
      <w:r w:rsidRPr="003F471F">
        <w:rPr>
          <w:rFonts w:cs="Tahoma"/>
          <w:color w:val="000000"/>
          <w:szCs w:val="18"/>
          <w:lang w:val="it-IT"/>
        </w:rPr>
        <w:t>accesso al sito Web Premier e a Webcast di supporto pianificati su base periodica condotte da manager, sviluppatori ed esperti del programma Microsoft che forniscono informazioni chiave sulla tecnologia Microsoft.</w:t>
      </w:r>
    </w:p>
    <w:p w14:paraId="4595239D" w14:textId="77777777" w:rsidR="00DB2D1E" w:rsidRPr="003F471F" w:rsidRDefault="00DB2D1E" w:rsidP="00DB2D1E">
      <w:pPr>
        <w:rPr>
          <w:lang w:val="it-IT"/>
        </w:rPr>
      </w:pPr>
      <w:r w:rsidRPr="003F471F">
        <w:rPr>
          <w:lang w:val="it-IT"/>
        </w:rPr>
        <w:t xml:space="preserve">Le </w:t>
      </w:r>
      <w:r w:rsidRPr="003F471F">
        <w:rPr>
          <w:rFonts w:cs="Tahoma"/>
          <w:b/>
          <w:bCs/>
          <w:color w:val="000000"/>
          <w:szCs w:val="18"/>
          <w:lang w:val="it-IT"/>
        </w:rPr>
        <w:t xml:space="preserve">Ore di Aggiunta </w:t>
      </w:r>
      <w:r w:rsidRPr="003F471F">
        <w:rPr>
          <w:rFonts w:cs="Tahoma"/>
          <w:color w:val="000000"/>
          <w:szCs w:val="18"/>
          <w:lang w:val="it-IT"/>
        </w:rPr>
        <w:t xml:space="preserve">possono essere utilizzate per le Attività Proattive di Supporto (Support Assistance) o il Supporto per la Risoluzione dei Problemi. </w:t>
      </w:r>
    </w:p>
    <w:p w14:paraId="05841F98" w14:textId="77777777" w:rsidR="00DC0853" w:rsidRPr="003F471F" w:rsidRDefault="00DC0853" w:rsidP="00DC0853">
      <w:pPr>
        <w:spacing w:after="60"/>
        <w:rPr>
          <w:lang w:val="it-IT"/>
        </w:rPr>
      </w:pPr>
      <w:r w:rsidRPr="003F471F">
        <w:rPr>
          <w:rFonts w:cs="Tahoma"/>
          <w:b/>
          <w:bCs/>
          <w:color w:val="000000"/>
          <w:szCs w:val="18"/>
          <w:lang w:val="it-IT"/>
        </w:rPr>
        <w:t>Regole Commerciali Associate</w:t>
      </w:r>
    </w:p>
    <w:p w14:paraId="38BCD0BA" w14:textId="77777777" w:rsidR="00DB2D1E" w:rsidRPr="003F471F" w:rsidRDefault="00DB2D1E" w:rsidP="00FD27BC">
      <w:pPr>
        <w:rPr>
          <w:lang w:val="it-IT"/>
        </w:rPr>
      </w:pPr>
      <w:r w:rsidRPr="003F471F">
        <w:rPr>
          <w:rFonts w:cs="Tahoma"/>
          <w:color w:val="000000"/>
          <w:szCs w:val="18"/>
          <w:lang w:val="it-IT"/>
        </w:rPr>
        <w:t>Tutti i Servizi forniscono il supporto per Prodotti Microsoft disponibili sul mercato e destinati a un uso commerciale (se non specificamente escluso sul sito Web Microsoft Premier o sul sito Web Microsoft di Supporto del Ciclo di Vita). I Servizi saranno addebitati, in genere, su base oraria, forniti in remoto e in lingua inglese (salvo laddove sia disponibile un</w:t>
      </w:r>
      <w:r w:rsidR="001C4212" w:rsidRPr="003F471F">
        <w:rPr>
          <w:rFonts w:cs="Tahoma"/>
          <w:color w:val="000000"/>
          <w:szCs w:val="18"/>
          <w:lang w:val="it-IT"/>
        </w:rPr>
        <w:t>’</w:t>
      </w:r>
      <w:r w:rsidRPr="003F471F">
        <w:rPr>
          <w:rFonts w:cs="Tahoma"/>
          <w:color w:val="000000"/>
          <w:szCs w:val="18"/>
          <w:lang w:val="it-IT"/>
        </w:rPr>
        <w:t>altra lingua). I Servizi saranno forniti nel paese in cui è stato sottoscritto il contratto VL. Gli interventi in</w:t>
      </w:r>
      <w:r w:rsidR="00700477" w:rsidRPr="003F471F">
        <w:rPr>
          <w:rFonts w:cs="Tahoma"/>
          <w:color w:val="000000"/>
          <w:szCs w:val="18"/>
          <w:lang w:val="it-IT"/>
        </w:rPr>
        <w:t> </w:t>
      </w:r>
      <w:r w:rsidRPr="003F471F">
        <w:rPr>
          <w:rFonts w:cs="Tahoma"/>
          <w:color w:val="000000"/>
          <w:szCs w:val="18"/>
          <w:lang w:val="it-IT"/>
        </w:rPr>
        <w:t>loco non sono prepagati e dipendono dalla disponibilità delle risorse. Tutti i Servizi non utilizzati nell</w:t>
      </w:r>
      <w:r w:rsidR="001C4212" w:rsidRPr="003F471F">
        <w:rPr>
          <w:rFonts w:cs="Tahoma"/>
          <w:color w:val="000000"/>
          <w:szCs w:val="18"/>
          <w:lang w:val="it-IT"/>
        </w:rPr>
        <w:t>’</w:t>
      </w:r>
      <w:r w:rsidRPr="003F471F">
        <w:rPr>
          <w:rFonts w:cs="Tahoma"/>
          <w:color w:val="000000"/>
          <w:szCs w:val="18"/>
          <w:lang w:val="it-IT"/>
        </w:rPr>
        <w:t>anno andranno persi. Su richiesta della società, Microsoft potrà accedere al sistema della società tramite connessione telefonica remota per analizzare i problemi. Le società dovranno disporre di un accesso a Internet per poter utilizzare i servizi basati su Internet.</w:t>
      </w:r>
    </w:p>
    <w:p w14:paraId="3EA0467D" w14:textId="77777777" w:rsidR="00DB2D1E" w:rsidRPr="003F471F" w:rsidRDefault="00DB2D1E" w:rsidP="00DB2D1E">
      <w:pPr>
        <w:jc w:val="both"/>
        <w:rPr>
          <w:lang w:val="it-IT"/>
        </w:rPr>
      </w:pPr>
    </w:p>
    <w:p w14:paraId="25BCF7DD" w14:textId="77777777" w:rsidR="00596386" w:rsidRPr="003F471F" w:rsidRDefault="00596386" w:rsidP="00596386">
      <w:pPr>
        <w:rPr>
          <w:lang w:val="it-IT"/>
        </w:rPr>
      </w:pPr>
      <w:r w:rsidRPr="003F471F">
        <w:rPr>
          <w:b/>
          <w:sz w:val="24"/>
          <w:szCs w:val="24"/>
          <w:lang w:val="it-IT"/>
        </w:rPr>
        <w:t>Offerte di Supporto per Microsoft Windows Azure</w:t>
      </w:r>
    </w:p>
    <w:p w14:paraId="5D7D9394" w14:textId="77777777" w:rsidR="00596386" w:rsidRPr="003F471F" w:rsidRDefault="00596386" w:rsidP="00596386">
      <w:pPr>
        <w:rPr>
          <w:lang w:val="it-IT"/>
        </w:rPr>
      </w:pPr>
    </w:p>
    <w:p w14:paraId="35937ABE" w14:textId="77777777" w:rsidR="00596386" w:rsidRPr="003F471F" w:rsidRDefault="00596386" w:rsidP="00596386">
      <w:pPr>
        <w:jc w:val="both"/>
        <w:rPr>
          <w:lang w:val="it-IT"/>
        </w:rPr>
      </w:pPr>
      <w:r w:rsidRPr="003F471F">
        <w:rPr>
          <w:rFonts w:cs="Arial"/>
          <w:color w:val="000000"/>
          <w:szCs w:val="18"/>
          <w:lang w:val="it-IT"/>
        </w:rPr>
        <w:t>Salvo quanto diversamente specificato di sotto, i Servizi di Supporto per Windows Azure sono disponibili per Windows</w:t>
      </w:r>
      <w:r w:rsidR="00700477" w:rsidRPr="003F471F">
        <w:rPr>
          <w:rFonts w:cs="Arial"/>
          <w:color w:val="000000"/>
          <w:szCs w:val="18"/>
          <w:lang w:val="it-IT"/>
        </w:rPr>
        <w:t> </w:t>
      </w:r>
      <w:r w:rsidRPr="003F471F">
        <w:rPr>
          <w:rFonts w:cs="Arial"/>
          <w:color w:val="000000"/>
          <w:szCs w:val="18"/>
          <w:lang w:val="it-IT"/>
        </w:rPr>
        <w:t xml:space="preserve">Azure. </w:t>
      </w:r>
    </w:p>
    <w:p w14:paraId="75D8AD07" w14:textId="77777777" w:rsidR="00596386" w:rsidRPr="003F471F" w:rsidRDefault="00596386" w:rsidP="00596386">
      <w:pPr>
        <w:tabs>
          <w:tab w:val="left" w:pos="360"/>
        </w:tabs>
        <w:jc w:val="both"/>
        <w:rPr>
          <w:lang w:val="it-IT"/>
        </w:rPr>
      </w:pPr>
    </w:p>
    <w:p w14:paraId="1472D5DD" w14:textId="77777777" w:rsidR="00596386" w:rsidRPr="003F471F" w:rsidRDefault="00596386" w:rsidP="00596386">
      <w:pPr>
        <w:tabs>
          <w:tab w:val="left" w:pos="360"/>
        </w:tabs>
        <w:jc w:val="both"/>
        <w:rPr>
          <w:lang w:val="it-IT"/>
        </w:rPr>
      </w:pPr>
      <w:r w:rsidRPr="003F471F">
        <w:rPr>
          <w:rFonts w:cs="Arial"/>
          <w:szCs w:val="18"/>
          <w:lang w:val="it-IT"/>
        </w:rPr>
        <w:t>I Servizi verranno forniti dal team di Supporto di Windows Azure, che comprende specialisti di Windows Azure che risponderanno alle richieste di supporto per Windows Azure di una società</w:t>
      </w:r>
      <w:r w:rsidRPr="003F471F">
        <w:rPr>
          <w:rFonts w:cs="Arial"/>
          <w:snapToGrid w:val="0"/>
          <w:szCs w:val="18"/>
          <w:lang w:val="it-IT"/>
        </w:rPr>
        <w:t xml:space="preserve">. Le società riceveranno assistenza di alto livello </w:t>
      </w:r>
      <w:r w:rsidRPr="003F471F">
        <w:rPr>
          <w:rFonts w:cs="Arial"/>
          <w:szCs w:val="18"/>
          <w:lang w:val="it-IT"/>
        </w:rPr>
        <w:t>24 ore al giorno, 7 giorni su 7, solo in lingua inglese.</w:t>
      </w:r>
      <w:r w:rsidR="00E34ED3" w:rsidRPr="003F471F">
        <w:rPr>
          <w:rFonts w:cs="Arial"/>
          <w:szCs w:val="18"/>
          <w:lang w:val="it-IT"/>
        </w:rPr>
        <w:t xml:space="preserve"> </w:t>
      </w:r>
      <w:r w:rsidRPr="003F471F">
        <w:rPr>
          <w:rFonts w:cs="Arial"/>
          <w:szCs w:val="18"/>
          <w:lang w:val="it-IT"/>
        </w:rPr>
        <w:t>L</w:t>
      </w:r>
      <w:r w:rsidR="001C4212" w:rsidRPr="003F471F">
        <w:rPr>
          <w:rFonts w:cs="Arial"/>
          <w:szCs w:val="18"/>
          <w:lang w:val="it-IT"/>
        </w:rPr>
        <w:t>’</w:t>
      </w:r>
      <w:r w:rsidRPr="003F471F">
        <w:rPr>
          <w:rFonts w:cs="Arial"/>
          <w:szCs w:val="18"/>
          <w:lang w:val="it-IT"/>
        </w:rPr>
        <w:t>assistenza in altre lingue (</w:t>
      </w:r>
      <w:hyperlink r:id="rId31" w:history="1">
        <w:r w:rsidR="00700477" w:rsidRPr="003F471F">
          <w:rPr>
            <w:rStyle w:val="Hyperlink"/>
            <w:szCs w:val="18"/>
            <w:lang w:val="it-IT"/>
          </w:rPr>
          <w:t>www.windowsazure.com/en-us/support/plans/</w:t>
        </w:r>
      </w:hyperlink>
      <w:r w:rsidRPr="003F471F">
        <w:rPr>
          <w:rFonts w:cs="Arial"/>
          <w:szCs w:val="18"/>
          <w:lang w:val="it-IT"/>
        </w:rPr>
        <w:t>) è disponibile solo durante le ore lavorative.</w:t>
      </w:r>
    </w:p>
    <w:p w14:paraId="14833D8E" w14:textId="77777777" w:rsidR="00596386" w:rsidRPr="003F471F" w:rsidRDefault="00596386" w:rsidP="00596386">
      <w:pPr>
        <w:tabs>
          <w:tab w:val="left" w:pos="360"/>
        </w:tabs>
        <w:jc w:val="both"/>
        <w:rPr>
          <w:lang w:val="it-IT"/>
        </w:rPr>
      </w:pPr>
    </w:p>
    <w:p w14:paraId="09DD21E4" w14:textId="77777777" w:rsidR="00596386" w:rsidRPr="003F471F" w:rsidRDefault="00596386" w:rsidP="00596386">
      <w:pPr>
        <w:tabs>
          <w:tab w:val="left" w:pos="360"/>
        </w:tabs>
        <w:jc w:val="both"/>
        <w:rPr>
          <w:lang w:val="it-IT"/>
        </w:rPr>
      </w:pPr>
      <w:r w:rsidRPr="003F471F">
        <w:rPr>
          <w:rFonts w:cs="Arial"/>
          <w:szCs w:val="18"/>
          <w:lang w:val="it-IT"/>
        </w:rPr>
        <w:t>“Intervento” indica una richiesta di assistenza in garanzia per un</w:t>
      </w:r>
      <w:r w:rsidR="001C4212" w:rsidRPr="003F471F">
        <w:rPr>
          <w:rFonts w:cs="Arial"/>
          <w:szCs w:val="18"/>
          <w:lang w:val="it-IT"/>
        </w:rPr>
        <w:t>’</w:t>
      </w:r>
      <w:r w:rsidRPr="003F471F">
        <w:rPr>
          <w:rFonts w:cs="Arial"/>
          <w:szCs w:val="18"/>
          <w:lang w:val="it-IT"/>
        </w:rPr>
        <w:t>Unica Problematica di Assistenza.</w:t>
      </w:r>
      <w:r w:rsidR="00E34ED3" w:rsidRPr="003F471F">
        <w:rPr>
          <w:rFonts w:cs="Arial"/>
          <w:szCs w:val="18"/>
          <w:lang w:val="it-IT"/>
        </w:rPr>
        <w:t xml:space="preserve"> </w:t>
      </w:r>
      <w:r w:rsidRPr="003F471F">
        <w:rPr>
          <w:rFonts w:cs="Arial"/>
          <w:szCs w:val="18"/>
          <w:lang w:val="it-IT"/>
        </w:rPr>
        <w:t>“Unica Problematica di Assistenza” indica un problema che non può essere suddiviso in problematiche subordinate.</w:t>
      </w:r>
      <w:r w:rsidR="00E34ED3" w:rsidRPr="003F471F">
        <w:rPr>
          <w:rFonts w:cs="Arial"/>
          <w:szCs w:val="18"/>
          <w:lang w:val="it-IT"/>
        </w:rPr>
        <w:t xml:space="preserve"> </w:t>
      </w:r>
      <w:r w:rsidRPr="003F471F">
        <w:rPr>
          <w:rFonts w:cs="Arial"/>
          <w:szCs w:val="18"/>
          <w:lang w:val="it-IT"/>
        </w:rPr>
        <w:t>Qualora un problema sia composto da problematiche subordinate, ogni problematica dovrà essere considerata un Intervento distinto.</w:t>
      </w:r>
      <w:r w:rsidR="00E34ED3" w:rsidRPr="003F471F">
        <w:rPr>
          <w:rFonts w:cs="Arial"/>
          <w:szCs w:val="18"/>
          <w:lang w:val="it-IT"/>
        </w:rPr>
        <w:t xml:space="preserve"> </w:t>
      </w:r>
      <w:r w:rsidRPr="003F471F">
        <w:rPr>
          <w:rFonts w:cs="Arial"/>
          <w:szCs w:val="18"/>
          <w:lang w:val="it-IT"/>
        </w:rPr>
        <w:t>Gli Interventi includono la quantità ragionevole sotto il profilo commerciale di servizi necessari per individuare e risolvere la problematica di assistenza.</w:t>
      </w:r>
      <w:r w:rsidR="00E34ED3" w:rsidRPr="003F471F">
        <w:rPr>
          <w:rFonts w:cs="Arial"/>
          <w:szCs w:val="18"/>
          <w:lang w:val="it-IT"/>
        </w:rPr>
        <w:t xml:space="preserve"> </w:t>
      </w:r>
      <w:r w:rsidRPr="003F471F">
        <w:rPr>
          <w:rFonts w:cs="Arial"/>
          <w:szCs w:val="18"/>
          <w:lang w:val="it-IT"/>
        </w:rPr>
        <w:t xml:space="preserve">Gli Interventi potranno essere eseguiti tramite il sito Web del supporto assistito online </w:t>
      </w:r>
      <w:hyperlink r:id="rId32" w:history="1">
        <w:r w:rsidR="00700477" w:rsidRPr="003F471F">
          <w:rPr>
            <w:rStyle w:val="Hyperlink"/>
            <w:rFonts w:cs="Arial"/>
            <w:szCs w:val="18"/>
            <w:lang w:val="it-IT"/>
          </w:rPr>
          <w:t>www.windowsazure.com</w:t>
        </w:r>
      </w:hyperlink>
      <w:r w:rsidRPr="003F471F">
        <w:rPr>
          <w:rFonts w:cs="Arial"/>
          <w:szCs w:val="18"/>
          <w:lang w:val="it-IT"/>
        </w:rPr>
        <w:t>.</w:t>
      </w:r>
      <w:r w:rsidR="00E34ED3" w:rsidRPr="003F471F">
        <w:rPr>
          <w:rFonts w:cs="Arial"/>
          <w:szCs w:val="18"/>
          <w:lang w:val="it-IT"/>
        </w:rPr>
        <w:t xml:space="preserve"> </w:t>
      </w:r>
    </w:p>
    <w:p w14:paraId="0369EF3D" w14:textId="77777777" w:rsidR="00596386" w:rsidRPr="003F471F" w:rsidRDefault="00596386" w:rsidP="00596386">
      <w:pPr>
        <w:tabs>
          <w:tab w:val="left" w:pos="360"/>
        </w:tabs>
        <w:jc w:val="both"/>
        <w:rPr>
          <w:lang w:val="it-IT"/>
        </w:rPr>
      </w:pPr>
    </w:p>
    <w:p w14:paraId="120BAE9C" w14:textId="77777777" w:rsidR="00596386" w:rsidRPr="003F471F" w:rsidRDefault="00596386" w:rsidP="00596386">
      <w:pPr>
        <w:tabs>
          <w:tab w:val="left" w:pos="360"/>
        </w:tabs>
        <w:jc w:val="both"/>
        <w:rPr>
          <w:lang w:val="it-IT"/>
        </w:rPr>
      </w:pPr>
      <w:r w:rsidRPr="003F471F">
        <w:rPr>
          <w:rFonts w:cs="Arial"/>
          <w:szCs w:val="18"/>
          <w:lang w:val="it-IT"/>
        </w:rPr>
        <w:t>I Servizi verranno forniti in lingua inglese salvo quanto diversamente concordato tra una società e Microsoft per iscritto. Servizi aggiuntivi, inclusi i servizi di supporto, potranno essere disponibili per Windows Azure in conformità a</w:t>
      </w:r>
      <w:r w:rsidR="00700477" w:rsidRPr="003F471F">
        <w:rPr>
          <w:rFonts w:cs="Arial"/>
          <w:szCs w:val="18"/>
          <w:lang w:val="it-IT"/>
        </w:rPr>
        <w:t> </w:t>
      </w:r>
      <w:r w:rsidRPr="003F471F">
        <w:rPr>
          <w:rFonts w:cs="Arial"/>
          <w:szCs w:val="18"/>
          <w:lang w:val="it-IT"/>
        </w:rPr>
        <w:t>un contratto specifico stipulato tra le parti.</w:t>
      </w:r>
      <w:r w:rsidR="00E34ED3" w:rsidRPr="003F471F">
        <w:rPr>
          <w:rFonts w:cs="Arial"/>
          <w:szCs w:val="18"/>
          <w:lang w:val="it-IT"/>
        </w:rPr>
        <w:t xml:space="preserve"> </w:t>
      </w:r>
      <w:r w:rsidRPr="003F471F">
        <w:rPr>
          <w:rFonts w:cs="Arial"/>
          <w:szCs w:val="18"/>
          <w:lang w:val="it-IT"/>
        </w:rPr>
        <w:t>Tali servizi aggiuntivi saranno disciplinati dalle condizioni di tale contratto specifico.</w:t>
      </w:r>
    </w:p>
    <w:p w14:paraId="65365A08" w14:textId="77777777" w:rsidR="00596386" w:rsidRPr="003F471F" w:rsidRDefault="00596386" w:rsidP="00596386">
      <w:pPr>
        <w:pStyle w:val="normal1"/>
        <w:jc w:val="both"/>
        <w:rPr>
          <w:lang w:val="it-IT"/>
        </w:rPr>
      </w:pPr>
    </w:p>
    <w:p w14:paraId="7128CA0F" w14:textId="77777777" w:rsidR="00596386" w:rsidRPr="003F471F" w:rsidRDefault="00596386" w:rsidP="00596386">
      <w:pPr>
        <w:widowControl w:val="0"/>
        <w:tabs>
          <w:tab w:val="left" w:pos="720"/>
          <w:tab w:val="left" w:pos="1170"/>
        </w:tabs>
        <w:rPr>
          <w:lang w:val="it-IT"/>
        </w:rPr>
      </w:pPr>
      <w:r w:rsidRPr="003F471F">
        <w:rPr>
          <w:rFonts w:cs="Arial"/>
          <w:b/>
          <w:bCs/>
          <w:sz w:val="24"/>
          <w:szCs w:val="18"/>
          <w:lang w:val="it-IT"/>
        </w:rPr>
        <w:t>Supporto Diretto Professionale per Windows Azure</w:t>
      </w:r>
    </w:p>
    <w:p w14:paraId="44DC8388" w14:textId="77777777" w:rsidR="001B7453" w:rsidRPr="003F471F" w:rsidRDefault="001B7453" w:rsidP="006E7D7A">
      <w:pPr>
        <w:tabs>
          <w:tab w:val="left" w:pos="360"/>
        </w:tabs>
        <w:jc w:val="both"/>
        <w:rPr>
          <w:lang w:val="it-IT"/>
        </w:rPr>
      </w:pPr>
    </w:p>
    <w:p w14:paraId="5AAEC967" w14:textId="77777777" w:rsidR="00596386" w:rsidRPr="003F471F" w:rsidRDefault="00596386" w:rsidP="00596386">
      <w:pPr>
        <w:tabs>
          <w:tab w:val="left" w:pos="360"/>
        </w:tabs>
        <w:jc w:val="both"/>
        <w:rPr>
          <w:lang w:val="it-IT"/>
        </w:rPr>
      </w:pPr>
      <w:r w:rsidRPr="003F471F">
        <w:rPr>
          <w:rFonts w:cs="Arial"/>
          <w:color w:val="000000"/>
          <w:szCs w:val="18"/>
          <w:lang w:val="it-IT"/>
        </w:rPr>
        <w:t>Le società avranno la responsabilità di definire il livello di gravità iniziale utilizzando la procedura di invio tramite Web in linea con le indicazioni di gravità fornite di seguito. Microsoft potrà ridurre il livello di gravità; ciò potrà avvenire anche nei casi in cui la società non fornisca risorse o risposte adeguate a supportare Microsoft nel suo impegno volto a risolvere il problema.</w:t>
      </w:r>
      <w:r w:rsidR="00E34ED3" w:rsidRPr="003F471F">
        <w:rPr>
          <w:rFonts w:cs="Arial"/>
          <w:color w:val="000000"/>
          <w:szCs w:val="18"/>
          <w:lang w:val="it-IT"/>
        </w:rPr>
        <w:t xml:space="preserve"> </w:t>
      </w:r>
      <w:r w:rsidRPr="003F471F">
        <w:rPr>
          <w:rFonts w:cs="Arial"/>
          <w:color w:val="000000"/>
          <w:szCs w:val="18"/>
          <w:lang w:val="it-IT"/>
        </w:rPr>
        <w:t>La gravità dell</w:t>
      </w:r>
      <w:r w:rsidR="001C4212" w:rsidRPr="003F471F">
        <w:rPr>
          <w:rFonts w:cs="Arial"/>
          <w:color w:val="000000"/>
          <w:szCs w:val="18"/>
          <w:lang w:val="it-IT"/>
        </w:rPr>
        <w:t>’</w:t>
      </w:r>
      <w:r w:rsidRPr="003F471F">
        <w:rPr>
          <w:rFonts w:cs="Arial"/>
          <w:color w:val="000000"/>
          <w:szCs w:val="18"/>
          <w:lang w:val="it-IT"/>
        </w:rPr>
        <w:t>intervento determinerà i livelli di risposta da parte di Microsoft. I tempi di</w:t>
      </w:r>
      <w:r w:rsidR="00700477" w:rsidRPr="003F471F">
        <w:rPr>
          <w:rFonts w:cs="Arial"/>
          <w:color w:val="000000"/>
          <w:szCs w:val="18"/>
          <w:lang w:val="it-IT"/>
        </w:rPr>
        <w:t> </w:t>
      </w:r>
      <w:r w:rsidRPr="003F471F">
        <w:rPr>
          <w:rFonts w:cs="Arial"/>
          <w:color w:val="000000"/>
          <w:szCs w:val="18"/>
          <w:lang w:val="it-IT"/>
        </w:rPr>
        <w:t>risposta previsti sono definiti nella tabella che segue.</w:t>
      </w:r>
      <w:r w:rsidR="00E34ED3" w:rsidRPr="003F471F">
        <w:rPr>
          <w:rFonts w:cs="Arial"/>
          <w:color w:val="000000"/>
          <w:szCs w:val="18"/>
          <w:lang w:val="it-IT"/>
        </w:rPr>
        <w:t xml:space="preserve"> </w:t>
      </w:r>
      <w:r w:rsidRPr="003F471F">
        <w:rPr>
          <w:rFonts w:cs="Arial"/>
          <w:color w:val="000000"/>
          <w:szCs w:val="18"/>
          <w:lang w:val="it-IT"/>
        </w:rPr>
        <w:t>La possibilità per Microsoft di offrire i servizi dipende dalla totale e tempestiva collaborazione della società e dall</w:t>
      </w:r>
      <w:r w:rsidR="001C4212" w:rsidRPr="003F471F">
        <w:rPr>
          <w:rFonts w:cs="Arial"/>
          <w:color w:val="000000"/>
          <w:szCs w:val="18"/>
          <w:lang w:val="it-IT"/>
        </w:rPr>
        <w:t>’</w:t>
      </w:r>
      <w:r w:rsidRPr="003F471F">
        <w:rPr>
          <w:rFonts w:cs="Arial"/>
          <w:color w:val="000000"/>
          <w:szCs w:val="18"/>
          <w:lang w:val="it-IT"/>
        </w:rPr>
        <w:t>accuratezza e completezza dei dati forniti.</w:t>
      </w:r>
    </w:p>
    <w:p w14:paraId="7E715BD1" w14:textId="77777777" w:rsidR="000D747C" w:rsidRPr="003F471F" w:rsidRDefault="000D747C" w:rsidP="00596386">
      <w:pPr>
        <w:tabs>
          <w:tab w:val="left" w:pos="360"/>
        </w:tabs>
        <w:jc w:val="both"/>
        <w:rPr>
          <w:lang w:val="it-IT"/>
        </w:rPr>
      </w:pPr>
    </w:p>
    <w:p w14:paraId="5DDC543D" w14:textId="77777777" w:rsidR="00381B33" w:rsidRPr="003F471F" w:rsidRDefault="00381B33" w:rsidP="00DD7F8E">
      <w:pPr>
        <w:rPr>
          <w:lang w:val="it-IT"/>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686"/>
        <w:gridCol w:w="3294"/>
        <w:gridCol w:w="3213"/>
      </w:tblGrid>
      <w:tr w:rsidR="00596386" w:rsidRPr="0058047D" w14:paraId="61100004" w14:textId="77777777" w:rsidTr="00700477">
        <w:trPr>
          <w:tblHeader/>
        </w:trPr>
        <w:tc>
          <w:tcPr>
            <w:tcW w:w="1347" w:type="dxa"/>
            <w:shd w:val="clear" w:color="auto" w:fill="FABF8F"/>
          </w:tcPr>
          <w:p w14:paraId="689896FA" w14:textId="77777777" w:rsidR="00596386" w:rsidRPr="0058047D" w:rsidRDefault="00596386" w:rsidP="0037031E">
            <w:pPr>
              <w:jc w:val="center"/>
              <w:rPr>
                <w:rFonts w:cs="Tahoma"/>
                <w:b/>
                <w:bCs/>
                <w:color w:val="000000"/>
                <w:sz w:val="20"/>
                <w:szCs w:val="18"/>
              </w:rPr>
            </w:pPr>
            <w:r w:rsidRPr="0058047D">
              <w:rPr>
                <w:rFonts w:cs="Tahoma"/>
                <w:b/>
                <w:bCs/>
                <w:color w:val="000000"/>
                <w:sz w:val="20"/>
                <w:szCs w:val="18"/>
              </w:rPr>
              <w:t>Severity</w:t>
            </w:r>
          </w:p>
        </w:tc>
        <w:tc>
          <w:tcPr>
            <w:tcW w:w="1686" w:type="dxa"/>
            <w:shd w:val="clear" w:color="auto" w:fill="FABF8F"/>
          </w:tcPr>
          <w:p w14:paraId="40E4E776" w14:textId="77777777" w:rsidR="00596386" w:rsidRPr="0058047D" w:rsidRDefault="00596386" w:rsidP="0037031E">
            <w:pPr>
              <w:jc w:val="center"/>
              <w:rPr>
                <w:rFonts w:cs="Tahoma"/>
                <w:b/>
                <w:bCs/>
                <w:color w:val="000000"/>
                <w:sz w:val="20"/>
                <w:szCs w:val="18"/>
              </w:rPr>
            </w:pPr>
            <w:r w:rsidRPr="0058047D">
              <w:rPr>
                <w:rFonts w:cs="Tahoma"/>
                <w:b/>
                <w:bCs/>
                <w:color w:val="000000"/>
                <w:sz w:val="20"/>
                <w:szCs w:val="18"/>
              </w:rPr>
              <w:t>Contatto</w:t>
            </w:r>
          </w:p>
        </w:tc>
        <w:tc>
          <w:tcPr>
            <w:tcW w:w="3294" w:type="dxa"/>
            <w:shd w:val="clear" w:color="auto" w:fill="FABF8F"/>
          </w:tcPr>
          <w:p w14:paraId="28907043" w14:textId="77777777" w:rsidR="00596386" w:rsidRPr="0058047D" w:rsidRDefault="00596386" w:rsidP="0037031E">
            <w:pPr>
              <w:jc w:val="center"/>
              <w:rPr>
                <w:rFonts w:cs="Tahoma"/>
                <w:b/>
                <w:bCs/>
                <w:color w:val="000000"/>
                <w:sz w:val="20"/>
                <w:szCs w:val="18"/>
              </w:rPr>
            </w:pPr>
            <w:r w:rsidRPr="0058047D">
              <w:rPr>
                <w:rFonts w:cs="Tahoma"/>
                <w:b/>
                <w:bCs/>
                <w:color w:val="000000"/>
                <w:sz w:val="20"/>
                <w:szCs w:val="18"/>
              </w:rPr>
              <w:t>Situazione della Società</w:t>
            </w:r>
          </w:p>
        </w:tc>
        <w:tc>
          <w:tcPr>
            <w:tcW w:w="3213" w:type="dxa"/>
            <w:shd w:val="clear" w:color="auto" w:fill="FABF8F"/>
          </w:tcPr>
          <w:p w14:paraId="482F7E60" w14:textId="77777777" w:rsidR="00596386" w:rsidRPr="0058047D" w:rsidRDefault="00596386" w:rsidP="0037031E">
            <w:pPr>
              <w:jc w:val="center"/>
              <w:rPr>
                <w:rFonts w:cs="Tahoma"/>
                <w:b/>
                <w:bCs/>
                <w:color w:val="000000"/>
                <w:sz w:val="20"/>
                <w:szCs w:val="18"/>
              </w:rPr>
            </w:pPr>
            <w:r w:rsidRPr="0058047D">
              <w:rPr>
                <w:rFonts w:cs="Tahoma"/>
                <w:b/>
                <w:bCs/>
                <w:color w:val="000000"/>
                <w:sz w:val="20"/>
                <w:szCs w:val="18"/>
              </w:rPr>
              <w:t>Risposta di Microsoft Attesa</w:t>
            </w:r>
          </w:p>
        </w:tc>
      </w:tr>
      <w:tr w:rsidR="00596386" w:rsidRPr="003F471F" w14:paraId="28F590CB" w14:textId="77777777" w:rsidTr="00700477">
        <w:tc>
          <w:tcPr>
            <w:tcW w:w="1347" w:type="dxa"/>
          </w:tcPr>
          <w:p w14:paraId="3DDD7CCF" w14:textId="77777777" w:rsidR="00596386" w:rsidRPr="0058047D" w:rsidRDefault="00596386" w:rsidP="00647923">
            <w:pPr>
              <w:spacing w:after="60" w:line="240" w:lineRule="atLeast"/>
              <w:jc w:val="center"/>
              <w:rPr>
                <w:rFonts w:ascii="SegoeBook" w:hAnsi="SegoeBook"/>
                <w:szCs w:val="18"/>
              </w:rPr>
            </w:pPr>
            <w:r w:rsidRPr="0058047D">
              <w:rPr>
                <w:rFonts w:ascii="SegoeBook" w:hAnsi="SegoeBook"/>
                <w:szCs w:val="18"/>
              </w:rPr>
              <w:t>A</w:t>
            </w:r>
          </w:p>
        </w:tc>
        <w:tc>
          <w:tcPr>
            <w:tcW w:w="1686" w:type="dxa"/>
          </w:tcPr>
          <w:p w14:paraId="7509E57E" w14:textId="77777777" w:rsidR="00596386" w:rsidRPr="0058047D" w:rsidRDefault="00596386" w:rsidP="00700477">
            <w:pPr>
              <w:spacing w:after="60" w:line="240" w:lineRule="atLeast"/>
              <w:jc w:val="center"/>
              <w:rPr>
                <w:rFonts w:ascii="SegoeBook" w:hAnsi="SegoeBook"/>
                <w:szCs w:val="18"/>
              </w:rPr>
            </w:pPr>
            <w:r w:rsidRPr="0058047D">
              <w:rPr>
                <w:rFonts w:ascii="SegoeBook" w:hAnsi="SegoeBook"/>
                <w:szCs w:val="18"/>
              </w:rPr>
              <w:t>Formulazione via</w:t>
            </w:r>
            <w:r w:rsidR="00700477">
              <w:rPr>
                <w:rFonts w:ascii="SegoeBook" w:hAnsi="SegoeBook"/>
                <w:szCs w:val="18"/>
              </w:rPr>
              <w:t> </w:t>
            </w:r>
            <w:r w:rsidRPr="0058047D">
              <w:rPr>
                <w:rFonts w:ascii="SegoeBook" w:hAnsi="SegoeBook"/>
                <w:szCs w:val="18"/>
              </w:rPr>
              <w:t>Web</w:t>
            </w:r>
          </w:p>
        </w:tc>
        <w:tc>
          <w:tcPr>
            <w:tcW w:w="3294" w:type="dxa"/>
          </w:tcPr>
          <w:p w14:paraId="17B5F9E1" w14:textId="77777777" w:rsidR="00596386" w:rsidRPr="003F471F" w:rsidRDefault="00596386" w:rsidP="00647923">
            <w:pPr>
              <w:spacing w:after="60" w:line="240" w:lineRule="atLeast"/>
              <w:rPr>
                <w:lang w:val="it-IT"/>
              </w:rPr>
            </w:pPr>
            <w:r w:rsidRPr="003F471F">
              <w:rPr>
                <w:rFonts w:ascii="SegoeBook" w:hAnsi="SegoeBook"/>
                <w:szCs w:val="18"/>
                <w:lang w:val="it-IT"/>
              </w:rPr>
              <w:t>Impatto commerciale critico</w:t>
            </w:r>
          </w:p>
          <w:p w14:paraId="3B3FDDD1" w14:textId="77777777" w:rsidR="00596386" w:rsidRPr="003F471F" w:rsidRDefault="00596386" w:rsidP="00647923">
            <w:pPr>
              <w:spacing w:after="60" w:line="240" w:lineRule="atLeast"/>
              <w:rPr>
                <w:lang w:val="it-IT"/>
              </w:rPr>
            </w:pPr>
            <w:r w:rsidRPr="003F471F">
              <w:rPr>
                <w:rFonts w:ascii="SegoeBook" w:hAnsi="SegoeBook"/>
                <w:szCs w:val="18"/>
                <w:lang w:val="it-IT"/>
              </w:rPr>
              <w:t>Perdita o degradazione significativa dei servizi (applicazione fuori uso)</w:t>
            </w:r>
          </w:p>
          <w:p w14:paraId="1C2D73CB" w14:textId="77777777" w:rsidR="00596386" w:rsidRPr="0058047D" w:rsidRDefault="00596386" w:rsidP="00700477">
            <w:pPr>
              <w:spacing w:after="60" w:line="240" w:lineRule="atLeast"/>
              <w:rPr>
                <w:rFonts w:ascii="SegoeBook" w:hAnsi="SegoeBook"/>
                <w:szCs w:val="18"/>
              </w:rPr>
            </w:pPr>
            <w:r w:rsidRPr="0058047D">
              <w:rPr>
                <w:rFonts w:ascii="SegoeBook" w:hAnsi="SegoeBook"/>
                <w:szCs w:val="18"/>
              </w:rPr>
              <w:t>Necessità dell</w:t>
            </w:r>
            <w:r w:rsidR="001C4212">
              <w:rPr>
                <w:rFonts w:ascii="SegoeBook" w:hAnsi="SegoeBook"/>
                <w:szCs w:val="18"/>
              </w:rPr>
              <w:t>’</w:t>
            </w:r>
            <w:r w:rsidRPr="0058047D">
              <w:rPr>
                <w:rFonts w:ascii="SegoeBook" w:hAnsi="SegoeBook"/>
                <w:szCs w:val="18"/>
              </w:rPr>
              <w:t>intervento entro 1</w:t>
            </w:r>
            <w:r w:rsidR="00700477">
              <w:rPr>
                <w:rFonts w:ascii="SegoeBook" w:hAnsi="SegoeBook"/>
                <w:szCs w:val="18"/>
              </w:rPr>
              <w:t> </w:t>
            </w:r>
            <w:r w:rsidRPr="0058047D">
              <w:rPr>
                <w:rFonts w:ascii="SegoeBook" w:hAnsi="SegoeBook"/>
                <w:szCs w:val="18"/>
              </w:rPr>
              <w:t>Ora</w:t>
            </w:r>
          </w:p>
        </w:tc>
        <w:tc>
          <w:tcPr>
            <w:tcW w:w="3213" w:type="dxa"/>
          </w:tcPr>
          <w:p w14:paraId="16BFF68F" w14:textId="77777777" w:rsidR="00596386" w:rsidRPr="003F471F" w:rsidRDefault="00596386" w:rsidP="00647923">
            <w:pPr>
              <w:spacing w:after="60" w:line="240" w:lineRule="atLeast"/>
              <w:rPr>
                <w:lang w:val="it-IT"/>
              </w:rPr>
            </w:pPr>
            <w:r w:rsidRPr="003F471F">
              <w:rPr>
                <w:rFonts w:ascii="SegoeBook" w:hAnsi="SegoeBook"/>
                <w:szCs w:val="18"/>
                <w:lang w:val="it-IT"/>
              </w:rPr>
              <w:t>1</w:t>
            </w:r>
            <w:r w:rsidRPr="003F471F">
              <w:rPr>
                <w:rFonts w:ascii="SegoeBook" w:hAnsi="SegoeBook"/>
                <w:szCs w:val="18"/>
                <w:vertAlign w:val="superscript"/>
                <w:lang w:val="it-IT"/>
              </w:rPr>
              <w:t>a</w:t>
            </w:r>
            <w:r w:rsidRPr="003F471F">
              <w:rPr>
                <w:rFonts w:ascii="SegoeBook" w:hAnsi="SegoeBook"/>
                <w:szCs w:val="18"/>
                <w:lang w:val="it-IT"/>
              </w:rPr>
              <w:t xml:space="preserve"> risposta in 1 Ora o meno</w:t>
            </w:r>
          </w:p>
          <w:p w14:paraId="5D628E2F" w14:textId="77777777" w:rsidR="00596386" w:rsidRPr="003F471F" w:rsidRDefault="00596386" w:rsidP="00647923">
            <w:pPr>
              <w:spacing w:after="60" w:line="240" w:lineRule="atLeast"/>
              <w:rPr>
                <w:rFonts w:ascii="SegoeBook" w:hAnsi="SegoeBook"/>
                <w:szCs w:val="18"/>
                <w:lang w:val="it-IT"/>
              </w:rPr>
            </w:pPr>
          </w:p>
        </w:tc>
      </w:tr>
      <w:tr w:rsidR="00596386" w:rsidRPr="003F471F" w14:paraId="73D8E175" w14:textId="77777777" w:rsidTr="00700477">
        <w:tc>
          <w:tcPr>
            <w:tcW w:w="1347" w:type="dxa"/>
          </w:tcPr>
          <w:p w14:paraId="6FC08EEA" w14:textId="77777777" w:rsidR="00596386" w:rsidRPr="0058047D" w:rsidRDefault="00596386" w:rsidP="00647923">
            <w:pPr>
              <w:spacing w:after="60" w:line="240" w:lineRule="atLeast"/>
              <w:jc w:val="center"/>
              <w:rPr>
                <w:rFonts w:ascii="SegoeBook" w:hAnsi="SegoeBook"/>
                <w:szCs w:val="18"/>
              </w:rPr>
            </w:pPr>
            <w:r w:rsidRPr="0058047D">
              <w:rPr>
                <w:rFonts w:ascii="SegoeBook" w:hAnsi="SegoeBook"/>
                <w:szCs w:val="18"/>
              </w:rPr>
              <w:t>B</w:t>
            </w:r>
          </w:p>
        </w:tc>
        <w:tc>
          <w:tcPr>
            <w:tcW w:w="1686" w:type="dxa"/>
          </w:tcPr>
          <w:p w14:paraId="493798AC" w14:textId="77777777" w:rsidR="00596386" w:rsidRPr="0058047D" w:rsidRDefault="00596386" w:rsidP="00700477">
            <w:pPr>
              <w:spacing w:after="60" w:line="240" w:lineRule="atLeast"/>
              <w:jc w:val="center"/>
              <w:rPr>
                <w:rFonts w:ascii="SegoeBook" w:hAnsi="SegoeBook"/>
                <w:szCs w:val="18"/>
              </w:rPr>
            </w:pPr>
            <w:r w:rsidRPr="0058047D">
              <w:rPr>
                <w:rFonts w:ascii="SegoeBook" w:hAnsi="SegoeBook"/>
                <w:szCs w:val="18"/>
              </w:rPr>
              <w:t>Formulazione via</w:t>
            </w:r>
            <w:r w:rsidR="00700477">
              <w:rPr>
                <w:rFonts w:ascii="SegoeBook" w:hAnsi="SegoeBook"/>
                <w:szCs w:val="18"/>
              </w:rPr>
              <w:t> </w:t>
            </w:r>
            <w:r w:rsidRPr="0058047D">
              <w:rPr>
                <w:rFonts w:ascii="SegoeBook" w:hAnsi="SegoeBook"/>
                <w:szCs w:val="18"/>
              </w:rPr>
              <w:t>Web</w:t>
            </w:r>
          </w:p>
        </w:tc>
        <w:tc>
          <w:tcPr>
            <w:tcW w:w="3294" w:type="dxa"/>
          </w:tcPr>
          <w:p w14:paraId="74E8ED73" w14:textId="77777777" w:rsidR="00596386" w:rsidRPr="003F471F" w:rsidRDefault="00596386" w:rsidP="00647923">
            <w:pPr>
              <w:spacing w:after="60" w:line="240" w:lineRule="atLeast"/>
              <w:rPr>
                <w:lang w:val="it-IT"/>
              </w:rPr>
            </w:pPr>
            <w:r w:rsidRPr="003F471F">
              <w:rPr>
                <w:rFonts w:ascii="SegoeBook" w:hAnsi="SegoeBook"/>
                <w:szCs w:val="18"/>
                <w:lang w:val="it-IT"/>
              </w:rPr>
              <w:t xml:space="preserve">Impatto commerciale moderato: </w:t>
            </w:r>
          </w:p>
          <w:p w14:paraId="26EA555B" w14:textId="77777777" w:rsidR="00596386" w:rsidRPr="003F471F" w:rsidRDefault="00596386" w:rsidP="00647923">
            <w:pPr>
              <w:spacing w:line="240" w:lineRule="atLeast"/>
              <w:rPr>
                <w:lang w:val="it-IT"/>
              </w:rPr>
            </w:pPr>
            <w:r w:rsidRPr="003F471F">
              <w:rPr>
                <w:rFonts w:ascii="SegoeBook" w:hAnsi="SegoeBook"/>
                <w:szCs w:val="18"/>
                <w:lang w:val="it-IT"/>
              </w:rPr>
              <w:t>Perdita o degradazione moderata dei servizi e possibilità di continuare il lavoro in modo meno efficiente.</w:t>
            </w:r>
          </w:p>
          <w:p w14:paraId="06D95236" w14:textId="77777777" w:rsidR="00596386" w:rsidRPr="0058047D" w:rsidRDefault="00596386" w:rsidP="00700477">
            <w:pPr>
              <w:spacing w:after="60" w:line="240" w:lineRule="atLeast"/>
              <w:rPr>
                <w:rFonts w:ascii="SegoeBook" w:hAnsi="SegoeBook"/>
                <w:szCs w:val="18"/>
              </w:rPr>
            </w:pPr>
            <w:r w:rsidRPr="0058047D">
              <w:rPr>
                <w:rFonts w:ascii="SegoeBook" w:hAnsi="SegoeBook"/>
                <w:szCs w:val="18"/>
              </w:rPr>
              <w:t>Necessità dell</w:t>
            </w:r>
            <w:r w:rsidR="001C4212">
              <w:rPr>
                <w:rFonts w:ascii="SegoeBook" w:hAnsi="SegoeBook"/>
                <w:szCs w:val="18"/>
              </w:rPr>
              <w:t>’</w:t>
            </w:r>
            <w:r w:rsidRPr="0058047D">
              <w:rPr>
                <w:rFonts w:ascii="SegoeBook" w:hAnsi="SegoeBook"/>
                <w:szCs w:val="18"/>
              </w:rPr>
              <w:t>intervento entro 2</w:t>
            </w:r>
            <w:r w:rsidR="00700477">
              <w:rPr>
                <w:rFonts w:ascii="SegoeBook" w:hAnsi="SegoeBook"/>
                <w:szCs w:val="18"/>
              </w:rPr>
              <w:t> </w:t>
            </w:r>
            <w:r w:rsidRPr="0058047D">
              <w:rPr>
                <w:rFonts w:ascii="SegoeBook" w:hAnsi="SegoeBook"/>
                <w:szCs w:val="18"/>
              </w:rPr>
              <w:t>Ore</w:t>
            </w:r>
          </w:p>
        </w:tc>
        <w:tc>
          <w:tcPr>
            <w:tcW w:w="3213" w:type="dxa"/>
          </w:tcPr>
          <w:p w14:paraId="5A33A666" w14:textId="77777777" w:rsidR="00596386" w:rsidRPr="003F471F" w:rsidRDefault="00596386" w:rsidP="00647923">
            <w:pPr>
              <w:spacing w:line="240" w:lineRule="atLeast"/>
              <w:rPr>
                <w:lang w:val="it-IT"/>
              </w:rPr>
            </w:pPr>
            <w:r w:rsidRPr="003F471F">
              <w:rPr>
                <w:rFonts w:ascii="SegoeBook" w:hAnsi="SegoeBook"/>
                <w:szCs w:val="18"/>
                <w:lang w:val="it-IT"/>
              </w:rPr>
              <w:t>1</w:t>
            </w:r>
            <w:r w:rsidRPr="003F471F">
              <w:rPr>
                <w:rFonts w:ascii="SegoeBook" w:hAnsi="SegoeBook"/>
                <w:szCs w:val="18"/>
                <w:vertAlign w:val="superscript"/>
                <w:lang w:val="it-IT"/>
              </w:rPr>
              <w:t>a</w:t>
            </w:r>
            <w:r w:rsidRPr="003F471F">
              <w:rPr>
                <w:rFonts w:ascii="SegoeBook" w:hAnsi="SegoeBook"/>
                <w:szCs w:val="18"/>
                <w:lang w:val="it-IT"/>
              </w:rPr>
              <w:t xml:space="preserve"> risposta in 2 Ore o meno</w:t>
            </w:r>
          </w:p>
          <w:p w14:paraId="0A838D85" w14:textId="77777777" w:rsidR="00596386" w:rsidRPr="003F471F" w:rsidRDefault="00596386" w:rsidP="00647923">
            <w:pPr>
              <w:spacing w:after="60" w:line="240" w:lineRule="atLeast"/>
              <w:rPr>
                <w:rFonts w:ascii="SegoeBook" w:hAnsi="SegoeBook"/>
                <w:szCs w:val="18"/>
                <w:lang w:val="it-IT"/>
              </w:rPr>
            </w:pPr>
          </w:p>
        </w:tc>
      </w:tr>
      <w:tr w:rsidR="00596386" w:rsidRPr="003F471F" w14:paraId="14F45F52" w14:textId="77777777" w:rsidTr="00700477">
        <w:trPr>
          <w:cantSplit/>
        </w:trPr>
        <w:tc>
          <w:tcPr>
            <w:tcW w:w="1347" w:type="dxa"/>
          </w:tcPr>
          <w:p w14:paraId="624E43E8" w14:textId="77777777" w:rsidR="00596386" w:rsidRPr="0058047D" w:rsidRDefault="00596386" w:rsidP="00647923">
            <w:pPr>
              <w:spacing w:after="60" w:line="240" w:lineRule="atLeast"/>
              <w:jc w:val="center"/>
              <w:rPr>
                <w:rFonts w:ascii="SegoeBook" w:hAnsi="SegoeBook"/>
                <w:szCs w:val="18"/>
              </w:rPr>
            </w:pPr>
            <w:r w:rsidRPr="0058047D">
              <w:rPr>
                <w:rFonts w:ascii="SegoeBook" w:hAnsi="SegoeBook"/>
                <w:szCs w:val="18"/>
              </w:rPr>
              <w:t>C</w:t>
            </w:r>
          </w:p>
        </w:tc>
        <w:tc>
          <w:tcPr>
            <w:tcW w:w="1686" w:type="dxa"/>
          </w:tcPr>
          <w:p w14:paraId="6F90059A" w14:textId="77777777" w:rsidR="00596386" w:rsidRPr="0058047D" w:rsidRDefault="00596386" w:rsidP="00700477">
            <w:pPr>
              <w:spacing w:after="60" w:line="240" w:lineRule="atLeast"/>
              <w:jc w:val="center"/>
              <w:rPr>
                <w:rFonts w:ascii="SegoeBook" w:hAnsi="SegoeBook"/>
                <w:szCs w:val="18"/>
              </w:rPr>
            </w:pPr>
            <w:r w:rsidRPr="0058047D">
              <w:rPr>
                <w:rFonts w:ascii="SegoeBook" w:hAnsi="SegoeBook"/>
                <w:szCs w:val="18"/>
              </w:rPr>
              <w:t>Formulazione via</w:t>
            </w:r>
            <w:r w:rsidR="00700477">
              <w:rPr>
                <w:rFonts w:ascii="SegoeBook" w:hAnsi="SegoeBook"/>
                <w:szCs w:val="18"/>
              </w:rPr>
              <w:t> </w:t>
            </w:r>
            <w:r w:rsidRPr="0058047D">
              <w:rPr>
                <w:rFonts w:ascii="SegoeBook" w:hAnsi="SegoeBook"/>
                <w:szCs w:val="18"/>
              </w:rPr>
              <w:t>Web</w:t>
            </w:r>
          </w:p>
        </w:tc>
        <w:tc>
          <w:tcPr>
            <w:tcW w:w="3294" w:type="dxa"/>
          </w:tcPr>
          <w:p w14:paraId="0333DB7C" w14:textId="77777777" w:rsidR="00596386" w:rsidRPr="003F471F" w:rsidRDefault="00596386" w:rsidP="00647923">
            <w:pPr>
              <w:rPr>
                <w:lang w:val="it-IT"/>
              </w:rPr>
            </w:pPr>
            <w:r w:rsidRPr="003F471F">
              <w:rPr>
                <w:rFonts w:ascii="SegoeBook" w:hAnsi="SegoeBook"/>
                <w:szCs w:val="18"/>
                <w:lang w:val="it-IT"/>
              </w:rPr>
              <w:t>Impatto commerciale minimo</w:t>
            </w:r>
          </w:p>
          <w:p w14:paraId="7777E54E" w14:textId="77777777" w:rsidR="00596386" w:rsidRPr="003F471F" w:rsidRDefault="00596386" w:rsidP="00647923">
            <w:pPr>
              <w:rPr>
                <w:lang w:val="it-IT"/>
              </w:rPr>
            </w:pPr>
            <w:r w:rsidRPr="003F471F">
              <w:rPr>
                <w:rFonts w:ascii="SegoeBook" w:hAnsi="SegoeBook"/>
                <w:szCs w:val="18"/>
                <w:lang w:val="it-IT"/>
              </w:rPr>
              <w:t>Funzionamento sostanzialmente nella norma, in alcuni casi con qualche minimo impedimento dei servizi.</w:t>
            </w:r>
          </w:p>
          <w:p w14:paraId="4DA4E98F" w14:textId="77777777" w:rsidR="00596386" w:rsidRPr="0058047D" w:rsidRDefault="00596386" w:rsidP="00700477">
            <w:pPr>
              <w:spacing w:after="60" w:line="240" w:lineRule="atLeast"/>
              <w:rPr>
                <w:rFonts w:ascii="SegoeBook" w:hAnsi="SegoeBook"/>
                <w:szCs w:val="18"/>
              </w:rPr>
            </w:pPr>
            <w:r w:rsidRPr="0058047D">
              <w:rPr>
                <w:rFonts w:ascii="SegoeBook" w:hAnsi="SegoeBook"/>
                <w:szCs w:val="18"/>
              </w:rPr>
              <w:t>Necessità dell</w:t>
            </w:r>
            <w:r w:rsidR="001C4212">
              <w:rPr>
                <w:rFonts w:ascii="SegoeBook" w:hAnsi="SegoeBook"/>
                <w:szCs w:val="18"/>
              </w:rPr>
              <w:t>’</w:t>
            </w:r>
            <w:r w:rsidRPr="0058047D">
              <w:rPr>
                <w:rFonts w:ascii="SegoeBook" w:hAnsi="SegoeBook"/>
                <w:szCs w:val="18"/>
              </w:rPr>
              <w:t>intervento entro 4</w:t>
            </w:r>
            <w:r w:rsidR="00700477">
              <w:rPr>
                <w:rFonts w:ascii="SegoeBook" w:hAnsi="SegoeBook"/>
                <w:szCs w:val="18"/>
              </w:rPr>
              <w:t> </w:t>
            </w:r>
            <w:r w:rsidRPr="0058047D">
              <w:rPr>
                <w:rFonts w:ascii="SegoeBook" w:hAnsi="SegoeBook"/>
                <w:szCs w:val="18"/>
              </w:rPr>
              <w:t>Ore</w:t>
            </w:r>
          </w:p>
        </w:tc>
        <w:tc>
          <w:tcPr>
            <w:tcW w:w="3213" w:type="dxa"/>
          </w:tcPr>
          <w:p w14:paraId="4AA0E60B" w14:textId="77777777" w:rsidR="00596386" w:rsidRPr="003F471F" w:rsidRDefault="00596386" w:rsidP="00647923">
            <w:pPr>
              <w:rPr>
                <w:lang w:val="it-IT"/>
              </w:rPr>
            </w:pPr>
            <w:r w:rsidRPr="003F471F">
              <w:rPr>
                <w:rFonts w:ascii="SegoeBook" w:hAnsi="SegoeBook"/>
                <w:szCs w:val="18"/>
                <w:lang w:val="it-IT"/>
              </w:rPr>
              <w:t>1</w:t>
            </w:r>
            <w:r w:rsidRPr="003F471F">
              <w:rPr>
                <w:rFonts w:ascii="SegoeBook" w:hAnsi="SegoeBook"/>
                <w:szCs w:val="18"/>
                <w:vertAlign w:val="superscript"/>
                <w:lang w:val="it-IT"/>
              </w:rPr>
              <w:t>a</w:t>
            </w:r>
            <w:r w:rsidRPr="003F471F">
              <w:rPr>
                <w:rFonts w:ascii="SegoeBook" w:hAnsi="SegoeBook"/>
                <w:szCs w:val="18"/>
                <w:lang w:val="it-IT"/>
              </w:rPr>
              <w:t xml:space="preserve"> risposta in 4 Ore o meno</w:t>
            </w:r>
          </w:p>
          <w:p w14:paraId="19A61EB2" w14:textId="77777777" w:rsidR="00596386" w:rsidRPr="003F471F" w:rsidRDefault="00596386" w:rsidP="00647923">
            <w:pPr>
              <w:spacing w:line="240" w:lineRule="atLeast"/>
              <w:rPr>
                <w:rFonts w:ascii="SegoeBook" w:hAnsi="SegoeBook"/>
                <w:szCs w:val="18"/>
                <w:lang w:val="it-IT"/>
              </w:rPr>
            </w:pPr>
          </w:p>
        </w:tc>
      </w:tr>
    </w:tbl>
    <w:p w14:paraId="7DF9794B" w14:textId="77777777" w:rsidR="00596386" w:rsidRPr="003F471F" w:rsidRDefault="00596386" w:rsidP="00DD7F8E">
      <w:pPr>
        <w:rPr>
          <w:lang w:val="it-IT"/>
        </w:rPr>
      </w:pPr>
    </w:p>
    <w:p w14:paraId="66AF2E66" w14:textId="77777777" w:rsidR="000D747C" w:rsidRPr="003F471F" w:rsidRDefault="000D747C" w:rsidP="000D747C">
      <w:pPr>
        <w:rPr>
          <w:lang w:val="it-IT"/>
        </w:rPr>
      </w:pPr>
      <w:r w:rsidRPr="003F471F">
        <w:rPr>
          <w:rFonts w:cs="Arial"/>
          <w:snapToGrid w:val="0"/>
          <w:color w:val="000000"/>
          <w:szCs w:val="18"/>
          <w:lang w:val="it-IT"/>
        </w:rPr>
        <w:t>Le società possono scegliere di essere richiamate da Microsoft.</w:t>
      </w:r>
      <w:r w:rsidR="00E34ED3" w:rsidRPr="003F471F">
        <w:rPr>
          <w:rFonts w:cs="Arial"/>
          <w:snapToGrid w:val="0"/>
          <w:color w:val="000000"/>
          <w:szCs w:val="18"/>
          <w:lang w:val="it-IT"/>
        </w:rPr>
        <w:t xml:space="preserve"> </w:t>
      </w:r>
      <w:r w:rsidRPr="003F471F">
        <w:rPr>
          <w:rFonts w:cs="Arial"/>
          <w:snapToGrid w:val="0"/>
          <w:color w:val="000000"/>
          <w:szCs w:val="18"/>
          <w:lang w:val="it-IT"/>
        </w:rPr>
        <w:t>Diversamente, il team di supporto di Windows Azure individuerà e risolverà l</w:t>
      </w:r>
      <w:r w:rsidR="001C4212" w:rsidRPr="003F471F">
        <w:rPr>
          <w:rFonts w:cs="Arial"/>
          <w:snapToGrid w:val="0"/>
          <w:color w:val="000000"/>
          <w:szCs w:val="18"/>
          <w:lang w:val="it-IT"/>
        </w:rPr>
        <w:t>’</w:t>
      </w:r>
      <w:r w:rsidRPr="003F471F">
        <w:rPr>
          <w:rFonts w:cs="Arial"/>
          <w:snapToGrid w:val="0"/>
          <w:color w:val="000000"/>
          <w:szCs w:val="18"/>
          <w:lang w:val="it-IT"/>
        </w:rPr>
        <w:t>intervento tramite i canali online (ad esempio, tramite posta elettronica o il portale di Windows Azure).</w:t>
      </w:r>
    </w:p>
    <w:p w14:paraId="6993FE81" w14:textId="77777777" w:rsidR="001C1727" w:rsidRPr="003F471F" w:rsidRDefault="001C1727">
      <w:pPr>
        <w:rPr>
          <w:lang w:val="it-IT"/>
        </w:rPr>
      </w:pPr>
    </w:p>
    <w:p w14:paraId="6D9799F0" w14:textId="77777777" w:rsidR="00DC0853" w:rsidRPr="003F471F" w:rsidRDefault="00CB228A" w:rsidP="0047054A">
      <w:pPr>
        <w:keepNext/>
        <w:tabs>
          <w:tab w:val="left" w:pos="360"/>
        </w:tabs>
        <w:spacing w:after="60"/>
        <w:jc w:val="both"/>
        <w:rPr>
          <w:lang w:val="it-IT"/>
        </w:rPr>
      </w:pPr>
      <w:r w:rsidRPr="003F471F">
        <w:rPr>
          <w:rFonts w:cs="Arial"/>
          <w:b/>
          <w:color w:val="000000"/>
          <w:szCs w:val="18"/>
          <w:lang w:val="it-IT"/>
        </w:rPr>
        <w:t>Gestione della Fornitura dei Servizi</w:t>
      </w:r>
    </w:p>
    <w:p w14:paraId="6BF98EC9" w14:textId="77777777" w:rsidR="00596386" w:rsidRPr="003F471F" w:rsidRDefault="00596386" w:rsidP="00596386">
      <w:pPr>
        <w:tabs>
          <w:tab w:val="left" w:pos="360"/>
        </w:tabs>
        <w:jc w:val="both"/>
        <w:rPr>
          <w:spacing w:val="-4"/>
          <w:lang w:val="it-IT"/>
        </w:rPr>
      </w:pPr>
      <w:r w:rsidRPr="003F471F">
        <w:rPr>
          <w:rFonts w:cs="Arial"/>
          <w:color w:val="000000"/>
          <w:spacing w:val="-4"/>
          <w:szCs w:val="18"/>
          <w:lang w:val="it-IT"/>
        </w:rPr>
        <w:t>In aggiunta</w:t>
      </w:r>
      <w:r w:rsidRPr="003F471F">
        <w:rPr>
          <w:rFonts w:cs="Arial"/>
          <w:snapToGrid w:val="0"/>
          <w:spacing w:val="-4"/>
          <w:szCs w:val="18"/>
          <w:lang w:val="it-IT"/>
        </w:rPr>
        <w:t xml:space="preserve"> ai Servizi descritti sopra, le società con il Supporto Diretto Professionale per Windows Azure ricevono </w:t>
      </w:r>
      <w:r w:rsidRPr="003F471F">
        <w:rPr>
          <w:rFonts w:cs="Arial"/>
          <w:snapToGrid w:val="0"/>
          <w:color w:val="000000"/>
          <w:spacing w:val="-4"/>
          <w:szCs w:val="18"/>
          <w:lang w:val="it-IT"/>
        </w:rPr>
        <w:t>assistenza nel coordinare il rapporto tra il supporto e i servizi per Windows Azure.</w:t>
      </w:r>
      <w:r w:rsidR="00E34ED3" w:rsidRPr="003F471F">
        <w:rPr>
          <w:rFonts w:cs="Arial"/>
          <w:snapToGrid w:val="0"/>
          <w:color w:val="000000"/>
          <w:spacing w:val="-4"/>
          <w:szCs w:val="18"/>
          <w:lang w:val="it-IT"/>
        </w:rPr>
        <w:t xml:space="preserve"> </w:t>
      </w:r>
      <w:r w:rsidRPr="003F471F">
        <w:rPr>
          <w:rFonts w:cs="Arial"/>
          <w:snapToGrid w:val="0"/>
          <w:color w:val="000000"/>
          <w:spacing w:val="-4"/>
          <w:szCs w:val="18"/>
          <w:lang w:val="it-IT"/>
        </w:rPr>
        <w:t>Tali servizi sono erogati da un pool di addetti (“Responsabili della Fornitura Diretta Professionale”).</w:t>
      </w:r>
      <w:r w:rsidR="00E34ED3" w:rsidRPr="003F471F">
        <w:rPr>
          <w:rFonts w:cs="Arial"/>
          <w:snapToGrid w:val="0"/>
          <w:color w:val="000000"/>
          <w:spacing w:val="-4"/>
          <w:szCs w:val="18"/>
          <w:lang w:val="it-IT"/>
        </w:rPr>
        <w:t xml:space="preserve"> </w:t>
      </w:r>
      <w:r w:rsidRPr="003F471F">
        <w:rPr>
          <w:rFonts w:cs="Arial"/>
          <w:snapToGrid w:val="0"/>
          <w:color w:val="000000"/>
          <w:spacing w:val="-4"/>
          <w:szCs w:val="18"/>
          <w:lang w:val="it-IT"/>
        </w:rPr>
        <w:t xml:space="preserve">I Responsabili della Fornitura Diretta Professionale sono </w:t>
      </w:r>
      <w:r w:rsidRPr="003F471F">
        <w:rPr>
          <w:rFonts w:cs="Arial"/>
          <w:spacing w:val="-4"/>
          <w:szCs w:val="18"/>
          <w:lang w:val="it-IT"/>
        </w:rPr>
        <w:t xml:space="preserve">i rappresentanti </w:t>
      </w:r>
      <w:r w:rsidRPr="003F471F">
        <w:rPr>
          <w:rFonts w:cs="Arial"/>
          <w:snapToGrid w:val="0"/>
          <w:color w:val="000000"/>
          <w:spacing w:val="-4"/>
          <w:szCs w:val="18"/>
          <w:lang w:val="it-IT"/>
        </w:rPr>
        <w:t>della società all</w:t>
      </w:r>
      <w:r w:rsidR="001C4212" w:rsidRPr="003F471F">
        <w:rPr>
          <w:rFonts w:cs="Arial"/>
          <w:snapToGrid w:val="0"/>
          <w:color w:val="000000"/>
          <w:spacing w:val="-4"/>
          <w:szCs w:val="18"/>
          <w:lang w:val="it-IT"/>
        </w:rPr>
        <w:t>’</w:t>
      </w:r>
      <w:r w:rsidRPr="003F471F">
        <w:rPr>
          <w:rFonts w:cs="Arial"/>
          <w:snapToGrid w:val="0"/>
          <w:color w:val="000000"/>
          <w:spacing w:val="-4"/>
          <w:szCs w:val="18"/>
          <w:lang w:val="it-IT"/>
        </w:rPr>
        <w:t>interno di Microsoft e facilitano il coordinamento con i team che possono fornire il supporto tecnico disponibile per i Servizi Online.</w:t>
      </w:r>
      <w:r w:rsidR="00E34ED3" w:rsidRPr="003F471F">
        <w:rPr>
          <w:rFonts w:cs="Arial"/>
          <w:snapToGrid w:val="0"/>
          <w:color w:val="000000"/>
          <w:spacing w:val="-4"/>
          <w:szCs w:val="18"/>
          <w:lang w:val="it-IT"/>
        </w:rPr>
        <w:t xml:space="preserve"> </w:t>
      </w:r>
      <w:r w:rsidRPr="003F471F">
        <w:rPr>
          <w:rFonts w:cs="Arial"/>
          <w:snapToGrid w:val="0"/>
          <w:color w:val="000000"/>
          <w:spacing w:val="-4"/>
          <w:szCs w:val="18"/>
          <w:lang w:val="it-IT"/>
        </w:rPr>
        <w:t xml:space="preserve">I Responsabili della Fornitura Diretta Professionale fungono inoltre da punto di riferimento per la raccolta di informazioni e forniscono ad altri gruppi Microsoft </w:t>
      </w:r>
      <w:r w:rsidRPr="003F471F">
        <w:rPr>
          <w:rFonts w:cs="Arial"/>
          <w:spacing w:val="-4"/>
          <w:szCs w:val="18"/>
          <w:lang w:val="it-IT"/>
        </w:rPr>
        <w:t xml:space="preserve">i commenti </w:t>
      </w:r>
      <w:r w:rsidRPr="003F471F">
        <w:rPr>
          <w:rFonts w:cs="Arial"/>
          <w:snapToGrid w:val="0"/>
          <w:color w:val="000000"/>
          <w:spacing w:val="-4"/>
          <w:szCs w:val="18"/>
          <w:lang w:val="it-IT"/>
        </w:rPr>
        <w:t>della società in merito ai Servizi.</w:t>
      </w:r>
      <w:r w:rsidR="00E34ED3" w:rsidRPr="003F471F">
        <w:rPr>
          <w:rFonts w:cs="Arial"/>
          <w:snapToGrid w:val="0"/>
          <w:color w:val="000000"/>
          <w:spacing w:val="-4"/>
          <w:szCs w:val="18"/>
          <w:lang w:val="it-IT"/>
        </w:rPr>
        <w:t xml:space="preserve"> </w:t>
      </w:r>
      <w:r w:rsidRPr="003F471F">
        <w:rPr>
          <w:rFonts w:cs="Arial"/>
          <w:snapToGrid w:val="0"/>
          <w:color w:val="000000"/>
          <w:spacing w:val="-4"/>
          <w:szCs w:val="18"/>
          <w:lang w:val="it-IT"/>
        </w:rPr>
        <w:t>I Responsabili della Fornitura Diretta Professionale potranno inoltre erogare i seguenti Servizi aggiuntivi:</w:t>
      </w:r>
    </w:p>
    <w:p w14:paraId="5FE7A5EF" w14:textId="77777777" w:rsidR="00596386" w:rsidRPr="003F471F" w:rsidRDefault="00596386" w:rsidP="00596386">
      <w:pPr>
        <w:tabs>
          <w:tab w:val="left" w:pos="360"/>
        </w:tabs>
        <w:jc w:val="both"/>
        <w:rPr>
          <w:lang w:val="it-IT"/>
        </w:rPr>
      </w:pPr>
    </w:p>
    <w:p w14:paraId="54D5B7D6" w14:textId="77777777" w:rsidR="00596386" w:rsidRPr="003F471F" w:rsidRDefault="00596386" w:rsidP="00346F4B">
      <w:pPr>
        <w:numPr>
          <w:ilvl w:val="0"/>
          <w:numId w:val="112"/>
        </w:numPr>
        <w:tabs>
          <w:tab w:val="clear" w:pos="720"/>
        </w:tabs>
        <w:spacing w:after="60"/>
        <w:ind w:left="1440"/>
        <w:jc w:val="both"/>
        <w:rPr>
          <w:lang w:val="it-IT"/>
        </w:rPr>
      </w:pPr>
      <w:r w:rsidRPr="003F471F">
        <w:rPr>
          <w:rFonts w:cs="Tahoma"/>
          <w:b/>
          <w:color w:val="000000"/>
          <w:szCs w:val="18"/>
          <w:lang w:val="it-IT"/>
        </w:rPr>
        <w:t>Pianificazione e Gestione.</w:t>
      </w:r>
      <w:r w:rsidRPr="003F471F">
        <w:rPr>
          <w:rFonts w:cs="Arial"/>
          <w:szCs w:val="18"/>
          <w:lang w:val="it-IT"/>
        </w:rPr>
        <w:t xml:space="preserve"> Alla data di entrata in vigore del presente Contratto Microsoft offre una sessione di orientamento alla direzione e al personale della società tramite teleconferenza.</w:t>
      </w:r>
      <w:r w:rsidR="00E34ED3" w:rsidRPr="003F471F">
        <w:rPr>
          <w:rFonts w:cs="Arial"/>
          <w:szCs w:val="18"/>
          <w:lang w:val="it-IT"/>
        </w:rPr>
        <w:t xml:space="preserve"> </w:t>
      </w:r>
      <w:r w:rsidRPr="003F471F">
        <w:rPr>
          <w:rFonts w:cs="Arial"/>
          <w:szCs w:val="18"/>
          <w:lang w:val="it-IT"/>
        </w:rPr>
        <w:t>Lo scopo di questa riunione è di discutere i Servizi di supporto disponibili e di rispondere a eventuali domande in modo che la società possa pianificare l</w:t>
      </w:r>
      <w:r w:rsidR="001C4212" w:rsidRPr="003F471F">
        <w:rPr>
          <w:rFonts w:cs="Arial"/>
          <w:szCs w:val="18"/>
          <w:lang w:val="it-IT"/>
        </w:rPr>
        <w:t>’</w:t>
      </w:r>
      <w:r w:rsidRPr="003F471F">
        <w:rPr>
          <w:rFonts w:cs="Arial"/>
          <w:szCs w:val="18"/>
          <w:lang w:val="it-IT"/>
        </w:rPr>
        <w:t>utilizzo dei Servizi.</w:t>
      </w:r>
    </w:p>
    <w:p w14:paraId="25FA69CE" w14:textId="77777777" w:rsidR="00596386" w:rsidRPr="003F471F" w:rsidRDefault="00596386" w:rsidP="00346F4B">
      <w:pPr>
        <w:numPr>
          <w:ilvl w:val="0"/>
          <w:numId w:val="112"/>
        </w:numPr>
        <w:tabs>
          <w:tab w:val="clear" w:pos="720"/>
        </w:tabs>
        <w:spacing w:after="60"/>
        <w:ind w:left="1440"/>
        <w:jc w:val="both"/>
        <w:rPr>
          <w:lang w:val="it-IT"/>
        </w:rPr>
      </w:pPr>
      <w:r w:rsidRPr="003F471F">
        <w:rPr>
          <w:rFonts w:cs="Tahoma"/>
          <w:b/>
          <w:color w:val="000000"/>
          <w:szCs w:val="18"/>
          <w:lang w:val="it-IT"/>
        </w:rPr>
        <w:t>Gestione dell</w:t>
      </w:r>
      <w:r w:rsidR="001C4212" w:rsidRPr="003F471F">
        <w:rPr>
          <w:rFonts w:cs="Tahoma"/>
          <w:b/>
          <w:color w:val="000000"/>
          <w:szCs w:val="18"/>
          <w:lang w:val="it-IT"/>
        </w:rPr>
        <w:t>’</w:t>
      </w:r>
      <w:r w:rsidRPr="003F471F">
        <w:rPr>
          <w:rFonts w:cs="Tahoma"/>
          <w:b/>
          <w:color w:val="000000"/>
          <w:szCs w:val="18"/>
          <w:lang w:val="it-IT"/>
        </w:rPr>
        <w:t>Escalation.</w:t>
      </w:r>
      <w:r w:rsidRPr="003F471F">
        <w:rPr>
          <w:rFonts w:cs="Arial"/>
          <w:szCs w:val="18"/>
          <w:lang w:val="it-IT"/>
        </w:rPr>
        <w:t xml:space="preserve"> Un Responsabile della Fornitura Diretta Professionale </w:t>
      </w:r>
      <w:r w:rsidRPr="003F471F">
        <w:rPr>
          <w:rFonts w:cs="Arial"/>
          <w:snapToGrid w:val="0"/>
          <w:szCs w:val="18"/>
          <w:lang w:val="it-IT"/>
        </w:rPr>
        <w:t>erogherà alla società servizi di gestione dell</w:t>
      </w:r>
      <w:r w:rsidR="001C4212" w:rsidRPr="003F471F">
        <w:rPr>
          <w:rFonts w:cs="Arial"/>
          <w:snapToGrid w:val="0"/>
          <w:szCs w:val="18"/>
          <w:lang w:val="it-IT"/>
        </w:rPr>
        <w:t>’</w:t>
      </w:r>
      <w:r w:rsidRPr="003F471F">
        <w:rPr>
          <w:rFonts w:cs="Arial"/>
          <w:snapToGrid w:val="0"/>
          <w:szCs w:val="18"/>
          <w:lang w:val="it-IT"/>
        </w:rPr>
        <w:t>escalation per Windows Azure.</w:t>
      </w:r>
    </w:p>
    <w:p w14:paraId="12B9CE3E" w14:textId="77777777" w:rsidR="00596386" w:rsidRPr="003F471F" w:rsidRDefault="00596386" w:rsidP="00596386">
      <w:pPr>
        <w:tabs>
          <w:tab w:val="left" w:pos="360"/>
        </w:tabs>
        <w:jc w:val="both"/>
        <w:rPr>
          <w:lang w:val="it-IT"/>
        </w:rPr>
      </w:pPr>
    </w:p>
    <w:p w14:paraId="7D29E228" w14:textId="77777777" w:rsidR="00596386" w:rsidRPr="003F471F" w:rsidRDefault="00CB228A" w:rsidP="00E03856">
      <w:pPr>
        <w:pStyle w:val="normal1"/>
        <w:jc w:val="both"/>
        <w:rPr>
          <w:sz w:val="18"/>
          <w:szCs w:val="18"/>
          <w:lang w:val="it-IT"/>
        </w:rPr>
      </w:pPr>
      <w:r w:rsidRPr="003F471F">
        <w:rPr>
          <w:color w:val="000000"/>
          <w:sz w:val="18"/>
          <w:szCs w:val="18"/>
          <w:lang w:val="it-IT"/>
        </w:rPr>
        <w:t>I servizi di Gestione della Fornitura dei Servizi sono erogati solo in lingua inglese dalle 9.00 alle 17.00 Ora Locale,</w:t>
      </w:r>
      <w:r w:rsidRPr="003F471F">
        <w:rPr>
          <w:color w:val="FF3399"/>
          <w:sz w:val="18"/>
          <w:szCs w:val="18"/>
          <w:lang w:val="it-IT"/>
        </w:rPr>
        <w:t xml:space="preserve"> </w:t>
      </w:r>
      <w:r w:rsidRPr="003F471F">
        <w:rPr>
          <w:sz w:val="18"/>
          <w:szCs w:val="18"/>
          <w:lang w:val="it-IT"/>
        </w:rPr>
        <w:t>da</w:t>
      </w:r>
      <w:r w:rsidR="00700477" w:rsidRPr="003F471F">
        <w:rPr>
          <w:sz w:val="18"/>
          <w:szCs w:val="18"/>
          <w:lang w:val="it-IT"/>
        </w:rPr>
        <w:t> </w:t>
      </w:r>
      <w:r w:rsidRPr="003F471F">
        <w:rPr>
          <w:sz w:val="18"/>
          <w:szCs w:val="18"/>
          <w:lang w:val="it-IT"/>
        </w:rPr>
        <w:t>lunedì a venerdì, fine settimana e festività esclusi.</w:t>
      </w:r>
      <w:r w:rsidRPr="003F471F">
        <w:rPr>
          <w:color w:val="000000"/>
          <w:sz w:val="18"/>
          <w:szCs w:val="18"/>
          <w:u w:val="single"/>
          <w:lang w:val="it-IT"/>
        </w:rPr>
        <w:t xml:space="preserve"> </w:t>
      </w:r>
    </w:p>
    <w:p w14:paraId="4AD61D3B" w14:textId="77777777" w:rsidR="00596386" w:rsidRPr="003F471F" w:rsidRDefault="00596386" w:rsidP="00596386">
      <w:pPr>
        <w:pStyle w:val="normal1"/>
        <w:jc w:val="both"/>
        <w:rPr>
          <w:rFonts w:ascii="Tahoma" w:hAnsi="Tahoma" w:cs="Tahoma"/>
          <w:sz w:val="18"/>
          <w:szCs w:val="18"/>
          <w:lang w:val="it-IT"/>
        </w:rPr>
      </w:pPr>
    </w:p>
    <w:p w14:paraId="132C2E4A" w14:textId="77777777" w:rsidR="00DC0853" w:rsidRPr="003F471F" w:rsidRDefault="00596386" w:rsidP="00DC0853">
      <w:pPr>
        <w:tabs>
          <w:tab w:val="left" w:pos="360"/>
        </w:tabs>
        <w:spacing w:after="60"/>
        <w:jc w:val="both"/>
        <w:rPr>
          <w:lang w:val="it-IT"/>
        </w:rPr>
      </w:pPr>
      <w:r w:rsidRPr="003F471F">
        <w:rPr>
          <w:rFonts w:cs="Arial"/>
          <w:b/>
          <w:szCs w:val="18"/>
          <w:lang w:val="it-IT"/>
        </w:rPr>
        <w:t>Altri Servizi Informativi e Vantaggi</w:t>
      </w:r>
    </w:p>
    <w:p w14:paraId="20F875CC" w14:textId="77777777" w:rsidR="00596386" w:rsidRPr="003F471F" w:rsidRDefault="00596386" w:rsidP="00596386">
      <w:pPr>
        <w:tabs>
          <w:tab w:val="left" w:pos="360"/>
        </w:tabs>
        <w:jc w:val="both"/>
        <w:rPr>
          <w:lang w:val="it-IT"/>
        </w:rPr>
      </w:pPr>
      <w:r w:rsidRPr="003F471F">
        <w:rPr>
          <w:rFonts w:cs="Arial"/>
          <w:szCs w:val="18"/>
          <w:lang w:val="it-IT"/>
        </w:rPr>
        <w:t>I Servizi Informativi forniscono dettagli tecnici su Windows Azure e gli strumenti di supporto che consentono alle società di implementare e far funzionare Windows Azure in modo più efficiente ed efficace.</w:t>
      </w:r>
      <w:r w:rsidR="00E34ED3" w:rsidRPr="003F471F">
        <w:rPr>
          <w:rFonts w:cs="Arial"/>
          <w:szCs w:val="18"/>
          <w:lang w:val="it-IT"/>
        </w:rPr>
        <w:t xml:space="preserve"> </w:t>
      </w:r>
      <w:r w:rsidRPr="003F471F">
        <w:rPr>
          <w:rFonts w:cs="Arial"/>
          <w:szCs w:val="18"/>
          <w:lang w:val="it-IT"/>
        </w:rPr>
        <w:t>I Servizi Informativi sono erogati solo in lingua inglese e includono quanto segue:</w:t>
      </w:r>
    </w:p>
    <w:p w14:paraId="76CBCD53" w14:textId="77777777" w:rsidR="00596386" w:rsidRPr="003F471F" w:rsidRDefault="00596386" w:rsidP="00596386">
      <w:pPr>
        <w:tabs>
          <w:tab w:val="left" w:pos="360"/>
        </w:tabs>
        <w:jc w:val="both"/>
        <w:rPr>
          <w:lang w:val="it-IT"/>
        </w:rPr>
      </w:pPr>
    </w:p>
    <w:p w14:paraId="0390EE87" w14:textId="77777777" w:rsidR="00596386" w:rsidRPr="003F471F" w:rsidRDefault="00596386" w:rsidP="00346F4B">
      <w:pPr>
        <w:pStyle w:val="ListParagraph"/>
        <w:numPr>
          <w:ilvl w:val="0"/>
          <w:numId w:val="113"/>
        </w:numPr>
        <w:tabs>
          <w:tab w:val="left" w:pos="360"/>
        </w:tabs>
        <w:spacing w:after="60"/>
        <w:ind w:left="1440"/>
        <w:contextualSpacing w:val="0"/>
        <w:jc w:val="both"/>
        <w:rPr>
          <w:lang w:val="it-IT"/>
        </w:rPr>
      </w:pPr>
      <w:r w:rsidRPr="003F471F">
        <w:rPr>
          <w:rFonts w:ascii="Tahoma" w:hAnsi="Tahoma" w:cs="Tahoma"/>
          <w:b/>
          <w:color w:val="000000"/>
          <w:sz w:val="18"/>
          <w:szCs w:val="18"/>
          <w:lang w:val="it-IT"/>
        </w:rPr>
        <w:t xml:space="preserve">Supporto Diretto Professionale per il contenuto esclusivo di Windows Azure. </w:t>
      </w:r>
      <w:r w:rsidRPr="003F471F">
        <w:rPr>
          <w:rFonts w:ascii="Tahoma" w:hAnsi="Tahoma" w:cs="Arial"/>
          <w:snapToGrid w:val="0"/>
          <w:sz w:val="18"/>
          <w:szCs w:val="18"/>
          <w:lang w:val="it-IT"/>
        </w:rPr>
        <w:t>Alle società verrà concesso l</w:t>
      </w:r>
      <w:r w:rsidR="001C4212" w:rsidRPr="003F471F">
        <w:rPr>
          <w:rFonts w:ascii="Tahoma" w:hAnsi="Tahoma" w:cs="Arial"/>
          <w:snapToGrid w:val="0"/>
          <w:sz w:val="18"/>
          <w:szCs w:val="18"/>
          <w:lang w:val="it-IT"/>
        </w:rPr>
        <w:t>’</w:t>
      </w:r>
      <w:r w:rsidRPr="003F471F">
        <w:rPr>
          <w:rFonts w:ascii="Tahoma" w:hAnsi="Tahoma" w:cs="Arial"/>
          <w:snapToGrid w:val="0"/>
          <w:sz w:val="18"/>
          <w:szCs w:val="18"/>
          <w:lang w:val="it-IT"/>
        </w:rPr>
        <w:t>accesso al contenuto esclusivo di Windows Azure, inclusi, a titolo esemplificativo, pubblicazioni online relative a manuali con procedure consigliate di architettura e distribuzione, contenuto di training archiviato, notifiche di futuri Webinar e altre informazioni di carattere generico su Windows Azure.</w:t>
      </w:r>
    </w:p>
    <w:p w14:paraId="6A1B70CE" w14:textId="77777777" w:rsidR="00596386" w:rsidRPr="003F471F" w:rsidRDefault="00596386" w:rsidP="00346F4B">
      <w:pPr>
        <w:numPr>
          <w:ilvl w:val="0"/>
          <w:numId w:val="113"/>
        </w:numPr>
        <w:tabs>
          <w:tab w:val="left" w:pos="360"/>
        </w:tabs>
        <w:spacing w:after="60"/>
        <w:ind w:left="1440"/>
        <w:jc w:val="both"/>
        <w:rPr>
          <w:lang w:val="it-IT"/>
        </w:rPr>
      </w:pPr>
      <w:r w:rsidRPr="003F471F">
        <w:rPr>
          <w:rFonts w:cs="Tahoma"/>
          <w:b/>
          <w:color w:val="000000"/>
          <w:szCs w:val="18"/>
          <w:lang w:val="it-IT"/>
        </w:rPr>
        <w:t>Webinar.</w:t>
      </w:r>
      <w:r w:rsidRPr="003F471F">
        <w:rPr>
          <w:rFonts w:cs="Arial"/>
          <w:szCs w:val="18"/>
          <w:lang w:val="it-IT"/>
        </w:rPr>
        <w:t xml:space="preserve"> I Webinar sono discussioni pianificate su base periodica condotte da esperti Microsoft che seguono aree importanti dei Microsoft Online Services. I Webinar includono, a titolo esemplificativo, “Guida Introduttiva” con Windows Azure, Briefing sulle Nuove Funzionalità e Domande e Risposte con gli Esperti. </w:t>
      </w:r>
    </w:p>
    <w:p w14:paraId="39C37EC8" w14:textId="77777777" w:rsidR="00596386" w:rsidRPr="003F471F" w:rsidRDefault="00596386" w:rsidP="00346F4B">
      <w:pPr>
        <w:numPr>
          <w:ilvl w:val="0"/>
          <w:numId w:val="113"/>
        </w:numPr>
        <w:tabs>
          <w:tab w:val="left" w:pos="360"/>
        </w:tabs>
        <w:spacing w:after="60"/>
        <w:ind w:left="1440"/>
        <w:jc w:val="both"/>
        <w:rPr>
          <w:lang w:val="it-IT"/>
        </w:rPr>
      </w:pPr>
      <w:r w:rsidRPr="003F471F">
        <w:rPr>
          <w:rFonts w:cs="Tahoma"/>
          <w:b/>
          <w:color w:val="000000"/>
          <w:szCs w:val="18"/>
          <w:lang w:val="it-IT"/>
        </w:rPr>
        <w:t>Servizi di Consulenza Aggiuntivi erogati dai Responsabili della Fornitura Diretta Professionale.</w:t>
      </w:r>
    </w:p>
    <w:p w14:paraId="1BE3805F" w14:textId="77777777" w:rsidR="00596386" w:rsidRPr="003F471F" w:rsidRDefault="00596386" w:rsidP="00346F4B">
      <w:pPr>
        <w:numPr>
          <w:ilvl w:val="1"/>
          <w:numId w:val="99"/>
        </w:numPr>
        <w:tabs>
          <w:tab w:val="left" w:pos="360"/>
        </w:tabs>
        <w:spacing w:after="60"/>
        <w:ind w:left="1980"/>
        <w:jc w:val="both"/>
        <w:rPr>
          <w:lang w:val="it-IT"/>
        </w:rPr>
      </w:pPr>
      <w:r w:rsidRPr="003F471F">
        <w:rPr>
          <w:rFonts w:cs="Arial"/>
          <w:snapToGrid w:val="0"/>
          <w:szCs w:val="18"/>
          <w:lang w:val="it-IT"/>
        </w:rPr>
        <w:t>Riferimenti alle principali risorse online.</w:t>
      </w:r>
      <w:r w:rsidR="00E34ED3" w:rsidRPr="003F471F">
        <w:rPr>
          <w:rFonts w:cs="Arial"/>
          <w:snapToGrid w:val="0"/>
          <w:szCs w:val="18"/>
          <w:lang w:val="it-IT"/>
        </w:rPr>
        <w:t xml:space="preserve"> </w:t>
      </w:r>
      <w:r w:rsidRPr="003F471F">
        <w:rPr>
          <w:rFonts w:cs="Arial"/>
          <w:snapToGrid w:val="0"/>
          <w:szCs w:val="18"/>
          <w:lang w:val="it-IT"/>
        </w:rPr>
        <w:t>Un Responsabile della Fornitura Diretta Professionale fornirà alle società suggerimenti, incluse le istruzioni su come accedere alle risorse self-service in quel momento disponibili per poter rispondere alle domande relative alle procedure sui servizi e le funzionalità comuni di Windows Azure.</w:t>
      </w:r>
    </w:p>
    <w:p w14:paraId="01C07B75" w14:textId="77777777" w:rsidR="00596386" w:rsidRPr="003F471F" w:rsidRDefault="00596386" w:rsidP="00346F4B">
      <w:pPr>
        <w:numPr>
          <w:ilvl w:val="1"/>
          <w:numId w:val="99"/>
        </w:numPr>
        <w:spacing w:after="60"/>
        <w:ind w:left="1980"/>
        <w:jc w:val="both"/>
        <w:rPr>
          <w:lang w:val="it-IT"/>
        </w:rPr>
      </w:pPr>
      <w:r w:rsidRPr="003F471F">
        <w:rPr>
          <w:rFonts w:cs="Arial"/>
          <w:snapToGrid w:val="0"/>
          <w:szCs w:val="18"/>
          <w:lang w:val="it-IT"/>
        </w:rPr>
        <w:t>Orientamento di base degli interventi.</w:t>
      </w:r>
      <w:r w:rsidR="00E34ED3" w:rsidRPr="003F471F">
        <w:rPr>
          <w:rFonts w:cs="Arial"/>
          <w:snapToGrid w:val="0"/>
          <w:szCs w:val="18"/>
          <w:lang w:val="it-IT"/>
        </w:rPr>
        <w:t xml:space="preserve"> </w:t>
      </w:r>
      <w:r w:rsidRPr="003F471F">
        <w:rPr>
          <w:rFonts w:cs="Arial"/>
          <w:snapToGrid w:val="0"/>
          <w:szCs w:val="18"/>
          <w:lang w:val="it-IT"/>
        </w:rPr>
        <w:t>Un Responsabile della Fornitura Diretta Professionale aiuterà a rilevare e valutare la causa principale delle richieste comuni di supporto formulate dalle società, fornendo consigli su come attenuare tali problematiche in futuro.</w:t>
      </w:r>
    </w:p>
    <w:p w14:paraId="504CDACB" w14:textId="77777777" w:rsidR="00596386" w:rsidRPr="003F471F" w:rsidRDefault="00596386" w:rsidP="003F1A34">
      <w:pPr>
        <w:numPr>
          <w:ilvl w:val="0"/>
          <w:numId w:val="113"/>
        </w:numPr>
        <w:tabs>
          <w:tab w:val="left" w:pos="360"/>
        </w:tabs>
        <w:spacing w:after="60"/>
        <w:ind w:left="1440"/>
        <w:jc w:val="both"/>
        <w:rPr>
          <w:lang w:val="it-IT"/>
        </w:rPr>
      </w:pPr>
      <w:r w:rsidRPr="003F471F">
        <w:rPr>
          <w:rFonts w:cs="Tahoma"/>
          <w:b/>
          <w:color w:val="000000"/>
          <w:szCs w:val="18"/>
          <w:lang w:val="it-IT"/>
        </w:rPr>
        <w:t>Segnalazioni per l</w:t>
      </w:r>
      <w:r w:rsidR="001C4212" w:rsidRPr="003F471F">
        <w:rPr>
          <w:rFonts w:cs="Tahoma"/>
          <w:b/>
          <w:color w:val="000000"/>
          <w:szCs w:val="18"/>
          <w:lang w:val="it-IT"/>
        </w:rPr>
        <w:t>’</w:t>
      </w:r>
      <w:r w:rsidRPr="003F471F">
        <w:rPr>
          <w:rFonts w:cs="Tahoma"/>
          <w:b/>
          <w:color w:val="000000"/>
          <w:szCs w:val="18"/>
          <w:lang w:val="it-IT"/>
        </w:rPr>
        <w:t xml:space="preserve">Ottimizzazione di Windows Azure. </w:t>
      </w:r>
      <w:r w:rsidRPr="003F471F">
        <w:rPr>
          <w:rFonts w:cs="Arial"/>
          <w:szCs w:val="18"/>
          <w:lang w:val="it-IT"/>
        </w:rPr>
        <w:t>Un Responsabile della Fornitura Diretta Professionale fornirà segnalazioni periodiche per contribuire all</w:t>
      </w:r>
      <w:r w:rsidR="001C4212" w:rsidRPr="003F471F">
        <w:rPr>
          <w:rFonts w:cs="Arial"/>
          <w:szCs w:val="18"/>
          <w:lang w:val="it-IT"/>
        </w:rPr>
        <w:t>’</w:t>
      </w:r>
      <w:r w:rsidRPr="003F471F">
        <w:rPr>
          <w:rFonts w:cs="Arial"/>
          <w:szCs w:val="18"/>
          <w:lang w:val="it-IT"/>
        </w:rPr>
        <w:t>identificazione delle potenziali riduzioni di costo, per ottimizzare le attività e migliorare l</w:t>
      </w:r>
      <w:r w:rsidR="001C4212" w:rsidRPr="003F471F">
        <w:rPr>
          <w:rFonts w:cs="Arial"/>
          <w:szCs w:val="18"/>
          <w:lang w:val="it-IT"/>
        </w:rPr>
        <w:t>’</w:t>
      </w:r>
      <w:r w:rsidRPr="003F471F">
        <w:rPr>
          <w:rFonts w:cs="Arial"/>
          <w:szCs w:val="18"/>
          <w:lang w:val="it-IT"/>
        </w:rPr>
        <w:t>esperienza utente.</w:t>
      </w:r>
      <w:r w:rsidR="00E34ED3" w:rsidRPr="003F471F">
        <w:rPr>
          <w:lang w:val="it-IT"/>
        </w:rPr>
        <w:t xml:space="preserve"> </w:t>
      </w:r>
    </w:p>
    <w:p w14:paraId="2F728CCB" w14:textId="77777777" w:rsidR="00596386" w:rsidRPr="003F471F" w:rsidRDefault="00596386" w:rsidP="00596386">
      <w:pPr>
        <w:tabs>
          <w:tab w:val="left" w:pos="360"/>
        </w:tabs>
        <w:jc w:val="both"/>
        <w:rPr>
          <w:lang w:val="it-IT"/>
        </w:rPr>
      </w:pPr>
      <w:r w:rsidRPr="003F471F">
        <w:rPr>
          <w:rFonts w:cs="Arial"/>
          <w:b/>
          <w:sz w:val="24"/>
          <w:szCs w:val="18"/>
          <w:lang w:val="it-IT"/>
        </w:rPr>
        <w:t>Supporto Standard per Windows Azure</w:t>
      </w:r>
    </w:p>
    <w:p w14:paraId="58901991" w14:textId="77777777" w:rsidR="00596386" w:rsidRPr="003F471F" w:rsidRDefault="00596386" w:rsidP="00596386">
      <w:pPr>
        <w:tabs>
          <w:tab w:val="left" w:pos="360"/>
        </w:tabs>
        <w:jc w:val="both"/>
        <w:rPr>
          <w:lang w:val="it-IT"/>
        </w:rPr>
      </w:pPr>
    </w:p>
    <w:p w14:paraId="2B31B701" w14:textId="77777777" w:rsidR="00596386" w:rsidRPr="003F471F" w:rsidRDefault="00A47BFD" w:rsidP="00596386">
      <w:pPr>
        <w:rPr>
          <w:lang w:val="it-IT"/>
        </w:rPr>
      </w:pPr>
      <w:r w:rsidRPr="003F471F">
        <w:rPr>
          <w:rFonts w:cs="Arial"/>
          <w:color w:val="000000"/>
          <w:szCs w:val="18"/>
          <w:lang w:val="it-IT"/>
        </w:rPr>
        <w:t>Le società avranno la responsabilità di definire il livello di gravità iniziale durante la procedura di invio tramite Web in</w:t>
      </w:r>
      <w:r w:rsidR="00700477" w:rsidRPr="003F471F">
        <w:rPr>
          <w:rFonts w:cs="Arial"/>
          <w:color w:val="000000"/>
          <w:szCs w:val="18"/>
          <w:lang w:val="it-IT"/>
        </w:rPr>
        <w:t> </w:t>
      </w:r>
      <w:r w:rsidRPr="003F471F">
        <w:rPr>
          <w:rFonts w:cs="Arial"/>
          <w:color w:val="000000"/>
          <w:szCs w:val="18"/>
          <w:lang w:val="it-IT"/>
        </w:rPr>
        <w:t>linea con le indicazioni di gravità fornite di seguito.</w:t>
      </w:r>
      <w:r w:rsidR="00E34ED3" w:rsidRPr="003F471F">
        <w:rPr>
          <w:rFonts w:cs="Arial"/>
          <w:color w:val="000000"/>
          <w:szCs w:val="18"/>
          <w:lang w:val="it-IT"/>
        </w:rPr>
        <w:t xml:space="preserve"> </w:t>
      </w:r>
      <w:r w:rsidRPr="003F471F">
        <w:rPr>
          <w:rFonts w:cs="Arial"/>
          <w:color w:val="000000"/>
          <w:szCs w:val="18"/>
          <w:lang w:val="it-IT"/>
        </w:rPr>
        <w:t>Microsoft potrà ridurre il livello di gravità qualora la società non</w:t>
      </w:r>
      <w:r w:rsidR="00700477" w:rsidRPr="003F471F">
        <w:rPr>
          <w:rFonts w:cs="Arial"/>
          <w:color w:val="000000"/>
          <w:szCs w:val="18"/>
          <w:lang w:val="it-IT"/>
        </w:rPr>
        <w:t> </w:t>
      </w:r>
      <w:r w:rsidRPr="003F471F">
        <w:rPr>
          <w:rFonts w:cs="Arial"/>
          <w:color w:val="000000"/>
          <w:szCs w:val="18"/>
          <w:lang w:val="it-IT"/>
        </w:rPr>
        <w:t xml:space="preserve">sia in grado di fornire risorse o risposte adeguate a supportare Microsoft nel suo impegno volto a risolvere il problema. </w:t>
      </w:r>
      <w:r w:rsidRPr="003F471F">
        <w:rPr>
          <w:rFonts w:cs="Arial"/>
          <w:szCs w:val="18"/>
          <w:lang w:val="it-IT"/>
        </w:rPr>
        <w:t>La gravità dell</w:t>
      </w:r>
      <w:r w:rsidR="001C4212" w:rsidRPr="003F471F">
        <w:rPr>
          <w:rFonts w:cs="Arial"/>
          <w:szCs w:val="18"/>
          <w:lang w:val="it-IT"/>
        </w:rPr>
        <w:t>’</w:t>
      </w:r>
      <w:r w:rsidRPr="003F471F">
        <w:rPr>
          <w:rFonts w:cs="Arial"/>
          <w:szCs w:val="18"/>
          <w:lang w:val="it-IT"/>
        </w:rPr>
        <w:t>intervento determinerà i livelli di risposta da parte di Microsoft. I tempi di risposta previsti sono definiti nella tabella che segue. La possibilità per Microsoft di offrire i servizi dipende dalla totale e tempestiva collaborazione della società e dall</w:t>
      </w:r>
      <w:r w:rsidR="001C4212" w:rsidRPr="003F471F">
        <w:rPr>
          <w:rFonts w:cs="Arial"/>
          <w:szCs w:val="18"/>
          <w:lang w:val="it-IT"/>
        </w:rPr>
        <w:t>’</w:t>
      </w:r>
      <w:r w:rsidRPr="003F471F">
        <w:rPr>
          <w:rFonts w:cs="Arial"/>
          <w:szCs w:val="18"/>
          <w:lang w:val="it-IT"/>
        </w:rPr>
        <w:t>accuratezza e completezza dei dati forniti.</w:t>
      </w:r>
    </w:p>
    <w:p w14:paraId="2D466759" w14:textId="77777777" w:rsidR="00596386" w:rsidRPr="003F471F" w:rsidRDefault="00596386" w:rsidP="00596386">
      <w:pPr>
        <w:rPr>
          <w:lang w:val="it-IT"/>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596386" w:rsidRPr="0058047D" w14:paraId="0B4C2E0E" w14:textId="77777777" w:rsidTr="002A6416">
        <w:tc>
          <w:tcPr>
            <w:tcW w:w="779" w:type="pct"/>
            <w:shd w:val="clear" w:color="auto" w:fill="FABF8F"/>
          </w:tcPr>
          <w:p w14:paraId="00F78DD7" w14:textId="77777777" w:rsidR="00596386" w:rsidRPr="0058047D" w:rsidRDefault="00596386" w:rsidP="0037031E">
            <w:pPr>
              <w:jc w:val="center"/>
              <w:rPr>
                <w:rFonts w:cs="Tahoma"/>
                <w:b/>
                <w:bCs/>
                <w:color w:val="000000"/>
                <w:sz w:val="20"/>
                <w:szCs w:val="18"/>
              </w:rPr>
            </w:pPr>
            <w:r w:rsidRPr="0058047D">
              <w:rPr>
                <w:rFonts w:cs="Tahoma"/>
                <w:b/>
                <w:bCs/>
                <w:color w:val="000000"/>
                <w:sz w:val="20"/>
                <w:szCs w:val="18"/>
              </w:rPr>
              <w:t>Severity</w:t>
            </w:r>
          </w:p>
        </w:tc>
        <w:tc>
          <w:tcPr>
            <w:tcW w:w="1022" w:type="pct"/>
            <w:shd w:val="clear" w:color="auto" w:fill="FABF8F"/>
          </w:tcPr>
          <w:p w14:paraId="34090FAD" w14:textId="77777777" w:rsidR="00596386" w:rsidRPr="0058047D" w:rsidRDefault="00596386" w:rsidP="0037031E">
            <w:pPr>
              <w:jc w:val="center"/>
              <w:rPr>
                <w:rFonts w:cs="Tahoma"/>
                <w:b/>
                <w:bCs/>
                <w:color w:val="000000"/>
                <w:sz w:val="20"/>
                <w:szCs w:val="18"/>
              </w:rPr>
            </w:pPr>
            <w:r w:rsidRPr="0058047D">
              <w:rPr>
                <w:rFonts w:cs="Tahoma"/>
                <w:b/>
                <w:bCs/>
                <w:color w:val="000000"/>
                <w:sz w:val="20"/>
                <w:szCs w:val="18"/>
              </w:rPr>
              <w:t>Contatto</w:t>
            </w:r>
          </w:p>
        </w:tc>
        <w:tc>
          <w:tcPr>
            <w:tcW w:w="1571" w:type="pct"/>
            <w:shd w:val="clear" w:color="auto" w:fill="FABF8F"/>
          </w:tcPr>
          <w:p w14:paraId="5AAB3DE2" w14:textId="77777777" w:rsidR="00596386" w:rsidRPr="0058047D" w:rsidRDefault="00596386" w:rsidP="0037031E">
            <w:pPr>
              <w:jc w:val="center"/>
              <w:rPr>
                <w:rFonts w:cs="Tahoma"/>
                <w:b/>
                <w:bCs/>
                <w:color w:val="000000"/>
                <w:sz w:val="20"/>
                <w:szCs w:val="18"/>
              </w:rPr>
            </w:pPr>
            <w:r w:rsidRPr="0058047D">
              <w:rPr>
                <w:rFonts w:cs="Tahoma"/>
                <w:b/>
                <w:bCs/>
                <w:color w:val="000000"/>
                <w:sz w:val="20"/>
                <w:szCs w:val="18"/>
              </w:rPr>
              <w:t>Situazione della Società</w:t>
            </w:r>
          </w:p>
        </w:tc>
        <w:tc>
          <w:tcPr>
            <w:tcW w:w="1628" w:type="pct"/>
            <w:shd w:val="clear" w:color="auto" w:fill="FABF8F"/>
          </w:tcPr>
          <w:p w14:paraId="7671EADE" w14:textId="77777777" w:rsidR="00596386" w:rsidRPr="0058047D" w:rsidRDefault="00596386" w:rsidP="0037031E">
            <w:pPr>
              <w:jc w:val="center"/>
              <w:rPr>
                <w:rFonts w:cs="Tahoma"/>
                <w:b/>
                <w:bCs/>
                <w:color w:val="000000"/>
                <w:sz w:val="20"/>
                <w:szCs w:val="18"/>
              </w:rPr>
            </w:pPr>
            <w:r w:rsidRPr="0058047D">
              <w:rPr>
                <w:rFonts w:cs="Tahoma"/>
                <w:b/>
                <w:bCs/>
                <w:color w:val="000000"/>
                <w:sz w:val="20"/>
                <w:szCs w:val="18"/>
              </w:rPr>
              <w:t>Risposta di Microsoft Attesa</w:t>
            </w:r>
          </w:p>
        </w:tc>
      </w:tr>
      <w:tr w:rsidR="00596386" w:rsidRPr="003F471F" w14:paraId="52876C8B" w14:textId="77777777" w:rsidTr="002A6416">
        <w:tc>
          <w:tcPr>
            <w:tcW w:w="779" w:type="pct"/>
          </w:tcPr>
          <w:p w14:paraId="048F75AE" w14:textId="77777777" w:rsidR="00596386" w:rsidRPr="0058047D" w:rsidRDefault="00596386" w:rsidP="00647923">
            <w:pPr>
              <w:spacing w:after="60" w:line="240" w:lineRule="atLeast"/>
              <w:jc w:val="center"/>
              <w:rPr>
                <w:rFonts w:ascii="SegoeBook" w:hAnsi="SegoeBook"/>
                <w:szCs w:val="18"/>
              </w:rPr>
            </w:pPr>
            <w:r w:rsidRPr="0058047D">
              <w:rPr>
                <w:rFonts w:ascii="SegoeBook" w:hAnsi="SegoeBook"/>
                <w:szCs w:val="18"/>
              </w:rPr>
              <w:t>A</w:t>
            </w:r>
          </w:p>
        </w:tc>
        <w:tc>
          <w:tcPr>
            <w:tcW w:w="1022" w:type="pct"/>
          </w:tcPr>
          <w:p w14:paraId="0EA2363B" w14:textId="77777777" w:rsidR="00596386" w:rsidRPr="0058047D" w:rsidRDefault="00596386" w:rsidP="00700477">
            <w:pPr>
              <w:spacing w:after="60" w:line="240" w:lineRule="atLeast"/>
              <w:jc w:val="center"/>
              <w:rPr>
                <w:rFonts w:ascii="SegoeBook" w:hAnsi="SegoeBook"/>
                <w:szCs w:val="18"/>
              </w:rPr>
            </w:pPr>
            <w:r w:rsidRPr="0058047D">
              <w:rPr>
                <w:rFonts w:ascii="SegoeBook" w:hAnsi="SegoeBook"/>
                <w:szCs w:val="18"/>
              </w:rPr>
              <w:t>Formulazione via</w:t>
            </w:r>
            <w:r w:rsidR="00700477">
              <w:rPr>
                <w:rFonts w:ascii="SegoeBook" w:hAnsi="SegoeBook"/>
                <w:szCs w:val="18"/>
              </w:rPr>
              <w:t> </w:t>
            </w:r>
            <w:r w:rsidRPr="0058047D">
              <w:rPr>
                <w:rFonts w:ascii="SegoeBook" w:hAnsi="SegoeBook"/>
                <w:szCs w:val="18"/>
              </w:rPr>
              <w:t>Web</w:t>
            </w:r>
          </w:p>
        </w:tc>
        <w:tc>
          <w:tcPr>
            <w:tcW w:w="1571" w:type="pct"/>
          </w:tcPr>
          <w:p w14:paraId="00073ABF" w14:textId="77777777" w:rsidR="00596386" w:rsidRPr="003F471F" w:rsidRDefault="00596386" w:rsidP="00647923">
            <w:pPr>
              <w:spacing w:after="60" w:line="240" w:lineRule="atLeast"/>
              <w:rPr>
                <w:lang w:val="it-IT"/>
              </w:rPr>
            </w:pPr>
            <w:r w:rsidRPr="003F471F">
              <w:rPr>
                <w:rFonts w:ascii="SegoeBook" w:hAnsi="SegoeBook"/>
                <w:szCs w:val="18"/>
                <w:lang w:val="it-IT"/>
              </w:rPr>
              <w:t>Impatto commerciale critico</w:t>
            </w:r>
          </w:p>
          <w:p w14:paraId="3065658A" w14:textId="77777777" w:rsidR="00596386" w:rsidRPr="003F471F" w:rsidRDefault="00596386" w:rsidP="00647923">
            <w:pPr>
              <w:spacing w:after="60" w:line="240" w:lineRule="atLeast"/>
              <w:rPr>
                <w:lang w:val="it-IT"/>
              </w:rPr>
            </w:pPr>
            <w:r w:rsidRPr="003F471F">
              <w:rPr>
                <w:rFonts w:ascii="SegoeBook" w:hAnsi="SegoeBook"/>
                <w:szCs w:val="18"/>
                <w:lang w:val="it-IT"/>
              </w:rPr>
              <w:t>Perdita o degradazione significativa dei servizi (applicazione fuori uso)</w:t>
            </w:r>
          </w:p>
          <w:p w14:paraId="3CF522CC" w14:textId="77777777" w:rsidR="00596386" w:rsidRPr="0058047D" w:rsidRDefault="00596386" w:rsidP="00700477">
            <w:pPr>
              <w:spacing w:after="60" w:line="240" w:lineRule="atLeast"/>
              <w:rPr>
                <w:rFonts w:ascii="SegoeBook" w:hAnsi="SegoeBook"/>
                <w:szCs w:val="18"/>
              </w:rPr>
            </w:pPr>
            <w:r w:rsidRPr="0058047D">
              <w:rPr>
                <w:rFonts w:ascii="SegoeBook" w:hAnsi="SegoeBook"/>
                <w:szCs w:val="18"/>
              </w:rPr>
              <w:t>Necessità dell</w:t>
            </w:r>
            <w:r w:rsidR="001C4212">
              <w:rPr>
                <w:rFonts w:ascii="SegoeBook" w:hAnsi="SegoeBook"/>
                <w:szCs w:val="18"/>
              </w:rPr>
              <w:t>’</w:t>
            </w:r>
            <w:r w:rsidRPr="0058047D">
              <w:rPr>
                <w:rFonts w:ascii="SegoeBook" w:hAnsi="SegoeBook"/>
                <w:szCs w:val="18"/>
              </w:rPr>
              <w:t>intervento entro 2</w:t>
            </w:r>
            <w:r w:rsidR="00700477">
              <w:rPr>
                <w:rFonts w:ascii="SegoeBook" w:hAnsi="SegoeBook"/>
                <w:szCs w:val="18"/>
              </w:rPr>
              <w:t> </w:t>
            </w:r>
            <w:r w:rsidRPr="0058047D">
              <w:rPr>
                <w:rFonts w:ascii="SegoeBook" w:hAnsi="SegoeBook"/>
                <w:szCs w:val="18"/>
              </w:rPr>
              <w:t>Ore</w:t>
            </w:r>
          </w:p>
        </w:tc>
        <w:tc>
          <w:tcPr>
            <w:tcW w:w="1628" w:type="pct"/>
          </w:tcPr>
          <w:p w14:paraId="2344AE0C" w14:textId="77777777" w:rsidR="00596386" w:rsidRPr="003F471F" w:rsidRDefault="00596386" w:rsidP="00647923">
            <w:pPr>
              <w:spacing w:after="60" w:line="240" w:lineRule="atLeast"/>
              <w:rPr>
                <w:lang w:val="it-IT"/>
              </w:rPr>
            </w:pPr>
            <w:r w:rsidRPr="003F471F">
              <w:rPr>
                <w:rFonts w:ascii="SegoeBook" w:hAnsi="SegoeBook"/>
                <w:szCs w:val="18"/>
                <w:lang w:val="it-IT"/>
              </w:rPr>
              <w:t>1</w:t>
            </w:r>
            <w:r w:rsidRPr="003F471F">
              <w:rPr>
                <w:rFonts w:ascii="SegoeBook" w:hAnsi="SegoeBook"/>
                <w:szCs w:val="18"/>
                <w:vertAlign w:val="superscript"/>
                <w:lang w:val="it-IT"/>
              </w:rPr>
              <w:t>a</w:t>
            </w:r>
            <w:r w:rsidRPr="003F471F">
              <w:rPr>
                <w:rFonts w:ascii="SegoeBook" w:hAnsi="SegoeBook"/>
                <w:szCs w:val="18"/>
                <w:lang w:val="it-IT"/>
              </w:rPr>
              <w:t xml:space="preserve"> risposta in 2 Ore o meno</w:t>
            </w:r>
          </w:p>
          <w:p w14:paraId="1CD5D635" w14:textId="77777777" w:rsidR="00596386" w:rsidRPr="003F471F" w:rsidRDefault="00596386" w:rsidP="00647923">
            <w:pPr>
              <w:spacing w:after="60" w:line="240" w:lineRule="atLeast"/>
              <w:rPr>
                <w:rFonts w:ascii="SegoeBook" w:hAnsi="SegoeBook"/>
                <w:szCs w:val="18"/>
                <w:lang w:val="it-IT"/>
              </w:rPr>
            </w:pPr>
          </w:p>
        </w:tc>
      </w:tr>
      <w:tr w:rsidR="00596386" w:rsidRPr="003F471F" w14:paraId="000A3B8D" w14:textId="77777777" w:rsidTr="002A6416">
        <w:tc>
          <w:tcPr>
            <w:tcW w:w="779" w:type="pct"/>
          </w:tcPr>
          <w:p w14:paraId="305C00AA" w14:textId="77777777" w:rsidR="00596386" w:rsidRPr="0058047D" w:rsidRDefault="00596386" w:rsidP="00D824E9">
            <w:pPr>
              <w:keepNext/>
              <w:spacing w:after="60" w:line="240" w:lineRule="atLeast"/>
              <w:jc w:val="center"/>
              <w:rPr>
                <w:rFonts w:ascii="SegoeBook" w:hAnsi="SegoeBook"/>
                <w:szCs w:val="18"/>
              </w:rPr>
            </w:pPr>
            <w:r w:rsidRPr="0058047D">
              <w:rPr>
                <w:rFonts w:ascii="SegoeBook" w:hAnsi="SegoeBook"/>
                <w:szCs w:val="18"/>
              </w:rPr>
              <w:t>B</w:t>
            </w:r>
          </w:p>
        </w:tc>
        <w:tc>
          <w:tcPr>
            <w:tcW w:w="1022" w:type="pct"/>
          </w:tcPr>
          <w:p w14:paraId="54925060" w14:textId="77777777" w:rsidR="00596386" w:rsidRPr="0058047D" w:rsidRDefault="00596386" w:rsidP="00700477">
            <w:pPr>
              <w:spacing w:after="60" w:line="240" w:lineRule="atLeast"/>
              <w:jc w:val="center"/>
              <w:rPr>
                <w:rFonts w:ascii="SegoeBook" w:hAnsi="SegoeBook"/>
                <w:szCs w:val="18"/>
              </w:rPr>
            </w:pPr>
            <w:r w:rsidRPr="0058047D">
              <w:rPr>
                <w:rFonts w:ascii="SegoeBook" w:hAnsi="SegoeBook"/>
                <w:szCs w:val="18"/>
              </w:rPr>
              <w:t>Formulazione via</w:t>
            </w:r>
            <w:r w:rsidR="00700477">
              <w:rPr>
                <w:rFonts w:ascii="SegoeBook" w:hAnsi="SegoeBook"/>
                <w:szCs w:val="18"/>
              </w:rPr>
              <w:t> </w:t>
            </w:r>
            <w:r w:rsidRPr="0058047D">
              <w:rPr>
                <w:rFonts w:ascii="SegoeBook" w:hAnsi="SegoeBook"/>
                <w:szCs w:val="18"/>
              </w:rPr>
              <w:t>Web</w:t>
            </w:r>
          </w:p>
        </w:tc>
        <w:tc>
          <w:tcPr>
            <w:tcW w:w="1571" w:type="pct"/>
          </w:tcPr>
          <w:p w14:paraId="0C224BD2" w14:textId="77777777" w:rsidR="00596386" w:rsidRPr="003F471F" w:rsidRDefault="00596386" w:rsidP="00647923">
            <w:pPr>
              <w:spacing w:after="60" w:line="240" w:lineRule="atLeast"/>
              <w:rPr>
                <w:lang w:val="it-IT"/>
              </w:rPr>
            </w:pPr>
            <w:r w:rsidRPr="003F471F">
              <w:rPr>
                <w:rFonts w:ascii="SegoeBook" w:hAnsi="SegoeBook"/>
                <w:szCs w:val="18"/>
                <w:lang w:val="it-IT"/>
              </w:rPr>
              <w:t xml:space="preserve">Impatto commerciale moderato: </w:t>
            </w:r>
          </w:p>
          <w:p w14:paraId="1AC35BB5" w14:textId="77777777" w:rsidR="00596386" w:rsidRPr="003F471F" w:rsidRDefault="00596386" w:rsidP="00647923">
            <w:pPr>
              <w:spacing w:line="240" w:lineRule="atLeast"/>
              <w:rPr>
                <w:lang w:val="it-IT"/>
              </w:rPr>
            </w:pPr>
            <w:r w:rsidRPr="003F471F">
              <w:rPr>
                <w:rFonts w:ascii="SegoeBook" w:hAnsi="SegoeBook"/>
                <w:szCs w:val="18"/>
                <w:lang w:val="it-IT"/>
              </w:rPr>
              <w:t>Perdita o degradazione moderata dei servizi e possibilità di continuare il lavoro in modo meno efficiente.</w:t>
            </w:r>
          </w:p>
          <w:p w14:paraId="53A1ECDE" w14:textId="77777777" w:rsidR="00596386" w:rsidRPr="0058047D" w:rsidRDefault="00596386" w:rsidP="00700477">
            <w:pPr>
              <w:spacing w:after="60" w:line="240" w:lineRule="atLeast"/>
              <w:rPr>
                <w:rFonts w:ascii="SegoeBook" w:hAnsi="SegoeBook"/>
                <w:szCs w:val="18"/>
              </w:rPr>
            </w:pPr>
            <w:r w:rsidRPr="0058047D">
              <w:rPr>
                <w:rFonts w:ascii="SegoeBook" w:hAnsi="SegoeBook"/>
                <w:szCs w:val="18"/>
              </w:rPr>
              <w:t>Necessità dell</w:t>
            </w:r>
            <w:r w:rsidR="001C4212">
              <w:rPr>
                <w:rFonts w:ascii="SegoeBook" w:hAnsi="SegoeBook"/>
                <w:szCs w:val="18"/>
              </w:rPr>
              <w:t>’</w:t>
            </w:r>
            <w:r w:rsidRPr="0058047D">
              <w:rPr>
                <w:rFonts w:ascii="SegoeBook" w:hAnsi="SegoeBook"/>
                <w:szCs w:val="18"/>
              </w:rPr>
              <w:t>intervento entro 4</w:t>
            </w:r>
            <w:r w:rsidR="00700477">
              <w:rPr>
                <w:rFonts w:ascii="SegoeBook" w:hAnsi="SegoeBook"/>
                <w:szCs w:val="18"/>
              </w:rPr>
              <w:t> </w:t>
            </w:r>
            <w:r w:rsidRPr="0058047D">
              <w:rPr>
                <w:rFonts w:ascii="SegoeBook" w:hAnsi="SegoeBook"/>
                <w:szCs w:val="18"/>
              </w:rPr>
              <w:t>Ore</w:t>
            </w:r>
          </w:p>
        </w:tc>
        <w:tc>
          <w:tcPr>
            <w:tcW w:w="1628" w:type="pct"/>
          </w:tcPr>
          <w:p w14:paraId="0608F0BF" w14:textId="77777777" w:rsidR="00596386" w:rsidRPr="003F471F" w:rsidRDefault="00596386" w:rsidP="00647923">
            <w:pPr>
              <w:spacing w:line="240" w:lineRule="atLeast"/>
              <w:rPr>
                <w:lang w:val="it-IT"/>
              </w:rPr>
            </w:pPr>
            <w:r w:rsidRPr="003F471F">
              <w:rPr>
                <w:rFonts w:ascii="SegoeBook" w:hAnsi="SegoeBook"/>
                <w:szCs w:val="18"/>
                <w:lang w:val="it-IT"/>
              </w:rPr>
              <w:t>1</w:t>
            </w:r>
            <w:r w:rsidRPr="003F471F">
              <w:rPr>
                <w:rFonts w:ascii="SegoeBook" w:hAnsi="SegoeBook"/>
                <w:szCs w:val="18"/>
                <w:vertAlign w:val="superscript"/>
                <w:lang w:val="it-IT"/>
              </w:rPr>
              <w:t>a</w:t>
            </w:r>
            <w:r w:rsidRPr="003F471F">
              <w:rPr>
                <w:rFonts w:ascii="SegoeBook" w:hAnsi="SegoeBook"/>
                <w:szCs w:val="18"/>
                <w:lang w:val="it-IT"/>
              </w:rPr>
              <w:t xml:space="preserve"> risposta in 4 Ore o meno</w:t>
            </w:r>
          </w:p>
          <w:p w14:paraId="200878AD" w14:textId="77777777" w:rsidR="00596386" w:rsidRPr="003F471F" w:rsidRDefault="00596386" w:rsidP="00647923">
            <w:pPr>
              <w:spacing w:after="60" w:line="240" w:lineRule="atLeast"/>
              <w:rPr>
                <w:rFonts w:ascii="SegoeBook" w:hAnsi="SegoeBook"/>
                <w:szCs w:val="18"/>
                <w:lang w:val="it-IT"/>
              </w:rPr>
            </w:pPr>
          </w:p>
        </w:tc>
      </w:tr>
      <w:tr w:rsidR="00596386" w:rsidRPr="003F471F" w14:paraId="462762E7" w14:textId="77777777" w:rsidTr="002A6416">
        <w:tc>
          <w:tcPr>
            <w:tcW w:w="779" w:type="pct"/>
          </w:tcPr>
          <w:p w14:paraId="239B3444" w14:textId="77777777" w:rsidR="00596386" w:rsidRPr="0058047D" w:rsidRDefault="00596386" w:rsidP="00647923">
            <w:pPr>
              <w:spacing w:after="60" w:line="240" w:lineRule="atLeast"/>
              <w:jc w:val="center"/>
              <w:rPr>
                <w:rFonts w:ascii="SegoeBook" w:hAnsi="SegoeBook"/>
                <w:szCs w:val="18"/>
              </w:rPr>
            </w:pPr>
            <w:r w:rsidRPr="0058047D">
              <w:rPr>
                <w:rFonts w:ascii="SegoeBook" w:hAnsi="SegoeBook"/>
                <w:szCs w:val="18"/>
              </w:rPr>
              <w:t>C</w:t>
            </w:r>
          </w:p>
        </w:tc>
        <w:tc>
          <w:tcPr>
            <w:tcW w:w="1022" w:type="pct"/>
          </w:tcPr>
          <w:p w14:paraId="1430D658" w14:textId="77777777" w:rsidR="00596386" w:rsidRPr="0058047D" w:rsidRDefault="00596386" w:rsidP="00700477">
            <w:pPr>
              <w:spacing w:after="60" w:line="240" w:lineRule="atLeast"/>
              <w:jc w:val="center"/>
              <w:rPr>
                <w:rFonts w:ascii="SegoeBook" w:hAnsi="SegoeBook"/>
                <w:szCs w:val="18"/>
              </w:rPr>
            </w:pPr>
            <w:r w:rsidRPr="0058047D">
              <w:rPr>
                <w:rFonts w:ascii="SegoeBook" w:hAnsi="SegoeBook"/>
                <w:szCs w:val="18"/>
              </w:rPr>
              <w:t>Formulazione via</w:t>
            </w:r>
            <w:r w:rsidR="00700477">
              <w:rPr>
                <w:rFonts w:ascii="SegoeBook" w:hAnsi="SegoeBook"/>
                <w:szCs w:val="18"/>
              </w:rPr>
              <w:t> </w:t>
            </w:r>
            <w:r w:rsidRPr="0058047D">
              <w:rPr>
                <w:rFonts w:ascii="SegoeBook" w:hAnsi="SegoeBook"/>
                <w:szCs w:val="18"/>
              </w:rPr>
              <w:t>Web</w:t>
            </w:r>
          </w:p>
        </w:tc>
        <w:tc>
          <w:tcPr>
            <w:tcW w:w="1571" w:type="pct"/>
          </w:tcPr>
          <w:p w14:paraId="309BB394" w14:textId="77777777" w:rsidR="00596386" w:rsidRPr="003F471F" w:rsidRDefault="00596386" w:rsidP="00647923">
            <w:pPr>
              <w:rPr>
                <w:lang w:val="it-IT"/>
              </w:rPr>
            </w:pPr>
            <w:r w:rsidRPr="003F471F">
              <w:rPr>
                <w:rFonts w:ascii="SegoeBook" w:hAnsi="SegoeBook"/>
                <w:szCs w:val="18"/>
                <w:lang w:val="it-IT"/>
              </w:rPr>
              <w:t>Impatto commerciale minimo</w:t>
            </w:r>
          </w:p>
          <w:p w14:paraId="604504CA" w14:textId="77777777" w:rsidR="00596386" w:rsidRPr="003F471F" w:rsidRDefault="00596386" w:rsidP="00647923">
            <w:pPr>
              <w:rPr>
                <w:lang w:val="it-IT"/>
              </w:rPr>
            </w:pPr>
            <w:r w:rsidRPr="003F471F">
              <w:rPr>
                <w:rFonts w:ascii="SegoeBook" w:hAnsi="SegoeBook"/>
                <w:szCs w:val="18"/>
                <w:lang w:val="it-IT"/>
              </w:rPr>
              <w:t>Funzionamento sostanzialmente nella norma, in alcuni casi con qualche minimo impedimento dei</w:t>
            </w:r>
            <w:r w:rsidR="00700477" w:rsidRPr="003F471F">
              <w:rPr>
                <w:rFonts w:ascii="SegoeBook" w:hAnsi="SegoeBook"/>
                <w:szCs w:val="18"/>
                <w:lang w:val="it-IT"/>
              </w:rPr>
              <w:t> </w:t>
            </w:r>
            <w:r w:rsidRPr="003F471F">
              <w:rPr>
                <w:rFonts w:ascii="SegoeBook" w:hAnsi="SegoeBook"/>
                <w:szCs w:val="18"/>
                <w:lang w:val="it-IT"/>
              </w:rPr>
              <w:t>servizi.</w:t>
            </w:r>
          </w:p>
          <w:p w14:paraId="52D592EC" w14:textId="77777777" w:rsidR="00596386" w:rsidRPr="0058047D" w:rsidRDefault="00596386" w:rsidP="00700477">
            <w:pPr>
              <w:spacing w:after="60" w:line="240" w:lineRule="atLeast"/>
              <w:rPr>
                <w:rFonts w:ascii="SegoeBook" w:hAnsi="SegoeBook"/>
                <w:szCs w:val="18"/>
              </w:rPr>
            </w:pPr>
            <w:r w:rsidRPr="0058047D">
              <w:rPr>
                <w:rFonts w:ascii="SegoeBook" w:hAnsi="SegoeBook"/>
                <w:szCs w:val="18"/>
              </w:rPr>
              <w:t>Necessità dell</w:t>
            </w:r>
            <w:r w:rsidR="001C4212">
              <w:rPr>
                <w:rFonts w:ascii="SegoeBook" w:hAnsi="SegoeBook"/>
                <w:szCs w:val="18"/>
              </w:rPr>
              <w:t>’</w:t>
            </w:r>
            <w:r w:rsidRPr="0058047D">
              <w:rPr>
                <w:rFonts w:ascii="SegoeBook" w:hAnsi="SegoeBook"/>
                <w:szCs w:val="18"/>
              </w:rPr>
              <w:t>intervento entro 8</w:t>
            </w:r>
            <w:r w:rsidR="00700477">
              <w:rPr>
                <w:rFonts w:ascii="SegoeBook" w:hAnsi="SegoeBook"/>
                <w:szCs w:val="18"/>
              </w:rPr>
              <w:t> </w:t>
            </w:r>
            <w:r w:rsidRPr="0058047D">
              <w:rPr>
                <w:rFonts w:ascii="SegoeBook" w:hAnsi="SegoeBook"/>
                <w:szCs w:val="18"/>
              </w:rPr>
              <w:t>Ore</w:t>
            </w:r>
          </w:p>
        </w:tc>
        <w:tc>
          <w:tcPr>
            <w:tcW w:w="1628" w:type="pct"/>
          </w:tcPr>
          <w:p w14:paraId="667243E5" w14:textId="77777777" w:rsidR="00596386" w:rsidRPr="003F471F" w:rsidRDefault="00596386" w:rsidP="00647923">
            <w:pPr>
              <w:rPr>
                <w:lang w:val="it-IT"/>
              </w:rPr>
            </w:pPr>
            <w:r w:rsidRPr="003F471F">
              <w:rPr>
                <w:rFonts w:ascii="SegoeBook" w:hAnsi="SegoeBook"/>
                <w:szCs w:val="18"/>
                <w:lang w:val="it-IT"/>
              </w:rPr>
              <w:t>1</w:t>
            </w:r>
            <w:r w:rsidRPr="003F471F">
              <w:rPr>
                <w:rFonts w:ascii="SegoeBook" w:hAnsi="SegoeBook"/>
                <w:szCs w:val="18"/>
                <w:vertAlign w:val="superscript"/>
                <w:lang w:val="it-IT"/>
              </w:rPr>
              <w:t>a</w:t>
            </w:r>
            <w:r w:rsidRPr="003F471F">
              <w:rPr>
                <w:rFonts w:ascii="SegoeBook" w:hAnsi="SegoeBook"/>
                <w:szCs w:val="18"/>
                <w:lang w:val="it-IT"/>
              </w:rPr>
              <w:t xml:space="preserve"> risposta in 8 Ore o meno</w:t>
            </w:r>
          </w:p>
          <w:p w14:paraId="48A39211" w14:textId="77777777" w:rsidR="00596386" w:rsidRPr="003F471F" w:rsidRDefault="00596386" w:rsidP="00647923">
            <w:pPr>
              <w:spacing w:line="240" w:lineRule="atLeast"/>
              <w:rPr>
                <w:rFonts w:ascii="SegoeBook" w:hAnsi="SegoeBook"/>
                <w:szCs w:val="18"/>
                <w:lang w:val="it-IT"/>
              </w:rPr>
            </w:pPr>
          </w:p>
        </w:tc>
      </w:tr>
    </w:tbl>
    <w:p w14:paraId="700A11C1" w14:textId="77777777" w:rsidR="00596386" w:rsidRPr="003F471F" w:rsidRDefault="00596386" w:rsidP="00596386">
      <w:pPr>
        <w:rPr>
          <w:sz w:val="22"/>
          <w:lang w:val="it-IT"/>
        </w:rPr>
      </w:pPr>
    </w:p>
    <w:p w14:paraId="4D581126" w14:textId="77777777" w:rsidR="00596386" w:rsidRPr="003F471F" w:rsidRDefault="00596386" w:rsidP="00596386">
      <w:pPr>
        <w:tabs>
          <w:tab w:val="left" w:pos="360"/>
        </w:tabs>
        <w:jc w:val="both"/>
        <w:rPr>
          <w:lang w:val="it-IT"/>
        </w:rPr>
      </w:pPr>
      <w:r w:rsidRPr="003F471F">
        <w:rPr>
          <w:rFonts w:cs="Arial"/>
          <w:snapToGrid w:val="0"/>
          <w:color w:val="000000"/>
          <w:szCs w:val="18"/>
          <w:lang w:val="it-IT"/>
        </w:rPr>
        <w:t>Le società possono scegliere di essere richiamate da Microsoft per un massimo di 3 interventi al mese.</w:t>
      </w:r>
      <w:r w:rsidR="00E34ED3" w:rsidRPr="003F471F">
        <w:rPr>
          <w:rFonts w:cs="Arial"/>
          <w:snapToGrid w:val="0"/>
          <w:color w:val="000000"/>
          <w:szCs w:val="18"/>
          <w:lang w:val="it-IT"/>
        </w:rPr>
        <w:t xml:space="preserve"> </w:t>
      </w:r>
      <w:r w:rsidRPr="003F471F">
        <w:rPr>
          <w:rFonts w:cs="Arial"/>
          <w:snapToGrid w:val="0"/>
          <w:color w:val="000000"/>
          <w:szCs w:val="18"/>
          <w:lang w:val="it-IT"/>
        </w:rPr>
        <w:t>Diversamente, il team di supporto di Windows Azure individuerà e risolverà l</w:t>
      </w:r>
      <w:r w:rsidR="001C4212" w:rsidRPr="003F471F">
        <w:rPr>
          <w:rFonts w:cs="Arial"/>
          <w:snapToGrid w:val="0"/>
          <w:color w:val="000000"/>
          <w:szCs w:val="18"/>
          <w:lang w:val="it-IT"/>
        </w:rPr>
        <w:t>’</w:t>
      </w:r>
      <w:r w:rsidRPr="003F471F">
        <w:rPr>
          <w:rFonts w:cs="Arial"/>
          <w:snapToGrid w:val="0"/>
          <w:color w:val="000000"/>
          <w:szCs w:val="18"/>
          <w:lang w:val="it-IT"/>
        </w:rPr>
        <w:t>intervento tramite i canali online (ad esempio, tramite posta elettronica o il portale di Windows Azure).</w:t>
      </w:r>
      <w:r w:rsidR="00E34ED3" w:rsidRPr="003F471F">
        <w:rPr>
          <w:rFonts w:cs="Arial"/>
          <w:snapToGrid w:val="0"/>
          <w:color w:val="000000"/>
          <w:szCs w:val="18"/>
          <w:lang w:val="it-IT"/>
        </w:rPr>
        <w:t xml:space="preserve"> </w:t>
      </w:r>
    </w:p>
    <w:p w14:paraId="4696B858" w14:textId="77777777" w:rsidR="00596386" w:rsidRPr="003F471F" w:rsidRDefault="00596386" w:rsidP="00DD7F8E">
      <w:pPr>
        <w:rPr>
          <w:lang w:val="it-IT"/>
        </w:rPr>
      </w:pPr>
    </w:p>
    <w:p w14:paraId="1F2AE422" w14:textId="77777777" w:rsidR="00DD7F8E" w:rsidRPr="003F471F" w:rsidRDefault="00DD7F8E" w:rsidP="00DD7F8E">
      <w:pPr>
        <w:rPr>
          <w:lang w:val="it-IT"/>
        </w:rPr>
      </w:pPr>
      <w:r w:rsidRPr="003F471F">
        <w:rPr>
          <w:b/>
          <w:sz w:val="24"/>
          <w:szCs w:val="24"/>
          <w:lang w:val="it-IT"/>
        </w:rPr>
        <w:t>Offerte per il Programma Microsoft Enterprise Strategy</w:t>
      </w:r>
    </w:p>
    <w:p w14:paraId="4B7EAFDD" w14:textId="77777777" w:rsidR="00DD7F8E" w:rsidRPr="003F471F" w:rsidRDefault="00DD7F8E" w:rsidP="00DD7F8E">
      <w:pPr>
        <w:rPr>
          <w:lang w:val="it-IT"/>
        </w:rPr>
      </w:pPr>
    </w:p>
    <w:p w14:paraId="562D7E03" w14:textId="77777777" w:rsidR="00DD7F8E" w:rsidRPr="003F471F" w:rsidRDefault="00DD7F8E" w:rsidP="006D6BED">
      <w:pPr>
        <w:widowControl w:val="0"/>
        <w:tabs>
          <w:tab w:val="left" w:pos="720"/>
          <w:tab w:val="left" w:pos="1170"/>
        </w:tabs>
        <w:spacing w:after="60"/>
        <w:rPr>
          <w:lang w:val="it-IT"/>
        </w:rPr>
      </w:pPr>
      <w:r w:rsidRPr="003F471F">
        <w:rPr>
          <w:rFonts w:cs="Arial"/>
          <w:b/>
          <w:bCs/>
          <w:szCs w:val="18"/>
          <w:lang w:val="it-IT"/>
        </w:rPr>
        <w:t>Panoramica del Programma Enterprise Strategy</w:t>
      </w:r>
    </w:p>
    <w:p w14:paraId="2A4812EE" w14:textId="77777777" w:rsidR="00BA5266" w:rsidRPr="003F471F" w:rsidRDefault="00BA5266" w:rsidP="006D6BED">
      <w:pPr>
        <w:widowControl w:val="0"/>
        <w:tabs>
          <w:tab w:val="left" w:pos="720"/>
          <w:tab w:val="left" w:pos="1170"/>
        </w:tabs>
        <w:spacing w:after="60"/>
        <w:rPr>
          <w:lang w:val="it-IT"/>
        </w:rPr>
      </w:pPr>
    </w:p>
    <w:p w14:paraId="2A0B0622" w14:textId="77777777" w:rsidR="00BA5266" w:rsidRPr="003F471F" w:rsidRDefault="00BA5266" w:rsidP="00BA5266">
      <w:pPr>
        <w:rPr>
          <w:lang w:val="it-IT"/>
        </w:rPr>
      </w:pPr>
      <w:r w:rsidRPr="003F471F">
        <w:rPr>
          <w:rFonts w:cs="Tahoma"/>
          <w:szCs w:val="18"/>
          <w:lang w:val="it-IT"/>
        </w:rPr>
        <w:t>Il Programma Enterprise Strategy per il Contratto Microsoft Enterprise offre alle società la consulenza dei Microsoft Enterprise Architect e dell</w:t>
      </w:r>
      <w:r w:rsidR="001C4212" w:rsidRPr="003F471F">
        <w:rPr>
          <w:rFonts w:cs="Tahoma"/>
          <w:szCs w:val="18"/>
          <w:lang w:val="it-IT"/>
        </w:rPr>
        <w:t>’</w:t>
      </w:r>
      <w:r w:rsidRPr="003F471F">
        <w:rPr>
          <w:rFonts w:cs="Tahoma"/>
          <w:szCs w:val="18"/>
          <w:lang w:val="it-IT"/>
        </w:rPr>
        <w:t>Enterprise Service Delivery Team in merito a come velocizzare l</w:t>
      </w:r>
      <w:r w:rsidR="001C4212" w:rsidRPr="003F471F">
        <w:rPr>
          <w:rFonts w:cs="Tahoma"/>
          <w:szCs w:val="18"/>
          <w:lang w:val="it-IT"/>
        </w:rPr>
        <w:t>’</w:t>
      </w:r>
      <w:r w:rsidRPr="003F471F">
        <w:rPr>
          <w:rFonts w:cs="Tahoma"/>
          <w:szCs w:val="18"/>
          <w:lang w:val="it-IT"/>
        </w:rPr>
        <w:t>adozione di tecnologia e</w:t>
      </w:r>
      <w:r w:rsidR="00700477" w:rsidRPr="003F471F">
        <w:rPr>
          <w:rFonts w:cs="Tahoma"/>
          <w:szCs w:val="18"/>
          <w:lang w:val="it-IT"/>
        </w:rPr>
        <w:t> </w:t>
      </w:r>
      <w:r w:rsidRPr="003F471F">
        <w:rPr>
          <w:rFonts w:cs="Tahoma"/>
          <w:szCs w:val="18"/>
          <w:lang w:val="it-IT"/>
        </w:rPr>
        <w:t>pianificare modifiche ragionevoli allo scopo di massimizzare l</w:t>
      </w:r>
      <w:r w:rsidR="001C4212" w:rsidRPr="003F471F">
        <w:rPr>
          <w:rFonts w:cs="Tahoma"/>
          <w:szCs w:val="18"/>
          <w:lang w:val="it-IT"/>
        </w:rPr>
        <w:t>’</w:t>
      </w:r>
      <w:r w:rsidRPr="003F471F">
        <w:rPr>
          <w:rFonts w:cs="Tahoma"/>
          <w:szCs w:val="18"/>
          <w:lang w:val="it-IT"/>
        </w:rPr>
        <w:t xml:space="preserve">investimento effettuato nelle tecnologie Microsoft. </w:t>
      </w:r>
    </w:p>
    <w:p w14:paraId="03F71FBF" w14:textId="77777777" w:rsidR="00BA5266" w:rsidRPr="003F471F" w:rsidRDefault="00BA5266" w:rsidP="00BA5266">
      <w:pPr>
        <w:spacing w:after="60"/>
        <w:rPr>
          <w:lang w:val="it-IT"/>
        </w:rPr>
      </w:pPr>
    </w:p>
    <w:p w14:paraId="3A898A40" w14:textId="77777777" w:rsidR="00BA5266" w:rsidRPr="003F471F" w:rsidRDefault="00BA5266" w:rsidP="00BA5266">
      <w:pPr>
        <w:spacing w:after="60"/>
        <w:rPr>
          <w:lang w:val="it-IT"/>
        </w:rPr>
      </w:pPr>
      <w:r w:rsidRPr="003F471F">
        <w:rPr>
          <w:rFonts w:cs="Tahoma"/>
          <w:szCs w:val="18"/>
          <w:lang w:val="it-IT"/>
        </w:rPr>
        <w:t>Le offerte relative al Programma Enterprise Strategy includono i componenti descritti di seguito, che verranno forniti per ogni anno di validità del Contratto Enterprise stipulato dalla Società:</w:t>
      </w:r>
    </w:p>
    <w:p w14:paraId="49898501" w14:textId="77777777" w:rsidR="00BA5266" w:rsidRPr="003F471F" w:rsidRDefault="00BA5266" w:rsidP="00BA5266">
      <w:pPr>
        <w:spacing w:after="60"/>
        <w:rPr>
          <w:lang w:val="it-IT"/>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68"/>
        <w:gridCol w:w="2268"/>
        <w:gridCol w:w="2269"/>
      </w:tblGrid>
      <w:tr w:rsidR="00BA5266" w:rsidRPr="0058047D" w14:paraId="1F46E2E4" w14:textId="77777777" w:rsidTr="00700477">
        <w:trPr>
          <w:tblHeader/>
        </w:trPr>
        <w:tc>
          <w:tcPr>
            <w:tcW w:w="2555" w:type="dxa"/>
            <w:shd w:val="clear" w:color="auto" w:fill="FABF8F"/>
            <w:vAlign w:val="center"/>
          </w:tcPr>
          <w:p w14:paraId="3BC04357" w14:textId="77777777" w:rsidR="00BA5266" w:rsidRPr="0058047D" w:rsidRDefault="00BA5266" w:rsidP="00D629A3">
            <w:pPr>
              <w:jc w:val="center"/>
              <w:rPr>
                <w:rFonts w:cs="Tahoma"/>
                <w:color w:val="000000"/>
                <w:szCs w:val="18"/>
              </w:rPr>
            </w:pPr>
            <w:r w:rsidRPr="0058047D">
              <w:rPr>
                <w:rFonts w:cs="Tahoma"/>
                <w:b/>
                <w:bCs/>
                <w:color w:val="000000"/>
                <w:sz w:val="20"/>
                <w:szCs w:val="18"/>
              </w:rPr>
              <w:t>Area</w:t>
            </w:r>
          </w:p>
        </w:tc>
        <w:tc>
          <w:tcPr>
            <w:tcW w:w="2268" w:type="dxa"/>
            <w:shd w:val="clear" w:color="auto" w:fill="FABF8F"/>
            <w:vAlign w:val="center"/>
          </w:tcPr>
          <w:p w14:paraId="59E4417D" w14:textId="77777777" w:rsidR="00BA5266" w:rsidRPr="0058047D" w:rsidRDefault="00BA5266" w:rsidP="00D629A3">
            <w:pPr>
              <w:jc w:val="center"/>
              <w:rPr>
                <w:rFonts w:cs="Tahoma"/>
                <w:b/>
                <w:bCs/>
                <w:color w:val="000000"/>
                <w:sz w:val="20"/>
                <w:szCs w:val="20"/>
              </w:rPr>
            </w:pPr>
            <w:r w:rsidRPr="0058047D">
              <w:rPr>
                <w:rFonts w:cs="Tahoma"/>
                <w:b/>
                <w:bCs/>
                <w:color w:val="000000"/>
                <w:sz w:val="20"/>
                <w:szCs w:val="20"/>
              </w:rPr>
              <w:t>Enterprise Strategy Connect</w:t>
            </w:r>
          </w:p>
        </w:tc>
        <w:tc>
          <w:tcPr>
            <w:tcW w:w="2268" w:type="dxa"/>
            <w:shd w:val="clear" w:color="auto" w:fill="FABF8F"/>
            <w:vAlign w:val="center"/>
          </w:tcPr>
          <w:p w14:paraId="24B12CEE" w14:textId="77777777" w:rsidR="00BA5266" w:rsidRPr="0058047D" w:rsidRDefault="00BA5266" w:rsidP="00D629A3">
            <w:pPr>
              <w:jc w:val="center"/>
              <w:rPr>
                <w:rFonts w:cs="Tahoma"/>
                <w:color w:val="000000"/>
                <w:sz w:val="20"/>
                <w:szCs w:val="20"/>
              </w:rPr>
            </w:pPr>
            <w:r w:rsidRPr="0058047D">
              <w:rPr>
                <w:rFonts w:cs="Tahoma"/>
                <w:b/>
                <w:bCs/>
                <w:color w:val="000000"/>
                <w:sz w:val="20"/>
                <w:szCs w:val="20"/>
              </w:rPr>
              <w:t>Enterprise Strategy Foundation</w:t>
            </w:r>
          </w:p>
        </w:tc>
        <w:tc>
          <w:tcPr>
            <w:tcW w:w="2269" w:type="dxa"/>
            <w:shd w:val="clear" w:color="auto" w:fill="FABF8F"/>
            <w:vAlign w:val="center"/>
          </w:tcPr>
          <w:p w14:paraId="3C157C1B" w14:textId="77777777" w:rsidR="00BA5266" w:rsidRPr="0058047D" w:rsidRDefault="00BA5266" w:rsidP="00D629A3">
            <w:pPr>
              <w:jc w:val="center"/>
              <w:rPr>
                <w:rFonts w:cs="Tahoma"/>
                <w:b/>
                <w:bCs/>
                <w:color w:val="000000"/>
                <w:sz w:val="20"/>
                <w:szCs w:val="18"/>
              </w:rPr>
            </w:pPr>
            <w:r w:rsidRPr="0058047D">
              <w:rPr>
                <w:rFonts w:cs="Tahoma"/>
                <w:b/>
                <w:bCs/>
                <w:color w:val="000000"/>
                <w:sz w:val="20"/>
                <w:szCs w:val="18"/>
              </w:rPr>
              <w:t>Enterprise Strategy Portfolio</w:t>
            </w:r>
          </w:p>
        </w:tc>
      </w:tr>
      <w:tr w:rsidR="00BA5266" w:rsidRPr="003F471F" w14:paraId="19A4F6FD" w14:textId="77777777" w:rsidTr="00D629A3">
        <w:trPr>
          <w:trHeight w:val="1088"/>
        </w:trPr>
        <w:tc>
          <w:tcPr>
            <w:tcW w:w="2555" w:type="dxa"/>
            <w:vAlign w:val="center"/>
          </w:tcPr>
          <w:p w14:paraId="7D7AF873" w14:textId="77777777" w:rsidR="00BA5266" w:rsidRPr="0058047D" w:rsidRDefault="00BA5266" w:rsidP="00D629A3">
            <w:pPr>
              <w:rPr>
                <w:rFonts w:cs="Tahoma"/>
                <w:color w:val="000000"/>
                <w:szCs w:val="18"/>
              </w:rPr>
            </w:pPr>
            <w:r w:rsidRPr="0058047D">
              <w:rPr>
                <w:rFonts w:cs="Tahoma"/>
                <w:color w:val="000000"/>
                <w:szCs w:val="18"/>
              </w:rPr>
              <w:t>Enterprise Architect ed Enterprise Service Delivery Team</w:t>
            </w:r>
          </w:p>
        </w:tc>
        <w:tc>
          <w:tcPr>
            <w:tcW w:w="2268" w:type="dxa"/>
            <w:vAlign w:val="center"/>
          </w:tcPr>
          <w:p w14:paraId="719A59BF" w14:textId="77777777" w:rsidR="00BA5266" w:rsidRPr="003F471F" w:rsidRDefault="00BA5266" w:rsidP="00700477">
            <w:pPr>
              <w:jc w:val="center"/>
              <w:rPr>
                <w:rFonts w:eastAsia="MS UI Gothic" w:cs="Tahoma"/>
                <w:color w:val="000000"/>
                <w:szCs w:val="18"/>
                <w:lang w:val="it-IT"/>
              </w:rPr>
            </w:pPr>
            <w:r w:rsidRPr="003F471F">
              <w:rPr>
                <w:rFonts w:cs="Tahoma"/>
                <w:szCs w:val="18"/>
                <w:lang w:val="it-IT"/>
              </w:rPr>
              <w:t>Fino a 400 ore in totale tra un Microsoft Enterprise Architect e</w:t>
            </w:r>
            <w:r w:rsidR="00700477" w:rsidRPr="003F471F">
              <w:rPr>
                <w:rFonts w:cs="Tahoma"/>
                <w:szCs w:val="18"/>
                <w:lang w:val="it-IT"/>
              </w:rPr>
              <w:t> </w:t>
            </w:r>
            <w:r w:rsidRPr="003F471F">
              <w:rPr>
                <w:rFonts w:cs="Tahoma"/>
                <w:szCs w:val="18"/>
                <w:lang w:val="it-IT"/>
              </w:rPr>
              <w:t>l</w:t>
            </w:r>
            <w:r w:rsidR="001C4212" w:rsidRPr="003F471F">
              <w:rPr>
                <w:rFonts w:cs="Tahoma"/>
                <w:szCs w:val="18"/>
                <w:lang w:val="it-IT"/>
              </w:rPr>
              <w:t>’</w:t>
            </w:r>
            <w:r w:rsidRPr="003F471F">
              <w:rPr>
                <w:rFonts w:cs="Tahoma"/>
                <w:color w:val="000000"/>
                <w:szCs w:val="18"/>
                <w:lang w:val="it-IT"/>
              </w:rPr>
              <w:t xml:space="preserve">Enterprise </w:t>
            </w:r>
            <w:r w:rsidRPr="003F471F">
              <w:rPr>
                <w:rFonts w:cs="Tahoma"/>
                <w:szCs w:val="18"/>
                <w:lang w:val="it-IT"/>
              </w:rPr>
              <w:t>Service Delivery Team</w:t>
            </w:r>
            <w:r w:rsidRPr="003F471F">
              <w:rPr>
                <w:rFonts w:eastAsia="MS UI Gothic" w:cs="Tahoma"/>
                <w:color w:val="000000"/>
                <w:szCs w:val="18"/>
                <w:lang w:val="it-IT"/>
              </w:rPr>
              <w:t xml:space="preserve"> </w:t>
            </w:r>
          </w:p>
        </w:tc>
        <w:tc>
          <w:tcPr>
            <w:tcW w:w="2268" w:type="dxa"/>
            <w:vAlign w:val="center"/>
          </w:tcPr>
          <w:p w14:paraId="4971EBE6" w14:textId="77777777" w:rsidR="00BA5266" w:rsidRPr="003F471F" w:rsidRDefault="00BA5266" w:rsidP="00700477">
            <w:pPr>
              <w:jc w:val="center"/>
              <w:rPr>
                <w:rFonts w:cs="Tahoma"/>
                <w:color w:val="000000"/>
                <w:szCs w:val="18"/>
                <w:lang w:val="it-IT"/>
              </w:rPr>
            </w:pPr>
            <w:r w:rsidRPr="003F471F">
              <w:rPr>
                <w:rFonts w:cs="Tahoma"/>
                <w:szCs w:val="18"/>
                <w:lang w:val="it-IT"/>
              </w:rPr>
              <w:t>Fino a 800 ore in totale tra un Microsoft Enterprise Architect e</w:t>
            </w:r>
            <w:r w:rsidR="00700477" w:rsidRPr="003F471F">
              <w:rPr>
                <w:rFonts w:cs="Tahoma"/>
                <w:szCs w:val="18"/>
                <w:lang w:val="it-IT"/>
              </w:rPr>
              <w:t> </w:t>
            </w:r>
            <w:r w:rsidRPr="003F471F">
              <w:rPr>
                <w:rFonts w:cs="Tahoma"/>
                <w:szCs w:val="18"/>
                <w:lang w:val="it-IT"/>
              </w:rPr>
              <w:t>l</w:t>
            </w:r>
            <w:r w:rsidR="001C4212" w:rsidRPr="003F471F">
              <w:rPr>
                <w:rFonts w:cs="Tahoma"/>
                <w:szCs w:val="18"/>
                <w:lang w:val="it-IT"/>
              </w:rPr>
              <w:t>’</w:t>
            </w:r>
            <w:r w:rsidRPr="003F471F">
              <w:rPr>
                <w:rFonts w:cs="Tahoma"/>
                <w:color w:val="000000"/>
                <w:szCs w:val="18"/>
                <w:lang w:val="it-IT"/>
              </w:rPr>
              <w:t xml:space="preserve">Enterprise </w:t>
            </w:r>
            <w:r w:rsidRPr="003F471F">
              <w:rPr>
                <w:rFonts w:cs="Tahoma"/>
                <w:szCs w:val="18"/>
                <w:lang w:val="it-IT"/>
              </w:rPr>
              <w:t>Service Delivery Team</w:t>
            </w:r>
            <w:r w:rsidRPr="003F471F">
              <w:rPr>
                <w:rFonts w:eastAsia="MS UI Gothic" w:cs="Tahoma"/>
                <w:color w:val="000000"/>
                <w:szCs w:val="18"/>
                <w:lang w:val="it-IT"/>
              </w:rPr>
              <w:t xml:space="preserve"> </w:t>
            </w:r>
          </w:p>
        </w:tc>
        <w:tc>
          <w:tcPr>
            <w:tcW w:w="2269" w:type="dxa"/>
            <w:vAlign w:val="center"/>
          </w:tcPr>
          <w:p w14:paraId="3273A59B" w14:textId="77777777" w:rsidR="00BA5266" w:rsidRPr="003F471F" w:rsidRDefault="00BA5266" w:rsidP="00700477">
            <w:pPr>
              <w:jc w:val="center"/>
              <w:rPr>
                <w:rFonts w:cs="Tahoma"/>
                <w:color w:val="000000"/>
                <w:szCs w:val="18"/>
                <w:lang w:val="it-IT"/>
              </w:rPr>
            </w:pPr>
            <w:r w:rsidRPr="003F471F">
              <w:rPr>
                <w:rFonts w:cs="Tahoma"/>
                <w:szCs w:val="18"/>
                <w:lang w:val="it-IT"/>
              </w:rPr>
              <w:t>Fino a 1600 ore in totale tra un Microsoft Enterprise Architect e</w:t>
            </w:r>
            <w:r w:rsidR="00700477" w:rsidRPr="003F471F">
              <w:rPr>
                <w:rFonts w:cs="Tahoma"/>
                <w:szCs w:val="18"/>
                <w:lang w:val="it-IT"/>
              </w:rPr>
              <w:t> </w:t>
            </w:r>
            <w:r w:rsidRPr="003F471F">
              <w:rPr>
                <w:rFonts w:cs="Tahoma"/>
                <w:szCs w:val="18"/>
                <w:lang w:val="it-IT"/>
              </w:rPr>
              <w:t>l</w:t>
            </w:r>
            <w:r w:rsidR="001C4212" w:rsidRPr="003F471F">
              <w:rPr>
                <w:rFonts w:cs="Tahoma"/>
                <w:szCs w:val="18"/>
                <w:lang w:val="it-IT"/>
              </w:rPr>
              <w:t>’</w:t>
            </w:r>
            <w:r w:rsidRPr="003F471F">
              <w:rPr>
                <w:rFonts w:cs="Tahoma"/>
                <w:color w:val="000000"/>
                <w:szCs w:val="18"/>
                <w:lang w:val="it-IT"/>
              </w:rPr>
              <w:t xml:space="preserve">Enterprise </w:t>
            </w:r>
            <w:r w:rsidRPr="003F471F">
              <w:rPr>
                <w:rFonts w:cs="Tahoma"/>
                <w:szCs w:val="18"/>
                <w:lang w:val="it-IT"/>
              </w:rPr>
              <w:t>Service Delivery Team</w:t>
            </w:r>
            <w:r w:rsidRPr="003F471F">
              <w:rPr>
                <w:rFonts w:eastAsia="MS UI Gothic" w:cs="Tahoma"/>
                <w:color w:val="000000"/>
                <w:szCs w:val="18"/>
                <w:lang w:val="it-IT"/>
              </w:rPr>
              <w:t xml:space="preserve"> </w:t>
            </w:r>
          </w:p>
        </w:tc>
      </w:tr>
      <w:tr w:rsidR="00BA5266" w:rsidRPr="0058047D" w14:paraId="7D411BBC" w14:textId="77777777" w:rsidTr="00D629A3">
        <w:tc>
          <w:tcPr>
            <w:tcW w:w="2555" w:type="dxa"/>
            <w:vAlign w:val="center"/>
          </w:tcPr>
          <w:p w14:paraId="68A40CEB" w14:textId="77777777" w:rsidR="00BA5266" w:rsidRPr="003F471F" w:rsidRDefault="00BA5266" w:rsidP="00D629A3">
            <w:pPr>
              <w:rPr>
                <w:rFonts w:cs="Tahoma"/>
                <w:color w:val="000000"/>
                <w:szCs w:val="18"/>
                <w:lang w:val="it-IT"/>
              </w:rPr>
            </w:pPr>
            <w:r w:rsidRPr="003F471F">
              <w:rPr>
                <w:rFonts w:cs="Tahoma"/>
                <w:color w:val="000000"/>
                <w:szCs w:val="18"/>
                <w:lang w:val="it-IT"/>
              </w:rPr>
              <w:t>Piano di Erogazione dei Servizi (SDP)</w:t>
            </w:r>
          </w:p>
        </w:tc>
        <w:tc>
          <w:tcPr>
            <w:tcW w:w="2268" w:type="dxa"/>
            <w:vAlign w:val="center"/>
          </w:tcPr>
          <w:p w14:paraId="7890785F" w14:textId="77777777" w:rsidR="00BA5266" w:rsidRPr="0058047D" w:rsidDel="00F328FC" w:rsidRDefault="00BA5266" w:rsidP="00D629A3">
            <w:pPr>
              <w:jc w:val="center"/>
              <w:rPr>
                <w:rFonts w:eastAsia="MS UI Gothic" w:cs="Tahoma"/>
                <w:color w:val="000000"/>
                <w:szCs w:val="18"/>
              </w:rPr>
            </w:pPr>
            <w:r w:rsidRPr="0058047D">
              <w:rPr>
                <w:rFonts w:ascii="Segoe UI Symbol" w:eastAsia="MS UI Gothic" w:hAnsi="Segoe UI Symbol" w:cs="Segoe UI Symbol"/>
                <w:color w:val="000000"/>
                <w:szCs w:val="18"/>
              </w:rPr>
              <w:t>✓</w:t>
            </w:r>
          </w:p>
        </w:tc>
        <w:tc>
          <w:tcPr>
            <w:tcW w:w="2268" w:type="dxa"/>
            <w:vAlign w:val="center"/>
          </w:tcPr>
          <w:p w14:paraId="5966CF05" w14:textId="77777777" w:rsidR="00BA5266" w:rsidRPr="0058047D" w:rsidDel="00F328FC" w:rsidRDefault="00BA5266" w:rsidP="00D629A3">
            <w:pPr>
              <w:jc w:val="center"/>
              <w:rPr>
                <w:rFonts w:eastAsia="MS UI Gothic" w:cs="Tahoma"/>
                <w:color w:val="000000"/>
                <w:szCs w:val="18"/>
              </w:rPr>
            </w:pPr>
            <w:r w:rsidRPr="0058047D">
              <w:rPr>
                <w:rFonts w:ascii="Segoe UI Symbol" w:eastAsia="MS UI Gothic" w:hAnsi="Segoe UI Symbol" w:cs="Segoe UI Symbol"/>
                <w:color w:val="000000"/>
                <w:szCs w:val="18"/>
              </w:rPr>
              <w:t>✓</w:t>
            </w:r>
          </w:p>
        </w:tc>
        <w:tc>
          <w:tcPr>
            <w:tcW w:w="2269" w:type="dxa"/>
            <w:vAlign w:val="center"/>
          </w:tcPr>
          <w:p w14:paraId="5820CC0E" w14:textId="77777777" w:rsidR="00BA5266" w:rsidRPr="0058047D" w:rsidDel="00F328FC" w:rsidRDefault="00BA5266" w:rsidP="00D629A3">
            <w:pPr>
              <w:jc w:val="center"/>
              <w:rPr>
                <w:rFonts w:eastAsia="MS UI Gothic" w:cs="Tahoma"/>
                <w:color w:val="000000"/>
                <w:szCs w:val="18"/>
              </w:rPr>
            </w:pPr>
            <w:r w:rsidRPr="0058047D">
              <w:rPr>
                <w:rFonts w:ascii="Segoe UI Symbol" w:eastAsia="MS UI Gothic" w:hAnsi="Segoe UI Symbol" w:cs="Segoe UI Symbol"/>
                <w:szCs w:val="18"/>
              </w:rPr>
              <w:t>✓</w:t>
            </w:r>
          </w:p>
        </w:tc>
      </w:tr>
      <w:tr w:rsidR="00BA5266" w:rsidRPr="0058047D" w14:paraId="4B3DD39E" w14:textId="77777777" w:rsidTr="00D629A3">
        <w:tc>
          <w:tcPr>
            <w:tcW w:w="2555" w:type="dxa"/>
            <w:vAlign w:val="center"/>
          </w:tcPr>
          <w:p w14:paraId="45D1F5A8" w14:textId="77777777" w:rsidR="00BA5266" w:rsidRPr="0058047D" w:rsidRDefault="00BA5266" w:rsidP="00D629A3">
            <w:pPr>
              <w:rPr>
                <w:rFonts w:cs="Tahoma"/>
                <w:color w:val="000000"/>
                <w:szCs w:val="18"/>
              </w:rPr>
            </w:pPr>
            <w:r w:rsidRPr="0058047D">
              <w:rPr>
                <w:rFonts w:cs="Tahoma"/>
                <w:color w:val="000000"/>
                <w:szCs w:val="18"/>
              </w:rPr>
              <w:t>Enterprise Strategy Network</w:t>
            </w:r>
          </w:p>
        </w:tc>
        <w:tc>
          <w:tcPr>
            <w:tcW w:w="2268" w:type="dxa"/>
            <w:vAlign w:val="center"/>
          </w:tcPr>
          <w:p w14:paraId="22C9F956" w14:textId="77777777" w:rsidR="00BA5266" w:rsidRPr="0058047D" w:rsidRDefault="00BA5266" w:rsidP="00D629A3">
            <w:pPr>
              <w:jc w:val="center"/>
              <w:rPr>
                <w:rFonts w:eastAsia="MS UI Gothic" w:cs="Tahoma"/>
                <w:color w:val="000000"/>
                <w:szCs w:val="18"/>
              </w:rPr>
            </w:pPr>
            <w:r w:rsidRPr="0058047D">
              <w:rPr>
                <w:rFonts w:ascii="Segoe UI Symbol" w:eastAsia="MS UI Gothic" w:hAnsi="Segoe UI Symbol" w:cs="Segoe UI Symbol"/>
                <w:color w:val="000000"/>
                <w:szCs w:val="18"/>
              </w:rPr>
              <w:t>✓</w:t>
            </w:r>
          </w:p>
        </w:tc>
        <w:tc>
          <w:tcPr>
            <w:tcW w:w="2268" w:type="dxa"/>
            <w:vAlign w:val="center"/>
          </w:tcPr>
          <w:p w14:paraId="396F20C6" w14:textId="77777777" w:rsidR="00BA5266" w:rsidRPr="0058047D" w:rsidRDefault="00BA5266" w:rsidP="00D629A3">
            <w:pPr>
              <w:jc w:val="center"/>
              <w:rPr>
                <w:rFonts w:eastAsia="MS UI Gothic" w:cs="Tahoma"/>
                <w:color w:val="000000"/>
                <w:szCs w:val="18"/>
              </w:rPr>
            </w:pPr>
            <w:r w:rsidRPr="0058047D">
              <w:rPr>
                <w:rFonts w:ascii="Segoe UI Symbol" w:eastAsia="MS UI Gothic" w:hAnsi="Segoe UI Symbol" w:cs="Segoe UI Symbol"/>
                <w:color w:val="000000"/>
                <w:szCs w:val="18"/>
              </w:rPr>
              <w:t>✓</w:t>
            </w:r>
          </w:p>
        </w:tc>
        <w:tc>
          <w:tcPr>
            <w:tcW w:w="2269" w:type="dxa"/>
            <w:vAlign w:val="center"/>
          </w:tcPr>
          <w:p w14:paraId="77491F2C" w14:textId="77777777" w:rsidR="00BA5266" w:rsidRPr="0058047D" w:rsidRDefault="00BA5266" w:rsidP="00D629A3">
            <w:pPr>
              <w:jc w:val="center"/>
              <w:rPr>
                <w:rFonts w:eastAsia="MS UI Gothic" w:cs="Tahoma"/>
                <w:szCs w:val="18"/>
              </w:rPr>
            </w:pPr>
            <w:r w:rsidRPr="0058047D">
              <w:rPr>
                <w:rFonts w:ascii="Segoe UI Symbol" w:eastAsia="MS UI Gothic" w:hAnsi="Segoe UI Symbol" w:cs="Segoe UI Symbol"/>
                <w:szCs w:val="18"/>
              </w:rPr>
              <w:t>✓</w:t>
            </w:r>
          </w:p>
        </w:tc>
      </w:tr>
      <w:tr w:rsidR="00BA5266" w:rsidRPr="0058047D" w14:paraId="1A2069A2" w14:textId="77777777" w:rsidTr="00D629A3">
        <w:tc>
          <w:tcPr>
            <w:tcW w:w="2555" w:type="dxa"/>
            <w:vAlign w:val="center"/>
          </w:tcPr>
          <w:p w14:paraId="1DEC3F53" w14:textId="77777777" w:rsidR="00BA5266" w:rsidRPr="0058047D" w:rsidRDefault="00BA5266" w:rsidP="00D629A3">
            <w:pPr>
              <w:rPr>
                <w:rFonts w:cs="Tahoma"/>
                <w:color w:val="000000"/>
                <w:szCs w:val="18"/>
              </w:rPr>
            </w:pPr>
            <w:r w:rsidRPr="0058047D">
              <w:rPr>
                <w:rFonts w:cs="Tahoma"/>
                <w:color w:val="000000"/>
                <w:szCs w:val="18"/>
              </w:rPr>
              <w:t>Enterprise Strategy Library</w:t>
            </w:r>
          </w:p>
        </w:tc>
        <w:tc>
          <w:tcPr>
            <w:tcW w:w="2268" w:type="dxa"/>
            <w:vAlign w:val="center"/>
          </w:tcPr>
          <w:p w14:paraId="0B460E59" w14:textId="77777777" w:rsidR="00BA5266" w:rsidRPr="0058047D" w:rsidRDefault="00BA5266" w:rsidP="00D629A3">
            <w:pPr>
              <w:jc w:val="center"/>
              <w:rPr>
                <w:rFonts w:eastAsia="MS UI Gothic" w:cs="Tahoma"/>
                <w:color w:val="000000"/>
                <w:szCs w:val="18"/>
              </w:rPr>
            </w:pPr>
            <w:r w:rsidRPr="0058047D">
              <w:rPr>
                <w:rFonts w:ascii="Segoe UI Symbol" w:eastAsia="MS UI Gothic" w:hAnsi="Segoe UI Symbol" w:cs="Segoe UI Symbol"/>
                <w:color w:val="000000"/>
                <w:szCs w:val="18"/>
              </w:rPr>
              <w:t>✓</w:t>
            </w:r>
          </w:p>
        </w:tc>
        <w:tc>
          <w:tcPr>
            <w:tcW w:w="2268" w:type="dxa"/>
            <w:vAlign w:val="center"/>
          </w:tcPr>
          <w:p w14:paraId="19A132D8" w14:textId="77777777" w:rsidR="00BA5266" w:rsidRPr="0058047D" w:rsidRDefault="00BA5266" w:rsidP="00D629A3">
            <w:pPr>
              <w:jc w:val="center"/>
              <w:rPr>
                <w:rFonts w:eastAsia="MS UI Gothic" w:cs="Tahoma"/>
                <w:color w:val="000000"/>
                <w:szCs w:val="18"/>
              </w:rPr>
            </w:pPr>
            <w:r w:rsidRPr="0058047D">
              <w:rPr>
                <w:rFonts w:ascii="Segoe UI Symbol" w:eastAsia="MS UI Gothic" w:hAnsi="Segoe UI Symbol" w:cs="Segoe UI Symbol"/>
                <w:color w:val="000000"/>
                <w:szCs w:val="18"/>
              </w:rPr>
              <w:t>✓</w:t>
            </w:r>
          </w:p>
        </w:tc>
        <w:tc>
          <w:tcPr>
            <w:tcW w:w="2269" w:type="dxa"/>
            <w:vAlign w:val="center"/>
          </w:tcPr>
          <w:p w14:paraId="58283905" w14:textId="77777777" w:rsidR="00BA5266" w:rsidRPr="0058047D" w:rsidRDefault="00BA5266" w:rsidP="00D629A3">
            <w:pPr>
              <w:jc w:val="center"/>
              <w:rPr>
                <w:rFonts w:eastAsia="MS UI Gothic" w:cs="Tahoma"/>
                <w:szCs w:val="18"/>
              </w:rPr>
            </w:pPr>
            <w:r w:rsidRPr="0058047D">
              <w:rPr>
                <w:rFonts w:ascii="Segoe UI Symbol" w:eastAsia="MS UI Gothic" w:hAnsi="Segoe UI Symbol" w:cs="Segoe UI Symbol"/>
                <w:color w:val="000000"/>
                <w:szCs w:val="18"/>
              </w:rPr>
              <w:t>✓</w:t>
            </w:r>
          </w:p>
        </w:tc>
      </w:tr>
      <w:tr w:rsidR="00BA5266" w:rsidRPr="0058047D" w14:paraId="35063CEE" w14:textId="77777777" w:rsidTr="00D629A3">
        <w:tc>
          <w:tcPr>
            <w:tcW w:w="2555" w:type="dxa"/>
            <w:vAlign w:val="center"/>
          </w:tcPr>
          <w:p w14:paraId="68812625" w14:textId="77777777" w:rsidR="00BA5266" w:rsidRPr="003F471F" w:rsidRDefault="00BA5266" w:rsidP="00D629A3">
            <w:pPr>
              <w:rPr>
                <w:rFonts w:cs="Tahoma"/>
                <w:color w:val="000000"/>
                <w:szCs w:val="18"/>
                <w:lang w:val="it-IT"/>
              </w:rPr>
            </w:pPr>
            <w:r w:rsidRPr="003F471F">
              <w:rPr>
                <w:rFonts w:cs="Tahoma"/>
                <w:color w:val="000000"/>
                <w:szCs w:val="18"/>
                <w:lang w:val="it-IT"/>
              </w:rPr>
              <w:t xml:space="preserve">Componente Aggiuntivo di </w:t>
            </w:r>
            <w:r w:rsidRPr="003F471F">
              <w:rPr>
                <w:rFonts w:cs="Tahoma"/>
                <w:color w:val="000000"/>
                <w:szCs w:val="18"/>
                <w:lang w:val="it-IT"/>
              </w:rPr>
              <w:br/>
              <w:t>Enterprise Strategy</w:t>
            </w:r>
          </w:p>
        </w:tc>
        <w:tc>
          <w:tcPr>
            <w:tcW w:w="2268" w:type="dxa"/>
            <w:vAlign w:val="center"/>
          </w:tcPr>
          <w:p w14:paraId="3DA13F6B" w14:textId="77777777" w:rsidR="00BA5266" w:rsidRPr="0058047D" w:rsidRDefault="00BA5266" w:rsidP="00D629A3">
            <w:pPr>
              <w:jc w:val="center"/>
              <w:rPr>
                <w:rFonts w:eastAsia="MS UI Gothic" w:cs="Tahoma"/>
                <w:color w:val="000000"/>
                <w:szCs w:val="18"/>
              </w:rPr>
            </w:pPr>
            <w:r w:rsidRPr="0058047D">
              <w:rPr>
                <w:rFonts w:cs="Tahoma"/>
                <w:color w:val="000000"/>
                <w:szCs w:val="18"/>
              </w:rPr>
              <w:t>200 ore</w:t>
            </w:r>
          </w:p>
        </w:tc>
        <w:tc>
          <w:tcPr>
            <w:tcW w:w="2268" w:type="dxa"/>
            <w:vAlign w:val="center"/>
          </w:tcPr>
          <w:p w14:paraId="6E0ACDE0" w14:textId="77777777" w:rsidR="00BA5266" w:rsidRPr="0058047D" w:rsidRDefault="00BA5266" w:rsidP="00D629A3">
            <w:pPr>
              <w:jc w:val="center"/>
              <w:rPr>
                <w:rFonts w:eastAsia="MS UI Gothic" w:cs="Tahoma"/>
                <w:color w:val="000000"/>
                <w:szCs w:val="18"/>
              </w:rPr>
            </w:pPr>
            <w:r w:rsidRPr="0058047D">
              <w:rPr>
                <w:rFonts w:cs="Tahoma"/>
                <w:color w:val="000000"/>
                <w:szCs w:val="18"/>
              </w:rPr>
              <w:t>200 ore</w:t>
            </w:r>
          </w:p>
        </w:tc>
        <w:tc>
          <w:tcPr>
            <w:tcW w:w="2269" w:type="dxa"/>
            <w:vAlign w:val="center"/>
          </w:tcPr>
          <w:p w14:paraId="2F88FAB2" w14:textId="77777777" w:rsidR="00BA5266" w:rsidRPr="0058047D" w:rsidRDefault="00BA5266" w:rsidP="00D629A3">
            <w:pPr>
              <w:jc w:val="center"/>
              <w:rPr>
                <w:rFonts w:eastAsia="MS UI Gothic" w:cs="Tahoma"/>
                <w:szCs w:val="18"/>
              </w:rPr>
            </w:pPr>
            <w:r w:rsidRPr="0058047D">
              <w:rPr>
                <w:rFonts w:cs="Tahoma"/>
                <w:color w:val="000000"/>
                <w:szCs w:val="18"/>
              </w:rPr>
              <w:t>200 ore</w:t>
            </w:r>
          </w:p>
        </w:tc>
      </w:tr>
    </w:tbl>
    <w:p w14:paraId="4B5C4E20" w14:textId="77777777" w:rsidR="00700477" w:rsidRPr="00E914AA" w:rsidRDefault="00700477" w:rsidP="00700477">
      <w:pPr>
        <w:rPr>
          <w:rFonts w:eastAsia="Times New Roman" w:cs="Tahoma"/>
          <w:i/>
          <w:sz w:val="16"/>
          <w:szCs w:val="20"/>
        </w:rPr>
      </w:pPr>
    </w:p>
    <w:p w14:paraId="2F2E0F65" w14:textId="77777777" w:rsidR="00700477" w:rsidRPr="00E914AA" w:rsidRDefault="00700477" w:rsidP="00700477">
      <w:pPr>
        <w:rPr>
          <w:rFonts w:cs="Tahoma"/>
          <w:i/>
          <w:color w:val="000000"/>
          <w:sz w:val="16"/>
          <w:szCs w:val="16"/>
        </w:rPr>
      </w:pPr>
    </w:p>
    <w:p w14:paraId="15117381" w14:textId="77777777" w:rsidR="00BA5266" w:rsidRPr="0058047D" w:rsidRDefault="00BA5266" w:rsidP="00BA5266">
      <w:pPr>
        <w:spacing w:after="60"/>
      </w:pPr>
      <w:r w:rsidRPr="0058047D">
        <w:rPr>
          <w:rFonts w:cs="Tahoma"/>
          <w:b/>
        </w:rPr>
        <w:t xml:space="preserve">Enterprise Architect: </w:t>
      </w:r>
    </w:p>
    <w:p w14:paraId="5988DF39" w14:textId="77777777" w:rsidR="00BA5266" w:rsidRPr="003F471F" w:rsidRDefault="00BA5266" w:rsidP="00BA5266">
      <w:pPr>
        <w:numPr>
          <w:ilvl w:val="0"/>
          <w:numId w:val="75"/>
        </w:numPr>
        <w:spacing w:after="60"/>
        <w:ind w:left="630"/>
        <w:contextualSpacing/>
        <w:rPr>
          <w:lang w:val="it-IT"/>
        </w:rPr>
      </w:pPr>
      <w:r w:rsidRPr="003F471F">
        <w:rPr>
          <w:rFonts w:eastAsia="Times New Roman" w:cs="Tahoma"/>
          <w:szCs w:val="20"/>
          <w:lang w:val="it-IT"/>
        </w:rPr>
        <w:t xml:space="preserve">lavora a stretto contatto con la Società per sviluppare </w:t>
      </w:r>
      <w:r w:rsidRPr="003F471F">
        <w:rPr>
          <w:rFonts w:cs="Tahoma"/>
          <w:lang w:val="it-IT"/>
        </w:rPr>
        <w:t xml:space="preserve">e fornire un Piano di Erogazione dei Servizi nel quale verranno definiti obiettivi e milestone e verranno stabiliti processi, dati e regole che consentiranno di tenere traccia dei progressi conseguiti; </w:t>
      </w:r>
    </w:p>
    <w:p w14:paraId="72E872DC" w14:textId="77777777" w:rsidR="00BA5266" w:rsidRPr="003F471F" w:rsidRDefault="00BA5266" w:rsidP="00BA5266">
      <w:pPr>
        <w:numPr>
          <w:ilvl w:val="0"/>
          <w:numId w:val="75"/>
        </w:numPr>
        <w:spacing w:after="60"/>
        <w:ind w:left="630"/>
        <w:contextualSpacing/>
        <w:rPr>
          <w:lang w:val="it-IT"/>
        </w:rPr>
      </w:pPr>
      <w:r w:rsidRPr="003F471F">
        <w:rPr>
          <w:rFonts w:cs="Tahoma"/>
          <w:lang w:val="it-IT"/>
        </w:rPr>
        <w:t>presenta inoltre aggiornamenti mensili dello stato relativi ai progressi conseguiti rispetto al piano prestabilito;</w:t>
      </w:r>
    </w:p>
    <w:p w14:paraId="5A8B4400" w14:textId="77777777" w:rsidR="00BA5266" w:rsidRPr="003F471F" w:rsidRDefault="00BA5266" w:rsidP="00BA5266">
      <w:pPr>
        <w:numPr>
          <w:ilvl w:val="0"/>
          <w:numId w:val="75"/>
        </w:numPr>
        <w:spacing w:after="60"/>
        <w:ind w:left="630"/>
        <w:contextualSpacing/>
        <w:rPr>
          <w:lang w:val="it-IT"/>
        </w:rPr>
      </w:pPr>
      <w:r w:rsidRPr="003F471F">
        <w:rPr>
          <w:rFonts w:cs="Tahoma"/>
          <w:lang w:val="it-IT"/>
        </w:rPr>
        <w:t>gestisce la consegna complementare delle risorse Microsoft (Enterprise Strategy Network ed Enterprise Service Delivery Team).</w:t>
      </w:r>
    </w:p>
    <w:p w14:paraId="2BBCAB5D" w14:textId="77777777" w:rsidR="00BA5266" w:rsidRPr="003F471F" w:rsidRDefault="00BA5266" w:rsidP="00BA5266">
      <w:pPr>
        <w:spacing w:after="60"/>
        <w:rPr>
          <w:lang w:val="it-IT"/>
        </w:rPr>
      </w:pPr>
    </w:p>
    <w:p w14:paraId="0006CFD4" w14:textId="77777777" w:rsidR="00BA5266" w:rsidRPr="0058047D" w:rsidRDefault="00BA5266" w:rsidP="00BA5266">
      <w:r w:rsidRPr="0058047D">
        <w:rPr>
          <w:rFonts w:cs="Tahoma"/>
          <w:b/>
          <w:szCs w:val="18"/>
        </w:rPr>
        <w:t>L</w:t>
      </w:r>
      <w:r w:rsidR="001C4212">
        <w:rPr>
          <w:rFonts w:cs="Tahoma"/>
          <w:b/>
          <w:szCs w:val="18"/>
        </w:rPr>
        <w:t>’</w:t>
      </w:r>
      <w:r w:rsidRPr="0058047D">
        <w:rPr>
          <w:rFonts w:cs="Tahoma"/>
          <w:b/>
          <w:szCs w:val="18"/>
        </w:rPr>
        <w:t>Enterprise Service Delivery Team:</w:t>
      </w:r>
      <w:r w:rsidRPr="0058047D">
        <w:rPr>
          <w:rFonts w:cs="Tahoma"/>
          <w:szCs w:val="18"/>
        </w:rPr>
        <w:t xml:space="preserve"> </w:t>
      </w:r>
    </w:p>
    <w:p w14:paraId="205F9E9B" w14:textId="77777777" w:rsidR="00BA5266" w:rsidRPr="003F471F" w:rsidRDefault="00BA5266" w:rsidP="00BA5266">
      <w:pPr>
        <w:numPr>
          <w:ilvl w:val="0"/>
          <w:numId w:val="75"/>
        </w:numPr>
        <w:spacing w:after="60"/>
        <w:ind w:left="630"/>
        <w:contextualSpacing/>
        <w:rPr>
          <w:lang w:val="it-IT"/>
        </w:rPr>
      </w:pPr>
      <w:r w:rsidRPr="003F471F">
        <w:rPr>
          <w:rFonts w:eastAsia="Times New Roman" w:cs="Tahoma"/>
          <w:szCs w:val="20"/>
          <w:lang w:val="it-IT"/>
        </w:rPr>
        <w:t xml:space="preserve">include risorse dei Servizi Microsoft </w:t>
      </w:r>
      <w:r w:rsidRPr="003F471F">
        <w:rPr>
          <w:lang w:val="it-IT"/>
        </w:rPr>
        <w:t>e dei Centri Servizi di Eccellenza (Services Centers of Excellence o CoEs)</w:t>
      </w:r>
      <w:r w:rsidRPr="003F471F">
        <w:rPr>
          <w:rFonts w:eastAsia="Times New Roman" w:cs="Tahoma"/>
          <w:szCs w:val="20"/>
          <w:lang w:val="it-IT"/>
        </w:rPr>
        <w:t>;</w:t>
      </w:r>
    </w:p>
    <w:p w14:paraId="0F5468B2" w14:textId="77777777" w:rsidR="00BA5266" w:rsidRPr="003F471F" w:rsidRDefault="00BA5266" w:rsidP="00BA5266">
      <w:pPr>
        <w:numPr>
          <w:ilvl w:val="0"/>
          <w:numId w:val="75"/>
        </w:numPr>
        <w:spacing w:after="60"/>
        <w:ind w:left="630"/>
        <w:contextualSpacing/>
        <w:rPr>
          <w:lang w:val="it-IT"/>
        </w:rPr>
      </w:pPr>
      <w:r w:rsidRPr="003F471F">
        <w:rPr>
          <w:rFonts w:eastAsia="Times New Roman" w:cs="Tahoma"/>
          <w:szCs w:val="20"/>
          <w:lang w:val="it-IT"/>
        </w:rPr>
        <w:t>supporta gli Enterprise Architect con competenze specifiche;</w:t>
      </w:r>
    </w:p>
    <w:p w14:paraId="3441213F" w14:textId="77777777" w:rsidR="00BA5266" w:rsidRPr="003F471F" w:rsidRDefault="00BA5266" w:rsidP="00BA5266">
      <w:pPr>
        <w:numPr>
          <w:ilvl w:val="0"/>
          <w:numId w:val="75"/>
        </w:numPr>
        <w:spacing w:after="60"/>
        <w:ind w:left="630"/>
        <w:contextualSpacing/>
        <w:rPr>
          <w:lang w:val="it-IT"/>
        </w:rPr>
      </w:pPr>
      <w:r w:rsidRPr="003F471F">
        <w:rPr>
          <w:rFonts w:eastAsia="Times New Roman" w:cs="Tahoma"/>
          <w:szCs w:val="20"/>
          <w:lang w:val="it-IT"/>
        </w:rPr>
        <w:t>fornisce alla Società procedure appropriate, indicazioni specifiche su determinate tecnologie di Microsoft e architetture di riferimento.</w:t>
      </w:r>
      <w:r w:rsidRPr="003F471F">
        <w:rPr>
          <w:lang w:val="it-IT"/>
        </w:rPr>
        <w:t xml:space="preserve"> </w:t>
      </w:r>
    </w:p>
    <w:p w14:paraId="41A54AA6" w14:textId="77777777" w:rsidR="00BA5266" w:rsidRPr="003F471F" w:rsidRDefault="00BA5266" w:rsidP="00BA5266">
      <w:pPr>
        <w:spacing w:after="60"/>
        <w:ind w:left="630"/>
        <w:contextualSpacing/>
        <w:rPr>
          <w:lang w:val="it-IT"/>
        </w:rPr>
      </w:pPr>
    </w:p>
    <w:p w14:paraId="7D2D9732" w14:textId="77777777" w:rsidR="00BA5266" w:rsidRPr="003F471F" w:rsidRDefault="00BA5266" w:rsidP="00BA5266">
      <w:pPr>
        <w:rPr>
          <w:lang w:val="it-IT"/>
        </w:rPr>
      </w:pPr>
      <w:r w:rsidRPr="003F471F">
        <w:rPr>
          <w:rFonts w:cs="Tahoma"/>
          <w:b/>
          <w:bCs/>
          <w:color w:val="000000"/>
          <w:szCs w:val="18"/>
          <w:lang w:val="it-IT"/>
        </w:rPr>
        <w:t xml:space="preserve">Piano di Erogazione dei Servizi (SDP): </w:t>
      </w:r>
      <w:r w:rsidRPr="003F471F">
        <w:rPr>
          <w:rFonts w:cs="Tahoma"/>
          <w:bCs/>
          <w:color w:val="000000"/>
          <w:szCs w:val="18"/>
          <w:lang w:val="it-IT"/>
        </w:rPr>
        <w:t>Un documento di pianificazione aggiornato di frequente scritto dall</w:t>
      </w:r>
      <w:r w:rsidR="001C4212" w:rsidRPr="003F471F">
        <w:rPr>
          <w:rFonts w:cs="Tahoma"/>
          <w:bCs/>
          <w:color w:val="000000"/>
          <w:szCs w:val="18"/>
          <w:lang w:val="it-IT"/>
        </w:rPr>
        <w:t>’</w:t>
      </w:r>
      <w:r w:rsidRPr="003F471F">
        <w:rPr>
          <w:rFonts w:cs="Tahoma"/>
          <w:bCs/>
          <w:color w:val="000000"/>
          <w:szCs w:val="18"/>
          <w:lang w:val="it-IT"/>
        </w:rPr>
        <w:t>Enterprise Architect con la consulenza del Customer Executive Sponsor (o loro delegato), che ha lo scopo di servire da spiegazione generale del processo di erogazione dei Servizi, inclusi i dettagli circa lo scopo dell</w:t>
      </w:r>
      <w:r w:rsidR="001C4212" w:rsidRPr="003F471F">
        <w:rPr>
          <w:rFonts w:cs="Tahoma"/>
          <w:bCs/>
          <w:color w:val="000000"/>
          <w:szCs w:val="18"/>
          <w:lang w:val="it-IT"/>
        </w:rPr>
        <w:t>’</w:t>
      </w:r>
      <w:r w:rsidRPr="003F471F">
        <w:rPr>
          <w:rFonts w:cs="Tahoma"/>
          <w:bCs/>
          <w:color w:val="000000"/>
          <w:szCs w:val="18"/>
          <w:lang w:val="it-IT"/>
        </w:rPr>
        <w:t>iniziativa, la</w:t>
      </w:r>
      <w:r w:rsidR="00700477" w:rsidRPr="003F471F">
        <w:rPr>
          <w:rFonts w:cs="Tahoma"/>
          <w:bCs/>
          <w:color w:val="000000"/>
          <w:szCs w:val="18"/>
          <w:lang w:val="it-IT"/>
        </w:rPr>
        <w:t> </w:t>
      </w:r>
      <w:r w:rsidRPr="003F471F">
        <w:rPr>
          <w:rFonts w:cs="Tahoma"/>
          <w:bCs/>
          <w:color w:val="000000"/>
          <w:szCs w:val="18"/>
          <w:lang w:val="it-IT"/>
        </w:rPr>
        <w:t>pianificazione prevista dell</w:t>
      </w:r>
      <w:r w:rsidR="001C4212" w:rsidRPr="003F471F">
        <w:rPr>
          <w:rFonts w:cs="Tahoma"/>
          <w:bCs/>
          <w:color w:val="000000"/>
          <w:szCs w:val="18"/>
          <w:lang w:val="it-IT"/>
        </w:rPr>
        <w:t>’</w:t>
      </w:r>
      <w:r w:rsidRPr="003F471F">
        <w:rPr>
          <w:rFonts w:cs="Tahoma"/>
          <w:bCs/>
          <w:color w:val="000000"/>
          <w:szCs w:val="18"/>
          <w:lang w:val="it-IT"/>
        </w:rPr>
        <w:t>erogazione, i requisiti delle risorse, i ruoli e le responsabilità e il processo di gestione dell</w:t>
      </w:r>
      <w:r w:rsidR="001C4212" w:rsidRPr="003F471F">
        <w:rPr>
          <w:rFonts w:cs="Tahoma"/>
          <w:bCs/>
          <w:color w:val="000000"/>
          <w:szCs w:val="18"/>
          <w:lang w:val="it-IT"/>
        </w:rPr>
        <w:t>’</w:t>
      </w:r>
      <w:r w:rsidRPr="003F471F">
        <w:rPr>
          <w:rFonts w:cs="Tahoma"/>
          <w:bCs/>
          <w:color w:val="000000"/>
          <w:szCs w:val="18"/>
          <w:lang w:val="it-IT"/>
        </w:rPr>
        <w:t>implementazione.</w:t>
      </w:r>
      <w:r w:rsidR="00E34ED3" w:rsidRPr="003F471F">
        <w:rPr>
          <w:rFonts w:cs="Tahoma"/>
          <w:bCs/>
          <w:color w:val="000000"/>
          <w:szCs w:val="18"/>
          <w:lang w:val="it-IT"/>
        </w:rPr>
        <w:t xml:space="preserve"> </w:t>
      </w:r>
      <w:r w:rsidRPr="003F471F">
        <w:rPr>
          <w:rFonts w:cs="Tahoma"/>
          <w:bCs/>
          <w:color w:val="000000"/>
          <w:szCs w:val="18"/>
          <w:lang w:val="it-IT"/>
        </w:rPr>
        <w:br/>
      </w:r>
      <w:r w:rsidRPr="003F471F">
        <w:rPr>
          <w:rFonts w:cs="Tahoma"/>
          <w:bCs/>
          <w:color w:val="000000"/>
          <w:szCs w:val="18"/>
          <w:lang w:val="it-IT"/>
        </w:rPr>
        <w:br/>
        <w:t>Nell</w:t>
      </w:r>
      <w:r w:rsidR="001C4212" w:rsidRPr="003F471F">
        <w:rPr>
          <w:rFonts w:cs="Tahoma"/>
          <w:bCs/>
          <w:color w:val="000000"/>
          <w:szCs w:val="18"/>
          <w:lang w:val="it-IT"/>
        </w:rPr>
        <w:t>’</w:t>
      </w:r>
      <w:r w:rsidRPr="003F471F">
        <w:rPr>
          <w:rFonts w:cs="Tahoma"/>
          <w:bCs/>
          <w:color w:val="000000"/>
          <w:szCs w:val="18"/>
          <w:lang w:val="it-IT"/>
        </w:rPr>
        <w:t>SDP verranno inclusi anche consigli importanti del programma Enterprise Strategy che richiederà ulteriore collaborazione con l</w:t>
      </w:r>
      <w:r w:rsidR="001C4212" w:rsidRPr="003F471F">
        <w:rPr>
          <w:rFonts w:cs="Tahoma"/>
          <w:bCs/>
          <w:color w:val="000000"/>
          <w:szCs w:val="18"/>
          <w:lang w:val="it-IT"/>
        </w:rPr>
        <w:t>’</w:t>
      </w:r>
      <w:r w:rsidRPr="003F471F">
        <w:rPr>
          <w:rFonts w:cs="Tahoma"/>
          <w:bCs/>
          <w:color w:val="000000"/>
          <w:szCs w:val="18"/>
          <w:lang w:val="it-IT"/>
        </w:rPr>
        <w:t>Enterprise Architect o altre risorse per raggiungere i risultati desiderati.</w:t>
      </w:r>
      <w:r w:rsidR="00E34ED3" w:rsidRPr="003F471F">
        <w:rPr>
          <w:rFonts w:cs="Tahoma"/>
          <w:bCs/>
          <w:color w:val="000000"/>
          <w:szCs w:val="18"/>
          <w:lang w:val="it-IT"/>
        </w:rPr>
        <w:t xml:space="preserve"> </w:t>
      </w:r>
      <w:r w:rsidRPr="003F471F">
        <w:rPr>
          <w:rFonts w:cs="Tahoma"/>
          <w:bCs/>
          <w:color w:val="000000"/>
          <w:szCs w:val="18"/>
          <w:lang w:val="it-IT"/>
        </w:rPr>
        <w:t>Le tempistiche, le date e</w:t>
      </w:r>
      <w:r w:rsidR="00700477" w:rsidRPr="003F471F">
        <w:rPr>
          <w:rFonts w:cs="Tahoma"/>
          <w:bCs/>
          <w:color w:val="000000"/>
          <w:szCs w:val="18"/>
          <w:lang w:val="it-IT"/>
        </w:rPr>
        <w:t> </w:t>
      </w:r>
      <w:r w:rsidRPr="003F471F">
        <w:rPr>
          <w:rFonts w:cs="Tahoma"/>
          <w:bCs/>
          <w:color w:val="000000"/>
          <w:szCs w:val="18"/>
          <w:lang w:val="it-IT"/>
        </w:rPr>
        <w:t>i</w:t>
      </w:r>
      <w:r w:rsidR="00700477" w:rsidRPr="003F471F">
        <w:rPr>
          <w:rFonts w:cs="Tahoma"/>
          <w:bCs/>
          <w:color w:val="000000"/>
          <w:szCs w:val="18"/>
          <w:lang w:val="it-IT"/>
        </w:rPr>
        <w:t> </w:t>
      </w:r>
      <w:r w:rsidRPr="003F471F">
        <w:rPr>
          <w:rFonts w:cs="Tahoma"/>
          <w:bCs/>
          <w:color w:val="000000"/>
          <w:szCs w:val="18"/>
          <w:lang w:val="it-IT"/>
        </w:rPr>
        <w:t>piani di consegna nell</w:t>
      </w:r>
      <w:r w:rsidR="001C4212" w:rsidRPr="003F471F">
        <w:rPr>
          <w:rFonts w:cs="Tahoma"/>
          <w:bCs/>
          <w:color w:val="000000"/>
          <w:szCs w:val="18"/>
          <w:lang w:val="it-IT"/>
        </w:rPr>
        <w:t>’</w:t>
      </w:r>
      <w:r w:rsidRPr="003F471F">
        <w:rPr>
          <w:rFonts w:cs="Tahoma"/>
          <w:bCs/>
          <w:color w:val="000000"/>
          <w:szCs w:val="18"/>
          <w:lang w:val="it-IT"/>
        </w:rPr>
        <w:t>SDP sono semplici stime e potranno variare sulla base del programma.</w:t>
      </w:r>
    </w:p>
    <w:p w14:paraId="590E51A6" w14:textId="77777777" w:rsidR="00BA5266" w:rsidRPr="003F471F" w:rsidRDefault="00BA5266" w:rsidP="00BA5266">
      <w:pPr>
        <w:rPr>
          <w:lang w:val="it-IT"/>
        </w:rPr>
      </w:pPr>
    </w:p>
    <w:p w14:paraId="155F2A25" w14:textId="77777777" w:rsidR="00BA5266" w:rsidRPr="003F471F" w:rsidRDefault="00BA5266" w:rsidP="00BA5266">
      <w:pPr>
        <w:rPr>
          <w:lang w:val="it-IT"/>
        </w:rPr>
      </w:pPr>
      <w:r w:rsidRPr="003F471F">
        <w:rPr>
          <w:rFonts w:eastAsia="Arial" w:cs="Tahoma"/>
          <w:b/>
          <w:sz w:val="22"/>
          <w:szCs w:val="18"/>
          <w:lang w:val="it-IT"/>
        </w:rPr>
        <w:t>Vantaggi del Programma</w:t>
      </w:r>
    </w:p>
    <w:p w14:paraId="7EE082F0" w14:textId="77777777" w:rsidR="00BA5266" w:rsidRPr="003F471F" w:rsidRDefault="00BA5266" w:rsidP="00BA5266">
      <w:pPr>
        <w:rPr>
          <w:lang w:val="it-IT"/>
        </w:rPr>
      </w:pPr>
    </w:p>
    <w:p w14:paraId="060C258E" w14:textId="77777777" w:rsidR="00BA5266" w:rsidRPr="003F471F" w:rsidRDefault="00BA5266" w:rsidP="00BA5266">
      <w:pPr>
        <w:spacing w:after="120"/>
        <w:rPr>
          <w:lang w:val="it-IT"/>
        </w:rPr>
      </w:pPr>
      <w:r w:rsidRPr="003F471F">
        <w:rPr>
          <w:rFonts w:eastAsia="Arial" w:cs="Tahoma"/>
          <w:szCs w:val="19"/>
          <w:lang w:val="it-IT"/>
        </w:rPr>
        <w:t xml:space="preserve">La partecipazione al programma consente di usufruire dei vantaggi seguenti: </w:t>
      </w:r>
    </w:p>
    <w:p w14:paraId="1B096F83" w14:textId="77777777" w:rsidR="00BA5266" w:rsidRPr="003F471F" w:rsidRDefault="00BA5266" w:rsidP="00BA5266">
      <w:pPr>
        <w:pStyle w:val="ListParagraph"/>
        <w:numPr>
          <w:ilvl w:val="0"/>
          <w:numId w:val="146"/>
        </w:numPr>
        <w:spacing w:after="240"/>
        <w:rPr>
          <w:sz w:val="18"/>
          <w:szCs w:val="18"/>
          <w:lang w:val="it-IT"/>
        </w:rPr>
      </w:pPr>
      <w:bookmarkStart w:id="910" w:name="EnterpriseStrategyLibrary"/>
      <w:r w:rsidRPr="003F471F">
        <w:rPr>
          <w:rFonts w:ascii="Tahoma" w:hAnsi="Tahoma" w:cs="Tahoma"/>
          <w:b/>
          <w:bCs/>
          <w:color w:val="000000"/>
          <w:sz w:val="18"/>
          <w:szCs w:val="18"/>
          <w:lang w:val="it-IT"/>
        </w:rPr>
        <w:t xml:space="preserve">Enterprise Strategy Network: </w:t>
      </w:r>
      <w:r w:rsidRPr="003F471F">
        <w:rPr>
          <w:rFonts w:ascii="Tahoma" w:hAnsi="Tahoma" w:cs="Tahoma"/>
          <w:bCs/>
          <w:color w:val="000000"/>
          <w:sz w:val="18"/>
          <w:szCs w:val="18"/>
          <w:lang w:val="it-IT"/>
        </w:rPr>
        <w:t xml:space="preserve">connessione integrale ai team di ricerca e sviluppo di Microsoft e agli esperti con competenze specifiche di ogni reparto di Microsoft </w:t>
      </w:r>
    </w:p>
    <w:p w14:paraId="5407AD89" w14:textId="77777777" w:rsidR="00BA5266" w:rsidRPr="003F471F" w:rsidRDefault="00BA5266" w:rsidP="00BA5266">
      <w:pPr>
        <w:pStyle w:val="ListParagraph"/>
        <w:numPr>
          <w:ilvl w:val="0"/>
          <w:numId w:val="146"/>
        </w:numPr>
        <w:rPr>
          <w:sz w:val="18"/>
          <w:szCs w:val="18"/>
          <w:lang w:val="it-IT"/>
        </w:rPr>
      </w:pPr>
      <w:r w:rsidRPr="003F471F">
        <w:rPr>
          <w:rFonts w:ascii="Tahoma" w:hAnsi="Tahoma" w:cs="Tahoma"/>
          <w:b/>
          <w:bCs/>
          <w:color w:val="000000"/>
          <w:sz w:val="18"/>
          <w:szCs w:val="18"/>
          <w:lang w:val="it-IT"/>
        </w:rPr>
        <w:t>Enterprise Strategy Library</w:t>
      </w:r>
      <w:bookmarkEnd w:id="910"/>
      <w:r w:rsidRPr="003F471F">
        <w:rPr>
          <w:rFonts w:ascii="Tahoma" w:hAnsi="Tahoma" w:cs="Tahoma"/>
          <w:b/>
          <w:bCs/>
          <w:color w:val="000000"/>
          <w:sz w:val="18"/>
          <w:szCs w:val="18"/>
          <w:lang w:val="it-IT"/>
        </w:rPr>
        <w:t xml:space="preserve">: </w:t>
      </w:r>
      <w:r w:rsidRPr="003F471F">
        <w:rPr>
          <w:rFonts w:ascii="Tahoma" w:hAnsi="Tahoma" w:cs="Tahoma"/>
          <w:bCs/>
          <w:color w:val="000000"/>
          <w:sz w:val="18"/>
          <w:szCs w:val="18"/>
          <w:lang w:val="it-IT"/>
        </w:rPr>
        <w:t>ampia raccolta di materiale, inclusi gli strumenti per gli approfondimenti del settore e le prove comparative e i modelli e i metodi di riferimento e di architettura aziendale e tecnologica.</w:t>
      </w:r>
    </w:p>
    <w:p w14:paraId="45993C68" w14:textId="77777777" w:rsidR="00BA5266" w:rsidRPr="003F471F" w:rsidRDefault="00BA5266" w:rsidP="00BA5266">
      <w:pPr>
        <w:spacing w:after="120"/>
        <w:rPr>
          <w:lang w:val="it-IT"/>
        </w:rPr>
      </w:pPr>
    </w:p>
    <w:p w14:paraId="22AF413E" w14:textId="77777777" w:rsidR="00BA5266" w:rsidRPr="003F471F" w:rsidRDefault="00BA5266" w:rsidP="00BA5266">
      <w:pPr>
        <w:spacing w:after="120"/>
        <w:rPr>
          <w:lang w:val="it-IT"/>
        </w:rPr>
      </w:pPr>
      <w:r w:rsidRPr="003F471F">
        <w:rPr>
          <w:rFonts w:cs="Tahoma"/>
          <w:b/>
          <w:color w:val="000000"/>
          <w:sz w:val="22"/>
          <w:szCs w:val="18"/>
          <w:lang w:val="it-IT"/>
        </w:rPr>
        <w:t>Moduli del Servizio Enterprise Strategy</w:t>
      </w:r>
    </w:p>
    <w:p w14:paraId="3866AABC" w14:textId="77777777" w:rsidR="00BA5266" w:rsidRPr="003F471F" w:rsidRDefault="00BA5266" w:rsidP="00BA5266">
      <w:pPr>
        <w:spacing w:before="240" w:after="240" w:line="240" w:lineRule="atLeast"/>
        <w:rPr>
          <w:lang w:val="it-IT"/>
        </w:rPr>
      </w:pPr>
      <w:r w:rsidRPr="003F471F">
        <w:rPr>
          <w:rFonts w:cs="Tahoma"/>
          <w:szCs w:val="18"/>
          <w:lang w:val="it-IT"/>
        </w:rPr>
        <w:t>Il programma Enterprise Strategy</w:t>
      </w:r>
      <w:r w:rsidRPr="003F471F">
        <w:rPr>
          <w:rFonts w:cs="Tahoma"/>
          <w:b/>
          <w:szCs w:val="18"/>
          <w:lang w:val="it-IT"/>
        </w:rPr>
        <w:t xml:space="preserve"> </w:t>
      </w:r>
      <w:r w:rsidRPr="003F471F">
        <w:rPr>
          <w:rFonts w:cs="Tahoma"/>
          <w:szCs w:val="18"/>
          <w:lang w:val="it-IT"/>
        </w:rPr>
        <w:t>include uno o più dei seguenti moduli del servizio Enterprise Strategy, come</w:t>
      </w:r>
      <w:r w:rsidR="00700477" w:rsidRPr="003F471F">
        <w:rPr>
          <w:rFonts w:cs="Tahoma"/>
          <w:szCs w:val="18"/>
          <w:lang w:val="it-IT"/>
        </w:rPr>
        <w:t> </w:t>
      </w:r>
      <w:r w:rsidRPr="003F471F">
        <w:rPr>
          <w:rFonts w:cs="Tahoma"/>
          <w:szCs w:val="18"/>
          <w:lang w:val="it-IT"/>
        </w:rPr>
        <w:t>documentato nel Piano di Erogazione dei Servizi:</w:t>
      </w:r>
    </w:p>
    <w:p w14:paraId="55B0C583" w14:textId="77777777" w:rsidR="00BA5266" w:rsidRPr="003F471F" w:rsidRDefault="00BA5266" w:rsidP="00BA5266">
      <w:pPr>
        <w:numPr>
          <w:ilvl w:val="0"/>
          <w:numId w:val="145"/>
        </w:numPr>
        <w:rPr>
          <w:lang w:val="it-IT"/>
        </w:rPr>
      </w:pPr>
      <w:r w:rsidRPr="003F471F">
        <w:rPr>
          <w:rFonts w:cs="Tahoma"/>
          <w:b/>
          <w:szCs w:val="18"/>
          <w:lang w:val="it-IT"/>
        </w:rPr>
        <w:t xml:space="preserve">Seminario Value Discovery: </w:t>
      </w:r>
      <w:r w:rsidRPr="003F471F">
        <w:rPr>
          <w:rFonts w:cs="Tahoma"/>
          <w:szCs w:val="18"/>
          <w:lang w:val="it-IT"/>
        </w:rPr>
        <w:t>seminario studiato per aiutare le parti interessate dell</w:t>
      </w:r>
      <w:r w:rsidR="001C4212" w:rsidRPr="003F471F">
        <w:rPr>
          <w:rFonts w:cs="Tahoma"/>
          <w:szCs w:val="18"/>
          <w:lang w:val="it-IT"/>
        </w:rPr>
        <w:t>’</w:t>
      </w:r>
      <w:r w:rsidRPr="003F471F">
        <w:rPr>
          <w:rFonts w:cs="Tahoma"/>
          <w:szCs w:val="18"/>
          <w:lang w:val="it-IT"/>
        </w:rPr>
        <w:t>azienda e dell</w:t>
      </w:r>
      <w:r w:rsidR="001C4212" w:rsidRPr="003F471F">
        <w:rPr>
          <w:rFonts w:cs="Tahoma"/>
          <w:szCs w:val="18"/>
          <w:lang w:val="it-IT"/>
        </w:rPr>
        <w:t>’</w:t>
      </w:r>
      <w:r w:rsidRPr="003F471F">
        <w:rPr>
          <w:rFonts w:cs="Tahoma"/>
          <w:szCs w:val="18"/>
          <w:lang w:val="it-IT"/>
        </w:rPr>
        <w:t>IT a</w:t>
      </w:r>
      <w:r w:rsidR="00700477" w:rsidRPr="003F471F">
        <w:rPr>
          <w:rFonts w:cs="Tahoma"/>
          <w:szCs w:val="18"/>
          <w:lang w:val="it-IT"/>
        </w:rPr>
        <w:t> </w:t>
      </w:r>
      <w:r w:rsidRPr="003F471F">
        <w:rPr>
          <w:rFonts w:cs="Tahoma"/>
          <w:szCs w:val="18"/>
          <w:lang w:val="it-IT"/>
        </w:rPr>
        <w:t>sviluppare e produrre un riepilogo delle opportunità e dei rapporti contestuali della società.</w:t>
      </w:r>
    </w:p>
    <w:p w14:paraId="79961CE9" w14:textId="77777777" w:rsidR="00BA5266" w:rsidRPr="003F471F" w:rsidRDefault="00BA5266" w:rsidP="00BA5266">
      <w:pPr>
        <w:numPr>
          <w:ilvl w:val="0"/>
          <w:numId w:val="145"/>
        </w:numPr>
        <w:rPr>
          <w:lang w:val="it-IT"/>
        </w:rPr>
      </w:pPr>
      <w:r w:rsidRPr="003F471F">
        <w:rPr>
          <w:rFonts w:cs="Tahoma"/>
          <w:b/>
          <w:szCs w:val="18"/>
          <w:lang w:val="it-IT"/>
        </w:rPr>
        <w:t>Value Roadmap del Contratto Enterprise:</w:t>
      </w:r>
      <w:r w:rsidRPr="003F471F">
        <w:rPr>
          <w:rFonts w:cs="Tahoma"/>
          <w:szCs w:val="18"/>
          <w:lang w:val="it-IT"/>
        </w:rPr>
        <w:t xml:space="preserve"> roadmap e indicatori di prestazioni chiave (Key Performance Indicator o KPI) per le iniziative correlate che quantificano il valore aziendale dell</w:t>
      </w:r>
      <w:r w:rsidR="001C4212" w:rsidRPr="003F471F">
        <w:rPr>
          <w:rFonts w:cs="Tahoma"/>
          <w:szCs w:val="18"/>
          <w:lang w:val="it-IT"/>
        </w:rPr>
        <w:t>’</w:t>
      </w:r>
      <w:r w:rsidRPr="003F471F">
        <w:rPr>
          <w:rFonts w:cs="Tahoma"/>
          <w:szCs w:val="18"/>
          <w:lang w:val="it-IT"/>
        </w:rPr>
        <w:t>investimento nei servizi e nel software Microsoft, inclusa una serie di consigli per velocizzare la distribuzione e l</w:t>
      </w:r>
      <w:r w:rsidR="001C4212" w:rsidRPr="003F471F">
        <w:rPr>
          <w:rFonts w:cs="Tahoma"/>
          <w:szCs w:val="18"/>
          <w:lang w:val="it-IT"/>
        </w:rPr>
        <w:t>’</w:t>
      </w:r>
      <w:r w:rsidRPr="003F471F">
        <w:rPr>
          <w:rFonts w:cs="Tahoma"/>
          <w:szCs w:val="18"/>
          <w:lang w:val="it-IT"/>
        </w:rPr>
        <w:t>adozione degli investimenti.</w:t>
      </w:r>
    </w:p>
    <w:p w14:paraId="0EE00D2F" w14:textId="77777777" w:rsidR="00700477" w:rsidRPr="003F471F" w:rsidRDefault="00700477" w:rsidP="00700477">
      <w:pPr>
        <w:ind w:left="720"/>
        <w:rPr>
          <w:rFonts w:cs="Tahoma"/>
          <w:b/>
          <w:szCs w:val="18"/>
          <w:lang w:val="it-IT"/>
        </w:rPr>
      </w:pPr>
    </w:p>
    <w:p w14:paraId="44668556" w14:textId="77777777" w:rsidR="00700477" w:rsidRPr="003F471F" w:rsidRDefault="00700477" w:rsidP="00700477">
      <w:pPr>
        <w:ind w:left="720"/>
        <w:rPr>
          <w:lang w:val="it-IT"/>
        </w:rPr>
      </w:pPr>
    </w:p>
    <w:p w14:paraId="2C16161A" w14:textId="77777777" w:rsidR="00BA5266" w:rsidRPr="003F471F" w:rsidRDefault="00BA5266" w:rsidP="00BA5266">
      <w:pPr>
        <w:numPr>
          <w:ilvl w:val="0"/>
          <w:numId w:val="145"/>
        </w:numPr>
        <w:rPr>
          <w:lang w:val="it-IT"/>
        </w:rPr>
      </w:pPr>
      <w:r w:rsidRPr="003F471F">
        <w:rPr>
          <w:rFonts w:cs="Tahoma"/>
          <w:b/>
          <w:szCs w:val="18"/>
          <w:lang w:val="it-IT"/>
        </w:rPr>
        <w:t>Ottimizzazione del Portfolio:</w:t>
      </w:r>
      <w:r w:rsidRPr="003F471F">
        <w:rPr>
          <w:rFonts w:cs="Tahoma"/>
          <w:szCs w:val="18"/>
          <w:lang w:val="it-IT"/>
        </w:rPr>
        <w:t xml:space="preserve"> rapporto che offre una valutazione dei portfolio dell</w:t>
      </w:r>
      <w:r w:rsidR="001C4212" w:rsidRPr="003F471F">
        <w:rPr>
          <w:rFonts w:cs="Tahoma"/>
          <w:szCs w:val="18"/>
          <w:lang w:val="it-IT"/>
        </w:rPr>
        <w:t>’</w:t>
      </w:r>
      <w:r w:rsidRPr="003F471F">
        <w:rPr>
          <w:rFonts w:cs="Tahoma"/>
          <w:szCs w:val="18"/>
          <w:lang w:val="it-IT"/>
        </w:rPr>
        <w:t>azienda e dell</w:t>
      </w:r>
      <w:r w:rsidR="001C4212" w:rsidRPr="003F471F">
        <w:rPr>
          <w:rFonts w:cs="Tahoma"/>
          <w:szCs w:val="18"/>
          <w:lang w:val="it-IT"/>
        </w:rPr>
        <w:t>’</w:t>
      </w:r>
      <w:r w:rsidRPr="003F471F">
        <w:rPr>
          <w:rFonts w:cs="Tahoma"/>
          <w:szCs w:val="18"/>
          <w:lang w:val="it-IT"/>
        </w:rPr>
        <w:t>IT (inclusi i servizi IT, le funzionalità aziendali, le applicazioni, le tecnologie e il portfolio dei programmi/progetti esistenti) e identifica le opportunità per i dispositivi e i servizi Microsoft di razionalizzare portfolio specifici nell</w:t>
      </w:r>
      <w:r w:rsidR="001C4212" w:rsidRPr="003F471F">
        <w:rPr>
          <w:rFonts w:cs="Tahoma"/>
          <w:szCs w:val="18"/>
          <w:lang w:val="it-IT"/>
        </w:rPr>
        <w:t>’</w:t>
      </w:r>
      <w:r w:rsidRPr="003F471F">
        <w:rPr>
          <w:rFonts w:cs="Tahoma"/>
          <w:szCs w:val="18"/>
          <w:lang w:val="it-IT"/>
        </w:rPr>
        <w:t>ambito della strategia aziendale del momento.</w:t>
      </w:r>
    </w:p>
    <w:p w14:paraId="665A9F76" w14:textId="77777777" w:rsidR="00BA5266" w:rsidRPr="003F471F" w:rsidRDefault="00BA5266" w:rsidP="00BA5266">
      <w:pPr>
        <w:numPr>
          <w:ilvl w:val="0"/>
          <w:numId w:val="145"/>
        </w:numPr>
        <w:rPr>
          <w:lang w:val="it-IT"/>
        </w:rPr>
      </w:pPr>
      <w:r w:rsidRPr="003F471F">
        <w:rPr>
          <w:rFonts w:cs="Tahoma"/>
          <w:b/>
          <w:szCs w:val="18"/>
          <w:lang w:val="it-IT"/>
        </w:rPr>
        <w:t>Opzioni e Consigli relativi all</w:t>
      </w:r>
      <w:r w:rsidR="001C4212" w:rsidRPr="003F471F">
        <w:rPr>
          <w:rFonts w:cs="Tahoma"/>
          <w:b/>
          <w:szCs w:val="18"/>
          <w:lang w:val="it-IT"/>
        </w:rPr>
        <w:t>’</w:t>
      </w:r>
      <w:r w:rsidRPr="003F471F">
        <w:rPr>
          <w:rFonts w:cs="Tahoma"/>
          <w:b/>
          <w:szCs w:val="18"/>
          <w:lang w:val="it-IT"/>
        </w:rPr>
        <w:t>Architettura:</w:t>
      </w:r>
      <w:r w:rsidRPr="003F471F">
        <w:rPr>
          <w:rFonts w:cs="Tahoma"/>
          <w:szCs w:val="18"/>
          <w:lang w:val="it-IT"/>
        </w:rPr>
        <w:t xml:space="preserve"> documento di consigli e definizioni relativi all</w:t>
      </w:r>
      <w:r w:rsidR="001C4212" w:rsidRPr="003F471F">
        <w:rPr>
          <w:rFonts w:cs="Tahoma"/>
          <w:szCs w:val="18"/>
          <w:lang w:val="it-IT"/>
        </w:rPr>
        <w:t>’</w:t>
      </w:r>
      <w:r w:rsidRPr="003F471F">
        <w:rPr>
          <w:rFonts w:cs="Tahoma"/>
          <w:szCs w:val="18"/>
          <w:lang w:val="it-IT"/>
        </w:rPr>
        <w:t>architettura che fa riferimento a opzioni accettabili di architettura, valutate rispetto al documento costitutivo del programma e ai principi di architettura, agli standard e ai vincoli aziendali e dell</w:t>
      </w:r>
      <w:r w:rsidR="001C4212" w:rsidRPr="003F471F">
        <w:rPr>
          <w:rFonts w:cs="Tahoma"/>
          <w:szCs w:val="18"/>
          <w:lang w:val="it-IT"/>
        </w:rPr>
        <w:t>’</w:t>
      </w:r>
      <w:r w:rsidRPr="003F471F">
        <w:rPr>
          <w:rFonts w:cs="Tahoma"/>
          <w:szCs w:val="18"/>
          <w:lang w:val="it-IT"/>
        </w:rPr>
        <w:t xml:space="preserve">IT. </w:t>
      </w:r>
    </w:p>
    <w:p w14:paraId="3DA45EAA" w14:textId="77777777" w:rsidR="00BA5266" w:rsidRPr="003F471F" w:rsidRDefault="00BA5266" w:rsidP="00BA5266">
      <w:pPr>
        <w:numPr>
          <w:ilvl w:val="0"/>
          <w:numId w:val="145"/>
        </w:numPr>
        <w:rPr>
          <w:lang w:val="it-IT"/>
        </w:rPr>
      </w:pPr>
      <w:r w:rsidRPr="003F471F">
        <w:rPr>
          <w:rFonts w:cs="Tahoma"/>
          <w:b/>
          <w:szCs w:val="18"/>
          <w:lang w:val="it-IT"/>
        </w:rPr>
        <w:t>Pianificazione del valore:</w:t>
      </w:r>
      <w:r w:rsidRPr="003F471F">
        <w:rPr>
          <w:rFonts w:cs="Tahoma"/>
          <w:szCs w:val="18"/>
          <w:lang w:val="it-IT"/>
        </w:rPr>
        <w:t xml:space="preserve"> piano dettagliato del programma, piano di adozioni e modifiche, scorecard del valore e piano di governance a sostegno del consiglio e della roadmap illustrati sopra (Opzioni e Consigli relativi all</w:t>
      </w:r>
      <w:r w:rsidR="001C4212" w:rsidRPr="003F471F">
        <w:rPr>
          <w:rFonts w:cs="Tahoma"/>
          <w:szCs w:val="18"/>
          <w:lang w:val="it-IT"/>
        </w:rPr>
        <w:t>’</w:t>
      </w:r>
      <w:r w:rsidRPr="003F471F">
        <w:rPr>
          <w:rFonts w:cs="Tahoma"/>
          <w:szCs w:val="18"/>
          <w:lang w:val="it-IT"/>
        </w:rPr>
        <w:t>Architettura).</w:t>
      </w:r>
    </w:p>
    <w:p w14:paraId="65D06FB4" w14:textId="77777777" w:rsidR="00BA5266" w:rsidRPr="003F471F" w:rsidRDefault="00BA5266" w:rsidP="00BA5266">
      <w:pPr>
        <w:numPr>
          <w:ilvl w:val="0"/>
          <w:numId w:val="145"/>
        </w:numPr>
        <w:rPr>
          <w:lang w:val="it-IT"/>
        </w:rPr>
      </w:pPr>
      <w:r w:rsidRPr="003F471F">
        <w:rPr>
          <w:rFonts w:cs="Tahoma"/>
          <w:b/>
          <w:szCs w:val="18"/>
          <w:lang w:val="it-IT"/>
        </w:rPr>
        <w:t>Sviluppo di un Business Case:</w:t>
      </w:r>
      <w:r w:rsidRPr="003F471F">
        <w:rPr>
          <w:rFonts w:cs="Tahoma"/>
          <w:szCs w:val="18"/>
          <w:lang w:val="it-IT"/>
        </w:rPr>
        <w:t xml:space="preserve"> modello di valore aziendale basato sull</w:t>
      </w:r>
      <w:r w:rsidR="001C4212" w:rsidRPr="003F471F">
        <w:rPr>
          <w:rFonts w:cs="Tahoma"/>
          <w:szCs w:val="18"/>
          <w:lang w:val="it-IT"/>
        </w:rPr>
        <w:t>’</w:t>
      </w:r>
      <w:r w:rsidRPr="003F471F">
        <w:rPr>
          <w:rFonts w:cs="Tahoma"/>
          <w:szCs w:val="18"/>
          <w:lang w:val="it-IT"/>
        </w:rPr>
        <w:t>analisi finanziaria dei costi previsti e dei vantaggi quantificabili per il piano di iniziative proposto.</w:t>
      </w:r>
    </w:p>
    <w:p w14:paraId="085A4554" w14:textId="77777777" w:rsidR="00BA5266" w:rsidRPr="003F471F" w:rsidRDefault="00BA5266" w:rsidP="00BA5266">
      <w:pPr>
        <w:numPr>
          <w:ilvl w:val="0"/>
          <w:numId w:val="145"/>
        </w:numPr>
        <w:rPr>
          <w:lang w:val="it-IT"/>
        </w:rPr>
      </w:pPr>
      <w:r w:rsidRPr="003F471F">
        <w:rPr>
          <w:rFonts w:cs="Tahoma"/>
          <w:b/>
          <w:szCs w:val="18"/>
          <w:lang w:val="it-IT"/>
        </w:rPr>
        <w:t>Gestione delle Adozioni e delle Modifiche:</w:t>
      </w:r>
      <w:r w:rsidRPr="003F471F">
        <w:rPr>
          <w:rFonts w:cs="Tahoma"/>
          <w:szCs w:val="18"/>
          <w:lang w:val="it-IT"/>
        </w:rPr>
        <w:t xml:space="preserve"> esecuzione del piano di adozioni e modifiche (inclusi il piano comunicazioni, i piani di conformità/formazione e i piani di supporto) e supervisione delle adozioni, creazione di rapporti e mitigazione dei rischi.</w:t>
      </w:r>
    </w:p>
    <w:p w14:paraId="0A226170" w14:textId="77777777" w:rsidR="00BA5266" w:rsidRPr="003F471F" w:rsidRDefault="00BA5266" w:rsidP="00BA5266">
      <w:pPr>
        <w:numPr>
          <w:ilvl w:val="0"/>
          <w:numId w:val="145"/>
        </w:numPr>
        <w:rPr>
          <w:lang w:val="it-IT"/>
        </w:rPr>
      </w:pPr>
      <w:r w:rsidRPr="003F471F">
        <w:rPr>
          <w:rFonts w:cs="Tahoma"/>
          <w:b/>
          <w:szCs w:val="18"/>
          <w:lang w:val="it-IT"/>
        </w:rPr>
        <w:t>Gestione del valore:</w:t>
      </w:r>
      <w:r w:rsidRPr="003F471F">
        <w:rPr>
          <w:rFonts w:cs="Tahoma"/>
          <w:szCs w:val="18"/>
          <w:lang w:val="it-IT"/>
        </w:rPr>
        <w:t xml:space="preserve"> misurazione e rilevazione dell</w:t>
      </w:r>
      <w:r w:rsidR="001C4212" w:rsidRPr="003F471F">
        <w:rPr>
          <w:rFonts w:cs="Tahoma"/>
          <w:szCs w:val="18"/>
          <w:lang w:val="it-IT"/>
        </w:rPr>
        <w:t>’</w:t>
      </w:r>
      <w:r w:rsidRPr="003F471F">
        <w:rPr>
          <w:rFonts w:cs="Tahoma"/>
          <w:szCs w:val="18"/>
          <w:lang w:val="it-IT"/>
        </w:rPr>
        <w:t>andamento dell</w:t>
      </w:r>
      <w:r w:rsidR="001C4212" w:rsidRPr="003F471F">
        <w:rPr>
          <w:rFonts w:cs="Tahoma"/>
          <w:szCs w:val="18"/>
          <w:lang w:val="it-IT"/>
        </w:rPr>
        <w:t>’</w:t>
      </w:r>
      <w:r w:rsidRPr="003F471F">
        <w:rPr>
          <w:rFonts w:cs="Tahoma"/>
          <w:szCs w:val="18"/>
          <w:lang w:val="it-IT"/>
        </w:rPr>
        <w:t>iniziativa rispetto ai KPI stabiliti e</w:t>
      </w:r>
      <w:r w:rsidR="00700477" w:rsidRPr="003F471F">
        <w:rPr>
          <w:rFonts w:cs="Tahoma"/>
          <w:szCs w:val="18"/>
          <w:lang w:val="it-IT"/>
        </w:rPr>
        <w:t> </w:t>
      </w:r>
      <w:r w:rsidRPr="003F471F">
        <w:rPr>
          <w:rFonts w:cs="Tahoma"/>
          <w:szCs w:val="18"/>
          <w:lang w:val="it-IT"/>
        </w:rPr>
        <w:t>ai</w:t>
      </w:r>
      <w:r w:rsidR="00700477" w:rsidRPr="003F471F">
        <w:rPr>
          <w:rFonts w:cs="Tahoma"/>
          <w:szCs w:val="18"/>
          <w:lang w:val="it-IT"/>
        </w:rPr>
        <w:t> </w:t>
      </w:r>
      <w:r w:rsidRPr="003F471F">
        <w:rPr>
          <w:rFonts w:cs="Tahoma"/>
          <w:szCs w:val="18"/>
          <w:lang w:val="it-IT"/>
        </w:rPr>
        <w:t>sistemi di misurazione interni della società (vale a dire impegni, scorecard e analisi aziendali).</w:t>
      </w:r>
    </w:p>
    <w:p w14:paraId="6400C8D2" w14:textId="77777777" w:rsidR="00BA5266" w:rsidRPr="003F471F" w:rsidRDefault="00BA5266" w:rsidP="00BA5266">
      <w:pPr>
        <w:pStyle w:val="ListParagraph"/>
        <w:numPr>
          <w:ilvl w:val="0"/>
          <w:numId w:val="145"/>
        </w:numPr>
        <w:spacing w:after="60"/>
        <w:rPr>
          <w:rFonts w:ascii="Tahoma" w:hAnsi="Tahoma" w:cs="Tahoma"/>
          <w:sz w:val="18"/>
          <w:szCs w:val="18"/>
          <w:lang w:val="it-IT"/>
        </w:rPr>
      </w:pPr>
      <w:r w:rsidRPr="003F471F">
        <w:rPr>
          <w:rFonts w:ascii="Tahoma" w:hAnsi="Tahoma" w:cs="Tahoma"/>
          <w:b/>
          <w:sz w:val="18"/>
          <w:szCs w:val="18"/>
          <w:lang w:val="it-IT"/>
        </w:rPr>
        <w:t>Gestione della Conformità, dei Rischi e della Governance del Programma:</w:t>
      </w:r>
      <w:r w:rsidRPr="003F471F">
        <w:rPr>
          <w:rFonts w:ascii="Tahoma" w:hAnsi="Tahoma" w:cs="Tahoma"/>
          <w:sz w:val="18"/>
          <w:szCs w:val="18"/>
          <w:lang w:val="it-IT"/>
        </w:rPr>
        <w:t xml:space="preserve"> analisi dello stato del</w:t>
      </w:r>
      <w:r w:rsidR="00700477" w:rsidRPr="003F471F">
        <w:rPr>
          <w:rFonts w:ascii="Tahoma" w:hAnsi="Tahoma" w:cs="Tahoma"/>
          <w:sz w:val="18"/>
          <w:szCs w:val="18"/>
          <w:lang w:val="it-IT"/>
        </w:rPr>
        <w:t> </w:t>
      </w:r>
      <w:r w:rsidRPr="003F471F">
        <w:rPr>
          <w:rFonts w:ascii="Tahoma" w:hAnsi="Tahoma" w:cs="Tahoma"/>
          <w:sz w:val="18"/>
          <w:szCs w:val="18"/>
          <w:lang w:val="it-IT"/>
        </w:rPr>
        <w:t>programma e fornitura di rapporti alle strutture di governance specificate (ad esempio, agli steering committee, ai comitati di revisione) per agevolare l</w:t>
      </w:r>
      <w:r w:rsidR="001C4212" w:rsidRPr="003F471F">
        <w:rPr>
          <w:rFonts w:ascii="Tahoma" w:hAnsi="Tahoma" w:cs="Tahoma"/>
          <w:sz w:val="18"/>
          <w:szCs w:val="18"/>
          <w:lang w:val="it-IT"/>
        </w:rPr>
        <w:t>’</w:t>
      </w:r>
      <w:r w:rsidRPr="003F471F">
        <w:rPr>
          <w:rFonts w:ascii="Tahoma" w:hAnsi="Tahoma" w:cs="Tahoma"/>
          <w:sz w:val="18"/>
          <w:szCs w:val="18"/>
          <w:lang w:val="it-IT"/>
        </w:rPr>
        <w:t>assunzione di decisioni durante tutto il ciclo di vita del programma</w:t>
      </w:r>
    </w:p>
    <w:p w14:paraId="0D2516E7" w14:textId="77777777" w:rsidR="00BA5266" w:rsidRPr="003F471F" w:rsidRDefault="00BA5266" w:rsidP="00BA5266">
      <w:pPr>
        <w:rPr>
          <w:lang w:val="it-IT"/>
        </w:rPr>
      </w:pPr>
    </w:p>
    <w:p w14:paraId="62EC63FF" w14:textId="77777777" w:rsidR="00BA5266" w:rsidRPr="003F471F" w:rsidRDefault="00BA5266" w:rsidP="00BA5266">
      <w:pPr>
        <w:spacing w:after="240"/>
        <w:rPr>
          <w:lang w:val="it-IT"/>
        </w:rPr>
      </w:pPr>
      <w:r w:rsidRPr="003F471F">
        <w:rPr>
          <w:rFonts w:eastAsia="Arial" w:cs="Tahoma"/>
          <w:b/>
          <w:sz w:val="22"/>
          <w:szCs w:val="18"/>
          <w:lang w:val="it-IT"/>
        </w:rPr>
        <w:t>Componente Aggiuntivo di Enterprise Strategy Capacity</w:t>
      </w:r>
    </w:p>
    <w:p w14:paraId="21C523CD" w14:textId="77777777" w:rsidR="00BA5266" w:rsidRPr="003F471F" w:rsidRDefault="00BA5266" w:rsidP="00BA5266">
      <w:pPr>
        <w:ind w:left="360"/>
        <w:rPr>
          <w:lang w:val="it-IT"/>
        </w:rPr>
      </w:pPr>
      <w:r w:rsidRPr="003F471F">
        <w:rPr>
          <w:rFonts w:cs="Tahoma"/>
          <w:color w:val="000000"/>
          <w:szCs w:val="18"/>
          <w:lang w:val="it-IT"/>
        </w:rPr>
        <w:t xml:space="preserve">La Società può acquistare blocchi di 200 ore di risorse Microsoft Enterprise Service Delivery Team per migliorare la capacità di erogazione dei programmi Enterprise Strategy. </w:t>
      </w:r>
      <w:r w:rsidRPr="003F471F">
        <w:rPr>
          <w:rFonts w:cs="Tahoma"/>
          <w:color w:val="000000"/>
          <w:szCs w:val="18"/>
          <w:lang w:val="it-IT"/>
        </w:rPr>
        <w:br/>
        <w:t>Il Componente Aggiuntivo Enterprise Strategy Capacity è disponibile per le Società che hanno acquistato l</w:t>
      </w:r>
      <w:r w:rsidR="001C4212" w:rsidRPr="003F471F">
        <w:rPr>
          <w:rFonts w:cs="Tahoma"/>
          <w:color w:val="000000"/>
          <w:szCs w:val="18"/>
          <w:lang w:val="it-IT"/>
        </w:rPr>
        <w:t>’</w:t>
      </w:r>
      <w:r w:rsidRPr="003F471F">
        <w:rPr>
          <w:rFonts w:cs="Tahoma"/>
          <w:color w:val="000000"/>
          <w:szCs w:val="18"/>
          <w:lang w:val="it-IT"/>
        </w:rPr>
        <w:t>offerta Enterprise Strategy Connect, Enterprise Strategy Foundation o Enterprise Strategy Portfolio tramite i contratti multilicenza o i contratti standard per i Servizi Microsoft.</w:t>
      </w:r>
    </w:p>
    <w:p w14:paraId="22FB341C" w14:textId="77777777" w:rsidR="00BA5266" w:rsidRPr="003F471F" w:rsidRDefault="00BA5266" w:rsidP="00BA5266">
      <w:pPr>
        <w:spacing w:after="60"/>
        <w:rPr>
          <w:lang w:val="it-IT"/>
        </w:rPr>
      </w:pPr>
    </w:p>
    <w:p w14:paraId="1A0AD856" w14:textId="77777777" w:rsidR="00BA5266" w:rsidRPr="003F471F" w:rsidRDefault="00BA5266" w:rsidP="00BA5266">
      <w:pPr>
        <w:spacing w:after="240"/>
        <w:rPr>
          <w:lang w:val="it-IT"/>
        </w:rPr>
      </w:pPr>
      <w:r w:rsidRPr="003F471F">
        <w:rPr>
          <w:rFonts w:cs="Tahoma"/>
          <w:b/>
          <w:sz w:val="22"/>
          <w:szCs w:val="18"/>
          <w:lang w:val="it-IT"/>
        </w:rPr>
        <w:t>Servizi non Inclusi nell</w:t>
      </w:r>
      <w:r w:rsidR="001C4212" w:rsidRPr="003F471F">
        <w:rPr>
          <w:rFonts w:cs="Tahoma"/>
          <w:b/>
          <w:sz w:val="22"/>
          <w:szCs w:val="18"/>
          <w:lang w:val="it-IT"/>
        </w:rPr>
        <w:t>’</w:t>
      </w:r>
      <w:r w:rsidRPr="003F471F">
        <w:rPr>
          <w:rFonts w:cs="Tahoma"/>
          <w:b/>
          <w:sz w:val="22"/>
          <w:szCs w:val="18"/>
          <w:lang w:val="it-IT"/>
        </w:rPr>
        <w:t>Ambito del Programma</w:t>
      </w:r>
    </w:p>
    <w:p w14:paraId="2D1A1DA1" w14:textId="77777777" w:rsidR="00BA5266" w:rsidRPr="003F471F" w:rsidRDefault="00BA5266" w:rsidP="00BA5266">
      <w:pPr>
        <w:rPr>
          <w:lang w:val="it-IT"/>
        </w:rPr>
      </w:pPr>
      <w:r w:rsidRPr="003F471F">
        <w:rPr>
          <w:rFonts w:cs="Tahoma"/>
          <w:szCs w:val="18"/>
          <w:lang w:val="it-IT"/>
        </w:rPr>
        <w:t>Il Programma Enterprise Strategy include esclusivamente consulenza e assistenza relative all</w:t>
      </w:r>
      <w:r w:rsidR="001C4212" w:rsidRPr="003F471F">
        <w:rPr>
          <w:rFonts w:cs="Tahoma"/>
          <w:szCs w:val="18"/>
          <w:lang w:val="it-IT"/>
        </w:rPr>
        <w:t>’</w:t>
      </w:r>
      <w:r w:rsidRPr="003F471F">
        <w:rPr>
          <w:rFonts w:cs="Tahoma"/>
          <w:szCs w:val="18"/>
          <w:lang w:val="it-IT"/>
        </w:rPr>
        <w:t>adozione di tecnologie Microsoft da parte della Società.</w:t>
      </w:r>
      <w:r w:rsidR="00E34ED3" w:rsidRPr="003F471F">
        <w:rPr>
          <w:rFonts w:cs="Tahoma"/>
          <w:szCs w:val="18"/>
          <w:lang w:val="it-IT"/>
        </w:rPr>
        <w:t xml:space="preserve"> </w:t>
      </w:r>
      <w:r w:rsidRPr="003F471F">
        <w:rPr>
          <w:rFonts w:eastAsia="Arial" w:cs="Tahoma"/>
          <w:bCs/>
          <w:szCs w:val="18"/>
          <w:lang w:val="it-IT"/>
        </w:rPr>
        <w:t>Spetta solamente alla Società scegliere se seguire o ignorare la consulenza, l</w:t>
      </w:r>
      <w:r w:rsidR="001C4212" w:rsidRPr="003F471F">
        <w:rPr>
          <w:rFonts w:eastAsia="Arial" w:cs="Tahoma"/>
          <w:bCs/>
          <w:szCs w:val="18"/>
          <w:lang w:val="it-IT"/>
        </w:rPr>
        <w:t>’</w:t>
      </w:r>
      <w:r w:rsidRPr="003F471F">
        <w:rPr>
          <w:rFonts w:eastAsia="Arial" w:cs="Tahoma"/>
          <w:bCs/>
          <w:szCs w:val="18"/>
          <w:lang w:val="it-IT"/>
        </w:rPr>
        <w:t>assistenza e i consigli di Microsoft.</w:t>
      </w:r>
      <w:r w:rsidR="00E34ED3" w:rsidRPr="003F471F">
        <w:rPr>
          <w:rFonts w:eastAsia="Arial" w:cs="Tahoma"/>
          <w:bCs/>
          <w:szCs w:val="18"/>
          <w:lang w:val="it-IT"/>
        </w:rPr>
        <w:t xml:space="preserve"> </w:t>
      </w:r>
      <w:r w:rsidRPr="003F471F">
        <w:rPr>
          <w:rFonts w:eastAsia="Arial" w:cs="Tahoma"/>
          <w:bCs/>
          <w:szCs w:val="18"/>
          <w:lang w:val="it-IT"/>
        </w:rPr>
        <w:t>Microsoft non rilascia alcuna dichiarazione, garanzia o condizione relativamente ai</w:t>
      </w:r>
      <w:r w:rsidR="00700477" w:rsidRPr="003F471F">
        <w:rPr>
          <w:rFonts w:eastAsia="Arial" w:cs="Tahoma"/>
          <w:bCs/>
          <w:szCs w:val="18"/>
          <w:lang w:val="it-IT"/>
        </w:rPr>
        <w:t> </w:t>
      </w:r>
      <w:r w:rsidRPr="003F471F">
        <w:rPr>
          <w:rFonts w:eastAsia="Arial" w:cs="Tahoma"/>
          <w:bCs/>
          <w:szCs w:val="18"/>
          <w:lang w:val="it-IT"/>
        </w:rPr>
        <w:t>risultati ottenibili dalla Società in seguito all</w:t>
      </w:r>
      <w:r w:rsidR="001C4212" w:rsidRPr="003F471F">
        <w:rPr>
          <w:rFonts w:eastAsia="Arial" w:cs="Tahoma"/>
          <w:bCs/>
          <w:szCs w:val="18"/>
          <w:lang w:val="it-IT"/>
        </w:rPr>
        <w:t>’</w:t>
      </w:r>
      <w:r w:rsidRPr="003F471F">
        <w:rPr>
          <w:rFonts w:eastAsia="Arial" w:cs="Tahoma"/>
          <w:bCs/>
          <w:szCs w:val="18"/>
          <w:lang w:val="it-IT"/>
        </w:rPr>
        <w:t>applicazione della consulenza, dell</w:t>
      </w:r>
      <w:r w:rsidR="001C4212" w:rsidRPr="003F471F">
        <w:rPr>
          <w:rFonts w:eastAsia="Arial" w:cs="Tahoma"/>
          <w:bCs/>
          <w:szCs w:val="18"/>
          <w:lang w:val="it-IT"/>
        </w:rPr>
        <w:t>’</w:t>
      </w:r>
      <w:r w:rsidRPr="003F471F">
        <w:rPr>
          <w:rFonts w:eastAsia="Arial" w:cs="Tahoma"/>
          <w:bCs/>
          <w:szCs w:val="18"/>
          <w:lang w:val="it-IT"/>
        </w:rPr>
        <w:t>assistenza e dei consigli forniti da Microsoft stessa e riportati di seguito.</w:t>
      </w:r>
      <w:r w:rsidR="00E34ED3" w:rsidRPr="003F471F">
        <w:rPr>
          <w:rFonts w:eastAsia="Arial" w:cs="Tahoma"/>
          <w:bCs/>
          <w:szCs w:val="18"/>
          <w:lang w:val="it-IT"/>
        </w:rPr>
        <w:t xml:space="preserve"> </w:t>
      </w:r>
      <w:r w:rsidRPr="003F471F">
        <w:rPr>
          <w:rFonts w:cs="Tahoma"/>
          <w:szCs w:val="18"/>
          <w:lang w:val="it-IT"/>
        </w:rPr>
        <w:t>Le licenze per i prodotti non sono incluse.</w:t>
      </w:r>
      <w:r w:rsidR="00E34ED3" w:rsidRPr="003F471F">
        <w:rPr>
          <w:rFonts w:cs="Tahoma"/>
          <w:szCs w:val="18"/>
          <w:lang w:val="it-IT"/>
        </w:rPr>
        <w:t xml:space="preserve"> </w:t>
      </w:r>
      <w:r w:rsidRPr="003F471F">
        <w:rPr>
          <w:rFonts w:cs="Tahoma"/>
          <w:szCs w:val="18"/>
          <w:lang w:val="it-IT"/>
        </w:rPr>
        <w:t>I Servizi dell</w:t>
      </w:r>
      <w:r w:rsidR="001C4212" w:rsidRPr="003F471F">
        <w:rPr>
          <w:rFonts w:cs="Tahoma"/>
          <w:szCs w:val="18"/>
          <w:lang w:val="it-IT"/>
        </w:rPr>
        <w:t>’</w:t>
      </w:r>
      <w:r w:rsidRPr="003F471F">
        <w:rPr>
          <w:rFonts w:cs="Tahoma"/>
          <w:szCs w:val="18"/>
          <w:lang w:val="it-IT"/>
        </w:rPr>
        <w:t>Enterprise Architect, inoltre, non includono la distribuzione dei prodotti, la risoluzione dei problemi, l</w:t>
      </w:r>
      <w:r w:rsidR="001C4212" w:rsidRPr="003F471F">
        <w:rPr>
          <w:rFonts w:cs="Tahoma"/>
          <w:szCs w:val="18"/>
          <w:lang w:val="it-IT"/>
        </w:rPr>
        <w:t>’</w:t>
      </w:r>
      <w:r w:rsidRPr="003F471F">
        <w:rPr>
          <w:rFonts w:cs="Tahoma"/>
          <w:szCs w:val="18"/>
          <w:lang w:val="it-IT"/>
        </w:rPr>
        <w:t>assistenza in garanzia, l</w:t>
      </w:r>
      <w:r w:rsidR="001C4212" w:rsidRPr="003F471F">
        <w:rPr>
          <w:rFonts w:cs="Tahoma"/>
          <w:szCs w:val="18"/>
          <w:lang w:val="it-IT"/>
        </w:rPr>
        <w:t>’</w:t>
      </w:r>
      <w:r w:rsidRPr="003F471F">
        <w:rPr>
          <w:rFonts w:cs="Tahoma"/>
          <w:szCs w:val="18"/>
          <w:lang w:val="it-IT"/>
        </w:rPr>
        <w:t>analisi di codice sorgente non Microsoft né la consulenza tecnica o architetturale che non rientri nella risultati finali di cui sopra. Nel caso di codice sorgente non Microsoft, i Servizi di Microsoft saranno limitati solo all</w:t>
      </w:r>
      <w:r w:rsidR="001C4212" w:rsidRPr="003F471F">
        <w:rPr>
          <w:rFonts w:cs="Tahoma"/>
          <w:szCs w:val="18"/>
          <w:lang w:val="it-IT"/>
        </w:rPr>
        <w:t>’</w:t>
      </w:r>
      <w:r w:rsidRPr="003F471F">
        <w:rPr>
          <w:rFonts w:cs="Tahoma"/>
          <w:szCs w:val="18"/>
          <w:lang w:val="it-IT"/>
        </w:rPr>
        <w:t>analisi dei dati binari, ad esempio un dump di processo o una traccia di Network Monitor.</w:t>
      </w:r>
    </w:p>
    <w:p w14:paraId="5DEF80C7" w14:textId="77777777" w:rsidR="00BA5266" w:rsidRPr="003F471F" w:rsidRDefault="00BA5266" w:rsidP="00BA5266">
      <w:pPr>
        <w:rPr>
          <w:lang w:val="it-IT"/>
        </w:rPr>
      </w:pPr>
    </w:p>
    <w:p w14:paraId="482C4396" w14:textId="77777777" w:rsidR="00BA5266" w:rsidRPr="003F471F" w:rsidRDefault="00BA5266" w:rsidP="00BA5266">
      <w:pPr>
        <w:spacing w:after="240"/>
        <w:rPr>
          <w:lang w:val="it-IT"/>
        </w:rPr>
      </w:pPr>
      <w:r w:rsidRPr="003F471F">
        <w:rPr>
          <w:rFonts w:cs="Tahoma"/>
          <w:b/>
          <w:sz w:val="22"/>
          <w:szCs w:val="18"/>
          <w:lang w:val="it-IT"/>
        </w:rPr>
        <w:t>Responsabilità della Società</w:t>
      </w:r>
    </w:p>
    <w:p w14:paraId="65299D8B" w14:textId="77777777" w:rsidR="00BA5266" w:rsidRPr="003F471F" w:rsidRDefault="00BA5266" w:rsidP="00BA5266">
      <w:pPr>
        <w:spacing w:after="240"/>
        <w:rPr>
          <w:lang w:val="it-IT"/>
        </w:rPr>
      </w:pPr>
      <w:r w:rsidRPr="003F471F">
        <w:rPr>
          <w:rFonts w:cs="Tahoma"/>
          <w:szCs w:val="18"/>
          <w:lang w:val="it-IT"/>
        </w:rPr>
        <w:t>Il successo del Programma Enterprise Strategy e le prestazioni di Microsoft relativamente alle proprie obbligazioni dipendono dal coinvolgimento della Società nel programma, inclusi, a titolo esemplificativo:</w:t>
      </w:r>
    </w:p>
    <w:p w14:paraId="088DC55A" w14:textId="77777777" w:rsidR="00BA5266" w:rsidRPr="003F471F" w:rsidRDefault="00BA5266" w:rsidP="00BA5266">
      <w:pPr>
        <w:numPr>
          <w:ilvl w:val="0"/>
          <w:numId w:val="78"/>
        </w:numPr>
        <w:ind w:left="630"/>
        <w:contextualSpacing/>
        <w:rPr>
          <w:lang w:val="it-IT"/>
        </w:rPr>
      </w:pPr>
      <w:r w:rsidRPr="003F471F">
        <w:rPr>
          <w:rFonts w:cs="Tahoma"/>
          <w:color w:val="000000"/>
          <w:szCs w:val="18"/>
          <w:lang w:val="it-IT"/>
        </w:rPr>
        <w:t xml:space="preserve">disponibilità dei rappresentanti, del personale IT e delle risorse della Società, inclusi, a titolo esemplificativo, hardware, software, connettività Internet e spazi ragionevolmente sufficienti; </w:t>
      </w:r>
    </w:p>
    <w:p w14:paraId="41D8B7BB" w14:textId="77777777" w:rsidR="00BA5266" w:rsidRPr="003F471F" w:rsidRDefault="00BA5266" w:rsidP="00BA5266">
      <w:pPr>
        <w:numPr>
          <w:ilvl w:val="0"/>
          <w:numId w:val="78"/>
        </w:numPr>
        <w:ind w:left="630"/>
        <w:contextualSpacing/>
        <w:rPr>
          <w:lang w:val="it-IT"/>
        </w:rPr>
      </w:pPr>
      <w:r w:rsidRPr="003F471F">
        <w:rPr>
          <w:rFonts w:cs="Tahoma"/>
          <w:color w:val="000000"/>
          <w:szCs w:val="18"/>
          <w:lang w:val="it-IT"/>
        </w:rPr>
        <w:t xml:space="preserve">tempestiva comunicazione, da parte della Società, di informazioni accurate e complete; </w:t>
      </w:r>
    </w:p>
    <w:p w14:paraId="320D56F4" w14:textId="77777777" w:rsidR="00BA5266" w:rsidRPr="003F471F" w:rsidRDefault="00BA5266" w:rsidP="00BA5266">
      <w:pPr>
        <w:numPr>
          <w:ilvl w:val="0"/>
          <w:numId w:val="78"/>
        </w:numPr>
        <w:ind w:left="630"/>
        <w:contextualSpacing/>
        <w:rPr>
          <w:lang w:val="it-IT"/>
        </w:rPr>
      </w:pPr>
      <w:r w:rsidRPr="003F471F">
        <w:rPr>
          <w:rFonts w:cs="Tahoma"/>
          <w:color w:val="000000"/>
          <w:szCs w:val="18"/>
          <w:lang w:val="it-IT"/>
        </w:rPr>
        <w:t>accesso a informazioni riguardanti l</w:t>
      </w:r>
      <w:r w:rsidR="001C4212" w:rsidRPr="003F471F">
        <w:rPr>
          <w:rFonts w:cs="Tahoma"/>
          <w:color w:val="000000"/>
          <w:szCs w:val="18"/>
          <w:lang w:val="it-IT"/>
        </w:rPr>
        <w:t>’</w:t>
      </w:r>
      <w:r w:rsidRPr="003F471F">
        <w:rPr>
          <w:rFonts w:cs="Tahoma"/>
          <w:color w:val="000000"/>
          <w:szCs w:val="18"/>
          <w:lang w:val="it-IT"/>
        </w:rPr>
        <w:t>organizzazione della Società;</w:t>
      </w:r>
    </w:p>
    <w:p w14:paraId="44CD9632" w14:textId="77777777" w:rsidR="00BA5266" w:rsidRPr="003F471F" w:rsidRDefault="00BA5266" w:rsidP="00BA5266">
      <w:pPr>
        <w:numPr>
          <w:ilvl w:val="0"/>
          <w:numId w:val="78"/>
        </w:numPr>
        <w:ind w:left="630"/>
        <w:contextualSpacing/>
        <w:rPr>
          <w:lang w:val="it-IT"/>
        </w:rPr>
      </w:pPr>
      <w:r w:rsidRPr="003F471F">
        <w:rPr>
          <w:rFonts w:cs="Tahoma"/>
          <w:color w:val="000000"/>
          <w:szCs w:val="18"/>
          <w:lang w:val="it-IT"/>
        </w:rPr>
        <w:t>adempimento tempestivo ed efficace delle responsabilità della Società e</w:t>
      </w:r>
    </w:p>
    <w:p w14:paraId="1E07E7EA" w14:textId="77777777" w:rsidR="00BA5266" w:rsidRPr="003F471F" w:rsidRDefault="00BA5266" w:rsidP="00BA5266">
      <w:pPr>
        <w:numPr>
          <w:ilvl w:val="0"/>
          <w:numId w:val="78"/>
        </w:numPr>
        <w:ind w:left="630"/>
        <w:contextualSpacing/>
        <w:rPr>
          <w:lang w:val="it-IT"/>
        </w:rPr>
      </w:pPr>
      <w:r w:rsidRPr="003F471F">
        <w:rPr>
          <w:rFonts w:cs="Tahoma"/>
          <w:color w:val="000000"/>
          <w:szCs w:val="18"/>
          <w:lang w:val="it-IT"/>
        </w:rPr>
        <w:t>approvazioni e decisioni tempestive da parte dei dirigenti e manager della Società.</w:t>
      </w:r>
      <w:r w:rsidR="00E34ED3" w:rsidRPr="003F471F">
        <w:rPr>
          <w:rFonts w:cs="Tahoma"/>
          <w:color w:val="000000"/>
          <w:szCs w:val="18"/>
          <w:lang w:val="it-IT"/>
        </w:rPr>
        <w:t xml:space="preserve"> </w:t>
      </w:r>
    </w:p>
    <w:p w14:paraId="3058B721" w14:textId="77777777" w:rsidR="00BA5266" w:rsidRPr="003F471F" w:rsidRDefault="00BA5266" w:rsidP="006D6BED">
      <w:pPr>
        <w:rPr>
          <w:lang w:val="it-IT"/>
        </w:rPr>
      </w:pPr>
    </w:p>
    <w:p w14:paraId="56762C87" w14:textId="77777777" w:rsidR="00700477" w:rsidRPr="003F471F" w:rsidRDefault="00700477" w:rsidP="006D6BED">
      <w:pPr>
        <w:rPr>
          <w:lang w:val="it-IT"/>
        </w:rPr>
      </w:pPr>
    </w:p>
    <w:p w14:paraId="0E971216" w14:textId="77777777" w:rsidR="00700477" w:rsidRPr="003F471F" w:rsidRDefault="00700477" w:rsidP="006D6BED">
      <w:pPr>
        <w:rPr>
          <w:lang w:val="it-IT"/>
        </w:rPr>
      </w:pPr>
    </w:p>
    <w:p w14:paraId="549D7DB4" w14:textId="77777777" w:rsidR="0064651F" w:rsidRPr="003F471F" w:rsidRDefault="0064651F" w:rsidP="00CA52FE">
      <w:pPr>
        <w:rPr>
          <w:lang w:val="it-IT"/>
        </w:rPr>
      </w:pPr>
      <w:bookmarkStart w:id="911" w:name="_Toc288760404"/>
    </w:p>
    <w:p w14:paraId="38EC4692" w14:textId="77777777" w:rsidR="00DD7F8E" w:rsidRPr="003F471F" w:rsidRDefault="00DD7F8E" w:rsidP="00CA52FE">
      <w:pPr>
        <w:rPr>
          <w:lang w:val="it-IT"/>
        </w:rPr>
      </w:pPr>
      <w:r w:rsidRPr="003F471F">
        <w:rPr>
          <w:b/>
          <w:sz w:val="24"/>
          <w:szCs w:val="18"/>
          <w:lang w:val="it-IT"/>
        </w:rPr>
        <w:t>Condizioni di Servizio Aggiuntive</w:t>
      </w:r>
    </w:p>
    <w:p w14:paraId="5B5C2342" w14:textId="77777777" w:rsidR="00DD7F8E" w:rsidRPr="003F471F" w:rsidRDefault="00DD7F8E" w:rsidP="00CA52FE">
      <w:pPr>
        <w:rPr>
          <w:lang w:val="it-IT"/>
        </w:rPr>
      </w:pPr>
    </w:p>
    <w:p w14:paraId="78C17B1B" w14:textId="77777777" w:rsidR="00DD7F8E" w:rsidRPr="003F471F" w:rsidRDefault="00DB2D1E" w:rsidP="00E77F1E">
      <w:pPr>
        <w:spacing w:after="60"/>
        <w:rPr>
          <w:lang w:val="it-IT"/>
        </w:rPr>
      </w:pPr>
      <w:bookmarkStart w:id="912" w:name="_Toc317591257"/>
      <w:bookmarkStart w:id="913" w:name="_Toc336338248"/>
      <w:bookmarkStart w:id="914" w:name="_Toc371663642"/>
      <w:r w:rsidRPr="003F471F">
        <w:rPr>
          <w:rStyle w:val="Heading2Char"/>
          <w:rFonts w:ascii="Tahoma" w:hAnsi="Tahoma"/>
          <w:sz w:val="20"/>
          <w:szCs w:val="20"/>
          <w:lang w:val="it-IT"/>
        </w:rPr>
        <w:t>Diritti sull</w:t>
      </w:r>
      <w:r w:rsidR="001C4212" w:rsidRPr="003F471F">
        <w:rPr>
          <w:rStyle w:val="Heading2Char"/>
          <w:rFonts w:ascii="Tahoma" w:hAnsi="Tahoma"/>
          <w:sz w:val="20"/>
          <w:szCs w:val="20"/>
          <w:lang w:val="it-IT"/>
        </w:rPr>
        <w:t>’</w:t>
      </w:r>
      <w:r w:rsidRPr="003F471F">
        <w:rPr>
          <w:rStyle w:val="Heading2Char"/>
          <w:rFonts w:ascii="Tahoma" w:hAnsi="Tahoma"/>
          <w:sz w:val="20"/>
          <w:szCs w:val="20"/>
          <w:lang w:val="it-IT"/>
        </w:rPr>
        <w:t>utilizzo, di titolarità e di licenza</w:t>
      </w:r>
      <w:bookmarkEnd w:id="911"/>
      <w:bookmarkEnd w:id="912"/>
      <w:bookmarkEnd w:id="913"/>
      <w:bookmarkEnd w:id="914"/>
    </w:p>
    <w:p w14:paraId="319CBCBC" w14:textId="77777777" w:rsidR="00DB2D1E" w:rsidRPr="003F471F" w:rsidRDefault="00DB2D1E" w:rsidP="00CA52FE">
      <w:pPr>
        <w:pStyle w:val="normal1"/>
        <w:rPr>
          <w:lang w:val="it-IT"/>
        </w:rPr>
      </w:pPr>
      <w:r w:rsidRPr="003F471F">
        <w:rPr>
          <w:rFonts w:ascii="Tahoma" w:hAnsi="Tahoma" w:cs="Tahoma"/>
          <w:b/>
          <w:bCs/>
          <w:color w:val="000000"/>
          <w:sz w:val="18"/>
          <w:szCs w:val="18"/>
          <w:lang w:val="it-IT"/>
        </w:rPr>
        <w:t>Fix.</w:t>
      </w:r>
      <w:r w:rsidR="00E34ED3" w:rsidRPr="003F471F">
        <w:rPr>
          <w:rFonts w:ascii="Tahoma" w:hAnsi="Tahoma" w:cs="Tahoma"/>
          <w:b/>
          <w:bCs/>
          <w:color w:val="000000"/>
          <w:sz w:val="18"/>
          <w:szCs w:val="18"/>
          <w:lang w:val="it-IT"/>
        </w:rPr>
        <w:t xml:space="preserve"> </w:t>
      </w:r>
      <w:r w:rsidRPr="003F471F">
        <w:rPr>
          <w:rFonts w:ascii="Tahoma" w:hAnsi="Tahoma" w:cs="Tahoma"/>
          <w:bCs/>
          <w:color w:val="000000"/>
          <w:sz w:val="18"/>
          <w:szCs w:val="18"/>
          <w:lang w:val="it-IT"/>
        </w:rPr>
        <w:t>Qualora Microsoft fornisca Fix alla Società durante la prestazione dei Servizi, tali</w:t>
      </w:r>
      <w:r w:rsidRPr="003F471F">
        <w:rPr>
          <w:rFonts w:ascii="Tahoma" w:hAnsi="Tahoma" w:cs="Tahoma"/>
          <w:b/>
          <w:bCs/>
          <w:color w:val="000000"/>
          <w:sz w:val="18"/>
          <w:szCs w:val="18"/>
          <w:lang w:val="it-IT"/>
        </w:rPr>
        <w:t xml:space="preserve"> </w:t>
      </w:r>
      <w:r w:rsidRPr="003F471F">
        <w:rPr>
          <w:rFonts w:ascii="Tahoma" w:hAnsi="Tahoma" w:cs="Tahoma"/>
          <w:color w:val="000000"/>
          <w:sz w:val="18"/>
          <w:szCs w:val="18"/>
          <w:lang w:val="it-IT"/>
        </w:rPr>
        <w:t>Fix sono concessi in licenza in</w:t>
      </w:r>
      <w:r w:rsidR="00700477" w:rsidRPr="003F471F">
        <w:rPr>
          <w:rFonts w:ascii="Tahoma" w:hAnsi="Tahoma" w:cs="Tahoma"/>
          <w:color w:val="000000"/>
          <w:sz w:val="18"/>
          <w:szCs w:val="18"/>
          <w:lang w:val="it-IT"/>
        </w:rPr>
        <w:t> </w:t>
      </w:r>
      <w:r w:rsidRPr="003F471F">
        <w:rPr>
          <w:rFonts w:ascii="Tahoma" w:hAnsi="Tahoma" w:cs="Tahoma"/>
          <w:color w:val="000000"/>
          <w:sz w:val="18"/>
          <w:szCs w:val="18"/>
          <w:lang w:val="it-IT"/>
        </w:rPr>
        <w:t>conformità alle condizioni di licenza applicabili al Prodotto cui si riferiscono. Qualora i Fix non siano relativi a un Prodotto specifico, si applicheranno le condizioni per l</w:t>
      </w:r>
      <w:r w:rsidR="001C4212" w:rsidRPr="003F471F">
        <w:rPr>
          <w:rFonts w:ascii="Tahoma" w:hAnsi="Tahoma" w:cs="Tahoma"/>
          <w:color w:val="000000"/>
          <w:sz w:val="18"/>
          <w:szCs w:val="18"/>
          <w:lang w:val="it-IT"/>
        </w:rPr>
        <w:t>’</w:t>
      </w:r>
      <w:r w:rsidRPr="003F471F">
        <w:rPr>
          <w:rFonts w:ascii="Tahoma" w:hAnsi="Tahoma" w:cs="Tahoma"/>
          <w:color w:val="000000"/>
          <w:sz w:val="18"/>
          <w:szCs w:val="18"/>
          <w:lang w:val="it-IT"/>
        </w:rPr>
        <w:t>utilizzo fornite da Microsoft con i Fix. Nel caso non siano fornite condizioni per l</w:t>
      </w:r>
      <w:r w:rsidR="001C4212" w:rsidRPr="003F471F">
        <w:rPr>
          <w:rFonts w:ascii="Tahoma" w:hAnsi="Tahoma" w:cs="Tahoma"/>
          <w:color w:val="000000"/>
          <w:sz w:val="18"/>
          <w:szCs w:val="18"/>
          <w:lang w:val="it-IT"/>
        </w:rPr>
        <w:t>’</w:t>
      </w:r>
      <w:r w:rsidRPr="003F471F">
        <w:rPr>
          <w:rFonts w:ascii="Tahoma" w:hAnsi="Tahoma" w:cs="Tahoma"/>
          <w:color w:val="000000"/>
          <w:sz w:val="18"/>
          <w:szCs w:val="18"/>
          <w:lang w:val="it-IT"/>
        </w:rPr>
        <w:t>utilizzo, la Società avrà una licenza non esclusiva, perpetua e gratuita di utilizzare e riprodurre i Fix esclusivamente per uso interno. La Società non potrà modificare, cambiare il nome del file né combinare i Fix con altro codice per computer che non sia di Microsoft.</w:t>
      </w:r>
    </w:p>
    <w:p w14:paraId="650150EF" w14:textId="77777777" w:rsidR="003F47CB" w:rsidRPr="003F471F" w:rsidRDefault="003F47CB" w:rsidP="00CA52FE">
      <w:pPr>
        <w:pStyle w:val="normal1"/>
        <w:rPr>
          <w:rFonts w:ascii="Tahoma" w:hAnsi="Tahoma" w:cs="Tahoma"/>
          <w:sz w:val="18"/>
          <w:szCs w:val="18"/>
          <w:lang w:val="it-IT"/>
        </w:rPr>
      </w:pPr>
    </w:p>
    <w:p w14:paraId="7E8ADC74" w14:textId="77777777" w:rsidR="00DB2D1E" w:rsidRPr="003F471F" w:rsidRDefault="00DB2D1E" w:rsidP="00CA52FE">
      <w:pPr>
        <w:pStyle w:val="normal1"/>
        <w:rPr>
          <w:lang w:val="it-IT"/>
        </w:rPr>
      </w:pPr>
      <w:r w:rsidRPr="003F471F">
        <w:rPr>
          <w:rFonts w:ascii="Tahoma" w:hAnsi="Tahoma" w:cs="Tahoma"/>
          <w:b/>
          <w:bCs/>
          <w:color w:val="000000"/>
          <w:sz w:val="18"/>
          <w:szCs w:val="18"/>
          <w:lang w:val="it-IT"/>
        </w:rPr>
        <w:t>Lavoro Pre-esistente.</w:t>
      </w:r>
      <w:r w:rsidR="00E34ED3" w:rsidRPr="003F471F">
        <w:rPr>
          <w:rFonts w:ascii="Tahoma" w:hAnsi="Tahoma" w:cs="Tahoma"/>
          <w:color w:val="000000"/>
          <w:sz w:val="18"/>
          <w:szCs w:val="18"/>
          <w:lang w:val="it-IT"/>
        </w:rPr>
        <w:t xml:space="preserve"> </w:t>
      </w:r>
      <w:r w:rsidRPr="003F471F">
        <w:rPr>
          <w:rFonts w:ascii="Tahoma" w:hAnsi="Tahoma" w:cs="Tahoma"/>
          <w:color w:val="000000"/>
          <w:sz w:val="18"/>
          <w:szCs w:val="18"/>
          <w:lang w:val="it-IT"/>
        </w:rPr>
        <w:t>Tutti i diritti riguardanti il codice per computer o qualsiasi altro materiale scritto non basato su codice sviluppato o altrimenti ottenuto da o per le parti o le relative Consociate e indipendente dal presente contratto (“Lavoro Pre-Esistente”) resteranno di esclusiva proprietà della parte che lo fornisce. Durante l</w:t>
      </w:r>
      <w:r w:rsidR="001C4212" w:rsidRPr="003F471F">
        <w:rPr>
          <w:rFonts w:ascii="Tahoma" w:hAnsi="Tahoma" w:cs="Tahoma"/>
          <w:color w:val="000000"/>
          <w:sz w:val="18"/>
          <w:szCs w:val="18"/>
          <w:lang w:val="it-IT"/>
        </w:rPr>
        <w:t>’</w:t>
      </w:r>
      <w:r w:rsidRPr="003F471F">
        <w:rPr>
          <w:rFonts w:ascii="Tahoma" w:hAnsi="Tahoma" w:cs="Tahoma"/>
          <w:color w:val="000000"/>
          <w:sz w:val="18"/>
          <w:szCs w:val="18"/>
          <w:lang w:val="it-IT"/>
        </w:rPr>
        <w:t>esecuzione dei Servizi ciascuna parte concederà all</w:t>
      </w:r>
      <w:r w:rsidR="001C4212" w:rsidRPr="003F471F">
        <w:rPr>
          <w:rFonts w:ascii="Tahoma" w:hAnsi="Tahoma" w:cs="Tahoma"/>
          <w:color w:val="000000"/>
          <w:sz w:val="18"/>
          <w:szCs w:val="18"/>
          <w:lang w:val="it-IT"/>
        </w:rPr>
        <w:t>’</w:t>
      </w:r>
      <w:r w:rsidRPr="003F471F">
        <w:rPr>
          <w:rFonts w:ascii="Tahoma" w:hAnsi="Tahoma" w:cs="Tahoma"/>
          <w:color w:val="000000"/>
          <w:sz w:val="18"/>
          <w:szCs w:val="18"/>
          <w:lang w:val="it-IT"/>
        </w:rPr>
        <w:t>altra, e se necessario ai fornitori di Microsoft, una licenza temporanea e non esclusiva di utilizzare, riprodurre e modificare qualsiasi Lavoro Pre-esistente fornito all</w:t>
      </w:r>
      <w:r w:rsidR="001C4212" w:rsidRPr="003F471F">
        <w:rPr>
          <w:rFonts w:ascii="Tahoma" w:hAnsi="Tahoma" w:cs="Tahoma"/>
          <w:color w:val="000000"/>
          <w:sz w:val="18"/>
          <w:szCs w:val="18"/>
          <w:lang w:val="it-IT"/>
        </w:rPr>
        <w:t>’</w:t>
      </w:r>
      <w:r w:rsidRPr="003F471F">
        <w:rPr>
          <w:rFonts w:ascii="Tahoma" w:hAnsi="Tahoma" w:cs="Tahoma"/>
          <w:color w:val="000000"/>
          <w:sz w:val="18"/>
          <w:szCs w:val="18"/>
          <w:lang w:val="it-IT"/>
        </w:rPr>
        <w:t>altra parte, al solo fine di eseguire i Servizi.</w:t>
      </w:r>
    </w:p>
    <w:p w14:paraId="3038431B" w14:textId="77777777" w:rsidR="00DB2D1E" w:rsidRPr="003F471F" w:rsidRDefault="00DB2D1E" w:rsidP="00CA52FE">
      <w:pPr>
        <w:pStyle w:val="normal1"/>
        <w:rPr>
          <w:lang w:val="it-IT"/>
        </w:rPr>
      </w:pPr>
      <w:r w:rsidRPr="003F471F">
        <w:rPr>
          <w:rFonts w:ascii="Tahoma" w:hAnsi="Tahoma" w:cs="Tahoma"/>
          <w:color w:val="000000"/>
          <w:sz w:val="18"/>
          <w:szCs w:val="18"/>
          <w:lang w:val="it-IT"/>
        </w:rPr>
        <w:t>Fatto salvo quanto diversamente concordato per iscritto tra le parti, Microsoft, ricevuto l</w:t>
      </w:r>
      <w:r w:rsidR="001C4212" w:rsidRPr="003F471F">
        <w:rPr>
          <w:rFonts w:ascii="Tahoma" w:hAnsi="Tahoma" w:cs="Tahoma"/>
          <w:color w:val="000000"/>
          <w:sz w:val="18"/>
          <w:szCs w:val="18"/>
          <w:lang w:val="it-IT"/>
        </w:rPr>
        <w:t>’</w:t>
      </w:r>
      <w:r w:rsidRPr="003F471F">
        <w:rPr>
          <w:rFonts w:ascii="Tahoma" w:hAnsi="Tahoma" w:cs="Tahoma"/>
          <w:color w:val="000000"/>
          <w:sz w:val="18"/>
          <w:szCs w:val="18"/>
          <w:lang w:val="it-IT"/>
        </w:rPr>
        <w:t>intero corrispettivo, concede alla Società una licenza non esclusiva, perpetua e gratuita di utilizzare, riprodurre e modificare (se applicabile) il</w:t>
      </w:r>
      <w:r w:rsidR="00700477" w:rsidRPr="003F471F">
        <w:rPr>
          <w:rFonts w:ascii="Tahoma" w:hAnsi="Tahoma" w:cs="Tahoma"/>
          <w:color w:val="000000"/>
          <w:sz w:val="18"/>
          <w:szCs w:val="18"/>
          <w:lang w:val="it-IT"/>
        </w:rPr>
        <w:t> </w:t>
      </w:r>
      <w:r w:rsidRPr="003F471F">
        <w:rPr>
          <w:rFonts w:ascii="Tahoma" w:hAnsi="Tahoma" w:cs="Tahoma"/>
          <w:color w:val="000000"/>
          <w:sz w:val="18"/>
          <w:szCs w:val="18"/>
          <w:lang w:val="it-IT"/>
        </w:rPr>
        <w:t>Lavoro Pre-esistente di Microsoft esclusivamente nella forma consegnata alla Società come parte del Materiale Fornito con i Servizi ed esclusivamente per l</w:t>
      </w:r>
      <w:r w:rsidR="001C4212" w:rsidRPr="003F471F">
        <w:rPr>
          <w:rFonts w:ascii="Tahoma" w:hAnsi="Tahoma" w:cs="Tahoma"/>
          <w:color w:val="000000"/>
          <w:sz w:val="18"/>
          <w:szCs w:val="18"/>
          <w:lang w:val="it-IT"/>
        </w:rPr>
        <w:t>’</w:t>
      </w:r>
      <w:r w:rsidRPr="003F471F">
        <w:rPr>
          <w:rFonts w:ascii="Tahoma" w:hAnsi="Tahoma" w:cs="Tahoma"/>
          <w:color w:val="000000"/>
          <w:sz w:val="18"/>
          <w:szCs w:val="18"/>
          <w:lang w:val="it-IT"/>
        </w:rPr>
        <w:t xml:space="preserve">attività interna della Società stessa. La licenza riguardante il Lavoro </w:t>
      </w:r>
      <w:r w:rsidR="00700477" w:rsidRPr="003F471F">
        <w:rPr>
          <w:rFonts w:ascii="Tahoma" w:hAnsi="Tahoma" w:cs="Tahoma"/>
          <w:color w:val="000000"/>
          <w:sz w:val="18"/>
          <w:szCs w:val="18"/>
          <w:lang w:val="it-IT"/>
        </w:rPr>
        <w:br/>
      </w:r>
      <w:r w:rsidRPr="003F471F">
        <w:rPr>
          <w:rFonts w:ascii="Tahoma" w:hAnsi="Tahoma" w:cs="Tahoma"/>
          <w:color w:val="000000"/>
          <w:sz w:val="18"/>
          <w:szCs w:val="18"/>
          <w:lang w:val="it-IT"/>
        </w:rPr>
        <w:t>Pre-esistente di Microsoft è subordinata al rispetto da parte della Società delle condizioni del presente contratto.</w:t>
      </w:r>
    </w:p>
    <w:p w14:paraId="79732B1C" w14:textId="77777777" w:rsidR="003F47CB" w:rsidRPr="003F471F" w:rsidRDefault="003F47CB" w:rsidP="00CA52FE">
      <w:pPr>
        <w:pStyle w:val="normal1"/>
        <w:rPr>
          <w:rFonts w:ascii="Tahoma" w:hAnsi="Tahoma" w:cs="Tahoma"/>
          <w:sz w:val="18"/>
          <w:szCs w:val="18"/>
          <w:lang w:val="it-IT"/>
        </w:rPr>
      </w:pPr>
    </w:p>
    <w:p w14:paraId="5249DC3D" w14:textId="77777777" w:rsidR="00DB2D1E" w:rsidRPr="003F471F" w:rsidRDefault="00DB2D1E" w:rsidP="00CA52FE">
      <w:pPr>
        <w:pStyle w:val="normal1"/>
        <w:rPr>
          <w:lang w:val="it-IT"/>
        </w:rPr>
      </w:pPr>
      <w:r w:rsidRPr="003F471F">
        <w:rPr>
          <w:rFonts w:ascii="Tahoma" w:hAnsi="Tahoma" w:cs="Tahoma"/>
          <w:b/>
          <w:bCs/>
          <w:color w:val="000000"/>
          <w:sz w:val="18"/>
          <w:szCs w:val="18"/>
          <w:lang w:val="it-IT"/>
        </w:rPr>
        <w:t>Sviluppi</w:t>
      </w:r>
      <w:r w:rsidRPr="003F471F">
        <w:rPr>
          <w:rFonts w:ascii="Tahoma" w:hAnsi="Tahoma" w:cs="Tahoma"/>
          <w:color w:val="000000"/>
          <w:sz w:val="18"/>
          <w:szCs w:val="18"/>
          <w:lang w:val="it-IT"/>
        </w:rPr>
        <w:t>. Microsoft, ricevuto l</w:t>
      </w:r>
      <w:r w:rsidR="001C4212" w:rsidRPr="003F471F">
        <w:rPr>
          <w:rFonts w:ascii="Tahoma" w:hAnsi="Tahoma" w:cs="Tahoma"/>
          <w:color w:val="000000"/>
          <w:sz w:val="18"/>
          <w:szCs w:val="18"/>
          <w:lang w:val="it-IT"/>
        </w:rPr>
        <w:t>’</w:t>
      </w:r>
      <w:r w:rsidRPr="003F471F">
        <w:rPr>
          <w:rFonts w:ascii="Tahoma" w:hAnsi="Tahoma" w:cs="Tahoma"/>
          <w:color w:val="000000"/>
          <w:sz w:val="18"/>
          <w:szCs w:val="18"/>
          <w:lang w:val="it-IT"/>
        </w:rPr>
        <w:t>intero corrispettivo, concede alla Società la titolarità congiunta di qualsiasi codice per computer o materiale scritto non basato su codice (diverso da Prodotti, Fix o Lavoro Pre-esistente) sviluppato da Microsoft o in collaborazione con la Società e lasciato presso quest</w:t>
      </w:r>
      <w:r w:rsidR="001C4212" w:rsidRPr="003F471F">
        <w:rPr>
          <w:rFonts w:ascii="Tahoma" w:hAnsi="Tahoma" w:cs="Tahoma"/>
          <w:color w:val="000000"/>
          <w:sz w:val="18"/>
          <w:szCs w:val="18"/>
          <w:lang w:val="it-IT"/>
        </w:rPr>
        <w:t>’</w:t>
      </w:r>
      <w:r w:rsidRPr="003F471F">
        <w:rPr>
          <w:rFonts w:ascii="Tahoma" w:hAnsi="Tahoma" w:cs="Tahoma"/>
          <w:color w:val="000000"/>
          <w:sz w:val="18"/>
          <w:szCs w:val="18"/>
          <w:lang w:val="it-IT"/>
        </w:rPr>
        <w:t>ultima alla conclusione dei Servizi (“Sviluppi”). Ciascuna parte sarà l</w:t>
      </w:r>
      <w:r w:rsidR="001C4212" w:rsidRPr="003F471F">
        <w:rPr>
          <w:rFonts w:ascii="Tahoma" w:hAnsi="Tahoma" w:cs="Tahoma"/>
          <w:color w:val="000000"/>
          <w:sz w:val="18"/>
          <w:szCs w:val="18"/>
          <w:lang w:val="it-IT"/>
        </w:rPr>
        <w:t>’</w:t>
      </w:r>
      <w:r w:rsidRPr="003F471F">
        <w:rPr>
          <w:rFonts w:ascii="Tahoma" w:hAnsi="Tahoma" w:cs="Tahoma"/>
          <w:color w:val="000000"/>
          <w:sz w:val="18"/>
          <w:szCs w:val="18"/>
          <w:lang w:val="it-IT"/>
        </w:rPr>
        <w:t>unica titolare dei diritti attinenti alle modifiche effettuate in base agli sviluppi. La Società accetta di esercitare i propri diritti in relazione a qualsiasi Sviluppo esclusivamente per le proprie attività interne e di non rivendere né distribuire gli Sviluppi a terzi.</w:t>
      </w:r>
    </w:p>
    <w:p w14:paraId="7692EECB" w14:textId="77777777" w:rsidR="003F47CB" w:rsidRPr="003F471F" w:rsidRDefault="003F47CB" w:rsidP="00CA52FE">
      <w:pPr>
        <w:pStyle w:val="normal1"/>
        <w:rPr>
          <w:rFonts w:ascii="Tahoma" w:hAnsi="Tahoma" w:cs="Tahoma"/>
          <w:sz w:val="18"/>
          <w:szCs w:val="18"/>
          <w:lang w:val="it-IT"/>
        </w:rPr>
      </w:pPr>
    </w:p>
    <w:p w14:paraId="7DDFCB64" w14:textId="77777777" w:rsidR="00222641" w:rsidRPr="003F471F" w:rsidRDefault="00222641" w:rsidP="00CA52FE">
      <w:pPr>
        <w:rPr>
          <w:lang w:val="it-IT"/>
        </w:rPr>
      </w:pPr>
      <w:r w:rsidRPr="003F471F">
        <w:rPr>
          <w:rFonts w:eastAsia="Calibri" w:cs="Tahoma"/>
          <w:b/>
          <w:bCs/>
          <w:color w:val="000000"/>
          <w:szCs w:val="18"/>
          <w:lang w:val="it-IT"/>
        </w:rPr>
        <w:t>Materiale.</w:t>
      </w:r>
      <w:r w:rsidR="00E34ED3" w:rsidRPr="003F471F">
        <w:rPr>
          <w:rFonts w:eastAsia="Calibri" w:cs="Tahoma"/>
          <w:b/>
          <w:bCs/>
          <w:color w:val="000000"/>
          <w:szCs w:val="18"/>
          <w:lang w:val="it-IT"/>
        </w:rPr>
        <w:t xml:space="preserve"> </w:t>
      </w:r>
      <w:r w:rsidRPr="003F471F">
        <w:rPr>
          <w:rFonts w:eastAsia="Calibri" w:cs="Tahoma"/>
          <w:bCs/>
          <w:color w:val="000000"/>
          <w:szCs w:val="18"/>
          <w:lang w:val="it-IT"/>
        </w:rPr>
        <w:t>Tutti i diritti relativi a qualsiasi materiale sviluppato da Microsoft, diverso dal codice di software, e fornito alla società al fine di erogare il Supporto per Windows Azure e il Supporto Professionale (“Materiale”) saranno di proprietà esclusiva di Microsoft, fatta eccezione per i casi in cui il suddetto Materiale costituisca il Lavoro Preesistente della società.</w:t>
      </w:r>
      <w:r w:rsidR="00E34ED3" w:rsidRPr="003F471F">
        <w:rPr>
          <w:rFonts w:eastAsia="Calibri" w:cs="Tahoma"/>
          <w:bCs/>
          <w:color w:val="000000"/>
          <w:szCs w:val="18"/>
          <w:lang w:val="it-IT"/>
        </w:rPr>
        <w:t xml:space="preserve"> </w:t>
      </w:r>
      <w:r w:rsidRPr="003F471F">
        <w:rPr>
          <w:rFonts w:eastAsia="Calibri" w:cs="Tahoma"/>
          <w:bCs/>
          <w:color w:val="000000"/>
          <w:szCs w:val="18"/>
          <w:lang w:val="it-IT"/>
        </w:rPr>
        <w:t>Microsoft concede alle società una licenza non esclusiva, perpetua, gratuita di utilizzo, riproduzione e</w:t>
      </w:r>
      <w:r w:rsidR="00700477" w:rsidRPr="003F471F">
        <w:rPr>
          <w:rFonts w:eastAsia="Calibri" w:cs="Tahoma"/>
          <w:bCs/>
          <w:color w:val="000000"/>
          <w:szCs w:val="18"/>
          <w:lang w:val="it-IT"/>
        </w:rPr>
        <w:t> </w:t>
      </w:r>
      <w:r w:rsidRPr="003F471F">
        <w:rPr>
          <w:rFonts w:eastAsia="Calibri" w:cs="Tahoma"/>
          <w:bCs/>
          <w:color w:val="000000"/>
          <w:szCs w:val="18"/>
          <w:lang w:val="it-IT"/>
        </w:rPr>
        <w:t>modifica del Materiale esclusivamente per le loro attività interne e senza alcuna obbligazione di contabilizzazione o</w:t>
      </w:r>
      <w:r w:rsidR="00700477" w:rsidRPr="003F471F">
        <w:rPr>
          <w:rFonts w:eastAsia="Calibri" w:cs="Tahoma"/>
          <w:bCs/>
          <w:color w:val="000000"/>
          <w:szCs w:val="18"/>
          <w:lang w:val="it-IT"/>
        </w:rPr>
        <w:t> </w:t>
      </w:r>
      <w:r w:rsidRPr="003F471F">
        <w:rPr>
          <w:rFonts w:eastAsia="Calibri" w:cs="Tahoma"/>
          <w:bCs/>
          <w:color w:val="000000"/>
          <w:szCs w:val="18"/>
          <w:lang w:val="it-IT"/>
        </w:rPr>
        <w:t>pagamento di royalty.</w:t>
      </w:r>
      <w:r w:rsidR="00E34ED3" w:rsidRPr="003F471F">
        <w:rPr>
          <w:rFonts w:eastAsia="Calibri" w:cs="Tahoma"/>
          <w:bCs/>
          <w:color w:val="000000"/>
          <w:szCs w:val="18"/>
          <w:lang w:val="it-IT"/>
        </w:rPr>
        <w:t xml:space="preserve"> </w:t>
      </w:r>
      <w:r w:rsidRPr="003F471F">
        <w:rPr>
          <w:rFonts w:eastAsia="Calibri" w:cs="Tahoma"/>
          <w:bCs/>
          <w:color w:val="000000"/>
          <w:szCs w:val="18"/>
          <w:lang w:val="it-IT"/>
        </w:rPr>
        <w:t>Le società potranno concedere in sublicenza alle proprie Consociate i diritti concessi nel presente documento.</w:t>
      </w:r>
      <w:r w:rsidR="00E34ED3" w:rsidRPr="003F471F">
        <w:rPr>
          <w:rFonts w:eastAsia="Calibri" w:cs="Tahoma"/>
          <w:bCs/>
          <w:color w:val="000000"/>
          <w:szCs w:val="18"/>
          <w:lang w:val="it-IT"/>
        </w:rPr>
        <w:t xml:space="preserve"> </w:t>
      </w:r>
      <w:r w:rsidRPr="003F471F">
        <w:rPr>
          <w:rFonts w:eastAsia="Calibri" w:cs="Tahoma"/>
          <w:bCs/>
          <w:color w:val="000000"/>
          <w:szCs w:val="18"/>
          <w:lang w:val="it-IT"/>
        </w:rPr>
        <w:t>Tutti i diritti non espressamente concessi sono riservati.</w:t>
      </w:r>
    </w:p>
    <w:p w14:paraId="0D8AC008" w14:textId="77777777" w:rsidR="003F47CB" w:rsidRPr="003F471F" w:rsidRDefault="003F47CB" w:rsidP="00700477">
      <w:pPr>
        <w:pStyle w:val="normal1"/>
        <w:rPr>
          <w:rFonts w:ascii="Tahoma" w:hAnsi="Tahoma" w:cs="Tahoma"/>
          <w:sz w:val="18"/>
          <w:szCs w:val="18"/>
          <w:lang w:val="it-IT"/>
        </w:rPr>
      </w:pPr>
    </w:p>
    <w:p w14:paraId="1EF59A65" w14:textId="77777777" w:rsidR="00B53C3C" w:rsidRPr="003F471F" w:rsidRDefault="00B53C3C" w:rsidP="00CA52FE">
      <w:pPr>
        <w:rPr>
          <w:lang w:val="it-IT"/>
        </w:rPr>
      </w:pPr>
      <w:r w:rsidRPr="003F471F">
        <w:rPr>
          <w:rFonts w:eastAsia="Calibri" w:cs="Tahoma"/>
          <w:b/>
          <w:bCs/>
          <w:color w:val="000000"/>
          <w:szCs w:val="18"/>
          <w:lang w:val="it-IT"/>
        </w:rPr>
        <w:t>Codice Campione.</w:t>
      </w:r>
      <w:r w:rsidR="00E34ED3" w:rsidRPr="003F471F">
        <w:rPr>
          <w:rFonts w:eastAsia="Calibri" w:cs="Tahoma"/>
          <w:b/>
          <w:bCs/>
          <w:color w:val="000000"/>
          <w:szCs w:val="18"/>
          <w:lang w:val="it-IT"/>
        </w:rPr>
        <w:t xml:space="preserve"> </w:t>
      </w:r>
      <w:r w:rsidRPr="003F471F">
        <w:rPr>
          <w:rFonts w:eastAsia="Calibri" w:cs="Tahoma"/>
          <w:bCs/>
          <w:color w:val="000000"/>
          <w:szCs w:val="18"/>
          <w:lang w:val="it-IT"/>
        </w:rPr>
        <w:t>Microsoft concede alle società un diritto non esclusivo, perpetuo e gratuito di utilizzare e modificare qualsiasi codice di software (“Codice Campione”) fornito da Microsoft allo scopo di illustrare e di riprodurre e distribuire il formato in codice oggetto del Codice Campione, a condizione che le società accettino di: (i) astenersi dall</w:t>
      </w:r>
      <w:r w:rsidR="001C4212" w:rsidRPr="003F471F">
        <w:rPr>
          <w:rFonts w:eastAsia="Calibri" w:cs="Tahoma"/>
          <w:bCs/>
          <w:color w:val="000000"/>
          <w:szCs w:val="18"/>
          <w:lang w:val="it-IT"/>
        </w:rPr>
        <w:t>’</w:t>
      </w:r>
      <w:r w:rsidRPr="003F471F">
        <w:rPr>
          <w:rFonts w:eastAsia="Calibri" w:cs="Tahoma"/>
          <w:bCs/>
          <w:color w:val="000000"/>
          <w:szCs w:val="18"/>
          <w:lang w:val="it-IT"/>
        </w:rPr>
        <w:t>utilizzare il nome, il logo o i marchi Microsoft per commercializzare il proprio prodotto software nel quale è incorporato il Codice Campione, (ii) includere valide informazioni sul copyright nel proprio prodotto software nel quale è incorporato il Codice Campione e (iii) indennizzare, manlevare e difendere Microsoft e i suoi fornitori da ogni e qualsiasi reclamo o azione giudiziaria, ivi incluse le spese legali che derivino o risultino dall</w:t>
      </w:r>
      <w:r w:rsidR="001C4212" w:rsidRPr="003F471F">
        <w:rPr>
          <w:rFonts w:eastAsia="Calibri" w:cs="Tahoma"/>
          <w:bCs/>
          <w:color w:val="000000"/>
          <w:szCs w:val="18"/>
          <w:lang w:val="it-IT"/>
        </w:rPr>
        <w:t>’</w:t>
      </w:r>
      <w:r w:rsidRPr="003F471F">
        <w:rPr>
          <w:rFonts w:eastAsia="Calibri" w:cs="Tahoma"/>
          <w:bCs/>
          <w:color w:val="000000"/>
          <w:szCs w:val="18"/>
          <w:lang w:val="it-IT"/>
        </w:rPr>
        <w:t xml:space="preserve">utilizzo o dalla distribuzione del Codice Campione. </w:t>
      </w:r>
    </w:p>
    <w:p w14:paraId="4F30E3F7" w14:textId="77777777" w:rsidR="003F47CB" w:rsidRPr="003F471F" w:rsidRDefault="003F47CB" w:rsidP="00CA52FE">
      <w:pPr>
        <w:rPr>
          <w:lang w:val="it-IT"/>
        </w:rPr>
      </w:pPr>
    </w:p>
    <w:p w14:paraId="21A65B51" w14:textId="77777777" w:rsidR="00DB2D1E" w:rsidRPr="003F471F" w:rsidRDefault="00DB2D1E" w:rsidP="00CA52FE">
      <w:pPr>
        <w:pStyle w:val="normal1"/>
        <w:rPr>
          <w:lang w:val="it-IT"/>
        </w:rPr>
      </w:pPr>
      <w:r w:rsidRPr="003F471F">
        <w:rPr>
          <w:rFonts w:ascii="Tahoma" w:hAnsi="Tahoma" w:cs="Tahoma"/>
          <w:b/>
          <w:bCs/>
          <w:color w:val="000000"/>
          <w:sz w:val="18"/>
          <w:szCs w:val="18"/>
          <w:lang w:val="it-IT"/>
        </w:rPr>
        <w:t>Restrizioni di Licenza Open Source</w:t>
      </w:r>
      <w:r w:rsidRPr="003F471F">
        <w:rPr>
          <w:rFonts w:ascii="Tahoma" w:hAnsi="Tahoma" w:cs="Tahoma"/>
          <w:color w:val="000000"/>
          <w:sz w:val="18"/>
          <w:szCs w:val="18"/>
          <w:lang w:val="it-IT"/>
        </w:rPr>
        <w:t>. Poiché alcune condizioni di licenza di terzi richiedono che il codice per computer sia a livello generale (i) divulgato a terzi nel formato in codice sorgente, (ii) concesso in licenza a terzi allo scopo di creare lavori derivati oppure (iii) ridistribuibile gratuitamente a terzi (collettivamente, “Condizioni di Licenza Open Source”), i diritti di licenza concessi da ciascuna parte relativamente a qualsiasi codice per computer, o a qualsiasi proprietà intellettuale ad esso associata, non comprendono alcuna licenza, diritto o potere di incorporare, modificare, associare e/o distribuire tale codice per computer con qualsiasi altro codice per computer in modo tale da</w:t>
      </w:r>
      <w:r w:rsidR="00700477" w:rsidRPr="003F471F">
        <w:rPr>
          <w:rFonts w:ascii="Tahoma" w:hAnsi="Tahoma" w:cs="Tahoma"/>
          <w:color w:val="000000"/>
          <w:sz w:val="18"/>
          <w:szCs w:val="18"/>
          <w:lang w:val="it-IT"/>
        </w:rPr>
        <w:t> </w:t>
      </w:r>
      <w:r w:rsidRPr="003F471F">
        <w:rPr>
          <w:rFonts w:ascii="Tahoma" w:hAnsi="Tahoma" w:cs="Tahoma"/>
          <w:color w:val="000000"/>
          <w:sz w:val="18"/>
          <w:szCs w:val="18"/>
          <w:lang w:val="it-IT"/>
        </w:rPr>
        <w:t>assoggettare il codice per computer dell</w:t>
      </w:r>
      <w:r w:rsidR="001C4212" w:rsidRPr="003F471F">
        <w:rPr>
          <w:rFonts w:ascii="Tahoma" w:hAnsi="Tahoma" w:cs="Tahoma"/>
          <w:color w:val="000000"/>
          <w:sz w:val="18"/>
          <w:szCs w:val="18"/>
          <w:lang w:val="it-IT"/>
        </w:rPr>
        <w:t>’</w:t>
      </w:r>
      <w:r w:rsidRPr="003F471F">
        <w:rPr>
          <w:rFonts w:ascii="Tahoma" w:hAnsi="Tahoma" w:cs="Tahoma"/>
          <w:color w:val="000000"/>
          <w:sz w:val="18"/>
          <w:szCs w:val="18"/>
          <w:lang w:val="it-IT"/>
        </w:rPr>
        <w:t>altra parte a Condizioni di Licenza Open Source. Inoltre, ciascuna parte garantisce che non fornirà né metterà a disposizione dell</w:t>
      </w:r>
      <w:r w:rsidR="001C4212" w:rsidRPr="003F471F">
        <w:rPr>
          <w:rFonts w:ascii="Tahoma" w:hAnsi="Tahoma" w:cs="Tahoma"/>
          <w:color w:val="000000"/>
          <w:sz w:val="18"/>
          <w:szCs w:val="18"/>
          <w:lang w:val="it-IT"/>
        </w:rPr>
        <w:t>’</w:t>
      </w:r>
      <w:r w:rsidRPr="003F471F">
        <w:rPr>
          <w:rFonts w:ascii="Tahoma" w:hAnsi="Tahoma" w:cs="Tahoma"/>
          <w:color w:val="000000"/>
          <w:sz w:val="18"/>
          <w:szCs w:val="18"/>
          <w:lang w:val="it-IT"/>
        </w:rPr>
        <w:t>altra parte codice per computer che sia disciplinato da Condizioni di Licenza Open Source.</w:t>
      </w:r>
    </w:p>
    <w:p w14:paraId="0609EB13" w14:textId="77777777" w:rsidR="003F47CB" w:rsidRPr="003F471F" w:rsidRDefault="003F47CB" w:rsidP="00CA52FE">
      <w:pPr>
        <w:pStyle w:val="normal1"/>
        <w:rPr>
          <w:lang w:val="it-IT"/>
        </w:rPr>
      </w:pPr>
    </w:p>
    <w:p w14:paraId="458BF7AB" w14:textId="77777777" w:rsidR="00700477" w:rsidRPr="003F471F" w:rsidRDefault="00700477" w:rsidP="00CA52FE">
      <w:pPr>
        <w:pStyle w:val="normal1"/>
        <w:rPr>
          <w:lang w:val="it-IT"/>
        </w:rPr>
      </w:pPr>
    </w:p>
    <w:p w14:paraId="25A924B4" w14:textId="77777777" w:rsidR="00700477" w:rsidRPr="003F471F" w:rsidRDefault="00700477" w:rsidP="00CA52FE">
      <w:pPr>
        <w:pStyle w:val="normal1"/>
        <w:rPr>
          <w:lang w:val="it-IT"/>
        </w:rPr>
      </w:pPr>
    </w:p>
    <w:p w14:paraId="64F1CF1A" w14:textId="77777777" w:rsidR="00DB2D1E" w:rsidRPr="003F471F" w:rsidRDefault="00DB2D1E" w:rsidP="00CA52FE">
      <w:pPr>
        <w:pStyle w:val="normal1"/>
        <w:rPr>
          <w:lang w:val="it-IT"/>
        </w:rPr>
      </w:pPr>
      <w:r w:rsidRPr="003F471F">
        <w:rPr>
          <w:rFonts w:ascii="Tahoma" w:hAnsi="Tahoma" w:cs="Tahoma"/>
          <w:b/>
          <w:bCs/>
          <w:color w:val="000000"/>
          <w:sz w:val="18"/>
          <w:szCs w:val="18"/>
          <w:lang w:val="it-IT"/>
        </w:rPr>
        <w:t>Diritti delle Consociate.</w:t>
      </w:r>
      <w:r w:rsidR="00E34ED3" w:rsidRPr="003F471F">
        <w:rPr>
          <w:rFonts w:ascii="Tahoma" w:hAnsi="Tahoma" w:cs="Tahoma"/>
          <w:color w:val="000000"/>
          <w:sz w:val="18"/>
          <w:szCs w:val="18"/>
          <w:lang w:val="it-IT"/>
        </w:rPr>
        <w:t xml:space="preserve"> </w:t>
      </w:r>
      <w:r w:rsidRPr="003F471F">
        <w:rPr>
          <w:rFonts w:ascii="Tahoma" w:hAnsi="Tahoma" w:cs="Tahoma"/>
          <w:color w:val="000000"/>
          <w:sz w:val="18"/>
          <w:szCs w:val="18"/>
          <w:lang w:val="it-IT"/>
        </w:rPr>
        <w:t>La Società può concedere in sublicenza alle proprie Consociate i diritti contenuti nel</w:t>
      </w:r>
      <w:r w:rsidR="00700477" w:rsidRPr="003F471F">
        <w:rPr>
          <w:rFonts w:ascii="Tahoma" w:hAnsi="Tahoma" w:cs="Tahoma"/>
          <w:color w:val="000000"/>
          <w:sz w:val="18"/>
          <w:szCs w:val="18"/>
          <w:lang w:val="it-IT"/>
        </w:rPr>
        <w:t> </w:t>
      </w:r>
      <w:r w:rsidRPr="003F471F">
        <w:rPr>
          <w:rFonts w:ascii="Tahoma" w:hAnsi="Tahoma" w:cs="Tahoma"/>
          <w:color w:val="000000"/>
          <w:sz w:val="18"/>
          <w:szCs w:val="18"/>
          <w:lang w:val="it-IT"/>
        </w:rPr>
        <w:t>presente sottoparagrafo relativi al Materiale Fornito con i Servizi. Tali Consociate, tuttavia, non potranno ulteriormente concedere in sublicenza tali diritti e il loro utilizzo dovrà essere conforme alle condizioni di licenza previste nel presente contratto.</w:t>
      </w:r>
    </w:p>
    <w:p w14:paraId="2BA2FDC0" w14:textId="77777777" w:rsidR="001C1727" w:rsidRPr="003F471F" w:rsidRDefault="001C1727">
      <w:pPr>
        <w:rPr>
          <w:lang w:val="it-IT"/>
        </w:rPr>
      </w:pPr>
    </w:p>
    <w:p w14:paraId="26ED7868" w14:textId="77777777" w:rsidR="00DB2D1E" w:rsidRPr="003F471F" w:rsidRDefault="00DB2D1E" w:rsidP="00CA52FE">
      <w:pPr>
        <w:rPr>
          <w:lang w:val="it-IT"/>
        </w:rPr>
      </w:pPr>
      <w:r w:rsidRPr="003F471F">
        <w:rPr>
          <w:rFonts w:cs="Tahoma"/>
          <w:b/>
          <w:bCs/>
          <w:color w:val="000000"/>
          <w:szCs w:val="18"/>
          <w:lang w:val="it-IT"/>
        </w:rPr>
        <w:t>Riserva di Diritti.</w:t>
      </w:r>
      <w:r w:rsidR="00E34ED3" w:rsidRPr="003F471F">
        <w:rPr>
          <w:rFonts w:cs="Tahoma"/>
          <w:color w:val="000000"/>
          <w:szCs w:val="18"/>
          <w:lang w:val="it-IT"/>
        </w:rPr>
        <w:t xml:space="preserve"> </w:t>
      </w:r>
      <w:r w:rsidRPr="003F471F">
        <w:rPr>
          <w:rFonts w:cs="Tahoma"/>
          <w:color w:val="000000"/>
          <w:szCs w:val="18"/>
          <w:lang w:val="it-IT"/>
        </w:rPr>
        <w:t>Tutti i diritti non espressamente concessi sono riservati.</w:t>
      </w:r>
    </w:p>
    <w:p w14:paraId="7F30F675" w14:textId="77777777" w:rsidR="00DB2D1E" w:rsidRPr="003F471F" w:rsidRDefault="00DB2D1E" w:rsidP="00CA52FE">
      <w:pPr>
        <w:rPr>
          <w:lang w:val="it-IT"/>
        </w:rPr>
      </w:pPr>
    </w:p>
    <w:p w14:paraId="146BEE0D" w14:textId="77777777" w:rsidR="00DD7F8E" w:rsidRPr="003F471F" w:rsidRDefault="00DD7F8E" w:rsidP="00E77F1E">
      <w:pPr>
        <w:spacing w:after="60"/>
        <w:rPr>
          <w:lang w:val="it-IT"/>
        </w:rPr>
      </w:pPr>
      <w:r w:rsidRPr="003F471F">
        <w:rPr>
          <w:b/>
          <w:szCs w:val="18"/>
          <w:lang w:val="it-IT"/>
        </w:rPr>
        <w:t>Garanzie, Dichiarazioni di non Responsabilità e Limitazioni di Responsabilità</w:t>
      </w:r>
    </w:p>
    <w:p w14:paraId="0B9832D5" w14:textId="77777777" w:rsidR="00DD7F8E" w:rsidRPr="003F471F" w:rsidRDefault="00DD7F8E" w:rsidP="00CA52FE">
      <w:pPr>
        <w:ind w:left="360"/>
        <w:rPr>
          <w:spacing w:val="-4"/>
          <w:lang w:val="it-IT"/>
        </w:rPr>
      </w:pPr>
      <w:r w:rsidRPr="003F471F">
        <w:rPr>
          <w:rFonts w:cs="Tahoma"/>
          <w:b/>
          <w:color w:val="000000"/>
          <w:spacing w:val="-4"/>
          <w:szCs w:val="18"/>
          <w:lang w:val="it-IT"/>
        </w:rPr>
        <w:t>Garanzia per i Servizi</w:t>
      </w:r>
      <w:r w:rsidRPr="003F471F">
        <w:rPr>
          <w:rFonts w:cs="Tahoma"/>
          <w:color w:val="000000"/>
          <w:spacing w:val="-4"/>
          <w:szCs w:val="18"/>
          <w:lang w:val="it-IT"/>
        </w:rPr>
        <w:t>.</w:t>
      </w:r>
      <w:r w:rsidR="00E34ED3" w:rsidRPr="003F471F">
        <w:rPr>
          <w:rFonts w:cs="Tahoma"/>
          <w:color w:val="000000"/>
          <w:spacing w:val="-4"/>
          <w:szCs w:val="18"/>
          <w:lang w:val="it-IT"/>
        </w:rPr>
        <w:t xml:space="preserve"> </w:t>
      </w:r>
      <w:r w:rsidRPr="003F471F">
        <w:rPr>
          <w:rFonts w:cs="Tahoma"/>
          <w:color w:val="000000"/>
          <w:spacing w:val="-4"/>
          <w:szCs w:val="18"/>
          <w:lang w:val="it-IT"/>
        </w:rPr>
        <w:t>Microsoft garantisce che tutti i Servizi verranno eseguiti con cura e competenza professionali.</w:t>
      </w:r>
    </w:p>
    <w:p w14:paraId="68E2BB24" w14:textId="77777777" w:rsidR="00DD7F8E" w:rsidRPr="003F471F" w:rsidRDefault="00DD7F8E" w:rsidP="00CA52FE">
      <w:pPr>
        <w:ind w:left="360"/>
        <w:rPr>
          <w:lang w:val="it-IT"/>
        </w:rPr>
      </w:pPr>
    </w:p>
    <w:p w14:paraId="5D3242E5" w14:textId="77777777" w:rsidR="00DD7F8E" w:rsidRPr="003F471F" w:rsidRDefault="00DD7F8E" w:rsidP="00CA52FE">
      <w:pPr>
        <w:ind w:left="360"/>
        <w:rPr>
          <w:lang w:val="it-IT"/>
        </w:rPr>
      </w:pPr>
      <w:r w:rsidRPr="003F471F">
        <w:rPr>
          <w:b/>
          <w:szCs w:val="18"/>
          <w:lang w:val="it-IT"/>
        </w:rPr>
        <w:t>ESCLUSIONE DI ALTRE GARANZIE</w:t>
      </w:r>
      <w:r w:rsidRPr="003F471F">
        <w:rPr>
          <w:b/>
          <w:i/>
          <w:szCs w:val="18"/>
          <w:lang w:val="it-IT"/>
        </w:rPr>
        <w:t>.</w:t>
      </w:r>
      <w:r w:rsidR="00E34ED3" w:rsidRPr="003F471F">
        <w:rPr>
          <w:szCs w:val="18"/>
          <w:lang w:val="it-IT"/>
        </w:rPr>
        <w:t xml:space="preserve"> </w:t>
      </w:r>
      <w:r w:rsidRPr="003F471F">
        <w:rPr>
          <w:szCs w:val="18"/>
          <w:lang w:val="it-IT"/>
        </w:rPr>
        <w:t>NELLA MISURA MASSIMA CONSENTITA DALLA LEGGE APPLICABILE, MICROSOFT NON RICONOSCE ED ESCLUDE TUTTE LE DICHIARAZIONI, LE GARANZIE E LE CONDIZIONI ESPRESSE, IMPLICITE O DI LEGGE DIVERSE DA QUELLE SPECIFICATAMENTE INDICATE NEL PRESENTE CONTRATTO.</w:t>
      </w:r>
      <w:r w:rsidR="00E34ED3" w:rsidRPr="003F471F">
        <w:rPr>
          <w:szCs w:val="18"/>
          <w:lang w:val="it-IT"/>
        </w:rPr>
        <w:t xml:space="preserve"> </w:t>
      </w:r>
      <w:r w:rsidRPr="003F471F">
        <w:rPr>
          <w:szCs w:val="18"/>
          <w:lang w:val="it-IT"/>
        </w:rPr>
        <w:t>LA PRESENTE DICHIARAZIONE DI NON RESPONSABILITÀ INCLUDE QUALSIASI GARANZIA O</w:t>
      </w:r>
      <w:r w:rsidR="00700477" w:rsidRPr="003F471F">
        <w:rPr>
          <w:szCs w:val="18"/>
          <w:lang w:val="it-IT"/>
        </w:rPr>
        <w:t> </w:t>
      </w:r>
      <w:r w:rsidRPr="003F471F">
        <w:rPr>
          <w:szCs w:val="18"/>
          <w:lang w:val="it-IT"/>
        </w:rPr>
        <w:t>CONDIZIONE DI TITOLARITÀ, DI NON VIOLAZIONE DI DIRITTI ALTRUI, DI QUALITÀ O RISULTATI SODDISFACENTI, DI COMMERCIABILITÀ (QUALITÀ NON INFERIORE ALLA MEDIA) E DI ADEGUATEZZA PER UNO SCOPO SPECIFICO, RELATIVAMENTE A CONSULENZA, RACCOMANDAZIONI, FIX, MATERIALE FORNITO CON I SERVIZI E MATERIALE CORRELATO FORNITO DA MICROSOFT E DA CONSOCIATE, FORNITORI E</w:t>
      </w:r>
      <w:r w:rsidR="00700477" w:rsidRPr="003F471F">
        <w:rPr>
          <w:szCs w:val="18"/>
          <w:lang w:val="it-IT"/>
        </w:rPr>
        <w:t> </w:t>
      </w:r>
      <w:r w:rsidRPr="003F471F">
        <w:rPr>
          <w:szCs w:val="18"/>
          <w:lang w:val="it-IT"/>
        </w:rPr>
        <w:t>APPALTATORI MICROSOFT DURANTE L</w:t>
      </w:r>
      <w:r w:rsidR="001C4212" w:rsidRPr="003F471F">
        <w:rPr>
          <w:szCs w:val="18"/>
          <w:lang w:val="it-IT"/>
        </w:rPr>
        <w:t>’</w:t>
      </w:r>
      <w:r w:rsidRPr="003F471F">
        <w:rPr>
          <w:szCs w:val="18"/>
          <w:lang w:val="it-IT"/>
        </w:rPr>
        <w:t>EROGAZIONE DEI SERVIZI.</w:t>
      </w:r>
      <w:r w:rsidR="00E34ED3" w:rsidRPr="003F471F">
        <w:rPr>
          <w:szCs w:val="18"/>
          <w:lang w:val="it-IT"/>
        </w:rPr>
        <w:t xml:space="preserve"> </w:t>
      </w:r>
    </w:p>
    <w:p w14:paraId="6C3D3DD4" w14:textId="77777777" w:rsidR="00DD7F8E" w:rsidRPr="003F471F" w:rsidRDefault="00DD7F8E" w:rsidP="00CA52FE">
      <w:pPr>
        <w:ind w:left="360"/>
        <w:rPr>
          <w:lang w:val="it-IT"/>
        </w:rPr>
      </w:pPr>
    </w:p>
    <w:p w14:paraId="0479EAC6" w14:textId="77777777" w:rsidR="00DD7F8E" w:rsidRPr="003F471F" w:rsidRDefault="00DD7F8E" w:rsidP="00CA52FE">
      <w:pPr>
        <w:ind w:left="360"/>
        <w:rPr>
          <w:lang w:val="it-IT"/>
        </w:rPr>
      </w:pPr>
      <w:r w:rsidRPr="003F471F">
        <w:rPr>
          <w:b/>
          <w:szCs w:val="18"/>
          <w:lang w:val="it-IT"/>
        </w:rPr>
        <w:t>Limitazione di Responsabilità</w:t>
      </w:r>
      <w:r w:rsidRPr="003F471F">
        <w:rPr>
          <w:szCs w:val="18"/>
          <w:lang w:val="it-IT"/>
        </w:rPr>
        <w:t>.</w:t>
      </w:r>
      <w:r w:rsidR="00E34ED3" w:rsidRPr="003F471F">
        <w:rPr>
          <w:szCs w:val="18"/>
          <w:lang w:val="it-IT"/>
        </w:rPr>
        <w:t xml:space="preserve"> </w:t>
      </w:r>
      <w:r w:rsidRPr="003F471F">
        <w:rPr>
          <w:szCs w:val="18"/>
          <w:lang w:val="it-IT"/>
        </w:rPr>
        <w:t>La responsabilità complessiva di Microsoft per i danni diretti sarà limitata alla misura massima consentita dalla legge applicabile agli importi versati dalla Società per il pagamento dei Servizi che hanno dato origine al reclamo nei 12 mesi precedenti al reclamo.</w:t>
      </w:r>
      <w:r w:rsidR="00E34ED3" w:rsidRPr="003F471F">
        <w:rPr>
          <w:szCs w:val="18"/>
          <w:lang w:val="it-IT"/>
        </w:rPr>
        <w:t xml:space="preserve"> </w:t>
      </w:r>
    </w:p>
    <w:p w14:paraId="5430720A" w14:textId="77777777" w:rsidR="00DD7F8E" w:rsidRPr="003F471F" w:rsidRDefault="00DD7F8E" w:rsidP="00CA52FE">
      <w:pPr>
        <w:ind w:left="360"/>
        <w:rPr>
          <w:lang w:val="it-IT"/>
        </w:rPr>
      </w:pPr>
    </w:p>
    <w:p w14:paraId="6193C7BE" w14:textId="77777777" w:rsidR="00DD7F8E" w:rsidRPr="003F471F" w:rsidRDefault="00DD7F8E" w:rsidP="00CA52FE">
      <w:pPr>
        <w:ind w:left="360"/>
        <w:rPr>
          <w:spacing w:val="-4"/>
          <w:lang w:val="it-IT"/>
        </w:rPr>
      </w:pPr>
      <w:r w:rsidRPr="003F471F">
        <w:rPr>
          <w:b/>
          <w:spacing w:val="-4"/>
          <w:szCs w:val="18"/>
          <w:lang w:val="it-IT"/>
        </w:rPr>
        <w:t>ESCLUSIONE DI RESPONSABILITÀ PER DANNI PARTICOLARI</w:t>
      </w:r>
      <w:r w:rsidRPr="003F471F">
        <w:rPr>
          <w:spacing w:val="-4"/>
          <w:szCs w:val="18"/>
          <w:lang w:val="it-IT"/>
        </w:rPr>
        <w:t>.</w:t>
      </w:r>
      <w:r w:rsidR="00E34ED3" w:rsidRPr="003F471F">
        <w:rPr>
          <w:spacing w:val="-4"/>
          <w:szCs w:val="18"/>
          <w:lang w:val="it-IT"/>
        </w:rPr>
        <w:t xml:space="preserve"> </w:t>
      </w:r>
      <w:r w:rsidRPr="003F471F">
        <w:rPr>
          <w:spacing w:val="-4"/>
          <w:szCs w:val="18"/>
          <w:lang w:val="it-IT"/>
        </w:rPr>
        <w:t>NELLA MISURA MASSIMA CONSENTITA DALLA LEGGE APPLICABILE, NESSUNA DELLE PARTI NÉ DELLE RELATIVE CONSOCIATE O DEI RELATIVI FORNITORI O APPALTATORI SARÀ RESPONSABILE DI EVENTUALI DANNI INDIRETTI (INCLUSI, A TITOLO ESEMPLIFICATIVO, DANNI CONSEQUENZIALI, SPECIALI O INCIDENTALI, DANNI PER PERDITA O MANCATO GUADAGNO, INTERRUZIONE DELL</w:t>
      </w:r>
      <w:r w:rsidR="001C4212" w:rsidRPr="003F471F">
        <w:rPr>
          <w:spacing w:val="-4"/>
          <w:szCs w:val="18"/>
          <w:lang w:val="it-IT"/>
        </w:rPr>
        <w:t>’</w:t>
      </w:r>
      <w:r w:rsidRPr="003F471F">
        <w:rPr>
          <w:spacing w:val="-4"/>
          <w:szCs w:val="18"/>
          <w:lang w:val="it-IT"/>
        </w:rPr>
        <w:t>ATTIVITÀ O PERDITA DI INFORMAZIONI) CORRELATI AL PRESENTE CONTRATTO, ANCHE NEL</w:t>
      </w:r>
      <w:r w:rsidR="00700477" w:rsidRPr="003F471F">
        <w:rPr>
          <w:spacing w:val="-4"/>
          <w:szCs w:val="18"/>
          <w:lang w:val="it-IT"/>
        </w:rPr>
        <w:t> </w:t>
      </w:r>
      <w:r w:rsidRPr="003F471F">
        <w:rPr>
          <w:spacing w:val="-4"/>
          <w:szCs w:val="18"/>
          <w:lang w:val="it-IT"/>
        </w:rPr>
        <w:t>CASO IN CUI LA POSSIBILITÀ DEL VERIFICARSI DI TALI DANNI FOSSE STATA COMUNICATA O FOSSE RAGIONEVOLMENTE PREVEDIBILE.</w:t>
      </w:r>
      <w:r w:rsidR="00E34ED3" w:rsidRPr="003F471F">
        <w:rPr>
          <w:spacing w:val="-4"/>
          <w:szCs w:val="18"/>
          <w:lang w:val="it-IT"/>
        </w:rPr>
        <w:t xml:space="preserve"> </w:t>
      </w:r>
      <w:r w:rsidRPr="003F471F">
        <w:rPr>
          <w:spacing w:val="-4"/>
          <w:szCs w:val="18"/>
          <w:lang w:val="it-IT"/>
        </w:rPr>
        <w:t>TALE ESCLUSIONE DI RESPONSABILITÀ NON SI</w:t>
      </w:r>
      <w:r w:rsidR="00700477" w:rsidRPr="003F471F">
        <w:rPr>
          <w:spacing w:val="-4"/>
          <w:szCs w:val="18"/>
          <w:lang w:val="it-IT"/>
        </w:rPr>
        <w:t> </w:t>
      </w:r>
      <w:r w:rsidRPr="003F471F">
        <w:rPr>
          <w:spacing w:val="-4"/>
          <w:szCs w:val="18"/>
          <w:lang w:val="it-IT"/>
        </w:rPr>
        <w:t>APPLICA NEL CASO DI INADEMPIMENTO DELLE OBBLIGAZIONI DI RISERVATEZZA DI UNA PARTE NEI CONFRONTI DELL</w:t>
      </w:r>
      <w:r w:rsidR="001C4212" w:rsidRPr="003F471F">
        <w:rPr>
          <w:spacing w:val="-4"/>
          <w:szCs w:val="18"/>
          <w:lang w:val="it-IT"/>
        </w:rPr>
        <w:t>’</w:t>
      </w:r>
      <w:r w:rsidRPr="003F471F">
        <w:rPr>
          <w:spacing w:val="-4"/>
          <w:szCs w:val="18"/>
          <w:lang w:val="it-IT"/>
        </w:rPr>
        <w:t>ALTRA O NEL CASO DI VIOLAZIONE DEI DIRITTI DI PROPRIETÀ INTELLETTUALE DELL</w:t>
      </w:r>
      <w:r w:rsidR="001C4212" w:rsidRPr="003F471F">
        <w:rPr>
          <w:spacing w:val="-4"/>
          <w:szCs w:val="18"/>
          <w:lang w:val="it-IT"/>
        </w:rPr>
        <w:t>’</w:t>
      </w:r>
      <w:r w:rsidRPr="003F471F">
        <w:rPr>
          <w:spacing w:val="-4"/>
          <w:szCs w:val="18"/>
          <w:lang w:val="it-IT"/>
        </w:rPr>
        <w:t>ALTRA PARTE.</w:t>
      </w:r>
    </w:p>
    <w:p w14:paraId="7D62A341" w14:textId="77777777" w:rsidR="00DD7F8E" w:rsidRPr="003F471F" w:rsidRDefault="00DD7F8E" w:rsidP="00CA52FE">
      <w:pPr>
        <w:ind w:left="360" w:hanging="360"/>
        <w:jc w:val="both"/>
        <w:rPr>
          <w:lang w:val="it-IT"/>
        </w:rPr>
      </w:pPr>
    </w:p>
    <w:p w14:paraId="4C1DEFA5" w14:textId="77777777" w:rsidR="00DD7F8E" w:rsidRPr="003F471F" w:rsidRDefault="00DD7F8E" w:rsidP="00CA52FE">
      <w:pPr>
        <w:ind w:left="360"/>
        <w:rPr>
          <w:lang w:val="it-IT"/>
        </w:rPr>
      </w:pPr>
      <w:r w:rsidRPr="003F471F">
        <w:rPr>
          <w:b/>
          <w:szCs w:val="18"/>
          <w:lang w:val="it-IT"/>
        </w:rPr>
        <w:t>Applicazione</w:t>
      </w:r>
      <w:r w:rsidRPr="003F471F">
        <w:rPr>
          <w:szCs w:val="18"/>
          <w:lang w:val="it-IT"/>
        </w:rPr>
        <w:t>.</w:t>
      </w:r>
      <w:r w:rsidR="00E34ED3" w:rsidRPr="003F471F">
        <w:rPr>
          <w:szCs w:val="18"/>
          <w:lang w:val="it-IT"/>
        </w:rPr>
        <w:t xml:space="preserve"> </w:t>
      </w:r>
      <w:r w:rsidRPr="003F471F">
        <w:rPr>
          <w:szCs w:val="18"/>
          <w:lang w:val="it-IT"/>
        </w:rPr>
        <w:t>Fatto salvo quanto espressamente indicato nel presente documento, le limitazioni e le esclusioni di responsabilità per danni, contenute nel presente contratto, sono comunque applicabili qualunque sia la natura della responsabilità, ovvero anche nel caso in cui la responsabilità derivi da inadempimento contrattuale, illecito civile (inclusa la negligenza), responsabilità oggettiva o violazione di garanzie.</w:t>
      </w:r>
    </w:p>
    <w:p w14:paraId="337F70AC" w14:textId="77777777" w:rsidR="00023FE7" w:rsidRPr="003F471F" w:rsidRDefault="00023FE7">
      <w:pPr>
        <w:tabs>
          <w:tab w:val="left" w:pos="2936"/>
        </w:tabs>
        <w:rPr>
          <w:lang w:val="it-IT"/>
        </w:rPr>
      </w:pPr>
    </w:p>
    <w:p w14:paraId="3B124742" w14:textId="77777777" w:rsidR="000F4095" w:rsidRPr="003F471F" w:rsidRDefault="000F4095" w:rsidP="000F4095">
      <w:pPr>
        <w:rPr>
          <w:lang w:val="it-IT"/>
        </w:rPr>
      </w:pPr>
      <w:r w:rsidRPr="003F471F">
        <w:rPr>
          <w:b/>
          <w:sz w:val="24"/>
          <w:szCs w:val="24"/>
          <w:lang w:val="it-IT"/>
        </w:rPr>
        <w:t>Offerte di Supporto per Microsoft Dynamics CRM Online</w:t>
      </w:r>
    </w:p>
    <w:p w14:paraId="47448179" w14:textId="77777777" w:rsidR="000F4095" w:rsidRPr="003F471F" w:rsidRDefault="000F4095" w:rsidP="000F4095">
      <w:pPr>
        <w:rPr>
          <w:lang w:val="it-IT"/>
        </w:rPr>
      </w:pPr>
    </w:p>
    <w:p w14:paraId="2A27D846" w14:textId="77777777" w:rsidR="000F4095" w:rsidRPr="003F471F" w:rsidRDefault="000F4095" w:rsidP="000F4095">
      <w:pPr>
        <w:jc w:val="both"/>
        <w:rPr>
          <w:lang w:val="it-IT"/>
        </w:rPr>
      </w:pPr>
      <w:r w:rsidRPr="003F471F">
        <w:rPr>
          <w:rFonts w:cs="Arial"/>
          <w:color w:val="000000"/>
          <w:szCs w:val="18"/>
          <w:lang w:val="it-IT"/>
        </w:rPr>
        <w:t xml:space="preserve">Salvo quanto diversamente specificato sotto, i Servizi di Supporto per Microsoft Dynamics CRM Online sono disponibili per Microsoft Dynamics CRM Online. </w:t>
      </w:r>
    </w:p>
    <w:p w14:paraId="55A0BCAF" w14:textId="77777777" w:rsidR="000F4095" w:rsidRPr="003F471F" w:rsidRDefault="000F4095" w:rsidP="000F4095">
      <w:pPr>
        <w:tabs>
          <w:tab w:val="left" w:pos="360"/>
        </w:tabs>
        <w:jc w:val="both"/>
        <w:rPr>
          <w:lang w:val="it-IT"/>
        </w:rPr>
      </w:pPr>
    </w:p>
    <w:p w14:paraId="12737BD0" w14:textId="77777777" w:rsidR="000F4095" w:rsidRPr="003F471F" w:rsidRDefault="000F4095" w:rsidP="000F4095">
      <w:pPr>
        <w:tabs>
          <w:tab w:val="left" w:pos="360"/>
        </w:tabs>
        <w:jc w:val="both"/>
        <w:rPr>
          <w:lang w:val="it-IT"/>
        </w:rPr>
      </w:pPr>
      <w:r w:rsidRPr="003F471F">
        <w:rPr>
          <w:rFonts w:cs="Arial"/>
          <w:szCs w:val="18"/>
          <w:lang w:val="it-IT"/>
        </w:rPr>
        <w:t xml:space="preserve">I Servizi verranno forniti dal team di Supporto di Microsoft </w:t>
      </w:r>
      <w:r w:rsidRPr="003F471F">
        <w:rPr>
          <w:rFonts w:cs="Arial"/>
          <w:color w:val="000000"/>
          <w:szCs w:val="18"/>
          <w:lang w:val="it-IT"/>
        </w:rPr>
        <w:t>Dynamics CRM Online</w:t>
      </w:r>
      <w:r w:rsidRPr="003F471F">
        <w:rPr>
          <w:rFonts w:cs="Arial"/>
          <w:szCs w:val="18"/>
          <w:lang w:val="it-IT"/>
        </w:rPr>
        <w:t>, che comprende specialisti di</w:t>
      </w:r>
      <w:r w:rsidR="00700477" w:rsidRPr="003F471F">
        <w:rPr>
          <w:rFonts w:cs="Arial"/>
          <w:szCs w:val="18"/>
          <w:lang w:val="it-IT"/>
        </w:rPr>
        <w:t> </w:t>
      </w:r>
      <w:r w:rsidRPr="003F471F">
        <w:rPr>
          <w:rFonts w:cs="Arial"/>
          <w:szCs w:val="18"/>
          <w:lang w:val="it-IT"/>
        </w:rPr>
        <w:t xml:space="preserve">Microsoft </w:t>
      </w:r>
      <w:r w:rsidRPr="003F471F">
        <w:rPr>
          <w:rFonts w:cs="Arial"/>
          <w:color w:val="000000"/>
          <w:szCs w:val="18"/>
          <w:lang w:val="it-IT"/>
        </w:rPr>
        <w:t>Dynamics CRM Online</w:t>
      </w:r>
      <w:r w:rsidRPr="003F471F">
        <w:rPr>
          <w:rFonts w:cs="Arial"/>
          <w:szCs w:val="18"/>
          <w:lang w:val="it-IT"/>
        </w:rPr>
        <w:t xml:space="preserve"> che risponderanno alle richieste di supporto di una società</w:t>
      </w:r>
      <w:r w:rsidRPr="003F471F">
        <w:rPr>
          <w:rFonts w:cs="Arial"/>
          <w:snapToGrid w:val="0"/>
          <w:szCs w:val="18"/>
          <w:lang w:val="it-IT"/>
        </w:rPr>
        <w:t xml:space="preserve">. </w:t>
      </w:r>
    </w:p>
    <w:p w14:paraId="7361A62A" w14:textId="77777777" w:rsidR="000F4095" w:rsidRPr="003F471F" w:rsidRDefault="000F4095" w:rsidP="000F4095">
      <w:pPr>
        <w:tabs>
          <w:tab w:val="left" w:pos="360"/>
        </w:tabs>
        <w:jc w:val="both"/>
        <w:rPr>
          <w:lang w:val="it-IT"/>
        </w:rPr>
      </w:pPr>
    </w:p>
    <w:p w14:paraId="04307DAA" w14:textId="77777777" w:rsidR="000F4095" w:rsidRPr="003F471F" w:rsidRDefault="000F4095" w:rsidP="000F4095">
      <w:pPr>
        <w:tabs>
          <w:tab w:val="left" w:pos="360"/>
        </w:tabs>
        <w:jc w:val="both"/>
        <w:rPr>
          <w:lang w:val="it-IT"/>
        </w:rPr>
      </w:pPr>
      <w:r w:rsidRPr="003F471F">
        <w:rPr>
          <w:rFonts w:cs="Arial"/>
          <w:szCs w:val="18"/>
          <w:lang w:val="it-IT"/>
        </w:rPr>
        <w:t>“Intervento” indica una richiesta di assistenza in garanzia per un</w:t>
      </w:r>
      <w:r w:rsidR="001C4212" w:rsidRPr="003F471F">
        <w:rPr>
          <w:rFonts w:cs="Arial"/>
          <w:szCs w:val="18"/>
          <w:lang w:val="it-IT"/>
        </w:rPr>
        <w:t>’</w:t>
      </w:r>
      <w:r w:rsidRPr="003F471F">
        <w:rPr>
          <w:rFonts w:cs="Arial"/>
          <w:szCs w:val="18"/>
          <w:lang w:val="it-IT"/>
        </w:rPr>
        <w:t>Unica Problematica di Assistenza.</w:t>
      </w:r>
      <w:r w:rsidR="00E34ED3" w:rsidRPr="003F471F">
        <w:rPr>
          <w:rFonts w:cs="Arial"/>
          <w:szCs w:val="18"/>
          <w:lang w:val="it-IT"/>
        </w:rPr>
        <w:t xml:space="preserve"> </w:t>
      </w:r>
      <w:r w:rsidRPr="003F471F">
        <w:rPr>
          <w:rFonts w:cs="Arial"/>
          <w:szCs w:val="18"/>
          <w:lang w:val="it-IT"/>
        </w:rPr>
        <w:t>“Unica Problematica di Assistenza” indica un problema che non può essere suddiviso in problematiche subordinate.</w:t>
      </w:r>
      <w:r w:rsidR="00E34ED3" w:rsidRPr="003F471F">
        <w:rPr>
          <w:rFonts w:cs="Arial"/>
          <w:szCs w:val="18"/>
          <w:lang w:val="it-IT"/>
        </w:rPr>
        <w:t xml:space="preserve"> </w:t>
      </w:r>
      <w:r w:rsidRPr="003F471F">
        <w:rPr>
          <w:rFonts w:cs="Arial"/>
          <w:szCs w:val="18"/>
          <w:lang w:val="it-IT"/>
        </w:rPr>
        <w:t>Qualora un problema sia composto da problematiche subordinate, ogni problematica dovrà essere considerata un Intervento distinto.</w:t>
      </w:r>
      <w:r w:rsidR="00E34ED3" w:rsidRPr="003F471F">
        <w:rPr>
          <w:rFonts w:cs="Arial"/>
          <w:szCs w:val="18"/>
          <w:lang w:val="it-IT"/>
        </w:rPr>
        <w:t xml:space="preserve"> </w:t>
      </w:r>
      <w:r w:rsidRPr="003F471F">
        <w:rPr>
          <w:rFonts w:cs="Arial"/>
          <w:szCs w:val="18"/>
          <w:lang w:val="it-IT"/>
        </w:rPr>
        <w:t>Gli Interventi includono la quantità ragionevole sotto il profilo commerciale di servizi necessari per individuare e risolvere la problematica di assistenza.</w:t>
      </w:r>
      <w:r w:rsidR="00E34ED3" w:rsidRPr="003F471F">
        <w:rPr>
          <w:rFonts w:cs="Arial"/>
          <w:szCs w:val="18"/>
          <w:lang w:val="it-IT"/>
        </w:rPr>
        <w:t xml:space="preserve"> </w:t>
      </w:r>
      <w:r w:rsidRPr="003F471F">
        <w:rPr>
          <w:rFonts w:cs="Arial"/>
          <w:szCs w:val="18"/>
          <w:lang w:val="it-IT"/>
        </w:rPr>
        <w:t xml:space="preserve">Gli Interventi potranno essere eseguiti tramite il sito Web del supporto assistito online </w:t>
      </w:r>
      <w:r w:rsidR="00700477" w:rsidRPr="003F471F">
        <w:rPr>
          <w:lang w:val="it-IT"/>
        </w:rPr>
        <w:t>https://portal.microsoftonline.com/</w:t>
      </w:r>
      <w:r w:rsidR="00E34ED3" w:rsidRPr="003F471F">
        <w:rPr>
          <w:rFonts w:cs="Arial"/>
          <w:szCs w:val="18"/>
          <w:lang w:val="it-IT"/>
        </w:rPr>
        <w:t xml:space="preserve"> </w:t>
      </w:r>
    </w:p>
    <w:p w14:paraId="5351A585" w14:textId="77777777" w:rsidR="000F4095" w:rsidRPr="003F471F" w:rsidRDefault="000F4095" w:rsidP="000F4095">
      <w:pPr>
        <w:tabs>
          <w:tab w:val="left" w:pos="360"/>
        </w:tabs>
        <w:jc w:val="both"/>
        <w:rPr>
          <w:lang w:val="it-IT"/>
        </w:rPr>
      </w:pPr>
    </w:p>
    <w:p w14:paraId="7E47B315" w14:textId="77777777" w:rsidR="000F4095" w:rsidRPr="003F471F" w:rsidRDefault="000F4095" w:rsidP="000F4095">
      <w:pPr>
        <w:tabs>
          <w:tab w:val="left" w:pos="360"/>
        </w:tabs>
        <w:jc w:val="both"/>
        <w:rPr>
          <w:lang w:val="it-IT"/>
        </w:rPr>
      </w:pPr>
      <w:r w:rsidRPr="003F471F">
        <w:rPr>
          <w:rFonts w:cs="Arial"/>
          <w:szCs w:val="18"/>
          <w:lang w:val="it-IT"/>
        </w:rPr>
        <w:t xml:space="preserve">I Servizi verranno forniti in lingua inglese salvo quanto diversamente concordato tra una società e Microsoft per iscritto. Servizi aggiuntivi, inclusi i servizi di supporto tecnico, potranno essere disponibili per Microsoft </w:t>
      </w:r>
      <w:r w:rsidRPr="003F471F">
        <w:rPr>
          <w:rFonts w:cs="Arial"/>
          <w:color w:val="000000"/>
          <w:szCs w:val="18"/>
          <w:lang w:val="it-IT"/>
        </w:rPr>
        <w:t>Dynamics CRM Online</w:t>
      </w:r>
      <w:r w:rsidRPr="003F471F">
        <w:rPr>
          <w:rFonts w:cs="Arial"/>
          <w:szCs w:val="18"/>
          <w:lang w:val="it-IT"/>
        </w:rPr>
        <w:t xml:space="preserve"> in conformità a un contratto specifico stipulato tra le parti.</w:t>
      </w:r>
      <w:r w:rsidR="00E34ED3" w:rsidRPr="003F471F">
        <w:rPr>
          <w:rFonts w:cs="Arial"/>
          <w:szCs w:val="18"/>
          <w:lang w:val="it-IT"/>
        </w:rPr>
        <w:t xml:space="preserve"> </w:t>
      </w:r>
      <w:r w:rsidRPr="003F471F">
        <w:rPr>
          <w:rFonts w:cs="Arial"/>
          <w:szCs w:val="18"/>
          <w:lang w:val="it-IT"/>
        </w:rPr>
        <w:t>Tali servizi aggiuntivi saranno disciplinati dalle condizioni di tale contratto specifico.</w:t>
      </w:r>
    </w:p>
    <w:p w14:paraId="1FAE2FAE" w14:textId="77777777" w:rsidR="000F4095" w:rsidRPr="003F471F" w:rsidRDefault="000F4095" w:rsidP="000F4095">
      <w:pPr>
        <w:widowControl w:val="0"/>
        <w:tabs>
          <w:tab w:val="left" w:pos="720"/>
          <w:tab w:val="left" w:pos="1170"/>
        </w:tabs>
        <w:rPr>
          <w:lang w:val="it-IT"/>
        </w:rPr>
      </w:pPr>
      <w:r w:rsidRPr="003F471F">
        <w:rPr>
          <w:rFonts w:cs="Arial"/>
          <w:b/>
          <w:bCs/>
          <w:sz w:val="24"/>
          <w:szCs w:val="18"/>
          <w:lang w:val="it-IT"/>
        </w:rPr>
        <w:t>Supporto Professionale Diretto per Microsoft Dynamics CRM Online</w:t>
      </w:r>
    </w:p>
    <w:p w14:paraId="7867F435" w14:textId="77777777" w:rsidR="000F4095" w:rsidRPr="003F471F" w:rsidRDefault="000F4095" w:rsidP="000F4095">
      <w:pPr>
        <w:tabs>
          <w:tab w:val="left" w:pos="360"/>
        </w:tabs>
        <w:jc w:val="both"/>
        <w:rPr>
          <w:lang w:val="it-IT"/>
        </w:rPr>
      </w:pPr>
    </w:p>
    <w:p w14:paraId="471098D4" w14:textId="77777777" w:rsidR="000F4095" w:rsidRPr="003F471F" w:rsidRDefault="000F4095" w:rsidP="00E76AEF">
      <w:pPr>
        <w:tabs>
          <w:tab w:val="left" w:pos="360"/>
        </w:tabs>
        <w:rPr>
          <w:lang w:val="it-IT"/>
        </w:rPr>
      </w:pPr>
      <w:r w:rsidRPr="003F471F">
        <w:rPr>
          <w:rFonts w:cs="Arial"/>
          <w:i/>
          <w:color w:val="000000"/>
          <w:szCs w:val="18"/>
          <w:lang w:val="it-IT"/>
        </w:rPr>
        <w:t>Disponibilità commerciale limitata</w:t>
      </w:r>
      <w:r w:rsidRPr="003F471F">
        <w:rPr>
          <w:rFonts w:cs="Arial"/>
          <w:color w:val="000000"/>
          <w:szCs w:val="18"/>
          <w:lang w:val="it-IT"/>
        </w:rPr>
        <w:t xml:space="preserve"> - Il Supporto Professionale Diretto per i servizi Microsoft Dynamics CRM Online delineati di seguito sono erogati in lingua inglese solo in un numero limitato di paesi </w:t>
      </w:r>
      <w:r w:rsidR="00700477" w:rsidRPr="003F471F">
        <w:rPr>
          <w:rFonts w:cs="Arial"/>
          <w:color w:val="000000"/>
          <w:szCs w:val="18"/>
          <w:lang w:val="it-IT"/>
        </w:rPr>
        <w:t>http://www.microsoft.com/dynamics/customer/en-us/service-plans.aspx</w:t>
      </w:r>
      <w:r w:rsidRPr="003F471F">
        <w:rPr>
          <w:rFonts w:cs="Arial"/>
          <w:szCs w:val="18"/>
          <w:lang w:val="it-IT"/>
        </w:rPr>
        <w:t>.</w:t>
      </w:r>
    </w:p>
    <w:p w14:paraId="62C3D55B" w14:textId="77777777" w:rsidR="000F4095" w:rsidRPr="003F471F" w:rsidRDefault="000F4095" w:rsidP="000F4095">
      <w:pPr>
        <w:tabs>
          <w:tab w:val="left" w:pos="360"/>
        </w:tabs>
        <w:jc w:val="both"/>
        <w:rPr>
          <w:lang w:val="it-IT"/>
        </w:rPr>
      </w:pPr>
    </w:p>
    <w:p w14:paraId="0DDCE3D2" w14:textId="77777777" w:rsidR="000F4095" w:rsidRPr="003F471F" w:rsidRDefault="000F4095" w:rsidP="000F4095">
      <w:pPr>
        <w:tabs>
          <w:tab w:val="left" w:pos="360"/>
        </w:tabs>
        <w:jc w:val="both"/>
        <w:rPr>
          <w:lang w:val="it-IT"/>
        </w:rPr>
      </w:pPr>
      <w:r w:rsidRPr="003F471F">
        <w:rPr>
          <w:rFonts w:cs="Arial"/>
          <w:color w:val="000000"/>
          <w:szCs w:val="18"/>
          <w:lang w:val="it-IT"/>
        </w:rPr>
        <w:t>Le società avranno la responsabilità di definire il livello di gravità iniziale utilizzando la procedura di invio tramite Web in linea con le indicazioni di gravità fornite di seguito. Microsoft potrà ridurre il livello di gravità; ciò potrà avvenire anche nei casi in cui la società non fornisca risorse o risposte adeguate a supportare Microsoft nel suo impegno volto a risolvere il problema.</w:t>
      </w:r>
      <w:r w:rsidR="00E34ED3" w:rsidRPr="003F471F">
        <w:rPr>
          <w:rFonts w:cs="Arial"/>
          <w:color w:val="000000"/>
          <w:szCs w:val="18"/>
          <w:lang w:val="it-IT"/>
        </w:rPr>
        <w:t xml:space="preserve"> </w:t>
      </w:r>
      <w:r w:rsidRPr="003F471F">
        <w:rPr>
          <w:rFonts w:cs="Arial"/>
          <w:color w:val="000000"/>
          <w:szCs w:val="18"/>
          <w:lang w:val="it-IT"/>
        </w:rPr>
        <w:t>La gravità dell</w:t>
      </w:r>
      <w:r w:rsidR="001C4212" w:rsidRPr="003F471F">
        <w:rPr>
          <w:rFonts w:cs="Arial"/>
          <w:color w:val="000000"/>
          <w:szCs w:val="18"/>
          <w:lang w:val="it-IT"/>
        </w:rPr>
        <w:t>’</w:t>
      </w:r>
      <w:r w:rsidRPr="003F471F">
        <w:rPr>
          <w:rFonts w:cs="Arial"/>
          <w:color w:val="000000"/>
          <w:szCs w:val="18"/>
          <w:lang w:val="it-IT"/>
        </w:rPr>
        <w:t>intervento determinerà i livelli di risposta da parte di Microsoft. I tempi di</w:t>
      </w:r>
      <w:r w:rsidR="00700477" w:rsidRPr="003F471F">
        <w:rPr>
          <w:rFonts w:cs="Arial"/>
          <w:color w:val="000000"/>
          <w:szCs w:val="18"/>
          <w:lang w:val="it-IT"/>
        </w:rPr>
        <w:t> </w:t>
      </w:r>
      <w:r w:rsidRPr="003F471F">
        <w:rPr>
          <w:rFonts w:cs="Arial"/>
          <w:color w:val="000000"/>
          <w:szCs w:val="18"/>
          <w:lang w:val="it-IT"/>
        </w:rPr>
        <w:t>risposta previsti sono definiti nella tabella che segue.</w:t>
      </w:r>
      <w:r w:rsidR="00E34ED3" w:rsidRPr="003F471F">
        <w:rPr>
          <w:rFonts w:cs="Arial"/>
          <w:color w:val="000000"/>
          <w:szCs w:val="18"/>
          <w:lang w:val="it-IT"/>
        </w:rPr>
        <w:t xml:space="preserve"> </w:t>
      </w:r>
      <w:r w:rsidRPr="003F471F">
        <w:rPr>
          <w:rFonts w:cs="Arial"/>
          <w:color w:val="000000"/>
          <w:szCs w:val="18"/>
          <w:lang w:val="it-IT"/>
        </w:rPr>
        <w:t>La possibilità per Microsoft di offrire i servizi dipende dalla totale e tempestiva collaborazione della società e dall</w:t>
      </w:r>
      <w:r w:rsidR="001C4212" w:rsidRPr="003F471F">
        <w:rPr>
          <w:rFonts w:cs="Arial"/>
          <w:color w:val="000000"/>
          <w:szCs w:val="18"/>
          <w:lang w:val="it-IT"/>
        </w:rPr>
        <w:t>’</w:t>
      </w:r>
      <w:r w:rsidRPr="003F471F">
        <w:rPr>
          <w:rFonts w:cs="Arial"/>
          <w:color w:val="000000"/>
          <w:szCs w:val="18"/>
          <w:lang w:val="it-IT"/>
        </w:rPr>
        <w:t>accuratezza e completezza dei dati forniti.</w:t>
      </w:r>
    </w:p>
    <w:p w14:paraId="6E1CA802" w14:textId="77777777" w:rsidR="000F4095" w:rsidRPr="003F471F" w:rsidRDefault="000F4095" w:rsidP="000F4095">
      <w:pPr>
        <w:tabs>
          <w:tab w:val="left" w:pos="360"/>
        </w:tabs>
        <w:jc w:val="both"/>
        <w:rPr>
          <w:lang w:val="it-IT"/>
        </w:rPr>
      </w:pPr>
    </w:p>
    <w:p w14:paraId="5C6641D2" w14:textId="77777777" w:rsidR="000F4095" w:rsidRPr="003F471F" w:rsidRDefault="000F4095" w:rsidP="000F4095">
      <w:pPr>
        <w:rPr>
          <w:lang w:val="it-IT"/>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180"/>
        <w:gridCol w:w="3213"/>
      </w:tblGrid>
      <w:tr w:rsidR="000F4095" w:rsidRPr="0058047D" w14:paraId="185EB833" w14:textId="77777777" w:rsidTr="00700477">
        <w:tc>
          <w:tcPr>
            <w:tcW w:w="1347" w:type="dxa"/>
            <w:shd w:val="clear" w:color="auto" w:fill="FABF8F"/>
          </w:tcPr>
          <w:p w14:paraId="59F8011C" w14:textId="77777777" w:rsidR="000F4095" w:rsidRPr="0058047D" w:rsidRDefault="000F4095" w:rsidP="00343766">
            <w:pPr>
              <w:jc w:val="center"/>
              <w:rPr>
                <w:rFonts w:cs="Tahoma"/>
                <w:b/>
                <w:bCs/>
                <w:color w:val="000000"/>
                <w:sz w:val="20"/>
                <w:szCs w:val="18"/>
              </w:rPr>
            </w:pPr>
            <w:r w:rsidRPr="0058047D">
              <w:rPr>
                <w:rFonts w:cs="Tahoma"/>
                <w:b/>
                <w:bCs/>
                <w:color w:val="000000"/>
                <w:sz w:val="20"/>
                <w:szCs w:val="18"/>
              </w:rPr>
              <w:t>Severity</w:t>
            </w:r>
          </w:p>
        </w:tc>
        <w:tc>
          <w:tcPr>
            <w:tcW w:w="1800" w:type="dxa"/>
            <w:shd w:val="clear" w:color="auto" w:fill="FABF8F"/>
          </w:tcPr>
          <w:p w14:paraId="1A4F77A0" w14:textId="77777777" w:rsidR="000F4095" w:rsidRPr="0058047D" w:rsidRDefault="000F4095" w:rsidP="00343766">
            <w:pPr>
              <w:jc w:val="center"/>
              <w:rPr>
                <w:rFonts w:cs="Tahoma"/>
                <w:b/>
                <w:bCs/>
                <w:color w:val="000000"/>
                <w:sz w:val="20"/>
                <w:szCs w:val="18"/>
              </w:rPr>
            </w:pPr>
            <w:r w:rsidRPr="0058047D">
              <w:rPr>
                <w:rFonts w:cs="Tahoma"/>
                <w:b/>
                <w:bCs/>
                <w:color w:val="000000"/>
                <w:sz w:val="20"/>
                <w:szCs w:val="18"/>
              </w:rPr>
              <w:t>Contatto</w:t>
            </w:r>
          </w:p>
        </w:tc>
        <w:tc>
          <w:tcPr>
            <w:tcW w:w="3180" w:type="dxa"/>
            <w:shd w:val="clear" w:color="auto" w:fill="FABF8F"/>
          </w:tcPr>
          <w:p w14:paraId="75ACF08A" w14:textId="77777777" w:rsidR="000F4095" w:rsidRPr="0058047D" w:rsidRDefault="000F4095" w:rsidP="00343766">
            <w:pPr>
              <w:jc w:val="center"/>
              <w:rPr>
                <w:rFonts w:cs="Tahoma"/>
                <w:b/>
                <w:bCs/>
                <w:color w:val="000000"/>
                <w:sz w:val="20"/>
                <w:szCs w:val="18"/>
              </w:rPr>
            </w:pPr>
            <w:r w:rsidRPr="0058047D">
              <w:rPr>
                <w:rFonts w:cs="Tahoma"/>
                <w:b/>
                <w:bCs/>
                <w:color w:val="000000"/>
                <w:sz w:val="20"/>
                <w:szCs w:val="18"/>
              </w:rPr>
              <w:t>Situazione della Società</w:t>
            </w:r>
          </w:p>
        </w:tc>
        <w:tc>
          <w:tcPr>
            <w:tcW w:w="3213" w:type="dxa"/>
            <w:shd w:val="clear" w:color="auto" w:fill="FABF8F"/>
          </w:tcPr>
          <w:p w14:paraId="0694DFEA" w14:textId="77777777" w:rsidR="000F4095" w:rsidRPr="0058047D" w:rsidRDefault="000F4095" w:rsidP="00343766">
            <w:pPr>
              <w:jc w:val="center"/>
              <w:rPr>
                <w:rFonts w:cs="Tahoma"/>
                <w:b/>
                <w:bCs/>
                <w:color w:val="000000"/>
                <w:sz w:val="20"/>
                <w:szCs w:val="18"/>
              </w:rPr>
            </w:pPr>
            <w:r w:rsidRPr="0058047D">
              <w:rPr>
                <w:rFonts w:cs="Tahoma"/>
                <w:b/>
                <w:bCs/>
                <w:color w:val="000000"/>
                <w:sz w:val="20"/>
                <w:szCs w:val="18"/>
              </w:rPr>
              <w:t>Risposta di Microsoft Attesa</w:t>
            </w:r>
          </w:p>
        </w:tc>
      </w:tr>
      <w:tr w:rsidR="000F4095" w:rsidRPr="003F471F" w14:paraId="31580AEE" w14:textId="77777777" w:rsidTr="00700477">
        <w:tc>
          <w:tcPr>
            <w:tcW w:w="1347" w:type="dxa"/>
          </w:tcPr>
          <w:p w14:paraId="04CD4C1B" w14:textId="77777777" w:rsidR="000F4095" w:rsidRPr="0058047D" w:rsidRDefault="000F4095" w:rsidP="00343766">
            <w:pPr>
              <w:spacing w:after="60" w:line="240" w:lineRule="atLeast"/>
              <w:jc w:val="center"/>
              <w:rPr>
                <w:rFonts w:ascii="SegoeBook" w:hAnsi="SegoeBook"/>
                <w:szCs w:val="18"/>
              </w:rPr>
            </w:pPr>
            <w:r w:rsidRPr="0058047D">
              <w:rPr>
                <w:rFonts w:ascii="SegoeBook" w:hAnsi="SegoeBook"/>
                <w:szCs w:val="18"/>
              </w:rPr>
              <w:t>A</w:t>
            </w:r>
          </w:p>
        </w:tc>
        <w:tc>
          <w:tcPr>
            <w:tcW w:w="1800" w:type="dxa"/>
          </w:tcPr>
          <w:p w14:paraId="52ED5789" w14:textId="77777777" w:rsidR="000F4095" w:rsidRPr="0058047D" w:rsidRDefault="000F4095" w:rsidP="00700477">
            <w:pPr>
              <w:spacing w:after="60" w:line="240" w:lineRule="atLeast"/>
              <w:jc w:val="center"/>
              <w:rPr>
                <w:rFonts w:ascii="SegoeBook" w:hAnsi="SegoeBook"/>
                <w:szCs w:val="18"/>
              </w:rPr>
            </w:pPr>
            <w:r w:rsidRPr="0058047D">
              <w:rPr>
                <w:rFonts w:ascii="SegoeBook" w:hAnsi="SegoeBook"/>
                <w:szCs w:val="18"/>
              </w:rPr>
              <w:t>Formulazione via</w:t>
            </w:r>
            <w:r w:rsidR="00700477">
              <w:rPr>
                <w:rFonts w:ascii="SegoeBook" w:hAnsi="SegoeBook"/>
                <w:szCs w:val="18"/>
              </w:rPr>
              <w:t> </w:t>
            </w:r>
            <w:r w:rsidRPr="0058047D">
              <w:rPr>
                <w:rFonts w:ascii="SegoeBook" w:hAnsi="SegoeBook"/>
                <w:szCs w:val="18"/>
              </w:rPr>
              <w:t>Web</w:t>
            </w:r>
          </w:p>
        </w:tc>
        <w:tc>
          <w:tcPr>
            <w:tcW w:w="3180" w:type="dxa"/>
          </w:tcPr>
          <w:p w14:paraId="764417A8" w14:textId="77777777" w:rsidR="000F4095" w:rsidRPr="003F471F" w:rsidRDefault="000F4095" w:rsidP="00343766">
            <w:pPr>
              <w:spacing w:after="60" w:line="240" w:lineRule="atLeast"/>
              <w:rPr>
                <w:lang w:val="it-IT"/>
              </w:rPr>
            </w:pPr>
            <w:r w:rsidRPr="003F471F">
              <w:rPr>
                <w:rFonts w:ascii="SegoeBook" w:hAnsi="SegoeBook"/>
                <w:szCs w:val="18"/>
                <w:lang w:val="it-IT"/>
              </w:rPr>
              <w:t>Impatto commerciale critico</w:t>
            </w:r>
          </w:p>
          <w:p w14:paraId="2D4C6FA9" w14:textId="77777777" w:rsidR="000F4095" w:rsidRPr="003F471F" w:rsidRDefault="000F4095" w:rsidP="00343766">
            <w:pPr>
              <w:spacing w:after="60" w:line="240" w:lineRule="atLeast"/>
              <w:rPr>
                <w:lang w:val="it-IT"/>
              </w:rPr>
            </w:pPr>
            <w:r w:rsidRPr="003F471F">
              <w:rPr>
                <w:rFonts w:ascii="SegoeBook" w:hAnsi="SegoeBook"/>
                <w:szCs w:val="18"/>
                <w:lang w:val="it-IT"/>
              </w:rPr>
              <w:t>Perdita o degradazione significativa dei servizi (applicazione fuori uso)</w:t>
            </w:r>
          </w:p>
          <w:p w14:paraId="686461F6" w14:textId="77777777" w:rsidR="000F4095" w:rsidRPr="0058047D" w:rsidRDefault="000F4095" w:rsidP="00343766">
            <w:pPr>
              <w:spacing w:after="60" w:line="240" w:lineRule="atLeast"/>
              <w:rPr>
                <w:rFonts w:ascii="SegoeBook" w:hAnsi="SegoeBook"/>
                <w:szCs w:val="18"/>
              </w:rPr>
            </w:pPr>
            <w:r w:rsidRPr="0058047D">
              <w:rPr>
                <w:rFonts w:ascii="SegoeBook" w:hAnsi="SegoeBook"/>
                <w:szCs w:val="18"/>
              </w:rPr>
              <w:t>Necessità dell</w:t>
            </w:r>
            <w:r w:rsidR="001C4212">
              <w:rPr>
                <w:rFonts w:ascii="SegoeBook" w:hAnsi="SegoeBook"/>
                <w:szCs w:val="18"/>
              </w:rPr>
              <w:t>’</w:t>
            </w:r>
            <w:r w:rsidRPr="0058047D">
              <w:rPr>
                <w:rFonts w:ascii="SegoeBook" w:hAnsi="SegoeBook"/>
                <w:szCs w:val="18"/>
              </w:rPr>
              <w:t>intervento entro 1 Ora</w:t>
            </w:r>
          </w:p>
        </w:tc>
        <w:tc>
          <w:tcPr>
            <w:tcW w:w="3213" w:type="dxa"/>
          </w:tcPr>
          <w:p w14:paraId="6E0F03B7" w14:textId="77777777" w:rsidR="000F4095" w:rsidRPr="003F471F" w:rsidRDefault="000F4095" w:rsidP="00343766">
            <w:pPr>
              <w:spacing w:after="60" w:line="240" w:lineRule="atLeast"/>
              <w:rPr>
                <w:lang w:val="it-IT"/>
              </w:rPr>
            </w:pPr>
            <w:r w:rsidRPr="003F471F">
              <w:rPr>
                <w:rFonts w:ascii="SegoeBook" w:hAnsi="SegoeBook"/>
                <w:szCs w:val="18"/>
                <w:lang w:val="it-IT"/>
              </w:rPr>
              <w:t>Risposta alla prima chiamata in 1</w:t>
            </w:r>
            <w:r w:rsidR="00700477" w:rsidRPr="003F471F">
              <w:rPr>
                <w:rFonts w:ascii="SegoeBook" w:hAnsi="SegoeBook"/>
                <w:szCs w:val="18"/>
                <w:lang w:val="it-IT"/>
              </w:rPr>
              <w:t> </w:t>
            </w:r>
            <w:r w:rsidRPr="003F471F">
              <w:rPr>
                <w:rFonts w:ascii="SegoeBook" w:hAnsi="SegoeBook"/>
                <w:szCs w:val="18"/>
                <w:lang w:val="it-IT"/>
              </w:rPr>
              <w:t>Ora o meno, disponibile 24x7</w:t>
            </w:r>
          </w:p>
          <w:p w14:paraId="510E6C28" w14:textId="77777777" w:rsidR="000F4095" w:rsidRPr="003F471F" w:rsidRDefault="000F4095" w:rsidP="00343766">
            <w:pPr>
              <w:spacing w:after="60" w:line="240" w:lineRule="atLeast"/>
              <w:rPr>
                <w:rFonts w:ascii="SegoeBook" w:hAnsi="SegoeBook"/>
                <w:szCs w:val="18"/>
                <w:lang w:val="it-IT"/>
              </w:rPr>
            </w:pPr>
          </w:p>
        </w:tc>
      </w:tr>
      <w:tr w:rsidR="000F4095" w:rsidRPr="003F471F" w14:paraId="5FEDA1A4" w14:textId="77777777" w:rsidTr="00700477">
        <w:tc>
          <w:tcPr>
            <w:tcW w:w="1347" w:type="dxa"/>
          </w:tcPr>
          <w:p w14:paraId="19A8227B" w14:textId="77777777" w:rsidR="000F4095" w:rsidRPr="0058047D" w:rsidRDefault="000F4095" w:rsidP="00343766">
            <w:pPr>
              <w:spacing w:after="60" w:line="240" w:lineRule="atLeast"/>
              <w:jc w:val="center"/>
              <w:rPr>
                <w:rFonts w:ascii="SegoeBook" w:hAnsi="SegoeBook"/>
                <w:szCs w:val="18"/>
              </w:rPr>
            </w:pPr>
            <w:r w:rsidRPr="0058047D">
              <w:rPr>
                <w:rFonts w:ascii="SegoeBook" w:hAnsi="SegoeBook"/>
                <w:szCs w:val="18"/>
              </w:rPr>
              <w:t>B</w:t>
            </w:r>
          </w:p>
        </w:tc>
        <w:tc>
          <w:tcPr>
            <w:tcW w:w="1800" w:type="dxa"/>
          </w:tcPr>
          <w:p w14:paraId="623F903D" w14:textId="77777777" w:rsidR="000F4095" w:rsidRPr="0058047D" w:rsidRDefault="000F4095" w:rsidP="00700477">
            <w:pPr>
              <w:spacing w:after="60" w:line="240" w:lineRule="atLeast"/>
              <w:jc w:val="center"/>
              <w:rPr>
                <w:rFonts w:ascii="SegoeBook" w:hAnsi="SegoeBook"/>
                <w:szCs w:val="18"/>
              </w:rPr>
            </w:pPr>
            <w:r w:rsidRPr="0058047D">
              <w:rPr>
                <w:rFonts w:ascii="SegoeBook" w:hAnsi="SegoeBook"/>
                <w:szCs w:val="18"/>
              </w:rPr>
              <w:t>Formulazione via</w:t>
            </w:r>
            <w:r w:rsidR="00700477">
              <w:rPr>
                <w:rFonts w:ascii="SegoeBook" w:hAnsi="SegoeBook"/>
                <w:szCs w:val="18"/>
              </w:rPr>
              <w:t> </w:t>
            </w:r>
            <w:r w:rsidRPr="0058047D">
              <w:rPr>
                <w:rFonts w:ascii="SegoeBook" w:hAnsi="SegoeBook"/>
                <w:szCs w:val="18"/>
              </w:rPr>
              <w:t>Web</w:t>
            </w:r>
          </w:p>
        </w:tc>
        <w:tc>
          <w:tcPr>
            <w:tcW w:w="3180" w:type="dxa"/>
          </w:tcPr>
          <w:p w14:paraId="3B8D5FE8" w14:textId="77777777" w:rsidR="000F4095" w:rsidRPr="003F471F" w:rsidRDefault="000F4095" w:rsidP="00343766">
            <w:pPr>
              <w:spacing w:after="60" w:line="240" w:lineRule="atLeast"/>
              <w:rPr>
                <w:lang w:val="it-IT"/>
              </w:rPr>
            </w:pPr>
            <w:r w:rsidRPr="003F471F">
              <w:rPr>
                <w:rFonts w:ascii="SegoeBook" w:hAnsi="SegoeBook"/>
                <w:szCs w:val="18"/>
                <w:lang w:val="it-IT"/>
              </w:rPr>
              <w:t xml:space="preserve">Impatto commerciale moderato: </w:t>
            </w:r>
          </w:p>
          <w:p w14:paraId="39A528C3" w14:textId="77777777" w:rsidR="000F4095" w:rsidRPr="003F471F" w:rsidRDefault="000F4095" w:rsidP="00343766">
            <w:pPr>
              <w:spacing w:line="240" w:lineRule="atLeast"/>
              <w:rPr>
                <w:lang w:val="it-IT"/>
              </w:rPr>
            </w:pPr>
            <w:r w:rsidRPr="003F471F">
              <w:rPr>
                <w:rFonts w:ascii="SegoeBook" w:hAnsi="SegoeBook"/>
                <w:szCs w:val="18"/>
                <w:lang w:val="it-IT"/>
              </w:rPr>
              <w:t>Perdita o degradazione moderata dei servizi e possibilità di continuare il lavoro in modo meno efficiente.</w:t>
            </w:r>
          </w:p>
          <w:p w14:paraId="1019A6BF" w14:textId="77777777" w:rsidR="000F4095" w:rsidRPr="0058047D" w:rsidRDefault="000F4095" w:rsidP="00343766">
            <w:pPr>
              <w:spacing w:after="60" w:line="240" w:lineRule="atLeast"/>
              <w:rPr>
                <w:rFonts w:ascii="SegoeBook" w:hAnsi="SegoeBook"/>
                <w:szCs w:val="18"/>
              </w:rPr>
            </w:pPr>
            <w:r w:rsidRPr="0058047D">
              <w:rPr>
                <w:rFonts w:ascii="SegoeBook" w:hAnsi="SegoeBook"/>
                <w:szCs w:val="18"/>
              </w:rPr>
              <w:t>Necessità dell</w:t>
            </w:r>
            <w:r w:rsidR="001C4212">
              <w:rPr>
                <w:rFonts w:ascii="SegoeBook" w:hAnsi="SegoeBook"/>
                <w:szCs w:val="18"/>
              </w:rPr>
              <w:t>’</w:t>
            </w:r>
            <w:r w:rsidRPr="0058047D">
              <w:rPr>
                <w:rFonts w:ascii="SegoeBook" w:hAnsi="SegoeBook"/>
                <w:szCs w:val="18"/>
              </w:rPr>
              <w:t>intervento entro 2 Ore</w:t>
            </w:r>
          </w:p>
        </w:tc>
        <w:tc>
          <w:tcPr>
            <w:tcW w:w="3213" w:type="dxa"/>
          </w:tcPr>
          <w:p w14:paraId="431EA210" w14:textId="77777777" w:rsidR="000F4095" w:rsidRPr="003F471F" w:rsidRDefault="000F4095" w:rsidP="00343766">
            <w:pPr>
              <w:spacing w:line="240" w:lineRule="atLeast"/>
              <w:rPr>
                <w:lang w:val="it-IT"/>
              </w:rPr>
            </w:pPr>
            <w:r w:rsidRPr="003F471F">
              <w:rPr>
                <w:rFonts w:ascii="SegoeBook" w:hAnsi="SegoeBook"/>
                <w:szCs w:val="18"/>
                <w:lang w:val="it-IT"/>
              </w:rPr>
              <w:t>Risposta alla prima chiamata in 2</w:t>
            </w:r>
            <w:r w:rsidR="00700477" w:rsidRPr="003F471F">
              <w:rPr>
                <w:rFonts w:ascii="SegoeBook" w:hAnsi="SegoeBook"/>
                <w:szCs w:val="18"/>
                <w:lang w:val="it-IT"/>
              </w:rPr>
              <w:t> </w:t>
            </w:r>
            <w:r w:rsidRPr="003F471F">
              <w:rPr>
                <w:rFonts w:ascii="SegoeBook" w:hAnsi="SegoeBook"/>
                <w:szCs w:val="18"/>
                <w:lang w:val="it-IT"/>
              </w:rPr>
              <w:t>Ore o meno, disponibile 24x7</w:t>
            </w:r>
          </w:p>
          <w:p w14:paraId="093C0DE4" w14:textId="77777777" w:rsidR="000F4095" w:rsidRPr="003F471F" w:rsidRDefault="000F4095" w:rsidP="00343766">
            <w:pPr>
              <w:spacing w:after="60" w:line="240" w:lineRule="atLeast"/>
              <w:rPr>
                <w:rFonts w:ascii="SegoeBook" w:hAnsi="SegoeBook"/>
                <w:szCs w:val="18"/>
                <w:lang w:val="it-IT"/>
              </w:rPr>
            </w:pPr>
          </w:p>
        </w:tc>
      </w:tr>
      <w:tr w:rsidR="000F4095" w:rsidRPr="003F471F" w14:paraId="67270569" w14:textId="77777777" w:rsidTr="00700477">
        <w:tc>
          <w:tcPr>
            <w:tcW w:w="1347" w:type="dxa"/>
          </w:tcPr>
          <w:p w14:paraId="3A5F0B29" w14:textId="77777777" w:rsidR="000F4095" w:rsidRPr="0058047D" w:rsidRDefault="000F4095" w:rsidP="00343766">
            <w:pPr>
              <w:spacing w:after="60" w:line="240" w:lineRule="atLeast"/>
              <w:jc w:val="center"/>
              <w:rPr>
                <w:rFonts w:ascii="SegoeBook" w:hAnsi="SegoeBook"/>
                <w:szCs w:val="18"/>
              </w:rPr>
            </w:pPr>
            <w:r w:rsidRPr="0058047D">
              <w:rPr>
                <w:rFonts w:ascii="SegoeBook" w:hAnsi="SegoeBook"/>
                <w:szCs w:val="18"/>
              </w:rPr>
              <w:t>C</w:t>
            </w:r>
          </w:p>
        </w:tc>
        <w:tc>
          <w:tcPr>
            <w:tcW w:w="1800" w:type="dxa"/>
          </w:tcPr>
          <w:p w14:paraId="6B3C0406" w14:textId="77777777" w:rsidR="000F4095" w:rsidRPr="0058047D" w:rsidRDefault="000F4095" w:rsidP="00700477">
            <w:pPr>
              <w:spacing w:after="60" w:line="240" w:lineRule="atLeast"/>
              <w:jc w:val="center"/>
              <w:rPr>
                <w:rFonts w:ascii="SegoeBook" w:hAnsi="SegoeBook"/>
                <w:szCs w:val="18"/>
              </w:rPr>
            </w:pPr>
            <w:r w:rsidRPr="0058047D">
              <w:rPr>
                <w:rFonts w:ascii="SegoeBook" w:hAnsi="SegoeBook"/>
                <w:szCs w:val="18"/>
              </w:rPr>
              <w:t>Formulazione via</w:t>
            </w:r>
            <w:r w:rsidR="00700477">
              <w:rPr>
                <w:rFonts w:ascii="SegoeBook" w:hAnsi="SegoeBook"/>
                <w:szCs w:val="18"/>
              </w:rPr>
              <w:t> </w:t>
            </w:r>
            <w:r w:rsidRPr="0058047D">
              <w:rPr>
                <w:rFonts w:ascii="SegoeBook" w:hAnsi="SegoeBook"/>
                <w:szCs w:val="18"/>
              </w:rPr>
              <w:t>Web</w:t>
            </w:r>
          </w:p>
        </w:tc>
        <w:tc>
          <w:tcPr>
            <w:tcW w:w="3180" w:type="dxa"/>
          </w:tcPr>
          <w:p w14:paraId="78735C1A" w14:textId="77777777" w:rsidR="000F4095" w:rsidRPr="003F471F" w:rsidRDefault="000F4095" w:rsidP="00343766">
            <w:pPr>
              <w:rPr>
                <w:lang w:val="it-IT"/>
              </w:rPr>
            </w:pPr>
            <w:r w:rsidRPr="003F471F">
              <w:rPr>
                <w:rFonts w:ascii="SegoeBook" w:hAnsi="SegoeBook"/>
                <w:szCs w:val="18"/>
                <w:lang w:val="it-IT"/>
              </w:rPr>
              <w:t>Impatto commerciale minimo</w:t>
            </w:r>
          </w:p>
          <w:p w14:paraId="7CA15072" w14:textId="77777777" w:rsidR="000F4095" w:rsidRPr="003F471F" w:rsidRDefault="000F4095" w:rsidP="00343766">
            <w:pPr>
              <w:rPr>
                <w:lang w:val="it-IT"/>
              </w:rPr>
            </w:pPr>
            <w:r w:rsidRPr="003F471F">
              <w:rPr>
                <w:rFonts w:ascii="SegoeBook" w:hAnsi="SegoeBook"/>
                <w:szCs w:val="18"/>
                <w:lang w:val="it-IT"/>
              </w:rPr>
              <w:t>Funzionamento sostanzialmente nella norma, in alcuni casi con qualche minimo impedimento dei servizi.</w:t>
            </w:r>
          </w:p>
          <w:p w14:paraId="5398211F" w14:textId="77777777" w:rsidR="000F4095" w:rsidRPr="0058047D" w:rsidRDefault="000F4095" w:rsidP="00343766">
            <w:pPr>
              <w:spacing w:after="60" w:line="240" w:lineRule="atLeast"/>
              <w:rPr>
                <w:rFonts w:ascii="SegoeBook" w:hAnsi="SegoeBook"/>
                <w:szCs w:val="18"/>
              </w:rPr>
            </w:pPr>
            <w:r w:rsidRPr="0058047D">
              <w:rPr>
                <w:rFonts w:ascii="SegoeBook" w:hAnsi="SegoeBook"/>
                <w:szCs w:val="18"/>
              </w:rPr>
              <w:t>Necessità dell</w:t>
            </w:r>
            <w:r w:rsidR="001C4212">
              <w:rPr>
                <w:rFonts w:ascii="SegoeBook" w:hAnsi="SegoeBook"/>
                <w:szCs w:val="18"/>
              </w:rPr>
              <w:t>’</w:t>
            </w:r>
            <w:r w:rsidRPr="0058047D">
              <w:rPr>
                <w:rFonts w:ascii="SegoeBook" w:hAnsi="SegoeBook"/>
                <w:szCs w:val="18"/>
              </w:rPr>
              <w:t>intervento entro 4 Ore</w:t>
            </w:r>
          </w:p>
        </w:tc>
        <w:tc>
          <w:tcPr>
            <w:tcW w:w="3213" w:type="dxa"/>
          </w:tcPr>
          <w:p w14:paraId="0E3B77E8" w14:textId="77777777" w:rsidR="000F4095" w:rsidRPr="003F471F" w:rsidRDefault="000F4095" w:rsidP="00343766">
            <w:pPr>
              <w:rPr>
                <w:lang w:val="it-IT"/>
              </w:rPr>
            </w:pPr>
            <w:r w:rsidRPr="003F471F">
              <w:rPr>
                <w:rFonts w:ascii="SegoeBook" w:hAnsi="SegoeBook"/>
                <w:szCs w:val="18"/>
                <w:lang w:val="it-IT"/>
              </w:rPr>
              <w:t>1</w:t>
            </w:r>
            <w:r w:rsidRPr="003F471F">
              <w:rPr>
                <w:rFonts w:ascii="SegoeBook" w:hAnsi="SegoeBook"/>
                <w:szCs w:val="18"/>
                <w:vertAlign w:val="superscript"/>
                <w:lang w:val="it-IT"/>
              </w:rPr>
              <w:t>a</w:t>
            </w:r>
            <w:r w:rsidRPr="003F471F">
              <w:rPr>
                <w:rFonts w:ascii="SegoeBook" w:hAnsi="SegoeBook"/>
                <w:szCs w:val="18"/>
                <w:lang w:val="it-IT"/>
              </w:rPr>
              <w:t xml:space="preserve"> risposta in 4 Ore o meno</w:t>
            </w:r>
          </w:p>
          <w:p w14:paraId="1A73CA5D" w14:textId="77777777" w:rsidR="000F4095" w:rsidRPr="003F471F" w:rsidRDefault="000F4095" w:rsidP="00343766">
            <w:pPr>
              <w:spacing w:line="240" w:lineRule="atLeast"/>
              <w:rPr>
                <w:rFonts w:ascii="SegoeBook" w:hAnsi="SegoeBook"/>
                <w:szCs w:val="18"/>
                <w:lang w:val="it-IT"/>
              </w:rPr>
            </w:pPr>
          </w:p>
        </w:tc>
      </w:tr>
    </w:tbl>
    <w:p w14:paraId="5F076CC0" w14:textId="77777777" w:rsidR="000F4095" w:rsidRPr="003F471F" w:rsidRDefault="000F4095" w:rsidP="000F4095">
      <w:pPr>
        <w:rPr>
          <w:lang w:val="it-IT"/>
        </w:rPr>
      </w:pPr>
    </w:p>
    <w:p w14:paraId="3AE3F943" w14:textId="77777777" w:rsidR="000F4095" w:rsidRPr="003F471F" w:rsidRDefault="000F4095" w:rsidP="000F4095">
      <w:pPr>
        <w:rPr>
          <w:lang w:val="it-IT"/>
        </w:rPr>
      </w:pPr>
    </w:p>
    <w:p w14:paraId="56DE4E50" w14:textId="77777777" w:rsidR="000F4095" w:rsidRPr="003F471F" w:rsidRDefault="000F4095" w:rsidP="000F4095">
      <w:pPr>
        <w:rPr>
          <w:lang w:val="it-IT"/>
        </w:rPr>
      </w:pPr>
      <w:r w:rsidRPr="003F471F">
        <w:rPr>
          <w:b/>
          <w:szCs w:val="24"/>
          <w:lang w:val="it-IT"/>
        </w:rPr>
        <w:t>I servizi riguardano solo gli interventi del Supporto Tecnico.</w:t>
      </w:r>
    </w:p>
    <w:p w14:paraId="296F3E23" w14:textId="77777777" w:rsidR="000F4095" w:rsidRPr="003F471F" w:rsidRDefault="000F4095">
      <w:pPr>
        <w:rPr>
          <w:lang w:val="it-IT"/>
        </w:rPr>
      </w:pPr>
    </w:p>
    <w:p w14:paraId="2BAF8DD9" w14:textId="77777777" w:rsidR="000F4095" w:rsidRPr="003F471F" w:rsidRDefault="000F4095" w:rsidP="000F4095">
      <w:pPr>
        <w:rPr>
          <w:lang w:val="it-IT"/>
        </w:rPr>
      </w:pPr>
      <w:r w:rsidRPr="003F471F">
        <w:rPr>
          <w:b/>
          <w:sz w:val="24"/>
          <w:szCs w:val="18"/>
          <w:lang w:val="it-IT"/>
        </w:rPr>
        <w:t>Condizioni di Servizio Aggiuntive</w:t>
      </w:r>
    </w:p>
    <w:p w14:paraId="08E17C1A" w14:textId="77777777" w:rsidR="000F4095" w:rsidRPr="003F471F" w:rsidRDefault="000F4095" w:rsidP="000F4095">
      <w:pPr>
        <w:rPr>
          <w:lang w:val="it-IT"/>
        </w:rPr>
      </w:pPr>
    </w:p>
    <w:p w14:paraId="4D62A2BF" w14:textId="77777777" w:rsidR="000F4095" w:rsidRPr="003F471F" w:rsidRDefault="000F4095" w:rsidP="000F4095">
      <w:pPr>
        <w:spacing w:after="60"/>
        <w:rPr>
          <w:lang w:val="it-IT"/>
        </w:rPr>
      </w:pPr>
      <w:bookmarkStart w:id="915" w:name="_Toc357763632"/>
      <w:r w:rsidRPr="003F471F">
        <w:rPr>
          <w:b/>
          <w:sz w:val="20"/>
          <w:szCs w:val="20"/>
          <w:lang w:val="it-IT"/>
        </w:rPr>
        <w:t>Diritti sull</w:t>
      </w:r>
      <w:r w:rsidR="001C4212" w:rsidRPr="003F471F">
        <w:rPr>
          <w:b/>
          <w:sz w:val="20"/>
          <w:szCs w:val="20"/>
          <w:lang w:val="it-IT"/>
        </w:rPr>
        <w:t>’</w:t>
      </w:r>
      <w:r w:rsidRPr="003F471F">
        <w:rPr>
          <w:b/>
          <w:sz w:val="20"/>
          <w:szCs w:val="20"/>
          <w:lang w:val="it-IT"/>
        </w:rPr>
        <w:t>utilizzo, di titolarità e di licenza</w:t>
      </w:r>
      <w:bookmarkEnd w:id="915"/>
    </w:p>
    <w:p w14:paraId="5C0A6728" w14:textId="77777777" w:rsidR="000F4095" w:rsidRPr="003F471F" w:rsidRDefault="000F4095" w:rsidP="000F4095">
      <w:pPr>
        <w:rPr>
          <w:lang w:val="it-IT"/>
        </w:rPr>
      </w:pPr>
      <w:r w:rsidRPr="003F471F">
        <w:rPr>
          <w:rFonts w:eastAsia="Calibri" w:cs="Tahoma"/>
          <w:b/>
          <w:bCs/>
          <w:color w:val="000000"/>
          <w:szCs w:val="18"/>
          <w:lang w:val="it-IT"/>
        </w:rPr>
        <w:t>Fix.</w:t>
      </w:r>
      <w:r w:rsidR="00E34ED3" w:rsidRPr="003F471F">
        <w:rPr>
          <w:rFonts w:eastAsia="Calibri" w:cs="Tahoma"/>
          <w:b/>
          <w:bCs/>
          <w:color w:val="000000"/>
          <w:szCs w:val="18"/>
          <w:lang w:val="it-IT"/>
        </w:rPr>
        <w:t xml:space="preserve"> </w:t>
      </w:r>
      <w:r w:rsidRPr="003F471F">
        <w:rPr>
          <w:rFonts w:eastAsia="Calibri" w:cs="Tahoma"/>
          <w:bCs/>
          <w:color w:val="000000"/>
          <w:szCs w:val="18"/>
          <w:lang w:val="it-IT"/>
        </w:rPr>
        <w:t>Qualora Microsoft fornisca Fix alla Società durante la prestazione dei Servizi, tali</w:t>
      </w:r>
      <w:r w:rsidRPr="003F471F">
        <w:rPr>
          <w:rFonts w:eastAsia="Calibri" w:cs="Tahoma"/>
          <w:b/>
          <w:bCs/>
          <w:color w:val="000000"/>
          <w:szCs w:val="18"/>
          <w:lang w:val="it-IT"/>
        </w:rPr>
        <w:t xml:space="preserve"> </w:t>
      </w:r>
      <w:r w:rsidRPr="003F471F">
        <w:rPr>
          <w:rFonts w:eastAsia="Calibri" w:cs="Tahoma"/>
          <w:color w:val="000000"/>
          <w:szCs w:val="18"/>
          <w:lang w:val="it-IT"/>
        </w:rPr>
        <w:t>Fix sono concessi in licenza in</w:t>
      </w:r>
      <w:r w:rsidR="00700477" w:rsidRPr="003F471F">
        <w:rPr>
          <w:rFonts w:eastAsia="Calibri" w:cs="Tahoma"/>
          <w:color w:val="000000"/>
          <w:szCs w:val="18"/>
          <w:lang w:val="it-IT"/>
        </w:rPr>
        <w:t> </w:t>
      </w:r>
      <w:r w:rsidRPr="003F471F">
        <w:rPr>
          <w:rFonts w:eastAsia="Calibri" w:cs="Tahoma"/>
          <w:color w:val="000000"/>
          <w:szCs w:val="18"/>
          <w:lang w:val="it-IT"/>
        </w:rPr>
        <w:t>conformità alle condizioni di licenza applicabili al Prodotto cui si riferiscono. Qualora i Fix non siano relativi a un Prodotto specifico, si applicheranno le condizioni per l</w:t>
      </w:r>
      <w:r w:rsidR="001C4212" w:rsidRPr="003F471F">
        <w:rPr>
          <w:rFonts w:eastAsia="Calibri" w:cs="Tahoma"/>
          <w:color w:val="000000"/>
          <w:szCs w:val="18"/>
          <w:lang w:val="it-IT"/>
        </w:rPr>
        <w:t>’</w:t>
      </w:r>
      <w:r w:rsidRPr="003F471F">
        <w:rPr>
          <w:rFonts w:eastAsia="Calibri" w:cs="Tahoma"/>
          <w:color w:val="000000"/>
          <w:szCs w:val="18"/>
          <w:lang w:val="it-IT"/>
        </w:rPr>
        <w:t>utilizzo fornite da Microsoft con i Fix. Nel caso non siano fornite condizioni per l</w:t>
      </w:r>
      <w:r w:rsidR="001C4212" w:rsidRPr="003F471F">
        <w:rPr>
          <w:rFonts w:eastAsia="Calibri" w:cs="Tahoma"/>
          <w:color w:val="000000"/>
          <w:szCs w:val="18"/>
          <w:lang w:val="it-IT"/>
        </w:rPr>
        <w:t>’</w:t>
      </w:r>
      <w:r w:rsidRPr="003F471F">
        <w:rPr>
          <w:rFonts w:eastAsia="Calibri" w:cs="Tahoma"/>
          <w:color w:val="000000"/>
          <w:szCs w:val="18"/>
          <w:lang w:val="it-IT"/>
        </w:rPr>
        <w:t>utilizzo, la Società avrà una licenza non esclusiva, perpetua e gratuita di utilizzare e riprodurre i Fix esclusivamente per uso interno. La Società non potrà modificare, cambiare il nome del file né combinare i Fix con altro codice per computer che non sia di Microsoft.</w:t>
      </w:r>
    </w:p>
    <w:p w14:paraId="16244758" w14:textId="77777777" w:rsidR="000F4095" w:rsidRPr="003F471F" w:rsidRDefault="000F4095" w:rsidP="000F4095">
      <w:pPr>
        <w:rPr>
          <w:lang w:val="it-IT"/>
        </w:rPr>
      </w:pPr>
    </w:p>
    <w:p w14:paraId="08D1BE55" w14:textId="77777777" w:rsidR="000F4095" w:rsidRPr="003F471F" w:rsidRDefault="000F4095" w:rsidP="000F4095">
      <w:pPr>
        <w:rPr>
          <w:lang w:val="it-IT"/>
        </w:rPr>
      </w:pPr>
      <w:r w:rsidRPr="003F471F">
        <w:rPr>
          <w:rFonts w:eastAsia="Calibri" w:cs="Tahoma"/>
          <w:b/>
          <w:bCs/>
          <w:color w:val="000000"/>
          <w:szCs w:val="18"/>
          <w:lang w:val="it-IT"/>
        </w:rPr>
        <w:t>Lavoro Pre-esistente.</w:t>
      </w:r>
      <w:r w:rsidR="00E34ED3" w:rsidRPr="003F471F">
        <w:rPr>
          <w:rFonts w:eastAsia="Calibri" w:cs="Tahoma"/>
          <w:color w:val="000000"/>
          <w:szCs w:val="18"/>
          <w:lang w:val="it-IT"/>
        </w:rPr>
        <w:t xml:space="preserve"> </w:t>
      </w:r>
      <w:r w:rsidRPr="003F471F">
        <w:rPr>
          <w:rFonts w:eastAsia="Calibri" w:cs="Tahoma"/>
          <w:color w:val="000000"/>
          <w:szCs w:val="18"/>
          <w:lang w:val="it-IT"/>
        </w:rPr>
        <w:t>Tutti i diritti riguardanti il codice per computer o qualsiasi altro materiale scritto non basato su codice sviluppato o altrimenti ottenuto da o per le parti o le relative Consociate e indipendente dal presente contratto (“Lavoro Pre-Esistente”) resteranno di esclusiva proprietà della parte che lo fornisce. Durante l</w:t>
      </w:r>
      <w:r w:rsidR="001C4212" w:rsidRPr="003F471F">
        <w:rPr>
          <w:rFonts w:eastAsia="Calibri" w:cs="Tahoma"/>
          <w:color w:val="000000"/>
          <w:szCs w:val="18"/>
          <w:lang w:val="it-IT"/>
        </w:rPr>
        <w:t>’</w:t>
      </w:r>
      <w:r w:rsidRPr="003F471F">
        <w:rPr>
          <w:rFonts w:eastAsia="Calibri" w:cs="Tahoma"/>
          <w:color w:val="000000"/>
          <w:szCs w:val="18"/>
          <w:lang w:val="it-IT"/>
        </w:rPr>
        <w:t>esecuzione dei Servizi ciascuna parte concederà all</w:t>
      </w:r>
      <w:r w:rsidR="001C4212" w:rsidRPr="003F471F">
        <w:rPr>
          <w:rFonts w:eastAsia="Calibri" w:cs="Tahoma"/>
          <w:color w:val="000000"/>
          <w:szCs w:val="18"/>
          <w:lang w:val="it-IT"/>
        </w:rPr>
        <w:t>’</w:t>
      </w:r>
      <w:r w:rsidRPr="003F471F">
        <w:rPr>
          <w:rFonts w:eastAsia="Calibri" w:cs="Tahoma"/>
          <w:color w:val="000000"/>
          <w:szCs w:val="18"/>
          <w:lang w:val="it-IT"/>
        </w:rPr>
        <w:t>altra, e se necessario ai fornitori di Microsoft, una licenza temporanea e non esclusiva di utilizzare, riprodurre e modificare qualsiasi Lavoro Pre-esistente fornito all</w:t>
      </w:r>
      <w:r w:rsidR="001C4212" w:rsidRPr="003F471F">
        <w:rPr>
          <w:rFonts w:eastAsia="Calibri" w:cs="Tahoma"/>
          <w:color w:val="000000"/>
          <w:szCs w:val="18"/>
          <w:lang w:val="it-IT"/>
        </w:rPr>
        <w:t>’</w:t>
      </w:r>
      <w:r w:rsidRPr="003F471F">
        <w:rPr>
          <w:rFonts w:eastAsia="Calibri" w:cs="Tahoma"/>
          <w:color w:val="000000"/>
          <w:szCs w:val="18"/>
          <w:lang w:val="it-IT"/>
        </w:rPr>
        <w:t>altra parte, al solo fine di eseguire i Servizi.</w:t>
      </w:r>
    </w:p>
    <w:p w14:paraId="717F81AB" w14:textId="77777777" w:rsidR="000F4095" w:rsidRPr="003F471F" w:rsidRDefault="000F4095" w:rsidP="000F4095">
      <w:pPr>
        <w:rPr>
          <w:lang w:val="it-IT"/>
        </w:rPr>
      </w:pPr>
      <w:r w:rsidRPr="003F471F">
        <w:rPr>
          <w:rFonts w:eastAsia="Calibri" w:cs="Tahoma"/>
          <w:color w:val="000000"/>
          <w:szCs w:val="18"/>
          <w:lang w:val="it-IT"/>
        </w:rPr>
        <w:t>Fatto salvo quanto diversamente concordato per iscritto tra le parti, Microsoft, ricevuto l</w:t>
      </w:r>
      <w:r w:rsidR="001C4212" w:rsidRPr="003F471F">
        <w:rPr>
          <w:rFonts w:eastAsia="Calibri" w:cs="Tahoma"/>
          <w:color w:val="000000"/>
          <w:szCs w:val="18"/>
          <w:lang w:val="it-IT"/>
        </w:rPr>
        <w:t>’</w:t>
      </w:r>
      <w:r w:rsidRPr="003F471F">
        <w:rPr>
          <w:rFonts w:eastAsia="Calibri" w:cs="Tahoma"/>
          <w:color w:val="000000"/>
          <w:szCs w:val="18"/>
          <w:lang w:val="it-IT"/>
        </w:rPr>
        <w:t>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w:t>
      </w:r>
      <w:r w:rsidR="001C4212" w:rsidRPr="003F471F">
        <w:rPr>
          <w:rFonts w:eastAsia="Calibri" w:cs="Tahoma"/>
          <w:color w:val="000000"/>
          <w:szCs w:val="18"/>
          <w:lang w:val="it-IT"/>
        </w:rPr>
        <w:t>’</w:t>
      </w:r>
      <w:r w:rsidRPr="003F471F">
        <w:rPr>
          <w:rFonts w:eastAsia="Calibri" w:cs="Tahoma"/>
          <w:color w:val="000000"/>
          <w:szCs w:val="18"/>
          <w:lang w:val="it-IT"/>
        </w:rPr>
        <w:t xml:space="preserve">attività interna della Società stessa. La licenza riguardante il Lavoro </w:t>
      </w:r>
      <w:r w:rsidR="00700477" w:rsidRPr="003F471F">
        <w:rPr>
          <w:rFonts w:eastAsia="Calibri" w:cs="Tahoma"/>
          <w:color w:val="000000"/>
          <w:szCs w:val="18"/>
          <w:lang w:val="it-IT"/>
        </w:rPr>
        <w:br/>
      </w:r>
      <w:r w:rsidRPr="003F471F">
        <w:rPr>
          <w:rFonts w:eastAsia="Calibri" w:cs="Tahoma"/>
          <w:color w:val="000000"/>
          <w:szCs w:val="18"/>
          <w:lang w:val="it-IT"/>
        </w:rPr>
        <w:t>Pre-esistente di Microsoft è subordinata al rispetto da parte della Società delle condizioni del presente contratto.</w:t>
      </w:r>
    </w:p>
    <w:p w14:paraId="439E5F34" w14:textId="77777777" w:rsidR="000F4095" w:rsidRPr="003F471F" w:rsidRDefault="000F4095" w:rsidP="000F4095">
      <w:pPr>
        <w:rPr>
          <w:lang w:val="it-IT"/>
        </w:rPr>
      </w:pPr>
      <w:r w:rsidRPr="003F471F">
        <w:rPr>
          <w:rFonts w:eastAsia="Calibri" w:cs="Tahoma"/>
          <w:b/>
          <w:bCs/>
          <w:color w:val="000000"/>
          <w:szCs w:val="18"/>
          <w:lang w:val="it-IT"/>
        </w:rPr>
        <w:t>Sviluppi</w:t>
      </w:r>
      <w:r w:rsidRPr="003F471F">
        <w:rPr>
          <w:rFonts w:eastAsia="Calibri" w:cs="Tahoma"/>
          <w:color w:val="000000"/>
          <w:szCs w:val="18"/>
          <w:lang w:val="it-IT"/>
        </w:rPr>
        <w:t>. Microsoft, ricevuto l</w:t>
      </w:r>
      <w:r w:rsidR="001C4212" w:rsidRPr="003F471F">
        <w:rPr>
          <w:rFonts w:eastAsia="Calibri" w:cs="Tahoma"/>
          <w:color w:val="000000"/>
          <w:szCs w:val="18"/>
          <w:lang w:val="it-IT"/>
        </w:rPr>
        <w:t>’</w:t>
      </w:r>
      <w:r w:rsidRPr="003F471F">
        <w:rPr>
          <w:rFonts w:eastAsia="Calibri" w:cs="Tahoma"/>
          <w:color w:val="000000"/>
          <w:szCs w:val="18"/>
          <w:lang w:val="it-IT"/>
        </w:rPr>
        <w:t>intero corrispettivo, concede alla Società la titolarità congiunta di qualsiasi codice per computer o materiale scritto non basato su codice (diverso da Prodotti, Fix o Lavoro Pre-esistente) sviluppato da Microsoft o in collaborazione con la Società e lasciato presso quest</w:t>
      </w:r>
      <w:r w:rsidR="001C4212" w:rsidRPr="003F471F">
        <w:rPr>
          <w:rFonts w:eastAsia="Calibri" w:cs="Tahoma"/>
          <w:color w:val="000000"/>
          <w:szCs w:val="18"/>
          <w:lang w:val="it-IT"/>
        </w:rPr>
        <w:t>’</w:t>
      </w:r>
      <w:r w:rsidRPr="003F471F">
        <w:rPr>
          <w:rFonts w:eastAsia="Calibri" w:cs="Tahoma"/>
          <w:color w:val="000000"/>
          <w:szCs w:val="18"/>
          <w:lang w:val="it-IT"/>
        </w:rPr>
        <w:t>ultima alla conclusione dei Servizi (“Sviluppi”). Ciascuna parte sarà l</w:t>
      </w:r>
      <w:r w:rsidR="001C4212" w:rsidRPr="003F471F">
        <w:rPr>
          <w:rFonts w:eastAsia="Calibri" w:cs="Tahoma"/>
          <w:color w:val="000000"/>
          <w:szCs w:val="18"/>
          <w:lang w:val="it-IT"/>
        </w:rPr>
        <w:t>’</w:t>
      </w:r>
      <w:r w:rsidRPr="003F471F">
        <w:rPr>
          <w:rFonts w:eastAsia="Calibri" w:cs="Tahoma"/>
          <w:color w:val="000000"/>
          <w:szCs w:val="18"/>
          <w:lang w:val="it-IT"/>
        </w:rPr>
        <w:t>unica titolare dei diritti attinenti alle modifiche effettuate in base agli sviluppi. La Società accetta di esercitare i propri diritti in relazione a qualsiasi Sviluppo esclusivamente per le proprie attività interne e di non rivendere né distribuire gli Sviluppi a terzi.</w:t>
      </w:r>
    </w:p>
    <w:p w14:paraId="2DB71EE4" w14:textId="77777777" w:rsidR="000F4095" w:rsidRPr="003F471F" w:rsidRDefault="000F4095" w:rsidP="000F4095">
      <w:pPr>
        <w:rPr>
          <w:lang w:val="it-IT"/>
        </w:rPr>
      </w:pPr>
    </w:p>
    <w:p w14:paraId="6528D1DD" w14:textId="77777777" w:rsidR="000F4095" w:rsidRPr="003F471F" w:rsidRDefault="000F4095" w:rsidP="000F4095">
      <w:pPr>
        <w:rPr>
          <w:lang w:val="it-IT"/>
        </w:rPr>
      </w:pPr>
      <w:r w:rsidRPr="003F471F">
        <w:rPr>
          <w:rFonts w:eastAsia="Calibri" w:cs="Tahoma"/>
          <w:b/>
          <w:bCs/>
          <w:color w:val="000000"/>
          <w:szCs w:val="18"/>
          <w:lang w:val="it-IT"/>
        </w:rPr>
        <w:t>Materiale.</w:t>
      </w:r>
      <w:r w:rsidR="00E34ED3" w:rsidRPr="003F471F">
        <w:rPr>
          <w:rFonts w:eastAsia="Calibri" w:cs="Tahoma"/>
          <w:b/>
          <w:bCs/>
          <w:color w:val="000000"/>
          <w:szCs w:val="18"/>
          <w:lang w:val="it-IT"/>
        </w:rPr>
        <w:t xml:space="preserve"> </w:t>
      </w:r>
      <w:r w:rsidRPr="003F471F">
        <w:rPr>
          <w:rFonts w:eastAsia="Calibri" w:cs="Tahoma"/>
          <w:bCs/>
          <w:color w:val="000000"/>
          <w:szCs w:val="18"/>
          <w:lang w:val="it-IT"/>
        </w:rPr>
        <w:t>Tutti i diritti relativi a qualsiasi materiale sviluppato da Microsoft, diverso dal codice di software, e fornito alla società al fine di erogare il Supporto per Microsoft Dynamics CRM Online e il Supporto Professionale (“Materiale”) saranno di proprietà esclusiva di Microsoft, fatta eccezione per i casi in cui il suddetto Materiale costituisca il Lavoro Preesistente della società.</w:t>
      </w:r>
      <w:r w:rsidR="00E34ED3" w:rsidRPr="003F471F">
        <w:rPr>
          <w:rFonts w:eastAsia="Calibri" w:cs="Tahoma"/>
          <w:bCs/>
          <w:color w:val="000000"/>
          <w:szCs w:val="18"/>
          <w:lang w:val="it-IT"/>
        </w:rPr>
        <w:t xml:space="preserve"> </w:t>
      </w:r>
      <w:r w:rsidRPr="003F471F">
        <w:rPr>
          <w:rFonts w:eastAsia="Calibri" w:cs="Tahoma"/>
          <w:bCs/>
          <w:color w:val="000000"/>
          <w:szCs w:val="18"/>
          <w:lang w:val="it-IT"/>
        </w:rPr>
        <w:t>Microsoft concede alle società una licenza non esclusiva, perpetua, gratuita di utilizzo, riproduzione e modifica del Materiale esclusivamente per le loro attività interne e senza alcuna obbligazione di contabilizzazione o pagamento di royalty.</w:t>
      </w:r>
      <w:r w:rsidR="00E34ED3" w:rsidRPr="003F471F">
        <w:rPr>
          <w:rFonts w:eastAsia="Calibri" w:cs="Tahoma"/>
          <w:bCs/>
          <w:color w:val="000000"/>
          <w:szCs w:val="18"/>
          <w:lang w:val="it-IT"/>
        </w:rPr>
        <w:t xml:space="preserve"> </w:t>
      </w:r>
      <w:r w:rsidRPr="003F471F">
        <w:rPr>
          <w:rFonts w:eastAsia="Calibri" w:cs="Tahoma"/>
          <w:bCs/>
          <w:color w:val="000000"/>
          <w:szCs w:val="18"/>
          <w:lang w:val="it-IT"/>
        </w:rPr>
        <w:t>Le società potranno concedere in sublicenza alle proprie Consociate i</w:t>
      </w:r>
      <w:r w:rsidR="00700477" w:rsidRPr="003F471F">
        <w:rPr>
          <w:rFonts w:eastAsia="Calibri" w:cs="Tahoma"/>
          <w:bCs/>
          <w:color w:val="000000"/>
          <w:szCs w:val="18"/>
          <w:lang w:val="it-IT"/>
        </w:rPr>
        <w:t> </w:t>
      </w:r>
      <w:r w:rsidRPr="003F471F">
        <w:rPr>
          <w:rFonts w:eastAsia="Calibri" w:cs="Tahoma"/>
          <w:bCs/>
          <w:color w:val="000000"/>
          <w:szCs w:val="18"/>
          <w:lang w:val="it-IT"/>
        </w:rPr>
        <w:t>diritti</w:t>
      </w:r>
      <w:r w:rsidR="00700477" w:rsidRPr="003F471F">
        <w:rPr>
          <w:rFonts w:eastAsia="Calibri" w:cs="Tahoma"/>
          <w:bCs/>
          <w:color w:val="000000"/>
          <w:szCs w:val="18"/>
          <w:lang w:val="it-IT"/>
        </w:rPr>
        <w:t> </w:t>
      </w:r>
      <w:r w:rsidRPr="003F471F">
        <w:rPr>
          <w:rFonts w:eastAsia="Calibri" w:cs="Tahoma"/>
          <w:bCs/>
          <w:color w:val="000000"/>
          <w:szCs w:val="18"/>
          <w:lang w:val="it-IT"/>
        </w:rPr>
        <w:t>concessi nel presente documento.</w:t>
      </w:r>
      <w:r w:rsidR="00E34ED3" w:rsidRPr="003F471F">
        <w:rPr>
          <w:rFonts w:eastAsia="Calibri" w:cs="Tahoma"/>
          <w:bCs/>
          <w:color w:val="000000"/>
          <w:szCs w:val="18"/>
          <w:lang w:val="it-IT"/>
        </w:rPr>
        <w:t xml:space="preserve"> </w:t>
      </w:r>
      <w:r w:rsidRPr="003F471F">
        <w:rPr>
          <w:rFonts w:eastAsia="Calibri" w:cs="Tahoma"/>
          <w:bCs/>
          <w:color w:val="000000"/>
          <w:szCs w:val="18"/>
          <w:lang w:val="it-IT"/>
        </w:rPr>
        <w:t>Tutti i diritti non espressamente concessi sono riservati.</w:t>
      </w:r>
    </w:p>
    <w:p w14:paraId="6A07FE99" w14:textId="77777777" w:rsidR="000F4095" w:rsidRPr="003F471F" w:rsidRDefault="000F4095" w:rsidP="000F4095">
      <w:pPr>
        <w:rPr>
          <w:lang w:val="it-IT"/>
        </w:rPr>
      </w:pPr>
    </w:p>
    <w:p w14:paraId="4FBF2253" w14:textId="77777777" w:rsidR="000F4095" w:rsidRPr="003F471F" w:rsidRDefault="000F4095" w:rsidP="000F4095">
      <w:pPr>
        <w:rPr>
          <w:lang w:val="it-IT"/>
        </w:rPr>
      </w:pPr>
      <w:r w:rsidRPr="003F471F">
        <w:rPr>
          <w:rFonts w:eastAsia="Calibri" w:cs="Tahoma"/>
          <w:b/>
          <w:bCs/>
          <w:color w:val="000000"/>
          <w:szCs w:val="18"/>
          <w:lang w:val="it-IT"/>
        </w:rPr>
        <w:t>Codice Campione.</w:t>
      </w:r>
      <w:r w:rsidR="00E34ED3" w:rsidRPr="003F471F">
        <w:rPr>
          <w:rFonts w:eastAsia="Calibri" w:cs="Tahoma"/>
          <w:b/>
          <w:bCs/>
          <w:color w:val="000000"/>
          <w:szCs w:val="18"/>
          <w:lang w:val="it-IT"/>
        </w:rPr>
        <w:t xml:space="preserve"> </w:t>
      </w:r>
      <w:r w:rsidRPr="003F471F">
        <w:rPr>
          <w:rFonts w:eastAsia="Calibri" w:cs="Tahoma"/>
          <w:bCs/>
          <w:color w:val="000000"/>
          <w:szCs w:val="18"/>
          <w:lang w:val="it-IT"/>
        </w:rPr>
        <w:t>Microsoft concede alle società un diritto non esclusivo, perpetuo e gratuito di utilizzare e modificare qualsiasi codice di software (“Codice Campione”) fornito da Microsoft allo scopo di illustrare e di riprodurre e distribuire il formato in codice oggetto del Codice Campione, a condizione che le società accettino di: (i) astenersi dall</w:t>
      </w:r>
      <w:r w:rsidR="001C4212" w:rsidRPr="003F471F">
        <w:rPr>
          <w:rFonts w:eastAsia="Calibri" w:cs="Tahoma"/>
          <w:bCs/>
          <w:color w:val="000000"/>
          <w:szCs w:val="18"/>
          <w:lang w:val="it-IT"/>
        </w:rPr>
        <w:t>’</w:t>
      </w:r>
      <w:r w:rsidRPr="003F471F">
        <w:rPr>
          <w:rFonts w:eastAsia="Calibri" w:cs="Tahoma"/>
          <w:bCs/>
          <w:color w:val="000000"/>
          <w:szCs w:val="18"/>
          <w:lang w:val="it-IT"/>
        </w:rPr>
        <w:t>utilizzare il nome, il logo o i marchi Microsoft per commercializzare il proprio prodotto software nel quale è</w:t>
      </w:r>
      <w:r w:rsidR="00700477" w:rsidRPr="003F471F">
        <w:rPr>
          <w:rFonts w:eastAsia="Calibri" w:cs="Tahoma"/>
          <w:bCs/>
          <w:color w:val="000000"/>
          <w:szCs w:val="18"/>
          <w:lang w:val="it-IT"/>
        </w:rPr>
        <w:t> </w:t>
      </w:r>
      <w:r w:rsidRPr="003F471F">
        <w:rPr>
          <w:rFonts w:eastAsia="Calibri" w:cs="Tahoma"/>
          <w:bCs/>
          <w:color w:val="000000"/>
          <w:szCs w:val="18"/>
          <w:lang w:val="it-IT"/>
        </w:rPr>
        <w:t>incorporato il Codice Campione, (ii) includere valide informazioni sul copyright nel proprio prodotto software nel quale è incorporato il Codice Campione e (iii) indennizzare, manlevare e difendere Microsoft e i suoi fornitori da ogni e qualsiasi reclamo o azione giudiziaria, ivi incluse le spese legali che derivino o risultino dall</w:t>
      </w:r>
      <w:r w:rsidR="001C4212" w:rsidRPr="003F471F">
        <w:rPr>
          <w:rFonts w:eastAsia="Calibri" w:cs="Tahoma"/>
          <w:bCs/>
          <w:color w:val="000000"/>
          <w:szCs w:val="18"/>
          <w:lang w:val="it-IT"/>
        </w:rPr>
        <w:t>’</w:t>
      </w:r>
      <w:r w:rsidRPr="003F471F">
        <w:rPr>
          <w:rFonts w:eastAsia="Calibri" w:cs="Tahoma"/>
          <w:bCs/>
          <w:color w:val="000000"/>
          <w:szCs w:val="18"/>
          <w:lang w:val="it-IT"/>
        </w:rPr>
        <w:t xml:space="preserve">utilizzo o dalla distribuzione del Codice Campione. </w:t>
      </w:r>
    </w:p>
    <w:p w14:paraId="7294B5D2" w14:textId="77777777" w:rsidR="000F4095" w:rsidRPr="003F471F" w:rsidRDefault="000F4095" w:rsidP="000F4095">
      <w:pPr>
        <w:rPr>
          <w:lang w:val="it-IT"/>
        </w:rPr>
      </w:pPr>
    </w:p>
    <w:p w14:paraId="4E103A2A" w14:textId="77777777" w:rsidR="000F4095" w:rsidRPr="003F471F" w:rsidRDefault="000F4095" w:rsidP="000F4095">
      <w:pPr>
        <w:rPr>
          <w:lang w:val="it-IT"/>
        </w:rPr>
      </w:pPr>
      <w:r w:rsidRPr="003F471F">
        <w:rPr>
          <w:rFonts w:eastAsia="Calibri" w:cs="Tahoma"/>
          <w:b/>
          <w:bCs/>
          <w:color w:val="000000"/>
          <w:szCs w:val="18"/>
          <w:lang w:val="it-IT"/>
        </w:rPr>
        <w:t>Restrizioni di Licenza Open Source</w:t>
      </w:r>
      <w:r w:rsidRPr="003F471F">
        <w:rPr>
          <w:rFonts w:eastAsia="Calibri" w:cs="Tahoma"/>
          <w:color w:val="000000"/>
          <w:szCs w:val="18"/>
          <w:lang w:val="it-IT"/>
        </w:rPr>
        <w:t>. Poiché alcune condizioni di licenza di terzi richiedono che il codice per computer sia a livello generale (i) divulgato a terzi nel formato in codice sorgente, (ii) concesso in licenza a terzi allo scopo di creare lavori derivati oppure (iii) ridistribuibile gratuitamente a terzi (collettivamente, “Condizioni di Licenza Open Source”), i diritti di licenza concessi da ciascuna parte relativamente a qualsiasi codice per computer, o a qualsiasi proprietà intellettuale ad esso associata, non comprendono alcuna licenza, diritto o potere di incorporare, modificare, associare e/o distribuire tale codice per computer con qualsiasi altro codice per computer in modo tale da</w:t>
      </w:r>
      <w:r w:rsidR="00700477" w:rsidRPr="003F471F">
        <w:rPr>
          <w:rFonts w:eastAsia="Calibri" w:cs="Tahoma"/>
          <w:color w:val="000000"/>
          <w:szCs w:val="18"/>
          <w:lang w:val="it-IT"/>
        </w:rPr>
        <w:t> </w:t>
      </w:r>
      <w:r w:rsidRPr="003F471F">
        <w:rPr>
          <w:rFonts w:eastAsia="Calibri" w:cs="Tahoma"/>
          <w:color w:val="000000"/>
          <w:szCs w:val="18"/>
          <w:lang w:val="it-IT"/>
        </w:rPr>
        <w:t>assoggettare il codice per computer dell</w:t>
      </w:r>
      <w:r w:rsidR="001C4212" w:rsidRPr="003F471F">
        <w:rPr>
          <w:rFonts w:eastAsia="Calibri" w:cs="Tahoma"/>
          <w:color w:val="000000"/>
          <w:szCs w:val="18"/>
          <w:lang w:val="it-IT"/>
        </w:rPr>
        <w:t>’</w:t>
      </w:r>
      <w:r w:rsidRPr="003F471F">
        <w:rPr>
          <w:rFonts w:eastAsia="Calibri" w:cs="Tahoma"/>
          <w:color w:val="000000"/>
          <w:szCs w:val="18"/>
          <w:lang w:val="it-IT"/>
        </w:rPr>
        <w:t>altra parte a Condizioni di Licenza Open Source. Inoltre, ciascuna parte garantisce che non fornirà né metterà a disposizione dell</w:t>
      </w:r>
      <w:r w:rsidR="001C4212" w:rsidRPr="003F471F">
        <w:rPr>
          <w:rFonts w:eastAsia="Calibri" w:cs="Tahoma"/>
          <w:color w:val="000000"/>
          <w:szCs w:val="18"/>
          <w:lang w:val="it-IT"/>
        </w:rPr>
        <w:t>’</w:t>
      </w:r>
      <w:r w:rsidRPr="003F471F">
        <w:rPr>
          <w:rFonts w:eastAsia="Calibri" w:cs="Tahoma"/>
          <w:color w:val="000000"/>
          <w:szCs w:val="18"/>
          <w:lang w:val="it-IT"/>
        </w:rPr>
        <w:t>altra parte codice per computer che sia disciplinato da Condizioni di Licenza Open Source.</w:t>
      </w:r>
    </w:p>
    <w:p w14:paraId="5F944748" w14:textId="77777777" w:rsidR="000F4095" w:rsidRPr="003F471F" w:rsidRDefault="000F4095" w:rsidP="000F4095">
      <w:pPr>
        <w:rPr>
          <w:lang w:val="it-IT"/>
        </w:rPr>
      </w:pPr>
    </w:p>
    <w:p w14:paraId="567F6FD2" w14:textId="77777777" w:rsidR="000F4095" w:rsidRPr="003F471F" w:rsidRDefault="000F4095" w:rsidP="000F4095">
      <w:pPr>
        <w:rPr>
          <w:lang w:val="it-IT"/>
        </w:rPr>
      </w:pPr>
      <w:r w:rsidRPr="003F471F">
        <w:rPr>
          <w:rFonts w:eastAsia="Calibri" w:cs="Tahoma"/>
          <w:b/>
          <w:bCs/>
          <w:color w:val="000000"/>
          <w:szCs w:val="18"/>
          <w:lang w:val="it-IT"/>
        </w:rPr>
        <w:t>Diritti delle Consociate.</w:t>
      </w:r>
      <w:r w:rsidR="00E34ED3" w:rsidRPr="003F471F">
        <w:rPr>
          <w:rFonts w:eastAsia="Calibri" w:cs="Tahoma"/>
          <w:color w:val="000000"/>
          <w:szCs w:val="18"/>
          <w:lang w:val="it-IT"/>
        </w:rPr>
        <w:t xml:space="preserve"> </w:t>
      </w:r>
      <w:r w:rsidRPr="003F471F">
        <w:rPr>
          <w:rFonts w:eastAsia="Calibri" w:cs="Tahoma"/>
          <w:color w:val="000000"/>
          <w:szCs w:val="18"/>
          <w:lang w:val="it-IT"/>
        </w:rPr>
        <w:t>La Società può concedere in sublicenza alle proprie Consociate i diritti contenuti nel presente sottoparagrafo relativi al Materiale Fornito con i Servizi. Tali Consociate, tuttavia, non potranno ulteriormente concedere in sublicenza tali diritti e il loro utilizzo dovrà essere conforme alle condizioni di licenza previste nel presente contratto.</w:t>
      </w:r>
    </w:p>
    <w:p w14:paraId="71F19CE2" w14:textId="77777777" w:rsidR="000F4095" w:rsidRPr="003F471F" w:rsidRDefault="000F4095" w:rsidP="000F4095">
      <w:pPr>
        <w:rPr>
          <w:lang w:val="it-IT"/>
        </w:rPr>
      </w:pPr>
    </w:p>
    <w:p w14:paraId="5D1C82E2" w14:textId="77777777" w:rsidR="000F4095" w:rsidRPr="003F471F" w:rsidRDefault="000F4095" w:rsidP="000F4095">
      <w:pPr>
        <w:rPr>
          <w:lang w:val="it-IT"/>
        </w:rPr>
      </w:pPr>
      <w:r w:rsidRPr="003F471F">
        <w:rPr>
          <w:rFonts w:cs="Tahoma"/>
          <w:b/>
          <w:bCs/>
          <w:color w:val="000000"/>
          <w:szCs w:val="18"/>
          <w:lang w:val="it-IT"/>
        </w:rPr>
        <w:t>Riserva di Diritti.</w:t>
      </w:r>
      <w:r w:rsidR="00E34ED3" w:rsidRPr="003F471F">
        <w:rPr>
          <w:rFonts w:cs="Tahoma"/>
          <w:color w:val="000000"/>
          <w:szCs w:val="18"/>
          <w:lang w:val="it-IT"/>
        </w:rPr>
        <w:t xml:space="preserve"> </w:t>
      </w:r>
      <w:r w:rsidRPr="003F471F">
        <w:rPr>
          <w:rFonts w:cs="Tahoma"/>
          <w:color w:val="000000"/>
          <w:szCs w:val="18"/>
          <w:lang w:val="it-IT"/>
        </w:rPr>
        <w:t>Tutti i diritti non espressamente concessi sono riservati.</w:t>
      </w:r>
    </w:p>
    <w:p w14:paraId="29D610D0" w14:textId="77777777" w:rsidR="000F4095" w:rsidRPr="003F471F" w:rsidRDefault="000F4095" w:rsidP="000F4095">
      <w:pPr>
        <w:rPr>
          <w:lang w:val="it-IT"/>
        </w:rPr>
      </w:pPr>
    </w:p>
    <w:p w14:paraId="144FC6F1" w14:textId="77777777" w:rsidR="000F4095" w:rsidRPr="003F471F" w:rsidRDefault="000F4095" w:rsidP="000F4095">
      <w:pPr>
        <w:spacing w:after="60"/>
        <w:rPr>
          <w:lang w:val="it-IT"/>
        </w:rPr>
      </w:pPr>
      <w:r w:rsidRPr="003F471F">
        <w:rPr>
          <w:b/>
          <w:szCs w:val="18"/>
          <w:lang w:val="it-IT"/>
        </w:rPr>
        <w:t>Garanzie, Dichiarazioni di non Responsabilità e Limitazioni di Responsabilità</w:t>
      </w:r>
    </w:p>
    <w:p w14:paraId="538FDB0D" w14:textId="77777777" w:rsidR="000F4095" w:rsidRPr="003F471F" w:rsidRDefault="000F4095" w:rsidP="000F4095">
      <w:pPr>
        <w:ind w:left="360"/>
        <w:rPr>
          <w:lang w:val="it-IT"/>
        </w:rPr>
      </w:pPr>
      <w:r w:rsidRPr="003F471F">
        <w:rPr>
          <w:rFonts w:cs="Tahoma"/>
          <w:b/>
          <w:color w:val="000000"/>
          <w:szCs w:val="18"/>
          <w:lang w:val="it-IT"/>
        </w:rPr>
        <w:t>Garanzia per i Servizi</w:t>
      </w:r>
      <w:r w:rsidRPr="003F471F">
        <w:rPr>
          <w:rFonts w:cs="Tahoma"/>
          <w:color w:val="000000"/>
          <w:szCs w:val="18"/>
          <w:lang w:val="it-IT"/>
        </w:rPr>
        <w:t>.</w:t>
      </w:r>
      <w:r w:rsidR="00E34ED3" w:rsidRPr="003F471F">
        <w:rPr>
          <w:rFonts w:cs="Tahoma"/>
          <w:color w:val="000000"/>
          <w:szCs w:val="18"/>
          <w:lang w:val="it-IT"/>
        </w:rPr>
        <w:t xml:space="preserve"> </w:t>
      </w:r>
      <w:r w:rsidRPr="003F471F">
        <w:rPr>
          <w:rFonts w:cs="Tahoma"/>
          <w:color w:val="000000"/>
          <w:szCs w:val="18"/>
          <w:lang w:val="it-IT"/>
        </w:rPr>
        <w:t>Microsoft garantisce che tutti i Servizi verranno eseguiti con cura e competenza professionali.</w:t>
      </w:r>
    </w:p>
    <w:p w14:paraId="50D350D9" w14:textId="77777777" w:rsidR="000F4095" w:rsidRPr="003F471F" w:rsidRDefault="000F4095" w:rsidP="000F4095">
      <w:pPr>
        <w:ind w:left="360"/>
        <w:rPr>
          <w:lang w:val="it-IT"/>
        </w:rPr>
      </w:pPr>
    </w:p>
    <w:p w14:paraId="55D1677A" w14:textId="77777777" w:rsidR="000F4095" w:rsidRPr="003F471F" w:rsidRDefault="000F4095" w:rsidP="000F4095">
      <w:pPr>
        <w:ind w:left="360"/>
        <w:rPr>
          <w:lang w:val="it-IT"/>
        </w:rPr>
      </w:pPr>
      <w:r w:rsidRPr="003F471F">
        <w:rPr>
          <w:b/>
          <w:szCs w:val="18"/>
          <w:lang w:val="it-IT"/>
        </w:rPr>
        <w:t>ESCLUSIONE DI ALTRE GARANZIE</w:t>
      </w:r>
      <w:r w:rsidRPr="003F471F">
        <w:rPr>
          <w:b/>
          <w:i/>
          <w:szCs w:val="18"/>
          <w:lang w:val="it-IT"/>
        </w:rPr>
        <w:t>.</w:t>
      </w:r>
      <w:r w:rsidR="00E34ED3" w:rsidRPr="003F471F">
        <w:rPr>
          <w:szCs w:val="18"/>
          <w:lang w:val="it-IT"/>
        </w:rPr>
        <w:t xml:space="preserve"> </w:t>
      </w:r>
      <w:r w:rsidRPr="003F471F">
        <w:rPr>
          <w:szCs w:val="18"/>
          <w:lang w:val="it-IT"/>
        </w:rPr>
        <w:t>NELLA MISURA MASSIMA CONSENTITA DALLA LEGGE APPLICABILE, MICROSOFT NON RICONOSCE ED ESCLUDE TUTTE LE DICHIARAZIONI, LE GARANZIE E LE CONDIZIONI ESPRESSE, IMPLICITE O DI LEGGE DIVERSE DA QUELLE SPECIFICATAMENTE INDICATE NEL PRESENTE CONTRATTO.</w:t>
      </w:r>
      <w:r w:rsidR="00E34ED3" w:rsidRPr="003F471F">
        <w:rPr>
          <w:szCs w:val="18"/>
          <w:lang w:val="it-IT"/>
        </w:rPr>
        <w:t xml:space="preserve"> </w:t>
      </w:r>
      <w:r w:rsidRPr="003F471F">
        <w:rPr>
          <w:szCs w:val="18"/>
          <w:lang w:val="it-IT"/>
        </w:rPr>
        <w:t>LA PRESENTE DICHIARAZIONE DI NON RESPONSABILITÀ INCLUDE QUALSIASI GARANZIA O</w:t>
      </w:r>
      <w:r w:rsidR="00700477" w:rsidRPr="003F471F">
        <w:rPr>
          <w:szCs w:val="18"/>
          <w:lang w:val="it-IT"/>
        </w:rPr>
        <w:t> </w:t>
      </w:r>
      <w:r w:rsidRPr="003F471F">
        <w:rPr>
          <w:szCs w:val="18"/>
          <w:lang w:val="it-IT"/>
        </w:rPr>
        <w:t>CONDIZIONE DI TITOLARITÀ, DI NON VIOLAZIONE DI DIRITTI ALTRUI, DI QUALITÀ O RISULTATI SODDISFACENTI, DI COMMERCIABILITÀ (QUALITÀ NON INFERIORE ALLA MEDIA) E DI ADEGUATEZZA PER UNO SCOPO SPECIFICO, RELATIVAMENTE A CONSULENZA, RACCOMANDAZIONI, FIX, MATERIALE FORNITO CON I SERVIZI E MATERIALE CORRELATO FORNITO DA MICROSOFT E DA CONSOCIATE, FORNITORI E</w:t>
      </w:r>
      <w:r w:rsidR="00814664" w:rsidRPr="003F471F">
        <w:rPr>
          <w:szCs w:val="18"/>
          <w:lang w:val="it-IT"/>
        </w:rPr>
        <w:t> </w:t>
      </w:r>
      <w:r w:rsidRPr="003F471F">
        <w:rPr>
          <w:szCs w:val="18"/>
          <w:lang w:val="it-IT"/>
        </w:rPr>
        <w:t>APPALTATORI MICROSOFT DURANTE L</w:t>
      </w:r>
      <w:r w:rsidR="001C4212" w:rsidRPr="003F471F">
        <w:rPr>
          <w:szCs w:val="18"/>
          <w:lang w:val="it-IT"/>
        </w:rPr>
        <w:t>’</w:t>
      </w:r>
      <w:r w:rsidRPr="003F471F">
        <w:rPr>
          <w:szCs w:val="18"/>
          <w:lang w:val="it-IT"/>
        </w:rPr>
        <w:t>EROGAZIONE DEI SERVIZI.</w:t>
      </w:r>
      <w:r w:rsidR="00E34ED3" w:rsidRPr="003F471F">
        <w:rPr>
          <w:szCs w:val="18"/>
          <w:lang w:val="it-IT"/>
        </w:rPr>
        <w:t xml:space="preserve"> </w:t>
      </w:r>
    </w:p>
    <w:p w14:paraId="5D7B9A92" w14:textId="77777777" w:rsidR="000F4095" w:rsidRPr="003F471F" w:rsidRDefault="000F4095" w:rsidP="000F4095">
      <w:pPr>
        <w:ind w:left="360"/>
        <w:rPr>
          <w:lang w:val="it-IT"/>
        </w:rPr>
      </w:pPr>
    </w:p>
    <w:p w14:paraId="69E5B86A" w14:textId="77777777" w:rsidR="000F4095" w:rsidRPr="003F471F" w:rsidRDefault="000F4095" w:rsidP="000F4095">
      <w:pPr>
        <w:ind w:left="360"/>
        <w:rPr>
          <w:lang w:val="it-IT"/>
        </w:rPr>
      </w:pPr>
      <w:r w:rsidRPr="003F471F">
        <w:rPr>
          <w:b/>
          <w:szCs w:val="18"/>
          <w:lang w:val="it-IT"/>
        </w:rPr>
        <w:t>Limitazione di Responsabilità</w:t>
      </w:r>
      <w:r w:rsidRPr="003F471F">
        <w:rPr>
          <w:szCs w:val="18"/>
          <w:lang w:val="it-IT"/>
        </w:rPr>
        <w:t>.</w:t>
      </w:r>
      <w:r w:rsidR="00E34ED3" w:rsidRPr="003F471F">
        <w:rPr>
          <w:szCs w:val="18"/>
          <w:lang w:val="it-IT"/>
        </w:rPr>
        <w:t xml:space="preserve"> </w:t>
      </w:r>
      <w:r w:rsidRPr="003F471F">
        <w:rPr>
          <w:szCs w:val="18"/>
          <w:lang w:val="it-IT"/>
        </w:rPr>
        <w:t>La responsabilità complessiva di Microsoft per i danni diretti sarà limitata alla misura massima consentita dalla legge applicabile agli importi versati dalla Società per il pagamento dei Servizi che hanno dato origine al reclamo nei 12 mesi precedenti al reclamo.</w:t>
      </w:r>
      <w:r w:rsidR="00E34ED3" w:rsidRPr="003F471F">
        <w:rPr>
          <w:szCs w:val="18"/>
          <w:lang w:val="it-IT"/>
        </w:rPr>
        <w:t xml:space="preserve"> </w:t>
      </w:r>
    </w:p>
    <w:p w14:paraId="2CE0B17F" w14:textId="77777777" w:rsidR="000F4095" w:rsidRPr="003F471F" w:rsidRDefault="000F4095" w:rsidP="000F4095">
      <w:pPr>
        <w:ind w:left="360"/>
        <w:rPr>
          <w:lang w:val="it-IT"/>
        </w:rPr>
      </w:pPr>
    </w:p>
    <w:p w14:paraId="430619B2" w14:textId="77777777" w:rsidR="000F4095" w:rsidRPr="003F471F" w:rsidRDefault="000F4095" w:rsidP="000F4095">
      <w:pPr>
        <w:ind w:left="360"/>
        <w:rPr>
          <w:lang w:val="it-IT"/>
        </w:rPr>
      </w:pPr>
      <w:r w:rsidRPr="003F471F">
        <w:rPr>
          <w:b/>
          <w:szCs w:val="18"/>
          <w:lang w:val="it-IT"/>
        </w:rPr>
        <w:t>ESCLUSIONE DI RESPONSABILITÀ PER DANNI PARTICOLARI</w:t>
      </w:r>
      <w:r w:rsidRPr="003F471F">
        <w:rPr>
          <w:szCs w:val="18"/>
          <w:lang w:val="it-IT"/>
        </w:rPr>
        <w:t>.</w:t>
      </w:r>
      <w:r w:rsidR="00E34ED3" w:rsidRPr="003F471F">
        <w:rPr>
          <w:szCs w:val="18"/>
          <w:lang w:val="it-IT"/>
        </w:rPr>
        <w:t xml:space="preserve"> </w:t>
      </w:r>
      <w:r w:rsidRPr="003F471F">
        <w:rPr>
          <w:szCs w:val="18"/>
          <w:lang w:val="it-IT"/>
        </w:rPr>
        <w:t>NELLA MISURA MASSIMA CONSENTITA DALLA LEGGE APPLICABILE, NESSUNA DELLE PARTI NÉ DELLE RELATIVE CONSOCIATE O DEI RELATIVI FORNITORI O APPALTATORI SARÀ RESPONSABILE DI EVENTUALI DANNI INDIRETTI (INCLUSI, A TITOLO ESEMPLIFICATIVO, DANNI CONSEQUENZIALI, SPECIALI O INCIDENTALI, DANNI PER PERDITA O MANCATO GUADAGNO, INTERRUZIONE DELL</w:t>
      </w:r>
      <w:r w:rsidR="001C4212" w:rsidRPr="003F471F">
        <w:rPr>
          <w:szCs w:val="18"/>
          <w:lang w:val="it-IT"/>
        </w:rPr>
        <w:t>’</w:t>
      </w:r>
      <w:r w:rsidRPr="003F471F">
        <w:rPr>
          <w:szCs w:val="18"/>
          <w:lang w:val="it-IT"/>
        </w:rPr>
        <w:t>ATTIVITÀ O PERDITA DI INFORMAZIONI) CORRELATI AL PRESENTE CONTRATTO, ANCHE NEL CASO IN CUI LA POSSIBILITÀ DEL VERIFICARSI DI TALI DANNI FOSSE STATA COMUNICATA O FOSSE RAGIONEVOLMENTE PREVEDIBILE.</w:t>
      </w:r>
      <w:r w:rsidR="00E34ED3" w:rsidRPr="003F471F">
        <w:rPr>
          <w:szCs w:val="18"/>
          <w:lang w:val="it-IT"/>
        </w:rPr>
        <w:t xml:space="preserve"> </w:t>
      </w:r>
      <w:r w:rsidRPr="003F471F">
        <w:rPr>
          <w:szCs w:val="18"/>
          <w:lang w:val="it-IT"/>
        </w:rPr>
        <w:t>TALE ESCLUSIONE DI RESPONSABILITÀ NON SI</w:t>
      </w:r>
      <w:r w:rsidR="00DB3AB1" w:rsidRPr="003F471F">
        <w:rPr>
          <w:szCs w:val="18"/>
          <w:lang w:val="it-IT"/>
        </w:rPr>
        <w:t> </w:t>
      </w:r>
      <w:r w:rsidRPr="003F471F">
        <w:rPr>
          <w:szCs w:val="18"/>
          <w:lang w:val="it-IT"/>
        </w:rPr>
        <w:t>APPLICA NEL CASO DI INADEMPIMENTO DELLE OBBLIGAZIONI DI RISERVATEZZA DI UNA PARTE NEI CONFRONTI DELL</w:t>
      </w:r>
      <w:r w:rsidR="001C4212" w:rsidRPr="003F471F">
        <w:rPr>
          <w:szCs w:val="18"/>
          <w:lang w:val="it-IT"/>
        </w:rPr>
        <w:t>’</w:t>
      </w:r>
      <w:r w:rsidRPr="003F471F">
        <w:rPr>
          <w:szCs w:val="18"/>
          <w:lang w:val="it-IT"/>
        </w:rPr>
        <w:t>ALTRA O NEL CASO DI VIOLAZIONE DEI DIRITTI DI PROPRIETÀ INTELLETTUALE DELL</w:t>
      </w:r>
      <w:r w:rsidR="001C4212" w:rsidRPr="003F471F">
        <w:rPr>
          <w:szCs w:val="18"/>
          <w:lang w:val="it-IT"/>
        </w:rPr>
        <w:t>’</w:t>
      </w:r>
      <w:r w:rsidRPr="003F471F">
        <w:rPr>
          <w:szCs w:val="18"/>
          <w:lang w:val="it-IT"/>
        </w:rPr>
        <w:t>ALTRA PARTE.</w:t>
      </w:r>
    </w:p>
    <w:p w14:paraId="5C14A338" w14:textId="77777777" w:rsidR="000F4095" w:rsidRPr="003F471F" w:rsidRDefault="000F4095" w:rsidP="000F4095">
      <w:pPr>
        <w:ind w:left="360" w:hanging="360"/>
        <w:jc w:val="both"/>
        <w:rPr>
          <w:lang w:val="it-IT"/>
        </w:rPr>
      </w:pPr>
    </w:p>
    <w:p w14:paraId="1EC68838" w14:textId="77777777" w:rsidR="000F4095" w:rsidRPr="003F471F" w:rsidRDefault="000F4095" w:rsidP="000F4095">
      <w:pPr>
        <w:ind w:left="360"/>
        <w:rPr>
          <w:lang w:val="it-IT"/>
        </w:rPr>
      </w:pPr>
      <w:r w:rsidRPr="003F471F">
        <w:rPr>
          <w:b/>
          <w:szCs w:val="18"/>
          <w:lang w:val="it-IT"/>
        </w:rPr>
        <w:t>Applicazione</w:t>
      </w:r>
      <w:r w:rsidRPr="003F471F">
        <w:rPr>
          <w:szCs w:val="18"/>
          <w:lang w:val="it-IT"/>
        </w:rPr>
        <w:t>.</w:t>
      </w:r>
      <w:r w:rsidR="00E34ED3" w:rsidRPr="003F471F">
        <w:rPr>
          <w:szCs w:val="18"/>
          <w:lang w:val="it-IT"/>
        </w:rPr>
        <w:t xml:space="preserve"> </w:t>
      </w:r>
      <w:r w:rsidRPr="003F471F">
        <w:rPr>
          <w:szCs w:val="18"/>
          <w:lang w:val="it-IT"/>
        </w:rPr>
        <w:t>Fatto salvo quanto espressamente indicato nel presente documento, le limitazioni e le esclusioni di responsabilità per danni, contenute nel presente contratto, sono comunque applicabili qualunque sia la natura della responsabilità, ovvero anche nel caso in cui la responsabilità derivi da inadempimento contrattuale, illecito civile (inclusa la negligenza), responsabilità oggettiva o violazione di garanzie.</w:t>
      </w:r>
    </w:p>
    <w:p w14:paraId="41647CE6" w14:textId="77777777" w:rsidR="00023FE7" w:rsidRPr="003F471F" w:rsidRDefault="00023FE7">
      <w:pPr>
        <w:rPr>
          <w:lang w:val="it-IT"/>
        </w:rPr>
      </w:pPr>
      <w:r w:rsidRPr="003F471F">
        <w:rPr>
          <w:lang w:val="it-IT"/>
        </w:rPr>
        <w:br w:type="page"/>
      </w:r>
    </w:p>
    <w:p w14:paraId="47185201" w14:textId="77777777" w:rsidR="008A1637" w:rsidRPr="003F471F" w:rsidRDefault="008A1637" w:rsidP="00DB3AB1">
      <w:pPr>
        <w:pStyle w:val="Heading1"/>
        <w:spacing w:before="0"/>
        <w:rPr>
          <w:lang w:val="it-IT"/>
        </w:rPr>
      </w:pPr>
      <w:bookmarkStart w:id="916" w:name="_Toc336338249"/>
      <w:bookmarkStart w:id="917" w:name="_Toc371663643"/>
      <w:r w:rsidRPr="003F471F">
        <w:rPr>
          <w:lang w:val="it-IT"/>
        </w:rPr>
        <w:t>ARTICOLO 9 - Condizioni Aggiuntive</w:t>
      </w:r>
      <w:bookmarkEnd w:id="916"/>
      <w:bookmarkEnd w:id="917"/>
    </w:p>
    <w:p w14:paraId="0B0ED106" w14:textId="77777777" w:rsidR="00DB3AB1" w:rsidRPr="003F471F" w:rsidRDefault="00DB3AB1" w:rsidP="00DB3AB1">
      <w:pPr>
        <w:pStyle w:val="Heading1"/>
        <w:rPr>
          <w:sz w:val="18"/>
          <w:lang w:val="it-IT"/>
        </w:rPr>
      </w:pPr>
      <w:bookmarkStart w:id="918" w:name="_Toc323159781"/>
      <w:bookmarkStart w:id="919" w:name="_Toc336338250"/>
    </w:p>
    <w:p w14:paraId="527592CB" w14:textId="77777777" w:rsidR="008A1637" w:rsidRPr="003F471F" w:rsidRDefault="008A1637" w:rsidP="008A1637">
      <w:pPr>
        <w:pStyle w:val="Heading3"/>
        <w:ind w:left="800" w:right="720" w:hanging="800"/>
        <w:rPr>
          <w:lang w:val="it-IT"/>
        </w:rPr>
      </w:pPr>
      <w:bookmarkStart w:id="920" w:name="_Toc371663644"/>
      <w:r w:rsidRPr="003F471F">
        <w:rPr>
          <w:rFonts w:ascii="Tahoma" w:eastAsia="Times New Roman" w:hAnsi="Tahoma" w:cs="Tahoma"/>
          <w:color w:val="000000"/>
          <w:sz w:val="24"/>
          <w:szCs w:val="22"/>
          <w:lang w:val="it-IT"/>
        </w:rPr>
        <w:t>Client Access Licenses (CAL) e Licenze di Gestione Client (ML)</w:t>
      </w:r>
      <w:bookmarkEnd w:id="918"/>
      <w:bookmarkEnd w:id="919"/>
      <w:bookmarkEnd w:id="920"/>
    </w:p>
    <w:p w14:paraId="038D57C2" w14:textId="77777777" w:rsidR="008A1637" w:rsidRPr="003F471F" w:rsidRDefault="008A1637" w:rsidP="008A1637">
      <w:pPr>
        <w:pStyle w:val="AppendixFlushBulletedList"/>
        <w:tabs>
          <w:tab w:val="clear" w:pos="360"/>
        </w:tabs>
        <w:ind w:left="720" w:right="720" w:firstLine="0"/>
        <w:rPr>
          <w:lang w:val="it-IT"/>
        </w:rPr>
      </w:pPr>
    </w:p>
    <w:p w14:paraId="606C5111" w14:textId="77777777" w:rsidR="008A1637" w:rsidRPr="003F471F" w:rsidRDefault="008A1637" w:rsidP="00346F4B">
      <w:pPr>
        <w:pStyle w:val="AppendixFlushBulletedList"/>
        <w:numPr>
          <w:ilvl w:val="0"/>
          <w:numId w:val="79"/>
        </w:numPr>
        <w:ind w:left="1440" w:right="720"/>
        <w:rPr>
          <w:lang w:val="it-IT"/>
        </w:rPr>
      </w:pPr>
      <w:r w:rsidRPr="003F471F">
        <w:rPr>
          <w:rFonts w:ascii="Tahoma" w:hAnsi="Tahoma" w:cs="Tahoma"/>
          <w:b/>
          <w:bCs/>
          <w:color w:val="000000"/>
          <w:sz w:val="18"/>
          <w:szCs w:val="18"/>
          <w:lang w:val="it-IT"/>
        </w:rPr>
        <w:t>Transizione tra User CAL e CAL per Dispositivo</w:t>
      </w:r>
    </w:p>
    <w:p w14:paraId="366EDDBB" w14:textId="77777777" w:rsidR="008A1637" w:rsidRPr="003F471F" w:rsidRDefault="008A1637" w:rsidP="00E077BC">
      <w:pPr>
        <w:pStyle w:val="AppendixBodyText"/>
        <w:numPr>
          <w:ilvl w:val="0"/>
          <w:numId w:val="80"/>
        </w:numPr>
        <w:spacing w:afterLines="60" w:after="144"/>
        <w:ind w:left="1800" w:right="720"/>
        <w:rPr>
          <w:lang w:val="it-IT"/>
        </w:rPr>
      </w:pPr>
      <w:r w:rsidRPr="003F471F">
        <w:rPr>
          <w:rFonts w:ascii="Tahoma" w:hAnsi="Tahoma" w:cs="Tahoma"/>
          <w:color w:val="000000"/>
          <w:sz w:val="18"/>
          <w:szCs w:val="18"/>
          <w:lang w:val="it-IT"/>
        </w:rPr>
        <w:t>Le società con Software Assurance attiva per le CAL possono passare da Utente a Dispositivo e viceversa quando effettuano il rinnovo della loro copertura Software Assurance. Tale transizione non cambia l</w:t>
      </w:r>
      <w:r w:rsidR="001C4212" w:rsidRPr="003F471F">
        <w:rPr>
          <w:rFonts w:ascii="Tahoma" w:hAnsi="Tahoma" w:cs="Tahoma"/>
          <w:color w:val="000000"/>
          <w:sz w:val="18"/>
          <w:szCs w:val="18"/>
          <w:lang w:val="it-IT"/>
        </w:rPr>
        <w:t>’</w:t>
      </w:r>
      <w:r w:rsidRPr="003F471F">
        <w:rPr>
          <w:rFonts w:ascii="Tahoma" w:hAnsi="Tahoma" w:cs="Tahoma"/>
          <w:color w:val="000000"/>
          <w:sz w:val="18"/>
          <w:szCs w:val="18"/>
          <w:lang w:val="it-IT"/>
        </w:rPr>
        <w:t xml:space="preserve">edizione della CAL (ad esempio, da Standard a Enterprise). Fare riferimento alle Note del Prodotto per informazioni sui singoli prodotti </w:t>
      </w:r>
    </w:p>
    <w:p w14:paraId="563D1FA1" w14:textId="77777777" w:rsidR="008A1637" w:rsidRPr="003F471F" w:rsidRDefault="008A1637" w:rsidP="00346F4B">
      <w:pPr>
        <w:pStyle w:val="AppendixFlushBulletedList"/>
        <w:numPr>
          <w:ilvl w:val="0"/>
          <w:numId w:val="79"/>
        </w:numPr>
        <w:ind w:left="1440" w:right="720"/>
        <w:rPr>
          <w:lang w:val="it-IT"/>
        </w:rPr>
      </w:pPr>
      <w:r w:rsidRPr="003F471F">
        <w:rPr>
          <w:rFonts w:ascii="Tahoma" w:hAnsi="Tahoma" w:cs="Tahoma"/>
          <w:b/>
          <w:bCs/>
          <w:color w:val="000000"/>
          <w:sz w:val="18"/>
          <w:szCs w:val="18"/>
          <w:lang w:val="it-IT"/>
        </w:rPr>
        <w:t>Transizione tra client ML per Utente e per OSE</w:t>
      </w:r>
    </w:p>
    <w:p w14:paraId="01F35562" w14:textId="77777777" w:rsidR="008A1637" w:rsidRPr="003F471F" w:rsidRDefault="008A1637" w:rsidP="00E077BC">
      <w:pPr>
        <w:pStyle w:val="AppendixBodyText"/>
        <w:numPr>
          <w:ilvl w:val="0"/>
          <w:numId w:val="80"/>
        </w:numPr>
        <w:spacing w:afterLines="60" w:after="144"/>
        <w:ind w:left="1800" w:right="720"/>
        <w:rPr>
          <w:lang w:val="it-IT"/>
        </w:rPr>
      </w:pPr>
      <w:r w:rsidRPr="003F471F">
        <w:rPr>
          <w:rFonts w:ascii="Tahoma" w:hAnsi="Tahoma" w:cs="Tahoma"/>
          <w:color w:val="000000"/>
          <w:sz w:val="18"/>
          <w:szCs w:val="18"/>
          <w:lang w:val="it-IT"/>
        </w:rPr>
        <w:t xml:space="preserve">Le società con Software Assurance attiva per le client ML possono passare da Utente a OSE e viceversa quando effettuano il rinnovo della loro copertura Software Assurance. Fare riferimento alle Note del Prodotto per informazioni sui singoli prodotti. </w:t>
      </w:r>
    </w:p>
    <w:p w14:paraId="6F1F47AC" w14:textId="77777777" w:rsidR="008A1637" w:rsidRPr="0058047D" w:rsidRDefault="008A1637" w:rsidP="00346F4B">
      <w:pPr>
        <w:pStyle w:val="AppendixFlushBulletedList"/>
        <w:numPr>
          <w:ilvl w:val="0"/>
          <w:numId w:val="79"/>
        </w:numPr>
        <w:ind w:left="1440" w:right="720"/>
      </w:pPr>
      <w:r w:rsidRPr="0058047D">
        <w:rPr>
          <w:rFonts w:ascii="Tahoma" w:hAnsi="Tahoma" w:cs="Tahoma"/>
          <w:b/>
          <w:bCs/>
          <w:color w:val="000000"/>
          <w:sz w:val="18"/>
          <w:szCs w:val="18"/>
        </w:rPr>
        <w:t>In fase di rinnovo</w:t>
      </w:r>
    </w:p>
    <w:p w14:paraId="1E0D7EBC" w14:textId="77777777" w:rsidR="008A1637" w:rsidRPr="0058047D" w:rsidRDefault="008A1637" w:rsidP="00E077BC">
      <w:pPr>
        <w:pStyle w:val="AppendixBodyText"/>
        <w:numPr>
          <w:ilvl w:val="0"/>
          <w:numId w:val="80"/>
        </w:numPr>
        <w:spacing w:afterLines="60" w:after="144"/>
        <w:ind w:left="1800" w:right="720"/>
      </w:pPr>
      <w:r w:rsidRPr="003F471F">
        <w:rPr>
          <w:rFonts w:ascii="Tahoma" w:hAnsi="Tahoma" w:cs="Tahoma"/>
          <w:color w:val="000000"/>
          <w:sz w:val="18"/>
          <w:szCs w:val="18"/>
          <w:lang w:val="it-IT"/>
        </w:rPr>
        <w:t>Nel caso in cui siano disponibili sia User CAL che CAL per Dispositivo, le società potranno rinnovare Software Assurance per entrambi i tipi. I diritti di utilizzo del prodotto per il tipo di licenze CAL per il quale è stata ordinata la copertura Software Assurance determinano la modalità di assegnazione e uso delle licenze CAL. Le società che hanno effettuato l</w:t>
      </w:r>
      <w:r w:rsidR="001C4212" w:rsidRPr="003F471F">
        <w:rPr>
          <w:rFonts w:ascii="Tahoma" w:hAnsi="Tahoma" w:cs="Tahoma"/>
          <w:color w:val="000000"/>
          <w:sz w:val="18"/>
          <w:szCs w:val="18"/>
          <w:lang w:val="it-IT"/>
        </w:rPr>
        <w:t>’</w:t>
      </w:r>
      <w:r w:rsidRPr="003F471F">
        <w:rPr>
          <w:rFonts w:ascii="Tahoma" w:hAnsi="Tahoma" w:cs="Tahoma"/>
          <w:color w:val="000000"/>
          <w:sz w:val="18"/>
          <w:szCs w:val="18"/>
          <w:lang w:val="it-IT"/>
        </w:rPr>
        <w:t>Iscrizione Enterprise e che scelgono di ordinare Software Assurance per le User CAL potranno acquistare le licenze CAL sulla base del loro numero di utenti. </w:t>
      </w:r>
      <w:r w:rsidRPr="0058047D">
        <w:rPr>
          <w:rFonts w:ascii="Tahoma" w:hAnsi="Tahoma" w:cs="Tahoma"/>
          <w:color w:val="000000"/>
          <w:sz w:val="18"/>
          <w:szCs w:val="18"/>
        </w:rPr>
        <w:t xml:space="preserve">Fare riferimento alle note per informazioni sui singoli prodotti. </w:t>
      </w:r>
    </w:p>
    <w:p w14:paraId="06C3B669" w14:textId="77777777" w:rsidR="008A1637" w:rsidRPr="0058047D" w:rsidRDefault="008A1637" w:rsidP="00346F4B">
      <w:pPr>
        <w:pStyle w:val="AppendixFlushBulletedList"/>
        <w:numPr>
          <w:ilvl w:val="0"/>
          <w:numId w:val="79"/>
        </w:numPr>
        <w:ind w:left="1440" w:right="720"/>
      </w:pPr>
      <w:r w:rsidRPr="0058047D">
        <w:rPr>
          <w:rFonts w:ascii="Tahoma" w:hAnsi="Tahoma" w:cs="Tahoma"/>
          <w:b/>
          <w:bCs/>
          <w:color w:val="000000"/>
          <w:sz w:val="18"/>
          <w:szCs w:val="18"/>
        </w:rPr>
        <w:t>CAL in Eccedenza</w:t>
      </w:r>
    </w:p>
    <w:p w14:paraId="1D3991E5" w14:textId="77777777" w:rsidR="008A1637" w:rsidRPr="003F471F" w:rsidRDefault="008A1637" w:rsidP="00E077BC">
      <w:pPr>
        <w:pStyle w:val="AppendixBodyText"/>
        <w:numPr>
          <w:ilvl w:val="0"/>
          <w:numId w:val="80"/>
        </w:numPr>
        <w:spacing w:afterLines="60" w:after="144"/>
        <w:ind w:left="1800" w:right="720"/>
        <w:rPr>
          <w:lang w:val="it-IT"/>
        </w:rPr>
      </w:pPr>
      <w:r w:rsidRPr="003F471F">
        <w:rPr>
          <w:rFonts w:ascii="Tahoma" w:hAnsi="Tahoma" w:cs="Tahoma"/>
          <w:color w:val="000000"/>
          <w:sz w:val="18"/>
          <w:szCs w:val="18"/>
          <w:lang w:val="it-IT"/>
        </w:rPr>
        <w:t>La transizione tra User CAL e CAL per Dispositivo, nella modalità consentita sopra, potrebbe dar luogo a un</w:t>
      </w:r>
      <w:r w:rsidR="001C4212" w:rsidRPr="003F471F">
        <w:rPr>
          <w:rFonts w:ascii="Tahoma" w:hAnsi="Tahoma" w:cs="Tahoma"/>
          <w:color w:val="000000"/>
          <w:sz w:val="18"/>
          <w:szCs w:val="18"/>
          <w:lang w:val="it-IT"/>
        </w:rPr>
        <w:t>’</w:t>
      </w:r>
      <w:r w:rsidRPr="003F471F">
        <w:rPr>
          <w:rFonts w:ascii="Tahoma" w:hAnsi="Tahoma" w:cs="Tahoma"/>
          <w:color w:val="000000"/>
          <w:sz w:val="18"/>
          <w:szCs w:val="18"/>
          <w:lang w:val="it-IT"/>
        </w:rPr>
        <w:t xml:space="preserve">eccedenza di CAL. Le società potranno riassegnare le CAL in eccedenza quando il loro numero di utenti o dispositivi crescerà. In fase di rinnovo le società potranno scegliere di tenere Software Assurance per le CAL in eccedenza. Le società non potranno rinnovare successivamente Software Assurance per le CAL in eccedenza, per le quali è scaduta la copertura. </w:t>
      </w:r>
    </w:p>
    <w:p w14:paraId="449EB710" w14:textId="77777777" w:rsidR="008A1637" w:rsidRPr="0058047D" w:rsidRDefault="008A1637" w:rsidP="00346F4B">
      <w:pPr>
        <w:pStyle w:val="AppendixFlushBulletedList"/>
        <w:numPr>
          <w:ilvl w:val="0"/>
          <w:numId w:val="79"/>
        </w:numPr>
        <w:ind w:left="1440" w:right="720"/>
      </w:pPr>
      <w:r w:rsidRPr="0058047D">
        <w:rPr>
          <w:rFonts w:ascii="Tahoma" w:hAnsi="Tahoma" w:cs="Tahoma"/>
          <w:b/>
          <w:bCs/>
          <w:color w:val="000000"/>
          <w:sz w:val="18"/>
          <w:szCs w:val="18"/>
        </w:rPr>
        <w:t>ML in Eccedenza</w:t>
      </w:r>
    </w:p>
    <w:p w14:paraId="17E1B57C" w14:textId="77777777" w:rsidR="008A1637" w:rsidRPr="003F471F" w:rsidRDefault="008A1637" w:rsidP="00E077BC">
      <w:pPr>
        <w:pStyle w:val="AppendixBodyText"/>
        <w:numPr>
          <w:ilvl w:val="0"/>
          <w:numId w:val="80"/>
        </w:numPr>
        <w:spacing w:afterLines="60" w:after="144"/>
        <w:ind w:left="1800" w:right="720"/>
        <w:rPr>
          <w:lang w:val="it-IT"/>
        </w:rPr>
      </w:pPr>
      <w:r w:rsidRPr="003F471F">
        <w:rPr>
          <w:rFonts w:ascii="Tahoma" w:hAnsi="Tahoma" w:cs="Tahoma"/>
          <w:color w:val="000000"/>
          <w:sz w:val="18"/>
          <w:szCs w:val="18"/>
          <w:lang w:val="it-IT"/>
        </w:rPr>
        <w:t>La transizione tra client ML per Utente e per OSE, nella modalità consentita sopra, potrebbe dar luogo a un</w:t>
      </w:r>
      <w:r w:rsidR="001C4212" w:rsidRPr="003F471F">
        <w:rPr>
          <w:rFonts w:ascii="Tahoma" w:hAnsi="Tahoma" w:cs="Tahoma"/>
          <w:color w:val="000000"/>
          <w:sz w:val="18"/>
          <w:szCs w:val="18"/>
          <w:lang w:val="it-IT"/>
        </w:rPr>
        <w:t>’</w:t>
      </w:r>
      <w:r w:rsidRPr="003F471F">
        <w:rPr>
          <w:rFonts w:ascii="Tahoma" w:hAnsi="Tahoma" w:cs="Tahoma"/>
          <w:color w:val="000000"/>
          <w:sz w:val="18"/>
          <w:szCs w:val="18"/>
          <w:lang w:val="it-IT"/>
        </w:rPr>
        <w:t>eccedenza di ML. Le società potranno riassegnare le ML in eccedenza quando il loro numero di utenti o di OSE gestiti crescerà. In fase di rinnovo le società potranno scegliere di tenere Software Assurance per le ML in eccedenza. Le</w:t>
      </w:r>
      <w:r w:rsidR="00DB3AB1" w:rsidRPr="003F471F">
        <w:rPr>
          <w:rFonts w:ascii="Tahoma" w:hAnsi="Tahoma" w:cs="Tahoma"/>
          <w:color w:val="000000"/>
          <w:sz w:val="18"/>
          <w:szCs w:val="18"/>
          <w:lang w:val="it-IT"/>
        </w:rPr>
        <w:t> </w:t>
      </w:r>
      <w:r w:rsidRPr="003F471F">
        <w:rPr>
          <w:rFonts w:ascii="Tahoma" w:hAnsi="Tahoma" w:cs="Tahoma"/>
          <w:color w:val="000000"/>
          <w:sz w:val="18"/>
          <w:szCs w:val="18"/>
          <w:lang w:val="it-IT"/>
        </w:rPr>
        <w:t xml:space="preserve">società non potranno rinnovare successivamente Software Assurance per le ML in eccedenza, per le quali è scaduta la copertura. </w:t>
      </w:r>
    </w:p>
    <w:p w14:paraId="48FC1343" w14:textId="77777777" w:rsidR="008A1637" w:rsidRPr="0058047D" w:rsidRDefault="008A1637" w:rsidP="00346F4B">
      <w:pPr>
        <w:pStyle w:val="AppendixFlushBulletedList"/>
        <w:numPr>
          <w:ilvl w:val="0"/>
          <w:numId w:val="79"/>
        </w:numPr>
        <w:ind w:left="1440" w:right="720"/>
      </w:pPr>
      <w:r w:rsidRPr="0058047D">
        <w:rPr>
          <w:rFonts w:ascii="Tahoma" w:hAnsi="Tahoma" w:cs="Tahoma"/>
          <w:b/>
          <w:bCs/>
          <w:color w:val="000000"/>
          <w:sz w:val="18"/>
          <w:szCs w:val="18"/>
        </w:rPr>
        <w:t>Prova di Licenze</w:t>
      </w:r>
    </w:p>
    <w:p w14:paraId="097BDA8B" w14:textId="77777777" w:rsidR="007022C1" w:rsidRPr="003F471F" w:rsidRDefault="008A1637" w:rsidP="00346F4B">
      <w:pPr>
        <w:pStyle w:val="AppendixBodyText"/>
        <w:numPr>
          <w:ilvl w:val="0"/>
          <w:numId w:val="80"/>
        </w:numPr>
        <w:spacing w:after="0"/>
        <w:ind w:left="1800" w:right="720"/>
        <w:rPr>
          <w:lang w:val="it-IT"/>
        </w:rPr>
      </w:pPr>
      <w:r w:rsidRPr="003F471F">
        <w:rPr>
          <w:rFonts w:ascii="Tahoma" w:hAnsi="Tahoma" w:cs="Tahoma"/>
          <w:color w:val="000000"/>
          <w:sz w:val="18"/>
          <w:szCs w:val="18"/>
          <w:lang w:val="it-IT"/>
        </w:rPr>
        <w:t>Il diritto di migrare alle User CAL e di utilizzarle è evidenziato nella presente Lista dei Prodotti, nelle documentazioni relative a Software Assurance delle società e nelle CAL sottostanti. Il diritto di migrare alle User ML e di utilizzarle è evidenziato nella presente Lista dei Prodotti, nelle documentazioni relative a Software Assurance delle società e nelle ML sottostanti.</w:t>
      </w:r>
    </w:p>
    <w:p w14:paraId="6F7BBADE" w14:textId="77777777" w:rsidR="007022C1" w:rsidRPr="003F471F" w:rsidRDefault="007022C1" w:rsidP="00944EE1">
      <w:pPr>
        <w:pStyle w:val="AppendixBodyText"/>
        <w:spacing w:after="0"/>
        <w:ind w:right="720"/>
        <w:rPr>
          <w:lang w:val="it-IT"/>
        </w:rPr>
      </w:pPr>
    </w:p>
    <w:p w14:paraId="78BCD593" w14:textId="77777777" w:rsidR="008A1637" w:rsidRPr="003F471F" w:rsidRDefault="008A1637" w:rsidP="008A1637">
      <w:pPr>
        <w:pStyle w:val="Heading3"/>
        <w:ind w:right="720"/>
        <w:rPr>
          <w:lang w:val="it-IT"/>
        </w:rPr>
      </w:pPr>
      <w:bookmarkStart w:id="921" w:name="_Toc323159782"/>
      <w:bookmarkStart w:id="922" w:name="_Toc336338251"/>
      <w:bookmarkStart w:id="923" w:name="_Toc371663645"/>
      <w:r w:rsidRPr="003F471F">
        <w:rPr>
          <w:rFonts w:ascii="Tahoma" w:hAnsi="Tahoma" w:cs="Tahoma"/>
          <w:sz w:val="24"/>
          <w:szCs w:val="22"/>
          <w:lang w:val="it-IT"/>
        </w:rPr>
        <w:t>Limitazioni dei Controlli EI</w:t>
      </w:r>
      <w:bookmarkEnd w:id="921"/>
      <w:bookmarkEnd w:id="922"/>
      <w:bookmarkEnd w:id="923"/>
    </w:p>
    <w:p w14:paraId="7F5A5D36" w14:textId="77777777" w:rsidR="008A1637" w:rsidRPr="003F471F" w:rsidRDefault="008A1637" w:rsidP="008A1637">
      <w:pPr>
        <w:ind w:right="720"/>
        <w:rPr>
          <w:lang w:val="it-IT"/>
        </w:rPr>
      </w:pPr>
    </w:p>
    <w:p w14:paraId="48B6E7B6" w14:textId="77777777" w:rsidR="008A1637" w:rsidRPr="003F471F" w:rsidRDefault="008A1637" w:rsidP="008A1637">
      <w:pPr>
        <w:pStyle w:val="AppendixBodyText"/>
        <w:ind w:right="720"/>
        <w:rPr>
          <w:lang w:val="it-IT"/>
        </w:rPr>
      </w:pPr>
      <w:r w:rsidRPr="003F471F">
        <w:rPr>
          <w:rFonts w:ascii="Tahoma" w:hAnsi="Tahoma" w:cs="Tahoma"/>
          <w:sz w:val="18"/>
          <w:lang w:val="it-IT"/>
        </w:rPr>
        <w:t>L</w:t>
      </w:r>
      <w:r w:rsidR="001C4212" w:rsidRPr="003F471F">
        <w:rPr>
          <w:rFonts w:ascii="Tahoma" w:hAnsi="Tahoma" w:cs="Tahoma"/>
          <w:sz w:val="18"/>
          <w:lang w:val="it-IT"/>
        </w:rPr>
        <w:t>’</w:t>
      </w:r>
      <w:r w:rsidRPr="003F471F">
        <w:rPr>
          <w:rFonts w:ascii="Tahoma" w:hAnsi="Tahoma" w:cs="Tahoma"/>
          <w:sz w:val="18"/>
          <w:lang w:val="it-IT"/>
        </w:rPr>
        <w:t>esportazione di alcuni prodotti Microsoft dagli Stati Uniti è regolata ai sensi dei “Controlli EI” dell</w:t>
      </w:r>
      <w:r w:rsidR="001C4212" w:rsidRPr="003F471F">
        <w:rPr>
          <w:rFonts w:ascii="Tahoma" w:hAnsi="Tahoma" w:cs="Tahoma"/>
          <w:sz w:val="18"/>
          <w:lang w:val="it-IT"/>
        </w:rPr>
        <w:t>’</w:t>
      </w:r>
      <w:r w:rsidRPr="003F471F">
        <w:rPr>
          <w:rFonts w:ascii="Tahoma" w:hAnsi="Tahoma" w:cs="Tahoma"/>
          <w:sz w:val="18"/>
          <w:lang w:val="it-IT"/>
        </w:rPr>
        <w:t xml:space="preserve">Export Administration Regulations (EAR, 15 CFR 730-744) del Commerce Department, Bureau of Export Administration (BXA) degli Stati Uniti. Per ulteriori informazioni, visitare la pagina: </w:t>
      </w:r>
      <w:hyperlink r:id="rId33" w:history="1">
        <w:r w:rsidR="00DB3AB1" w:rsidRPr="003F471F">
          <w:rPr>
            <w:rStyle w:val="Hyperlink"/>
            <w:rFonts w:ascii="Tahoma" w:hAnsi="Tahoma" w:cs="Tahoma"/>
            <w:sz w:val="18"/>
            <w:lang w:val="it-IT"/>
          </w:rPr>
          <w:t>www.microsoft.com/products/exporting/basics.htm</w:t>
        </w:r>
      </w:hyperlink>
    </w:p>
    <w:p w14:paraId="2BE41E24" w14:textId="77777777" w:rsidR="008A1637" w:rsidRPr="003F471F" w:rsidRDefault="008A1637" w:rsidP="008A1637">
      <w:pPr>
        <w:rPr>
          <w:lang w:val="it-IT"/>
        </w:rPr>
      </w:pPr>
    </w:p>
    <w:p w14:paraId="69650991" w14:textId="77777777" w:rsidR="008A1637" w:rsidRPr="003F471F" w:rsidRDefault="008A1637" w:rsidP="00944EE1">
      <w:pPr>
        <w:pStyle w:val="Heading3"/>
        <w:spacing w:after="60"/>
        <w:ind w:right="720"/>
        <w:rPr>
          <w:lang w:val="it-IT"/>
        </w:rPr>
      </w:pPr>
      <w:bookmarkStart w:id="924" w:name="_Toc323159783"/>
      <w:bookmarkStart w:id="925" w:name="_Toc336338252"/>
      <w:bookmarkStart w:id="926" w:name="_Toc371663646"/>
      <w:r w:rsidRPr="003F471F">
        <w:rPr>
          <w:rFonts w:ascii="Tahoma" w:hAnsi="Tahoma" w:cs="Tahoma"/>
          <w:bCs/>
          <w:lang w:val="it-IT"/>
        </w:rPr>
        <w:t>Multilanguage Pack (MLP), Funzionalità Multilanguage User Interface (MUI) e Nuovi Diritti sulle Lingue</w:t>
      </w:r>
      <w:bookmarkEnd w:id="924"/>
      <w:bookmarkEnd w:id="925"/>
      <w:bookmarkEnd w:id="926"/>
    </w:p>
    <w:p w14:paraId="642CEC3F" w14:textId="77777777" w:rsidR="008A1637" w:rsidRPr="003F471F" w:rsidRDefault="008A1637" w:rsidP="008A1637">
      <w:pPr>
        <w:rPr>
          <w:lang w:val="it-IT"/>
        </w:rPr>
      </w:pPr>
      <w:r w:rsidRPr="003F471F">
        <w:rPr>
          <w:lang w:val="it-IT"/>
        </w:rPr>
        <w:t>Le funzionalità MLP e MUI consentono alle società di eseguire e alternare versioni in lingua diversa di prodotti con</w:t>
      </w:r>
      <w:r w:rsidR="00DB3AB1" w:rsidRPr="003F471F">
        <w:rPr>
          <w:lang w:val="it-IT"/>
        </w:rPr>
        <w:t> </w:t>
      </w:r>
      <w:r w:rsidRPr="003F471F">
        <w:rPr>
          <w:lang w:val="it-IT"/>
        </w:rPr>
        <w:t>licenza. Il diritto di utilizzare entrambi varia in base al tipo di prodotto, programma e licenza.</w:t>
      </w:r>
      <w:r w:rsidR="00E34ED3" w:rsidRPr="003F471F">
        <w:rPr>
          <w:lang w:val="it-IT"/>
        </w:rPr>
        <w:t xml:space="preserve"> </w:t>
      </w:r>
    </w:p>
    <w:p w14:paraId="2A700E4C" w14:textId="77777777" w:rsidR="008A1637" w:rsidRPr="003F471F" w:rsidRDefault="008A1637" w:rsidP="008A1637">
      <w:pPr>
        <w:pStyle w:val="Heading3"/>
        <w:ind w:right="720"/>
        <w:rPr>
          <w:lang w:val="it-IT"/>
        </w:rPr>
      </w:pPr>
    </w:p>
    <w:p w14:paraId="27E1322F" w14:textId="77777777" w:rsidR="008A1637" w:rsidRPr="003F471F" w:rsidRDefault="008A1637" w:rsidP="007022C1">
      <w:pPr>
        <w:numPr>
          <w:ilvl w:val="0"/>
          <w:numId w:val="17"/>
        </w:numPr>
        <w:tabs>
          <w:tab w:val="left" w:pos="1440"/>
        </w:tabs>
        <w:spacing w:after="60"/>
        <w:rPr>
          <w:lang w:val="it-IT"/>
        </w:rPr>
      </w:pPr>
      <w:r w:rsidRPr="003F471F">
        <w:rPr>
          <w:lang w:val="it-IT"/>
        </w:rPr>
        <w:t>Per la maggior parte dei prodotti server, ad esempio Windows Server, la funzionalità MUI è inclusa nel prodotto base. Le società che ottengono in licenza tali prodotti potranno utilizzare tale funzionalità in conformità ai diritti sull</w:t>
      </w:r>
      <w:r w:rsidR="001C4212" w:rsidRPr="003F471F">
        <w:rPr>
          <w:lang w:val="it-IT"/>
        </w:rPr>
        <w:t>’</w:t>
      </w:r>
      <w:r w:rsidRPr="003F471F">
        <w:rPr>
          <w:lang w:val="it-IT"/>
        </w:rPr>
        <w:t>utilizzo per tali prodotti.</w:t>
      </w:r>
      <w:r w:rsidR="00E34ED3" w:rsidRPr="003F471F">
        <w:rPr>
          <w:lang w:val="it-IT"/>
        </w:rPr>
        <w:t xml:space="preserve"> </w:t>
      </w:r>
    </w:p>
    <w:p w14:paraId="054EEDE0" w14:textId="77777777" w:rsidR="008A1637" w:rsidRPr="003F471F" w:rsidRDefault="008A1637" w:rsidP="007022C1">
      <w:pPr>
        <w:numPr>
          <w:ilvl w:val="0"/>
          <w:numId w:val="17"/>
        </w:numPr>
        <w:tabs>
          <w:tab w:val="left" w:pos="1440"/>
        </w:tabs>
        <w:spacing w:after="60"/>
        <w:rPr>
          <w:lang w:val="it-IT"/>
        </w:rPr>
      </w:pPr>
      <w:r w:rsidRPr="003F471F">
        <w:rPr>
          <w:lang w:val="it-IT"/>
        </w:rPr>
        <w:t>Nel caso dei prodotti Office System, che non siano server, e delle famiglie di prodotti, a partire dal 1 ottobre 2008 il diritto di utilizzare la funzionalità MLP è disponibile per le società con copertura Software Assurance attiva sulle licenze qualificanti (per dettagli consultare l</w:t>
      </w:r>
      <w:r w:rsidR="001C4212" w:rsidRPr="003F471F">
        <w:rPr>
          <w:lang w:val="it-IT"/>
        </w:rPr>
        <w:t>’</w:t>
      </w:r>
      <w:r w:rsidRPr="003F471F">
        <w:rPr>
          <w:lang w:val="it-IT"/>
        </w:rPr>
        <w:t xml:space="preserve">Articolo 6). Ai sensi di alcuni programmi, ad esempio Select, i pacchetti MLP per i prodotti e le famiglie di prodotti Office System continuano a essere disponibili separatamente al di fuori della copertura Software Assurance. </w:t>
      </w:r>
    </w:p>
    <w:p w14:paraId="400851B6" w14:textId="77777777" w:rsidR="008A1637" w:rsidRPr="003F471F" w:rsidRDefault="008A1637" w:rsidP="007022C1">
      <w:pPr>
        <w:numPr>
          <w:ilvl w:val="0"/>
          <w:numId w:val="17"/>
        </w:numPr>
        <w:spacing w:after="60"/>
        <w:rPr>
          <w:lang w:val="it-IT"/>
        </w:rPr>
      </w:pPr>
      <w:r w:rsidRPr="003F471F">
        <w:rPr>
          <w:lang w:val="it-IT"/>
        </w:rPr>
        <w:t>Nel caso di Windows 8</w:t>
      </w:r>
      <w:r w:rsidR="00B76EEE">
        <w:rPr>
          <w:lang w:val="it-IT"/>
        </w:rPr>
        <w:t>.1</w:t>
      </w:r>
      <w:r w:rsidRPr="003F471F">
        <w:rPr>
          <w:lang w:val="it-IT"/>
        </w:rPr>
        <w:t xml:space="preserve"> la funzionalità MUI è inclusa nella versione Windows 8</w:t>
      </w:r>
      <w:r w:rsidR="00B76EEE">
        <w:rPr>
          <w:lang w:val="it-IT"/>
        </w:rPr>
        <w:t>.1</w:t>
      </w:r>
      <w:r w:rsidRPr="003F471F">
        <w:rPr>
          <w:lang w:val="it-IT"/>
        </w:rPr>
        <w:t xml:space="preserve"> Pro.</w:t>
      </w:r>
      <w:r w:rsidR="00E34ED3" w:rsidRPr="003F471F">
        <w:rPr>
          <w:lang w:val="it-IT"/>
        </w:rPr>
        <w:t xml:space="preserve"> </w:t>
      </w:r>
    </w:p>
    <w:p w14:paraId="1A339AD2" w14:textId="77777777" w:rsidR="008A1637" w:rsidRPr="003F471F" w:rsidRDefault="008A1637" w:rsidP="008A1637">
      <w:pPr>
        <w:rPr>
          <w:lang w:val="it-IT"/>
        </w:rPr>
      </w:pPr>
    </w:p>
    <w:p w14:paraId="48C72CC0" w14:textId="77777777" w:rsidR="008A1637" w:rsidRPr="003F471F" w:rsidRDefault="008A1637" w:rsidP="008A1637">
      <w:pPr>
        <w:rPr>
          <w:lang w:val="it-IT"/>
        </w:rPr>
      </w:pPr>
      <w:r w:rsidRPr="003F471F">
        <w:rPr>
          <w:lang w:val="it-IT"/>
        </w:rPr>
        <w:t>Le versioni in lingua, grazie alle quali alle società è consentito utilizzare nello stesso modo le funzionalità MUI e MLP, variano in base al programma, al prodotto e al paese.</w:t>
      </w:r>
      <w:r w:rsidR="00E34ED3" w:rsidRPr="003F471F">
        <w:rPr>
          <w:lang w:val="it-IT"/>
        </w:rPr>
        <w:t xml:space="preserve"> </w:t>
      </w:r>
    </w:p>
    <w:p w14:paraId="1C0CA003" w14:textId="77777777" w:rsidR="008A1637" w:rsidRPr="003F471F" w:rsidRDefault="008A1637" w:rsidP="008A1637">
      <w:pPr>
        <w:pStyle w:val="Heading3"/>
        <w:ind w:right="720"/>
        <w:rPr>
          <w:lang w:val="it-IT"/>
        </w:rPr>
      </w:pPr>
    </w:p>
    <w:p w14:paraId="2B6359E6" w14:textId="77777777" w:rsidR="008A1637" w:rsidRPr="003F471F" w:rsidRDefault="008A1637" w:rsidP="00024C3C">
      <w:pPr>
        <w:numPr>
          <w:ilvl w:val="0"/>
          <w:numId w:val="18"/>
        </w:numPr>
        <w:tabs>
          <w:tab w:val="clear" w:pos="1080"/>
          <w:tab w:val="num" w:pos="1440"/>
        </w:tabs>
        <w:ind w:left="1440"/>
        <w:rPr>
          <w:lang w:val="it-IT"/>
        </w:rPr>
      </w:pPr>
      <w:r w:rsidRPr="003F471F">
        <w:rPr>
          <w:lang w:val="it-IT"/>
        </w:rPr>
        <w:t>A partire dal 1 ottobre 2008 le società che acquistano il diritto di utilizzare le funzionalità MUI e</w:t>
      </w:r>
      <w:r w:rsidR="00DB3AB1" w:rsidRPr="003F471F">
        <w:rPr>
          <w:lang w:val="it-IT"/>
        </w:rPr>
        <w:t> </w:t>
      </w:r>
      <w:r w:rsidRPr="003F471F">
        <w:rPr>
          <w:lang w:val="it-IT"/>
        </w:rPr>
        <w:t>MLP ai sensi di un Contratto Enterprise, Enterprise Subscription, Open Value (per l</w:t>
      </w:r>
      <w:r w:rsidR="001C4212" w:rsidRPr="003F471F">
        <w:rPr>
          <w:lang w:val="it-IT"/>
        </w:rPr>
        <w:t>’</w:t>
      </w:r>
      <w:r w:rsidRPr="003F471F">
        <w:rPr>
          <w:lang w:val="it-IT"/>
        </w:rPr>
        <w:t>intera organizzazione/a livello aziendale) o Open Value Subscription potranno usare tali funzionalità con</w:t>
      </w:r>
      <w:r w:rsidR="00DB3AB1" w:rsidRPr="003F471F">
        <w:rPr>
          <w:lang w:val="it-IT"/>
        </w:rPr>
        <w:t> </w:t>
      </w:r>
      <w:r w:rsidRPr="003F471F">
        <w:rPr>
          <w:lang w:val="it-IT"/>
        </w:rPr>
        <w:t>i</w:t>
      </w:r>
      <w:r w:rsidR="00DB3AB1" w:rsidRPr="003F471F">
        <w:rPr>
          <w:lang w:val="it-IT"/>
        </w:rPr>
        <w:t> </w:t>
      </w:r>
      <w:r w:rsidRPr="003F471F">
        <w:rPr>
          <w:lang w:val="it-IT"/>
        </w:rPr>
        <w:t>prodotti con licenza</w:t>
      </w:r>
      <w:r w:rsidRPr="003F471F">
        <w:rPr>
          <w:b/>
          <w:lang w:val="it-IT"/>
        </w:rPr>
        <w:t xml:space="preserve"> </w:t>
      </w:r>
      <w:r w:rsidRPr="003F471F">
        <w:rPr>
          <w:b/>
          <w:u w:val="single"/>
          <w:lang w:val="it-IT"/>
        </w:rPr>
        <w:t>in tutte le versioni in lingua</w:t>
      </w:r>
      <w:r w:rsidRPr="003F471F">
        <w:rPr>
          <w:b/>
          <w:lang w:val="it-IT"/>
        </w:rPr>
        <w:t xml:space="preserve">, </w:t>
      </w:r>
      <w:r w:rsidRPr="003F471F">
        <w:rPr>
          <w:lang w:val="it-IT"/>
        </w:rPr>
        <w:t>nonostante qualsiasi limitazione in tali contratti rispetto all</w:t>
      </w:r>
      <w:r w:rsidR="001C4212" w:rsidRPr="003F471F">
        <w:rPr>
          <w:lang w:val="it-IT"/>
        </w:rPr>
        <w:t>’</w:t>
      </w:r>
      <w:r w:rsidRPr="003F471F">
        <w:rPr>
          <w:lang w:val="it-IT"/>
        </w:rPr>
        <w:t xml:space="preserve">utilizzo di determinate lingue. </w:t>
      </w:r>
    </w:p>
    <w:p w14:paraId="1D7C98FC" w14:textId="77777777" w:rsidR="008A1637" w:rsidRPr="003F471F" w:rsidRDefault="008A1637" w:rsidP="008A1637">
      <w:pPr>
        <w:pStyle w:val="Heading3"/>
        <w:ind w:right="720"/>
        <w:rPr>
          <w:lang w:val="it-IT"/>
        </w:rPr>
      </w:pPr>
    </w:p>
    <w:p w14:paraId="5005B983" w14:textId="77777777" w:rsidR="008A1637" w:rsidRPr="003F471F" w:rsidRDefault="008A1637" w:rsidP="008A1637">
      <w:pPr>
        <w:rPr>
          <w:lang w:val="it-IT"/>
        </w:rPr>
      </w:pPr>
      <w:r w:rsidRPr="003F471F">
        <w:rPr>
          <w:lang w:val="it-IT"/>
        </w:rPr>
        <w:t>Le società che acquistano il diritto di utilizzare le funzionalità MUI e MLP ai sensi di contratti diversi da un Contratto Enterprise o Open Value (per l</w:t>
      </w:r>
      <w:r w:rsidR="001C4212" w:rsidRPr="003F471F">
        <w:rPr>
          <w:lang w:val="it-IT"/>
        </w:rPr>
        <w:t>’</w:t>
      </w:r>
      <w:r w:rsidRPr="003F471F">
        <w:rPr>
          <w:lang w:val="it-IT"/>
        </w:rPr>
        <w:t>intera organizzazione/a livello aziendale) (con il prodotto base o tramite Software Assurance) rimangono soggette a eventuali limitazioni presenti nel loro contratto per quanto riguarda l</w:t>
      </w:r>
      <w:r w:rsidR="001C4212" w:rsidRPr="003F471F">
        <w:rPr>
          <w:lang w:val="it-IT"/>
        </w:rPr>
        <w:t>’</w:t>
      </w:r>
      <w:r w:rsidRPr="003F471F">
        <w:rPr>
          <w:lang w:val="it-IT"/>
        </w:rPr>
        <w:t>uso di alcune lingue. Ad esempio, nel caso in cui la versione in lingua locale di un prodotto sia ottenuta in licenza a un prezzo diverso da quello riportato sul listino prezzi della società, il diritto di tale società di utilizzare altre versioni in lingua al posto di tale versione (con o senza funzionalità MUI o MLP) potrà essere limitato.</w:t>
      </w:r>
      <w:r w:rsidR="00E34ED3" w:rsidRPr="003F471F">
        <w:rPr>
          <w:lang w:val="it-IT"/>
        </w:rPr>
        <w:t xml:space="preserve"> </w:t>
      </w:r>
      <w:r w:rsidRPr="003F471F">
        <w:rPr>
          <w:lang w:val="it-IT"/>
        </w:rPr>
        <w:t>Le società dovranno esaminare il loro Contratto di Licenza oppure contattare il loro Rivenditore o l</w:t>
      </w:r>
      <w:r w:rsidR="001C4212" w:rsidRPr="003F471F">
        <w:rPr>
          <w:lang w:val="it-IT"/>
        </w:rPr>
        <w:t>’</w:t>
      </w:r>
      <w:r w:rsidRPr="003F471F">
        <w:rPr>
          <w:lang w:val="it-IT"/>
        </w:rPr>
        <w:t xml:space="preserve">Account Manager designato da Microsoft per ulteriori informazioni sul loro diritto di utilizzare altre lingue. </w:t>
      </w:r>
    </w:p>
    <w:p w14:paraId="06AAB8C0" w14:textId="77777777" w:rsidR="007022C1" w:rsidRPr="003F471F" w:rsidRDefault="007022C1" w:rsidP="008A1637">
      <w:pPr>
        <w:rPr>
          <w:lang w:val="it-IT"/>
        </w:rPr>
      </w:pPr>
    </w:p>
    <w:p w14:paraId="5E7E4F47" w14:textId="77777777" w:rsidR="008A1637" w:rsidRPr="003F471F" w:rsidRDefault="008A1637" w:rsidP="007022C1">
      <w:pPr>
        <w:pStyle w:val="Heading2"/>
        <w:ind w:left="0"/>
        <w:rPr>
          <w:lang w:val="it-IT"/>
        </w:rPr>
      </w:pPr>
      <w:bookmarkStart w:id="927" w:name="_Toc323159784"/>
      <w:bookmarkStart w:id="928" w:name="_Toc336338253"/>
      <w:bookmarkStart w:id="929" w:name="_Toc371663647"/>
      <w:r w:rsidRPr="003F471F">
        <w:rPr>
          <w:rFonts w:ascii="Tahoma" w:hAnsi="Tahoma" w:cs="Tahoma"/>
          <w:lang w:val="it-IT"/>
        </w:rPr>
        <w:t>Licenze Indipendenti dalla Piattaforma</w:t>
      </w:r>
      <w:bookmarkEnd w:id="927"/>
      <w:bookmarkEnd w:id="928"/>
      <w:bookmarkEnd w:id="929"/>
    </w:p>
    <w:p w14:paraId="2EB4331B" w14:textId="77777777" w:rsidR="008A1637" w:rsidRPr="003F471F" w:rsidRDefault="008A1637" w:rsidP="007022C1">
      <w:pPr>
        <w:tabs>
          <w:tab w:val="num" w:pos="0"/>
        </w:tabs>
        <w:ind w:right="720"/>
        <w:rPr>
          <w:lang w:val="it-IT"/>
        </w:rPr>
      </w:pPr>
    </w:p>
    <w:p w14:paraId="52196441" w14:textId="77777777" w:rsidR="008A1637" w:rsidRPr="003F471F" w:rsidRDefault="008A1637" w:rsidP="007022C1">
      <w:pPr>
        <w:pStyle w:val="AppendixBodyText"/>
        <w:spacing w:after="0"/>
        <w:ind w:right="720"/>
        <w:rPr>
          <w:lang w:val="it-IT"/>
        </w:rPr>
      </w:pPr>
      <w:r w:rsidRPr="003F471F">
        <w:rPr>
          <w:rFonts w:ascii="Tahoma" w:hAnsi="Tahoma" w:cs="Tahoma"/>
          <w:color w:val="000000"/>
          <w:sz w:val="18"/>
          <w:szCs w:val="18"/>
          <w:lang w:val="it-IT"/>
        </w:rPr>
        <w:t>Microsoft Office Standard, Office Professional Plus, Word, Excel, PowerPoint, Outlook, Lync Office per Mac, Word per Mac, Excel per Mac, PowerPoint per Mac, Lync per Mac e Outlook per Mac sono licenze “indipendenti dalla piattaforma”. Una licenza indipendente dalla piattaforma consente l</w:t>
      </w:r>
      <w:r w:rsidR="001C4212" w:rsidRPr="003F471F">
        <w:rPr>
          <w:rFonts w:ascii="Tahoma" w:hAnsi="Tahoma" w:cs="Tahoma"/>
          <w:color w:val="000000"/>
          <w:sz w:val="18"/>
          <w:szCs w:val="18"/>
          <w:lang w:val="it-IT"/>
        </w:rPr>
        <w:t>’</w:t>
      </w:r>
      <w:r w:rsidRPr="003F471F">
        <w:rPr>
          <w:rFonts w:ascii="Tahoma" w:hAnsi="Tahoma" w:cs="Tahoma"/>
          <w:color w:val="000000"/>
          <w:sz w:val="18"/>
          <w:szCs w:val="18"/>
          <w:lang w:val="it-IT"/>
        </w:rPr>
        <w:t>utilizzo di un prodotto specifico su qualsiasi piattaforma di computer su cui è in esecuzione il software, a condizione che</w:t>
      </w:r>
      <w:r w:rsidR="00DB3AB1" w:rsidRPr="003F471F">
        <w:rPr>
          <w:rFonts w:ascii="Tahoma" w:hAnsi="Tahoma" w:cs="Tahoma"/>
          <w:color w:val="000000"/>
          <w:sz w:val="18"/>
          <w:szCs w:val="18"/>
          <w:lang w:val="it-IT"/>
        </w:rPr>
        <w:t> </w:t>
      </w:r>
      <w:r w:rsidRPr="003F471F">
        <w:rPr>
          <w:rFonts w:ascii="Tahoma" w:hAnsi="Tahoma" w:cs="Tahoma"/>
          <w:color w:val="000000"/>
          <w:sz w:val="18"/>
          <w:szCs w:val="18"/>
          <w:lang w:val="it-IT"/>
        </w:rPr>
        <w:t>la versione usata sia identica o precedente alla versione originale ottenuta in licenza. Ad esempio, una società che ha ottenuto in licenza Office per Mac Standard 2011 potrà scegliere di utilizzare tale licenza per eseguire Office Standard 2010 per Windows.</w:t>
      </w:r>
    </w:p>
    <w:p w14:paraId="3327FC76" w14:textId="77777777" w:rsidR="008A1637" w:rsidRPr="003F471F" w:rsidRDefault="008A1637" w:rsidP="007022C1">
      <w:pPr>
        <w:pStyle w:val="AppendixBodyText"/>
        <w:spacing w:after="0"/>
        <w:rPr>
          <w:lang w:val="it-IT"/>
        </w:rPr>
      </w:pPr>
    </w:p>
    <w:p w14:paraId="200D1575" w14:textId="77777777" w:rsidR="008A1637" w:rsidRPr="003F471F" w:rsidRDefault="008A1637" w:rsidP="007022C1">
      <w:pPr>
        <w:pStyle w:val="AppendixBodyText"/>
        <w:spacing w:after="0"/>
        <w:ind w:right="720"/>
        <w:rPr>
          <w:lang w:val="it-IT"/>
        </w:rPr>
      </w:pPr>
      <w:r w:rsidRPr="003F471F">
        <w:rPr>
          <w:rFonts w:ascii="Tahoma" w:hAnsi="Tahoma" w:cs="Tahoma"/>
          <w:color w:val="000000"/>
          <w:sz w:val="18"/>
          <w:szCs w:val="18"/>
          <w:lang w:val="it-IT"/>
        </w:rPr>
        <w:t>I componenti di una famiglia di prodotti potranno essere diversi a seconda della versione della piattaforma. La società potrà utilizzare esclusivamente i componenti della famiglia di prodotti che ha scelto di distribuire. Ad esempio, nel caso in cui una società con licenza per Office per Mac Standard 2011 scelga di eseguire Office Standard 2010, tale società potrà eseguire solo i componenti inclusi in Office Standard 2010. Non avrà, ad esempio, il diritto di eseguire Lync, bensì OneNote.</w:t>
      </w:r>
    </w:p>
    <w:p w14:paraId="30FCF422" w14:textId="77777777" w:rsidR="008A1637" w:rsidRPr="003F471F" w:rsidRDefault="008A1637" w:rsidP="007022C1">
      <w:pPr>
        <w:pStyle w:val="AppendixBodyText"/>
        <w:spacing w:after="0"/>
        <w:ind w:right="720"/>
        <w:rPr>
          <w:lang w:val="it-IT"/>
        </w:rPr>
      </w:pPr>
      <w:r w:rsidRPr="003F471F">
        <w:rPr>
          <w:rFonts w:ascii="Tahoma" w:hAnsi="Tahoma" w:cs="Tahoma"/>
          <w:color w:val="000000"/>
          <w:sz w:val="18"/>
          <w:lang w:val="it-IT"/>
        </w:rPr>
        <w:t>Inoltre, la copertura Software Assurance attiva per una licenza indipendente dalla piattaforma permette a una società di utilizzare al posto del prodotto con licenza la versione più corrente di una delle due versioni della piattaforma del prodotto che diventa disponibile durante il periodo di validità della copertura Software Assurance (in conformità alla limitazione relativa ai componenti di cui sopra). Ad esempio, una società che ha una copertura Software Assurance attiva per una licenza Office per Mac è idonea a utilizzare al posto di Office per Mac la versione più corrente della corrispondente edizione di Office per Windows rilasciata nel periodo di validità della copertura.</w:t>
      </w:r>
    </w:p>
    <w:p w14:paraId="732E92E4" w14:textId="77777777" w:rsidR="008A1637" w:rsidRPr="003F471F" w:rsidRDefault="008A1637" w:rsidP="007022C1">
      <w:pPr>
        <w:tabs>
          <w:tab w:val="left" w:pos="360"/>
        </w:tabs>
        <w:ind w:right="720"/>
        <w:rPr>
          <w:lang w:val="it-IT"/>
        </w:rPr>
      </w:pPr>
    </w:p>
    <w:p w14:paraId="5CC62D29" w14:textId="77777777" w:rsidR="008A1637" w:rsidRPr="003F471F" w:rsidRDefault="008A1637" w:rsidP="007022C1">
      <w:pPr>
        <w:pStyle w:val="AppendixBodyText"/>
        <w:spacing w:after="0"/>
        <w:ind w:right="720"/>
        <w:rPr>
          <w:lang w:val="it-IT"/>
        </w:rPr>
      </w:pPr>
      <w:r w:rsidRPr="003F471F">
        <w:rPr>
          <w:rFonts w:ascii="Tahoma" w:hAnsi="Tahoma" w:cs="Tahoma"/>
          <w:sz w:val="18"/>
          <w:lang w:val="it-IT"/>
        </w:rPr>
        <w:t>Microsoft SQL Server è una licenza “indipendente dalla piattaforma”. Una licenza indipendente dalla piattaforma consente l</w:t>
      </w:r>
      <w:r w:rsidR="001C4212" w:rsidRPr="003F471F">
        <w:rPr>
          <w:rFonts w:ascii="Tahoma" w:hAnsi="Tahoma" w:cs="Tahoma"/>
          <w:sz w:val="18"/>
          <w:lang w:val="it-IT"/>
        </w:rPr>
        <w:t>’</w:t>
      </w:r>
      <w:r w:rsidRPr="003F471F">
        <w:rPr>
          <w:rFonts w:ascii="Tahoma" w:hAnsi="Tahoma" w:cs="Tahoma"/>
          <w:sz w:val="18"/>
          <w:lang w:val="it-IT"/>
        </w:rPr>
        <w:t>utilizzo di un prodotto specifico su qualsiasi piattaforma di computer su cui è in esecuzione il software, a condizione che la versione usata sia identica o precedente alla versione originale ottenuta in licenza.</w:t>
      </w:r>
    </w:p>
    <w:p w14:paraId="39BF734F" w14:textId="77777777" w:rsidR="008A1637" w:rsidRPr="003F471F" w:rsidRDefault="008A1637" w:rsidP="007022C1">
      <w:pPr>
        <w:pStyle w:val="AppendixBodyText"/>
        <w:spacing w:after="0"/>
        <w:ind w:right="720"/>
        <w:rPr>
          <w:lang w:val="it-IT"/>
        </w:rPr>
      </w:pPr>
    </w:p>
    <w:p w14:paraId="00B76962" w14:textId="77777777" w:rsidR="008A1637" w:rsidRPr="003F471F" w:rsidRDefault="008A1637" w:rsidP="007022C1">
      <w:pPr>
        <w:pStyle w:val="AppendixBodyText"/>
        <w:spacing w:after="0"/>
        <w:ind w:right="720"/>
        <w:rPr>
          <w:lang w:val="it-IT"/>
        </w:rPr>
      </w:pPr>
      <w:r w:rsidRPr="003F471F">
        <w:rPr>
          <w:rFonts w:ascii="Tahoma" w:hAnsi="Tahoma" w:cs="Tahoma"/>
          <w:sz w:val="18"/>
          <w:lang w:val="it-IT"/>
        </w:rPr>
        <w:t>Inoltre, una società che si iscrive a una licenza indipendente dalla piattaforma in Software Assurance è</w:t>
      </w:r>
      <w:r w:rsidR="00DB3AB1" w:rsidRPr="003F471F">
        <w:rPr>
          <w:rFonts w:ascii="Tahoma" w:hAnsi="Tahoma" w:cs="Tahoma"/>
          <w:sz w:val="18"/>
          <w:lang w:val="it-IT"/>
        </w:rPr>
        <w:t> </w:t>
      </w:r>
      <w:r w:rsidRPr="003F471F">
        <w:rPr>
          <w:rFonts w:ascii="Tahoma" w:hAnsi="Tahoma" w:cs="Tahoma"/>
          <w:sz w:val="18"/>
          <w:lang w:val="it-IT"/>
        </w:rPr>
        <w:t>idonea a utilizzare la versione più corrente di quel particolare prodotto che è disponibile durante il periodo di</w:t>
      </w:r>
      <w:r w:rsidR="00DB3AB1" w:rsidRPr="003F471F">
        <w:rPr>
          <w:rFonts w:ascii="Tahoma" w:hAnsi="Tahoma" w:cs="Tahoma"/>
          <w:sz w:val="18"/>
          <w:lang w:val="it-IT"/>
        </w:rPr>
        <w:t> </w:t>
      </w:r>
      <w:r w:rsidRPr="003F471F">
        <w:rPr>
          <w:rFonts w:ascii="Tahoma" w:hAnsi="Tahoma" w:cs="Tahoma"/>
          <w:sz w:val="18"/>
          <w:lang w:val="it-IT"/>
        </w:rPr>
        <w:t>validità della copertura Software Assurance, indipendentemente dalla piattaforma (a condizione che sia installata o utilizzata una sola versione alla volta).</w:t>
      </w:r>
    </w:p>
    <w:p w14:paraId="17527340" w14:textId="77777777" w:rsidR="00973A93" w:rsidRPr="003F471F" w:rsidRDefault="00973A93">
      <w:pPr>
        <w:rPr>
          <w:lang w:val="it-IT"/>
        </w:rPr>
      </w:pPr>
      <w:bookmarkStart w:id="930" w:name="_Toc336338254"/>
    </w:p>
    <w:p w14:paraId="511C1CE4" w14:textId="77777777" w:rsidR="008A1637" w:rsidRPr="003F471F" w:rsidRDefault="008A1637" w:rsidP="001760D6">
      <w:pPr>
        <w:pStyle w:val="Heading2"/>
        <w:keepNext/>
        <w:ind w:left="0"/>
        <w:rPr>
          <w:lang w:val="it-IT"/>
        </w:rPr>
      </w:pPr>
      <w:bookmarkStart w:id="931" w:name="_Toc371663648"/>
      <w:r w:rsidRPr="003F471F">
        <w:rPr>
          <w:rFonts w:ascii="Tahoma" w:hAnsi="Tahoma" w:cs="Tahoma"/>
          <w:lang w:val="it-IT"/>
        </w:rPr>
        <w:t>Codice “Product Key” per Volume Licensing</w:t>
      </w:r>
      <w:bookmarkEnd w:id="930"/>
      <w:bookmarkEnd w:id="931"/>
    </w:p>
    <w:p w14:paraId="3E8D3679" w14:textId="77777777" w:rsidR="008A1637" w:rsidRPr="003F471F" w:rsidRDefault="008A1637" w:rsidP="001760D6">
      <w:pPr>
        <w:keepNext/>
        <w:spacing w:after="60"/>
        <w:ind w:right="720"/>
        <w:rPr>
          <w:lang w:val="it-IT"/>
        </w:rPr>
      </w:pPr>
    </w:p>
    <w:p w14:paraId="4A6FA7CF" w14:textId="77777777" w:rsidR="008A1637" w:rsidRPr="003F471F" w:rsidRDefault="004829AF" w:rsidP="007022C1">
      <w:pPr>
        <w:ind w:right="720"/>
        <w:rPr>
          <w:lang w:val="it-IT"/>
        </w:rPr>
      </w:pPr>
      <w:r w:rsidRPr="003F471F">
        <w:rPr>
          <w:rFonts w:cs="Tahoma"/>
          <w:color w:val="000000"/>
          <w:szCs w:val="18"/>
          <w:lang w:val="it-IT"/>
        </w:rPr>
        <w:t xml:space="preserve">I codici Product Key consentono alle organizzazioni di utilizzare il software e i prodotti ricevuti in licenza. Tutti i codici vengono rilasciati a una società ai sensi di un contratto di licenza specifico. Per ottenere i codici Product Key, visitare </w:t>
      </w:r>
      <w:hyperlink r:id="rId34" w:history="1">
        <w:r w:rsidRPr="003F471F">
          <w:rPr>
            <w:rStyle w:val="Hyperlink"/>
            <w:szCs w:val="18"/>
            <w:lang w:val="it-IT"/>
          </w:rPr>
          <w:t>Microsoft Volume Licensing Service Center (VLSC)</w:t>
        </w:r>
      </w:hyperlink>
      <w:r w:rsidRPr="003F471F">
        <w:rPr>
          <w:rFonts w:cs="Tahoma"/>
          <w:color w:val="000000"/>
          <w:szCs w:val="18"/>
          <w:lang w:val="it-IT"/>
        </w:rPr>
        <w:t xml:space="preserve">. Sarà inoltre possibile contattare il </w:t>
      </w:r>
      <w:hyperlink r:id="rId35" w:history="1">
        <w:r w:rsidRPr="003F471F">
          <w:rPr>
            <w:rStyle w:val="Hyperlink"/>
            <w:szCs w:val="18"/>
            <w:lang w:val="it-IT"/>
          </w:rPr>
          <w:t>Centro di Attivazione dei Contratti Multilicenza Microsoft</w:t>
        </w:r>
      </w:hyperlink>
      <w:r w:rsidRPr="003F471F">
        <w:rPr>
          <w:rFonts w:cs="Tahoma"/>
          <w:color w:val="0070C0"/>
          <w:szCs w:val="18"/>
          <w:lang w:val="it-IT"/>
        </w:rPr>
        <w:t>.</w:t>
      </w:r>
      <w:r w:rsidRPr="003F471F">
        <w:rPr>
          <w:rFonts w:cs="Tahoma"/>
          <w:color w:val="000000"/>
          <w:szCs w:val="18"/>
          <w:lang w:val="it-IT"/>
        </w:rPr>
        <w:t xml:space="preserve"> </w:t>
      </w:r>
    </w:p>
    <w:p w14:paraId="38858099" w14:textId="77777777" w:rsidR="008A1637" w:rsidRPr="003F471F" w:rsidRDefault="008A1637" w:rsidP="007022C1">
      <w:pPr>
        <w:ind w:right="720"/>
        <w:rPr>
          <w:lang w:val="it-IT"/>
        </w:rPr>
      </w:pPr>
    </w:p>
    <w:p w14:paraId="74A34399" w14:textId="77777777" w:rsidR="008A1637" w:rsidRPr="003F471F" w:rsidRDefault="008A1637" w:rsidP="007022C1">
      <w:pPr>
        <w:ind w:right="720"/>
        <w:rPr>
          <w:lang w:val="it-IT"/>
        </w:rPr>
      </w:pPr>
      <w:r w:rsidRPr="003F471F">
        <w:rPr>
          <w:rFonts w:cs="Tahoma"/>
          <w:color w:val="000000"/>
          <w:szCs w:val="18"/>
          <w:lang w:val="it-IT"/>
        </w:rPr>
        <w:t xml:space="preserve">Per prendere visione di una lista di prodotti Volume Licensing che richiedono i codici “Product Key” e per ulteriori informazioni, fare riferimento a: </w:t>
      </w:r>
      <w:hyperlink r:id="rId36" w:history="1">
        <w:r w:rsidR="00DB3AB1" w:rsidRPr="003F471F">
          <w:rPr>
            <w:rStyle w:val="Hyperlink"/>
            <w:szCs w:val="18"/>
            <w:lang w:val="it-IT"/>
          </w:rPr>
          <w:t>http://www.microsoft.com/licensing/resources/vol/volumelicensekey/default.mspx</w:t>
        </w:r>
      </w:hyperlink>
      <w:r w:rsidRPr="003F471F">
        <w:rPr>
          <w:rFonts w:cs="Tahoma"/>
          <w:szCs w:val="18"/>
          <w:lang w:val="it-IT"/>
        </w:rPr>
        <w:t>.</w:t>
      </w:r>
    </w:p>
    <w:p w14:paraId="36653281" w14:textId="77777777" w:rsidR="008A1637" w:rsidRPr="003F471F" w:rsidRDefault="008A1637" w:rsidP="007022C1">
      <w:pPr>
        <w:ind w:right="720"/>
        <w:rPr>
          <w:lang w:val="it-IT"/>
        </w:rPr>
      </w:pPr>
      <w:r w:rsidRPr="003F471F">
        <w:rPr>
          <w:rFonts w:cs="Tahoma"/>
          <w:color w:val="1F497D"/>
          <w:szCs w:val="18"/>
          <w:lang w:val="it-IT"/>
        </w:rPr>
        <w:br/>
      </w:r>
      <w:r w:rsidRPr="003F471F">
        <w:rPr>
          <w:rFonts w:cs="Tahoma"/>
          <w:color w:val="000000"/>
          <w:szCs w:val="18"/>
          <w:lang w:val="it-IT"/>
        </w:rPr>
        <w:t>Non tutti i prodotti con contratti multilicenza (Volume Licensing) richiedono un codice “Product Key”.</w:t>
      </w:r>
      <w:r w:rsidRPr="003F471F">
        <w:rPr>
          <w:rFonts w:ascii="Verdana" w:hAnsi="Verdana"/>
          <w:color w:val="333333"/>
          <w:sz w:val="17"/>
          <w:szCs w:val="17"/>
          <w:lang w:val="it-IT"/>
        </w:rPr>
        <w:t xml:space="preserve"> </w:t>
      </w:r>
      <w:r w:rsidRPr="003F471F">
        <w:rPr>
          <w:rFonts w:cs="Tahoma"/>
          <w:color w:val="000000"/>
          <w:szCs w:val="18"/>
          <w:lang w:val="it-IT"/>
        </w:rPr>
        <w:t>Se</w:t>
      </w:r>
      <w:r w:rsidR="00DB3AB1" w:rsidRPr="003F471F">
        <w:rPr>
          <w:rFonts w:cs="Tahoma"/>
          <w:color w:val="000000"/>
          <w:szCs w:val="18"/>
          <w:lang w:val="it-IT"/>
        </w:rPr>
        <w:t> </w:t>
      </w:r>
      <w:r w:rsidRPr="003F471F">
        <w:rPr>
          <w:rFonts w:cs="Tahoma"/>
          <w:color w:val="000000"/>
          <w:szCs w:val="18"/>
          <w:lang w:val="it-IT"/>
        </w:rPr>
        <w:t>un</w:t>
      </w:r>
      <w:r w:rsidR="00DB3AB1" w:rsidRPr="003F471F">
        <w:rPr>
          <w:rFonts w:cs="Tahoma"/>
          <w:color w:val="000000"/>
          <w:szCs w:val="18"/>
          <w:lang w:val="it-IT"/>
        </w:rPr>
        <w:t> </w:t>
      </w:r>
      <w:r w:rsidRPr="003F471F">
        <w:rPr>
          <w:rFonts w:cs="Tahoma"/>
          <w:color w:val="000000"/>
          <w:szCs w:val="18"/>
          <w:lang w:val="it-IT"/>
        </w:rPr>
        <w:t>prodotto non è presente nella lista, non richiede un codice “Product Key”.</w:t>
      </w:r>
    </w:p>
    <w:p w14:paraId="634F4452" w14:textId="77777777" w:rsidR="008A1637" w:rsidRPr="003F471F" w:rsidRDefault="008A1637" w:rsidP="007022C1">
      <w:pPr>
        <w:ind w:right="720"/>
        <w:rPr>
          <w:lang w:val="it-IT"/>
        </w:rPr>
      </w:pPr>
    </w:p>
    <w:p w14:paraId="72FCE63C" w14:textId="77777777" w:rsidR="001B413E" w:rsidRPr="003F471F" w:rsidRDefault="008A1637" w:rsidP="007022C1">
      <w:pPr>
        <w:ind w:right="720"/>
        <w:rPr>
          <w:lang w:val="it-IT"/>
        </w:rPr>
      </w:pPr>
      <w:r w:rsidRPr="003F471F">
        <w:rPr>
          <w:rFonts w:cs="Tahoma"/>
          <w:b/>
          <w:bCs/>
          <w:color w:val="000000"/>
          <w:szCs w:val="18"/>
          <w:lang w:val="it-IT"/>
        </w:rPr>
        <w:t>Nota:</w:t>
      </w:r>
      <w:r w:rsidR="00E34ED3" w:rsidRPr="003F471F">
        <w:rPr>
          <w:rFonts w:cs="Tahoma"/>
          <w:color w:val="000000"/>
          <w:szCs w:val="18"/>
          <w:lang w:val="it-IT"/>
        </w:rPr>
        <w:t xml:space="preserve"> </w:t>
      </w:r>
      <w:r w:rsidRPr="003F471F">
        <w:rPr>
          <w:rFonts w:cs="Tahoma"/>
          <w:color w:val="000000"/>
          <w:szCs w:val="18"/>
          <w:lang w:val="it-IT"/>
        </w:rPr>
        <w:t>i codici Product Key vengono ceduti all</w:t>
      </w:r>
      <w:r w:rsidR="001C4212" w:rsidRPr="003F471F">
        <w:rPr>
          <w:rFonts w:cs="Tahoma"/>
          <w:color w:val="000000"/>
          <w:szCs w:val="18"/>
          <w:lang w:val="it-IT"/>
        </w:rPr>
        <w:t>’</w:t>
      </w:r>
      <w:r w:rsidRPr="003F471F">
        <w:rPr>
          <w:rFonts w:cs="Tahoma"/>
          <w:color w:val="000000"/>
          <w:szCs w:val="18"/>
          <w:lang w:val="it-IT"/>
        </w:rPr>
        <w:t>organizzazione e sono a suo esclusivo utilizzo. La società sarà responsabile dell</w:t>
      </w:r>
      <w:r w:rsidR="001C4212" w:rsidRPr="003F471F">
        <w:rPr>
          <w:rFonts w:cs="Tahoma"/>
          <w:color w:val="000000"/>
          <w:szCs w:val="18"/>
          <w:lang w:val="it-IT"/>
        </w:rPr>
        <w:t>’</w:t>
      </w:r>
      <w:r w:rsidRPr="003F471F">
        <w:rPr>
          <w:rFonts w:cs="Tahoma"/>
          <w:color w:val="000000"/>
          <w:szCs w:val="18"/>
          <w:lang w:val="it-IT"/>
        </w:rPr>
        <w:t xml:space="preserve">utilizzo non autorizzato dei codici “Product Key” rilasciati ai sensi del contratto stipulato. La società dovrà adottare le precauzioni necessarie per proteggerli. Non dovrà divulgarli a terzi non autorizzati. </w:t>
      </w:r>
    </w:p>
    <w:p w14:paraId="6B1993F0" w14:textId="77777777" w:rsidR="001B413E" w:rsidRPr="003F471F" w:rsidRDefault="001B413E">
      <w:pPr>
        <w:rPr>
          <w:lang w:val="it-IT"/>
        </w:rPr>
      </w:pPr>
      <w:r w:rsidRPr="003F471F">
        <w:rPr>
          <w:rFonts w:cs="Tahoma"/>
          <w:color w:val="000000"/>
          <w:szCs w:val="18"/>
          <w:lang w:val="it-IT"/>
        </w:rPr>
        <w:br w:type="page"/>
      </w:r>
    </w:p>
    <w:p w14:paraId="4F4D600A" w14:textId="77777777" w:rsidR="001B413E" w:rsidRPr="003F471F" w:rsidRDefault="00DB3AB1" w:rsidP="001B413E">
      <w:pPr>
        <w:pStyle w:val="Heading1"/>
        <w:rPr>
          <w:lang w:val="it-IT"/>
        </w:rPr>
      </w:pPr>
      <w:bookmarkStart w:id="932" w:name="_Section_10_–"/>
      <w:bookmarkStart w:id="933" w:name="_ARTICOLO_10_-"/>
      <w:bookmarkStart w:id="934" w:name="_Toc371663649"/>
      <w:bookmarkEnd w:id="932"/>
      <w:bookmarkEnd w:id="933"/>
      <w:r w:rsidRPr="003F471F">
        <w:rPr>
          <w:lang w:val="it-IT"/>
        </w:rPr>
        <w:t xml:space="preserve">ARTICOLO 10 - </w:t>
      </w:r>
      <w:r w:rsidR="001B413E" w:rsidRPr="003F471F">
        <w:rPr>
          <w:lang w:val="it-IT"/>
        </w:rPr>
        <w:t>Condizioni Supplementari per i Servizi Online Utilizzati con il Software On-Premise</w:t>
      </w:r>
      <w:bookmarkEnd w:id="934"/>
    </w:p>
    <w:p w14:paraId="666A313A" w14:textId="77777777" w:rsidR="001B413E" w:rsidRPr="003F471F" w:rsidRDefault="001B413E" w:rsidP="001B413E">
      <w:pPr>
        <w:rPr>
          <w:lang w:val="it-IT"/>
        </w:rPr>
      </w:pPr>
    </w:p>
    <w:p w14:paraId="12EF76DC" w14:textId="77777777" w:rsidR="001B413E" w:rsidRPr="003F471F" w:rsidRDefault="001B413E" w:rsidP="001B413E">
      <w:pPr>
        <w:rPr>
          <w:lang w:val="it-IT"/>
        </w:rPr>
      </w:pPr>
      <w:r w:rsidRPr="003F471F">
        <w:rPr>
          <w:snapToGrid w:val="0"/>
          <w:lang w:val="it-IT"/>
        </w:rPr>
        <w:t>Alcune offerte includono sia prodotti software distribuiti e utilizzati presso le sedi delle società che uno o più Servizi Online identificati sopra nell</w:t>
      </w:r>
      <w:r w:rsidR="001C4212" w:rsidRPr="003F471F">
        <w:rPr>
          <w:snapToGrid w:val="0"/>
          <w:lang w:val="it-IT"/>
        </w:rPr>
        <w:t>’</w:t>
      </w:r>
      <w:hyperlink w:anchor="_Articolo_5_-" w:history="1">
        <w:r w:rsidRPr="003F471F">
          <w:rPr>
            <w:rStyle w:val="Hyperlink"/>
            <w:snapToGrid w:val="0"/>
            <w:lang w:val="it-IT"/>
          </w:rPr>
          <w:t>Articolo 5</w:t>
        </w:r>
      </w:hyperlink>
      <w:r w:rsidRPr="003F471F">
        <w:rPr>
          <w:snapToGrid w:val="0"/>
          <w:lang w:val="it-IT"/>
        </w:rPr>
        <w:t xml:space="preserve"> ai sensi della stessa licenza. Ad esempio,</w:t>
      </w:r>
      <w:r w:rsidRPr="003F471F">
        <w:rPr>
          <w:rFonts w:cs="Tahoma"/>
          <w:szCs w:val="20"/>
          <w:lang w:val="it-IT"/>
        </w:rPr>
        <w:t xml:space="preserve"> Archiviazione Exchange Online per Exchange Server, Prevenzione della Perdita dei Dati o Exchange Online Protection sono a disposizione delle società nell</w:t>
      </w:r>
      <w:r w:rsidR="001C4212" w:rsidRPr="003F471F">
        <w:rPr>
          <w:rFonts w:cs="Tahoma"/>
          <w:szCs w:val="20"/>
          <w:lang w:val="it-IT"/>
        </w:rPr>
        <w:t>’</w:t>
      </w:r>
      <w:r w:rsidRPr="003F471F">
        <w:rPr>
          <w:rFonts w:cs="Tahoma"/>
          <w:szCs w:val="20"/>
          <w:lang w:val="it-IT"/>
        </w:rPr>
        <w:t>ambito dell</w:t>
      </w:r>
      <w:r w:rsidR="001C4212" w:rsidRPr="003F471F">
        <w:rPr>
          <w:rFonts w:cs="Tahoma"/>
          <w:szCs w:val="20"/>
          <w:lang w:val="it-IT"/>
        </w:rPr>
        <w:t>’</w:t>
      </w:r>
      <w:r w:rsidRPr="003F471F">
        <w:rPr>
          <w:rFonts w:cs="Tahoma"/>
          <w:szCs w:val="20"/>
          <w:lang w:val="it-IT"/>
        </w:rPr>
        <w:t xml:space="preserve">Enterprise CAL Suite o della CAL per Exchange Enterprise con Servizi 2013. Alcuni di questi Servizi Online sono disponibili anche come offerte </w:t>
      </w:r>
      <w:r w:rsidR="00E34ED3" w:rsidRPr="003F471F">
        <w:rPr>
          <w:rFonts w:cs="Tahoma"/>
          <w:szCs w:val="20"/>
          <w:lang w:val="it-IT"/>
        </w:rPr>
        <w:t>“</w:t>
      </w:r>
      <w:r w:rsidRPr="003F471F">
        <w:rPr>
          <w:rFonts w:cs="Tahoma"/>
          <w:szCs w:val="20"/>
          <w:lang w:val="it-IT"/>
        </w:rPr>
        <w:t>subscription</w:t>
      </w:r>
      <w:r w:rsidR="00E34ED3" w:rsidRPr="003F471F">
        <w:rPr>
          <w:rFonts w:cs="Tahoma"/>
          <w:szCs w:val="20"/>
          <w:lang w:val="it-IT"/>
        </w:rPr>
        <w:t>”</w:t>
      </w:r>
      <w:r w:rsidRPr="003F471F">
        <w:rPr>
          <w:rFonts w:cs="Tahoma"/>
          <w:szCs w:val="20"/>
          <w:lang w:val="it-IT"/>
        </w:rPr>
        <w:t xml:space="preserve"> autonome per integrare il software On-Premise.</w:t>
      </w:r>
      <w:r w:rsidR="00E34ED3" w:rsidRPr="003F471F">
        <w:rPr>
          <w:rFonts w:cs="Tahoma"/>
          <w:szCs w:val="20"/>
          <w:lang w:val="it-IT"/>
        </w:rPr>
        <w:t xml:space="preserve"> </w:t>
      </w:r>
      <w:r w:rsidRPr="003F471F">
        <w:rPr>
          <w:rFonts w:cs="Tahoma"/>
          <w:szCs w:val="20"/>
          <w:lang w:val="it-IT"/>
        </w:rPr>
        <w:t>Le Condizioni Supplementari (“Condizioni Supplementari”) che seguono si applicano all</w:t>
      </w:r>
      <w:r w:rsidR="001C4212" w:rsidRPr="003F471F">
        <w:rPr>
          <w:rFonts w:cs="Tahoma"/>
          <w:szCs w:val="20"/>
          <w:lang w:val="it-IT"/>
        </w:rPr>
        <w:t>’</w:t>
      </w:r>
      <w:r w:rsidRPr="003F471F">
        <w:rPr>
          <w:snapToGrid w:val="0"/>
          <w:lang w:val="it-IT"/>
        </w:rPr>
        <w:t>acquisto e all</w:t>
      </w:r>
      <w:r w:rsidR="001C4212" w:rsidRPr="003F471F">
        <w:rPr>
          <w:snapToGrid w:val="0"/>
          <w:lang w:val="it-IT"/>
        </w:rPr>
        <w:t>’</w:t>
      </w:r>
      <w:r w:rsidRPr="003F471F">
        <w:rPr>
          <w:snapToGrid w:val="0"/>
          <w:lang w:val="it-IT"/>
        </w:rPr>
        <w:t>utilizzo, da parte delle società, di tali Servizi Online.</w:t>
      </w:r>
      <w:r w:rsidR="00E34ED3" w:rsidRPr="003F471F">
        <w:rPr>
          <w:rFonts w:cs="Tahoma"/>
          <w:szCs w:val="20"/>
          <w:lang w:val="it-IT"/>
        </w:rPr>
        <w:t xml:space="preserve"> </w:t>
      </w:r>
    </w:p>
    <w:p w14:paraId="07AF81E9" w14:textId="77777777" w:rsidR="001B413E" w:rsidRPr="003F471F" w:rsidRDefault="001B413E" w:rsidP="001B413E">
      <w:pPr>
        <w:keepNext/>
        <w:spacing w:before="120" w:after="60"/>
        <w:ind w:left="720"/>
        <w:outlineLvl w:val="0"/>
        <w:rPr>
          <w:lang w:val="it-IT"/>
        </w:rPr>
      </w:pPr>
      <w:r w:rsidRPr="003F471F">
        <w:rPr>
          <w:rFonts w:cs="Tahoma"/>
          <w:b/>
          <w:bCs/>
          <w:iCs/>
          <w:snapToGrid w:val="0"/>
          <w:szCs w:val="18"/>
          <w:lang w:val="it-IT"/>
        </w:rPr>
        <w:t>Definizioni.</w:t>
      </w:r>
    </w:p>
    <w:p w14:paraId="73176CA8" w14:textId="77777777" w:rsidR="001B413E" w:rsidRPr="003F471F" w:rsidRDefault="001B413E" w:rsidP="001B413E">
      <w:pPr>
        <w:ind w:left="720"/>
        <w:jc w:val="both"/>
        <w:rPr>
          <w:lang w:val="it-IT"/>
        </w:rPr>
      </w:pPr>
      <w:r w:rsidRPr="003F471F">
        <w:rPr>
          <w:rFonts w:cs="Tahoma"/>
          <w:snapToGrid w:val="0"/>
          <w:color w:val="000000"/>
          <w:szCs w:val="18"/>
          <w:lang w:val="it-IT"/>
        </w:rPr>
        <w:t>“Dati della Società” indica tutti i dati, inclusi tutti i file di testo, audio, software e immagine forniti a Microsoft dalla o per conto della società tramite l</w:t>
      </w:r>
      <w:r w:rsidR="001C4212" w:rsidRPr="003F471F">
        <w:rPr>
          <w:rFonts w:cs="Tahoma"/>
          <w:snapToGrid w:val="0"/>
          <w:color w:val="000000"/>
          <w:szCs w:val="18"/>
          <w:lang w:val="it-IT"/>
        </w:rPr>
        <w:t>’</w:t>
      </w:r>
      <w:r w:rsidRPr="003F471F">
        <w:rPr>
          <w:rFonts w:cs="Tahoma"/>
          <w:snapToGrid w:val="0"/>
          <w:color w:val="000000"/>
          <w:szCs w:val="18"/>
          <w:lang w:val="it-IT"/>
        </w:rPr>
        <w:t>utilizzo dei Servizi Online da parte della società.</w:t>
      </w:r>
    </w:p>
    <w:p w14:paraId="64B05EE4" w14:textId="77777777" w:rsidR="001B413E" w:rsidRPr="003F471F" w:rsidRDefault="001B413E" w:rsidP="001B413E">
      <w:pPr>
        <w:spacing w:before="120"/>
        <w:ind w:left="720"/>
        <w:jc w:val="both"/>
        <w:rPr>
          <w:lang w:val="it-IT"/>
        </w:rPr>
      </w:pPr>
      <w:r w:rsidRPr="003F471F">
        <w:rPr>
          <w:rFonts w:cs="Tahoma"/>
          <w:snapToGrid w:val="0"/>
          <w:color w:val="000000"/>
          <w:szCs w:val="18"/>
          <w:lang w:val="it-IT"/>
        </w:rPr>
        <w:t>“Contratto di Servizio” indica il documento in cui vengono specificati gli standard cui Microsoft accetta di</w:t>
      </w:r>
      <w:r w:rsidR="00D41ACE" w:rsidRPr="003F471F">
        <w:rPr>
          <w:rFonts w:cs="Tahoma"/>
          <w:snapToGrid w:val="0"/>
          <w:color w:val="000000"/>
          <w:szCs w:val="18"/>
          <w:lang w:val="it-IT"/>
        </w:rPr>
        <w:t> </w:t>
      </w:r>
      <w:r w:rsidRPr="003F471F">
        <w:rPr>
          <w:rFonts w:cs="Tahoma"/>
          <w:snapToGrid w:val="0"/>
          <w:color w:val="000000"/>
          <w:szCs w:val="18"/>
          <w:lang w:val="it-IT"/>
        </w:rPr>
        <w:t>aderire e tramite i quali misura il livello di servizio per un Servizio Online.</w:t>
      </w:r>
    </w:p>
    <w:p w14:paraId="5D354664" w14:textId="77777777" w:rsidR="001B413E" w:rsidRPr="003F471F" w:rsidRDefault="001B413E" w:rsidP="001B413E">
      <w:pPr>
        <w:keepNext/>
        <w:spacing w:before="120" w:after="60"/>
        <w:ind w:left="720"/>
        <w:outlineLvl w:val="0"/>
        <w:rPr>
          <w:lang w:val="it-IT"/>
        </w:rPr>
      </w:pPr>
      <w:r w:rsidRPr="003F471F">
        <w:rPr>
          <w:rFonts w:cs="Tahoma"/>
          <w:b/>
          <w:bCs/>
          <w:iCs/>
          <w:snapToGrid w:val="0"/>
          <w:szCs w:val="18"/>
          <w:lang w:val="it-IT"/>
        </w:rPr>
        <w:t>Ambito di Applicazione delle Condizioni Supplementari.</w:t>
      </w:r>
    </w:p>
    <w:p w14:paraId="5FDA43F1" w14:textId="77777777" w:rsidR="001B413E" w:rsidRPr="003F471F" w:rsidRDefault="001B413E" w:rsidP="001B413E">
      <w:pPr>
        <w:ind w:left="720"/>
        <w:jc w:val="both"/>
        <w:rPr>
          <w:lang w:val="it-IT"/>
        </w:rPr>
      </w:pPr>
      <w:r w:rsidRPr="003F471F">
        <w:rPr>
          <w:rFonts w:cs="Tahoma"/>
          <w:snapToGrid w:val="0"/>
          <w:color w:val="000000"/>
          <w:szCs w:val="18"/>
          <w:lang w:val="it-IT"/>
        </w:rPr>
        <w:t>Le presenti Condizioni Supplementari si applicano esclusivamente all</w:t>
      </w:r>
      <w:r w:rsidR="001C4212" w:rsidRPr="003F471F">
        <w:rPr>
          <w:rFonts w:cs="Tahoma"/>
          <w:snapToGrid w:val="0"/>
          <w:color w:val="000000"/>
          <w:szCs w:val="18"/>
          <w:lang w:val="it-IT"/>
        </w:rPr>
        <w:t>’</w:t>
      </w:r>
      <w:r w:rsidRPr="003F471F">
        <w:rPr>
          <w:rFonts w:cs="Tahoma"/>
          <w:snapToGrid w:val="0"/>
          <w:color w:val="000000"/>
          <w:szCs w:val="18"/>
          <w:lang w:val="it-IT"/>
        </w:rPr>
        <w:t>acquisto e all</w:t>
      </w:r>
      <w:r w:rsidR="001C4212" w:rsidRPr="003F471F">
        <w:rPr>
          <w:rFonts w:cs="Tahoma"/>
          <w:snapToGrid w:val="0"/>
          <w:color w:val="000000"/>
          <w:szCs w:val="18"/>
          <w:lang w:val="it-IT"/>
        </w:rPr>
        <w:t>’</w:t>
      </w:r>
      <w:r w:rsidRPr="003F471F">
        <w:rPr>
          <w:rFonts w:cs="Tahoma"/>
          <w:snapToGrid w:val="0"/>
          <w:color w:val="000000"/>
          <w:szCs w:val="18"/>
          <w:lang w:val="it-IT"/>
        </w:rPr>
        <w:t>utilizzo dei Servizi Online e dei Servizi da parte della società.</w:t>
      </w:r>
      <w:r w:rsidR="00E34ED3" w:rsidRPr="003F471F">
        <w:rPr>
          <w:rFonts w:cs="Tahoma"/>
          <w:snapToGrid w:val="0"/>
          <w:color w:val="000000"/>
          <w:szCs w:val="18"/>
          <w:lang w:val="it-IT"/>
        </w:rPr>
        <w:t xml:space="preserve"> </w:t>
      </w:r>
      <w:r w:rsidRPr="003F471F">
        <w:rPr>
          <w:rFonts w:cs="Tahoma"/>
          <w:snapToGrid w:val="0"/>
          <w:color w:val="000000"/>
          <w:szCs w:val="18"/>
          <w:lang w:val="it-IT"/>
        </w:rPr>
        <w:t>Nell</w:t>
      </w:r>
      <w:r w:rsidR="001C4212" w:rsidRPr="003F471F">
        <w:rPr>
          <w:rFonts w:cs="Tahoma"/>
          <w:snapToGrid w:val="0"/>
          <w:color w:val="000000"/>
          <w:szCs w:val="18"/>
          <w:lang w:val="it-IT"/>
        </w:rPr>
        <w:t>’</w:t>
      </w:r>
      <w:r w:rsidRPr="003F471F">
        <w:rPr>
          <w:rFonts w:cs="Tahoma"/>
          <w:snapToGrid w:val="0"/>
          <w:color w:val="000000"/>
          <w:szCs w:val="18"/>
          <w:lang w:val="it-IT"/>
        </w:rPr>
        <w:t>eventualità di una discrepanza tra le presenti Condizioni Supplementari e le condizioni dell</w:t>
      </w:r>
      <w:r w:rsidR="001C4212" w:rsidRPr="003F471F">
        <w:rPr>
          <w:rFonts w:cs="Tahoma"/>
          <w:snapToGrid w:val="0"/>
          <w:color w:val="000000"/>
          <w:szCs w:val="18"/>
          <w:lang w:val="it-IT"/>
        </w:rPr>
        <w:t>’</w:t>
      </w:r>
      <w:r w:rsidRPr="003F471F">
        <w:rPr>
          <w:rFonts w:cs="Tahoma"/>
          <w:snapToGrid w:val="0"/>
          <w:color w:val="000000"/>
          <w:szCs w:val="18"/>
          <w:lang w:val="it-IT"/>
        </w:rPr>
        <w:t>Accordo Principale o del Contratto che non possano essere espressamente risolte dalle condizioni di tali documenti, le Condizioni Supplementari avranno prevalenza:</w:t>
      </w:r>
    </w:p>
    <w:p w14:paraId="536D57AE" w14:textId="77777777" w:rsidR="001B413E" w:rsidRPr="003F471F" w:rsidRDefault="001B413E" w:rsidP="001B413E">
      <w:pPr>
        <w:keepNext/>
        <w:spacing w:before="120" w:after="60"/>
        <w:ind w:left="720"/>
        <w:outlineLvl w:val="0"/>
        <w:rPr>
          <w:lang w:val="it-IT"/>
        </w:rPr>
      </w:pPr>
      <w:r w:rsidRPr="003F471F">
        <w:rPr>
          <w:rFonts w:cs="Tahoma"/>
          <w:b/>
          <w:bCs/>
          <w:iCs/>
          <w:snapToGrid w:val="0"/>
          <w:szCs w:val="18"/>
          <w:lang w:val="it-IT"/>
        </w:rPr>
        <w:t>Garanzia Limitata per i Servizi Online.</w:t>
      </w:r>
    </w:p>
    <w:p w14:paraId="24C993F7" w14:textId="77777777" w:rsidR="001B413E" w:rsidRPr="003F471F" w:rsidRDefault="001B413E" w:rsidP="001B413E">
      <w:pPr>
        <w:ind w:left="720"/>
        <w:jc w:val="both"/>
        <w:rPr>
          <w:lang w:val="it-IT"/>
        </w:rPr>
      </w:pPr>
      <w:r w:rsidRPr="003F471F">
        <w:rPr>
          <w:rFonts w:cs="Tahoma"/>
          <w:snapToGrid w:val="0"/>
          <w:color w:val="000000"/>
          <w:szCs w:val="18"/>
          <w:lang w:val="it-IT"/>
        </w:rPr>
        <w:t>Microsoft garantisce che i Servizi Online funzioneranno in conformità al Contratto di Servizio (SLA, Service Level Agreement) applicabile.</w:t>
      </w:r>
      <w:r w:rsidR="00E34ED3" w:rsidRPr="003F471F">
        <w:rPr>
          <w:rFonts w:cs="Tahoma"/>
          <w:snapToGrid w:val="0"/>
          <w:color w:val="000000"/>
          <w:szCs w:val="18"/>
          <w:lang w:val="it-IT"/>
        </w:rPr>
        <w:t xml:space="preserve"> </w:t>
      </w:r>
      <w:r w:rsidRPr="003F471F">
        <w:rPr>
          <w:rFonts w:cs="Tahoma"/>
          <w:snapToGrid w:val="0"/>
          <w:color w:val="000000"/>
          <w:szCs w:val="18"/>
          <w:lang w:val="it-IT"/>
        </w:rPr>
        <w:t>La presente garanzia limitata è valida per tutta la durata dell</w:t>
      </w:r>
      <w:r w:rsidR="001C4212" w:rsidRPr="003F471F">
        <w:rPr>
          <w:rFonts w:cs="Tahoma"/>
          <w:snapToGrid w:val="0"/>
          <w:color w:val="000000"/>
          <w:szCs w:val="18"/>
          <w:lang w:val="it-IT"/>
        </w:rPr>
        <w:t>’</w:t>
      </w:r>
      <w:r w:rsidRPr="003F471F">
        <w:rPr>
          <w:rFonts w:cs="Tahoma"/>
          <w:snapToGrid w:val="0"/>
          <w:color w:val="000000"/>
          <w:szCs w:val="18"/>
          <w:lang w:val="it-IT"/>
        </w:rPr>
        <w:t>utilizzo del Servizio Online da parte della società a condizione che vengano rispettati i requisiti in materia di</w:t>
      </w:r>
      <w:r w:rsidR="00D41ACE" w:rsidRPr="003F471F">
        <w:rPr>
          <w:rFonts w:cs="Tahoma"/>
          <w:snapToGrid w:val="0"/>
          <w:color w:val="000000"/>
          <w:szCs w:val="18"/>
          <w:lang w:val="it-IT"/>
        </w:rPr>
        <w:t> </w:t>
      </w:r>
      <w:r w:rsidRPr="003F471F">
        <w:rPr>
          <w:rFonts w:cs="Tahoma"/>
          <w:snapToGrid w:val="0"/>
          <w:color w:val="000000"/>
          <w:szCs w:val="18"/>
          <w:lang w:val="it-IT"/>
        </w:rPr>
        <w:t>comunicazioni specificati nel Contratto di Servizio applicabile.</w:t>
      </w:r>
    </w:p>
    <w:p w14:paraId="643E37D4" w14:textId="77777777" w:rsidR="001B413E" w:rsidRPr="003F471F" w:rsidRDefault="001B413E" w:rsidP="001B413E">
      <w:pPr>
        <w:spacing w:before="120"/>
        <w:ind w:left="720"/>
        <w:jc w:val="both"/>
        <w:rPr>
          <w:lang w:val="it-IT"/>
        </w:rPr>
      </w:pPr>
      <w:r w:rsidRPr="003F471F">
        <w:rPr>
          <w:rFonts w:cs="Tahoma"/>
          <w:snapToGrid w:val="0"/>
          <w:color w:val="000000"/>
          <w:szCs w:val="18"/>
          <w:lang w:val="it-IT"/>
        </w:rPr>
        <w:t>Qualora Microsoft non rispetti la presente garanzia limitata e la società ne dia comunicazione a Microsoft entro il periodo di validità della garanzia, Microsoft fornirà i rimedi indicati nel Contratto di Servizio per il</w:t>
      </w:r>
      <w:r w:rsidR="00D41ACE" w:rsidRPr="003F471F">
        <w:rPr>
          <w:rFonts w:cs="Tahoma"/>
          <w:snapToGrid w:val="0"/>
          <w:color w:val="000000"/>
          <w:szCs w:val="18"/>
          <w:lang w:val="it-IT"/>
        </w:rPr>
        <w:t> </w:t>
      </w:r>
      <w:r w:rsidRPr="003F471F">
        <w:rPr>
          <w:rFonts w:cs="Tahoma"/>
          <w:snapToGrid w:val="0"/>
          <w:color w:val="000000"/>
          <w:szCs w:val="18"/>
          <w:lang w:val="it-IT"/>
        </w:rPr>
        <w:t>Servizio Online interessato.</w:t>
      </w:r>
      <w:r w:rsidR="00E34ED3" w:rsidRPr="003F471F">
        <w:rPr>
          <w:rFonts w:cs="Tahoma"/>
          <w:snapToGrid w:val="0"/>
          <w:color w:val="000000"/>
          <w:szCs w:val="18"/>
          <w:lang w:val="it-IT"/>
        </w:rPr>
        <w:t xml:space="preserve"> </w:t>
      </w:r>
      <w:r w:rsidRPr="003F471F">
        <w:rPr>
          <w:rFonts w:cs="Tahoma"/>
          <w:snapToGrid w:val="0"/>
          <w:color w:val="000000"/>
          <w:szCs w:val="18"/>
          <w:lang w:val="it-IT"/>
        </w:rPr>
        <w:t>Questi sono gli unici rimedi della società relativi all</w:t>
      </w:r>
      <w:r w:rsidR="001C4212" w:rsidRPr="003F471F">
        <w:rPr>
          <w:rFonts w:cs="Tahoma"/>
          <w:snapToGrid w:val="0"/>
          <w:color w:val="000000"/>
          <w:szCs w:val="18"/>
          <w:lang w:val="it-IT"/>
        </w:rPr>
        <w:t>’</w:t>
      </w:r>
      <w:r w:rsidRPr="003F471F">
        <w:rPr>
          <w:rFonts w:cs="Tahoma"/>
          <w:snapToGrid w:val="0"/>
          <w:color w:val="000000"/>
          <w:szCs w:val="18"/>
          <w:lang w:val="it-IT"/>
        </w:rPr>
        <w:t>inadempimento della garanzia limitata, fatti salvi gli eventuali altri rimedi previsti dalla legge applicabile.</w:t>
      </w:r>
    </w:p>
    <w:p w14:paraId="41F0BCB2" w14:textId="77777777" w:rsidR="001B413E" w:rsidRPr="003F471F" w:rsidRDefault="001B413E" w:rsidP="001B413E">
      <w:pPr>
        <w:spacing w:before="120"/>
        <w:ind w:left="720"/>
        <w:jc w:val="both"/>
        <w:rPr>
          <w:lang w:val="it-IT"/>
        </w:rPr>
      </w:pPr>
      <w:r w:rsidRPr="003F471F">
        <w:rPr>
          <w:rFonts w:cs="Tahoma"/>
          <w:snapToGrid w:val="0"/>
          <w:color w:val="000000"/>
          <w:szCs w:val="18"/>
          <w:lang w:val="it-IT"/>
        </w:rPr>
        <w:t>Tale garanzia limitata è soggetta alle seguenti limitazioni:</w:t>
      </w:r>
    </w:p>
    <w:p w14:paraId="4B83DC18" w14:textId="77777777" w:rsidR="001B413E" w:rsidRPr="003F471F" w:rsidRDefault="001B413E" w:rsidP="001B413E">
      <w:pPr>
        <w:numPr>
          <w:ilvl w:val="0"/>
          <w:numId w:val="124"/>
        </w:numPr>
        <w:spacing w:before="120"/>
        <w:ind w:left="1080"/>
        <w:contextualSpacing/>
        <w:jc w:val="both"/>
        <w:rPr>
          <w:lang w:val="it-IT"/>
        </w:rPr>
      </w:pPr>
      <w:r w:rsidRPr="003F471F">
        <w:rPr>
          <w:rFonts w:cs="Tahoma"/>
          <w:snapToGrid w:val="0"/>
          <w:color w:val="000000"/>
          <w:szCs w:val="18"/>
          <w:lang w:val="it-IT"/>
        </w:rPr>
        <w:t>qualsiasi garanzia o condizione implicita di legge, che non può essere esclusa contrattualmente avrà validità di un anno dalla data di inizio della garanzia limitata;</w:t>
      </w:r>
    </w:p>
    <w:p w14:paraId="1C9F5FFC" w14:textId="77777777" w:rsidR="001B413E" w:rsidRPr="003F471F" w:rsidRDefault="001B413E" w:rsidP="001B413E">
      <w:pPr>
        <w:numPr>
          <w:ilvl w:val="0"/>
          <w:numId w:val="124"/>
        </w:numPr>
        <w:spacing w:before="120"/>
        <w:ind w:left="1080"/>
        <w:contextualSpacing/>
        <w:jc w:val="both"/>
        <w:rPr>
          <w:lang w:val="it-IT"/>
        </w:rPr>
      </w:pPr>
      <w:r w:rsidRPr="003F471F">
        <w:rPr>
          <w:rFonts w:cs="Tahoma"/>
          <w:snapToGrid w:val="0"/>
          <w:color w:val="000000"/>
          <w:szCs w:val="18"/>
          <w:lang w:val="it-IT"/>
        </w:rPr>
        <w:t>la garanzia limitata non copre problemi causati da incidenti, da un uso improprio o da un utilizzo non conforme alle disposizioni del presente Contratto Multilicenza della società o ai Diritti di Utilizzo del Prodotto oppure derivanti da eventi non soggetti al ragionevole controllo da parte di Microsoft;</w:t>
      </w:r>
    </w:p>
    <w:p w14:paraId="2932032A" w14:textId="77777777" w:rsidR="001B413E" w:rsidRPr="003F471F" w:rsidRDefault="001B413E" w:rsidP="001B413E">
      <w:pPr>
        <w:numPr>
          <w:ilvl w:val="0"/>
          <w:numId w:val="124"/>
        </w:numPr>
        <w:spacing w:before="120"/>
        <w:ind w:left="1080"/>
        <w:contextualSpacing/>
        <w:jc w:val="both"/>
        <w:rPr>
          <w:lang w:val="it-IT"/>
        </w:rPr>
      </w:pPr>
      <w:r w:rsidRPr="003F471F">
        <w:rPr>
          <w:rFonts w:cs="Tahoma"/>
          <w:snapToGrid w:val="0"/>
          <w:color w:val="000000"/>
          <w:szCs w:val="18"/>
          <w:lang w:val="it-IT"/>
        </w:rPr>
        <w:t>la garanzia limitata non si applica a prodotti gratuiti, di valutazione, in versione preliminare o in versione beta dei Servizi Online e</w:t>
      </w:r>
    </w:p>
    <w:p w14:paraId="7EB03A12" w14:textId="77777777" w:rsidR="001B413E" w:rsidRPr="003F471F" w:rsidRDefault="001B413E" w:rsidP="001B413E">
      <w:pPr>
        <w:numPr>
          <w:ilvl w:val="0"/>
          <w:numId w:val="124"/>
        </w:numPr>
        <w:spacing w:before="120"/>
        <w:ind w:left="1080"/>
        <w:contextualSpacing/>
        <w:jc w:val="both"/>
        <w:rPr>
          <w:lang w:val="it-IT"/>
        </w:rPr>
      </w:pPr>
      <w:r w:rsidRPr="003F471F">
        <w:rPr>
          <w:rFonts w:cs="Tahoma"/>
          <w:snapToGrid w:val="0"/>
          <w:color w:val="000000"/>
          <w:szCs w:val="18"/>
          <w:lang w:val="it-IT"/>
        </w:rPr>
        <w:t>la garanzia limitata non si applica a problemi dovuti al mancato soddisfacimento dei requisiti minimi di</w:t>
      </w:r>
      <w:r w:rsidR="00D41ACE" w:rsidRPr="003F471F">
        <w:rPr>
          <w:rFonts w:cs="Tahoma"/>
          <w:snapToGrid w:val="0"/>
          <w:color w:val="000000"/>
          <w:szCs w:val="18"/>
          <w:lang w:val="it-IT"/>
        </w:rPr>
        <w:t> </w:t>
      </w:r>
      <w:r w:rsidRPr="003F471F">
        <w:rPr>
          <w:rFonts w:cs="Tahoma"/>
          <w:snapToGrid w:val="0"/>
          <w:color w:val="000000"/>
          <w:szCs w:val="18"/>
          <w:lang w:val="it-IT"/>
        </w:rPr>
        <w:t>sistema.</w:t>
      </w:r>
    </w:p>
    <w:p w14:paraId="49B0C03F" w14:textId="77777777" w:rsidR="001B413E" w:rsidRPr="003F471F" w:rsidRDefault="001B413E" w:rsidP="001B413E">
      <w:pPr>
        <w:spacing w:before="120"/>
        <w:ind w:left="720"/>
        <w:jc w:val="both"/>
        <w:rPr>
          <w:rFonts w:cs="Tahoma"/>
          <w:b/>
          <w:bCs/>
          <w:snapToGrid w:val="0"/>
          <w:color w:val="000000"/>
          <w:szCs w:val="18"/>
          <w:lang w:val="it-IT"/>
        </w:rPr>
      </w:pPr>
      <w:r w:rsidRPr="003F471F">
        <w:rPr>
          <w:rFonts w:cs="Tahoma"/>
          <w:b/>
          <w:bCs/>
          <w:snapToGrid w:val="0"/>
          <w:color w:val="000000"/>
          <w:szCs w:val="18"/>
          <w:lang w:val="it-IT"/>
        </w:rPr>
        <w:t>OLTRE ALLA PRESENTE GARANZIA LIMITATA, MICROSOFT NON FORNISCE ALTRE GARANZIE NÉ CONDIZIONI ESPRESSE O IMPLICITE. MICROSOFT NON RICONOSCE ALCUNA GARANZIA, DICHIARAZIONE NÉ CONDIZIONE IMPLICITA, INCLUSE LE GARANZIE DI COMMERCIABILITÀ (QUALITÀ NON INFERIORE ALLA MEDIA), ADEGUATEZZA PER UNO SCOPO SPECIFICO, QUALITÀ SODDISFACENTE, TITOLARITÀ O NON VIOLAZIONE DI DIRITTI DI TERZI.</w:t>
      </w:r>
      <w:r w:rsidR="00E34ED3" w:rsidRPr="003F471F">
        <w:rPr>
          <w:rFonts w:cs="Tahoma"/>
          <w:b/>
          <w:bCs/>
          <w:snapToGrid w:val="0"/>
          <w:color w:val="000000"/>
          <w:szCs w:val="18"/>
          <w:lang w:val="it-IT"/>
        </w:rPr>
        <w:t xml:space="preserve"> </w:t>
      </w:r>
      <w:r w:rsidRPr="003F471F">
        <w:rPr>
          <w:rFonts w:cs="Tahoma"/>
          <w:b/>
          <w:bCs/>
          <w:snapToGrid w:val="0"/>
          <w:color w:val="000000"/>
          <w:szCs w:val="18"/>
          <w:lang w:val="it-IT"/>
        </w:rPr>
        <w:t>LE</w:t>
      </w:r>
      <w:r w:rsidR="00F14DE9" w:rsidRPr="003F471F">
        <w:rPr>
          <w:rFonts w:cs="Tahoma"/>
          <w:b/>
          <w:bCs/>
          <w:snapToGrid w:val="0"/>
          <w:color w:val="000000"/>
          <w:szCs w:val="18"/>
          <w:lang w:val="it-IT"/>
        </w:rPr>
        <w:t> </w:t>
      </w:r>
      <w:r w:rsidRPr="003F471F">
        <w:rPr>
          <w:rFonts w:cs="Tahoma"/>
          <w:b/>
          <w:bCs/>
          <w:snapToGrid w:val="0"/>
          <w:color w:val="000000"/>
          <w:szCs w:val="18"/>
          <w:lang w:val="it-IT"/>
        </w:rPr>
        <w:t>PRESENTI ESCLUSIONI SI APPLICHERANNO NELLA MISURA MASSIMA CONSENTITA DALLA LEGGE APPLICABILE.</w:t>
      </w:r>
    </w:p>
    <w:p w14:paraId="1CCC0688" w14:textId="77777777" w:rsidR="00D41ACE" w:rsidRPr="003F471F" w:rsidRDefault="00D41ACE" w:rsidP="001B413E">
      <w:pPr>
        <w:spacing w:before="120"/>
        <w:ind w:left="720"/>
        <w:jc w:val="both"/>
        <w:rPr>
          <w:lang w:val="it-IT"/>
        </w:rPr>
      </w:pPr>
    </w:p>
    <w:p w14:paraId="5A235A7C" w14:textId="77777777" w:rsidR="001B413E" w:rsidRPr="003F471F" w:rsidRDefault="001B413E" w:rsidP="001B413E">
      <w:pPr>
        <w:keepNext/>
        <w:spacing w:before="120" w:after="60"/>
        <w:ind w:left="720"/>
        <w:outlineLvl w:val="0"/>
        <w:rPr>
          <w:lang w:val="it-IT"/>
        </w:rPr>
      </w:pPr>
      <w:r w:rsidRPr="003F471F">
        <w:rPr>
          <w:rFonts w:cs="Tahoma"/>
          <w:b/>
          <w:bCs/>
          <w:iCs/>
          <w:snapToGrid w:val="0"/>
          <w:szCs w:val="18"/>
          <w:lang w:val="it-IT"/>
        </w:rPr>
        <w:t>Sicurezza e diritto alla protezione dei dati personali.</w:t>
      </w:r>
    </w:p>
    <w:p w14:paraId="1953210A" w14:textId="77777777" w:rsidR="001B413E" w:rsidRPr="003F471F" w:rsidRDefault="001B413E" w:rsidP="001B413E">
      <w:pPr>
        <w:numPr>
          <w:ilvl w:val="1"/>
          <w:numId w:val="129"/>
        </w:numPr>
        <w:spacing w:before="120"/>
        <w:ind w:left="1080"/>
        <w:contextualSpacing/>
        <w:jc w:val="both"/>
        <w:rPr>
          <w:spacing w:val="-2"/>
          <w:lang w:val="it-IT"/>
        </w:rPr>
      </w:pPr>
      <w:r w:rsidRPr="003F471F">
        <w:rPr>
          <w:rFonts w:cs="Tahoma"/>
          <w:snapToGrid w:val="0"/>
          <w:color w:val="000000"/>
          <w:spacing w:val="-2"/>
          <w:szCs w:val="18"/>
          <w:lang w:val="it-IT"/>
        </w:rPr>
        <w:t>Microsoft e la Società si atterranno a tutte le leggi e a tutti i regolamenti applicabili (inclusa la legge applicabile in materia di notifica dell</w:t>
      </w:r>
      <w:r w:rsidR="001C4212" w:rsidRPr="003F471F">
        <w:rPr>
          <w:rFonts w:cs="Tahoma"/>
          <w:snapToGrid w:val="0"/>
          <w:color w:val="000000"/>
          <w:spacing w:val="-2"/>
          <w:szCs w:val="18"/>
          <w:lang w:val="it-IT"/>
        </w:rPr>
        <w:t>’</w:t>
      </w:r>
      <w:r w:rsidRPr="003F471F">
        <w:rPr>
          <w:rFonts w:cs="Tahoma"/>
          <w:snapToGrid w:val="0"/>
          <w:color w:val="000000"/>
          <w:spacing w:val="-2"/>
          <w:szCs w:val="18"/>
          <w:lang w:val="it-IT"/>
        </w:rPr>
        <w:t>inadempimento delle obbligazioni di protezione).</w:t>
      </w:r>
      <w:r w:rsidR="00E34ED3" w:rsidRPr="003F471F">
        <w:rPr>
          <w:rFonts w:cs="Tahoma"/>
          <w:snapToGrid w:val="0"/>
          <w:color w:val="000000"/>
          <w:spacing w:val="-2"/>
          <w:szCs w:val="18"/>
          <w:lang w:val="it-IT"/>
        </w:rPr>
        <w:t xml:space="preserve"> </w:t>
      </w:r>
      <w:r w:rsidRPr="003F471F">
        <w:rPr>
          <w:rFonts w:cs="Tahoma"/>
          <w:snapToGrid w:val="0"/>
          <w:color w:val="000000"/>
          <w:spacing w:val="-2"/>
          <w:szCs w:val="18"/>
          <w:lang w:val="it-IT"/>
        </w:rPr>
        <w:t>Microsoft non è tuttavia responsabile della conformità alle leggi o ai regolamenti applicabili da parte della società o da parte del settore cui la società appartiene che non siano generalmente applicabili ai fornitori di servizi informatici.</w:t>
      </w:r>
      <w:r w:rsidR="00E34ED3" w:rsidRPr="003F471F">
        <w:rPr>
          <w:rFonts w:cs="Tahoma"/>
          <w:snapToGrid w:val="0"/>
          <w:color w:val="000000"/>
          <w:spacing w:val="-2"/>
          <w:szCs w:val="18"/>
          <w:lang w:val="it-IT"/>
        </w:rPr>
        <w:t xml:space="preserve"> </w:t>
      </w:r>
      <w:r w:rsidRPr="003F471F">
        <w:rPr>
          <w:rFonts w:cs="Tahoma"/>
          <w:snapToGrid w:val="0"/>
          <w:color w:val="000000"/>
          <w:spacing w:val="-2"/>
          <w:szCs w:val="18"/>
          <w:lang w:val="it-IT"/>
        </w:rPr>
        <w:t>La società autorizza Microsoft e coloro che agiscono per suo conto a elaborare le informazioni personali al fine di agevolare l</w:t>
      </w:r>
      <w:r w:rsidR="001C4212" w:rsidRPr="003F471F">
        <w:rPr>
          <w:rFonts w:cs="Tahoma"/>
          <w:snapToGrid w:val="0"/>
          <w:color w:val="000000"/>
          <w:spacing w:val="-2"/>
          <w:szCs w:val="18"/>
          <w:lang w:val="it-IT"/>
        </w:rPr>
        <w:t>’</w:t>
      </w:r>
      <w:r w:rsidRPr="003F471F">
        <w:rPr>
          <w:rFonts w:cs="Tahoma"/>
          <w:snapToGrid w:val="0"/>
          <w:color w:val="000000"/>
          <w:spacing w:val="-2"/>
          <w:szCs w:val="18"/>
          <w:lang w:val="it-IT"/>
        </w:rPr>
        <w:t>esecuzione del Contratto, incluse le presenti Condizioni Supplementari.</w:t>
      </w:r>
    </w:p>
    <w:p w14:paraId="252735E1" w14:textId="77777777" w:rsidR="001B413E" w:rsidRPr="003F471F" w:rsidRDefault="001B413E" w:rsidP="001B413E">
      <w:pPr>
        <w:numPr>
          <w:ilvl w:val="1"/>
          <w:numId w:val="129"/>
        </w:numPr>
        <w:spacing w:before="120"/>
        <w:ind w:left="1080"/>
        <w:contextualSpacing/>
        <w:jc w:val="both"/>
        <w:rPr>
          <w:lang w:val="it-IT"/>
        </w:rPr>
      </w:pPr>
      <w:r w:rsidRPr="003F471F">
        <w:rPr>
          <w:rFonts w:cs="Tahoma"/>
          <w:snapToGrid w:val="0"/>
          <w:color w:val="000000"/>
          <w:szCs w:val="18"/>
          <w:lang w:val="it-IT"/>
        </w:rPr>
        <w:t>In relazione all</w:t>
      </w:r>
      <w:r w:rsidR="001C4212" w:rsidRPr="003F471F">
        <w:rPr>
          <w:rFonts w:cs="Tahoma"/>
          <w:snapToGrid w:val="0"/>
          <w:color w:val="000000"/>
          <w:szCs w:val="18"/>
          <w:lang w:val="it-IT"/>
        </w:rPr>
        <w:t>’</w:t>
      </w:r>
      <w:r w:rsidRPr="003F471F">
        <w:rPr>
          <w:rFonts w:cs="Tahoma"/>
          <w:snapToGrid w:val="0"/>
          <w:color w:val="000000"/>
          <w:szCs w:val="18"/>
          <w:lang w:val="it-IT"/>
        </w:rPr>
        <w:t>utilizzo dei Servizi Online o nell</w:t>
      </w:r>
      <w:r w:rsidR="001C4212" w:rsidRPr="003F471F">
        <w:rPr>
          <w:rFonts w:cs="Tahoma"/>
          <w:snapToGrid w:val="0"/>
          <w:color w:val="000000"/>
          <w:szCs w:val="18"/>
          <w:lang w:val="it-IT"/>
        </w:rPr>
        <w:t>’</w:t>
      </w:r>
      <w:r w:rsidRPr="003F471F">
        <w:rPr>
          <w:rFonts w:cs="Tahoma"/>
          <w:snapToGrid w:val="0"/>
          <w:color w:val="000000"/>
          <w:szCs w:val="18"/>
          <w:lang w:val="it-IT"/>
        </w:rPr>
        <w:t>ambito del Contratto la società potrà decidere di fornire a</w:t>
      </w:r>
      <w:r w:rsidR="00F14DE9" w:rsidRPr="003F471F">
        <w:rPr>
          <w:rFonts w:cs="Tahoma"/>
          <w:snapToGrid w:val="0"/>
          <w:color w:val="000000"/>
          <w:szCs w:val="18"/>
          <w:lang w:val="it-IT"/>
        </w:rPr>
        <w:t> </w:t>
      </w:r>
      <w:r w:rsidRPr="003F471F">
        <w:rPr>
          <w:rFonts w:cs="Tahoma"/>
          <w:snapToGrid w:val="0"/>
          <w:color w:val="000000"/>
          <w:szCs w:val="18"/>
          <w:lang w:val="it-IT"/>
        </w:rPr>
        <w:t>Microsoft informazioni personali per conto di terzi (compresi i contatti, i rivenditori, i distributori, gli amministratori e i dipendenti della società).</w:t>
      </w:r>
      <w:r w:rsidR="00E34ED3" w:rsidRPr="003F471F">
        <w:rPr>
          <w:rFonts w:cs="Tahoma"/>
          <w:snapToGrid w:val="0"/>
          <w:color w:val="000000"/>
          <w:szCs w:val="18"/>
          <w:lang w:val="it-IT"/>
        </w:rPr>
        <w:t xml:space="preserve"> </w:t>
      </w:r>
      <w:r w:rsidRPr="003F471F">
        <w:rPr>
          <w:rFonts w:cs="Tahoma"/>
          <w:snapToGrid w:val="0"/>
          <w:color w:val="000000"/>
          <w:szCs w:val="18"/>
          <w:lang w:val="it-IT"/>
        </w:rPr>
        <w:t>Prima di fornire informazioni personali a Microsoft, la società otterrà dai terzi interessati tutte le approvazioni necessarie ai sensi delle leggi applicabili in</w:t>
      </w:r>
      <w:r w:rsidR="00F14DE9" w:rsidRPr="003F471F">
        <w:rPr>
          <w:rFonts w:cs="Tahoma"/>
          <w:snapToGrid w:val="0"/>
          <w:color w:val="000000"/>
          <w:szCs w:val="18"/>
          <w:lang w:val="it-IT"/>
        </w:rPr>
        <w:t> </w:t>
      </w:r>
      <w:r w:rsidRPr="003F471F">
        <w:rPr>
          <w:rFonts w:cs="Tahoma"/>
          <w:snapToGrid w:val="0"/>
          <w:color w:val="000000"/>
          <w:szCs w:val="18"/>
          <w:lang w:val="it-IT"/>
        </w:rPr>
        <w:t>merito al diritto alla protezione dei dati personali.</w:t>
      </w:r>
    </w:p>
    <w:p w14:paraId="6C4AC9E2" w14:textId="77777777" w:rsidR="001B413E" w:rsidRPr="003F471F" w:rsidRDefault="001B413E" w:rsidP="001B413E">
      <w:pPr>
        <w:numPr>
          <w:ilvl w:val="1"/>
          <w:numId w:val="129"/>
        </w:numPr>
        <w:spacing w:before="120"/>
        <w:ind w:left="1080"/>
        <w:contextualSpacing/>
        <w:jc w:val="both"/>
        <w:rPr>
          <w:lang w:val="it-IT"/>
        </w:rPr>
      </w:pPr>
      <w:r w:rsidRPr="003F471F">
        <w:rPr>
          <w:rFonts w:cs="Tahoma"/>
          <w:snapToGrid w:val="0"/>
          <w:color w:val="000000"/>
          <w:szCs w:val="18"/>
          <w:lang w:val="it-IT"/>
        </w:rPr>
        <w:t>Le informazioni personali che la società fornisce in relazione al Contratto o all</w:t>
      </w:r>
      <w:r w:rsidR="001C4212" w:rsidRPr="003F471F">
        <w:rPr>
          <w:rFonts w:cs="Tahoma"/>
          <w:snapToGrid w:val="0"/>
          <w:color w:val="000000"/>
          <w:szCs w:val="18"/>
          <w:lang w:val="it-IT"/>
        </w:rPr>
        <w:t>’</w:t>
      </w:r>
      <w:r w:rsidRPr="003F471F">
        <w:rPr>
          <w:rFonts w:cs="Tahoma"/>
          <w:snapToGrid w:val="0"/>
          <w:color w:val="000000"/>
          <w:szCs w:val="18"/>
          <w:lang w:val="it-IT"/>
        </w:rPr>
        <w:t>utilizzo dei Servizi Online verranno elaborate ai sensi dell</w:t>
      </w:r>
      <w:r w:rsidR="001C4212" w:rsidRPr="003F471F">
        <w:rPr>
          <w:rFonts w:cs="Tahoma"/>
          <w:snapToGrid w:val="0"/>
          <w:color w:val="000000"/>
          <w:szCs w:val="18"/>
          <w:lang w:val="it-IT"/>
        </w:rPr>
        <w:t>’</w:t>
      </w:r>
      <w:r w:rsidRPr="003F471F">
        <w:rPr>
          <w:rFonts w:cs="Tahoma"/>
          <w:snapToGrid w:val="0"/>
          <w:color w:val="000000"/>
          <w:szCs w:val="18"/>
          <w:lang w:val="it-IT"/>
        </w:rPr>
        <w:t>informativa sulla privacy disponibile all</w:t>
      </w:r>
      <w:r w:rsidR="001C4212" w:rsidRPr="003F471F">
        <w:rPr>
          <w:rFonts w:cs="Tahoma"/>
          <w:snapToGrid w:val="0"/>
          <w:color w:val="000000"/>
          <w:szCs w:val="18"/>
          <w:lang w:val="it-IT"/>
        </w:rPr>
        <w:t>’</w:t>
      </w:r>
      <w:r w:rsidRPr="003F471F">
        <w:rPr>
          <w:rFonts w:cs="Tahoma"/>
          <w:snapToGrid w:val="0"/>
          <w:color w:val="000000"/>
          <w:szCs w:val="18"/>
          <w:lang w:val="it-IT"/>
        </w:rPr>
        <w:t xml:space="preserve">indirizzo </w:t>
      </w:r>
      <w:hyperlink r:id="rId37" w:history="1">
        <w:r w:rsidR="00F14DE9" w:rsidRPr="003F471F">
          <w:rPr>
            <w:rFonts w:cs="Tahoma"/>
            <w:snapToGrid w:val="0"/>
            <w:color w:val="0000FF"/>
            <w:szCs w:val="18"/>
            <w:u w:val="single"/>
            <w:lang w:val="it-IT" w:eastAsia="ja-JP"/>
          </w:rPr>
          <w:t>https://www.microsoft.com/licensing/servicecenter</w:t>
        </w:r>
      </w:hyperlink>
      <w:r w:rsidRPr="003F471F">
        <w:rPr>
          <w:rFonts w:cs="Tahoma"/>
          <w:snapToGrid w:val="0"/>
          <w:color w:val="000000"/>
          <w:szCs w:val="18"/>
          <w:lang w:val="it-IT"/>
        </w:rPr>
        <w:t>, fatta eccezione per eventuali informative sulla privacy specifiche per ciascun Prodotto e per i dettagli aggiuntivi relativi alla sicurezza e al diritto alla protezione dei dati personali indicati nei Diritti di Utilizzo del Prodotto.</w:t>
      </w:r>
      <w:r w:rsidR="00E34ED3" w:rsidRPr="003F471F">
        <w:rPr>
          <w:rFonts w:cs="Tahoma"/>
          <w:snapToGrid w:val="0"/>
          <w:color w:val="000000"/>
          <w:szCs w:val="18"/>
          <w:lang w:val="it-IT"/>
        </w:rPr>
        <w:t xml:space="preserve"> </w:t>
      </w:r>
      <w:r w:rsidRPr="003F471F">
        <w:rPr>
          <w:rFonts w:cs="Tahoma"/>
          <w:snapToGrid w:val="0"/>
          <w:color w:val="000000"/>
          <w:szCs w:val="18"/>
          <w:lang w:val="it-IT"/>
        </w:rPr>
        <w:t>I dati personali raccolti da Microsoft tramite i Servizi Online o i Servizi potranno essere trasferiti, archiviati ed elaborati negli Stati Uniti o in qualsiasi altro paese in cui è presente Microsoft o i provider di servizi che operano per suo conto.</w:t>
      </w:r>
      <w:r w:rsidR="00E34ED3" w:rsidRPr="003F471F">
        <w:rPr>
          <w:rFonts w:cs="Tahoma"/>
          <w:snapToGrid w:val="0"/>
          <w:color w:val="000000"/>
          <w:szCs w:val="18"/>
          <w:lang w:val="it-IT"/>
        </w:rPr>
        <w:t xml:space="preserve"> </w:t>
      </w:r>
      <w:r w:rsidRPr="003F471F">
        <w:rPr>
          <w:rFonts w:cs="Tahoma"/>
          <w:snapToGrid w:val="0"/>
          <w:color w:val="000000"/>
          <w:szCs w:val="18"/>
          <w:lang w:val="it-IT"/>
        </w:rPr>
        <w:t>Utilizzando i Servizi Online, la società accetta le condizioni sopra indicate.</w:t>
      </w:r>
      <w:r w:rsidR="00E34ED3" w:rsidRPr="003F471F">
        <w:rPr>
          <w:rFonts w:cs="Tahoma"/>
          <w:snapToGrid w:val="0"/>
          <w:color w:val="000000"/>
          <w:szCs w:val="18"/>
          <w:lang w:val="it-IT"/>
        </w:rPr>
        <w:t xml:space="preserve"> </w:t>
      </w:r>
      <w:r w:rsidRPr="003F471F">
        <w:rPr>
          <w:rFonts w:cs="Tahoma"/>
          <w:snapToGrid w:val="0"/>
          <w:color w:val="000000"/>
          <w:szCs w:val="18"/>
          <w:lang w:val="it-IT"/>
        </w:rPr>
        <w:t>Microsoft aderisce al</w:t>
      </w:r>
      <w:r w:rsidR="00F14DE9" w:rsidRPr="003F471F">
        <w:rPr>
          <w:rFonts w:cs="Tahoma"/>
          <w:snapToGrid w:val="0"/>
          <w:color w:val="000000"/>
          <w:szCs w:val="18"/>
          <w:lang w:val="it-IT"/>
        </w:rPr>
        <w:t> </w:t>
      </w:r>
      <w:r w:rsidRPr="003F471F">
        <w:rPr>
          <w:rFonts w:cs="Tahoma"/>
          <w:snapToGrid w:val="0"/>
          <w:color w:val="000000"/>
          <w:szCs w:val="18"/>
          <w:lang w:val="it-IT"/>
        </w:rPr>
        <w:t>protocollo di Safe Harbor dell</w:t>
      </w:r>
      <w:r w:rsidR="001C4212" w:rsidRPr="003F471F">
        <w:rPr>
          <w:rFonts w:cs="Tahoma"/>
          <w:snapToGrid w:val="0"/>
          <w:color w:val="000000"/>
          <w:szCs w:val="18"/>
          <w:lang w:val="it-IT"/>
        </w:rPr>
        <w:t>’</w:t>
      </w:r>
      <w:r w:rsidRPr="003F471F">
        <w:rPr>
          <w:rFonts w:cs="Tahoma"/>
          <w:snapToGrid w:val="0"/>
          <w:color w:val="000000"/>
          <w:szCs w:val="18"/>
          <w:lang w:val="it-IT"/>
        </w:rPr>
        <w:t>Unione Europea (EU Safe Harbor) e di Safe Harbour della Svizzera (Swiss Safe Harbor) come stabilito dal Department of Commerce degli Stati Uniti relativamente alla raccolta, al trattamento e alla conservazione dei dati provenienti dall</w:t>
      </w:r>
      <w:r w:rsidR="001C4212" w:rsidRPr="003F471F">
        <w:rPr>
          <w:rFonts w:cs="Tahoma"/>
          <w:snapToGrid w:val="0"/>
          <w:color w:val="000000"/>
          <w:szCs w:val="18"/>
          <w:lang w:val="it-IT"/>
        </w:rPr>
        <w:t>’</w:t>
      </w:r>
      <w:r w:rsidRPr="003F471F">
        <w:rPr>
          <w:rFonts w:cs="Tahoma"/>
          <w:snapToGrid w:val="0"/>
          <w:color w:val="000000"/>
          <w:szCs w:val="18"/>
          <w:lang w:val="it-IT"/>
        </w:rPr>
        <w:t>Unione Europea, dallo Spazio Economico Europeo e dalla Svizzera.</w:t>
      </w:r>
      <w:r w:rsidR="00E34ED3" w:rsidRPr="003F471F">
        <w:rPr>
          <w:rFonts w:cs="Tahoma"/>
          <w:snapToGrid w:val="0"/>
          <w:color w:val="000000"/>
          <w:szCs w:val="18"/>
          <w:lang w:val="it-IT"/>
        </w:rPr>
        <w:t xml:space="preserve"> </w:t>
      </w:r>
    </w:p>
    <w:p w14:paraId="0C2FD871" w14:textId="77777777" w:rsidR="001B413E" w:rsidRPr="003F471F" w:rsidRDefault="001B413E" w:rsidP="001B413E">
      <w:pPr>
        <w:keepNext/>
        <w:spacing w:before="120" w:after="60"/>
        <w:ind w:left="720"/>
        <w:outlineLvl w:val="0"/>
        <w:rPr>
          <w:lang w:val="it-IT"/>
        </w:rPr>
      </w:pPr>
      <w:r w:rsidRPr="003F471F">
        <w:rPr>
          <w:rFonts w:cs="Tahoma"/>
          <w:b/>
          <w:bCs/>
          <w:iCs/>
          <w:snapToGrid w:val="0"/>
          <w:szCs w:val="18"/>
          <w:lang w:val="it-IT"/>
        </w:rPr>
        <w:t>Tutela da parte della società.</w:t>
      </w:r>
    </w:p>
    <w:p w14:paraId="228F2BE9" w14:textId="77777777" w:rsidR="001B413E" w:rsidRPr="003F471F" w:rsidRDefault="001B413E" w:rsidP="001B413E">
      <w:pPr>
        <w:ind w:left="720"/>
        <w:jc w:val="both"/>
        <w:rPr>
          <w:lang w:val="it-IT"/>
        </w:rPr>
      </w:pPr>
      <w:r w:rsidRPr="003F471F">
        <w:rPr>
          <w:rFonts w:cs="Tahoma"/>
          <w:snapToGrid w:val="0"/>
          <w:color w:val="000000"/>
          <w:szCs w:val="18"/>
          <w:lang w:val="it-IT"/>
        </w:rPr>
        <w:t>La società si impegna a difendere Microsoft nel caso in cui terzi che non siano consociate propongano un reclamo che:</w:t>
      </w:r>
    </w:p>
    <w:p w14:paraId="699460B6" w14:textId="77777777" w:rsidR="001B413E" w:rsidRPr="003F471F" w:rsidRDefault="001B413E" w:rsidP="001B413E">
      <w:pPr>
        <w:numPr>
          <w:ilvl w:val="0"/>
          <w:numId w:val="130"/>
        </w:numPr>
        <w:spacing w:before="120"/>
        <w:ind w:left="1260" w:hanging="540"/>
        <w:contextualSpacing/>
        <w:jc w:val="both"/>
        <w:rPr>
          <w:lang w:val="it-IT"/>
        </w:rPr>
      </w:pPr>
      <w:r w:rsidRPr="003F471F">
        <w:rPr>
          <w:rFonts w:cs="Tahoma"/>
          <w:snapToGrid w:val="0"/>
          <w:color w:val="000000"/>
          <w:szCs w:val="18"/>
          <w:lang w:val="it-IT"/>
        </w:rPr>
        <w:t>sostenga che i Dati della Società o i prodotti software non Microsoft ospitati da Microsoft per conto della società violino i diritti di brevetto, copyright o marchio di terzi o facciano un utilizzo illecito di un Segreto Commerciale oppure</w:t>
      </w:r>
    </w:p>
    <w:p w14:paraId="7C4F0280" w14:textId="77777777" w:rsidR="001B413E" w:rsidRPr="003F471F" w:rsidRDefault="001B413E" w:rsidP="001B413E">
      <w:pPr>
        <w:numPr>
          <w:ilvl w:val="0"/>
          <w:numId w:val="130"/>
        </w:numPr>
        <w:spacing w:before="120"/>
        <w:ind w:left="1260" w:hanging="540"/>
        <w:contextualSpacing/>
        <w:jc w:val="both"/>
        <w:rPr>
          <w:lang w:val="it-IT"/>
        </w:rPr>
      </w:pPr>
      <w:r w:rsidRPr="003F471F">
        <w:rPr>
          <w:rFonts w:cs="Tahoma"/>
          <w:snapToGrid w:val="0"/>
          <w:color w:val="000000"/>
          <w:szCs w:val="18"/>
          <w:lang w:val="it-IT"/>
        </w:rPr>
        <w:t>risulti dalla violazione delle condizioni dei Criteri di Utilizzo descritti nei Diritti di Utilizzo del Prodotto.</w:t>
      </w:r>
    </w:p>
    <w:p w14:paraId="7E1FE746" w14:textId="77777777" w:rsidR="001B413E" w:rsidRPr="003F471F" w:rsidRDefault="001B413E" w:rsidP="001B413E">
      <w:pPr>
        <w:spacing w:before="120"/>
        <w:ind w:left="720"/>
        <w:jc w:val="both"/>
        <w:rPr>
          <w:lang w:val="it-IT"/>
        </w:rPr>
      </w:pPr>
      <w:r w:rsidRPr="003F471F">
        <w:rPr>
          <w:rFonts w:cs="Tahoma"/>
          <w:snapToGrid w:val="0"/>
          <w:color w:val="000000"/>
          <w:szCs w:val="18"/>
          <w:lang w:val="it-IT"/>
        </w:rPr>
        <w:t>In tali casi la società dovrà pagare l</w:t>
      </w:r>
      <w:r w:rsidR="001C4212" w:rsidRPr="003F471F">
        <w:rPr>
          <w:rFonts w:cs="Tahoma"/>
          <w:snapToGrid w:val="0"/>
          <w:color w:val="000000"/>
          <w:szCs w:val="18"/>
          <w:lang w:val="it-IT"/>
        </w:rPr>
        <w:t>’</w:t>
      </w:r>
      <w:r w:rsidRPr="003F471F">
        <w:rPr>
          <w:rFonts w:cs="Tahoma"/>
          <w:snapToGrid w:val="0"/>
          <w:color w:val="000000"/>
          <w:szCs w:val="18"/>
          <w:lang w:val="it-IT"/>
        </w:rPr>
        <w:t>importo liquidato in una sentenza definitiva di condanna (o in un accordo transattivo a cui la società abbia prestato il proprio consenso).</w:t>
      </w:r>
      <w:r w:rsidR="00E34ED3" w:rsidRPr="003F471F">
        <w:rPr>
          <w:rFonts w:cs="Tahoma"/>
          <w:snapToGrid w:val="0"/>
          <w:color w:val="000000"/>
          <w:szCs w:val="18"/>
          <w:lang w:val="it-IT"/>
        </w:rPr>
        <w:t xml:space="preserve"> </w:t>
      </w:r>
      <w:r w:rsidRPr="003F471F">
        <w:rPr>
          <w:rFonts w:cs="Tahoma"/>
          <w:snapToGrid w:val="0"/>
          <w:color w:val="000000"/>
          <w:szCs w:val="18"/>
          <w:lang w:val="it-IT"/>
        </w:rPr>
        <w:t>Nel presente Articolo viene riportato il rimedio esclusivo di Microsoft relativo a tali reclami.</w:t>
      </w:r>
    </w:p>
    <w:p w14:paraId="28F87585" w14:textId="77777777" w:rsidR="001B413E" w:rsidRPr="003F471F" w:rsidRDefault="001B413E" w:rsidP="001B413E">
      <w:pPr>
        <w:spacing w:before="120"/>
        <w:ind w:left="720"/>
        <w:jc w:val="both"/>
        <w:rPr>
          <w:lang w:val="it-IT"/>
        </w:rPr>
      </w:pPr>
      <w:r w:rsidRPr="003F471F">
        <w:rPr>
          <w:rFonts w:cs="Tahoma"/>
          <w:snapToGrid w:val="0"/>
          <w:color w:val="000000"/>
          <w:szCs w:val="18"/>
          <w:lang w:val="it-IT"/>
        </w:rPr>
        <w:t>Microsoft dovrà informare tempestivamente la società dando preavviso scritto del reclamo in conformità al</w:t>
      </w:r>
      <w:r w:rsidR="00F14DE9" w:rsidRPr="003F471F">
        <w:rPr>
          <w:rFonts w:cs="Tahoma"/>
          <w:snapToGrid w:val="0"/>
          <w:color w:val="000000"/>
          <w:szCs w:val="18"/>
          <w:lang w:val="it-IT"/>
        </w:rPr>
        <w:t> </w:t>
      </w:r>
      <w:r w:rsidRPr="003F471F">
        <w:rPr>
          <w:rFonts w:cs="Tahoma"/>
          <w:snapToGrid w:val="0"/>
          <w:color w:val="000000"/>
          <w:szCs w:val="18"/>
          <w:lang w:val="it-IT"/>
        </w:rPr>
        <w:t>presente Articolo.</w:t>
      </w:r>
      <w:r w:rsidR="00E34ED3" w:rsidRPr="003F471F">
        <w:rPr>
          <w:rFonts w:cs="Tahoma"/>
          <w:snapToGrid w:val="0"/>
          <w:color w:val="000000"/>
          <w:szCs w:val="18"/>
          <w:lang w:val="it-IT"/>
        </w:rPr>
        <w:t xml:space="preserve"> </w:t>
      </w:r>
      <w:r w:rsidRPr="003F471F">
        <w:rPr>
          <w:rFonts w:cs="Tahoma"/>
          <w:snapToGrid w:val="0"/>
          <w:color w:val="000000"/>
          <w:szCs w:val="18"/>
          <w:lang w:val="it-IT"/>
        </w:rPr>
        <w:t>Microsoft dovrà (1) affidare alla società l</w:t>
      </w:r>
      <w:r w:rsidR="001C4212" w:rsidRPr="003F471F">
        <w:rPr>
          <w:rFonts w:cs="Tahoma"/>
          <w:snapToGrid w:val="0"/>
          <w:color w:val="000000"/>
          <w:szCs w:val="18"/>
          <w:lang w:val="it-IT"/>
        </w:rPr>
        <w:t>’</w:t>
      </w:r>
      <w:r w:rsidRPr="003F471F">
        <w:rPr>
          <w:rFonts w:cs="Tahoma"/>
          <w:snapToGrid w:val="0"/>
          <w:color w:val="000000"/>
          <w:szCs w:val="18"/>
          <w:lang w:val="it-IT"/>
        </w:rPr>
        <w:t>esclusivo controllo della sua linea di difesa o</w:t>
      </w:r>
      <w:r w:rsidR="00F14DE9" w:rsidRPr="003F471F">
        <w:rPr>
          <w:rFonts w:cs="Tahoma"/>
          <w:snapToGrid w:val="0"/>
          <w:color w:val="000000"/>
          <w:szCs w:val="18"/>
          <w:lang w:val="it-IT"/>
        </w:rPr>
        <w:t> </w:t>
      </w:r>
      <w:r w:rsidRPr="003F471F">
        <w:rPr>
          <w:rFonts w:cs="Tahoma"/>
          <w:snapToGrid w:val="0"/>
          <w:color w:val="000000"/>
          <w:szCs w:val="18"/>
          <w:lang w:val="it-IT"/>
        </w:rPr>
        <w:t>dell</w:t>
      </w:r>
      <w:r w:rsidR="001C4212" w:rsidRPr="003F471F">
        <w:rPr>
          <w:rFonts w:cs="Tahoma"/>
          <w:snapToGrid w:val="0"/>
          <w:color w:val="000000"/>
          <w:szCs w:val="18"/>
          <w:lang w:val="it-IT"/>
        </w:rPr>
        <w:t>’</w:t>
      </w:r>
      <w:r w:rsidRPr="003F471F">
        <w:rPr>
          <w:rFonts w:cs="Tahoma"/>
          <w:snapToGrid w:val="0"/>
          <w:color w:val="000000"/>
          <w:szCs w:val="18"/>
          <w:lang w:val="it-IT"/>
        </w:rPr>
        <w:t>accordo transattivo di tale reclamo e (2) compiere ogni ragionevole sforzo per assistere la società nella definizione della linea di difesa. La società rimborserà inoltre a Microsoft tutte le spese esposte in misura ragionevole e sostenute per fornire tale assistenza.</w:t>
      </w:r>
    </w:p>
    <w:p w14:paraId="5EC14A5A" w14:textId="77777777" w:rsidR="001B413E" w:rsidRPr="003F471F" w:rsidRDefault="001B413E" w:rsidP="001B413E">
      <w:pPr>
        <w:keepNext/>
        <w:spacing w:before="120" w:after="60"/>
        <w:ind w:left="720"/>
        <w:outlineLvl w:val="0"/>
        <w:rPr>
          <w:lang w:val="it-IT"/>
        </w:rPr>
      </w:pPr>
      <w:r w:rsidRPr="003F471F">
        <w:rPr>
          <w:rFonts w:cs="Tahoma"/>
          <w:b/>
          <w:bCs/>
          <w:iCs/>
          <w:snapToGrid w:val="0"/>
          <w:szCs w:val="18"/>
          <w:lang w:val="it-IT"/>
        </w:rPr>
        <w:t>Limitazione di responsabilità.</w:t>
      </w:r>
    </w:p>
    <w:p w14:paraId="384E5322" w14:textId="77777777" w:rsidR="001B413E" w:rsidRPr="0058047D" w:rsidRDefault="001B413E" w:rsidP="001B413E">
      <w:pPr>
        <w:ind w:left="720"/>
        <w:jc w:val="both"/>
      </w:pPr>
      <w:r w:rsidRPr="003F471F">
        <w:rPr>
          <w:rFonts w:cs="Tahoma"/>
          <w:snapToGrid w:val="0"/>
          <w:color w:val="000000"/>
          <w:szCs w:val="18"/>
          <w:lang w:val="it-IT"/>
        </w:rPr>
        <w:t>Nella misura massima consentita dalla legge applicabile, la responsabilità di ciascuna delle parti, delle relative Consociate e dei relativi Collaboratori in relazione ai Servizi Online sarà limitata ai danni diretti fino alla concorrenza dell</w:t>
      </w:r>
      <w:r w:rsidR="001C4212" w:rsidRPr="003F471F">
        <w:rPr>
          <w:rFonts w:cs="Tahoma"/>
          <w:snapToGrid w:val="0"/>
          <w:color w:val="000000"/>
          <w:szCs w:val="18"/>
          <w:lang w:val="it-IT"/>
        </w:rPr>
        <w:t>’</w:t>
      </w:r>
      <w:r w:rsidRPr="003F471F">
        <w:rPr>
          <w:rFonts w:cs="Tahoma"/>
          <w:snapToGrid w:val="0"/>
          <w:color w:val="000000"/>
          <w:szCs w:val="18"/>
          <w:lang w:val="it-IT"/>
        </w:rPr>
        <w:t>importo che la società ha pagato per i Servizi Online che hanno dato origine a tale responsabilità durante i 12 mesi precedenti.</w:t>
      </w:r>
      <w:r w:rsidR="00E34ED3" w:rsidRPr="003F471F">
        <w:rPr>
          <w:rFonts w:cs="Tahoma"/>
          <w:snapToGrid w:val="0"/>
          <w:color w:val="000000"/>
          <w:szCs w:val="18"/>
          <w:lang w:val="it-IT"/>
        </w:rPr>
        <w:t xml:space="preserve"> </w:t>
      </w:r>
      <w:r w:rsidRPr="003F471F">
        <w:rPr>
          <w:rFonts w:cs="Tahoma"/>
          <w:snapToGrid w:val="0"/>
          <w:color w:val="000000"/>
          <w:szCs w:val="18"/>
          <w:lang w:val="it-IT"/>
        </w:rPr>
        <w:t>Le presenti limitazioni si applicano indipendentemente dal fondamento giuridico delle azioni risarcitorie poste in essere dalla società, siano esse relative a inadempimento contrattuale, illecito civile (inclusa la negligenza), responsabilità oggettiva o violazione delle garanzie.</w:t>
      </w:r>
      <w:r w:rsidR="00E34ED3" w:rsidRPr="003F471F">
        <w:rPr>
          <w:rFonts w:cs="Tahoma"/>
          <w:snapToGrid w:val="0"/>
          <w:color w:val="000000"/>
          <w:szCs w:val="18"/>
          <w:lang w:val="it-IT"/>
        </w:rPr>
        <w:t xml:space="preserve"> </w:t>
      </w:r>
      <w:r w:rsidRPr="0058047D">
        <w:rPr>
          <w:rFonts w:cs="Tahoma"/>
          <w:snapToGrid w:val="0"/>
          <w:color w:val="000000"/>
          <w:szCs w:val="18"/>
        </w:rPr>
        <w:t>Tuttavia, tali limitazioni monetarie non si applicheranno:</w:t>
      </w:r>
    </w:p>
    <w:p w14:paraId="2FD82388" w14:textId="77777777" w:rsidR="001B413E" w:rsidRPr="003F471F" w:rsidRDefault="001B413E" w:rsidP="001B413E">
      <w:pPr>
        <w:numPr>
          <w:ilvl w:val="0"/>
          <w:numId w:val="125"/>
        </w:numPr>
        <w:spacing w:before="120"/>
        <w:ind w:left="1170" w:hanging="450"/>
        <w:contextualSpacing/>
        <w:jc w:val="both"/>
        <w:rPr>
          <w:lang w:val="it-IT"/>
        </w:rPr>
      </w:pPr>
      <w:r w:rsidRPr="003F471F">
        <w:rPr>
          <w:rFonts w:cs="Tahoma"/>
          <w:snapToGrid w:val="0"/>
          <w:color w:val="000000"/>
          <w:szCs w:val="18"/>
          <w:lang w:val="it-IT"/>
        </w:rPr>
        <w:t>alle obbligazioni di Microsoft ai sensi dell</w:t>
      </w:r>
      <w:r w:rsidR="001C4212" w:rsidRPr="003F471F">
        <w:rPr>
          <w:rFonts w:cs="Tahoma"/>
          <w:snapToGrid w:val="0"/>
          <w:color w:val="000000"/>
          <w:szCs w:val="18"/>
          <w:lang w:val="it-IT"/>
        </w:rPr>
        <w:t>’</w:t>
      </w:r>
      <w:r w:rsidRPr="003F471F">
        <w:rPr>
          <w:rFonts w:cs="Tahoma"/>
          <w:snapToGrid w:val="0"/>
          <w:color w:val="000000"/>
          <w:szCs w:val="18"/>
          <w:lang w:val="it-IT"/>
        </w:rPr>
        <w:t>Articolo dell</w:t>
      </w:r>
      <w:r w:rsidR="001C4212" w:rsidRPr="003F471F">
        <w:rPr>
          <w:rFonts w:cs="Tahoma"/>
          <w:snapToGrid w:val="0"/>
          <w:color w:val="000000"/>
          <w:szCs w:val="18"/>
          <w:lang w:val="it-IT"/>
        </w:rPr>
        <w:t>’</w:t>
      </w:r>
      <w:r w:rsidRPr="003F471F">
        <w:rPr>
          <w:rFonts w:cs="Tahoma"/>
          <w:snapToGrid w:val="0"/>
          <w:color w:val="000000"/>
          <w:szCs w:val="18"/>
          <w:lang w:val="it-IT"/>
        </w:rPr>
        <w:t>Accordo Principale relativo alla “Difesa dai reclami di terzi aventi ad oggetto la violazione dei diritti e l</w:t>
      </w:r>
      <w:r w:rsidR="001C4212" w:rsidRPr="003F471F">
        <w:rPr>
          <w:rFonts w:cs="Tahoma"/>
          <w:snapToGrid w:val="0"/>
          <w:color w:val="000000"/>
          <w:szCs w:val="18"/>
          <w:lang w:val="it-IT"/>
        </w:rPr>
        <w:t>’</w:t>
      </w:r>
      <w:r w:rsidRPr="003F471F">
        <w:rPr>
          <w:rFonts w:cs="Tahoma"/>
          <w:snapToGrid w:val="0"/>
          <w:color w:val="000000"/>
          <w:szCs w:val="18"/>
          <w:lang w:val="it-IT"/>
        </w:rPr>
        <w:t>appropriazione indebita”, né alle obbligazioni della società ai sensi dell</w:t>
      </w:r>
      <w:r w:rsidR="001C4212" w:rsidRPr="003F471F">
        <w:rPr>
          <w:rFonts w:cs="Tahoma"/>
          <w:snapToGrid w:val="0"/>
          <w:color w:val="000000"/>
          <w:szCs w:val="18"/>
          <w:lang w:val="it-IT"/>
        </w:rPr>
        <w:t>’</w:t>
      </w:r>
      <w:r w:rsidRPr="003F471F">
        <w:rPr>
          <w:rFonts w:cs="Tahoma"/>
          <w:snapToGrid w:val="0"/>
          <w:color w:val="000000"/>
          <w:szCs w:val="18"/>
          <w:lang w:val="it-IT"/>
        </w:rPr>
        <w:t>Articolo delle presenti Condizioni Supplementari intitolato “Tutela da parte della Società”;</w:t>
      </w:r>
    </w:p>
    <w:p w14:paraId="11D7ECA1" w14:textId="77777777" w:rsidR="001B413E" w:rsidRPr="003F471F" w:rsidRDefault="001B413E" w:rsidP="001B413E">
      <w:pPr>
        <w:numPr>
          <w:ilvl w:val="0"/>
          <w:numId w:val="125"/>
        </w:numPr>
        <w:spacing w:before="120"/>
        <w:ind w:left="1170" w:hanging="450"/>
        <w:contextualSpacing/>
        <w:jc w:val="both"/>
        <w:rPr>
          <w:lang w:val="it-IT"/>
        </w:rPr>
      </w:pPr>
      <w:r w:rsidRPr="003F471F">
        <w:rPr>
          <w:rFonts w:cs="Tahoma"/>
          <w:snapToGrid w:val="0"/>
          <w:color w:val="000000"/>
          <w:szCs w:val="18"/>
          <w:lang w:val="it-IT"/>
        </w:rPr>
        <w:t>alle responsabilità derivanti da qualsiasi inadempimento di una delle parti delle obbligazioni previste ai</w:t>
      </w:r>
      <w:r w:rsidR="00F14DE9" w:rsidRPr="003F471F">
        <w:rPr>
          <w:rFonts w:cs="Tahoma"/>
          <w:snapToGrid w:val="0"/>
          <w:color w:val="000000"/>
          <w:szCs w:val="18"/>
          <w:lang w:val="it-IT"/>
        </w:rPr>
        <w:t> </w:t>
      </w:r>
      <w:r w:rsidRPr="003F471F">
        <w:rPr>
          <w:rFonts w:cs="Tahoma"/>
          <w:snapToGrid w:val="0"/>
          <w:color w:val="000000"/>
          <w:szCs w:val="18"/>
          <w:lang w:val="it-IT"/>
        </w:rPr>
        <w:t>sensi dell</w:t>
      </w:r>
      <w:r w:rsidR="001C4212" w:rsidRPr="003F471F">
        <w:rPr>
          <w:rFonts w:cs="Tahoma"/>
          <w:snapToGrid w:val="0"/>
          <w:color w:val="000000"/>
          <w:szCs w:val="18"/>
          <w:lang w:val="it-IT"/>
        </w:rPr>
        <w:t>’</w:t>
      </w:r>
      <w:r w:rsidRPr="003F471F">
        <w:rPr>
          <w:rFonts w:cs="Tahoma"/>
          <w:snapToGrid w:val="0"/>
          <w:color w:val="000000"/>
          <w:szCs w:val="18"/>
          <w:lang w:val="it-IT"/>
        </w:rPr>
        <w:t>Articolo delle Condizioni dell</w:t>
      </w:r>
      <w:r w:rsidR="001C4212" w:rsidRPr="003F471F">
        <w:rPr>
          <w:rFonts w:cs="Tahoma"/>
          <w:snapToGrid w:val="0"/>
          <w:color w:val="000000"/>
          <w:szCs w:val="18"/>
          <w:lang w:val="it-IT"/>
        </w:rPr>
        <w:t>’</w:t>
      </w:r>
      <w:r w:rsidRPr="003F471F">
        <w:rPr>
          <w:rFonts w:cs="Tahoma"/>
          <w:snapToGrid w:val="0"/>
          <w:color w:val="000000"/>
          <w:szCs w:val="18"/>
          <w:lang w:val="it-IT"/>
        </w:rPr>
        <w:t>Accordo Principale intitolato “Riservatezza”, fatto salvo che la responsabilità di Microsoft derivante da o in relazione ai Dati della Società sarà in tutti i casi limitata all</w:t>
      </w:r>
      <w:r w:rsidR="001C4212" w:rsidRPr="003F471F">
        <w:rPr>
          <w:rFonts w:cs="Tahoma"/>
          <w:snapToGrid w:val="0"/>
          <w:color w:val="000000"/>
          <w:szCs w:val="18"/>
          <w:lang w:val="it-IT"/>
        </w:rPr>
        <w:t>’</w:t>
      </w:r>
      <w:r w:rsidRPr="003F471F">
        <w:rPr>
          <w:rFonts w:cs="Tahoma"/>
          <w:snapToGrid w:val="0"/>
          <w:color w:val="000000"/>
          <w:szCs w:val="18"/>
          <w:lang w:val="it-IT"/>
        </w:rPr>
        <w:t>importo pagato dalla società per i Servizi Online che hanno dato origine a tale responsabilità nei 12</w:t>
      </w:r>
      <w:r w:rsidR="00F14DE9" w:rsidRPr="003F471F">
        <w:rPr>
          <w:rFonts w:cs="Tahoma"/>
          <w:snapToGrid w:val="0"/>
          <w:color w:val="000000"/>
          <w:szCs w:val="18"/>
          <w:lang w:val="it-IT"/>
        </w:rPr>
        <w:t> </w:t>
      </w:r>
      <w:r w:rsidRPr="003F471F">
        <w:rPr>
          <w:rFonts w:cs="Tahoma"/>
          <w:snapToGrid w:val="0"/>
          <w:color w:val="000000"/>
          <w:szCs w:val="18"/>
          <w:lang w:val="it-IT"/>
        </w:rPr>
        <w:t xml:space="preserve">mesi precedenti e </w:t>
      </w:r>
    </w:p>
    <w:p w14:paraId="239D9643" w14:textId="77777777" w:rsidR="001B413E" w:rsidRPr="003F471F" w:rsidRDefault="001B413E" w:rsidP="001B413E">
      <w:pPr>
        <w:numPr>
          <w:ilvl w:val="0"/>
          <w:numId w:val="125"/>
        </w:numPr>
        <w:spacing w:before="120"/>
        <w:ind w:left="1170" w:hanging="450"/>
        <w:contextualSpacing/>
        <w:jc w:val="both"/>
        <w:rPr>
          <w:lang w:val="it-IT"/>
        </w:rPr>
      </w:pPr>
      <w:r w:rsidRPr="003F471F">
        <w:rPr>
          <w:rFonts w:cs="Tahoma"/>
          <w:snapToGrid w:val="0"/>
          <w:color w:val="000000"/>
          <w:szCs w:val="18"/>
          <w:lang w:val="it-IT"/>
        </w:rPr>
        <w:t>alla violazione a opera di una delle parti dei diritti di proprietà intellettuale dell</w:t>
      </w:r>
      <w:r w:rsidR="001C4212" w:rsidRPr="003F471F">
        <w:rPr>
          <w:rFonts w:cs="Tahoma"/>
          <w:snapToGrid w:val="0"/>
          <w:color w:val="000000"/>
          <w:szCs w:val="18"/>
          <w:lang w:val="it-IT"/>
        </w:rPr>
        <w:t>’</w:t>
      </w:r>
      <w:r w:rsidRPr="003F471F">
        <w:rPr>
          <w:rFonts w:cs="Tahoma"/>
          <w:snapToGrid w:val="0"/>
          <w:color w:val="000000"/>
          <w:szCs w:val="18"/>
          <w:lang w:val="it-IT"/>
        </w:rPr>
        <w:t>altra parte.</w:t>
      </w:r>
    </w:p>
    <w:p w14:paraId="6F9A3D89" w14:textId="77777777" w:rsidR="001B413E" w:rsidRPr="003F471F" w:rsidRDefault="001B413E" w:rsidP="001B413E">
      <w:pPr>
        <w:spacing w:before="120"/>
        <w:ind w:left="720"/>
        <w:jc w:val="both"/>
        <w:rPr>
          <w:lang w:val="it-IT"/>
        </w:rPr>
      </w:pPr>
      <w:r w:rsidRPr="003F471F">
        <w:rPr>
          <w:rFonts w:cs="Tahoma"/>
          <w:b/>
          <w:bCs/>
          <w:snapToGrid w:val="0"/>
          <w:color w:val="000000"/>
          <w:szCs w:val="18"/>
          <w:lang w:val="it-IT"/>
        </w:rPr>
        <w:t>NELLA MISURA MASSIMA CONSENTITA DALLA LEGGE APPLICABILE, INDIPENDENTEMENTE DAL FONDAMENTO GIURIDICO DEL RECLAMO, LE PARTI, LE RISPETTIVE CONSOCIATE O I RISPETTIVI COLLABORATORI NON SARANNO RESPONSABILI DI DANNI INDIRETTI, CONSEQUENZIALI, SPECIALI O INCIDENTALI NÉ DI DANNI DOVUTI A LUCRO CESSANTE, INTERRUZIONE DELL</w:t>
      </w:r>
      <w:r w:rsidR="001C4212" w:rsidRPr="003F471F">
        <w:rPr>
          <w:rFonts w:cs="Tahoma"/>
          <w:b/>
          <w:bCs/>
          <w:snapToGrid w:val="0"/>
          <w:color w:val="000000"/>
          <w:szCs w:val="18"/>
          <w:lang w:val="it-IT"/>
        </w:rPr>
        <w:t>’</w:t>
      </w:r>
      <w:r w:rsidRPr="003F471F">
        <w:rPr>
          <w:rFonts w:cs="Tahoma"/>
          <w:b/>
          <w:bCs/>
          <w:snapToGrid w:val="0"/>
          <w:color w:val="000000"/>
          <w:szCs w:val="18"/>
          <w:lang w:val="it-IT"/>
        </w:rPr>
        <w:t>ATTIVITÀ O PERDITA DI INFORMAZIONI RELATIVI AL CONTRATTO O ALLE PRESENTI CONDIZIONI SUPPLEMENTARI, ANCHE NEL CASO IN CUI I SOGGETTI DI CUI SOPRA SIANO STATI INFORMATI DELLA POSSIBILITÀ DEL VERIFICARSI DI TALI DANNI O TALE POSSIBILITÀ FOSSE RAGIONEVOLMENTE PREVEDIBILE.</w:t>
      </w:r>
      <w:r w:rsidR="00E34ED3" w:rsidRPr="003F471F">
        <w:rPr>
          <w:rFonts w:cs="Tahoma"/>
          <w:b/>
          <w:bCs/>
          <w:snapToGrid w:val="0"/>
          <w:color w:val="000000"/>
          <w:szCs w:val="18"/>
          <w:lang w:val="it-IT"/>
        </w:rPr>
        <w:t xml:space="preserve"> </w:t>
      </w:r>
      <w:r w:rsidRPr="003F471F">
        <w:rPr>
          <w:rFonts w:cs="Tahoma"/>
          <w:b/>
          <w:bCs/>
          <w:snapToGrid w:val="0"/>
          <w:color w:val="000000"/>
          <w:szCs w:val="18"/>
          <w:lang w:val="it-IT"/>
        </w:rPr>
        <w:t>TUTTAVIA, TALE ESCLUSIONE DI RESPONSABILITÀ NON SI APPLICA NEL CASO DI INADEMPIMENTO DELLE OBBLIGAZIONI DI RISERVATEZZA (FATTA ECCEZIONE PER I CASI IN CUI TALE VIOLAZIONE NON RIGUARDI I DATI DELLA SOCIETÀ) DI UNA PARTE NEI CONFRONTI DELL</w:t>
      </w:r>
      <w:r w:rsidR="001C4212" w:rsidRPr="003F471F">
        <w:rPr>
          <w:rFonts w:cs="Tahoma"/>
          <w:b/>
          <w:bCs/>
          <w:snapToGrid w:val="0"/>
          <w:color w:val="000000"/>
          <w:szCs w:val="18"/>
          <w:lang w:val="it-IT"/>
        </w:rPr>
        <w:t>’</w:t>
      </w:r>
      <w:r w:rsidRPr="003F471F">
        <w:rPr>
          <w:rFonts w:cs="Tahoma"/>
          <w:b/>
          <w:bCs/>
          <w:snapToGrid w:val="0"/>
          <w:color w:val="000000"/>
          <w:szCs w:val="18"/>
          <w:lang w:val="it-IT"/>
        </w:rPr>
        <w:t>ALTRA NÉ NEL CASO DI VIOLAZIONE DEI DIRITTI DI PROPRIETÀ INTELLETTUALE DELL</w:t>
      </w:r>
      <w:r w:rsidR="001C4212" w:rsidRPr="003F471F">
        <w:rPr>
          <w:rFonts w:cs="Tahoma"/>
          <w:b/>
          <w:bCs/>
          <w:snapToGrid w:val="0"/>
          <w:color w:val="000000"/>
          <w:szCs w:val="18"/>
          <w:lang w:val="it-IT"/>
        </w:rPr>
        <w:t>’</w:t>
      </w:r>
      <w:r w:rsidRPr="003F471F">
        <w:rPr>
          <w:rFonts w:cs="Tahoma"/>
          <w:b/>
          <w:bCs/>
          <w:snapToGrid w:val="0"/>
          <w:color w:val="000000"/>
          <w:szCs w:val="18"/>
          <w:lang w:val="it-IT"/>
        </w:rPr>
        <w:t>ALTRA PARTE, DELLE OBBLIGAZIONI DI MICROSOFT DEFINITE AI SENSI DELL</w:t>
      </w:r>
      <w:r w:rsidR="001C4212" w:rsidRPr="003F471F">
        <w:rPr>
          <w:rFonts w:cs="Tahoma"/>
          <w:b/>
          <w:bCs/>
          <w:snapToGrid w:val="0"/>
          <w:color w:val="000000"/>
          <w:szCs w:val="18"/>
          <w:lang w:val="it-IT"/>
        </w:rPr>
        <w:t>’</w:t>
      </w:r>
      <w:r w:rsidRPr="003F471F">
        <w:rPr>
          <w:rFonts w:cs="Tahoma"/>
          <w:b/>
          <w:bCs/>
          <w:snapToGrid w:val="0"/>
          <w:color w:val="000000"/>
          <w:szCs w:val="18"/>
          <w:lang w:val="it-IT"/>
        </w:rPr>
        <w:t>ARTICOLO CONTENUTO NELLE CONDIZIONI DELL</w:t>
      </w:r>
      <w:r w:rsidR="001C4212" w:rsidRPr="003F471F">
        <w:rPr>
          <w:rFonts w:cs="Tahoma"/>
          <w:b/>
          <w:bCs/>
          <w:snapToGrid w:val="0"/>
          <w:color w:val="000000"/>
          <w:szCs w:val="18"/>
          <w:lang w:val="it-IT"/>
        </w:rPr>
        <w:t>’</w:t>
      </w:r>
      <w:r w:rsidRPr="003F471F">
        <w:rPr>
          <w:rFonts w:cs="Tahoma"/>
          <w:b/>
          <w:bCs/>
          <w:snapToGrid w:val="0"/>
          <w:color w:val="000000"/>
          <w:szCs w:val="18"/>
          <w:lang w:val="it-IT"/>
        </w:rPr>
        <w:t>ACCORDO PRINCIPALE INTITOLATO “DIFESA DAI RECLAMI DI TERZI AVENTI AD OGGETTO LA VIOLAZIONE DEI DIRITTI E L</w:t>
      </w:r>
      <w:r w:rsidR="001C4212" w:rsidRPr="003F471F">
        <w:rPr>
          <w:rFonts w:cs="Tahoma"/>
          <w:b/>
          <w:bCs/>
          <w:snapToGrid w:val="0"/>
          <w:color w:val="000000"/>
          <w:szCs w:val="18"/>
          <w:lang w:val="it-IT"/>
        </w:rPr>
        <w:t>’</w:t>
      </w:r>
      <w:r w:rsidRPr="003F471F">
        <w:rPr>
          <w:rFonts w:cs="Tahoma"/>
          <w:b/>
          <w:bCs/>
          <w:snapToGrid w:val="0"/>
          <w:color w:val="000000"/>
          <w:szCs w:val="18"/>
          <w:lang w:val="it-IT"/>
        </w:rPr>
        <w:t>APPROPRIAZIONE INDEBITA” O DELLE OBBLIGAZIONI DELLA SOCIETÀ PREVISTE AI SENSI DELL</w:t>
      </w:r>
      <w:r w:rsidR="001C4212" w:rsidRPr="003F471F">
        <w:rPr>
          <w:rFonts w:cs="Tahoma"/>
          <w:b/>
          <w:bCs/>
          <w:snapToGrid w:val="0"/>
          <w:color w:val="000000"/>
          <w:szCs w:val="18"/>
          <w:lang w:val="it-IT"/>
        </w:rPr>
        <w:t>’</w:t>
      </w:r>
      <w:r w:rsidRPr="003F471F">
        <w:rPr>
          <w:rFonts w:cs="Tahoma"/>
          <w:b/>
          <w:bCs/>
          <w:snapToGrid w:val="0"/>
          <w:color w:val="000000"/>
          <w:szCs w:val="18"/>
          <w:lang w:val="it-IT"/>
        </w:rPr>
        <w:t>ARTICOLO CONTENUTO NELLE PRESENTI CONDIZIONI SUPPLEMENTARI E INTITOLATO “TUTELA DA PARTE DELLA SOCIETÀ”.</w:t>
      </w:r>
    </w:p>
    <w:p w14:paraId="0B37AFA0" w14:textId="77777777" w:rsidR="001B413E" w:rsidRPr="003F471F" w:rsidRDefault="001B413E" w:rsidP="001B413E">
      <w:pPr>
        <w:keepNext/>
        <w:spacing w:before="120" w:after="60"/>
        <w:ind w:left="720"/>
        <w:outlineLvl w:val="0"/>
        <w:rPr>
          <w:lang w:val="it-IT"/>
        </w:rPr>
      </w:pPr>
      <w:r w:rsidRPr="003F471F">
        <w:rPr>
          <w:rFonts w:cs="Tahoma"/>
          <w:b/>
          <w:bCs/>
          <w:iCs/>
          <w:snapToGrid w:val="0"/>
          <w:szCs w:val="18"/>
          <w:lang w:val="it-IT"/>
        </w:rPr>
        <w:t>Subappaltatori.</w:t>
      </w:r>
    </w:p>
    <w:p w14:paraId="72595487" w14:textId="77777777" w:rsidR="008A1637" w:rsidRPr="003F471F" w:rsidRDefault="001B413E" w:rsidP="001B413E">
      <w:pPr>
        <w:ind w:left="720" w:right="720"/>
        <w:rPr>
          <w:lang w:val="it-IT"/>
        </w:rPr>
      </w:pPr>
      <w:r w:rsidRPr="003F471F">
        <w:rPr>
          <w:rFonts w:cs="Tahoma"/>
          <w:snapToGrid w:val="0"/>
          <w:szCs w:val="18"/>
          <w:lang w:val="it-IT"/>
        </w:rPr>
        <w:t>Microsoft potrà ricorrere all</w:t>
      </w:r>
      <w:r w:rsidR="001C4212" w:rsidRPr="003F471F">
        <w:rPr>
          <w:rFonts w:cs="Tahoma"/>
          <w:snapToGrid w:val="0"/>
          <w:szCs w:val="18"/>
          <w:lang w:val="it-IT"/>
        </w:rPr>
        <w:t>’</w:t>
      </w:r>
      <w:r w:rsidRPr="003F471F">
        <w:rPr>
          <w:rFonts w:cs="Tahoma"/>
          <w:snapToGrid w:val="0"/>
          <w:szCs w:val="18"/>
          <w:lang w:val="it-IT"/>
        </w:rPr>
        <w:t>attività prestata da Collaboratori per supportare i Servizi Online.</w:t>
      </w:r>
      <w:r w:rsidR="00E34ED3" w:rsidRPr="003F471F">
        <w:rPr>
          <w:rFonts w:cs="Tahoma"/>
          <w:snapToGrid w:val="0"/>
          <w:szCs w:val="18"/>
          <w:lang w:val="it-IT"/>
        </w:rPr>
        <w:t xml:space="preserve"> </w:t>
      </w:r>
      <w:r w:rsidRPr="003F471F">
        <w:rPr>
          <w:rFonts w:cs="Tahoma"/>
          <w:snapToGrid w:val="0"/>
          <w:szCs w:val="18"/>
          <w:lang w:val="it-IT"/>
        </w:rPr>
        <w:t>Microsoft sarà responsabile delle loro prestazioni secondo quanto previsto dalle condizioni del Contratto Multilicenza della Società.</w:t>
      </w:r>
    </w:p>
    <w:p w14:paraId="680CC337" w14:textId="77777777" w:rsidR="00023FE7" w:rsidRPr="003F471F" w:rsidRDefault="008A1637" w:rsidP="00F14DE9">
      <w:pPr>
        <w:pStyle w:val="Heading1"/>
        <w:spacing w:before="0"/>
        <w:rPr>
          <w:lang w:val="it-IT"/>
        </w:rPr>
      </w:pPr>
      <w:r w:rsidRPr="003F471F">
        <w:rPr>
          <w:lang w:val="it-IT"/>
        </w:rPr>
        <w:br w:type="page"/>
      </w:r>
      <w:bookmarkStart w:id="935" w:name="_Toc336338255"/>
      <w:bookmarkStart w:id="936" w:name="_Toc371663650"/>
      <w:r w:rsidRPr="003F471F">
        <w:rPr>
          <w:lang w:val="it-IT"/>
        </w:rPr>
        <w:t>NOTE del Prodotto</w:t>
      </w:r>
      <w:bookmarkEnd w:id="935"/>
      <w:bookmarkEnd w:id="936"/>
    </w:p>
    <w:p w14:paraId="4CA9FEB4" w14:textId="77777777" w:rsidR="00023FE7" w:rsidRPr="003F471F" w:rsidRDefault="00023FE7">
      <w:pPr>
        <w:pStyle w:val="Heading2"/>
        <w:ind w:hanging="540"/>
        <w:rPr>
          <w:rFonts w:ascii="Tahoma" w:hAnsi="Tahoma" w:cs="Tahoma"/>
          <w:sz w:val="28"/>
          <w:szCs w:val="28"/>
          <w:lang w:val="it-IT"/>
        </w:rPr>
      </w:pPr>
    </w:p>
    <w:p w14:paraId="309D248C" w14:textId="77777777" w:rsidR="00023FE7" w:rsidRPr="003F471F" w:rsidRDefault="00023FE7">
      <w:pPr>
        <w:pStyle w:val="Heading2"/>
        <w:ind w:left="0"/>
        <w:rPr>
          <w:lang w:val="it-IT"/>
        </w:rPr>
      </w:pPr>
      <w:bookmarkStart w:id="937" w:name="_Toc336338256"/>
      <w:bookmarkStart w:id="938" w:name="_Toc371663651"/>
      <w:r w:rsidRPr="003F471F">
        <w:rPr>
          <w:rFonts w:ascii="Tahoma" w:hAnsi="Tahoma" w:cs="Tahoma"/>
          <w:sz w:val="28"/>
          <w:lang w:val="it-IT"/>
        </w:rPr>
        <w:t>Pool di Applicazioni</w:t>
      </w:r>
      <w:bookmarkEnd w:id="937"/>
      <w:bookmarkEnd w:id="938"/>
    </w:p>
    <w:p w14:paraId="178FCA94" w14:textId="77777777" w:rsidR="00023FE7" w:rsidRPr="003F471F" w:rsidRDefault="00023FE7" w:rsidP="00D94745">
      <w:pPr>
        <w:rPr>
          <w:lang w:val="it-IT"/>
        </w:rPr>
      </w:pPr>
      <w:bookmarkStart w:id="939" w:name="_1_Data_Analyzer"/>
      <w:bookmarkStart w:id="940" w:name="Aps_1BingMapsDesktopandContentPack"/>
      <w:bookmarkEnd w:id="939"/>
    </w:p>
    <w:p w14:paraId="025B60B1" w14:textId="77777777" w:rsidR="004A2FC2" w:rsidRPr="003F471F" w:rsidRDefault="004A2FC2" w:rsidP="004A2FC2">
      <w:pPr>
        <w:rPr>
          <w:lang w:val="it-IT"/>
        </w:rPr>
      </w:pPr>
      <w:bookmarkStart w:id="941" w:name="Aps_ExpStudioproducts"/>
      <w:bookmarkStart w:id="942" w:name="Aps_ExpStudio2"/>
      <w:bookmarkStart w:id="943" w:name="Aps_1ExpStudio3"/>
      <w:bookmarkEnd w:id="940"/>
    </w:p>
    <w:p w14:paraId="06992060" w14:textId="77777777" w:rsidR="00176313" w:rsidRPr="003F471F" w:rsidRDefault="00B54C21" w:rsidP="004A2FC2">
      <w:pPr>
        <w:pStyle w:val="Heading3"/>
        <w:ind w:left="180" w:hanging="180"/>
        <w:rPr>
          <w:lang w:val="it-IT"/>
        </w:rPr>
      </w:pPr>
      <w:bookmarkStart w:id="944" w:name="_12_Expression_Encoder"/>
      <w:bookmarkStart w:id="945" w:name="_1_Expression_Encoder"/>
      <w:bookmarkStart w:id="946" w:name="_Toc336338258"/>
      <w:bookmarkStart w:id="947" w:name="_Toc371663652"/>
      <w:bookmarkEnd w:id="944"/>
      <w:bookmarkEnd w:id="945"/>
      <w:r w:rsidRPr="003F471F">
        <w:rPr>
          <w:rFonts w:ascii="Tahoma" w:hAnsi="Tahoma"/>
          <w:caps/>
          <w:color w:val="F66400"/>
          <w:sz w:val="22"/>
          <w:vertAlign w:val="superscript"/>
          <w:lang w:val="it-IT"/>
        </w:rPr>
        <w:t>1</w:t>
      </w:r>
      <w:r w:rsidRPr="003F471F">
        <w:rPr>
          <w:rFonts w:ascii="Tahoma" w:hAnsi="Tahoma"/>
          <w:color w:val="F66400"/>
          <w:sz w:val="22"/>
          <w:lang w:val="it-IT"/>
        </w:rPr>
        <w:t xml:space="preserve"> Expression Encoder Pro 4</w:t>
      </w:r>
      <w:bookmarkEnd w:id="941"/>
      <w:bookmarkEnd w:id="946"/>
      <w:bookmarkEnd w:id="947"/>
    </w:p>
    <w:p w14:paraId="3B7BAD96" w14:textId="77777777" w:rsidR="00176313" w:rsidRPr="003F471F" w:rsidRDefault="00176313" w:rsidP="004A2FC2">
      <w:pPr>
        <w:rPr>
          <w:lang w:val="it-IT"/>
        </w:rPr>
      </w:pPr>
    </w:p>
    <w:p w14:paraId="12BF327F" w14:textId="77777777" w:rsidR="00176313" w:rsidRPr="003F471F" w:rsidRDefault="00176313" w:rsidP="00864B8A">
      <w:pPr>
        <w:spacing w:after="60"/>
        <w:ind w:left="720"/>
        <w:rPr>
          <w:lang w:val="it-IT"/>
        </w:rPr>
      </w:pPr>
      <w:r w:rsidRPr="003F471F">
        <w:rPr>
          <w:rFonts w:cs="Tahoma"/>
          <w:b/>
          <w:szCs w:val="20"/>
          <w:lang w:val="it-IT"/>
        </w:rPr>
        <w:t>Expression Encoder Pro 4</w:t>
      </w:r>
    </w:p>
    <w:p w14:paraId="4C00E29D" w14:textId="77777777" w:rsidR="00176313" w:rsidRPr="003F471F" w:rsidRDefault="00176313" w:rsidP="00D87E94">
      <w:pPr>
        <w:ind w:left="720"/>
        <w:rPr>
          <w:lang w:val="it-IT"/>
        </w:rPr>
      </w:pPr>
      <w:r w:rsidRPr="003F471F">
        <w:rPr>
          <w:rFonts w:cs="Tahoma"/>
          <w:color w:val="000000"/>
          <w:szCs w:val="18"/>
          <w:lang w:val="it-IT"/>
        </w:rPr>
        <w:t>È stato applicato un nuovo marchio alla linea di prodotti Expression.</w:t>
      </w:r>
      <w:r w:rsidR="00E34ED3" w:rsidRPr="003F471F">
        <w:rPr>
          <w:rFonts w:cs="Tahoma"/>
          <w:color w:val="000000"/>
          <w:szCs w:val="18"/>
          <w:lang w:val="it-IT"/>
        </w:rPr>
        <w:t xml:space="preserve"> </w:t>
      </w:r>
      <w:r w:rsidRPr="003F471F">
        <w:rPr>
          <w:rFonts w:cs="Tahoma"/>
          <w:color w:val="000000"/>
          <w:szCs w:val="18"/>
          <w:lang w:val="it-IT"/>
        </w:rPr>
        <w:t>È stato modificato solo il marchio del prodotto. La versione 3 e la versione 4 del software sono uguali.</w:t>
      </w:r>
      <w:r w:rsidR="00E34ED3" w:rsidRPr="003F471F">
        <w:rPr>
          <w:rFonts w:cs="Tahoma"/>
          <w:color w:val="000000"/>
          <w:szCs w:val="18"/>
          <w:lang w:val="it-IT"/>
        </w:rPr>
        <w:t xml:space="preserve"> </w:t>
      </w:r>
      <w:r w:rsidRPr="003F471F">
        <w:rPr>
          <w:rFonts w:cs="Tahoma"/>
          <w:color w:val="000000"/>
          <w:szCs w:val="18"/>
          <w:lang w:val="it-IT"/>
        </w:rPr>
        <w:t>Di conseguenza, le società che dispongono della licenza per i prodotti con versione 3 saranno considerate titolari della licenza per i prodotti con versione 4 corrispondenti (come illustrato di seguito) e potranno utilizzare il software con il marchio associato alla versione 4 al posto del software con il marchio associato alla versione 3. Il diritto di utilizzo del software continuerà a essere disciplinato dalle condizioni del Contratto Multilicenza della società e dai diritti di utilizzo del prodotto per il software integrati dalla presente nota relativa alle condizioni del prodotto.</w:t>
      </w:r>
      <w:r w:rsidR="00E34ED3" w:rsidRPr="003F471F">
        <w:rPr>
          <w:rFonts w:cs="Tahoma"/>
          <w:color w:val="000000"/>
          <w:szCs w:val="18"/>
          <w:lang w:val="it-IT"/>
        </w:rPr>
        <w:t xml:space="preserve"> </w:t>
      </w:r>
      <w:r w:rsidRPr="003F471F">
        <w:rPr>
          <w:rFonts w:cs="Tahoma"/>
          <w:color w:val="000000"/>
          <w:szCs w:val="18"/>
          <w:lang w:val="it-IT"/>
        </w:rPr>
        <w:t>La</w:t>
      </w:r>
      <w:r w:rsidR="00D87E94" w:rsidRPr="003F471F">
        <w:rPr>
          <w:rFonts w:cs="Tahoma"/>
          <w:color w:val="000000"/>
          <w:szCs w:val="18"/>
          <w:lang w:val="it-IT"/>
        </w:rPr>
        <w:t> </w:t>
      </w:r>
      <w:r w:rsidRPr="003F471F">
        <w:rPr>
          <w:rFonts w:cs="Tahoma"/>
          <w:color w:val="000000"/>
          <w:szCs w:val="18"/>
          <w:lang w:val="it-IT"/>
        </w:rPr>
        <w:t>modifica del marchio non estende la garanzia né le obbligazioni correlate al supporto tecnico di Microsoft in relazione alla copertura Software Assurance per il prodotto.</w:t>
      </w:r>
    </w:p>
    <w:p w14:paraId="59028EE1" w14:textId="77777777" w:rsidR="00973A93" w:rsidRPr="003F471F" w:rsidRDefault="00973A93">
      <w:pPr>
        <w:rPr>
          <w:lang w:val="it-IT"/>
        </w:rPr>
      </w:pPr>
    </w:p>
    <w:p w14:paraId="52303284" w14:textId="77777777" w:rsidR="004A2FC2" w:rsidRPr="003F471F" w:rsidRDefault="004A2FC2" w:rsidP="004A2FC2">
      <w:pPr>
        <w:rPr>
          <w:lang w:val="it-IT"/>
        </w:rPr>
      </w:pPr>
      <w:bookmarkStart w:id="948" w:name="_Toc254806117"/>
      <w:bookmarkStart w:id="949" w:name="Aps_MSDNOPSystems"/>
      <w:bookmarkStart w:id="950" w:name="Aps_3MSDNOPSystems"/>
      <w:bookmarkStart w:id="951" w:name="Aps_5OffCommunicator07"/>
      <w:bookmarkEnd w:id="942"/>
      <w:bookmarkEnd w:id="943"/>
    </w:p>
    <w:p w14:paraId="1E0ED78F" w14:textId="77777777" w:rsidR="00E316C2" w:rsidRPr="003F471F" w:rsidRDefault="00B54C21" w:rsidP="00E316C2">
      <w:pPr>
        <w:pStyle w:val="Heading3"/>
        <w:rPr>
          <w:lang w:val="it-IT"/>
        </w:rPr>
      </w:pPr>
      <w:bookmarkStart w:id="952" w:name="_23_Lync_for"/>
      <w:bookmarkStart w:id="953" w:name="_2_Lync_for"/>
      <w:bookmarkStart w:id="954" w:name="_Toc336338259"/>
      <w:bookmarkStart w:id="955" w:name="_Toc371663653"/>
      <w:bookmarkStart w:id="956" w:name="Aps_3Lync2010"/>
      <w:bookmarkEnd w:id="952"/>
      <w:bookmarkEnd w:id="953"/>
      <w:r w:rsidRPr="003F471F">
        <w:rPr>
          <w:rFonts w:ascii="Tahoma" w:hAnsi="Tahoma"/>
          <w:caps/>
          <w:color w:val="F66400"/>
          <w:sz w:val="22"/>
          <w:vertAlign w:val="superscript"/>
          <w:lang w:val="it-IT"/>
        </w:rPr>
        <w:t>2</w:t>
      </w:r>
      <w:r w:rsidRPr="003F471F">
        <w:rPr>
          <w:rFonts w:ascii="Tahoma" w:hAnsi="Tahoma"/>
          <w:color w:val="F66400"/>
          <w:sz w:val="22"/>
          <w:lang w:val="it-IT"/>
        </w:rPr>
        <w:t xml:space="preserve"> </w:t>
      </w:r>
      <w:bookmarkStart w:id="957" w:name="Aps_4LyncforMac2011"/>
      <w:r w:rsidRPr="003F471F">
        <w:rPr>
          <w:rFonts w:ascii="Tahoma" w:hAnsi="Tahoma"/>
          <w:color w:val="F66400"/>
          <w:sz w:val="22"/>
          <w:lang w:val="it-IT"/>
        </w:rPr>
        <w:t xml:space="preserve">Lync </w:t>
      </w:r>
      <w:bookmarkEnd w:id="954"/>
      <w:r w:rsidRPr="003F471F">
        <w:rPr>
          <w:rFonts w:ascii="Tahoma" w:hAnsi="Tahoma"/>
          <w:color w:val="F66400"/>
          <w:sz w:val="22"/>
          <w:lang w:val="it-IT"/>
        </w:rPr>
        <w:t>per Mac 2011</w:t>
      </w:r>
      <w:bookmarkEnd w:id="955"/>
      <w:bookmarkEnd w:id="957"/>
    </w:p>
    <w:p w14:paraId="3A70481D" w14:textId="77777777" w:rsidR="00AE5A9F" w:rsidRPr="003F471F" w:rsidRDefault="00AE5A9F" w:rsidP="00AE5A9F">
      <w:pPr>
        <w:rPr>
          <w:lang w:val="it-IT"/>
        </w:rPr>
      </w:pPr>
    </w:p>
    <w:bookmarkEnd w:id="956"/>
    <w:p w14:paraId="008B5F19" w14:textId="77777777" w:rsidR="004A2FC2" w:rsidRPr="003F471F" w:rsidRDefault="00E316C2" w:rsidP="00864B8A">
      <w:pPr>
        <w:spacing w:after="60"/>
        <w:ind w:left="720"/>
        <w:rPr>
          <w:lang w:val="it-IT"/>
        </w:rPr>
      </w:pPr>
      <w:r w:rsidRPr="003F471F">
        <w:rPr>
          <w:rFonts w:cs="Tahoma"/>
          <w:b/>
          <w:szCs w:val="20"/>
          <w:lang w:val="it-IT"/>
        </w:rPr>
        <w:t xml:space="preserve">Percorso di Migrazione a Software Assurance per Communicator per Mac 2011 </w:t>
      </w:r>
    </w:p>
    <w:p w14:paraId="7DCBFE65" w14:textId="77777777" w:rsidR="00B9674D" w:rsidRPr="003F471F" w:rsidRDefault="00E316C2" w:rsidP="004A2FC2">
      <w:pPr>
        <w:adjustRightInd w:val="0"/>
        <w:ind w:left="720"/>
        <w:textAlignment w:val="baseline"/>
        <w:rPr>
          <w:lang w:val="it-IT"/>
        </w:rPr>
      </w:pPr>
      <w:r w:rsidRPr="003F471F">
        <w:rPr>
          <w:rFonts w:cs="Tahoma"/>
          <w:lang w:val="it-IT"/>
        </w:rPr>
        <w:t>La versione sostitutiva di Communicator per Mac 2011 è Lync per Mac 2011.</w:t>
      </w:r>
    </w:p>
    <w:p w14:paraId="15EB715D" w14:textId="77777777" w:rsidR="004A2FC2" w:rsidRPr="003F471F" w:rsidRDefault="004A2FC2" w:rsidP="004A2FC2">
      <w:pPr>
        <w:adjustRightInd w:val="0"/>
        <w:textAlignment w:val="baseline"/>
        <w:rPr>
          <w:lang w:val="it-IT"/>
        </w:rPr>
      </w:pPr>
    </w:p>
    <w:p w14:paraId="0468C7CB" w14:textId="77777777" w:rsidR="004A2FC2" w:rsidRPr="003F471F" w:rsidRDefault="004A2FC2" w:rsidP="004A2FC2">
      <w:pPr>
        <w:adjustRightInd w:val="0"/>
        <w:textAlignment w:val="baseline"/>
        <w:rPr>
          <w:lang w:val="it-IT"/>
        </w:rPr>
      </w:pPr>
    </w:p>
    <w:p w14:paraId="42C56367" w14:textId="77777777" w:rsidR="00DC2291" w:rsidRPr="003F471F" w:rsidRDefault="00B54C21" w:rsidP="00DC2291">
      <w:pPr>
        <w:pStyle w:val="Heading3"/>
        <w:rPr>
          <w:lang w:val="it-IT"/>
        </w:rPr>
      </w:pPr>
      <w:bookmarkStart w:id="958" w:name="_34_MSDN_Operating"/>
      <w:bookmarkStart w:id="959" w:name="_3_MSDN_Operating"/>
      <w:bookmarkStart w:id="960" w:name="_Toc336338261"/>
      <w:bookmarkStart w:id="961" w:name="_Toc371663654"/>
      <w:bookmarkEnd w:id="958"/>
      <w:bookmarkEnd w:id="959"/>
      <w:r w:rsidRPr="003F471F">
        <w:rPr>
          <w:rFonts w:ascii="Tahoma" w:hAnsi="Tahoma"/>
          <w:caps/>
          <w:color w:val="F66400"/>
          <w:sz w:val="22"/>
          <w:vertAlign w:val="superscript"/>
          <w:lang w:val="it-IT"/>
        </w:rPr>
        <w:t>3</w:t>
      </w:r>
      <w:r w:rsidRPr="003F471F">
        <w:rPr>
          <w:rFonts w:ascii="Tahoma" w:hAnsi="Tahoma"/>
          <w:color w:val="F66400"/>
          <w:sz w:val="22"/>
          <w:lang w:val="it-IT"/>
        </w:rPr>
        <w:t xml:space="preserve"> Sistemi Operativi MSDN</w:t>
      </w:r>
      <w:bookmarkEnd w:id="948"/>
      <w:bookmarkEnd w:id="960"/>
      <w:bookmarkEnd w:id="961"/>
    </w:p>
    <w:bookmarkEnd w:id="949"/>
    <w:bookmarkEnd w:id="950"/>
    <w:p w14:paraId="29834A26" w14:textId="77777777" w:rsidR="00D16EA8" w:rsidRPr="003F471F" w:rsidRDefault="00D16EA8" w:rsidP="00D16EA8">
      <w:pPr>
        <w:pStyle w:val="FootnoteBulletLevel1"/>
        <w:tabs>
          <w:tab w:val="clear" w:pos="900"/>
        </w:tabs>
        <w:spacing w:before="0" w:after="0"/>
        <w:ind w:left="720" w:firstLine="0"/>
        <w:rPr>
          <w:lang w:val="it-IT"/>
        </w:rPr>
      </w:pPr>
    </w:p>
    <w:p w14:paraId="2CC06494" w14:textId="77777777" w:rsidR="00D16EA8" w:rsidRPr="003F471F" w:rsidRDefault="00DC2291" w:rsidP="00864B8A">
      <w:pPr>
        <w:spacing w:after="60"/>
        <w:ind w:left="720"/>
        <w:rPr>
          <w:lang w:val="it-IT"/>
        </w:rPr>
      </w:pPr>
      <w:r w:rsidRPr="003F471F">
        <w:rPr>
          <w:rFonts w:cs="Tahoma"/>
          <w:b/>
          <w:szCs w:val="20"/>
          <w:lang w:val="it-IT"/>
        </w:rPr>
        <w:t>Requisiti di Idoneità per Software Assurance</w:t>
      </w:r>
    </w:p>
    <w:p w14:paraId="6BDF5442" w14:textId="77777777" w:rsidR="008368B4" w:rsidRPr="003F471F" w:rsidRDefault="00DC2291" w:rsidP="008368B4">
      <w:pPr>
        <w:pStyle w:val="EndnoteText"/>
        <w:tabs>
          <w:tab w:val="num" w:pos="1080"/>
        </w:tabs>
        <w:ind w:left="720"/>
        <w:rPr>
          <w:lang w:val="it-IT"/>
        </w:rPr>
      </w:pPr>
      <w:r w:rsidRPr="003F471F">
        <w:rPr>
          <w:rFonts w:ascii="Tahoma" w:hAnsi="Tahoma" w:cs="Tahoma"/>
          <w:sz w:val="18"/>
          <w:lang w:val="it-IT"/>
        </w:rPr>
        <w:t>Le società con copertura Software Assurance in scadenza sulle licenze relative ai seguenti prodotti soddisfano i requisiti di idoneità per il rinnovo della copertura Software Assurance per i Sistemi Operativi MSDN. Quando viene effettuato il rinnovo a un livello di abbonamento MSDN diverso, le nuove condizioni per l</w:t>
      </w:r>
      <w:r w:rsidR="001C4212" w:rsidRPr="003F471F">
        <w:rPr>
          <w:rFonts w:ascii="Tahoma" w:hAnsi="Tahoma" w:cs="Tahoma"/>
          <w:sz w:val="18"/>
          <w:lang w:val="it-IT"/>
        </w:rPr>
        <w:t>’</w:t>
      </w:r>
      <w:r w:rsidRPr="003F471F">
        <w:rPr>
          <w:rFonts w:ascii="Tahoma" w:hAnsi="Tahoma" w:cs="Tahoma"/>
          <w:sz w:val="18"/>
          <w:lang w:val="it-IT"/>
        </w:rPr>
        <w:t>utilizzo sostituiscono quelle precedenti e qualsiasi prodotto software non incluso nel nuovo abbonamento MSDN dovrà essere rimosso.</w:t>
      </w:r>
    </w:p>
    <w:p w14:paraId="71B067A7" w14:textId="77777777" w:rsidR="00DC2291" w:rsidRPr="003F471F" w:rsidRDefault="00DC2291" w:rsidP="00D16EA8">
      <w:pPr>
        <w:pStyle w:val="EndnoteText"/>
        <w:tabs>
          <w:tab w:val="num" w:pos="1080"/>
        </w:tabs>
        <w:ind w:left="720"/>
        <w:rPr>
          <w:lang w:val="it-IT"/>
        </w:rPr>
      </w:pPr>
    </w:p>
    <w:p w14:paraId="17855F4A" w14:textId="77777777" w:rsidR="00DC2291" w:rsidRPr="0058047D" w:rsidRDefault="00DC2291" w:rsidP="00D16EA8">
      <w:pPr>
        <w:pStyle w:val="FootnoteBulletLevel2"/>
        <w:numPr>
          <w:ilvl w:val="0"/>
          <w:numId w:val="4"/>
        </w:numPr>
        <w:spacing w:before="0" w:after="60"/>
        <w:ind w:left="1440"/>
      </w:pPr>
      <w:r w:rsidRPr="0058047D">
        <w:rPr>
          <w:rFonts w:ascii="Tahoma" w:hAnsi="Tahoma" w:cs="Tahoma"/>
          <w:sz w:val="18"/>
        </w:rPr>
        <w:t>Visual Studio Ultimate con MSDN</w:t>
      </w:r>
    </w:p>
    <w:p w14:paraId="72A569D4" w14:textId="77777777" w:rsidR="00DC2291" w:rsidRPr="0058047D" w:rsidRDefault="00DC2291" w:rsidP="00D16EA8">
      <w:pPr>
        <w:pStyle w:val="FootnoteBulletLevel2"/>
        <w:numPr>
          <w:ilvl w:val="0"/>
          <w:numId w:val="4"/>
        </w:numPr>
        <w:spacing w:before="0" w:after="60"/>
        <w:ind w:left="1440"/>
      </w:pPr>
      <w:r w:rsidRPr="0058047D">
        <w:rPr>
          <w:rFonts w:ascii="Tahoma" w:hAnsi="Tahoma" w:cs="Tahoma"/>
          <w:sz w:val="18"/>
        </w:rPr>
        <w:t>Visual Studio Premium con MSDN</w:t>
      </w:r>
    </w:p>
    <w:p w14:paraId="4ED9E2F3" w14:textId="77777777" w:rsidR="00DC2291" w:rsidRPr="0058047D" w:rsidRDefault="00DC2291" w:rsidP="00D16EA8">
      <w:pPr>
        <w:pStyle w:val="FootnoteBulletLevel2"/>
        <w:numPr>
          <w:ilvl w:val="0"/>
          <w:numId w:val="4"/>
        </w:numPr>
        <w:spacing w:before="0" w:after="60"/>
        <w:ind w:left="1440"/>
      </w:pPr>
      <w:r w:rsidRPr="0058047D">
        <w:rPr>
          <w:rFonts w:ascii="Tahoma" w:hAnsi="Tahoma" w:cs="Tahoma"/>
          <w:sz w:val="18"/>
        </w:rPr>
        <w:t>Visual Studio Professional con MSDN</w:t>
      </w:r>
    </w:p>
    <w:p w14:paraId="17E464B6" w14:textId="77777777" w:rsidR="00DC2291" w:rsidRPr="0058047D" w:rsidRDefault="00DC2291" w:rsidP="00D16EA8">
      <w:pPr>
        <w:pStyle w:val="FootnoteBulletLevel2"/>
        <w:numPr>
          <w:ilvl w:val="0"/>
          <w:numId w:val="4"/>
        </w:numPr>
        <w:spacing w:before="0" w:after="60"/>
        <w:ind w:left="1440"/>
      </w:pPr>
      <w:r w:rsidRPr="0058047D">
        <w:rPr>
          <w:rFonts w:ascii="Tahoma" w:hAnsi="Tahoma" w:cs="Tahoma"/>
          <w:sz w:val="18"/>
        </w:rPr>
        <w:t>Visual Studio Professional con MSDN Embedded</w:t>
      </w:r>
    </w:p>
    <w:p w14:paraId="2FF86B31" w14:textId="77777777" w:rsidR="00DC2291" w:rsidRPr="0058047D" w:rsidRDefault="00DC2291" w:rsidP="00D16EA8">
      <w:pPr>
        <w:pStyle w:val="FootnoteBulletLevel2"/>
        <w:numPr>
          <w:ilvl w:val="0"/>
          <w:numId w:val="4"/>
        </w:numPr>
        <w:spacing w:before="0" w:after="60"/>
        <w:ind w:left="1440"/>
      </w:pPr>
      <w:r w:rsidRPr="0058047D">
        <w:rPr>
          <w:rFonts w:ascii="Tahoma" w:hAnsi="Tahoma" w:cs="Tahoma"/>
          <w:sz w:val="18"/>
        </w:rPr>
        <w:t>Visual Studio Test Professional con MSDN</w:t>
      </w:r>
    </w:p>
    <w:p w14:paraId="6834FECE" w14:textId="77777777" w:rsidR="00DC2291" w:rsidRPr="003F471F" w:rsidRDefault="00DC2291" w:rsidP="00D16EA8">
      <w:pPr>
        <w:pStyle w:val="FootnoteBulletLevel2"/>
        <w:numPr>
          <w:ilvl w:val="0"/>
          <w:numId w:val="4"/>
        </w:numPr>
        <w:spacing w:before="0" w:after="60"/>
        <w:ind w:left="1440"/>
        <w:rPr>
          <w:lang w:val="it-IT"/>
        </w:rPr>
      </w:pPr>
      <w:r w:rsidRPr="003F471F">
        <w:rPr>
          <w:rFonts w:ascii="Tahoma" w:hAnsi="Tahoma" w:cs="Tahoma"/>
          <w:sz w:val="18"/>
          <w:lang w:val="it-IT"/>
        </w:rPr>
        <w:t>Visual Studio Professional con MSDN Professional</w:t>
      </w:r>
    </w:p>
    <w:p w14:paraId="54201407" w14:textId="77777777" w:rsidR="00DC2291" w:rsidRPr="003F471F" w:rsidRDefault="00DC2291" w:rsidP="00D16EA8">
      <w:pPr>
        <w:pStyle w:val="FootnoteBulletLevel2"/>
        <w:numPr>
          <w:ilvl w:val="0"/>
          <w:numId w:val="4"/>
        </w:numPr>
        <w:spacing w:before="0" w:after="60"/>
        <w:ind w:left="1440"/>
        <w:rPr>
          <w:lang w:val="it-IT"/>
        </w:rPr>
      </w:pPr>
      <w:r w:rsidRPr="003F471F">
        <w:rPr>
          <w:rFonts w:ascii="Tahoma" w:hAnsi="Tahoma" w:cs="Tahoma"/>
          <w:sz w:val="18"/>
          <w:lang w:val="it-IT"/>
        </w:rPr>
        <w:t>Visual Studio Professional con MSDN Premium</w:t>
      </w:r>
    </w:p>
    <w:p w14:paraId="6DAD3FA9" w14:textId="77777777" w:rsidR="00DC2291" w:rsidRPr="0058047D" w:rsidRDefault="00DC2291" w:rsidP="00D16EA8">
      <w:pPr>
        <w:pStyle w:val="FootnoteBulletLevel2"/>
        <w:numPr>
          <w:ilvl w:val="0"/>
          <w:numId w:val="4"/>
        </w:numPr>
        <w:spacing w:before="0" w:after="60"/>
        <w:ind w:left="1440"/>
      </w:pPr>
      <w:r w:rsidRPr="0058047D">
        <w:rPr>
          <w:rFonts w:ascii="Tahoma" w:hAnsi="Tahoma" w:cs="Tahoma"/>
          <w:sz w:val="18"/>
        </w:rPr>
        <w:t>Visual Studio Team System Team Suite con MSDN Premium</w:t>
      </w:r>
    </w:p>
    <w:p w14:paraId="2A701E8C" w14:textId="77777777" w:rsidR="00DC2291" w:rsidRPr="0058047D" w:rsidRDefault="00DC2291" w:rsidP="00D16EA8">
      <w:pPr>
        <w:pStyle w:val="FootnoteBulletLevel2"/>
        <w:numPr>
          <w:ilvl w:val="0"/>
          <w:numId w:val="4"/>
        </w:numPr>
        <w:spacing w:before="0" w:after="60"/>
        <w:ind w:left="1440"/>
      </w:pPr>
      <w:r w:rsidRPr="0058047D">
        <w:rPr>
          <w:rFonts w:ascii="Tahoma" w:hAnsi="Tahoma" w:cs="Tahoma"/>
          <w:sz w:val="18"/>
        </w:rPr>
        <w:t>Visual Studio Team System Test Edition con MSDN Premium</w:t>
      </w:r>
    </w:p>
    <w:p w14:paraId="2A50A6EB" w14:textId="77777777" w:rsidR="00DC2291" w:rsidRPr="0058047D" w:rsidRDefault="00DC2291" w:rsidP="00D16EA8">
      <w:pPr>
        <w:pStyle w:val="FootnoteBulletLevel2"/>
        <w:numPr>
          <w:ilvl w:val="0"/>
          <w:numId w:val="4"/>
        </w:numPr>
        <w:spacing w:before="0" w:after="60"/>
        <w:ind w:left="1440"/>
      </w:pPr>
      <w:r w:rsidRPr="0058047D">
        <w:rPr>
          <w:rFonts w:ascii="Tahoma" w:hAnsi="Tahoma" w:cs="Tahoma"/>
          <w:sz w:val="18"/>
        </w:rPr>
        <w:t>Visual Studio Team System Development Edition con MSDN Premium</w:t>
      </w:r>
    </w:p>
    <w:p w14:paraId="732058D7" w14:textId="77777777" w:rsidR="00DC2291" w:rsidRPr="0058047D" w:rsidRDefault="00DC2291" w:rsidP="00D16EA8">
      <w:pPr>
        <w:pStyle w:val="FootnoteBulletLevel2"/>
        <w:numPr>
          <w:ilvl w:val="0"/>
          <w:numId w:val="4"/>
        </w:numPr>
        <w:spacing w:before="0" w:after="60"/>
        <w:ind w:left="1440"/>
      </w:pPr>
      <w:r w:rsidRPr="0058047D">
        <w:rPr>
          <w:rFonts w:ascii="Tahoma" w:hAnsi="Tahoma" w:cs="Tahoma"/>
          <w:sz w:val="18"/>
        </w:rPr>
        <w:t xml:space="preserve">Visual Studio Team System Architecture Edition con MSDN Premium </w:t>
      </w:r>
    </w:p>
    <w:p w14:paraId="3AFD1748" w14:textId="77777777" w:rsidR="00DC2291" w:rsidRPr="0058047D" w:rsidRDefault="00DC2291" w:rsidP="00D16EA8">
      <w:pPr>
        <w:pStyle w:val="FootnoteBulletLevel2"/>
        <w:numPr>
          <w:ilvl w:val="0"/>
          <w:numId w:val="4"/>
        </w:numPr>
        <w:spacing w:before="0" w:after="60"/>
        <w:ind w:left="1440"/>
      </w:pPr>
      <w:r w:rsidRPr="0058047D">
        <w:rPr>
          <w:rFonts w:ascii="Tahoma" w:hAnsi="Tahoma" w:cs="Tahoma"/>
          <w:sz w:val="18"/>
        </w:rPr>
        <w:t>Visual Studio Team System Database Edition con MSDN Premium</w:t>
      </w:r>
    </w:p>
    <w:p w14:paraId="1A7303A5" w14:textId="77777777" w:rsidR="00DC2291" w:rsidRPr="0058047D" w:rsidRDefault="00DC2291" w:rsidP="00D16EA8">
      <w:pPr>
        <w:pStyle w:val="FootnoteBulletLevel2"/>
        <w:numPr>
          <w:ilvl w:val="0"/>
          <w:numId w:val="4"/>
        </w:numPr>
        <w:spacing w:before="0" w:after="60"/>
        <w:ind w:left="1440"/>
      </w:pPr>
      <w:r w:rsidRPr="0058047D">
        <w:rPr>
          <w:rFonts w:ascii="Tahoma" w:hAnsi="Tahoma" w:cs="Tahoma"/>
          <w:sz w:val="18"/>
        </w:rPr>
        <w:t>Sistemi Operativi MSDN</w:t>
      </w:r>
    </w:p>
    <w:p w14:paraId="495F864A" w14:textId="77777777" w:rsidR="00DC2291" w:rsidRPr="003F471F" w:rsidRDefault="00DC2291" w:rsidP="00D16EA8">
      <w:pPr>
        <w:pStyle w:val="FootnoteBulletLevel2"/>
        <w:numPr>
          <w:ilvl w:val="0"/>
          <w:numId w:val="4"/>
        </w:numPr>
        <w:spacing w:before="0" w:after="60"/>
        <w:ind w:left="1440"/>
        <w:rPr>
          <w:lang w:val="it-IT"/>
        </w:rPr>
      </w:pPr>
      <w:r w:rsidRPr="003F471F">
        <w:rPr>
          <w:rFonts w:ascii="Tahoma" w:hAnsi="Tahoma" w:cs="Tahoma"/>
          <w:sz w:val="18"/>
          <w:lang w:val="it-IT"/>
        </w:rPr>
        <w:t>Società titolari di un abbonamento retail attivo per qualsiasi prodotto software indicato nel precedente elenco.</w:t>
      </w:r>
    </w:p>
    <w:p w14:paraId="70AFAB4F" w14:textId="77777777" w:rsidR="00413D8A" w:rsidRPr="003F471F" w:rsidRDefault="00413D8A">
      <w:pPr>
        <w:rPr>
          <w:lang w:val="it-IT"/>
        </w:rPr>
      </w:pPr>
    </w:p>
    <w:p w14:paraId="1E4BDB28" w14:textId="77777777" w:rsidR="00D16EA8" w:rsidRPr="003F471F" w:rsidRDefault="00F51051" w:rsidP="001760D6">
      <w:pPr>
        <w:keepNext/>
        <w:spacing w:after="60"/>
        <w:ind w:left="720"/>
        <w:rPr>
          <w:lang w:val="it-IT"/>
        </w:rPr>
      </w:pPr>
      <w:r w:rsidRPr="003F471F">
        <w:rPr>
          <w:rFonts w:cs="Tahoma"/>
          <w:b/>
          <w:szCs w:val="20"/>
          <w:lang w:val="it-IT"/>
        </w:rPr>
        <w:t>Servizi “Subscription”</w:t>
      </w:r>
    </w:p>
    <w:p w14:paraId="5F233EE8" w14:textId="77777777" w:rsidR="00B26237" w:rsidRPr="003F471F" w:rsidRDefault="002333B5" w:rsidP="00D16EA8">
      <w:pPr>
        <w:pStyle w:val="FootnoteBulletLevel2"/>
        <w:tabs>
          <w:tab w:val="clear" w:pos="1260"/>
        </w:tabs>
        <w:spacing w:before="0"/>
        <w:ind w:left="720" w:firstLine="0"/>
        <w:rPr>
          <w:lang w:val="it-IT"/>
        </w:rPr>
      </w:pPr>
      <w:r w:rsidRPr="003F471F">
        <w:rPr>
          <w:rFonts w:ascii="Tahoma" w:hAnsi="Tahoma" w:cs="Tahoma"/>
          <w:sz w:val="18"/>
          <w:lang w:val="it-IT"/>
        </w:rPr>
        <w:t>I servizi MSDN in abbonamento, che potranno includere download, codici Product Key, vantaggi di Windows Azure, e-learning, supporto tecnico, vantaggi di Windows Store e altri servizi, sono disponibili solo durante il periodo di validità dell</w:t>
      </w:r>
      <w:r w:rsidR="001C4212" w:rsidRPr="003F471F">
        <w:rPr>
          <w:rFonts w:ascii="Tahoma" w:hAnsi="Tahoma" w:cs="Tahoma"/>
          <w:sz w:val="18"/>
          <w:lang w:val="it-IT"/>
        </w:rPr>
        <w:t>’</w:t>
      </w:r>
      <w:r w:rsidRPr="003F471F">
        <w:rPr>
          <w:rFonts w:ascii="Tahoma" w:hAnsi="Tahoma" w:cs="Tahoma"/>
          <w:sz w:val="18"/>
          <w:lang w:val="it-IT"/>
        </w:rPr>
        <w:t>abbonamento.</w:t>
      </w:r>
    </w:p>
    <w:p w14:paraId="66313F04" w14:textId="77777777" w:rsidR="00D16EA8" w:rsidRPr="003F471F" w:rsidRDefault="00D16EA8" w:rsidP="00D16EA8">
      <w:pPr>
        <w:pStyle w:val="FootnoteBulletLevel2"/>
        <w:tabs>
          <w:tab w:val="clear" w:pos="1260"/>
        </w:tabs>
        <w:spacing w:before="0"/>
        <w:ind w:left="0" w:firstLine="0"/>
        <w:rPr>
          <w:lang w:val="it-IT"/>
        </w:rPr>
      </w:pPr>
    </w:p>
    <w:p w14:paraId="0A4B7C82" w14:textId="77777777" w:rsidR="00D16EA8" w:rsidRPr="003F471F" w:rsidRDefault="00D16EA8" w:rsidP="00D16EA8">
      <w:pPr>
        <w:pStyle w:val="FootnoteBulletLevel2"/>
        <w:tabs>
          <w:tab w:val="clear" w:pos="1260"/>
        </w:tabs>
        <w:spacing w:before="0"/>
        <w:ind w:left="0" w:firstLine="0"/>
        <w:rPr>
          <w:lang w:val="it-IT"/>
        </w:rPr>
      </w:pPr>
    </w:p>
    <w:p w14:paraId="0CF44AF7" w14:textId="77777777" w:rsidR="000C6DBC" w:rsidRPr="0058047D" w:rsidRDefault="00B54C21" w:rsidP="00B26237">
      <w:pPr>
        <w:pStyle w:val="Heading2"/>
        <w:ind w:left="0"/>
      </w:pPr>
      <w:bookmarkStart w:id="962" w:name="_6_Office_365"/>
      <w:bookmarkStart w:id="963" w:name="_45_Office_365"/>
      <w:bookmarkStart w:id="964" w:name="_4_MSDN_Platforms"/>
      <w:bookmarkStart w:id="965" w:name="_4_Piattaforme_MSDN"/>
      <w:bookmarkStart w:id="966" w:name="_Toc371663655"/>
      <w:bookmarkStart w:id="967" w:name="_Toc336338262"/>
      <w:bookmarkEnd w:id="962"/>
      <w:bookmarkEnd w:id="963"/>
      <w:bookmarkEnd w:id="964"/>
      <w:bookmarkEnd w:id="965"/>
      <w:r w:rsidRPr="0058047D">
        <w:rPr>
          <w:rFonts w:ascii="Tahoma" w:hAnsi="Tahoma" w:cs="Tahoma"/>
          <w:caps/>
          <w:color w:val="F66400"/>
          <w:sz w:val="22"/>
          <w:szCs w:val="20"/>
          <w:vertAlign w:val="superscript"/>
        </w:rPr>
        <w:t>4</w:t>
      </w:r>
      <w:r w:rsidRPr="0058047D">
        <w:rPr>
          <w:color w:val="F66400"/>
          <w:sz w:val="22"/>
          <w:szCs w:val="20"/>
        </w:rPr>
        <w:t xml:space="preserve"> </w:t>
      </w:r>
      <w:r w:rsidRPr="0058047D">
        <w:rPr>
          <w:rFonts w:ascii="Tahoma" w:hAnsi="Tahoma" w:cs="Tahoma"/>
          <w:color w:val="FF6600"/>
          <w:sz w:val="22"/>
          <w:szCs w:val="22"/>
        </w:rPr>
        <w:t>Piattaforme MSDN</w:t>
      </w:r>
      <w:bookmarkEnd w:id="966"/>
    </w:p>
    <w:p w14:paraId="12ECA100" w14:textId="77777777" w:rsidR="000C6DBC" w:rsidRPr="0058047D" w:rsidRDefault="000C6DBC" w:rsidP="000C6DBC">
      <w:pPr>
        <w:pStyle w:val="FootnoteBulletLevel2"/>
        <w:tabs>
          <w:tab w:val="clear" w:pos="1260"/>
        </w:tabs>
        <w:spacing w:before="0"/>
        <w:ind w:left="0" w:firstLine="0"/>
      </w:pPr>
    </w:p>
    <w:p w14:paraId="1AE94A7A" w14:textId="77777777" w:rsidR="000C6DBC" w:rsidRPr="0058047D" w:rsidRDefault="000C6DBC" w:rsidP="000C6DBC">
      <w:pPr>
        <w:spacing w:after="60"/>
        <w:ind w:left="720"/>
      </w:pPr>
      <w:r w:rsidRPr="0058047D">
        <w:rPr>
          <w:rFonts w:cs="Tahoma"/>
          <w:b/>
          <w:szCs w:val="18"/>
        </w:rPr>
        <w:t>Visual Studio Team Foundation Server 2013</w:t>
      </w:r>
    </w:p>
    <w:p w14:paraId="02DAFD1F" w14:textId="77777777" w:rsidR="000C6DBC" w:rsidRPr="003F471F" w:rsidRDefault="000C6DBC" w:rsidP="000C6DBC">
      <w:pPr>
        <w:pStyle w:val="EndnoteText"/>
        <w:ind w:left="720"/>
        <w:rPr>
          <w:lang w:val="it-IT"/>
        </w:rPr>
      </w:pPr>
      <w:r w:rsidRPr="003F471F">
        <w:rPr>
          <w:rFonts w:ascii="Tahoma" w:hAnsi="Tahoma" w:cs="Tahoma"/>
          <w:sz w:val="18"/>
          <w:szCs w:val="18"/>
          <w:lang w:val="it-IT"/>
        </w:rPr>
        <w:t>Il sottoscrittore è autorizzato a ricevere una licenza server per Visual Studio Team Foundation Server 2013 e</w:t>
      </w:r>
      <w:r w:rsidR="00485AED" w:rsidRPr="003F471F">
        <w:rPr>
          <w:rFonts w:ascii="Tahoma" w:hAnsi="Tahoma" w:cs="Tahoma"/>
          <w:sz w:val="18"/>
          <w:szCs w:val="18"/>
          <w:lang w:val="it-IT"/>
        </w:rPr>
        <w:t> </w:t>
      </w:r>
      <w:r w:rsidRPr="003F471F">
        <w:rPr>
          <w:rFonts w:ascii="Tahoma" w:hAnsi="Tahoma" w:cs="Tahoma"/>
          <w:sz w:val="18"/>
          <w:szCs w:val="18"/>
          <w:lang w:val="it-IT"/>
        </w:rPr>
        <w:t>una User CAL per Team Foundation Server. La licenza CAL può essere utilizzata esclusivamente dal sottoscrittore.</w:t>
      </w:r>
    </w:p>
    <w:p w14:paraId="262D36BA" w14:textId="77777777" w:rsidR="000C6DBC" w:rsidRPr="003F471F" w:rsidRDefault="000C6DBC" w:rsidP="000C6DBC">
      <w:pPr>
        <w:rPr>
          <w:lang w:val="it-IT"/>
        </w:rPr>
      </w:pPr>
    </w:p>
    <w:p w14:paraId="2F993459" w14:textId="77777777" w:rsidR="000C6DBC" w:rsidRPr="003F471F" w:rsidRDefault="000C6DBC" w:rsidP="000C6DBC">
      <w:pPr>
        <w:spacing w:after="60"/>
        <w:ind w:left="720"/>
        <w:rPr>
          <w:lang w:val="it-IT"/>
        </w:rPr>
      </w:pPr>
      <w:r w:rsidRPr="003F471F">
        <w:rPr>
          <w:rFonts w:cs="Tahoma"/>
          <w:b/>
          <w:szCs w:val="18"/>
          <w:lang w:val="it-IT"/>
        </w:rPr>
        <w:t>Servizi “Subscription”</w:t>
      </w:r>
    </w:p>
    <w:p w14:paraId="2379FC59" w14:textId="77777777" w:rsidR="000C6DBC" w:rsidRPr="003F471F" w:rsidRDefault="000C6DBC" w:rsidP="000C6DBC">
      <w:pPr>
        <w:ind w:left="720"/>
        <w:rPr>
          <w:lang w:val="it-IT"/>
        </w:rPr>
      </w:pPr>
      <w:r w:rsidRPr="003F471F">
        <w:rPr>
          <w:rFonts w:cs="Tahoma"/>
          <w:szCs w:val="18"/>
          <w:lang w:val="it-IT"/>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1C4212" w:rsidRPr="003F471F">
        <w:rPr>
          <w:rFonts w:cs="Tahoma"/>
          <w:szCs w:val="18"/>
          <w:lang w:val="it-IT"/>
        </w:rPr>
        <w:t>’</w:t>
      </w:r>
      <w:r w:rsidRPr="003F471F">
        <w:rPr>
          <w:rFonts w:cs="Tahoma"/>
          <w:szCs w:val="18"/>
          <w:lang w:val="it-IT"/>
        </w:rPr>
        <w:t>abbonamento.</w:t>
      </w:r>
    </w:p>
    <w:p w14:paraId="19D296C9" w14:textId="77777777" w:rsidR="000C6DBC" w:rsidRPr="003F471F" w:rsidRDefault="000C6DBC" w:rsidP="00B26237">
      <w:pPr>
        <w:pStyle w:val="Heading2"/>
        <w:ind w:left="0"/>
        <w:rPr>
          <w:sz w:val="22"/>
          <w:szCs w:val="22"/>
          <w:lang w:val="it-IT"/>
        </w:rPr>
      </w:pPr>
    </w:p>
    <w:p w14:paraId="3EEF5631" w14:textId="77777777" w:rsidR="000C6DBC" w:rsidRPr="003F471F" w:rsidRDefault="000C6DBC" w:rsidP="00B26237">
      <w:pPr>
        <w:pStyle w:val="Heading2"/>
        <w:ind w:left="0"/>
        <w:rPr>
          <w:sz w:val="22"/>
          <w:szCs w:val="22"/>
          <w:lang w:val="it-IT"/>
        </w:rPr>
      </w:pPr>
    </w:p>
    <w:p w14:paraId="7ECA5FFA" w14:textId="77777777" w:rsidR="00B26237" w:rsidRPr="003F471F" w:rsidRDefault="00513265" w:rsidP="00B26237">
      <w:pPr>
        <w:pStyle w:val="Heading2"/>
        <w:ind w:left="0"/>
        <w:rPr>
          <w:lang w:val="it-IT"/>
        </w:rPr>
      </w:pPr>
      <w:bookmarkStart w:id="968" w:name="_5_Office_365_1"/>
      <w:bookmarkStart w:id="969" w:name="_Toc371663656"/>
      <w:bookmarkEnd w:id="968"/>
      <w:r w:rsidRPr="003F471F">
        <w:rPr>
          <w:rFonts w:ascii="Tahoma" w:hAnsi="Tahoma" w:cs="Tahoma"/>
          <w:caps/>
          <w:color w:val="FF6600"/>
          <w:sz w:val="22"/>
          <w:szCs w:val="22"/>
          <w:vertAlign w:val="superscript"/>
          <w:lang w:val="it-IT"/>
        </w:rPr>
        <w:t>5</w:t>
      </w:r>
      <w:r w:rsidRPr="003F471F">
        <w:rPr>
          <w:rFonts w:ascii="Tahoma" w:hAnsi="Tahoma" w:cs="Tahoma"/>
          <w:color w:val="FF6600"/>
          <w:lang w:val="it-IT"/>
        </w:rPr>
        <w:t xml:space="preserve"> </w:t>
      </w:r>
      <w:r w:rsidRPr="003F471F">
        <w:rPr>
          <w:rFonts w:ascii="Tahoma" w:hAnsi="Tahoma" w:cs="Tahoma"/>
          <w:color w:val="FF6600"/>
          <w:sz w:val="22"/>
          <w:szCs w:val="22"/>
          <w:lang w:val="it-IT"/>
        </w:rPr>
        <w:t>Office 365 Education A2-A4 (SL per Utente)</w:t>
      </w:r>
      <w:bookmarkEnd w:id="967"/>
      <w:bookmarkEnd w:id="969"/>
    </w:p>
    <w:p w14:paraId="34D0F348" w14:textId="77777777" w:rsidR="00B26237" w:rsidRPr="003F471F" w:rsidRDefault="00B26237" w:rsidP="00AE5A9F">
      <w:pPr>
        <w:rPr>
          <w:lang w:val="it-IT"/>
        </w:rPr>
      </w:pPr>
    </w:p>
    <w:p w14:paraId="4F11D591" w14:textId="77777777" w:rsidR="00B26237" w:rsidRPr="003F471F" w:rsidRDefault="00B26237" w:rsidP="00B26237">
      <w:pPr>
        <w:ind w:left="720"/>
        <w:rPr>
          <w:lang w:val="it-IT"/>
        </w:rPr>
      </w:pPr>
      <w:r w:rsidRPr="003F471F">
        <w:rPr>
          <w:rFonts w:eastAsia="Calibri" w:cs="Tahoma"/>
          <w:color w:val="000000"/>
          <w:szCs w:val="18"/>
          <w:lang w:val="it-IT"/>
        </w:rPr>
        <w:t>Office 365 Education A2, A3 e A4 consistono di versioni specifiche Academic degli stessi servizi online che comprendono rispettivamente Office 365 Enterprise E1, E3 ed E4, ad eccezione di Yammer Enterprise.</w:t>
      </w:r>
      <w:r w:rsidR="00E34ED3" w:rsidRPr="003F471F">
        <w:rPr>
          <w:rFonts w:eastAsia="Calibri" w:cs="Tahoma"/>
          <w:color w:val="000000"/>
          <w:szCs w:val="18"/>
          <w:lang w:val="it-IT"/>
        </w:rPr>
        <w:t xml:space="preserve"> </w:t>
      </w:r>
      <w:r w:rsidRPr="003F471F">
        <w:rPr>
          <w:rFonts w:eastAsia="Calibri" w:cs="Tahoma"/>
          <w:color w:val="000000"/>
          <w:szCs w:val="18"/>
          <w:lang w:val="it-IT"/>
        </w:rPr>
        <w:t>I</w:t>
      </w:r>
      <w:r w:rsidR="00485AED" w:rsidRPr="003F471F">
        <w:rPr>
          <w:rFonts w:eastAsia="Calibri" w:cs="Tahoma"/>
          <w:color w:val="000000"/>
          <w:szCs w:val="18"/>
          <w:lang w:val="it-IT"/>
        </w:rPr>
        <w:t> </w:t>
      </w:r>
      <w:r w:rsidRPr="003F471F">
        <w:rPr>
          <w:rFonts w:eastAsia="Calibri" w:cs="Tahoma"/>
          <w:color w:val="000000"/>
          <w:szCs w:val="18"/>
          <w:lang w:val="it-IT"/>
        </w:rPr>
        <w:t>diritti sull</w:t>
      </w:r>
      <w:r w:rsidR="001C4212" w:rsidRPr="003F471F">
        <w:rPr>
          <w:rFonts w:eastAsia="Calibri" w:cs="Tahoma"/>
          <w:color w:val="000000"/>
          <w:szCs w:val="18"/>
          <w:lang w:val="it-IT"/>
        </w:rPr>
        <w:t>’</w:t>
      </w:r>
      <w:r w:rsidRPr="003F471F">
        <w:rPr>
          <w:rFonts w:eastAsia="Calibri" w:cs="Tahoma"/>
          <w:color w:val="000000"/>
          <w:szCs w:val="18"/>
          <w:lang w:val="it-IT"/>
        </w:rPr>
        <w:t>utilizzo di Education A2-A4 e dei relativi componenti sono equivalenti alle loro controparti commerciali.</w:t>
      </w:r>
      <w:r w:rsidR="00E34ED3" w:rsidRPr="003F471F">
        <w:rPr>
          <w:rFonts w:eastAsia="Calibri" w:cs="Tahoma"/>
          <w:color w:val="000000"/>
          <w:szCs w:val="18"/>
          <w:lang w:val="it-IT"/>
        </w:rPr>
        <w:t xml:space="preserve"> </w:t>
      </w:r>
      <w:r w:rsidRPr="003F471F">
        <w:rPr>
          <w:rFonts w:eastAsia="Calibri" w:cs="Tahoma"/>
          <w:color w:val="000000"/>
          <w:szCs w:val="18"/>
          <w:lang w:val="it-IT"/>
        </w:rPr>
        <w:t>Tuttavia, gli utenti in possesso di USL per Office 365 Education A2 non sono autorizzati ad</w:t>
      </w:r>
      <w:r w:rsidR="00485AED" w:rsidRPr="003F471F">
        <w:rPr>
          <w:rFonts w:eastAsia="Calibri" w:cs="Tahoma"/>
          <w:color w:val="000000"/>
          <w:szCs w:val="18"/>
          <w:lang w:val="it-IT"/>
        </w:rPr>
        <w:t> </w:t>
      </w:r>
      <w:r w:rsidRPr="003F471F">
        <w:rPr>
          <w:rFonts w:eastAsia="Calibri" w:cs="Tahoma"/>
          <w:color w:val="000000"/>
          <w:szCs w:val="18"/>
          <w:lang w:val="it-IT"/>
        </w:rPr>
        <w:t>accedere ai propri server locali e Yammer Enterprise non è disponibile con A2-A4.</w:t>
      </w:r>
    </w:p>
    <w:p w14:paraId="7A3AEF4B" w14:textId="77777777" w:rsidR="00B26237" w:rsidRPr="003F471F" w:rsidRDefault="00B26237" w:rsidP="00B26237">
      <w:pPr>
        <w:ind w:left="720"/>
        <w:rPr>
          <w:lang w:val="it-IT"/>
        </w:rPr>
      </w:pPr>
    </w:p>
    <w:p w14:paraId="41FB055C" w14:textId="77777777" w:rsidR="00B26237" w:rsidRPr="003F471F" w:rsidRDefault="00B26237" w:rsidP="00B26237">
      <w:pPr>
        <w:ind w:left="720"/>
        <w:rPr>
          <w:lang w:val="it-IT"/>
        </w:rPr>
      </w:pPr>
      <w:r w:rsidRPr="003F471F">
        <w:rPr>
          <w:rFonts w:eastAsia="Calibri" w:cs="Tahoma"/>
          <w:color w:val="000000"/>
          <w:szCs w:val="18"/>
          <w:lang w:val="it-IT"/>
        </w:rPr>
        <w:t>Ai sensi dei Contratti Campus e School le licenze “Subscription” per i Piani di Office 365 dovranno essere acquistate in modalità per utente per l</w:t>
      </w:r>
      <w:r w:rsidR="001C4212" w:rsidRPr="003F471F">
        <w:rPr>
          <w:rFonts w:eastAsia="Calibri" w:cs="Tahoma"/>
          <w:color w:val="000000"/>
          <w:szCs w:val="18"/>
          <w:lang w:val="it-IT"/>
        </w:rPr>
        <w:t>’</w:t>
      </w:r>
      <w:r w:rsidRPr="003F471F">
        <w:rPr>
          <w:rFonts w:eastAsia="Calibri" w:cs="Tahoma"/>
          <w:color w:val="000000"/>
          <w:szCs w:val="18"/>
          <w:lang w:val="it-IT"/>
        </w:rPr>
        <w:t>intero istituto oppure non per l</w:t>
      </w:r>
      <w:r w:rsidR="001C4212" w:rsidRPr="003F471F">
        <w:rPr>
          <w:rFonts w:eastAsia="Calibri" w:cs="Tahoma"/>
          <w:color w:val="000000"/>
          <w:szCs w:val="18"/>
          <w:lang w:val="it-IT"/>
        </w:rPr>
        <w:t>’</w:t>
      </w:r>
      <w:r w:rsidRPr="003F471F">
        <w:rPr>
          <w:rFonts w:eastAsia="Calibri" w:cs="Tahoma"/>
          <w:color w:val="000000"/>
          <w:szCs w:val="18"/>
          <w:lang w:val="it-IT"/>
        </w:rPr>
        <w:t>intero istituto. Qualora occorressero Licenze “Subscription” per Utente per accedere a un Piano a medio termine di Office 365, l</w:t>
      </w:r>
      <w:r w:rsidR="001C4212" w:rsidRPr="003F471F">
        <w:rPr>
          <w:rFonts w:eastAsia="Calibri" w:cs="Tahoma"/>
          <w:color w:val="000000"/>
          <w:szCs w:val="18"/>
          <w:lang w:val="it-IT"/>
        </w:rPr>
        <w:t>’</w:t>
      </w:r>
      <w:r w:rsidRPr="003F471F">
        <w:rPr>
          <w:rFonts w:eastAsia="Calibri" w:cs="Tahoma"/>
          <w:color w:val="000000"/>
          <w:szCs w:val="18"/>
          <w:lang w:val="it-IT"/>
        </w:rPr>
        <w:t>Istituto dovrà ordinare tali Licenze.</w:t>
      </w:r>
      <w:r w:rsidR="00E34ED3" w:rsidRPr="003F471F">
        <w:rPr>
          <w:rFonts w:eastAsia="Calibri" w:cs="Tahoma"/>
          <w:color w:val="000000"/>
          <w:szCs w:val="18"/>
          <w:lang w:val="it-IT"/>
        </w:rPr>
        <w:t xml:space="preserve"> </w:t>
      </w:r>
      <w:r w:rsidRPr="003F471F">
        <w:rPr>
          <w:rFonts w:eastAsia="Calibri" w:cs="Tahoma"/>
          <w:color w:val="000000"/>
          <w:szCs w:val="18"/>
          <w:lang w:val="it-IT"/>
        </w:rPr>
        <w:t>L</w:t>
      </w:r>
      <w:r w:rsidR="001C4212" w:rsidRPr="003F471F">
        <w:rPr>
          <w:rFonts w:eastAsia="Calibri" w:cs="Tahoma"/>
          <w:color w:val="000000"/>
          <w:szCs w:val="18"/>
          <w:lang w:val="it-IT"/>
        </w:rPr>
        <w:t>’</w:t>
      </w:r>
      <w:r w:rsidRPr="003F471F">
        <w:rPr>
          <w:rFonts w:eastAsia="Calibri" w:cs="Tahoma"/>
          <w:color w:val="000000"/>
          <w:szCs w:val="18"/>
          <w:lang w:val="it-IT"/>
        </w:rPr>
        <w:t>Istituto può utilizzare un qualsiasi Piano di Office 365 per soddisfare i requisiti minimi del programma. Quando si ottiene una licenza Add-on per Office 365, anche la licenza per il prodotto qualificante corrispondente dovrà essere acquistata ai sensi della stessa iscrizione.</w:t>
      </w:r>
      <w:r w:rsidR="00E34ED3" w:rsidRPr="003F471F">
        <w:rPr>
          <w:rFonts w:eastAsia="Calibri" w:cs="Tahoma"/>
          <w:color w:val="000000"/>
          <w:szCs w:val="18"/>
          <w:lang w:val="it-IT"/>
        </w:rPr>
        <w:t xml:space="preserve"> </w:t>
      </w:r>
      <w:r w:rsidRPr="003F471F">
        <w:rPr>
          <w:color w:val="000000"/>
          <w:lang w:val="it-IT"/>
        </w:rPr>
        <w:t>In occasione della ricorrenza annuale l</w:t>
      </w:r>
      <w:r w:rsidR="001C4212" w:rsidRPr="003F471F">
        <w:rPr>
          <w:color w:val="000000"/>
          <w:lang w:val="it-IT"/>
        </w:rPr>
        <w:t>’</w:t>
      </w:r>
      <w:r w:rsidRPr="003F471F">
        <w:rPr>
          <w:color w:val="000000"/>
          <w:lang w:val="it-IT"/>
        </w:rPr>
        <w:t>Istituto potrà ordinare un numero di licenze per i Servizi Online inferiore rispetto alla quantità dell</w:t>
      </w:r>
      <w:r w:rsidR="001C4212" w:rsidRPr="003F471F">
        <w:rPr>
          <w:color w:val="000000"/>
          <w:lang w:val="it-IT"/>
        </w:rPr>
        <w:t>’</w:t>
      </w:r>
      <w:r w:rsidRPr="003F471F">
        <w:rPr>
          <w:color w:val="000000"/>
          <w:lang w:val="it-IT"/>
        </w:rPr>
        <w:t>ordine iniziale purché l</w:t>
      </w:r>
      <w:r w:rsidR="001C4212" w:rsidRPr="003F471F">
        <w:rPr>
          <w:color w:val="000000"/>
          <w:lang w:val="it-IT"/>
        </w:rPr>
        <w:t>’</w:t>
      </w:r>
      <w:r w:rsidRPr="003F471F">
        <w:rPr>
          <w:color w:val="000000"/>
          <w:lang w:val="it-IT"/>
        </w:rPr>
        <w:t>ordine soddisfi i requisiti minimi per i Servizi Online Piattaforma.</w:t>
      </w:r>
    </w:p>
    <w:p w14:paraId="560970AA" w14:textId="77777777" w:rsidR="00B26237" w:rsidRPr="003F471F" w:rsidRDefault="00B26237" w:rsidP="00B26237">
      <w:pPr>
        <w:ind w:left="720"/>
        <w:rPr>
          <w:lang w:val="it-IT"/>
        </w:rPr>
      </w:pPr>
    </w:p>
    <w:p w14:paraId="43340638" w14:textId="77777777" w:rsidR="00996781" w:rsidRPr="003F471F" w:rsidRDefault="00996781" w:rsidP="00B26237">
      <w:pPr>
        <w:ind w:left="720"/>
        <w:rPr>
          <w:lang w:val="it-IT"/>
        </w:rPr>
      </w:pPr>
      <w:r w:rsidRPr="003F471F">
        <w:rPr>
          <w:iCs/>
          <w:lang w:val="it-IT"/>
        </w:rPr>
        <w:t>Grazie a un</w:t>
      </w:r>
      <w:r w:rsidR="001C4212" w:rsidRPr="003F471F">
        <w:rPr>
          <w:iCs/>
          <w:lang w:val="it-IT"/>
        </w:rPr>
        <w:t>’</w:t>
      </w:r>
      <w:r w:rsidRPr="003F471F">
        <w:rPr>
          <w:iCs/>
          <w:lang w:val="it-IT"/>
        </w:rPr>
        <w:t>offerta di durata limitata, le società in possesso della licenza per Office 365 Education A2, A3 o</w:t>
      </w:r>
      <w:r w:rsidR="00485AED" w:rsidRPr="003F471F">
        <w:rPr>
          <w:iCs/>
          <w:lang w:val="it-IT"/>
        </w:rPr>
        <w:t> </w:t>
      </w:r>
      <w:r w:rsidRPr="003F471F">
        <w:rPr>
          <w:iCs/>
          <w:lang w:val="it-IT"/>
        </w:rPr>
        <w:t>A4 riceveranno gratuitamente in licenza una copia di Lync 2013 (o Lync per Mac 2011) per ogni licenza “subscription” per utente per Office 365 Education A2, A3 e A4. Il software potrà essere utilizzato esclusivamente con Office 365 Education A2, A3, A4 (che include Lync Online) e tutti i diritti di utilizzo del</w:t>
      </w:r>
      <w:r w:rsidR="00485AED" w:rsidRPr="003F471F">
        <w:rPr>
          <w:iCs/>
          <w:lang w:val="it-IT"/>
        </w:rPr>
        <w:t> </w:t>
      </w:r>
      <w:r w:rsidRPr="003F471F">
        <w:rPr>
          <w:iCs/>
          <w:lang w:val="it-IT"/>
        </w:rPr>
        <w:t xml:space="preserve">software cesseranno alla scadenza della licenza </w:t>
      </w:r>
      <w:r w:rsidR="00E34ED3" w:rsidRPr="003F471F">
        <w:rPr>
          <w:iCs/>
          <w:lang w:val="it-IT"/>
        </w:rPr>
        <w:t>“</w:t>
      </w:r>
      <w:r w:rsidRPr="003F471F">
        <w:rPr>
          <w:iCs/>
          <w:lang w:val="it-IT"/>
        </w:rPr>
        <w:t>subscription</w:t>
      </w:r>
      <w:r w:rsidR="00E34ED3" w:rsidRPr="003F471F">
        <w:rPr>
          <w:iCs/>
          <w:lang w:val="it-IT"/>
        </w:rPr>
        <w:t>”</w:t>
      </w:r>
      <w:r w:rsidRPr="003F471F">
        <w:rPr>
          <w:iCs/>
          <w:lang w:val="it-IT"/>
        </w:rPr>
        <w:t xml:space="preserve"> sottostante, oppure in occasione della migrazione alla successiva nuova versione principale di Office 365 Education A2, A3, A4 e Lync Online, a</w:t>
      </w:r>
      <w:r w:rsidR="00485AED" w:rsidRPr="003F471F">
        <w:rPr>
          <w:iCs/>
          <w:lang w:val="it-IT"/>
        </w:rPr>
        <w:t> </w:t>
      </w:r>
      <w:r w:rsidRPr="003F471F">
        <w:rPr>
          <w:iCs/>
          <w:lang w:val="it-IT"/>
        </w:rPr>
        <w:t>seconda di quale evento si verifichi per primo.</w:t>
      </w:r>
    </w:p>
    <w:p w14:paraId="3DDF71BA" w14:textId="77777777" w:rsidR="00996781" w:rsidRPr="003F471F" w:rsidRDefault="00996781" w:rsidP="00B26237">
      <w:pPr>
        <w:ind w:left="720"/>
        <w:rPr>
          <w:lang w:val="it-IT"/>
        </w:rPr>
      </w:pPr>
    </w:p>
    <w:p w14:paraId="401ACF2D" w14:textId="77777777" w:rsidR="00B26237" w:rsidRPr="003F471F" w:rsidRDefault="000A0D35" w:rsidP="00864B8A">
      <w:pPr>
        <w:spacing w:after="60"/>
        <w:ind w:left="720"/>
        <w:rPr>
          <w:lang w:val="it-IT"/>
        </w:rPr>
      </w:pPr>
      <w:r w:rsidRPr="003F471F">
        <w:rPr>
          <w:rFonts w:cs="Tahoma"/>
          <w:b/>
          <w:szCs w:val="20"/>
          <w:lang w:val="it-IT"/>
        </w:rPr>
        <w:t>USL Add-On</w:t>
      </w:r>
    </w:p>
    <w:p w14:paraId="5F8ACCAF" w14:textId="77777777" w:rsidR="00B26237" w:rsidRPr="003F471F" w:rsidRDefault="00B26237" w:rsidP="00B26237">
      <w:pPr>
        <w:ind w:left="720"/>
        <w:rPr>
          <w:lang w:val="it-IT"/>
        </w:rPr>
      </w:pPr>
      <w:r w:rsidRPr="003F471F">
        <w:rPr>
          <w:rFonts w:eastAsia="Calibri" w:cs="Tahoma"/>
          <w:color w:val="000000"/>
          <w:szCs w:val="18"/>
          <w:lang w:val="it-IT"/>
        </w:rPr>
        <w:t>Gli Istituti che dispongono di una copertura per i prodotti qualificanti potranno acquistare la Licenza “Subscription” per Utente corrispondente per il Piano Add-on di Office 365, come descritto in dettaglio nella tabella che segue. Istituti che hanno stipulato Contratti Campus e School: gli Istituti potranno acquistare la corrispondente Licenza “Subscription” per Utente per il Piano Add-on di Office 365 per i loro Utenti, fino al raggiungimento della quantità indicata nel conteggio dei PC Idonei, purché siano in possesso della copertura per i prodotti qualificanti.</w:t>
      </w:r>
      <w:r w:rsidR="00E34ED3" w:rsidRPr="003F471F">
        <w:rPr>
          <w:rFonts w:eastAsia="Calibri" w:cs="Tahoma"/>
          <w:color w:val="000000"/>
          <w:szCs w:val="18"/>
          <w:lang w:val="it-IT"/>
        </w:rPr>
        <w:t xml:space="preserve"> </w:t>
      </w:r>
    </w:p>
    <w:p w14:paraId="6ADB3F85" w14:textId="77777777" w:rsidR="00B26237" w:rsidRPr="003F471F" w:rsidRDefault="00B26237" w:rsidP="00B26237">
      <w:pPr>
        <w:rPr>
          <w:lang w:val="it-IT"/>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4"/>
        <w:gridCol w:w="4258"/>
      </w:tblGrid>
      <w:tr w:rsidR="00B26237" w:rsidRPr="0058047D" w14:paraId="7AF83435" w14:textId="77777777" w:rsidTr="00485AED">
        <w:trPr>
          <w:tblHeader/>
        </w:trPr>
        <w:tc>
          <w:tcPr>
            <w:tcW w:w="4320" w:type="dxa"/>
            <w:shd w:val="clear" w:color="auto" w:fill="FABF8F"/>
          </w:tcPr>
          <w:p w14:paraId="7820CB5F" w14:textId="77777777" w:rsidR="00B26237" w:rsidRPr="0058047D" w:rsidRDefault="00B26237" w:rsidP="00B42A20">
            <w:pPr>
              <w:rPr>
                <w:rFonts w:eastAsia="Calibri" w:cs="Tahoma"/>
                <w:b/>
                <w:color w:val="000000"/>
                <w:szCs w:val="18"/>
              </w:rPr>
            </w:pPr>
            <w:r w:rsidRPr="0058047D">
              <w:rPr>
                <w:rFonts w:eastAsia="Calibri" w:cs="Tahoma"/>
                <w:b/>
                <w:color w:val="000000"/>
                <w:szCs w:val="18"/>
              </w:rPr>
              <w:t>Licenza Qualificante</w:t>
            </w:r>
          </w:p>
        </w:tc>
        <w:tc>
          <w:tcPr>
            <w:tcW w:w="4320" w:type="dxa"/>
            <w:shd w:val="clear" w:color="auto" w:fill="FABF8F"/>
          </w:tcPr>
          <w:p w14:paraId="1D26F7AC" w14:textId="77777777" w:rsidR="00B26237" w:rsidRPr="0058047D" w:rsidRDefault="000A0D35" w:rsidP="000A0D35">
            <w:pPr>
              <w:rPr>
                <w:rFonts w:eastAsia="Calibri" w:cs="Tahoma"/>
                <w:b/>
                <w:color w:val="000000"/>
                <w:szCs w:val="18"/>
              </w:rPr>
            </w:pPr>
            <w:r w:rsidRPr="0058047D">
              <w:rPr>
                <w:rFonts w:eastAsia="Calibri" w:cs="Tahoma"/>
                <w:b/>
                <w:color w:val="000000"/>
                <w:szCs w:val="18"/>
              </w:rPr>
              <w:t xml:space="preserve">USL Add-On </w:t>
            </w:r>
          </w:p>
        </w:tc>
      </w:tr>
      <w:tr w:rsidR="00B26237" w:rsidRPr="0058047D" w14:paraId="342D5261" w14:textId="77777777" w:rsidTr="00B42A20">
        <w:tc>
          <w:tcPr>
            <w:tcW w:w="4320" w:type="dxa"/>
            <w:shd w:val="clear" w:color="auto" w:fill="auto"/>
          </w:tcPr>
          <w:p w14:paraId="1EF7D456" w14:textId="77777777" w:rsidR="00B26237" w:rsidRPr="003F471F" w:rsidRDefault="00B26237" w:rsidP="00B42A20">
            <w:pPr>
              <w:rPr>
                <w:rFonts w:eastAsia="Calibri" w:cs="Tahoma"/>
                <w:color w:val="000000"/>
                <w:szCs w:val="18"/>
                <w:lang w:val="fr-FR"/>
              </w:rPr>
            </w:pPr>
            <w:r w:rsidRPr="003F471F">
              <w:rPr>
                <w:rFonts w:eastAsia="Calibri" w:cs="Tahoma"/>
                <w:color w:val="000000"/>
                <w:szCs w:val="18"/>
                <w:lang w:val="fr-FR"/>
              </w:rPr>
              <w:t>Core CAL Suite</w:t>
            </w:r>
            <w:r w:rsidRPr="003F471F">
              <w:rPr>
                <w:rFonts w:eastAsia="Calibri" w:cs="Tahoma"/>
                <w:color w:val="000000"/>
                <w:szCs w:val="18"/>
                <w:vertAlign w:val="superscript"/>
                <w:lang w:val="fr-FR"/>
              </w:rPr>
              <w:t>1</w:t>
            </w:r>
            <w:r w:rsidRPr="003F471F">
              <w:rPr>
                <w:rFonts w:eastAsia="Calibri" w:cs="Tahoma"/>
                <w:color w:val="000000"/>
                <w:szCs w:val="18"/>
                <w:lang w:val="fr-FR"/>
              </w:rPr>
              <w:t xml:space="preserve"> o Enterprise CAL Suite</w:t>
            </w:r>
            <w:r w:rsidRPr="003F471F">
              <w:rPr>
                <w:rFonts w:eastAsia="Calibri" w:cs="Tahoma"/>
                <w:color w:val="000000"/>
                <w:szCs w:val="18"/>
                <w:vertAlign w:val="superscript"/>
                <w:lang w:val="fr-FR"/>
              </w:rPr>
              <w:t>1</w:t>
            </w:r>
          </w:p>
        </w:tc>
        <w:tc>
          <w:tcPr>
            <w:tcW w:w="4320" w:type="dxa"/>
            <w:shd w:val="clear" w:color="auto" w:fill="auto"/>
          </w:tcPr>
          <w:p w14:paraId="24999D1E" w14:textId="77777777" w:rsidR="00B26237" w:rsidRPr="0058047D" w:rsidRDefault="00B26237" w:rsidP="009B3FA2">
            <w:pPr>
              <w:rPr>
                <w:rFonts w:eastAsia="Calibri" w:cs="Tahoma"/>
                <w:color w:val="000000"/>
                <w:szCs w:val="18"/>
              </w:rPr>
            </w:pPr>
            <w:r w:rsidRPr="0058047D">
              <w:rPr>
                <w:rFonts w:eastAsia="Calibri" w:cs="Tahoma"/>
                <w:color w:val="000000"/>
                <w:szCs w:val="18"/>
              </w:rPr>
              <w:t>Add-on USL per Office 365 Education A3 per Core CAL o Enterprise CAL</w:t>
            </w:r>
          </w:p>
        </w:tc>
      </w:tr>
      <w:tr w:rsidR="00B26237" w:rsidRPr="0058047D" w14:paraId="161692BA" w14:textId="77777777" w:rsidTr="00B42A20">
        <w:tc>
          <w:tcPr>
            <w:tcW w:w="4320" w:type="dxa"/>
            <w:shd w:val="clear" w:color="auto" w:fill="auto"/>
          </w:tcPr>
          <w:p w14:paraId="49BE1BD8" w14:textId="77777777" w:rsidR="00B26237" w:rsidRPr="0058047D" w:rsidRDefault="00B26237" w:rsidP="00B42A20">
            <w:pPr>
              <w:rPr>
                <w:rFonts w:eastAsia="Calibri" w:cs="Tahoma"/>
                <w:color w:val="000000"/>
                <w:szCs w:val="18"/>
              </w:rPr>
            </w:pPr>
            <w:r w:rsidRPr="0058047D">
              <w:rPr>
                <w:rFonts w:eastAsia="Calibri" w:cs="Tahoma"/>
                <w:color w:val="000000"/>
                <w:szCs w:val="18"/>
              </w:rPr>
              <w:t>Office Pro Plus</w:t>
            </w:r>
            <w:r w:rsidRPr="0058047D">
              <w:rPr>
                <w:rFonts w:eastAsia="Calibri" w:cs="Tahoma"/>
                <w:color w:val="000000"/>
                <w:szCs w:val="18"/>
                <w:vertAlign w:val="superscript"/>
              </w:rPr>
              <w:t>1</w:t>
            </w:r>
          </w:p>
        </w:tc>
        <w:tc>
          <w:tcPr>
            <w:tcW w:w="4320" w:type="dxa"/>
            <w:shd w:val="clear" w:color="auto" w:fill="auto"/>
          </w:tcPr>
          <w:p w14:paraId="1D3F07AF" w14:textId="77777777" w:rsidR="00B26237" w:rsidRPr="0058047D" w:rsidRDefault="00B26237" w:rsidP="009B3FA2">
            <w:pPr>
              <w:rPr>
                <w:rFonts w:eastAsia="Calibri" w:cs="Tahoma"/>
                <w:color w:val="000000"/>
                <w:szCs w:val="18"/>
              </w:rPr>
            </w:pPr>
            <w:r w:rsidRPr="0058047D">
              <w:rPr>
                <w:rFonts w:eastAsia="Calibri" w:cs="Tahoma"/>
                <w:color w:val="000000"/>
                <w:szCs w:val="18"/>
              </w:rPr>
              <w:t>USL Add-On per Office 365 Education A3 per Office Pro Plus</w:t>
            </w:r>
          </w:p>
        </w:tc>
      </w:tr>
      <w:tr w:rsidR="00B26237" w:rsidRPr="0058047D" w14:paraId="773E441C" w14:textId="77777777" w:rsidTr="00B42A20">
        <w:tc>
          <w:tcPr>
            <w:tcW w:w="4320" w:type="dxa"/>
            <w:shd w:val="clear" w:color="auto" w:fill="auto"/>
          </w:tcPr>
          <w:p w14:paraId="7B07AE5A" w14:textId="77777777" w:rsidR="00B26237" w:rsidRPr="003F471F" w:rsidRDefault="00B26237" w:rsidP="00B42A20">
            <w:pPr>
              <w:rPr>
                <w:rFonts w:eastAsia="Calibri" w:cs="Tahoma"/>
                <w:color w:val="000000"/>
                <w:szCs w:val="18"/>
                <w:lang w:val="fr-FR"/>
              </w:rPr>
            </w:pPr>
            <w:r w:rsidRPr="003F471F">
              <w:rPr>
                <w:rFonts w:eastAsia="Calibri" w:cs="Tahoma"/>
                <w:color w:val="000000"/>
                <w:szCs w:val="18"/>
                <w:lang w:val="fr-FR"/>
              </w:rPr>
              <w:t>Core CAL Suite</w:t>
            </w:r>
            <w:r w:rsidRPr="003F471F">
              <w:rPr>
                <w:rFonts w:eastAsia="Calibri" w:cs="Tahoma"/>
                <w:color w:val="000000"/>
                <w:szCs w:val="18"/>
                <w:vertAlign w:val="superscript"/>
                <w:lang w:val="fr-FR"/>
              </w:rPr>
              <w:t>1</w:t>
            </w:r>
            <w:r w:rsidRPr="003F471F">
              <w:rPr>
                <w:rFonts w:eastAsia="Calibri" w:cs="Tahoma"/>
                <w:color w:val="000000"/>
                <w:szCs w:val="18"/>
                <w:lang w:val="fr-FR"/>
              </w:rPr>
              <w:t xml:space="preserve"> o Enterprise CAL Suite</w:t>
            </w:r>
            <w:r w:rsidRPr="003F471F">
              <w:rPr>
                <w:rFonts w:eastAsia="Calibri" w:cs="Tahoma"/>
                <w:color w:val="000000"/>
                <w:szCs w:val="18"/>
                <w:vertAlign w:val="superscript"/>
                <w:lang w:val="fr-FR"/>
              </w:rPr>
              <w:t>1</w:t>
            </w:r>
            <w:r w:rsidRPr="003F471F">
              <w:rPr>
                <w:rFonts w:eastAsia="Calibri" w:cs="Tahoma"/>
                <w:color w:val="000000"/>
                <w:szCs w:val="18"/>
                <w:lang w:val="fr-FR"/>
              </w:rPr>
              <w:t xml:space="preserve"> + Office Pro Plus</w:t>
            </w:r>
            <w:r w:rsidRPr="003F471F">
              <w:rPr>
                <w:rFonts w:eastAsia="Calibri" w:cs="Tahoma"/>
                <w:color w:val="000000"/>
                <w:szCs w:val="18"/>
                <w:vertAlign w:val="superscript"/>
                <w:lang w:val="fr-FR"/>
              </w:rPr>
              <w:t>1</w:t>
            </w:r>
          </w:p>
        </w:tc>
        <w:tc>
          <w:tcPr>
            <w:tcW w:w="4320" w:type="dxa"/>
            <w:shd w:val="clear" w:color="auto" w:fill="auto"/>
          </w:tcPr>
          <w:p w14:paraId="70B8A928" w14:textId="77777777" w:rsidR="00B26237" w:rsidRPr="0058047D" w:rsidRDefault="00B26237" w:rsidP="009B3FA2">
            <w:pPr>
              <w:rPr>
                <w:rFonts w:eastAsia="Calibri" w:cs="Tahoma"/>
                <w:color w:val="000000"/>
                <w:szCs w:val="18"/>
              </w:rPr>
            </w:pPr>
            <w:r w:rsidRPr="0058047D">
              <w:rPr>
                <w:rFonts w:eastAsia="Calibri" w:cs="Tahoma"/>
                <w:color w:val="000000"/>
                <w:szCs w:val="18"/>
              </w:rPr>
              <w:t>Add-on USL per Office 365 Education A3 per Core CAL o Enterprise CAL + Office Pro Plus</w:t>
            </w:r>
          </w:p>
        </w:tc>
      </w:tr>
      <w:tr w:rsidR="00B26237" w:rsidRPr="0058047D" w14:paraId="6AC12277" w14:textId="77777777" w:rsidTr="00B42A20">
        <w:tc>
          <w:tcPr>
            <w:tcW w:w="4320" w:type="dxa"/>
            <w:shd w:val="clear" w:color="auto" w:fill="auto"/>
          </w:tcPr>
          <w:p w14:paraId="2AC7EB9F" w14:textId="77777777" w:rsidR="00B26237" w:rsidRPr="003F471F" w:rsidRDefault="00B26237" w:rsidP="00B42A20">
            <w:pPr>
              <w:rPr>
                <w:rFonts w:eastAsia="Calibri" w:cs="Tahoma"/>
                <w:color w:val="000000"/>
                <w:szCs w:val="18"/>
                <w:lang w:val="fr-FR"/>
              </w:rPr>
            </w:pPr>
            <w:r w:rsidRPr="003F471F">
              <w:rPr>
                <w:rFonts w:eastAsia="Calibri" w:cs="Tahoma"/>
                <w:color w:val="000000"/>
                <w:szCs w:val="18"/>
                <w:lang w:val="fr-FR"/>
              </w:rPr>
              <w:t>Core CAL Suite</w:t>
            </w:r>
            <w:r w:rsidRPr="003F471F">
              <w:rPr>
                <w:rFonts w:eastAsia="Calibri" w:cs="Tahoma"/>
                <w:color w:val="000000"/>
                <w:szCs w:val="18"/>
                <w:vertAlign w:val="superscript"/>
                <w:lang w:val="fr-FR"/>
              </w:rPr>
              <w:t>1</w:t>
            </w:r>
            <w:r w:rsidRPr="003F471F">
              <w:rPr>
                <w:rFonts w:eastAsia="Calibri" w:cs="Tahoma"/>
                <w:color w:val="000000"/>
                <w:szCs w:val="18"/>
                <w:lang w:val="fr-FR"/>
              </w:rPr>
              <w:t xml:space="preserve"> o Enterprise CAL Suite</w:t>
            </w:r>
            <w:r w:rsidRPr="003F471F">
              <w:rPr>
                <w:rFonts w:eastAsia="Calibri" w:cs="Tahoma"/>
                <w:color w:val="000000"/>
                <w:szCs w:val="18"/>
                <w:vertAlign w:val="superscript"/>
                <w:lang w:val="fr-FR"/>
              </w:rPr>
              <w:t>1</w:t>
            </w:r>
          </w:p>
        </w:tc>
        <w:tc>
          <w:tcPr>
            <w:tcW w:w="4320" w:type="dxa"/>
            <w:shd w:val="clear" w:color="auto" w:fill="auto"/>
          </w:tcPr>
          <w:p w14:paraId="52A6F991" w14:textId="77777777" w:rsidR="00B26237" w:rsidRPr="0058047D" w:rsidRDefault="00B26237" w:rsidP="009B3FA2">
            <w:pPr>
              <w:rPr>
                <w:rFonts w:eastAsia="Calibri" w:cs="Tahoma"/>
                <w:color w:val="000000"/>
                <w:szCs w:val="18"/>
              </w:rPr>
            </w:pPr>
            <w:r w:rsidRPr="0058047D">
              <w:rPr>
                <w:rFonts w:eastAsia="Calibri" w:cs="Tahoma"/>
                <w:color w:val="000000"/>
                <w:szCs w:val="18"/>
              </w:rPr>
              <w:t>Add-on USL per Office 365 Education A4 per Core CAL o Enterprise CAL</w:t>
            </w:r>
          </w:p>
        </w:tc>
      </w:tr>
      <w:tr w:rsidR="00B26237" w:rsidRPr="0058047D" w14:paraId="0D71DEB4" w14:textId="77777777" w:rsidTr="00B42A20">
        <w:tc>
          <w:tcPr>
            <w:tcW w:w="4320" w:type="dxa"/>
            <w:shd w:val="clear" w:color="auto" w:fill="auto"/>
          </w:tcPr>
          <w:p w14:paraId="0E541390" w14:textId="77777777" w:rsidR="00B26237" w:rsidRPr="0058047D" w:rsidRDefault="00B26237" w:rsidP="00B42A20">
            <w:pPr>
              <w:rPr>
                <w:rFonts w:eastAsia="Calibri" w:cs="Tahoma"/>
                <w:color w:val="000000"/>
                <w:szCs w:val="18"/>
              </w:rPr>
            </w:pPr>
            <w:r w:rsidRPr="0058047D">
              <w:rPr>
                <w:rFonts w:eastAsia="Calibri" w:cs="Tahoma"/>
                <w:color w:val="000000"/>
                <w:szCs w:val="18"/>
              </w:rPr>
              <w:t>Office Pro Plus</w:t>
            </w:r>
            <w:r w:rsidRPr="0058047D">
              <w:rPr>
                <w:rFonts w:eastAsia="Calibri" w:cs="Tahoma"/>
                <w:color w:val="000000"/>
                <w:szCs w:val="18"/>
                <w:vertAlign w:val="superscript"/>
              </w:rPr>
              <w:t>1</w:t>
            </w:r>
          </w:p>
        </w:tc>
        <w:tc>
          <w:tcPr>
            <w:tcW w:w="4320" w:type="dxa"/>
            <w:shd w:val="clear" w:color="auto" w:fill="auto"/>
          </w:tcPr>
          <w:p w14:paraId="4A7F371B" w14:textId="77777777" w:rsidR="00B26237" w:rsidRPr="0058047D" w:rsidRDefault="00B26237" w:rsidP="009B3FA2">
            <w:pPr>
              <w:rPr>
                <w:rFonts w:eastAsia="Calibri" w:cs="Tahoma"/>
                <w:color w:val="000000"/>
                <w:szCs w:val="18"/>
              </w:rPr>
            </w:pPr>
            <w:r w:rsidRPr="0058047D">
              <w:rPr>
                <w:rFonts w:eastAsia="Calibri" w:cs="Tahoma"/>
                <w:color w:val="000000"/>
                <w:szCs w:val="18"/>
              </w:rPr>
              <w:t>USL Add-On per Office 365 Education A4 per Office Pro Plus</w:t>
            </w:r>
          </w:p>
        </w:tc>
      </w:tr>
      <w:tr w:rsidR="00B26237" w:rsidRPr="0058047D" w14:paraId="2BFA2992" w14:textId="77777777" w:rsidTr="00B42A20">
        <w:tc>
          <w:tcPr>
            <w:tcW w:w="4320" w:type="dxa"/>
            <w:shd w:val="clear" w:color="auto" w:fill="auto"/>
          </w:tcPr>
          <w:p w14:paraId="64795556" w14:textId="77777777" w:rsidR="00B26237" w:rsidRPr="003F471F" w:rsidRDefault="00B26237" w:rsidP="00B42A20">
            <w:pPr>
              <w:rPr>
                <w:rFonts w:eastAsia="Calibri" w:cs="Tahoma"/>
                <w:color w:val="000000"/>
                <w:szCs w:val="18"/>
                <w:lang w:val="fr-FR"/>
              </w:rPr>
            </w:pPr>
            <w:r w:rsidRPr="003F471F">
              <w:rPr>
                <w:rFonts w:eastAsia="Calibri" w:cs="Tahoma"/>
                <w:color w:val="000000"/>
                <w:szCs w:val="18"/>
                <w:lang w:val="fr-FR"/>
              </w:rPr>
              <w:t>Core CAL Suite o Enterprise CAL Suite</w:t>
            </w:r>
            <w:r w:rsidRPr="003F471F">
              <w:rPr>
                <w:rFonts w:eastAsia="Calibri" w:cs="Tahoma"/>
                <w:color w:val="000000"/>
                <w:szCs w:val="18"/>
                <w:vertAlign w:val="superscript"/>
                <w:lang w:val="fr-FR"/>
              </w:rPr>
              <w:t>1</w:t>
            </w:r>
            <w:r w:rsidRPr="003F471F">
              <w:rPr>
                <w:rFonts w:eastAsia="Calibri" w:cs="Tahoma"/>
                <w:color w:val="000000"/>
                <w:szCs w:val="18"/>
                <w:lang w:val="fr-FR"/>
              </w:rPr>
              <w:t xml:space="preserve"> + Office Pro Plus</w:t>
            </w:r>
            <w:r w:rsidRPr="003F471F">
              <w:rPr>
                <w:rFonts w:eastAsia="Calibri" w:cs="Tahoma"/>
                <w:color w:val="000000"/>
                <w:szCs w:val="18"/>
                <w:vertAlign w:val="superscript"/>
                <w:lang w:val="fr-FR"/>
              </w:rPr>
              <w:t>1</w:t>
            </w:r>
          </w:p>
        </w:tc>
        <w:tc>
          <w:tcPr>
            <w:tcW w:w="4320" w:type="dxa"/>
            <w:shd w:val="clear" w:color="auto" w:fill="auto"/>
          </w:tcPr>
          <w:p w14:paraId="1DCBBC0E" w14:textId="77777777" w:rsidR="00B26237" w:rsidRPr="0058047D" w:rsidRDefault="00B26237" w:rsidP="009B3FA2">
            <w:pPr>
              <w:rPr>
                <w:rFonts w:eastAsia="Calibri" w:cs="Tahoma"/>
                <w:color w:val="000000"/>
                <w:szCs w:val="18"/>
              </w:rPr>
            </w:pPr>
            <w:r w:rsidRPr="0058047D">
              <w:rPr>
                <w:rFonts w:eastAsia="Calibri" w:cs="Tahoma"/>
                <w:color w:val="000000"/>
                <w:szCs w:val="18"/>
              </w:rPr>
              <w:t>Add-on USL per Office 365 Education A4 per Core CAL o Enterprise CAL + Office Pro Plus</w:t>
            </w:r>
          </w:p>
        </w:tc>
      </w:tr>
    </w:tbl>
    <w:p w14:paraId="3719A0A1" w14:textId="77777777" w:rsidR="00B26237" w:rsidRPr="003F471F" w:rsidRDefault="00B26237" w:rsidP="00B26237">
      <w:pPr>
        <w:ind w:left="900"/>
        <w:rPr>
          <w:lang w:val="it-IT"/>
        </w:rPr>
      </w:pPr>
      <w:r w:rsidRPr="003F471F">
        <w:rPr>
          <w:rFonts w:eastAsia="Calibri" w:cs="Tahoma"/>
          <w:i/>
          <w:color w:val="000000"/>
          <w:sz w:val="16"/>
          <w:szCs w:val="18"/>
          <w:vertAlign w:val="superscript"/>
          <w:lang w:val="it-IT"/>
        </w:rPr>
        <w:t>1</w:t>
      </w:r>
      <w:r w:rsidRPr="003F471F">
        <w:rPr>
          <w:rFonts w:eastAsia="Calibri" w:cs="Tahoma"/>
          <w:i/>
          <w:color w:val="000000"/>
          <w:sz w:val="16"/>
          <w:szCs w:val="18"/>
          <w:lang w:val="it-IT"/>
        </w:rPr>
        <w:t>Con Software Assurance Attiva</w:t>
      </w:r>
    </w:p>
    <w:p w14:paraId="6D340B1D" w14:textId="77777777" w:rsidR="00B26237" w:rsidRPr="003F471F" w:rsidRDefault="00B26237" w:rsidP="00B26237">
      <w:pPr>
        <w:ind w:left="720"/>
        <w:rPr>
          <w:lang w:val="it-IT"/>
        </w:rPr>
      </w:pPr>
    </w:p>
    <w:p w14:paraId="009B5472" w14:textId="77777777" w:rsidR="00B26237" w:rsidRPr="003F471F" w:rsidRDefault="00B26237" w:rsidP="00B26237">
      <w:pPr>
        <w:ind w:left="720"/>
        <w:rPr>
          <w:lang w:val="it-IT"/>
        </w:rPr>
      </w:pPr>
      <w:r w:rsidRPr="003F471F">
        <w:rPr>
          <w:rFonts w:eastAsia="Calibri" w:cs="Tahoma"/>
          <w:iCs/>
          <w:color w:val="000000"/>
          <w:szCs w:val="18"/>
          <w:lang w:val="it-IT"/>
        </w:rPr>
        <w:t>Gli Istituti in possesso di USL per Office 365 Education A3 o Office 365 Education A4 cedute a tutto il personale docente e non docente potranno installare il software Office Professional Plus 2013 in qualsiasi laboratorio o biblioteca ad accesso libero all</w:t>
      </w:r>
      <w:r w:rsidR="001C4212" w:rsidRPr="003F471F">
        <w:rPr>
          <w:rFonts w:eastAsia="Calibri" w:cs="Tahoma"/>
          <w:iCs/>
          <w:color w:val="000000"/>
          <w:szCs w:val="18"/>
          <w:lang w:val="it-IT"/>
        </w:rPr>
        <w:t>’</w:t>
      </w:r>
      <w:r w:rsidRPr="003F471F">
        <w:rPr>
          <w:rFonts w:eastAsia="Calibri" w:cs="Tahoma"/>
          <w:iCs/>
          <w:color w:val="000000"/>
          <w:szCs w:val="18"/>
          <w:lang w:val="it-IT"/>
        </w:rPr>
        <w:t>interno dell</w:t>
      </w:r>
      <w:r w:rsidR="001C4212" w:rsidRPr="003F471F">
        <w:rPr>
          <w:rFonts w:eastAsia="Calibri" w:cs="Tahoma"/>
          <w:iCs/>
          <w:color w:val="000000"/>
          <w:szCs w:val="18"/>
          <w:lang w:val="it-IT"/>
        </w:rPr>
        <w:t>’</w:t>
      </w:r>
      <w:r w:rsidRPr="003F471F">
        <w:rPr>
          <w:rFonts w:eastAsia="Calibri" w:cs="Tahoma"/>
          <w:iCs/>
          <w:color w:val="000000"/>
          <w:szCs w:val="18"/>
          <w:lang w:val="it-IT"/>
        </w:rPr>
        <w:t>Organizzazione dell</w:t>
      </w:r>
      <w:r w:rsidR="001C4212" w:rsidRPr="003F471F">
        <w:rPr>
          <w:rFonts w:eastAsia="Calibri" w:cs="Tahoma"/>
          <w:iCs/>
          <w:color w:val="000000"/>
          <w:szCs w:val="18"/>
          <w:lang w:val="it-IT"/>
        </w:rPr>
        <w:t>’</w:t>
      </w:r>
      <w:r w:rsidRPr="003F471F">
        <w:rPr>
          <w:rFonts w:eastAsia="Calibri" w:cs="Tahoma"/>
          <w:iCs/>
          <w:color w:val="000000"/>
          <w:szCs w:val="18"/>
          <w:lang w:val="it-IT"/>
        </w:rPr>
        <w:t>Istituto.</w:t>
      </w:r>
      <w:r w:rsidR="00E34ED3" w:rsidRPr="003F471F">
        <w:rPr>
          <w:rFonts w:eastAsia="Calibri" w:cs="Tahoma"/>
          <w:iCs/>
          <w:color w:val="000000"/>
          <w:szCs w:val="18"/>
          <w:lang w:val="it-IT"/>
        </w:rPr>
        <w:t xml:space="preserve"> </w:t>
      </w:r>
      <w:r w:rsidRPr="003F471F">
        <w:rPr>
          <w:rFonts w:eastAsia="Calibri" w:cs="Tahoma"/>
          <w:iCs/>
          <w:color w:val="000000"/>
          <w:szCs w:val="18"/>
          <w:lang w:val="it-IT"/>
        </w:rPr>
        <w:t>L</w:t>
      </w:r>
      <w:r w:rsidR="001C4212" w:rsidRPr="003F471F">
        <w:rPr>
          <w:rFonts w:eastAsia="Calibri" w:cs="Tahoma"/>
          <w:iCs/>
          <w:color w:val="000000"/>
          <w:szCs w:val="18"/>
          <w:lang w:val="it-IT"/>
        </w:rPr>
        <w:t>’</w:t>
      </w:r>
      <w:r w:rsidRPr="003F471F">
        <w:rPr>
          <w:rFonts w:eastAsia="Calibri" w:cs="Tahoma"/>
          <w:iCs/>
          <w:color w:val="000000"/>
          <w:szCs w:val="18"/>
          <w:lang w:val="it-IT"/>
        </w:rPr>
        <w:t>utilizzo del software è</w:t>
      </w:r>
      <w:r w:rsidR="00485AED" w:rsidRPr="003F471F">
        <w:rPr>
          <w:rFonts w:eastAsia="Calibri" w:cs="Tahoma"/>
          <w:iCs/>
          <w:color w:val="000000"/>
          <w:szCs w:val="18"/>
          <w:lang w:val="it-IT"/>
        </w:rPr>
        <w:t> </w:t>
      </w:r>
      <w:r w:rsidRPr="003F471F">
        <w:rPr>
          <w:rFonts w:eastAsia="Calibri" w:cs="Tahoma"/>
          <w:iCs/>
          <w:color w:val="000000"/>
          <w:szCs w:val="18"/>
          <w:lang w:val="it-IT"/>
        </w:rPr>
        <w:t>soggetto alle condizioni di licenza per Office Professional Plus 2013.</w:t>
      </w:r>
      <w:r w:rsidR="00E34ED3" w:rsidRPr="003F471F">
        <w:rPr>
          <w:rFonts w:eastAsia="Calibri" w:cs="Tahoma"/>
          <w:iCs/>
          <w:color w:val="000000"/>
          <w:szCs w:val="18"/>
          <w:lang w:val="it-IT"/>
        </w:rPr>
        <w:t xml:space="preserve"> </w:t>
      </w:r>
    </w:p>
    <w:p w14:paraId="62034518" w14:textId="77777777" w:rsidR="00B26237" w:rsidRPr="003F471F" w:rsidRDefault="00B26237" w:rsidP="00B26237">
      <w:pPr>
        <w:ind w:left="720"/>
        <w:rPr>
          <w:lang w:val="it-IT"/>
        </w:rPr>
      </w:pPr>
    </w:p>
    <w:p w14:paraId="327EA5F4" w14:textId="77777777" w:rsidR="00B26237" w:rsidRPr="003F471F" w:rsidRDefault="00B26237" w:rsidP="00810479">
      <w:pPr>
        <w:pStyle w:val="FootnoteBulletLevel2"/>
        <w:tabs>
          <w:tab w:val="clear" w:pos="1260"/>
        </w:tabs>
        <w:spacing w:before="0"/>
        <w:ind w:left="720" w:firstLine="0"/>
        <w:rPr>
          <w:lang w:val="it-IT"/>
        </w:rPr>
      </w:pPr>
      <w:r w:rsidRPr="003F471F">
        <w:rPr>
          <w:rFonts w:ascii="Tahoma" w:eastAsia="Calibri" w:hAnsi="Tahoma" w:cs="Tahoma"/>
          <w:color w:val="000000"/>
          <w:sz w:val="18"/>
          <w:szCs w:val="18"/>
          <w:lang w:val="it-IT"/>
        </w:rPr>
        <w:t>Lync Online Piano 1A e Piano 2A richiedono l</w:t>
      </w:r>
      <w:r w:rsidR="001C4212" w:rsidRPr="003F471F">
        <w:rPr>
          <w:rFonts w:ascii="Tahoma" w:eastAsia="Calibri" w:hAnsi="Tahoma" w:cs="Tahoma"/>
          <w:color w:val="000000"/>
          <w:sz w:val="18"/>
          <w:szCs w:val="18"/>
          <w:lang w:val="it-IT"/>
        </w:rPr>
        <w:t>’</w:t>
      </w:r>
      <w:r w:rsidRPr="003F471F">
        <w:rPr>
          <w:rFonts w:ascii="Tahoma" w:eastAsia="Calibri" w:hAnsi="Tahoma" w:cs="Tahoma"/>
          <w:color w:val="000000"/>
          <w:sz w:val="18"/>
          <w:szCs w:val="18"/>
          <w:lang w:val="it-IT"/>
        </w:rPr>
        <w:t>acquisto e l</w:t>
      </w:r>
      <w:r w:rsidR="001C4212" w:rsidRPr="003F471F">
        <w:rPr>
          <w:rFonts w:ascii="Tahoma" w:eastAsia="Calibri" w:hAnsi="Tahoma" w:cs="Tahoma"/>
          <w:color w:val="000000"/>
          <w:sz w:val="18"/>
          <w:szCs w:val="18"/>
          <w:lang w:val="it-IT"/>
        </w:rPr>
        <w:t>’</w:t>
      </w:r>
      <w:r w:rsidRPr="003F471F">
        <w:rPr>
          <w:rFonts w:ascii="Tahoma" w:eastAsia="Calibri" w:hAnsi="Tahoma" w:cs="Tahoma"/>
          <w:color w:val="000000"/>
          <w:sz w:val="18"/>
          <w:szCs w:val="18"/>
          <w:lang w:val="it-IT"/>
        </w:rPr>
        <w:t>installazione separati di Microsoft Lync 2013 (o Lync per Mac 2011) per accedere al set completo di funzionalità di Lync Online Piano 1A e Piano 2A. Grazie a un</w:t>
      </w:r>
      <w:r w:rsidR="001C4212" w:rsidRPr="003F471F">
        <w:rPr>
          <w:rFonts w:ascii="Tahoma" w:eastAsia="Calibri" w:hAnsi="Tahoma" w:cs="Tahoma"/>
          <w:color w:val="000000"/>
          <w:sz w:val="18"/>
          <w:szCs w:val="18"/>
          <w:lang w:val="it-IT"/>
        </w:rPr>
        <w:t>’</w:t>
      </w:r>
      <w:r w:rsidRPr="003F471F">
        <w:rPr>
          <w:rFonts w:ascii="Tahoma" w:eastAsia="Calibri" w:hAnsi="Tahoma" w:cs="Tahoma"/>
          <w:color w:val="000000"/>
          <w:sz w:val="18"/>
          <w:szCs w:val="18"/>
          <w:lang w:val="it-IT"/>
        </w:rPr>
        <w:t>offerta di durata limitata, le società in possesso della licenza per Lync Online riceveranno gratuitamente in licenza una copia di Lync per Mac 2011 per ogni licenza “Subscription” per Lync Online. 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w:t>
      </w:r>
      <w:r w:rsidR="00E34ED3" w:rsidRPr="003F471F">
        <w:rPr>
          <w:rFonts w:ascii="Tahoma" w:eastAsia="Calibri" w:hAnsi="Tahoma" w:cs="Tahoma"/>
          <w:color w:val="000000"/>
          <w:sz w:val="18"/>
          <w:szCs w:val="18"/>
          <w:lang w:val="it-IT"/>
        </w:rPr>
        <w:t xml:space="preserve"> </w:t>
      </w:r>
      <w:r w:rsidRPr="003F471F">
        <w:rPr>
          <w:rFonts w:ascii="Tahoma" w:eastAsia="Calibri" w:hAnsi="Tahoma" w:cs="Tahoma"/>
          <w:color w:val="000000"/>
          <w:sz w:val="18"/>
          <w:szCs w:val="18"/>
          <w:lang w:val="it-IT"/>
        </w:rPr>
        <w:t>Le società potranno utilizzare il client gratuito Lync Basic 2013 per i loro utenti finali in possesso di Windows.</w:t>
      </w:r>
    </w:p>
    <w:p w14:paraId="3FB146BA" w14:textId="77777777" w:rsidR="00B26237" w:rsidRPr="003F471F" w:rsidRDefault="00B26237" w:rsidP="00E03856">
      <w:pPr>
        <w:pStyle w:val="FootnoteBulletLevel2"/>
        <w:tabs>
          <w:tab w:val="clear" w:pos="1260"/>
        </w:tabs>
        <w:spacing w:before="0"/>
        <w:ind w:left="0" w:firstLine="0"/>
        <w:rPr>
          <w:lang w:val="it-IT"/>
        </w:rPr>
      </w:pPr>
    </w:p>
    <w:p w14:paraId="0EF3132F" w14:textId="77777777" w:rsidR="00B26237" w:rsidRPr="003F471F" w:rsidRDefault="00B26237" w:rsidP="00D16EA8">
      <w:pPr>
        <w:pStyle w:val="FootnoteBulletLevel2"/>
        <w:tabs>
          <w:tab w:val="clear" w:pos="1260"/>
        </w:tabs>
        <w:spacing w:before="0"/>
        <w:ind w:left="0" w:firstLine="0"/>
        <w:rPr>
          <w:lang w:val="it-IT"/>
        </w:rPr>
      </w:pPr>
    </w:p>
    <w:p w14:paraId="1E339BBD" w14:textId="77777777" w:rsidR="00996781" w:rsidRPr="0058047D" w:rsidRDefault="00A13C98" w:rsidP="00B26237">
      <w:pPr>
        <w:pStyle w:val="Heading2"/>
        <w:ind w:left="0"/>
      </w:pPr>
      <w:bookmarkStart w:id="970" w:name="_7_Office_365"/>
      <w:bookmarkStart w:id="971" w:name="_65_Office_365"/>
      <w:bookmarkStart w:id="972" w:name="_5_Office_365"/>
      <w:bookmarkStart w:id="973" w:name="_Toc371663657"/>
      <w:bookmarkStart w:id="974" w:name="_Toc336338263"/>
      <w:bookmarkEnd w:id="970"/>
      <w:bookmarkEnd w:id="971"/>
      <w:bookmarkEnd w:id="972"/>
      <w:r w:rsidRPr="0058047D">
        <w:rPr>
          <w:rFonts w:ascii="Tahoma" w:hAnsi="Tahoma" w:cs="Tahoma"/>
          <w:caps/>
          <w:color w:val="FF6600"/>
          <w:sz w:val="22"/>
          <w:szCs w:val="22"/>
          <w:vertAlign w:val="superscript"/>
        </w:rPr>
        <w:t>6</w:t>
      </w:r>
      <w:r w:rsidRPr="0058047D">
        <w:rPr>
          <w:rFonts w:ascii="Tahoma" w:hAnsi="Tahoma" w:cs="Tahoma"/>
          <w:color w:val="FF6600"/>
        </w:rPr>
        <w:t xml:space="preserve"> </w:t>
      </w:r>
      <w:r w:rsidRPr="0058047D">
        <w:rPr>
          <w:rFonts w:ascii="Tahoma" w:hAnsi="Tahoma" w:cs="Tahoma"/>
          <w:color w:val="FF6600"/>
          <w:sz w:val="22"/>
          <w:szCs w:val="22"/>
        </w:rPr>
        <w:t>Office 365 Midsize Business (SL per Utente)</w:t>
      </w:r>
      <w:bookmarkEnd w:id="973"/>
    </w:p>
    <w:p w14:paraId="3CEA54D6" w14:textId="77777777" w:rsidR="00996781" w:rsidRPr="0058047D" w:rsidRDefault="00996781" w:rsidP="00996781">
      <w:pPr>
        <w:ind w:left="720"/>
      </w:pPr>
    </w:p>
    <w:p w14:paraId="04C571E8" w14:textId="77777777" w:rsidR="00996781" w:rsidRPr="003F471F" w:rsidRDefault="00996781" w:rsidP="00996781">
      <w:pPr>
        <w:ind w:left="720"/>
        <w:rPr>
          <w:lang w:val="it-IT"/>
        </w:rPr>
      </w:pPr>
      <w:r w:rsidRPr="003F471F">
        <w:rPr>
          <w:color w:val="000000"/>
          <w:lang w:val="it-IT"/>
        </w:rPr>
        <w:t>Office 365 Midsized Business è adatto a società con 10 - 250 postazioni.</w:t>
      </w:r>
      <w:r w:rsidR="00E34ED3" w:rsidRPr="003F471F">
        <w:rPr>
          <w:color w:val="000000"/>
          <w:lang w:val="it-IT"/>
        </w:rPr>
        <w:t xml:space="preserve"> </w:t>
      </w:r>
      <w:r w:rsidRPr="003F471F">
        <w:rPr>
          <w:color w:val="000000"/>
          <w:lang w:val="it-IT"/>
        </w:rPr>
        <w:t>Viene venduto solo con i Programmi Open License, Open Value e Open Value Subscription.</w:t>
      </w:r>
      <w:r w:rsidR="00E34ED3" w:rsidRPr="003F471F">
        <w:rPr>
          <w:color w:val="000000"/>
          <w:lang w:val="it-IT"/>
        </w:rPr>
        <w:t xml:space="preserve"> </w:t>
      </w:r>
      <w:r w:rsidRPr="003F471F">
        <w:rPr>
          <w:color w:val="000000"/>
          <w:lang w:val="it-IT"/>
        </w:rPr>
        <w:t>Al momento dell</w:t>
      </w:r>
      <w:r w:rsidR="001C4212" w:rsidRPr="003F471F">
        <w:rPr>
          <w:color w:val="000000"/>
          <w:lang w:val="it-IT"/>
        </w:rPr>
        <w:t>’</w:t>
      </w:r>
      <w:r w:rsidRPr="003F471F">
        <w:rPr>
          <w:color w:val="000000"/>
          <w:lang w:val="it-IT"/>
        </w:rPr>
        <w:t xml:space="preserve">acquisto di Office 365 Midsized Business viene emesso un codice Product Key che consente di attivare il servizio. </w:t>
      </w:r>
    </w:p>
    <w:p w14:paraId="25AF94CB" w14:textId="77777777" w:rsidR="00996781" w:rsidRPr="003F471F" w:rsidRDefault="00996781" w:rsidP="00996781">
      <w:pPr>
        <w:ind w:left="720"/>
        <w:rPr>
          <w:lang w:val="it-IT"/>
        </w:rPr>
      </w:pPr>
    </w:p>
    <w:p w14:paraId="5BEBFC79" w14:textId="77777777" w:rsidR="00996781" w:rsidRPr="003F471F" w:rsidRDefault="00996781" w:rsidP="00996781">
      <w:pPr>
        <w:ind w:left="720"/>
        <w:rPr>
          <w:lang w:val="it-IT"/>
        </w:rPr>
      </w:pPr>
      <w:r w:rsidRPr="003F471F">
        <w:rPr>
          <w:color w:val="000000"/>
          <w:lang w:val="it-IT"/>
        </w:rPr>
        <w:t>Office 365 Midsized Business viene venduto con l</w:t>
      </w:r>
      <w:r w:rsidR="001C4212" w:rsidRPr="003F471F">
        <w:rPr>
          <w:color w:val="000000"/>
          <w:lang w:val="it-IT"/>
        </w:rPr>
        <w:t>’</w:t>
      </w:r>
      <w:r w:rsidRPr="003F471F">
        <w:rPr>
          <w:color w:val="000000"/>
          <w:lang w:val="it-IT"/>
        </w:rPr>
        <w:t>opzione di pagamento anticipato di un anno.</w:t>
      </w:r>
      <w:r w:rsidR="00E34ED3" w:rsidRPr="003F471F">
        <w:rPr>
          <w:color w:val="000000"/>
          <w:lang w:val="it-IT"/>
        </w:rPr>
        <w:t xml:space="preserve"> </w:t>
      </w:r>
      <w:r w:rsidRPr="003F471F">
        <w:rPr>
          <w:color w:val="000000"/>
          <w:lang w:val="it-IT"/>
        </w:rPr>
        <w:t>La data di inizio e la data di fine della sottoscrizione del servizio sono indipendenti dal periodo di validità del Contratto Multilicenza.</w:t>
      </w:r>
      <w:r w:rsidR="00E34ED3" w:rsidRPr="003F471F">
        <w:rPr>
          <w:color w:val="000000"/>
          <w:lang w:val="it-IT"/>
        </w:rPr>
        <w:t xml:space="preserve"> </w:t>
      </w:r>
      <w:r w:rsidRPr="003F471F">
        <w:rPr>
          <w:color w:val="000000"/>
          <w:lang w:val="it-IT"/>
        </w:rPr>
        <w:t>Il periodo di sottoscrizione inizia al momento dell</w:t>
      </w:r>
      <w:r w:rsidR="001C4212" w:rsidRPr="003F471F">
        <w:rPr>
          <w:color w:val="000000"/>
          <w:lang w:val="it-IT"/>
        </w:rPr>
        <w:t>’</w:t>
      </w:r>
      <w:r w:rsidRPr="003F471F">
        <w:rPr>
          <w:color w:val="000000"/>
          <w:lang w:val="it-IT"/>
        </w:rPr>
        <w:t>attivazione del codice Product Key e non quando viene effettuato l</w:t>
      </w:r>
      <w:r w:rsidR="001C4212" w:rsidRPr="003F471F">
        <w:rPr>
          <w:color w:val="000000"/>
          <w:lang w:val="it-IT"/>
        </w:rPr>
        <w:t>’</w:t>
      </w:r>
      <w:r w:rsidRPr="003F471F">
        <w:rPr>
          <w:color w:val="000000"/>
          <w:lang w:val="it-IT"/>
        </w:rPr>
        <w:t>ordine.</w:t>
      </w:r>
      <w:r w:rsidR="00E34ED3" w:rsidRPr="003F471F">
        <w:rPr>
          <w:color w:val="000000"/>
          <w:lang w:val="it-IT"/>
        </w:rPr>
        <w:t xml:space="preserve"> </w:t>
      </w:r>
      <w:r w:rsidRPr="003F471F">
        <w:rPr>
          <w:color w:val="000000"/>
          <w:lang w:val="it-IT"/>
        </w:rPr>
        <w:t xml:space="preserve">Una volta attivato il codice Product Key di Office 365, Microsoft non accetterà le richieste di restituzione inviate dai partner. </w:t>
      </w:r>
    </w:p>
    <w:p w14:paraId="074187CD" w14:textId="77777777" w:rsidR="00996781" w:rsidRPr="003F471F" w:rsidRDefault="00996781" w:rsidP="00996781">
      <w:pPr>
        <w:ind w:left="720"/>
        <w:rPr>
          <w:lang w:val="it-IT"/>
        </w:rPr>
      </w:pPr>
    </w:p>
    <w:p w14:paraId="78036EC7" w14:textId="77777777" w:rsidR="00996781" w:rsidRPr="003F471F" w:rsidRDefault="00996781" w:rsidP="00996781">
      <w:pPr>
        <w:ind w:left="720"/>
        <w:rPr>
          <w:lang w:val="it-IT"/>
        </w:rPr>
      </w:pPr>
      <w:r w:rsidRPr="003F471F">
        <w:rPr>
          <w:color w:val="000000"/>
          <w:lang w:val="it-IT"/>
        </w:rPr>
        <w:t>Le società finali in possesso di un Contratto attivo Open Value/Open Value Subscription con un impegno per l</w:t>
      </w:r>
      <w:r w:rsidR="001C4212" w:rsidRPr="003F471F">
        <w:rPr>
          <w:color w:val="000000"/>
          <w:lang w:val="it-IT"/>
        </w:rPr>
        <w:t>’</w:t>
      </w:r>
      <w:r w:rsidRPr="003F471F">
        <w:rPr>
          <w:color w:val="000000"/>
          <w:lang w:val="it-IT"/>
        </w:rPr>
        <w:t>intera organizzazione per Office Pro Plus e/o Client Access License Suite si qualificano per una riduzione del prezzo di Office 365 Midsized Business.</w:t>
      </w:r>
      <w:r w:rsidR="00E34ED3" w:rsidRPr="003F471F">
        <w:rPr>
          <w:color w:val="000000"/>
          <w:lang w:val="it-IT"/>
        </w:rPr>
        <w:t xml:space="preserve"> </w:t>
      </w:r>
      <w:r w:rsidRPr="003F471F">
        <w:rPr>
          <w:color w:val="000000"/>
          <w:lang w:val="it-IT"/>
        </w:rPr>
        <w:t>L</w:t>
      </w:r>
      <w:r w:rsidR="001C4212" w:rsidRPr="003F471F">
        <w:rPr>
          <w:color w:val="000000"/>
          <w:lang w:val="it-IT"/>
        </w:rPr>
        <w:t>’</w:t>
      </w:r>
      <w:r w:rsidRPr="003F471F">
        <w:rPr>
          <w:color w:val="000000"/>
          <w:lang w:val="it-IT"/>
        </w:rPr>
        <w:t xml:space="preserve">offerta è definita Offerta Office 365 Open Value e la società potrà contattare il rivenditore per ulteriori dettagli. </w:t>
      </w:r>
    </w:p>
    <w:p w14:paraId="36BDC80C" w14:textId="77777777" w:rsidR="00996781" w:rsidRPr="003F471F" w:rsidRDefault="00996781" w:rsidP="00996781">
      <w:pPr>
        <w:ind w:left="720"/>
        <w:rPr>
          <w:lang w:val="it-IT"/>
        </w:rPr>
      </w:pPr>
    </w:p>
    <w:p w14:paraId="29B042A9" w14:textId="77777777" w:rsidR="00996781" w:rsidRPr="003F471F" w:rsidRDefault="00996781" w:rsidP="00996781">
      <w:pPr>
        <w:ind w:left="720"/>
        <w:rPr>
          <w:lang w:val="it-IT"/>
        </w:rPr>
      </w:pPr>
      <w:r w:rsidRPr="003F471F">
        <w:rPr>
          <w:color w:val="000000"/>
          <w:lang w:val="it-IT"/>
        </w:rPr>
        <w:t>Nell</w:t>
      </w:r>
      <w:r w:rsidR="001C4212" w:rsidRPr="003F471F">
        <w:rPr>
          <w:color w:val="000000"/>
          <w:lang w:val="it-IT"/>
        </w:rPr>
        <w:t>’</w:t>
      </w:r>
      <w:r w:rsidRPr="003F471F">
        <w:rPr>
          <w:color w:val="000000"/>
          <w:lang w:val="it-IT"/>
        </w:rPr>
        <w:t>eventualità di una discrepanza tra le condizioni di licenza per Office 365 Midsized Business e questa nota, i Diritti di Utilizzo del Prodotto correnti avranno prevalenza.</w:t>
      </w:r>
    </w:p>
    <w:p w14:paraId="69FA201D" w14:textId="77777777" w:rsidR="000A0D35" w:rsidRPr="003F471F" w:rsidRDefault="000A0D35" w:rsidP="00996781">
      <w:pPr>
        <w:ind w:left="720"/>
        <w:rPr>
          <w:lang w:val="it-IT"/>
        </w:rPr>
      </w:pPr>
    </w:p>
    <w:p w14:paraId="3BAEE6C1" w14:textId="77777777" w:rsidR="00D824E9" w:rsidRPr="003F471F" w:rsidRDefault="00D824E9" w:rsidP="00996781">
      <w:pPr>
        <w:ind w:left="720"/>
        <w:rPr>
          <w:lang w:val="it-IT"/>
        </w:rPr>
      </w:pPr>
    </w:p>
    <w:p w14:paraId="3FD75B5F" w14:textId="77777777" w:rsidR="000A0D35" w:rsidRPr="003F471F" w:rsidRDefault="000A0D35" w:rsidP="00485AED">
      <w:pPr>
        <w:pStyle w:val="Heading2"/>
        <w:ind w:left="130" w:hanging="130"/>
        <w:rPr>
          <w:lang w:val="it-IT"/>
        </w:rPr>
      </w:pPr>
      <w:bookmarkStart w:id="975" w:name="_7_Add-on_User"/>
      <w:bookmarkStart w:id="976" w:name="_7_Licenze_Subscription"/>
      <w:bookmarkStart w:id="977" w:name="_Toc371663658"/>
      <w:bookmarkEnd w:id="975"/>
      <w:bookmarkEnd w:id="976"/>
      <w:r w:rsidRPr="003F471F">
        <w:rPr>
          <w:rFonts w:ascii="Tahoma" w:hAnsi="Tahoma" w:cs="Tahoma"/>
          <w:caps/>
          <w:color w:val="FF6600"/>
          <w:sz w:val="22"/>
          <w:szCs w:val="22"/>
          <w:vertAlign w:val="superscript"/>
          <w:lang w:val="it-IT"/>
        </w:rPr>
        <w:t xml:space="preserve">7 </w:t>
      </w:r>
      <w:r w:rsidRPr="003F471F">
        <w:rPr>
          <w:rFonts w:ascii="Tahoma" w:hAnsi="Tahoma" w:cs="Tahoma"/>
          <w:color w:val="FF6600"/>
          <w:sz w:val="22"/>
          <w:szCs w:val="22"/>
          <w:lang w:val="it-IT"/>
        </w:rPr>
        <w:t>Licenze Subscription Add-on per Utente per Carichi di Lavoro di Office 365 ed</w:t>
      </w:r>
      <w:r w:rsidR="00485AED" w:rsidRPr="003F471F">
        <w:rPr>
          <w:rFonts w:ascii="Tahoma" w:hAnsi="Tahoma" w:cs="Tahoma"/>
          <w:color w:val="FF6600"/>
          <w:sz w:val="22"/>
          <w:szCs w:val="22"/>
          <w:lang w:val="it-IT"/>
        </w:rPr>
        <w:t> </w:t>
      </w:r>
      <w:r w:rsidRPr="003F471F">
        <w:rPr>
          <w:rFonts w:ascii="Tahoma" w:hAnsi="Tahoma" w:cs="Tahoma"/>
          <w:color w:val="FF6600"/>
          <w:sz w:val="22"/>
          <w:szCs w:val="22"/>
          <w:lang w:val="it-IT"/>
        </w:rPr>
        <w:t>Enterprise</w:t>
      </w:r>
      <w:bookmarkEnd w:id="977"/>
    </w:p>
    <w:p w14:paraId="43D91C82" w14:textId="77777777" w:rsidR="000A0D35" w:rsidRPr="003F471F" w:rsidRDefault="000A0D35" w:rsidP="000A0D35">
      <w:pPr>
        <w:spacing w:after="60"/>
        <w:ind w:left="720"/>
        <w:rPr>
          <w:lang w:val="it-IT"/>
        </w:rPr>
      </w:pPr>
    </w:p>
    <w:p w14:paraId="7B278EA0" w14:textId="77777777" w:rsidR="000A0D35" w:rsidRPr="003F471F" w:rsidRDefault="000A0D35" w:rsidP="00D87E94">
      <w:pPr>
        <w:spacing w:after="120"/>
        <w:ind w:left="720"/>
        <w:rPr>
          <w:lang w:val="it-IT"/>
        </w:rPr>
      </w:pPr>
      <w:r w:rsidRPr="003F471F">
        <w:rPr>
          <w:lang w:val="it-IT"/>
        </w:rPr>
        <w:t>Una Licenza Subscription Add-on per Utente (SL Add-on per Utente) è una Licenza Subscription (SL) per utente acquistata in aggiunta (e in associazione) a una Licenza Qualificante (o a un gruppo di Licenze Qualificanti) che offre l</w:t>
      </w:r>
      <w:r w:rsidR="001C4212" w:rsidRPr="003F471F">
        <w:rPr>
          <w:lang w:val="it-IT"/>
        </w:rPr>
        <w:t>’</w:t>
      </w:r>
      <w:r w:rsidRPr="003F471F">
        <w:rPr>
          <w:lang w:val="it-IT"/>
        </w:rPr>
        <w:t>accesso ai Servizi Online e diritti sull</w:t>
      </w:r>
      <w:r w:rsidR="001C4212" w:rsidRPr="003F471F">
        <w:rPr>
          <w:lang w:val="it-IT"/>
        </w:rPr>
        <w:t>’</w:t>
      </w:r>
      <w:r w:rsidRPr="003F471F">
        <w:rPr>
          <w:lang w:val="it-IT"/>
        </w:rPr>
        <w:t xml:space="preserve">utilizzo equivalenti a una Corrispondente SL per Utente per i Servizi Online. </w:t>
      </w:r>
    </w:p>
    <w:p w14:paraId="37978371" w14:textId="77777777" w:rsidR="000A0D35" w:rsidRPr="003F471F" w:rsidRDefault="000A0D35" w:rsidP="000A0D35">
      <w:pPr>
        <w:spacing w:after="60"/>
        <w:ind w:left="720"/>
        <w:rPr>
          <w:lang w:val="it-IT"/>
        </w:rPr>
      </w:pPr>
      <w:r w:rsidRPr="003F471F">
        <w:rPr>
          <w:lang w:val="it-IT"/>
        </w:rPr>
        <w:t>Nella tabella seguente è indicata la Licenza Qualificante e la Corrispondente SL per Utente per i Servizi Online per ogni SL Add-on per Utente disponibile.</w:t>
      </w:r>
    </w:p>
    <w:p w14:paraId="4A9A4E82" w14:textId="77777777" w:rsidR="000A0D35" w:rsidRPr="003F471F" w:rsidRDefault="000A0D35" w:rsidP="00D824E9">
      <w:pPr>
        <w:rPr>
          <w:lang w:val="it-IT"/>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330"/>
        <w:gridCol w:w="4065"/>
      </w:tblGrid>
      <w:tr w:rsidR="000A0D35" w:rsidRPr="003F471F" w14:paraId="71AE263B" w14:textId="77777777" w:rsidTr="00BC00C1">
        <w:tc>
          <w:tcPr>
            <w:tcW w:w="1458" w:type="dxa"/>
            <w:shd w:val="clear" w:color="auto" w:fill="FABF8F"/>
          </w:tcPr>
          <w:p w14:paraId="1CC29D82" w14:textId="77777777" w:rsidR="000A0D35" w:rsidRPr="0058047D" w:rsidRDefault="000A0D35" w:rsidP="00DB3ECB">
            <w:pPr>
              <w:jc w:val="center"/>
              <w:rPr>
                <w:rFonts w:cs="Tahoma"/>
                <w:b/>
                <w:szCs w:val="24"/>
              </w:rPr>
            </w:pPr>
            <w:r w:rsidRPr="0058047D">
              <w:rPr>
                <w:rFonts w:cs="Tahoma"/>
                <w:b/>
                <w:szCs w:val="24"/>
              </w:rPr>
              <w:t>Licenza Qualificante</w:t>
            </w:r>
          </w:p>
        </w:tc>
        <w:tc>
          <w:tcPr>
            <w:tcW w:w="3330" w:type="dxa"/>
            <w:shd w:val="clear" w:color="auto" w:fill="FABF8F"/>
            <w:vAlign w:val="center"/>
          </w:tcPr>
          <w:p w14:paraId="71213441" w14:textId="77777777" w:rsidR="000A0D35" w:rsidRPr="003F471F" w:rsidRDefault="000A0D35" w:rsidP="00DB3ECB">
            <w:pPr>
              <w:jc w:val="center"/>
              <w:rPr>
                <w:rFonts w:cs="Tahoma"/>
                <w:b/>
                <w:szCs w:val="24"/>
                <w:vertAlign w:val="superscript"/>
                <w:lang w:val="it-IT"/>
              </w:rPr>
            </w:pPr>
            <w:r w:rsidRPr="003F471F">
              <w:rPr>
                <w:rFonts w:cs="Tahoma"/>
                <w:b/>
                <w:szCs w:val="24"/>
                <w:lang w:val="it-IT"/>
              </w:rPr>
              <w:t>SL Add-on per Utente</w:t>
            </w:r>
            <w:r w:rsidRPr="003F471F">
              <w:rPr>
                <w:rFonts w:cs="Tahoma"/>
                <w:b/>
                <w:szCs w:val="24"/>
                <w:vertAlign w:val="superscript"/>
                <w:lang w:val="it-IT"/>
              </w:rPr>
              <w:t>1</w:t>
            </w:r>
          </w:p>
        </w:tc>
        <w:tc>
          <w:tcPr>
            <w:tcW w:w="4065" w:type="dxa"/>
            <w:shd w:val="clear" w:color="auto" w:fill="FABF8F"/>
            <w:vAlign w:val="center"/>
          </w:tcPr>
          <w:p w14:paraId="21DE8C03" w14:textId="77777777" w:rsidR="000A0D35" w:rsidRPr="003F471F" w:rsidRDefault="000A0D35" w:rsidP="00485AED">
            <w:pPr>
              <w:jc w:val="center"/>
              <w:rPr>
                <w:rFonts w:cs="Tahoma"/>
                <w:b/>
                <w:szCs w:val="24"/>
                <w:lang w:val="it-IT"/>
              </w:rPr>
            </w:pPr>
            <w:r w:rsidRPr="003F471F">
              <w:rPr>
                <w:rFonts w:cs="Tahoma"/>
                <w:b/>
                <w:szCs w:val="24"/>
                <w:lang w:val="it-IT"/>
              </w:rPr>
              <w:t xml:space="preserve">Corrispondente SL per Utente per </w:t>
            </w:r>
            <w:r w:rsidR="00485AED" w:rsidRPr="003F471F">
              <w:rPr>
                <w:rFonts w:cs="Tahoma"/>
                <w:b/>
                <w:szCs w:val="24"/>
                <w:lang w:val="it-IT"/>
              </w:rPr>
              <w:t>I </w:t>
            </w:r>
            <w:r w:rsidRPr="003F471F">
              <w:rPr>
                <w:rFonts w:cs="Tahoma"/>
                <w:b/>
                <w:szCs w:val="24"/>
                <w:lang w:val="it-IT"/>
              </w:rPr>
              <w:t>Servizi</w:t>
            </w:r>
            <w:r w:rsidR="00485AED" w:rsidRPr="003F471F">
              <w:rPr>
                <w:rFonts w:cs="Tahoma"/>
                <w:b/>
                <w:szCs w:val="24"/>
                <w:lang w:val="it-IT"/>
              </w:rPr>
              <w:t> </w:t>
            </w:r>
            <w:r w:rsidRPr="003F471F">
              <w:rPr>
                <w:rFonts w:cs="Tahoma"/>
                <w:b/>
                <w:szCs w:val="24"/>
                <w:lang w:val="it-IT"/>
              </w:rPr>
              <w:t>Online</w:t>
            </w:r>
            <w:r w:rsidRPr="003F471F">
              <w:rPr>
                <w:rFonts w:cs="Tahoma"/>
                <w:b/>
                <w:szCs w:val="24"/>
                <w:vertAlign w:val="superscript"/>
                <w:lang w:val="it-IT"/>
              </w:rPr>
              <w:t>1</w:t>
            </w:r>
          </w:p>
        </w:tc>
      </w:tr>
      <w:tr w:rsidR="000A0D35" w:rsidRPr="0058047D" w14:paraId="54AA0580" w14:textId="77777777" w:rsidTr="00BC00C1">
        <w:tc>
          <w:tcPr>
            <w:tcW w:w="1458" w:type="dxa"/>
            <w:vMerge w:val="restart"/>
            <w:vAlign w:val="center"/>
          </w:tcPr>
          <w:p w14:paraId="40FD88CA" w14:textId="77777777" w:rsidR="000A0D35" w:rsidRPr="0058047D" w:rsidRDefault="000A0D35" w:rsidP="00DB3ECB">
            <w:pPr>
              <w:jc w:val="center"/>
              <w:rPr>
                <w:rFonts w:cs="Tahoma"/>
                <w:szCs w:val="18"/>
              </w:rPr>
            </w:pPr>
            <w:r w:rsidRPr="0058047D">
              <w:rPr>
                <w:rFonts w:cs="Tahoma"/>
                <w:szCs w:val="18"/>
              </w:rPr>
              <w:t>Core CAL</w:t>
            </w:r>
          </w:p>
        </w:tc>
        <w:tc>
          <w:tcPr>
            <w:tcW w:w="3330" w:type="dxa"/>
            <w:vAlign w:val="center"/>
          </w:tcPr>
          <w:p w14:paraId="597581D3" w14:textId="77777777" w:rsidR="000A0D35" w:rsidRPr="003F471F" w:rsidRDefault="000A0D35" w:rsidP="00485AED">
            <w:pPr>
              <w:rPr>
                <w:rFonts w:cs="Tahoma"/>
                <w:szCs w:val="18"/>
                <w:lang w:val="it-IT"/>
              </w:rPr>
            </w:pPr>
            <w:r w:rsidRPr="003F471F">
              <w:rPr>
                <w:rFonts w:cs="Tahoma"/>
                <w:szCs w:val="18"/>
                <w:lang w:val="it-IT"/>
              </w:rPr>
              <w:t>Componente Aggiuntivo di Office 365</w:t>
            </w:r>
            <w:r w:rsidR="00485AED" w:rsidRPr="003F471F">
              <w:rPr>
                <w:rFonts w:cs="Tahoma"/>
                <w:szCs w:val="18"/>
                <w:lang w:val="it-IT"/>
              </w:rPr>
              <w:t> </w:t>
            </w:r>
            <w:r w:rsidRPr="003F471F">
              <w:rPr>
                <w:rFonts w:cs="Tahoma"/>
                <w:szCs w:val="18"/>
                <w:lang w:val="it-IT"/>
              </w:rPr>
              <w:t xml:space="preserve">E1/G1 </w:t>
            </w:r>
          </w:p>
        </w:tc>
        <w:tc>
          <w:tcPr>
            <w:tcW w:w="4065" w:type="dxa"/>
            <w:vAlign w:val="center"/>
          </w:tcPr>
          <w:p w14:paraId="0C0270B2" w14:textId="77777777" w:rsidR="000A0D35" w:rsidRPr="0058047D" w:rsidRDefault="000A0D35" w:rsidP="00DB3ECB">
            <w:pPr>
              <w:rPr>
                <w:rFonts w:cs="Tahoma"/>
                <w:szCs w:val="18"/>
              </w:rPr>
            </w:pPr>
            <w:r w:rsidRPr="0058047D">
              <w:rPr>
                <w:rFonts w:cs="Tahoma"/>
                <w:szCs w:val="18"/>
              </w:rPr>
              <w:t>Office 365 E1/G1</w:t>
            </w:r>
          </w:p>
        </w:tc>
      </w:tr>
      <w:tr w:rsidR="000A0D35" w:rsidRPr="003F471F" w14:paraId="74F281D7" w14:textId="77777777" w:rsidTr="00BC00C1">
        <w:tc>
          <w:tcPr>
            <w:tcW w:w="1458" w:type="dxa"/>
            <w:vMerge/>
            <w:vAlign w:val="center"/>
          </w:tcPr>
          <w:p w14:paraId="19A1D91E" w14:textId="77777777" w:rsidR="000A0D35" w:rsidRPr="0058047D" w:rsidRDefault="000A0D35" w:rsidP="00DB3ECB">
            <w:pPr>
              <w:jc w:val="center"/>
              <w:rPr>
                <w:rFonts w:cs="Tahoma"/>
                <w:szCs w:val="18"/>
              </w:rPr>
            </w:pPr>
          </w:p>
        </w:tc>
        <w:tc>
          <w:tcPr>
            <w:tcW w:w="3330" w:type="dxa"/>
            <w:vAlign w:val="center"/>
          </w:tcPr>
          <w:p w14:paraId="711310AA" w14:textId="77777777" w:rsidR="000A0D35" w:rsidRPr="003F471F" w:rsidRDefault="000A0D35" w:rsidP="00947901">
            <w:pPr>
              <w:rPr>
                <w:rFonts w:cs="Tahoma"/>
                <w:szCs w:val="18"/>
                <w:lang w:val="it-IT"/>
              </w:rPr>
            </w:pPr>
            <w:r w:rsidRPr="003F471F">
              <w:rPr>
                <w:rFonts w:cs="Tahoma"/>
                <w:szCs w:val="18"/>
                <w:lang w:val="it-IT"/>
              </w:rPr>
              <w:t xml:space="preserve">Office 365 E3/G3 senza Componente Aggiuntivo di ProPlus </w:t>
            </w:r>
          </w:p>
        </w:tc>
        <w:tc>
          <w:tcPr>
            <w:tcW w:w="4065" w:type="dxa"/>
            <w:vAlign w:val="center"/>
          </w:tcPr>
          <w:p w14:paraId="03732F84" w14:textId="77777777" w:rsidR="000A0D35" w:rsidRPr="003F471F" w:rsidRDefault="000A0D35" w:rsidP="00947901">
            <w:pPr>
              <w:rPr>
                <w:rFonts w:cs="Tahoma"/>
                <w:szCs w:val="18"/>
                <w:lang w:val="it-IT"/>
              </w:rPr>
            </w:pPr>
            <w:r w:rsidRPr="003F471F">
              <w:rPr>
                <w:rFonts w:cs="Tahoma"/>
                <w:szCs w:val="18"/>
                <w:lang w:val="it-IT"/>
              </w:rPr>
              <w:t xml:space="preserve">Office 365 E3/G3 senza ProPlus </w:t>
            </w:r>
          </w:p>
        </w:tc>
      </w:tr>
      <w:tr w:rsidR="000A0D35" w:rsidRPr="003F471F" w14:paraId="0968564C" w14:textId="77777777" w:rsidTr="00BC00C1">
        <w:tc>
          <w:tcPr>
            <w:tcW w:w="1458" w:type="dxa"/>
            <w:vMerge/>
            <w:vAlign w:val="center"/>
          </w:tcPr>
          <w:p w14:paraId="166BF95D" w14:textId="77777777" w:rsidR="000A0D35" w:rsidRPr="003F471F" w:rsidRDefault="000A0D35" w:rsidP="00DB3ECB">
            <w:pPr>
              <w:jc w:val="center"/>
              <w:rPr>
                <w:rFonts w:cs="Tahoma"/>
                <w:szCs w:val="18"/>
                <w:lang w:val="it-IT"/>
              </w:rPr>
            </w:pPr>
          </w:p>
        </w:tc>
        <w:tc>
          <w:tcPr>
            <w:tcW w:w="3330" w:type="dxa"/>
            <w:vAlign w:val="center"/>
          </w:tcPr>
          <w:p w14:paraId="474A19C2" w14:textId="77777777" w:rsidR="000A0D35" w:rsidRPr="003F471F" w:rsidRDefault="000A0D35" w:rsidP="00947901">
            <w:pPr>
              <w:rPr>
                <w:rFonts w:cs="Tahoma"/>
                <w:szCs w:val="18"/>
                <w:lang w:val="it-IT"/>
              </w:rPr>
            </w:pPr>
            <w:r w:rsidRPr="003F471F">
              <w:rPr>
                <w:rFonts w:cs="Tahoma"/>
                <w:szCs w:val="18"/>
                <w:lang w:val="it-IT"/>
              </w:rPr>
              <w:t>Office 365 E4/G4 senza Componente Aggiuntivo di ProPlus</w:t>
            </w:r>
          </w:p>
        </w:tc>
        <w:tc>
          <w:tcPr>
            <w:tcW w:w="4065" w:type="dxa"/>
            <w:vAlign w:val="center"/>
          </w:tcPr>
          <w:p w14:paraId="00CB116E" w14:textId="77777777" w:rsidR="000A0D35" w:rsidRPr="003F471F" w:rsidRDefault="000A0D35" w:rsidP="00DB3ECB">
            <w:pPr>
              <w:rPr>
                <w:rFonts w:cs="Tahoma"/>
                <w:szCs w:val="18"/>
                <w:lang w:val="it-IT"/>
              </w:rPr>
            </w:pPr>
            <w:r w:rsidRPr="003F471F">
              <w:rPr>
                <w:rFonts w:cs="Tahoma"/>
                <w:szCs w:val="18"/>
                <w:lang w:val="it-IT"/>
              </w:rPr>
              <w:t xml:space="preserve">Office 365 E4/G4 senza ProPlus </w:t>
            </w:r>
          </w:p>
        </w:tc>
      </w:tr>
      <w:tr w:rsidR="000A0D35" w:rsidRPr="0058047D" w14:paraId="116C6F1A" w14:textId="77777777" w:rsidTr="00BC00C1">
        <w:tc>
          <w:tcPr>
            <w:tcW w:w="1458" w:type="dxa"/>
            <w:vMerge/>
            <w:vAlign w:val="center"/>
          </w:tcPr>
          <w:p w14:paraId="02C350F8" w14:textId="77777777" w:rsidR="000A0D35" w:rsidRPr="003F471F" w:rsidRDefault="000A0D35" w:rsidP="00DB3ECB">
            <w:pPr>
              <w:jc w:val="center"/>
              <w:rPr>
                <w:rFonts w:cs="Tahoma"/>
                <w:szCs w:val="18"/>
                <w:lang w:val="it-IT"/>
              </w:rPr>
            </w:pPr>
          </w:p>
        </w:tc>
        <w:tc>
          <w:tcPr>
            <w:tcW w:w="3330" w:type="dxa"/>
            <w:vAlign w:val="center"/>
          </w:tcPr>
          <w:p w14:paraId="1A05F148" w14:textId="77777777" w:rsidR="000A0D35" w:rsidRPr="003F471F" w:rsidRDefault="000A0D35" w:rsidP="00DB3ECB">
            <w:pPr>
              <w:rPr>
                <w:rFonts w:cs="Tahoma"/>
                <w:szCs w:val="18"/>
                <w:lang w:val="it-IT"/>
              </w:rPr>
            </w:pPr>
            <w:r w:rsidRPr="003F471F">
              <w:rPr>
                <w:rFonts w:cs="Tahoma"/>
                <w:szCs w:val="18"/>
                <w:lang w:val="it-IT"/>
              </w:rPr>
              <w:t>Componente Aggiuntivo di Exchange Online Piano 1</w:t>
            </w:r>
          </w:p>
        </w:tc>
        <w:tc>
          <w:tcPr>
            <w:tcW w:w="4065" w:type="dxa"/>
            <w:vAlign w:val="center"/>
          </w:tcPr>
          <w:p w14:paraId="7106154F" w14:textId="77777777" w:rsidR="000A0D35" w:rsidRPr="0058047D" w:rsidRDefault="000A0D35" w:rsidP="00DB3ECB">
            <w:pPr>
              <w:rPr>
                <w:rFonts w:cs="Tahoma"/>
                <w:szCs w:val="18"/>
              </w:rPr>
            </w:pPr>
            <w:r w:rsidRPr="0058047D">
              <w:rPr>
                <w:rFonts w:cs="Tahoma"/>
                <w:szCs w:val="18"/>
              </w:rPr>
              <w:t>Exchange Online Piano 1</w:t>
            </w:r>
          </w:p>
        </w:tc>
      </w:tr>
      <w:tr w:rsidR="000A0D35" w:rsidRPr="0058047D" w14:paraId="4D53719B" w14:textId="77777777" w:rsidTr="00BC00C1">
        <w:tc>
          <w:tcPr>
            <w:tcW w:w="1458" w:type="dxa"/>
            <w:vMerge/>
            <w:vAlign w:val="center"/>
          </w:tcPr>
          <w:p w14:paraId="07EEE9D4" w14:textId="77777777" w:rsidR="000A0D35" w:rsidRPr="0058047D" w:rsidRDefault="000A0D35" w:rsidP="00DB3ECB">
            <w:pPr>
              <w:jc w:val="center"/>
              <w:rPr>
                <w:rFonts w:cs="Tahoma"/>
                <w:szCs w:val="18"/>
              </w:rPr>
            </w:pPr>
          </w:p>
        </w:tc>
        <w:tc>
          <w:tcPr>
            <w:tcW w:w="3330" w:type="dxa"/>
            <w:vAlign w:val="center"/>
          </w:tcPr>
          <w:p w14:paraId="738D1206" w14:textId="77777777" w:rsidR="000A0D35" w:rsidRPr="0058047D" w:rsidRDefault="000A0D35" w:rsidP="00DB3ECB">
            <w:pPr>
              <w:rPr>
                <w:rFonts w:cs="Tahoma"/>
                <w:szCs w:val="18"/>
              </w:rPr>
            </w:pPr>
          </w:p>
        </w:tc>
        <w:tc>
          <w:tcPr>
            <w:tcW w:w="4065" w:type="dxa"/>
            <w:vAlign w:val="center"/>
          </w:tcPr>
          <w:p w14:paraId="05F9703C" w14:textId="77777777" w:rsidR="000A0D35" w:rsidRPr="0058047D" w:rsidRDefault="000A0D35" w:rsidP="00DB3ECB">
            <w:pPr>
              <w:rPr>
                <w:rFonts w:cs="Tahoma"/>
                <w:szCs w:val="18"/>
              </w:rPr>
            </w:pPr>
          </w:p>
        </w:tc>
      </w:tr>
      <w:tr w:rsidR="000A0D35" w:rsidRPr="0058047D" w14:paraId="4E414970" w14:textId="77777777" w:rsidTr="00BC00C1">
        <w:tc>
          <w:tcPr>
            <w:tcW w:w="1458" w:type="dxa"/>
            <w:vMerge/>
            <w:vAlign w:val="center"/>
          </w:tcPr>
          <w:p w14:paraId="153A2FE9" w14:textId="77777777" w:rsidR="000A0D35" w:rsidRPr="0058047D" w:rsidRDefault="000A0D35" w:rsidP="00DB3ECB">
            <w:pPr>
              <w:jc w:val="center"/>
              <w:rPr>
                <w:rFonts w:cs="Tahoma"/>
                <w:szCs w:val="18"/>
              </w:rPr>
            </w:pPr>
          </w:p>
        </w:tc>
        <w:tc>
          <w:tcPr>
            <w:tcW w:w="3330" w:type="dxa"/>
            <w:vAlign w:val="center"/>
          </w:tcPr>
          <w:p w14:paraId="744CC6FF" w14:textId="77777777" w:rsidR="000A0D35" w:rsidRPr="003F471F" w:rsidRDefault="000A0D35" w:rsidP="00DB3ECB">
            <w:pPr>
              <w:rPr>
                <w:rFonts w:cs="Tahoma"/>
                <w:szCs w:val="18"/>
                <w:lang w:val="it-IT"/>
              </w:rPr>
            </w:pPr>
            <w:r w:rsidRPr="003F471F">
              <w:rPr>
                <w:rFonts w:cs="Tahoma"/>
                <w:szCs w:val="18"/>
                <w:lang w:val="it-IT"/>
              </w:rPr>
              <w:t>Componente Aggiuntivo di Lync Online Piano 1</w:t>
            </w:r>
          </w:p>
        </w:tc>
        <w:tc>
          <w:tcPr>
            <w:tcW w:w="4065" w:type="dxa"/>
            <w:vAlign w:val="center"/>
          </w:tcPr>
          <w:p w14:paraId="407B1E2C" w14:textId="77777777" w:rsidR="000A0D35" w:rsidRPr="0058047D" w:rsidRDefault="000A0D35" w:rsidP="00DB3ECB">
            <w:pPr>
              <w:rPr>
                <w:rFonts w:cs="Tahoma"/>
                <w:szCs w:val="18"/>
              </w:rPr>
            </w:pPr>
            <w:r w:rsidRPr="0058047D">
              <w:rPr>
                <w:rFonts w:cs="Tahoma"/>
                <w:szCs w:val="18"/>
              </w:rPr>
              <w:t>Lync Online Piano 1</w:t>
            </w:r>
          </w:p>
        </w:tc>
      </w:tr>
      <w:tr w:rsidR="000A0D35" w:rsidRPr="0058047D" w14:paraId="0141601E" w14:textId="77777777" w:rsidTr="00BC00C1">
        <w:tc>
          <w:tcPr>
            <w:tcW w:w="1458" w:type="dxa"/>
            <w:vMerge/>
            <w:vAlign w:val="center"/>
          </w:tcPr>
          <w:p w14:paraId="39AB2428" w14:textId="77777777" w:rsidR="000A0D35" w:rsidRPr="0058047D" w:rsidRDefault="000A0D35" w:rsidP="00DB3ECB">
            <w:pPr>
              <w:jc w:val="center"/>
              <w:rPr>
                <w:rFonts w:cs="Tahoma"/>
                <w:szCs w:val="18"/>
              </w:rPr>
            </w:pPr>
          </w:p>
        </w:tc>
        <w:tc>
          <w:tcPr>
            <w:tcW w:w="3330" w:type="dxa"/>
            <w:vAlign w:val="center"/>
          </w:tcPr>
          <w:p w14:paraId="7596DD88" w14:textId="77777777" w:rsidR="000A0D35" w:rsidRPr="003F471F" w:rsidRDefault="000A0D35" w:rsidP="00DB3ECB">
            <w:pPr>
              <w:rPr>
                <w:rFonts w:cs="Tahoma"/>
                <w:szCs w:val="18"/>
                <w:lang w:val="it-IT"/>
              </w:rPr>
            </w:pPr>
            <w:r w:rsidRPr="003F471F">
              <w:rPr>
                <w:rFonts w:cs="Tahoma"/>
                <w:szCs w:val="18"/>
                <w:lang w:val="it-IT"/>
              </w:rPr>
              <w:t>SharePoint Online Piano 1 con Componente Aggiuntivo di Yammer</w:t>
            </w:r>
          </w:p>
        </w:tc>
        <w:tc>
          <w:tcPr>
            <w:tcW w:w="4065" w:type="dxa"/>
            <w:vAlign w:val="center"/>
          </w:tcPr>
          <w:p w14:paraId="37BDA3CA" w14:textId="77777777" w:rsidR="000A0D35" w:rsidRPr="0058047D" w:rsidRDefault="000A0D35" w:rsidP="00541ED5">
            <w:pPr>
              <w:rPr>
                <w:rFonts w:cs="Tahoma"/>
                <w:szCs w:val="18"/>
              </w:rPr>
            </w:pPr>
            <w:r w:rsidRPr="0058047D">
              <w:rPr>
                <w:rFonts w:cs="Tahoma"/>
                <w:szCs w:val="18"/>
              </w:rPr>
              <w:t>SharePoint Online Piano 1 e Yammer Enterprise</w:t>
            </w:r>
          </w:p>
        </w:tc>
      </w:tr>
      <w:tr w:rsidR="000A0D35" w:rsidRPr="0058047D" w14:paraId="52B86CB2" w14:textId="77777777" w:rsidTr="00BC00C1">
        <w:tc>
          <w:tcPr>
            <w:tcW w:w="1458" w:type="dxa"/>
            <w:vMerge w:val="restart"/>
            <w:vAlign w:val="center"/>
          </w:tcPr>
          <w:p w14:paraId="4411094F" w14:textId="77777777" w:rsidR="000A0D35" w:rsidRPr="003F471F" w:rsidRDefault="000A0D35" w:rsidP="00DB3ECB">
            <w:pPr>
              <w:jc w:val="center"/>
              <w:rPr>
                <w:lang w:val="fr-FR"/>
              </w:rPr>
            </w:pPr>
            <w:r w:rsidRPr="003F471F">
              <w:rPr>
                <w:rFonts w:cs="Tahoma"/>
                <w:szCs w:val="18"/>
                <w:lang w:val="fr-FR"/>
              </w:rPr>
              <w:t xml:space="preserve">Core CAL Suite + </w:t>
            </w:r>
          </w:p>
          <w:p w14:paraId="5C9EEE32" w14:textId="77777777" w:rsidR="000A0D35" w:rsidRPr="003F471F" w:rsidRDefault="000A0D35" w:rsidP="00DB3ECB">
            <w:pPr>
              <w:jc w:val="center"/>
              <w:rPr>
                <w:rFonts w:cs="Tahoma"/>
                <w:szCs w:val="18"/>
                <w:lang w:val="fr-FR"/>
              </w:rPr>
            </w:pPr>
            <w:r w:rsidRPr="003F471F">
              <w:rPr>
                <w:rFonts w:cs="Tahoma"/>
                <w:szCs w:val="18"/>
                <w:lang w:val="fr-FR"/>
              </w:rPr>
              <w:t>Office Professional Plus</w:t>
            </w:r>
          </w:p>
        </w:tc>
        <w:tc>
          <w:tcPr>
            <w:tcW w:w="3330" w:type="dxa"/>
            <w:vAlign w:val="center"/>
          </w:tcPr>
          <w:p w14:paraId="5824D8F1" w14:textId="77777777" w:rsidR="000A0D35" w:rsidRPr="003F471F" w:rsidRDefault="000A0D35" w:rsidP="00DB3ECB">
            <w:pPr>
              <w:rPr>
                <w:rFonts w:cs="Tahoma"/>
                <w:szCs w:val="18"/>
                <w:lang w:val="it-IT"/>
              </w:rPr>
            </w:pPr>
            <w:r w:rsidRPr="003F471F">
              <w:rPr>
                <w:rFonts w:cs="Tahoma"/>
                <w:szCs w:val="18"/>
                <w:lang w:val="it-IT"/>
              </w:rPr>
              <w:t xml:space="preserve">Componente Aggiuntivo di Office 365 E1/G1 </w:t>
            </w:r>
          </w:p>
        </w:tc>
        <w:tc>
          <w:tcPr>
            <w:tcW w:w="4065" w:type="dxa"/>
            <w:vAlign w:val="center"/>
          </w:tcPr>
          <w:p w14:paraId="18A37B28" w14:textId="77777777" w:rsidR="000A0D35" w:rsidRPr="0058047D" w:rsidRDefault="000A0D35" w:rsidP="00DB3ECB">
            <w:pPr>
              <w:rPr>
                <w:rFonts w:cs="Tahoma"/>
                <w:szCs w:val="18"/>
              </w:rPr>
            </w:pPr>
            <w:r w:rsidRPr="0058047D">
              <w:rPr>
                <w:rFonts w:cs="Tahoma"/>
                <w:szCs w:val="18"/>
              </w:rPr>
              <w:t>Office 365 E1/G1</w:t>
            </w:r>
          </w:p>
        </w:tc>
      </w:tr>
      <w:tr w:rsidR="000A0D35" w:rsidRPr="003F471F" w14:paraId="33268CE5" w14:textId="77777777" w:rsidTr="00BC00C1">
        <w:tc>
          <w:tcPr>
            <w:tcW w:w="1458" w:type="dxa"/>
            <w:vMerge/>
          </w:tcPr>
          <w:p w14:paraId="082EC73A" w14:textId="77777777" w:rsidR="000A0D35" w:rsidRPr="0058047D" w:rsidRDefault="000A0D35" w:rsidP="00DB3ECB">
            <w:pPr>
              <w:rPr>
                <w:rFonts w:cs="Tahoma"/>
                <w:szCs w:val="18"/>
              </w:rPr>
            </w:pPr>
          </w:p>
        </w:tc>
        <w:tc>
          <w:tcPr>
            <w:tcW w:w="3330" w:type="dxa"/>
            <w:vAlign w:val="center"/>
          </w:tcPr>
          <w:p w14:paraId="059DB864" w14:textId="77777777" w:rsidR="000A0D35" w:rsidRPr="003F471F" w:rsidRDefault="000A0D35" w:rsidP="00947901">
            <w:pPr>
              <w:rPr>
                <w:rFonts w:cs="Tahoma"/>
                <w:szCs w:val="18"/>
                <w:lang w:val="it-IT"/>
              </w:rPr>
            </w:pPr>
            <w:r w:rsidRPr="003F471F">
              <w:rPr>
                <w:rFonts w:cs="Tahoma"/>
                <w:szCs w:val="18"/>
                <w:lang w:val="it-IT"/>
              </w:rPr>
              <w:t>Office 365 E3/G3 senza Componente Aggiuntivo di ProPlus</w:t>
            </w:r>
          </w:p>
        </w:tc>
        <w:tc>
          <w:tcPr>
            <w:tcW w:w="4065" w:type="dxa"/>
            <w:vAlign w:val="center"/>
          </w:tcPr>
          <w:p w14:paraId="0EB79046" w14:textId="77777777" w:rsidR="000A0D35" w:rsidRPr="003F471F" w:rsidRDefault="000A0D35" w:rsidP="00947901">
            <w:pPr>
              <w:rPr>
                <w:rFonts w:cs="Tahoma"/>
                <w:szCs w:val="18"/>
                <w:lang w:val="it-IT"/>
              </w:rPr>
            </w:pPr>
            <w:r w:rsidRPr="003F471F">
              <w:rPr>
                <w:rFonts w:cs="Tahoma"/>
                <w:szCs w:val="18"/>
                <w:lang w:val="it-IT"/>
              </w:rPr>
              <w:t>Office 365 E3/G3 senza ProPlus</w:t>
            </w:r>
            <w:r w:rsidRPr="003F471F">
              <w:rPr>
                <w:rFonts w:cs="Tahoma"/>
                <w:szCs w:val="18"/>
                <w:vertAlign w:val="superscript"/>
                <w:lang w:val="it-IT"/>
              </w:rPr>
              <w:t>2</w:t>
            </w:r>
          </w:p>
        </w:tc>
      </w:tr>
      <w:tr w:rsidR="000A0D35" w:rsidRPr="0058047D" w14:paraId="56277F24" w14:textId="77777777" w:rsidTr="00BC00C1">
        <w:tc>
          <w:tcPr>
            <w:tcW w:w="1458" w:type="dxa"/>
            <w:vMerge/>
          </w:tcPr>
          <w:p w14:paraId="68F80142" w14:textId="77777777" w:rsidR="000A0D35" w:rsidRPr="003F471F" w:rsidRDefault="000A0D35" w:rsidP="00DB3ECB">
            <w:pPr>
              <w:rPr>
                <w:rFonts w:cs="Tahoma"/>
                <w:szCs w:val="18"/>
                <w:lang w:val="it-IT"/>
              </w:rPr>
            </w:pPr>
          </w:p>
        </w:tc>
        <w:tc>
          <w:tcPr>
            <w:tcW w:w="3330" w:type="dxa"/>
            <w:vAlign w:val="center"/>
          </w:tcPr>
          <w:p w14:paraId="0D55398A" w14:textId="77777777" w:rsidR="000A0D35" w:rsidRPr="003F471F" w:rsidRDefault="000A0D35" w:rsidP="00DB3ECB">
            <w:pPr>
              <w:rPr>
                <w:rFonts w:cs="Tahoma"/>
                <w:szCs w:val="18"/>
                <w:lang w:val="it-IT"/>
              </w:rPr>
            </w:pPr>
            <w:r w:rsidRPr="003F471F">
              <w:rPr>
                <w:rFonts w:cs="Tahoma"/>
                <w:szCs w:val="18"/>
                <w:lang w:val="it-IT"/>
              </w:rPr>
              <w:t>Componente Aggiuntivo di Office 365 E3/G3</w:t>
            </w:r>
          </w:p>
        </w:tc>
        <w:tc>
          <w:tcPr>
            <w:tcW w:w="4065" w:type="dxa"/>
            <w:vAlign w:val="center"/>
          </w:tcPr>
          <w:p w14:paraId="198D2094" w14:textId="77777777" w:rsidR="000A0D35" w:rsidRPr="0058047D" w:rsidRDefault="000A0D35" w:rsidP="00DB3ECB">
            <w:pPr>
              <w:rPr>
                <w:rFonts w:cs="Tahoma"/>
                <w:szCs w:val="18"/>
              </w:rPr>
            </w:pPr>
            <w:r w:rsidRPr="0058047D">
              <w:rPr>
                <w:rFonts w:cs="Tahoma"/>
                <w:szCs w:val="18"/>
              </w:rPr>
              <w:t>Office 365 E3/G3</w:t>
            </w:r>
          </w:p>
        </w:tc>
      </w:tr>
      <w:tr w:rsidR="000A0D35" w:rsidRPr="003F471F" w14:paraId="38BD35FC" w14:textId="77777777" w:rsidTr="00BC00C1">
        <w:tc>
          <w:tcPr>
            <w:tcW w:w="1458" w:type="dxa"/>
            <w:vMerge/>
          </w:tcPr>
          <w:p w14:paraId="44457CD1" w14:textId="77777777" w:rsidR="000A0D35" w:rsidRPr="0058047D" w:rsidRDefault="000A0D35" w:rsidP="00DB3ECB">
            <w:pPr>
              <w:rPr>
                <w:rFonts w:cs="Tahoma"/>
                <w:szCs w:val="18"/>
              </w:rPr>
            </w:pPr>
          </w:p>
        </w:tc>
        <w:tc>
          <w:tcPr>
            <w:tcW w:w="3330" w:type="dxa"/>
            <w:vAlign w:val="center"/>
          </w:tcPr>
          <w:p w14:paraId="38D2379E" w14:textId="77777777" w:rsidR="000A0D35" w:rsidRPr="003F471F" w:rsidRDefault="000A0D35" w:rsidP="00947901">
            <w:pPr>
              <w:rPr>
                <w:rFonts w:cs="Tahoma"/>
                <w:szCs w:val="18"/>
                <w:lang w:val="it-IT"/>
              </w:rPr>
            </w:pPr>
            <w:r w:rsidRPr="003F471F">
              <w:rPr>
                <w:rFonts w:cs="Tahoma"/>
                <w:szCs w:val="18"/>
                <w:lang w:val="it-IT"/>
              </w:rPr>
              <w:t>Office 365 E4/G4 senza Componente Aggiuntivo di ProPlus</w:t>
            </w:r>
          </w:p>
        </w:tc>
        <w:tc>
          <w:tcPr>
            <w:tcW w:w="4065" w:type="dxa"/>
            <w:vAlign w:val="center"/>
          </w:tcPr>
          <w:p w14:paraId="73AC6C21" w14:textId="77777777" w:rsidR="000A0D35" w:rsidRPr="003F471F" w:rsidRDefault="000A0D35" w:rsidP="00DB3ECB">
            <w:pPr>
              <w:rPr>
                <w:rFonts w:cs="Tahoma"/>
                <w:szCs w:val="18"/>
                <w:lang w:val="it-IT"/>
              </w:rPr>
            </w:pPr>
            <w:r w:rsidRPr="003F471F">
              <w:rPr>
                <w:rFonts w:cs="Tahoma"/>
                <w:szCs w:val="18"/>
                <w:lang w:val="it-IT"/>
              </w:rPr>
              <w:t>Office 365 E4/G4 senza ProPlus</w:t>
            </w:r>
            <w:r w:rsidRPr="003F471F">
              <w:rPr>
                <w:rFonts w:cs="Tahoma"/>
                <w:szCs w:val="18"/>
                <w:vertAlign w:val="superscript"/>
                <w:lang w:val="it-IT"/>
              </w:rPr>
              <w:t>2</w:t>
            </w:r>
          </w:p>
        </w:tc>
      </w:tr>
      <w:tr w:rsidR="000A0D35" w:rsidRPr="0058047D" w14:paraId="3BA08A48" w14:textId="77777777" w:rsidTr="00BC00C1">
        <w:tc>
          <w:tcPr>
            <w:tcW w:w="1458" w:type="dxa"/>
            <w:vMerge/>
          </w:tcPr>
          <w:p w14:paraId="4DCCD219" w14:textId="77777777" w:rsidR="000A0D35" w:rsidRPr="003F471F" w:rsidRDefault="000A0D35" w:rsidP="00DB3ECB">
            <w:pPr>
              <w:rPr>
                <w:rFonts w:cs="Tahoma"/>
                <w:szCs w:val="18"/>
                <w:lang w:val="it-IT"/>
              </w:rPr>
            </w:pPr>
          </w:p>
        </w:tc>
        <w:tc>
          <w:tcPr>
            <w:tcW w:w="3330" w:type="dxa"/>
            <w:vAlign w:val="center"/>
          </w:tcPr>
          <w:p w14:paraId="45A4E2D9" w14:textId="77777777" w:rsidR="000A0D35" w:rsidRPr="003F471F" w:rsidRDefault="000A0D35" w:rsidP="00DB3ECB">
            <w:pPr>
              <w:rPr>
                <w:rFonts w:cs="Tahoma"/>
                <w:szCs w:val="18"/>
                <w:lang w:val="it-IT"/>
              </w:rPr>
            </w:pPr>
            <w:r w:rsidRPr="003F471F">
              <w:rPr>
                <w:rFonts w:cs="Tahoma"/>
                <w:szCs w:val="18"/>
                <w:lang w:val="it-IT"/>
              </w:rPr>
              <w:t>Componente Aggiuntivo di Office 365 E4/G4</w:t>
            </w:r>
          </w:p>
        </w:tc>
        <w:tc>
          <w:tcPr>
            <w:tcW w:w="4065" w:type="dxa"/>
            <w:vAlign w:val="center"/>
          </w:tcPr>
          <w:p w14:paraId="619F6989" w14:textId="77777777" w:rsidR="000A0D35" w:rsidRPr="0058047D" w:rsidRDefault="000A0D35" w:rsidP="00DB3ECB">
            <w:pPr>
              <w:rPr>
                <w:rFonts w:cs="Tahoma"/>
                <w:szCs w:val="18"/>
              </w:rPr>
            </w:pPr>
            <w:r w:rsidRPr="0058047D">
              <w:rPr>
                <w:rFonts w:cs="Tahoma"/>
                <w:szCs w:val="18"/>
              </w:rPr>
              <w:t>Office 365 E4/G4</w:t>
            </w:r>
          </w:p>
        </w:tc>
      </w:tr>
      <w:tr w:rsidR="000A0D35" w:rsidRPr="0058047D" w14:paraId="6AD43123" w14:textId="77777777" w:rsidTr="00BC00C1">
        <w:tc>
          <w:tcPr>
            <w:tcW w:w="1458" w:type="dxa"/>
            <w:vMerge/>
          </w:tcPr>
          <w:p w14:paraId="18E5BA02" w14:textId="77777777" w:rsidR="000A0D35" w:rsidRPr="0058047D" w:rsidRDefault="000A0D35" w:rsidP="00DB3ECB">
            <w:pPr>
              <w:rPr>
                <w:rFonts w:cs="Tahoma"/>
                <w:szCs w:val="18"/>
              </w:rPr>
            </w:pPr>
          </w:p>
        </w:tc>
        <w:tc>
          <w:tcPr>
            <w:tcW w:w="3330" w:type="dxa"/>
            <w:vAlign w:val="center"/>
          </w:tcPr>
          <w:p w14:paraId="401DAE00" w14:textId="77777777" w:rsidR="000A0D35" w:rsidRPr="003F471F" w:rsidRDefault="000A0D35" w:rsidP="00DB3ECB">
            <w:pPr>
              <w:rPr>
                <w:rFonts w:cs="Tahoma"/>
                <w:szCs w:val="18"/>
                <w:lang w:val="it-IT"/>
              </w:rPr>
            </w:pPr>
            <w:r w:rsidRPr="003F471F">
              <w:rPr>
                <w:rFonts w:cs="Tahoma"/>
                <w:szCs w:val="18"/>
                <w:lang w:val="it-IT"/>
              </w:rPr>
              <w:t>Componente Aggiuntivo di Exchange Online Piano 1</w:t>
            </w:r>
          </w:p>
        </w:tc>
        <w:tc>
          <w:tcPr>
            <w:tcW w:w="4065" w:type="dxa"/>
            <w:vAlign w:val="center"/>
          </w:tcPr>
          <w:p w14:paraId="4DA91695" w14:textId="77777777" w:rsidR="000A0D35" w:rsidRPr="0058047D" w:rsidRDefault="000A0D35" w:rsidP="00DB3ECB">
            <w:pPr>
              <w:rPr>
                <w:rFonts w:cs="Tahoma"/>
                <w:szCs w:val="18"/>
              </w:rPr>
            </w:pPr>
            <w:r w:rsidRPr="0058047D">
              <w:rPr>
                <w:rFonts w:cs="Tahoma"/>
                <w:szCs w:val="18"/>
              </w:rPr>
              <w:t>Exchange Online Piano 1</w:t>
            </w:r>
          </w:p>
        </w:tc>
      </w:tr>
      <w:tr w:rsidR="00A42F94" w:rsidRPr="0058047D" w14:paraId="27DD7285" w14:textId="77777777" w:rsidTr="00BC00C1">
        <w:tc>
          <w:tcPr>
            <w:tcW w:w="1458" w:type="dxa"/>
            <w:vMerge/>
          </w:tcPr>
          <w:p w14:paraId="696DF1D7" w14:textId="77777777" w:rsidR="00A42F94" w:rsidRPr="0058047D" w:rsidRDefault="00A42F94" w:rsidP="00A42F94">
            <w:pPr>
              <w:rPr>
                <w:rFonts w:cs="Tahoma"/>
                <w:szCs w:val="18"/>
              </w:rPr>
            </w:pPr>
          </w:p>
        </w:tc>
        <w:tc>
          <w:tcPr>
            <w:tcW w:w="3330" w:type="dxa"/>
            <w:vAlign w:val="center"/>
          </w:tcPr>
          <w:p w14:paraId="39E3B520" w14:textId="77777777" w:rsidR="00A42F94" w:rsidRPr="003F471F" w:rsidRDefault="00A42F94" w:rsidP="00A42F94">
            <w:pPr>
              <w:rPr>
                <w:rFonts w:cs="Tahoma"/>
                <w:szCs w:val="18"/>
                <w:lang w:val="it-IT"/>
              </w:rPr>
            </w:pPr>
            <w:r w:rsidRPr="003F471F">
              <w:rPr>
                <w:rFonts w:cs="Tahoma"/>
                <w:szCs w:val="18"/>
                <w:lang w:val="it-IT"/>
              </w:rPr>
              <w:t>Componente Aggiuntivo di Lync Online Piano 1</w:t>
            </w:r>
          </w:p>
        </w:tc>
        <w:tc>
          <w:tcPr>
            <w:tcW w:w="4065" w:type="dxa"/>
            <w:vAlign w:val="center"/>
          </w:tcPr>
          <w:p w14:paraId="6FA8554E" w14:textId="77777777" w:rsidR="00A42F94" w:rsidRPr="0058047D" w:rsidRDefault="00A42F94" w:rsidP="00A42F94">
            <w:pPr>
              <w:rPr>
                <w:rFonts w:cs="Tahoma"/>
                <w:szCs w:val="18"/>
              </w:rPr>
            </w:pPr>
            <w:r w:rsidRPr="0058047D">
              <w:rPr>
                <w:rFonts w:cs="Tahoma"/>
                <w:szCs w:val="18"/>
              </w:rPr>
              <w:t>Lync Online Piano 1</w:t>
            </w:r>
          </w:p>
        </w:tc>
      </w:tr>
      <w:tr w:rsidR="00A42F94" w:rsidRPr="0058047D" w14:paraId="0336ABCE" w14:textId="77777777" w:rsidTr="00BC00C1">
        <w:tc>
          <w:tcPr>
            <w:tcW w:w="1458" w:type="dxa"/>
            <w:vMerge/>
          </w:tcPr>
          <w:p w14:paraId="757F226B" w14:textId="77777777" w:rsidR="00A42F94" w:rsidRPr="0058047D" w:rsidRDefault="00A42F94" w:rsidP="00A42F94">
            <w:pPr>
              <w:rPr>
                <w:rFonts w:cs="Tahoma"/>
                <w:szCs w:val="18"/>
              </w:rPr>
            </w:pPr>
          </w:p>
        </w:tc>
        <w:tc>
          <w:tcPr>
            <w:tcW w:w="3330" w:type="dxa"/>
            <w:vAlign w:val="center"/>
          </w:tcPr>
          <w:p w14:paraId="2958555D" w14:textId="77777777" w:rsidR="00A42F94" w:rsidRPr="003F471F" w:rsidRDefault="00A42F94" w:rsidP="00A42F94">
            <w:pPr>
              <w:rPr>
                <w:rFonts w:cs="Tahoma"/>
                <w:szCs w:val="18"/>
                <w:lang w:val="it-IT"/>
              </w:rPr>
            </w:pPr>
            <w:r w:rsidRPr="003F471F">
              <w:rPr>
                <w:rFonts w:cs="Tahoma"/>
                <w:szCs w:val="18"/>
                <w:lang w:val="it-IT"/>
              </w:rPr>
              <w:t>SharePoint Online Piano 1 con Componente Aggiuntivo di Yammer</w:t>
            </w:r>
          </w:p>
        </w:tc>
        <w:tc>
          <w:tcPr>
            <w:tcW w:w="4065" w:type="dxa"/>
            <w:vAlign w:val="center"/>
          </w:tcPr>
          <w:p w14:paraId="3CCF993E" w14:textId="77777777" w:rsidR="00A42F94" w:rsidRPr="0058047D" w:rsidRDefault="00A42F94" w:rsidP="00A42F94">
            <w:pPr>
              <w:rPr>
                <w:rFonts w:cs="Tahoma"/>
                <w:szCs w:val="18"/>
              </w:rPr>
            </w:pPr>
            <w:r w:rsidRPr="0058047D">
              <w:rPr>
                <w:rFonts w:cs="Tahoma"/>
                <w:szCs w:val="18"/>
              </w:rPr>
              <w:t xml:space="preserve">SharePoint Online Piano 1 e Yammer Enterprise </w:t>
            </w:r>
          </w:p>
        </w:tc>
      </w:tr>
      <w:tr w:rsidR="00343766" w:rsidRPr="003F471F" w14:paraId="2A704122" w14:textId="77777777" w:rsidTr="00BC00C1">
        <w:tc>
          <w:tcPr>
            <w:tcW w:w="1458" w:type="dxa"/>
            <w:vMerge w:val="restart"/>
            <w:vAlign w:val="center"/>
          </w:tcPr>
          <w:p w14:paraId="6369ADDD" w14:textId="77777777" w:rsidR="00343766" w:rsidRPr="0058047D" w:rsidRDefault="00343766" w:rsidP="00DB3ECB">
            <w:pPr>
              <w:jc w:val="center"/>
              <w:rPr>
                <w:rFonts w:cs="Tahoma"/>
                <w:szCs w:val="18"/>
              </w:rPr>
            </w:pPr>
            <w:r w:rsidRPr="0058047D">
              <w:rPr>
                <w:rFonts w:cs="Tahoma"/>
                <w:szCs w:val="18"/>
              </w:rPr>
              <w:t>Enterprise CAL Suite</w:t>
            </w:r>
          </w:p>
        </w:tc>
        <w:tc>
          <w:tcPr>
            <w:tcW w:w="3330" w:type="dxa"/>
            <w:vAlign w:val="center"/>
          </w:tcPr>
          <w:p w14:paraId="683FE1AF" w14:textId="77777777" w:rsidR="00343766" w:rsidRPr="003F471F" w:rsidRDefault="00343766" w:rsidP="009917CD">
            <w:pPr>
              <w:rPr>
                <w:rFonts w:cs="Tahoma"/>
                <w:szCs w:val="18"/>
                <w:lang w:val="it-IT"/>
              </w:rPr>
            </w:pPr>
            <w:r w:rsidRPr="003F471F">
              <w:rPr>
                <w:rFonts w:cs="Tahoma"/>
                <w:szCs w:val="18"/>
                <w:lang w:val="it-IT"/>
              </w:rPr>
              <w:t>Office 365 E3/G3 senza Componente Aggiuntivo di ProPlus</w:t>
            </w:r>
          </w:p>
        </w:tc>
        <w:tc>
          <w:tcPr>
            <w:tcW w:w="4065" w:type="dxa"/>
            <w:vAlign w:val="center"/>
          </w:tcPr>
          <w:p w14:paraId="75C1E4B7" w14:textId="77777777" w:rsidR="00343766" w:rsidRPr="003F471F" w:rsidRDefault="00343766" w:rsidP="009917CD">
            <w:pPr>
              <w:rPr>
                <w:rFonts w:cs="Tahoma"/>
                <w:szCs w:val="18"/>
                <w:lang w:val="it-IT"/>
              </w:rPr>
            </w:pPr>
            <w:r w:rsidRPr="003F471F">
              <w:rPr>
                <w:rFonts w:cs="Tahoma"/>
                <w:szCs w:val="18"/>
                <w:lang w:val="it-IT"/>
              </w:rPr>
              <w:t>Office 365 E3/G3 senza ProPlus</w:t>
            </w:r>
            <w:r w:rsidRPr="003F471F">
              <w:rPr>
                <w:rFonts w:cs="Tahoma"/>
                <w:szCs w:val="18"/>
                <w:vertAlign w:val="superscript"/>
                <w:lang w:val="it-IT"/>
              </w:rPr>
              <w:t>2</w:t>
            </w:r>
          </w:p>
        </w:tc>
      </w:tr>
      <w:tr w:rsidR="00343766" w:rsidRPr="003F471F" w14:paraId="7070E2FC" w14:textId="77777777" w:rsidTr="00BC00C1">
        <w:tc>
          <w:tcPr>
            <w:tcW w:w="1458" w:type="dxa"/>
            <w:vMerge/>
          </w:tcPr>
          <w:p w14:paraId="2F7F8A8C" w14:textId="77777777" w:rsidR="00343766" w:rsidRPr="003F471F" w:rsidRDefault="00343766" w:rsidP="00DB3ECB">
            <w:pPr>
              <w:jc w:val="center"/>
              <w:rPr>
                <w:rFonts w:cs="Tahoma"/>
                <w:szCs w:val="18"/>
                <w:lang w:val="it-IT"/>
              </w:rPr>
            </w:pPr>
          </w:p>
        </w:tc>
        <w:tc>
          <w:tcPr>
            <w:tcW w:w="3330" w:type="dxa"/>
            <w:vAlign w:val="center"/>
          </w:tcPr>
          <w:p w14:paraId="4AF2E47E" w14:textId="77777777" w:rsidR="00343766" w:rsidRPr="003F471F" w:rsidRDefault="00343766" w:rsidP="009917CD">
            <w:pPr>
              <w:rPr>
                <w:rFonts w:cs="Tahoma"/>
                <w:szCs w:val="18"/>
                <w:lang w:val="it-IT"/>
              </w:rPr>
            </w:pPr>
            <w:r w:rsidRPr="003F471F">
              <w:rPr>
                <w:rFonts w:cs="Tahoma"/>
                <w:szCs w:val="18"/>
                <w:lang w:val="it-IT"/>
              </w:rPr>
              <w:t>Office 365 E4/G4 senza Componente Aggiuntivo di ProPlus</w:t>
            </w:r>
          </w:p>
        </w:tc>
        <w:tc>
          <w:tcPr>
            <w:tcW w:w="4065" w:type="dxa"/>
            <w:vAlign w:val="center"/>
          </w:tcPr>
          <w:p w14:paraId="63348220" w14:textId="77777777" w:rsidR="00343766" w:rsidRPr="003F471F" w:rsidRDefault="00343766" w:rsidP="00DB3ECB">
            <w:pPr>
              <w:rPr>
                <w:rFonts w:cs="Tahoma"/>
                <w:szCs w:val="18"/>
                <w:lang w:val="it-IT"/>
              </w:rPr>
            </w:pPr>
            <w:r w:rsidRPr="003F471F">
              <w:rPr>
                <w:rFonts w:cs="Tahoma"/>
                <w:szCs w:val="18"/>
                <w:lang w:val="it-IT"/>
              </w:rPr>
              <w:t>Office 365 E4/G4 senza ProPlus</w:t>
            </w:r>
            <w:r w:rsidRPr="003F471F">
              <w:rPr>
                <w:rFonts w:cs="Tahoma"/>
                <w:szCs w:val="18"/>
                <w:vertAlign w:val="superscript"/>
                <w:lang w:val="it-IT"/>
              </w:rPr>
              <w:t>2</w:t>
            </w:r>
          </w:p>
        </w:tc>
      </w:tr>
      <w:tr w:rsidR="00343766" w:rsidRPr="0058047D" w14:paraId="4E919415" w14:textId="77777777" w:rsidTr="00BC00C1">
        <w:tc>
          <w:tcPr>
            <w:tcW w:w="1458" w:type="dxa"/>
            <w:vMerge/>
          </w:tcPr>
          <w:p w14:paraId="35C0C3D3" w14:textId="77777777" w:rsidR="00343766" w:rsidRPr="003F471F" w:rsidRDefault="00343766" w:rsidP="00DB3ECB">
            <w:pPr>
              <w:jc w:val="center"/>
              <w:rPr>
                <w:rFonts w:cs="Tahoma"/>
                <w:szCs w:val="18"/>
                <w:lang w:val="it-IT"/>
              </w:rPr>
            </w:pPr>
          </w:p>
        </w:tc>
        <w:tc>
          <w:tcPr>
            <w:tcW w:w="3330" w:type="dxa"/>
            <w:vAlign w:val="center"/>
          </w:tcPr>
          <w:p w14:paraId="3F254D3E" w14:textId="77777777" w:rsidR="00343766" w:rsidRPr="0058047D" w:rsidRDefault="00343766" w:rsidP="009917CD">
            <w:pPr>
              <w:rPr>
                <w:rFonts w:cs="Tahoma"/>
                <w:szCs w:val="18"/>
              </w:rPr>
            </w:pPr>
            <w:r w:rsidRPr="0058047D">
              <w:rPr>
                <w:rFonts w:cs="Tahoma"/>
                <w:szCs w:val="18"/>
              </w:rPr>
              <w:t>Componente Aggiuntivo di Windows Azure Active Directory Rights Management</w:t>
            </w:r>
          </w:p>
        </w:tc>
        <w:tc>
          <w:tcPr>
            <w:tcW w:w="4065" w:type="dxa"/>
            <w:vAlign w:val="center"/>
          </w:tcPr>
          <w:p w14:paraId="15112A54" w14:textId="77777777" w:rsidR="00343766" w:rsidRPr="0058047D" w:rsidRDefault="00343766" w:rsidP="00DB3ECB">
            <w:pPr>
              <w:rPr>
                <w:rFonts w:cs="Tahoma"/>
                <w:szCs w:val="18"/>
              </w:rPr>
            </w:pPr>
            <w:r w:rsidRPr="0058047D">
              <w:rPr>
                <w:rFonts w:cs="Tahoma"/>
                <w:szCs w:val="18"/>
              </w:rPr>
              <w:t>Windows Azure Active Directory Rights Management</w:t>
            </w:r>
          </w:p>
        </w:tc>
      </w:tr>
      <w:tr w:rsidR="00343766" w:rsidRPr="003F471F" w14:paraId="2CB1510D" w14:textId="77777777" w:rsidTr="00BC00C1">
        <w:tc>
          <w:tcPr>
            <w:tcW w:w="1458" w:type="dxa"/>
            <w:vMerge w:val="restart"/>
            <w:vAlign w:val="center"/>
          </w:tcPr>
          <w:p w14:paraId="41EAD2FA" w14:textId="77777777" w:rsidR="00343766" w:rsidRPr="003F471F" w:rsidRDefault="00343766" w:rsidP="00DB3ECB">
            <w:pPr>
              <w:jc w:val="center"/>
              <w:rPr>
                <w:lang w:val="fr-FR"/>
              </w:rPr>
            </w:pPr>
            <w:r w:rsidRPr="003F471F">
              <w:rPr>
                <w:rFonts w:cs="Tahoma"/>
                <w:szCs w:val="18"/>
                <w:lang w:val="fr-FR"/>
              </w:rPr>
              <w:t xml:space="preserve">Enterprise CAL Suite + </w:t>
            </w:r>
          </w:p>
          <w:p w14:paraId="68ACA97E" w14:textId="77777777" w:rsidR="00343766" w:rsidRPr="003F471F" w:rsidRDefault="00343766" w:rsidP="00DB3ECB">
            <w:pPr>
              <w:jc w:val="center"/>
              <w:rPr>
                <w:rFonts w:cs="Tahoma"/>
                <w:szCs w:val="18"/>
                <w:lang w:val="fr-FR"/>
              </w:rPr>
            </w:pPr>
            <w:r w:rsidRPr="003F471F">
              <w:rPr>
                <w:rFonts w:cs="Tahoma"/>
                <w:szCs w:val="18"/>
                <w:lang w:val="fr-FR"/>
              </w:rPr>
              <w:t>Office Professional Plus</w:t>
            </w:r>
          </w:p>
        </w:tc>
        <w:tc>
          <w:tcPr>
            <w:tcW w:w="3330" w:type="dxa"/>
            <w:vAlign w:val="center"/>
          </w:tcPr>
          <w:p w14:paraId="42EF3D76" w14:textId="77777777" w:rsidR="00343766" w:rsidRPr="003F471F" w:rsidRDefault="00343766" w:rsidP="009917CD">
            <w:pPr>
              <w:rPr>
                <w:rFonts w:cs="Tahoma"/>
                <w:szCs w:val="18"/>
                <w:lang w:val="it-IT"/>
              </w:rPr>
            </w:pPr>
            <w:r w:rsidRPr="003F471F">
              <w:rPr>
                <w:rFonts w:cs="Tahoma"/>
                <w:szCs w:val="18"/>
                <w:lang w:val="it-IT"/>
              </w:rPr>
              <w:t>Office 365 E3/G3 senza Componente Aggiuntivo di ProPlus</w:t>
            </w:r>
          </w:p>
        </w:tc>
        <w:tc>
          <w:tcPr>
            <w:tcW w:w="4065" w:type="dxa"/>
            <w:vAlign w:val="center"/>
          </w:tcPr>
          <w:p w14:paraId="6F15A6EA" w14:textId="77777777" w:rsidR="00343766" w:rsidRPr="003F471F" w:rsidRDefault="00343766" w:rsidP="009917CD">
            <w:pPr>
              <w:rPr>
                <w:rFonts w:cs="Tahoma"/>
                <w:szCs w:val="18"/>
                <w:lang w:val="it-IT"/>
              </w:rPr>
            </w:pPr>
            <w:r w:rsidRPr="003F471F">
              <w:rPr>
                <w:rFonts w:cs="Tahoma"/>
                <w:szCs w:val="18"/>
                <w:lang w:val="it-IT"/>
              </w:rPr>
              <w:t>Office 365 E3/G3 senza ProPlus</w:t>
            </w:r>
            <w:r w:rsidRPr="003F471F">
              <w:rPr>
                <w:rFonts w:cs="Tahoma"/>
                <w:szCs w:val="18"/>
                <w:vertAlign w:val="superscript"/>
                <w:lang w:val="it-IT"/>
              </w:rPr>
              <w:t>2</w:t>
            </w:r>
          </w:p>
        </w:tc>
      </w:tr>
      <w:tr w:rsidR="00343766" w:rsidRPr="003F471F" w14:paraId="2E0B6373" w14:textId="77777777" w:rsidTr="00BC00C1">
        <w:tc>
          <w:tcPr>
            <w:tcW w:w="1458" w:type="dxa"/>
            <w:vMerge/>
          </w:tcPr>
          <w:p w14:paraId="297F24E2" w14:textId="77777777" w:rsidR="00343766" w:rsidRPr="003F471F" w:rsidRDefault="00343766" w:rsidP="00DB3ECB">
            <w:pPr>
              <w:jc w:val="center"/>
              <w:rPr>
                <w:rFonts w:cs="Tahoma"/>
                <w:szCs w:val="18"/>
                <w:lang w:val="it-IT"/>
              </w:rPr>
            </w:pPr>
          </w:p>
        </w:tc>
        <w:tc>
          <w:tcPr>
            <w:tcW w:w="3330" w:type="dxa"/>
            <w:vAlign w:val="center"/>
          </w:tcPr>
          <w:p w14:paraId="0DB6BEAF" w14:textId="77777777" w:rsidR="00343766" w:rsidRPr="003F471F" w:rsidRDefault="00343766" w:rsidP="00DB3ECB">
            <w:pPr>
              <w:rPr>
                <w:rFonts w:cs="Tahoma"/>
                <w:szCs w:val="18"/>
                <w:lang w:val="it-IT"/>
              </w:rPr>
            </w:pPr>
            <w:r w:rsidRPr="003F471F">
              <w:rPr>
                <w:rFonts w:cs="Tahoma"/>
                <w:szCs w:val="18"/>
                <w:lang w:val="it-IT"/>
              </w:rPr>
              <w:t>Componente Aggiuntivo di Office 365 E3/G3</w:t>
            </w:r>
          </w:p>
        </w:tc>
        <w:tc>
          <w:tcPr>
            <w:tcW w:w="4065" w:type="dxa"/>
            <w:vAlign w:val="center"/>
          </w:tcPr>
          <w:p w14:paraId="36BDE51D" w14:textId="77777777" w:rsidR="00343766" w:rsidRPr="003F471F" w:rsidRDefault="00343766" w:rsidP="00DB3ECB">
            <w:pPr>
              <w:rPr>
                <w:rFonts w:cs="Tahoma"/>
                <w:szCs w:val="18"/>
                <w:lang w:val="it-IT"/>
              </w:rPr>
            </w:pPr>
            <w:r w:rsidRPr="003F471F">
              <w:rPr>
                <w:rFonts w:cs="Tahoma"/>
                <w:szCs w:val="18"/>
                <w:lang w:val="it-IT"/>
              </w:rPr>
              <w:t>Componente Aggiuntivo di Office 365 E3/G3</w:t>
            </w:r>
          </w:p>
        </w:tc>
      </w:tr>
      <w:tr w:rsidR="00343766" w:rsidRPr="003F471F" w14:paraId="6F3CE770" w14:textId="77777777" w:rsidTr="00BC00C1">
        <w:tc>
          <w:tcPr>
            <w:tcW w:w="1458" w:type="dxa"/>
            <w:vMerge/>
          </w:tcPr>
          <w:p w14:paraId="05F30B6C" w14:textId="77777777" w:rsidR="00343766" w:rsidRPr="003F471F" w:rsidRDefault="00343766" w:rsidP="00DB3ECB">
            <w:pPr>
              <w:jc w:val="center"/>
              <w:rPr>
                <w:rFonts w:cs="Tahoma"/>
                <w:szCs w:val="18"/>
                <w:lang w:val="it-IT"/>
              </w:rPr>
            </w:pPr>
          </w:p>
        </w:tc>
        <w:tc>
          <w:tcPr>
            <w:tcW w:w="3330" w:type="dxa"/>
            <w:vAlign w:val="center"/>
          </w:tcPr>
          <w:p w14:paraId="5809DD23" w14:textId="77777777" w:rsidR="00343766" w:rsidRPr="003F471F" w:rsidRDefault="00343766" w:rsidP="009917CD">
            <w:pPr>
              <w:rPr>
                <w:rFonts w:cs="Tahoma"/>
                <w:szCs w:val="18"/>
                <w:lang w:val="it-IT"/>
              </w:rPr>
            </w:pPr>
            <w:r w:rsidRPr="003F471F">
              <w:rPr>
                <w:rFonts w:cs="Tahoma"/>
                <w:szCs w:val="18"/>
                <w:lang w:val="it-IT"/>
              </w:rPr>
              <w:t>Office 365 E4/G4 senza Componente Aggiuntivo di ProPlus</w:t>
            </w:r>
          </w:p>
        </w:tc>
        <w:tc>
          <w:tcPr>
            <w:tcW w:w="4065" w:type="dxa"/>
            <w:vAlign w:val="center"/>
          </w:tcPr>
          <w:p w14:paraId="0D757CAE" w14:textId="77777777" w:rsidR="00343766" w:rsidRPr="003F471F" w:rsidRDefault="00343766" w:rsidP="009917CD">
            <w:pPr>
              <w:rPr>
                <w:rFonts w:cs="Tahoma"/>
                <w:szCs w:val="18"/>
                <w:lang w:val="it-IT"/>
              </w:rPr>
            </w:pPr>
            <w:r w:rsidRPr="003F471F">
              <w:rPr>
                <w:rFonts w:cs="Tahoma"/>
                <w:szCs w:val="18"/>
                <w:lang w:val="it-IT"/>
              </w:rPr>
              <w:t>Office 365 E4/G4 senza ProPlus</w:t>
            </w:r>
            <w:r w:rsidRPr="003F471F">
              <w:rPr>
                <w:rFonts w:cs="Tahoma"/>
                <w:szCs w:val="18"/>
                <w:vertAlign w:val="superscript"/>
                <w:lang w:val="it-IT"/>
              </w:rPr>
              <w:t>2</w:t>
            </w:r>
          </w:p>
        </w:tc>
      </w:tr>
      <w:tr w:rsidR="00343766" w:rsidRPr="0058047D" w14:paraId="3210937D" w14:textId="77777777" w:rsidTr="00BC00C1">
        <w:tc>
          <w:tcPr>
            <w:tcW w:w="1458" w:type="dxa"/>
            <w:vMerge/>
          </w:tcPr>
          <w:p w14:paraId="0E87B7CA" w14:textId="77777777" w:rsidR="00343766" w:rsidRPr="003F471F" w:rsidRDefault="00343766" w:rsidP="00DB3ECB">
            <w:pPr>
              <w:jc w:val="center"/>
              <w:rPr>
                <w:rFonts w:cs="Tahoma"/>
                <w:szCs w:val="18"/>
                <w:lang w:val="it-IT"/>
              </w:rPr>
            </w:pPr>
          </w:p>
        </w:tc>
        <w:tc>
          <w:tcPr>
            <w:tcW w:w="3330" w:type="dxa"/>
            <w:vAlign w:val="center"/>
          </w:tcPr>
          <w:p w14:paraId="07A27CDB" w14:textId="77777777" w:rsidR="00343766" w:rsidRPr="003F471F" w:rsidRDefault="00343766" w:rsidP="00DB3ECB">
            <w:pPr>
              <w:rPr>
                <w:rFonts w:cs="Tahoma"/>
                <w:szCs w:val="18"/>
                <w:lang w:val="it-IT"/>
              </w:rPr>
            </w:pPr>
            <w:r w:rsidRPr="003F471F">
              <w:rPr>
                <w:rFonts w:cs="Tahoma"/>
                <w:szCs w:val="18"/>
                <w:lang w:val="it-IT"/>
              </w:rPr>
              <w:t>Componente Aggiuntivo di Office 365 E4/G4</w:t>
            </w:r>
          </w:p>
        </w:tc>
        <w:tc>
          <w:tcPr>
            <w:tcW w:w="4065" w:type="dxa"/>
            <w:vAlign w:val="center"/>
          </w:tcPr>
          <w:p w14:paraId="7F9C8112" w14:textId="77777777" w:rsidR="00343766" w:rsidRPr="0058047D" w:rsidRDefault="00343766" w:rsidP="00DB3ECB">
            <w:pPr>
              <w:rPr>
                <w:rFonts w:cs="Tahoma"/>
                <w:szCs w:val="18"/>
              </w:rPr>
            </w:pPr>
            <w:r w:rsidRPr="0058047D">
              <w:rPr>
                <w:rFonts w:cs="Tahoma"/>
                <w:szCs w:val="18"/>
              </w:rPr>
              <w:t>Office 365 E4/G4</w:t>
            </w:r>
          </w:p>
        </w:tc>
      </w:tr>
      <w:tr w:rsidR="00343766" w:rsidRPr="0058047D" w14:paraId="1F257B78" w14:textId="77777777" w:rsidTr="00BC00C1">
        <w:tc>
          <w:tcPr>
            <w:tcW w:w="1458" w:type="dxa"/>
            <w:vMerge/>
          </w:tcPr>
          <w:p w14:paraId="40F6F74E" w14:textId="77777777" w:rsidR="00343766" w:rsidRPr="0058047D" w:rsidRDefault="00343766" w:rsidP="00DB3ECB">
            <w:pPr>
              <w:jc w:val="center"/>
              <w:rPr>
                <w:rFonts w:cs="Tahoma"/>
                <w:szCs w:val="18"/>
              </w:rPr>
            </w:pPr>
          </w:p>
        </w:tc>
        <w:tc>
          <w:tcPr>
            <w:tcW w:w="3330" w:type="dxa"/>
            <w:vAlign w:val="center"/>
          </w:tcPr>
          <w:p w14:paraId="5D7A3D75" w14:textId="77777777" w:rsidR="00343766" w:rsidRPr="0058047D" w:rsidRDefault="00343766" w:rsidP="00DB3ECB">
            <w:pPr>
              <w:rPr>
                <w:rFonts w:cs="Tahoma"/>
                <w:szCs w:val="18"/>
              </w:rPr>
            </w:pPr>
            <w:r w:rsidRPr="0058047D">
              <w:rPr>
                <w:rFonts w:cs="Tahoma"/>
                <w:szCs w:val="18"/>
              </w:rPr>
              <w:t>Componente Aggiuntivo di Windows Azure Active Directory Rights Management</w:t>
            </w:r>
          </w:p>
        </w:tc>
        <w:tc>
          <w:tcPr>
            <w:tcW w:w="4065" w:type="dxa"/>
            <w:vAlign w:val="center"/>
          </w:tcPr>
          <w:p w14:paraId="35948E57" w14:textId="77777777" w:rsidR="00343766" w:rsidRPr="0058047D" w:rsidRDefault="00343766" w:rsidP="00DB3ECB">
            <w:pPr>
              <w:rPr>
                <w:rFonts w:cs="Tahoma"/>
                <w:szCs w:val="18"/>
              </w:rPr>
            </w:pPr>
            <w:r w:rsidRPr="0058047D">
              <w:rPr>
                <w:rFonts w:cs="Tahoma"/>
                <w:szCs w:val="18"/>
              </w:rPr>
              <w:t>Windows Azure Active Directory Rights Management</w:t>
            </w:r>
          </w:p>
        </w:tc>
      </w:tr>
    </w:tbl>
    <w:p w14:paraId="7BFE7897" w14:textId="77777777" w:rsidR="00541ED5" w:rsidRPr="0058047D" w:rsidRDefault="00541ED5" w:rsidP="000A0D35">
      <w:pPr>
        <w:ind w:left="720"/>
      </w:pPr>
    </w:p>
    <w:p w14:paraId="6C653C6D" w14:textId="77777777" w:rsidR="000A0D35" w:rsidRPr="003F471F" w:rsidRDefault="000A0D35" w:rsidP="000A0D35">
      <w:pPr>
        <w:ind w:left="720"/>
        <w:rPr>
          <w:lang w:val="it-IT"/>
        </w:rPr>
      </w:pPr>
      <w:r w:rsidRPr="003F471F">
        <w:rPr>
          <w:rFonts w:cs="Tahoma"/>
          <w:i/>
          <w:iCs/>
          <w:szCs w:val="24"/>
          <w:vertAlign w:val="superscript"/>
          <w:lang w:val="it-IT"/>
        </w:rPr>
        <w:t>1</w:t>
      </w:r>
      <w:r w:rsidRPr="003F471F">
        <w:rPr>
          <w:rFonts w:cs="Tahoma"/>
          <w:sz w:val="16"/>
          <w:szCs w:val="24"/>
          <w:lang w:val="it-IT"/>
        </w:rPr>
        <w:t>Nella tabella precedente, l</w:t>
      </w:r>
      <w:r w:rsidR="001C4212" w:rsidRPr="003F471F">
        <w:rPr>
          <w:rFonts w:cs="Tahoma"/>
          <w:sz w:val="16"/>
          <w:szCs w:val="24"/>
          <w:lang w:val="it-IT"/>
        </w:rPr>
        <w:t>’</w:t>
      </w:r>
      <w:r w:rsidRPr="003F471F">
        <w:rPr>
          <w:rFonts w:cs="Tahoma"/>
          <w:sz w:val="16"/>
          <w:szCs w:val="24"/>
          <w:lang w:val="it-IT"/>
        </w:rPr>
        <w:t>utilizzo della “E” nelle denominazioni delle SL Add-on per Utente e delle Corrispondenti SL per Utente per i Servizi Online non sta a indicare che tali prodotti sono offerti come Prodotti Enterprise.</w:t>
      </w:r>
      <w:r w:rsidR="00E34ED3" w:rsidRPr="003F471F">
        <w:rPr>
          <w:rFonts w:cs="Tahoma"/>
          <w:sz w:val="16"/>
          <w:szCs w:val="24"/>
          <w:lang w:val="it-IT"/>
        </w:rPr>
        <w:t xml:space="preserve"> </w:t>
      </w:r>
      <w:r w:rsidRPr="003F471F">
        <w:rPr>
          <w:rFonts w:cs="Tahoma"/>
          <w:sz w:val="16"/>
          <w:szCs w:val="24"/>
          <w:lang w:val="it-IT"/>
        </w:rPr>
        <w:t>Si tratta invece di un</w:t>
      </w:r>
      <w:r w:rsidR="001C4212" w:rsidRPr="003F471F">
        <w:rPr>
          <w:rFonts w:cs="Tahoma"/>
          <w:sz w:val="16"/>
          <w:szCs w:val="24"/>
          <w:lang w:val="it-IT"/>
        </w:rPr>
        <w:t>’</w:t>
      </w:r>
      <w:r w:rsidRPr="003F471F">
        <w:rPr>
          <w:rFonts w:cs="Tahoma"/>
          <w:sz w:val="16"/>
          <w:szCs w:val="24"/>
          <w:lang w:val="it-IT"/>
        </w:rPr>
        <w:t>abbreviazione dei nomi dei prodotti Office 365, dove “E” sostituisce la parola Enterprise e “G” la parola Government.</w:t>
      </w:r>
    </w:p>
    <w:p w14:paraId="02CC204E" w14:textId="77777777" w:rsidR="00FB1E38" w:rsidRPr="003F471F" w:rsidRDefault="00FB1E38" w:rsidP="00FB1E38">
      <w:pPr>
        <w:ind w:left="720"/>
        <w:rPr>
          <w:lang w:val="it-IT"/>
        </w:rPr>
      </w:pPr>
      <w:r w:rsidRPr="003F471F">
        <w:rPr>
          <w:rFonts w:cs="Tahoma"/>
          <w:i/>
          <w:iCs/>
          <w:sz w:val="16"/>
          <w:szCs w:val="24"/>
          <w:vertAlign w:val="superscript"/>
          <w:lang w:val="it-IT"/>
        </w:rPr>
        <w:t>2</w:t>
      </w:r>
      <w:r w:rsidRPr="003F471F">
        <w:rPr>
          <w:rFonts w:cs="Tahoma"/>
          <w:sz w:val="16"/>
          <w:szCs w:val="24"/>
          <w:lang w:val="it-IT"/>
        </w:rPr>
        <w:t>Le famiglie di prodotti Office 365 senza ProPlus sono disponibili solo tramite una USL Add-on</w:t>
      </w:r>
      <w:r w:rsidRPr="003F471F">
        <w:rPr>
          <w:rFonts w:cs="Tahoma"/>
          <w:szCs w:val="24"/>
          <w:lang w:val="it-IT"/>
        </w:rPr>
        <w:t>.</w:t>
      </w:r>
    </w:p>
    <w:p w14:paraId="6C0009CE" w14:textId="77777777" w:rsidR="000A0D35" w:rsidRPr="003F471F" w:rsidRDefault="000A0D35" w:rsidP="000A0D35">
      <w:pPr>
        <w:ind w:left="720"/>
        <w:rPr>
          <w:lang w:val="it-IT"/>
        </w:rPr>
      </w:pPr>
    </w:p>
    <w:p w14:paraId="588509E4" w14:textId="77777777" w:rsidR="000A0D35" w:rsidRPr="003F471F" w:rsidRDefault="000A0D35" w:rsidP="000A0D35">
      <w:pPr>
        <w:ind w:left="720"/>
        <w:rPr>
          <w:lang w:val="it-IT"/>
        </w:rPr>
      </w:pPr>
      <w:r w:rsidRPr="003F471F">
        <w:rPr>
          <w:rFonts w:cs="Tahoma"/>
          <w:szCs w:val="24"/>
          <w:lang w:val="it-IT"/>
        </w:rPr>
        <w:t xml:space="preserve">Le condizioni che seguono si applicano alle SL Add-on per Utente elencate nella tabella precedente. </w:t>
      </w:r>
    </w:p>
    <w:p w14:paraId="02D94985" w14:textId="77777777" w:rsidR="000A0D35" w:rsidRPr="003F471F" w:rsidRDefault="000A0D35" w:rsidP="000A0D35">
      <w:pPr>
        <w:ind w:left="900"/>
        <w:rPr>
          <w:lang w:val="it-IT"/>
        </w:rPr>
      </w:pPr>
    </w:p>
    <w:p w14:paraId="64E6370D" w14:textId="77777777" w:rsidR="000A0D35" w:rsidRPr="003F471F" w:rsidRDefault="000A0D35" w:rsidP="000A0D35">
      <w:pPr>
        <w:keepNext/>
        <w:spacing w:after="60"/>
        <w:ind w:left="720"/>
        <w:rPr>
          <w:lang w:val="it-IT"/>
        </w:rPr>
      </w:pPr>
      <w:r w:rsidRPr="003F471F">
        <w:rPr>
          <w:rFonts w:eastAsia="Calibri" w:cs="Tahoma"/>
          <w:b/>
          <w:color w:val="000000"/>
          <w:szCs w:val="18"/>
          <w:lang w:val="it-IT"/>
        </w:rPr>
        <w:t>Idoneità all</w:t>
      </w:r>
      <w:r w:rsidR="001C4212" w:rsidRPr="003F471F">
        <w:rPr>
          <w:rFonts w:eastAsia="Calibri" w:cs="Tahoma"/>
          <w:b/>
          <w:color w:val="000000"/>
          <w:szCs w:val="18"/>
          <w:lang w:val="it-IT"/>
        </w:rPr>
        <w:t>’</w:t>
      </w:r>
      <w:r w:rsidRPr="003F471F">
        <w:rPr>
          <w:rFonts w:eastAsia="Calibri" w:cs="Tahoma"/>
          <w:b/>
          <w:color w:val="000000"/>
          <w:szCs w:val="18"/>
          <w:lang w:val="it-IT"/>
        </w:rPr>
        <w:t>Acquisto</w:t>
      </w:r>
    </w:p>
    <w:p w14:paraId="6EDACF5B" w14:textId="77777777" w:rsidR="000A0D35" w:rsidRPr="003F471F" w:rsidRDefault="000A0D35" w:rsidP="000A0D35">
      <w:pPr>
        <w:spacing w:after="60"/>
        <w:ind w:left="720"/>
        <w:rPr>
          <w:lang w:val="it-IT"/>
        </w:rPr>
      </w:pPr>
      <w:r w:rsidRPr="003F471F">
        <w:rPr>
          <w:rFonts w:cs="Tahoma"/>
          <w:szCs w:val="24"/>
          <w:lang w:val="it-IT"/>
        </w:rPr>
        <w:t xml:space="preserve">Per acquistare una SL Add-on per Utente: </w:t>
      </w:r>
    </w:p>
    <w:p w14:paraId="5B51BA89" w14:textId="77777777" w:rsidR="000A0D35" w:rsidRPr="003F471F" w:rsidRDefault="000A0D35" w:rsidP="000A0D35">
      <w:pPr>
        <w:pStyle w:val="ListParagraph"/>
        <w:numPr>
          <w:ilvl w:val="0"/>
          <w:numId w:val="141"/>
        </w:numPr>
        <w:spacing w:after="60"/>
        <w:rPr>
          <w:lang w:val="it-IT"/>
        </w:rPr>
      </w:pPr>
      <w:r w:rsidRPr="003F471F">
        <w:rPr>
          <w:rFonts w:ascii="Tahoma" w:hAnsi="Tahoma" w:cs="Tahoma"/>
          <w:sz w:val="18"/>
          <w:lang w:val="it-IT"/>
        </w:rPr>
        <w:t>Le Società dovranno disporre di un</w:t>
      </w:r>
      <w:r w:rsidR="001C4212" w:rsidRPr="003F471F">
        <w:rPr>
          <w:rFonts w:ascii="Tahoma" w:hAnsi="Tahoma" w:cs="Tahoma"/>
          <w:sz w:val="18"/>
          <w:lang w:val="it-IT"/>
        </w:rPr>
        <w:t>’</w:t>
      </w:r>
      <w:r w:rsidRPr="003F471F">
        <w:rPr>
          <w:rFonts w:ascii="Tahoma" w:hAnsi="Tahoma" w:cs="Tahoma"/>
          <w:sz w:val="18"/>
          <w:lang w:val="it-IT"/>
        </w:rPr>
        <w:t>Iscrizione Enterprise attiva con Software Assurance attiva per la</w:t>
      </w:r>
      <w:r w:rsidR="00BC00C1" w:rsidRPr="003F471F">
        <w:rPr>
          <w:rFonts w:ascii="Tahoma" w:hAnsi="Tahoma" w:cs="Tahoma"/>
          <w:sz w:val="18"/>
          <w:lang w:val="it-IT"/>
        </w:rPr>
        <w:t> </w:t>
      </w:r>
      <w:r w:rsidRPr="003F471F">
        <w:rPr>
          <w:rFonts w:ascii="Tahoma" w:hAnsi="Tahoma" w:cs="Tahoma"/>
          <w:sz w:val="18"/>
          <w:lang w:val="it-IT"/>
        </w:rPr>
        <w:t xml:space="preserve">Licenza Qualificante corrispondente. La Licenza Qualificante potrà essere per utente o per dispositivo. </w:t>
      </w:r>
    </w:p>
    <w:p w14:paraId="696E09EF" w14:textId="77777777" w:rsidR="000A0D35" w:rsidRPr="003F471F" w:rsidRDefault="000A0D35" w:rsidP="000A0D35">
      <w:pPr>
        <w:pStyle w:val="ListParagraph"/>
        <w:numPr>
          <w:ilvl w:val="0"/>
          <w:numId w:val="141"/>
        </w:numPr>
        <w:spacing w:after="60"/>
        <w:rPr>
          <w:lang w:val="it-IT"/>
        </w:rPr>
      </w:pPr>
      <w:r w:rsidRPr="003F471F">
        <w:rPr>
          <w:rFonts w:ascii="Tahoma" w:hAnsi="Tahoma" w:cs="Tahoma"/>
          <w:sz w:val="18"/>
          <w:lang w:val="it-IT"/>
        </w:rPr>
        <w:t>Le Società con una versione di MBSA anteriore al 2010 devono firmare le Condizioni Supplementari per i Servizi Online.</w:t>
      </w:r>
    </w:p>
    <w:p w14:paraId="3D8012CE" w14:textId="77777777" w:rsidR="000A0D35" w:rsidRPr="003F471F" w:rsidRDefault="000A0D35" w:rsidP="000A0D35">
      <w:pPr>
        <w:pStyle w:val="ListParagraph"/>
        <w:tabs>
          <w:tab w:val="left" w:pos="1440"/>
        </w:tabs>
        <w:spacing w:after="60"/>
        <w:ind w:left="1800"/>
        <w:rPr>
          <w:rFonts w:ascii="Tahoma" w:hAnsi="Tahoma" w:cs="Tahoma"/>
          <w:sz w:val="18"/>
          <w:szCs w:val="18"/>
          <w:lang w:val="it-IT"/>
        </w:rPr>
      </w:pPr>
    </w:p>
    <w:p w14:paraId="755E41C6" w14:textId="77777777" w:rsidR="000A0D35" w:rsidRPr="003F471F" w:rsidRDefault="000A0D35" w:rsidP="000A0D35">
      <w:pPr>
        <w:keepNext/>
        <w:spacing w:after="60"/>
        <w:ind w:left="720"/>
        <w:rPr>
          <w:lang w:val="it-IT"/>
        </w:rPr>
      </w:pPr>
      <w:r w:rsidRPr="003F471F">
        <w:rPr>
          <w:rFonts w:eastAsia="Calibri" w:cs="Tahoma"/>
          <w:b/>
          <w:color w:val="000000"/>
          <w:szCs w:val="18"/>
          <w:lang w:val="it-IT"/>
        </w:rPr>
        <w:t>Limitazioni Relative all</w:t>
      </w:r>
      <w:r w:rsidR="001C4212" w:rsidRPr="003F471F">
        <w:rPr>
          <w:rFonts w:eastAsia="Calibri" w:cs="Tahoma"/>
          <w:b/>
          <w:color w:val="000000"/>
          <w:szCs w:val="18"/>
          <w:lang w:val="it-IT"/>
        </w:rPr>
        <w:t>’</w:t>
      </w:r>
      <w:r w:rsidRPr="003F471F">
        <w:rPr>
          <w:rFonts w:eastAsia="Calibri" w:cs="Tahoma"/>
          <w:b/>
          <w:color w:val="000000"/>
          <w:szCs w:val="18"/>
          <w:lang w:val="it-IT"/>
        </w:rPr>
        <w:t>Acquisto</w:t>
      </w:r>
    </w:p>
    <w:p w14:paraId="3C0E3A12" w14:textId="77777777" w:rsidR="000A0D35" w:rsidRPr="003F471F" w:rsidRDefault="000A0D35" w:rsidP="000A0D35">
      <w:pPr>
        <w:spacing w:after="60"/>
        <w:ind w:left="720"/>
        <w:rPr>
          <w:lang w:val="it-IT"/>
        </w:rPr>
      </w:pPr>
      <w:r w:rsidRPr="003F471F">
        <w:rPr>
          <w:rFonts w:cs="Tahoma"/>
          <w:szCs w:val="24"/>
          <w:lang w:val="it-IT"/>
        </w:rPr>
        <w:t>Per ogni Licenza Qualificante (o gruppo di Licenze Qualificanti) è possibile acquistare solo una SL Add-on per Utente.</w:t>
      </w:r>
    </w:p>
    <w:p w14:paraId="08D6A92C" w14:textId="77777777" w:rsidR="00343766" w:rsidRPr="003F471F" w:rsidRDefault="00343766" w:rsidP="000A0D35">
      <w:pPr>
        <w:spacing w:after="60"/>
        <w:ind w:left="720"/>
        <w:rPr>
          <w:lang w:val="it-IT"/>
        </w:rPr>
      </w:pPr>
    </w:p>
    <w:p w14:paraId="2E24AE4A" w14:textId="77777777" w:rsidR="00343766" w:rsidRPr="003F471F" w:rsidRDefault="00343766" w:rsidP="0085774C">
      <w:pPr>
        <w:ind w:left="720"/>
        <w:rPr>
          <w:lang w:val="it-IT"/>
        </w:rPr>
      </w:pPr>
      <w:r w:rsidRPr="003F471F">
        <w:rPr>
          <w:lang w:val="it-IT"/>
        </w:rPr>
        <w:t>Le società potranno acquistare SL Add-On per Utente per gli utenti o gli utenti di dispositivi aggiunti al</w:t>
      </w:r>
      <w:r w:rsidR="00BC00C1" w:rsidRPr="003F471F">
        <w:rPr>
          <w:lang w:val="it-IT"/>
        </w:rPr>
        <w:t> </w:t>
      </w:r>
      <w:r w:rsidRPr="003F471F">
        <w:rPr>
          <w:lang w:val="it-IT"/>
        </w:rPr>
        <w:t>numero di utenti o dispositivi di un Iscrizione Enterprise tra le date di true-up (vale a dire, prima dell</w:t>
      </w:r>
      <w:r w:rsidR="001C4212" w:rsidRPr="003F471F">
        <w:rPr>
          <w:lang w:val="it-IT"/>
        </w:rPr>
        <w:t>’</w:t>
      </w:r>
      <w:r w:rsidRPr="003F471F">
        <w:rPr>
          <w:lang w:val="it-IT"/>
        </w:rPr>
        <w:t>acquisto delle licenze qualificanti), rispettando la stessa limitazione di una SL Add-on per Utente per</w:t>
      </w:r>
      <w:r w:rsidR="00BC00C1" w:rsidRPr="003F471F">
        <w:rPr>
          <w:lang w:val="it-IT"/>
        </w:rPr>
        <w:t> </w:t>
      </w:r>
      <w:r w:rsidRPr="003F471F">
        <w:rPr>
          <w:lang w:val="it-IT"/>
        </w:rPr>
        <w:t>licenza qualificante (o gruppo di Licenze Qualificanti).</w:t>
      </w:r>
    </w:p>
    <w:p w14:paraId="503F144A" w14:textId="77777777" w:rsidR="000A0D35" w:rsidRPr="003F471F" w:rsidRDefault="000A0D35" w:rsidP="000A0D35">
      <w:pPr>
        <w:spacing w:after="60"/>
        <w:ind w:left="720"/>
        <w:rPr>
          <w:lang w:val="it-IT"/>
        </w:rPr>
      </w:pPr>
    </w:p>
    <w:p w14:paraId="1EFA38B2" w14:textId="77777777" w:rsidR="000A0D35" w:rsidRPr="003F471F" w:rsidRDefault="000A0D35" w:rsidP="000A0D35">
      <w:pPr>
        <w:keepNext/>
        <w:spacing w:after="60"/>
        <w:ind w:left="720"/>
        <w:rPr>
          <w:lang w:val="it-IT"/>
        </w:rPr>
      </w:pPr>
      <w:r w:rsidRPr="003F471F">
        <w:rPr>
          <w:rFonts w:eastAsia="Calibri" w:cs="Tahoma"/>
          <w:b/>
          <w:color w:val="000000"/>
          <w:szCs w:val="18"/>
          <w:lang w:val="it-IT"/>
        </w:rPr>
        <w:t>Assegnazione delle Licenze</w:t>
      </w:r>
    </w:p>
    <w:p w14:paraId="005DC807" w14:textId="77777777" w:rsidR="000A0D35" w:rsidRPr="003F471F" w:rsidRDefault="000A0D35" w:rsidP="00D824E9">
      <w:pPr>
        <w:ind w:left="720"/>
        <w:rPr>
          <w:lang w:val="it-IT"/>
        </w:rPr>
      </w:pPr>
      <w:r w:rsidRPr="003F471F">
        <w:rPr>
          <w:rFonts w:cs="Tahoma"/>
          <w:szCs w:val="24"/>
          <w:lang w:val="it-IT"/>
        </w:rPr>
        <w:t>Ogni SL Add-on per Utente deve essere assegnata a un unico Utente Qualificato (come definito nell</w:t>
      </w:r>
      <w:r w:rsidR="001C4212" w:rsidRPr="003F471F">
        <w:rPr>
          <w:rFonts w:cs="Tahoma"/>
          <w:szCs w:val="24"/>
          <w:lang w:val="it-IT"/>
        </w:rPr>
        <w:t>’</w:t>
      </w:r>
      <w:r w:rsidRPr="003F471F">
        <w:rPr>
          <w:rFonts w:cs="Tahoma"/>
          <w:szCs w:val="24"/>
          <w:lang w:val="it-IT"/>
        </w:rPr>
        <w:t xml:space="preserve">Iscrizione Enterprise della Società). Le SL Add-on per Utente possono essere riassegnate ad altri Utenti Qualificati in conformità alle Condizioni Universali di Licenza dei Diritti di Utilizzo del Prodotto (Product Use Rights o PUR) dei Contratti Multilicenza Microsoft che disciplinano la riassegnazione delle SL per Utente. </w:t>
      </w:r>
    </w:p>
    <w:p w14:paraId="28CF7356" w14:textId="77777777" w:rsidR="000A0D35" w:rsidRPr="003F471F" w:rsidRDefault="000A0D35" w:rsidP="000A0D35">
      <w:pPr>
        <w:spacing w:after="60"/>
        <w:ind w:left="720"/>
        <w:rPr>
          <w:lang w:val="it-IT"/>
        </w:rPr>
      </w:pPr>
    </w:p>
    <w:p w14:paraId="398865F6" w14:textId="77777777" w:rsidR="000A0D35" w:rsidRPr="003F471F" w:rsidRDefault="000A0D35" w:rsidP="000A0D35">
      <w:pPr>
        <w:keepNext/>
        <w:spacing w:after="60"/>
        <w:ind w:left="720"/>
        <w:rPr>
          <w:lang w:val="it-IT"/>
        </w:rPr>
      </w:pPr>
      <w:r w:rsidRPr="003F471F">
        <w:rPr>
          <w:rFonts w:eastAsia="Calibri" w:cs="Tahoma"/>
          <w:b/>
          <w:color w:val="000000"/>
          <w:szCs w:val="18"/>
          <w:lang w:val="it-IT"/>
        </w:rPr>
        <w:t>Diritti sull</w:t>
      </w:r>
      <w:r w:rsidR="001C4212" w:rsidRPr="003F471F">
        <w:rPr>
          <w:rFonts w:eastAsia="Calibri" w:cs="Tahoma"/>
          <w:b/>
          <w:color w:val="000000"/>
          <w:szCs w:val="18"/>
          <w:lang w:val="it-IT"/>
        </w:rPr>
        <w:t>’</w:t>
      </w:r>
      <w:r w:rsidRPr="003F471F">
        <w:rPr>
          <w:rFonts w:eastAsia="Calibri" w:cs="Tahoma"/>
          <w:b/>
          <w:color w:val="000000"/>
          <w:szCs w:val="18"/>
          <w:lang w:val="it-IT"/>
        </w:rPr>
        <w:t>Utilizzo</w:t>
      </w:r>
    </w:p>
    <w:p w14:paraId="40BC6DAD" w14:textId="77777777" w:rsidR="000A0D35" w:rsidRPr="003F471F" w:rsidRDefault="000A0D35" w:rsidP="00D824E9">
      <w:pPr>
        <w:ind w:left="720"/>
        <w:rPr>
          <w:lang w:val="it-IT"/>
        </w:rPr>
      </w:pPr>
      <w:r w:rsidRPr="003F471F">
        <w:rPr>
          <w:rFonts w:eastAsia="Calibri" w:cs="Tahoma"/>
          <w:color w:val="000000"/>
          <w:szCs w:val="18"/>
          <w:lang w:val="it-IT"/>
        </w:rPr>
        <w:t>Ogni SL Add-on per Utente offre diritti sull</w:t>
      </w:r>
      <w:r w:rsidR="001C4212" w:rsidRPr="003F471F">
        <w:rPr>
          <w:rFonts w:eastAsia="Calibri" w:cs="Tahoma"/>
          <w:color w:val="000000"/>
          <w:szCs w:val="18"/>
          <w:lang w:val="it-IT"/>
        </w:rPr>
        <w:t>’</w:t>
      </w:r>
      <w:r w:rsidRPr="003F471F">
        <w:rPr>
          <w:rFonts w:eastAsia="Calibri" w:cs="Tahoma"/>
          <w:color w:val="000000"/>
          <w:szCs w:val="18"/>
          <w:lang w:val="it-IT"/>
        </w:rPr>
        <w:t>utilizzo equivalenti a quelli della Corrispondente SL per Utente per i Servizi Online. I</w:t>
      </w:r>
      <w:r w:rsidRPr="003F471F">
        <w:rPr>
          <w:rFonts w:cs="Tahoma"/>
          <w:szCs w:val="24"/>
          <w:lang w:val="it-IT"/>
        </w:rPr>
        <w:t xml:space="preserve"> diritti sull</w:t>
      </w:r>
      <w:r w:rsidR="001C4212" w:rsidRPr="003F471F">
        <w:rPr>
          <w:rFonts w:cs="Tahoma"/>
          <w:szCs w:val="24"/>
          <w:lang w:val="it-IT"/>
        </w:rPr>
        <w:t>’</w:t>
      </w:r>
      <w:r w:rsidRPr="003F471F">
        <w:rPr>
          <w:rFonts w:cs="Tahoma"/>
          <w:szCs w:val="24"/>
          <w:lang w:val="it-IT"/>
        </w:rPr>
        <w:t>utilizzo di ogni Corrispondente SL per Utente per i Servizi Online sono definiti nel documento PUR. I diritti sull</w:t>
      </w:r>
      <w:r w:rsidR="001C4212" w:rsidRPr="003F471F">
        <w:rPr>
          <w:rFonts w:cs="Tahoma"/>
          <w:szCs w:val="24"/>
          <w:lang w:val="it-IT"/>
        </w:rPr>
        <w:t>’</w:t>
      </w:r>
      <w:r w:rsidRPr="003F471F">
        <w:rPr>
          <w:rFonts w:cs="Tahoma"/>
          <w:szCs w:val="24"/>
          <w:lang w:val="it-IT"/>
        </w:rPr>
        <w:t>utilizzo acquisiti tramite l</w:t>
      </w:r>
      <w:r w:rsidR="001C4212" w:rsidRPr="003F471F">
        <w:rPr>
          <w:rFonts w:cs="Tahoma"/>
          <w:szCs w:val="24"/>
          <w:lang w:val="it-IT"/>
        </w:rPr>
        <w:t>’</w:t>
      </w:r>
      <w:r w:rsidRPr="003F471F">
        <w:rPr>
          <w:rFonts w:cs="Tahoma"/>
          <w:szCs w:val="24"/>
          <w:lang w:val="it-IT"/>
        </w:rPr>
        <w:t>acquisto di tali SL Add-on per Utente cesseranno alla scadenza della copertura Software Assurance della Licenza Qualificante o al termine del periodo di validità della sottoscrizione relativa alla SL Add-on per Utente, in base a quale evento si verifichi per primo. L</w:t>
      </w:r>
      <w:r w:rsidR="001C4212" w:rsidRPr="003F471F">
        <w:rPr>
          <w:rFonts w:cs="Tahoma"/>
          <w:szCs w:val="24"/>
          <w:lang w:val="it-IT"/>
        </w:rPr>
        <w:t>’</w:t>
      </w:r>
      <w:r w:rsidRPr="003F471F">
        <w:rPr>
          <w:rFonts w:cs="Tahoma"/>
          <w:szCs w:val="24"/>
          <w:lang w:val="it-IT"/>
        </w:rPr>
        <w:t>acquisto di tali SL Add-on per Utente non ha effetti sui diritti sull</w:t>
      </w:r>
      <w:r w:rsidR="001C4212" w:rsidRPr="003F471F">
        <w:rPr>
          <w:rFonts w:cs="Tahoma"/>
          <w:szCs w:val="24"/>
          <w:lang w:val="it-IT"/>
        </w:rPr>
        <w:t>’</w:t>
      </w:r>
      <w:r w:rsidRPr="003F471F">
        <w:rPr>
          <w:rFonts w:cs="Tahoma"/>
          <w:szCs w:val="24"/>
          <w:lang w:val="it-IT"/>
        </w:rPr>
        <w:t xml:space="preserve">utilizzo della Licenza Qualificante. </w:t>
      </w:r>
    </w:p>
    <w:p w14:paraId="17C8617D" w14:textId="77777777" w:rsidR="000A0D35" w:rsidRPr="003F471F" w:rsidRDefault="000A0D35" w:rsidP="000A0D35">
      <w:pPr>
        <w:spacing w:after="60"/>
        <w:ind w:left="720"/>
        <w:rPr>
          <w:lang w:val="it-IT"/>
        </w:rPr>
      </w:pPr>
    </w:p>
    <w:p w14:paraId="7D50B181" w14:textId="77777777" w:rsidR="000A0D35" w:rsidRPr="003F471F" w:rsidRDefault="000A0D35" w:rsidP="000A0D35">
      <w:pPr>
        <w:keepNext/>
        <w:spacing w:after="60"/>
        <w:ind w:left="720"/>
        <w:rPr>
          <w:lang w:val="it-IT"/>
        </w:rPr>
      </w:pPr>
      <w:r w:rsidRPr="003F471F">
        <w:rPr>
          <w:rFonts w:eastAsia="Calibri" w:cs="Tahoma"/>
          <w:b/>
          <w:color w:val="000000"/>
          <w:szCs w:val="18"/>
          <w:lang w:val="it-IT"/>
        </w:rPr>
        <w:t>True-up</w:t>
      </w:r>
    </w:p>
    <w:p w14:paraId="1BB68B71" w14:textId="77777777" w:rsidR="000A0D35" w:rsidRPr="003F471F" w:rsidRDefault="000A0D35" w:rsidP="000A0D35">
      <w:pPr>
        <w:spacing w:after="60"/>
        <w:ind w:left="720"/>
        <w:rPr>
          <w:lang w:val="it-IT"/>
        </w:rPr>
      </w:pPr>
      <w:r w:rsidRPr="003F471F">
        <w:rPr>
          <w:rFonts w:eastAsia="Calibri" w:cs="Tahoma"/>
          <w:color w:val="000000"/>
          <w:szCs w:val="18"/>
          <w:lang w:val="it-IT"/>
        </w:rPr>
        <w:t>Le SL Add-on per Utente non sono Prodotti Enterprise né Servizi Online Enterprise. Non possono essere utilizzate per soddisfare i requisiti per l</w:t>
      </w:r>
      <w:r w:rsidR="001C4212" w:rsidRPr="003F471F">
        <w:rPr>
          <w:rFonts w:eastAsia="Calibri" w:cs="Tahoma"/>
          <w:color w:val="000000"/>
          <w:szCs w:val="18"/>
          <w:lang w:val="it-IT"/>
        </w:rPr>
        <w:t>’</w:t>
      </w:r>
      <w:r w:rsidRPr="003F471F">
        <w:rPr>
          <w:rFonts w:eastAsia="Calibri" w:cs="Tahoma"/>
          <w:color w:val="000000"/>
          <w:szCs w:val="18"/>
          <w:lang w:val="it-IT"/>
        </w:rPr>
        <w:t>intera Organizzazione di Prodotti Enterprise in un</w:t>
      </w:r>
      <w:r w:rsidR="001C4212" w:rsidRPr="003F471F">
        <w:rPr>
          <w:rFonts w:eastAsia="Calibri" w:cs="Tahoma"/>
          <w:color w:val="000000"/>
          <w:szCs w:val="18"/>
          <w:lang w:val="it-IT"/>
        </w:rPr>
        <w:t>’</w:t>
      </w:r>
      <w:r w:rsidRPr="003F471F">
        <w:rPr>
          <w:rFonts w:eastAsia="Calibri" w:cs="Tahoma"/>
          <w:color w:val="000000"/>
          <w:szCs w:val="18"/>
          <w:lang w:val="it-IT"/>
        </w:rPr>
        <w:t>Iscrizione Enterprise. Ad esempio, se una società sceglie Office Professional Plus come Prodotto Enterprise nella propria Iscrizione Enterprise e utilizza una SL Add-on per Utente per installare Office 365 ProPlus su un Dispositivo Qualificato senza Office Professional Plus, deve comunque presentare un ordine True-up per Office Professional Plus su tale Dispositivo Qualificato, insieme a qualsiasi altro Prodotto Enterprise richiesto per il Dispositivo Qualificato in questione.</w:t>
      </w:r>
    </w:p>
    <w:p w14:paraId="45101EFB" w14:textId="77777777" w:rsidR="00FB1E38" w:rsidRPr="003F471F" w:rsidRDefault="00FB1E38" w:rsidP="00FB1E38">
      <w:pPr>
        <w:spacing w:after="60"/>
        <w:ind w:left="720"/>
        <w:rPr>
          <w:lang w:val="it-IT"/>
        </w:rPr>
      </w:pPr>
    </w:p>
    <w:p w14:paraId="16814E1D" w14:textId="77777777" w:rsidR="00FB1E38" w:rsidRPr="003F471F" w:rsidRDefault="00FB1E38" w:rsidP="00FB1E38">
      <w:pPr>
        <w:spacing w:after="60"/>
        <w:ind w:left="720"/>
        <w:rPr>
          <w:lang w:val="it-IT"/>
        </w:rPr>
      </w:pPr>
      <w:r w:rsidRPr="003F471F">
        <w:rPr>
          <w:rFonts w:eastAsia="Calibri" w:cs="Tahoma"/>
          <w:b/>
          <w:color w:val="000000"/>
          <w:szCs w:val="18"/>
          <w:lang w:val="it-IT"/>
        </w:rPr>
        <w:t>Condizioni per i Programmi Multilicenza</w:t>
      </w:r>
    </w:p>
    <w:p w14:paraId="799E7A96" w14:textId="77777777" w:rsidR="00FB1E38" w:rsidRPr="003F471F" w:rsidRDefault="00343766" w:rsidP="00FB1E38">
      <w:pPr>
        <w:spacing w:after="60"/>
        <w:ind w:left="720"/>
        <w:rPr>
          <w:lang w:val="it-IT"/>
        </w:rPr>
      </w:pPr>
      <w:r w:rsidRPr="003F471F">
        <w:rPr>
          <w:rFonts w:eastAsia="Calibri" w:cs="Tahoma"/>
          <w:color w:val="000000"/>
          <w:szCs w:val="18"/>
          <w:lang w:val="it-IT"/>
        </w:rPr>
        <w:t xml:space="preserve">Ad esclusione dei diritti di Transizione, le Condizioni per i Programmi in vigore per la Corrispondente USL per i Servizi Online si applicano anche alle USL Add-on. </w:t>
      </w:r>
    </w:p>
    <w:p w14:paraId="4FD1B458" w14:textId="77777777" w:rsidR="00FB1E38" w:rsidRPr="003F471F" w:rsidRDefault="00FB1E38" w:rsidP="00FB1E38">
      <w:pPr>
        <w:spacing w:after="60"/>
        <w:ind w:left="720"/>
        <w:rPr>
          <w:lang w:val="it-IT"/>
        </w:rPr>
      </w:pPr>
    </w:p>
    <w:p w14:paraId="3B006484" w14:textId="77777777" w:rsidR="00FB1E38" w:rsidRPr="003F471F" w:rsidRDefault="00FB1E38" w:rsidP="00FB1E38">
      <w:pPr>
        <w:spacing w:after="60"/>
        <w:ind w:left="720"/>
        <w:rPr>
          <w:lang w:val="it-IT"/>
        </w:rPr>
      </w:pPr>
      <w:r w:rsidRPr="003F471F">
        <w:rPr>
          <w:rFonts w:eastAsia="Calibri" w:cs="Tahoma"/>
          <w:b/>
          <w:color w:val="000000"/>
          <w:szCs w:val="18"/>
          <w:lang w:val="it-IT"/>
        </w:rPr>
        <w:t>Prezzi dei Servizi Online e Condizioni di Pagamento</w:t>
      </w:r>
    </w:p>
    <w:p w14:paraId="191CFFE9" w14:textId="77777777" w:rsidR="00FB1E38" w:rsidRPr="003F471F" w:rsidRDefault="00FB1E38" w:rsidP="00FB1E38">
      <w:pPr>
        <w:spacing w:after="60"/>
        <w:ind w:left="720"/>
        <w:rPr>
          <w:lang w:val="it-IT"/>
        </w:rPr>
      </w:pPr>
      <w:r w:rsidRPr="003F471F">
        <w:rPr>
          <w:rFonts w:eastAsia="Calibri" w:cs="Tahoma"/>
          <w:color w:val="000000"/>
          <w:szCs w:val="18"/>
          <w:lang w:val="it-IT"/>
        </w:rPr>
        <w:t xml:space="preserve">I Prezzi dei Servizi Online e le Condizioni di Pagamento in vigore per la Corrispondente USL per i Servizi Online si applicano anche alle USL Add-on. </w:t>
      </w:r>
    </w:p>
    <w:p w14:paraId="08924CF6" w14:textId="77777777" w:rsidR="00996781" w:rsidRPr="003F471F" w:rsidRDefault="00996781" w:rsidP="00B26237">
      <w:pPr>
        <w:pStyle w:val="Heading2"/>
        <w:ind w:left="0"/>
        <w:rPr>
          <w:lang w:val="it-IT"/>
        </w:rPr>
      </w:pPr>
    </w:p>
    <w:p w14:paraId="6F9F3F7F" w14:textId="77777777" w:rsidR="00996781" w:rsidRPr="003F471F" w:rsidRDefault="00996781" w:rsidP="00B26237">
      <w:pPr>
        <w:pStyle w:val="Heading2"/>
        <w:ind w:left="0"/>
        <w:rPr>
          <w:lang w:val="it-IT"/>
        </w:rPr>
      </w:pPr>
    </w:p>
    <w:p w14:paraId="4B53EBF0" w14:textId="77777777" w:rsidR="00BC00C1" w:rsidRPr="003F471F" w:rsidRDefault="00BC00C1" w:rsidP="00BC00C1">
      <w:pPr>
        <w:rPr>
          <w:lang w:val="it-IT"/>
        </w:rPr>
      </w:pPr>
    </w:p>
    <w:p w14:paraId="6D8F3951" w14:textId="77777777" w:rsidR="00BC00C1" w:rsidRPr="003F471F" w:rsidRDefault="00BC00C1" w:rsidP="00BC00C1">
      <w:pPr>
        <w:rPr>
          <w:lang w:val="it-IT"/>
        </w:rPr>
      </w:pPr>
    </w:p>
    <w:p w14:paraId="2A96BE2E" w14:textId="77777777" w:rsidR="00BC00C1" w:rsidRPr="003F471F" w:rsidRDefault="00BC00C1" w:rsidP="00BC00C1">
      <w:pPr>
        <w:rPr>
          <w:lang w:val="it-IT"/>
        </w:rPr>
      </w:pPr>
    </w:p>
    <w:p w14:paraId="740AB7F6" w14:textId="77777777" w:rsidR="00BC00C1" w:rsidRPr="003F471F" w:rsidRDefault="00BC00C1" w:rsidP="00BC00C1">
      <w:pPr>
        <w:rPr>
          <w:lang w:val="it-IT"/>
        </w:rPr>
      </w:pPr>
    </w:p>
    <w:p w14:paraId="5A403C9F" w14:textId="77777777" w:rsidR="00B26237" w:rsidRPr="003F471F" w:rsidRDefault="00A560B6" w:rsidP="00B26237">
      <w:pPr>
        <w:pStyle w:val="Heading2"/>
        <w:ind w:left="0"/>
        <w:rPr>
          <w:lang w:val="it-IT"/>
        </w:rPr>
      </w:pPr>
      <w:bookmarkStart w:id="978" w:name="_7_Office_365_1"/>
      <w:bookmarkStart w:id="979" w:name="_8_Office_365"/>
      <w:bookmarkStart w:id="980" w:name="_Toc371663659"/>
      <w:bookmarkEnd w:id="978"/>
      <w:bookmarkEnd w:id="979"/>
      <w:r w:rsidRPr="003F471F">
        <w:rPr>
          <w:rFonts w:ascii="Tahoma" w:hAnsi="Tahoma" w:cs="Tahoma"/>
          <w:caps/>
          <w:color w:val="FF6600"/>
          <w:sz w:val="22"/>
          <w:szCs w:val="22"/>
          <w:vertAlign w:val="superscript"/>
          <w:lang w:val="it-IT"/>
        </w:rPr>
        <w:t xml:space="preserve">8 </w:t>
      </w:r>
      <w:r w:rsidRPr="003F471F">
        <w:rPr>
          <w:rFonts w:ascii="Tahoma" w:hAnsi="Tahoma" w:cs="Tahoma"/>
          <w:color w:val="FF6600"/>
          <w:sz w:val="22"/>
          <w:szCs w:val="22"/>
          <w:lang w:val="it-IT"/>
        </w:rPr>
        <w:t>Office 365 Enterprise E3-E4</w:t>
      </w:r>
      <w:bookmarkEnd w:id="974"/>
      <w:bookmarkEnd w:id="980"/>
    </w:p>
    <w:p w14:paraId="6D627B19" w14:textId="77777777" w:rsidR="00B26237" w:rsidRPr="003F471F" w:rsidRDefault="00B26237" w:rsidP="00AE5A9F">
      <w:pPr>
        <w:rPr>
          <w:lang w:val="it-IT"/>
        </w:rPr>
      </w:pPr>
    </w:p>
    <w:p w14:paraId="76195807" w14:textId="77777777" w:rsidR="00B26237" w:rsidRPr="003F471F" w:rsidRDefault="00B26237" w:rsidP="00B26237">
      <w:pPr>
        <w:ind w:left="720"/>
        <w:rPr>
          <w:lang w:val="it-IT"/>
        </w:rPr>
      </w:pPr>
      <w:r w:rsidRPr="003F471F">
        <w:rPr>
          <w:color w:val="000000"/>
          <w:lang w:val="it-IT"/>
        </w:rPr>
        <w:t>Office 365 Piani E3-E4 permettono l</w:t>
      </w:r>
      <w:r w:rsidR="001C4212" w:rsidRPr="003F471F">
        <w:rPr>
          <w:color w:val="000000"/>
          <w:lang w:val="it-IT"/>
        </w:rPr>
        <w:t>’</w:t>
      </w:r>
      <w:r w:rsidRPr="003F471F">
        <w:rPr>
          <w:color w:val="000000"/>
          <w:lang w:val="it-IT"/>
        </w:rPr>
        <w:t>accesso ai seguenti Servizi Online:</w:t>
      </w:r>
    </w:p>
    <w:p w14:paraId="4552FEC0" w14:textId="77777777" w:rsidR="00B26237" w:rsidRPr="003F471F" w:rsidRDefault="00B26237" w:rsidP="00B26237">
      <w:pPr>
        <w:rPr>
          <w:lang w:val="it-IT"/>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58047D" w14:paraId="505BE500" w14:textId="77777777" w:rsidTr="000C6C07">
        <w:tc>
          <w:tcPr>
            <w:tcW w:w="3977" w:type="dxa"/>
            <w:shd w:val="clear" w:color="auto" w:fill="FABF8F"/>
          </w:tcPr>
          <w:p w14:paraId="1C03EF7B" w14:textId="77777777" w:rsidR="000C6C07" w:rsidRPr="0058047D" w:rsidRDefault="000C6C07" w:rsidP="009B3FA2">
            <w:pPr>
              <w:jc w:val="center"/>
              <w:rPr>
                <w:rFonts w:eastAsia="Calibri"/>
                <w:b/>
                <w:color w:val="000000"/>
                <w:sz w:val="20"/>
              </w:rPr>
            </w:pPr>
            <w:r w:rsidRPr="0058047D">
              <w:rPr>
                <w:rFonts w:eastAsia="Calibri"/>
                <w:b/>
                <w:color w:val="000000"/>
                <w:sz w:val="20"/>
              </w:rPr>
              <w:t>Office 365 Enterprise E3</w:t>
            </w:r>
          </w:p>
        </w:tc>
        <w:tc>
          <w:tcPr>
            <w:tcW w:w="4230" w:type="dxa"/>
            <w:shd w:val="clear" w:color="auto" w:fill="FABF8F"/>
          </w:tcPr>
          <w:p w14:paraId="5E071274" w14:textId="77777777" w:rsidR="000C6C07" w:rsidRPr="0058047D" w:rsidRDefault="000C6C07" w:rsidP="009B3FA2">
            <w:pPr>
              <w:jc w:val="center"/>
              <w:rPr>
                <w:rFonts w:eastAsia="Calibri"/>
                <w:b/>
                <w:color w:val="000000"/>
                <w:sz w:val="20"/>
              </w:rPr>
            </w:pPr>
            <w:r w:rsidRPr="0058047D">
              <w:rPr>
                <w:rFonts w:eastAsia="Calibri"/>
                <w:b/>
                <w:color w:val="000000"/>
                <w:sz w:val="20"/>
              </w:rPr>
              <w:t>Office 365 Enterprise E4</w:t>
            </w:r>
          </w:p>
        </w:tc>
      </w:tr>
      <w:tr w:rsidR="000C6C07" w:rsidRPr="0058047D" w14:paraId="61EEE585" w14:textId="77777777" w:rsidTr="000C6C07">
        <w:tc>
          <w:tcPr>
            <w:tcW w:w="3977" w:type="dxa"/>
            <w:shd w:val="clear" w:color="auto" w:fill="auto"/>
          </w:tcPr>
          <w:p w14:paraId="706D0A50" w14:textId="77777777" w:rsidR="000C6C07" w:rsidRPr="0058047D" w:rsidRDefault="000C6C07" w:rsidP="00B42A20">
            <w:pPr>
              <w:ind w:left="138" w:right="138"/>
              <w:rPr>
                <w:rFonts w:eastAsia="Calibri"/>
                <w:color w:val="000000"/>
              </w:rPr>
            </w:pPr>
            <w:r w:rsidRPr="0058047D">
              <w:rPr>
                <w:rFonts w:eastAsia="Calibri"/>
                <w:color w:val="000000"/>
              </w:rPr>
              <w:t>Exchange Online Piano 2</w:t>
            </w:r>
          </w:p>
        </w:tc>
        <w:tc>
          <w:tcPr>
            <w:tcW w:w="4230" w:type="dxa"/>
            <w:shd w:val="clear" w:color="auto" w:fill="auto"/>
          </w:tcPr>
          <w:p w14:paraId="22318CAF" w14:textId="77777777" w:rsidR="000C6C07" w:rsidRPr="0058047D" w:rsidRDefault="000C6C07" w:rsidP="00B42A20">
            <w:pPr>
              <w:ind w:left="186" w:right="180"/>
              <w:rPr>
                <w:rFonts w:eastAsia="Calibri"/>
                <w:color w:val="000000"/>
              </w:rPr>
            </w:pPr>
            <w:r w:rsidRPr="0058047D">
              <w:rPr>
                <w:rFonts w:eastAsia="Calibri"/>
                <w:color w:val="000000"/>
              </w:rPr>
              <w:t>Exchange Online Piano 2</w:t>
            </w:r>
          </w:p>
        </w:tc>
      </w:tr>
      <w:tr w:rsidR="000C6C07" w:rsidRPr="0058047D" w14:paraId="03E75DE9" w14:textId="77777777" w:rsidTr="000C6C07">
        <w:tc>
          <w:tcPr>
            <w:tcW w:w="3977" w:type="dxa"/>
            <w:shd w:val="clear" w:color="auto" w:fill="auto"/>
          </w:tcPr>
          <w:p w14:paraId="24E81841" w14:textId="77777777" w:rsidR="000C6C07" w:rsidRPr="0058047D" w:rsidRDefault="000C6C07" w:rsidP="00B42A20">
            <w:pPr>
              <w:ind w:left="138" w:right="138"/>
              <w:rPr>
                <w:rFonts w:eastAsia="Calibri"/>
                <w:color w:val="000000"/>
              </w:rPr>
            </w:pPr>
            <w:r w:rsidRPr="0058047D">
              <w:rPr>
                <w:rFonts w:eastAsia="Calibri"/>
                <w:color w:val="000000"/>
              </w:rPr>
              <w:t>SharePoint Online Piano 2</w:t>
            </w:r>
          </w:p>
        </w:tc>
        <w:tc>
          <w:tcPr>
            <w:tcW w:w="4230" w:type="dxa"/>
            <w:shd w:val="clear" w:color="auto" w:fill="auto"/>
          </w:tcPr>
          <w:p w14:paraId="76F72F88" w14:textId="77777777" w:rsidR="000C6C07" w:rsidRPr="0058047D" w:rsidRDefault="000C6C07" w:rsidP="00B42A20">
            <w:pPr>
              <w:ind w:left="186" w:right="180"/>
              <w:rPr>
                <w:rFonts w:eastAsia="Calibri"/>
                <w:color w:val="000000"/>
              </w:rPr>
            </w:pPr>
            <w:r w:rsidRPr="0058047D">
              <w:rPr>
                <w:rFonts w:eastAsia="Calibri"/>
                <w:color w:val="000000"/>
              </w:rPr>
              <w:t>SharePoint Online Piano 2</w:t>
            </w:r>
          </w:p>
        </w:tc>
      </w:tr>
      <w:tr w:rsidR="000C6C07" w:rsidRPr="0058047D" w14:paraId="420D7536" w14:textId="77777777" w:rsidTr="000C6C07">
        <w:tc>
          <w:tcPr>
            <w:tcW w:w="3977" w:type="dxa"/>
            <w:shd w:val="clear" w:color="auto" w:fill="auto"/>
          </w:tcPr>
          <w:p w14:paraId="5E0A5D87" w14:textId="77777777" w:rsidR="000C6C07" w:rsidRPr="0058047D" w:rsidRDefault="000C6C07" w:rsidP="00B42A20">
            <w:pPr>
              <w:ind w:left="138" w:right="138"/>
              <w:rPr>
                <w:rFonts w:eastAsia="Calibri"/>
                <w:color w:val="000000"/>
              </w:rPr>
            </w:pPr>
            <w:r w:rsidRPr="0058047D">
              <w:rPr>
                <w:rFonts w:eastAsia="Calibri"/>
                <w:color w:val="000000"/>
              </w:rPr>
              <w:t>Lync Online Piano 2</w:t>
            </w:r>
          </w:p>
        </w:tc>
        <w:tc>
          <w:tcPr>
            <w:tcW w:w="4230" w:type="dxa"/>
            <w:shd w:val="clear" w:color="auto" w:fill="auto"/>
          </w:tcPr>
          <w:p w14:paraId="4EB2F27D" w14:textId="77777777" w:rsidR="000C6C07" w:rsidRPr="0058047D" w:rsidRDefault="000C6C07" w:rsidP="00B76EEE">
            <w:pPr>
              <w:ind w:left="186" w:right="180"/>
              <w:rPr>
                <w:rFonts w:eastAsia="Calibri"/>
                <w:color w:val="000000"/>
              </w:rPr>
            </w:pPr>
            <w:r w:rsidRPr="0058047D">
              <w:rPr>
                <w:rFonts w:eastAsia="Calibri"/>
                <w:color w:val="000000"/>
              </w:rPr>
              <w:t>Lync Online Piano 3</w:t>
            </w:r>
          </w:p>
        </w:tc>
      </w:tr>
      <w:tr w:rsidR="000C6C07" w:rsidRPr="0058047D" w14:paraId="53A8BCAE" w14:textId="77777777" w:rsidTr="000C6C07">
        <w:tc>
          <w:tcPr>
            <w:tcW w:w="3977" w:type="dxa"/>
            <w:shd w:val="clear" w:color="auto" w:fill="auto"/>
          </w:tcPr>
          <w:p w14:paraId="19565D41" w14:textId="77777777" w:rsidR="000C6C07" w:rsidRPr="0058047D" w:rsidRDefault="000C6C07" w:rsidP="00B42A20">
            <w:pPr>
              <w:ind w:left="138" w:right="138"/>
              <w:rPr>
                <w:rFonts w:eastAsia="Calibri"/>
                <w:color w:val="000000"/>
              </w:rPr>
            </w:pPr>
            <w:r w:rsidRPr="0058047D">
              <w:rPr>
                <w:rFonts w:eastAsia="Calibri"/>
                <w:color w:val="000000"/>
              </w:rPr>
              <w:t>Office Web Applications (Microsoft Hosted)</w:t>
            </w:r>
          </w:p>
        </w:tc>
        <w:tc>
          <w:tcPr>
            <w:tcW w:w="4230" w:type="dxa"/>
            <w:shd w:val="clear" w:color="auto" w:fill="auto"/>
          </w:tcPr>
          <w:p w14:paraId="214448C7" w14:textId="77777777" w:rsidR="000C6C07" w:rsidRPr="0058047D" w:rsidRDefault="000C6C07" w:rsidP="00B42A20">
            <w:pPr>
              <w:ind w:left="186" w:right="180"/>
              <w:rPr>
                <w:rFonts w:eastAsia="Calibri"/>
                <w:color w:val="000000"/>
              </w:rPr>
            </w:pPr>
            <w:r w:rsidRPr="0058047D">
              <w:rPr>
                <w:rFonts w:eastAsia="Calibri"/>
                <w:color w:val="000000"/>
              </w:rPr>
              <w:t>Office Web Applications (Microsoft Hosted)</w:t>
            </w:r>
          </w:p>
        </w:tc>
      </w:tr>
      <w:tr w:rsidR="000C6C07" w:rsidRPr="0058047D" w14:paraId="45EBE0CC" w14:textId="77777777" w:rsidTr="000C6C07">
        <w:tc>
          <w:tcPr>
            <w:tcW w:w="3977" w:type="dxa"/>
            <w:shd w:val="clear" w:color="auto" w:fill="auto"/>
          </w:tcPr>
          <w:p w14:paraId="0B5B3682" w14:textId="77777777" w:rsidR="000C6C07" w:rsidRPr="0058047D" w:rsidRDefault="000C6C07" w:rsidP="00B42A20">
            <w:pPr>
              <w:ind w:left="138" w:right="138"/>
              <w:rPr>
                <w:rFonts w:eastAsia="Calibri"/>
                <w:color w:val="000000"/>
              </w:rPr>
            </w:pPr>
            <w:r w:rsidRPr="0058047D">
              <w:rPr>
                <w:rFonts w:eastAsia="Calibri"/>
                <w:color w:val="000000"/>
              </w:rPr>
              <w:t>Office 365 ProPlus</w:t>
            </w:r>
          </w:p>
        </w:tc>
        <w:tc>
          <w:tcPr>
            <w:tcW w:w="4230" w:type="dxa"/>
            <w:shd w:val="clear" w:color="auto" w:fill="auto"/>
          </w:tcPr>
          <w:p w14:paraId="4546BDCB" w14:textId="77777777" w:rsidR="000C6C07" w:rsidRPr="0058047D" w:rsidRDefault="000C6C07" w:rsidP="008368B4">
            <w:pPr>
              <w:ind w:left="186" w:right="180"/>
              <w:rPr>
                <w:rFonts w:eastAsia="Calibri"/>
                <w:color w:val="000000"/>
              </w:rPr>
            </w:pPr>
            <w:r w:rsidRPr="0058047D">
              <w:rPr>
                <w:rFonts w:eastAsia="Calibri"/>
                <w:color w:val="000000"/>
              </w:rPr>
              <w:t>Office 365 ProPlus</w:t>
            </w:r>
          </w:p>
        </w:tc>
      </w:tr>
      <w:tr w:rsidR="000C6C07" w:rsidRPr="0058047D" w14:paraId="54F66F38" w14:textId="77777777" w:rsidTr="000C6C07">
        <w:tc>
          <w:tcPr>
            <w:tcW w:w="3977" w:type="dxa"/>
            <w:shd w:val="clear" w:color="auto" w:fill="auto"/>
          </w:tcPr>
          <w:p w14:paraId="051BD9F7" w14:textId="77777777" w:rsidR="000C6C07" w:rsidRPr="0058047D" w:rsidRDefault="000C6C07" w:rsidP="00B42A20">
            <w:pPr>
              <w:ind w:left="138" w:right="138"/>
              <w:rPr>
                <w:rFonts w:eastAsia="Calibri"/>
                <w:color w:val="000000"/>
              </w:rPr>
            </w:pPr>
            <w:r w:rsidRPr="0058047D">
              <w:rPr>
                <w:rFonts w:eastAsia="Calibri"/>
                <w:color w:val="000000"/>
              </w:rPr>
              <w:t>Windows Azure Active Directory Rights Management</w:t>
            </w:r>
          </w:p>
        </w:tc>
        <w:tc>
          <w:tcPr>
            <w:tcW w:w="4230" w:type="dxa"/>
            <w:shd w:val="clear" w:color="auto" w:fill="auto"/>
          </w:tcPr>
          <w:p w14:paraId="188582C5" w14:textId="77777777" w:rsidR="000C6C07" w:rsidRPr="0058047D" w:rsidRDefault="000C6C07" w:rsidP="008368B4">
            <w:pPr>
              <w:ind w:left="186" w:right="180"/>
              <w:rPr>
                <w:rFonts w:eastAsia="Calibri"/>
                <w:color w:val="000000"/>
              </w:rPr>
            </w:pPr>
            <w:r w:rsidRPr="0058047D">
              <w:rPr>
                <w:rFonts w:eastAsia="Calibri"/>
                <w:color w:val="000000"/>
              </w:rPr>
              <w:t>Windows Azure Active Directory Rights Management</w:t>
            </w:r>
          </w:p>
        </w:tc>
      </w:tr>
      <w:tr w:rsidR="000C6C07" w:rsidRPr="0058047D" w14:paraId="36BB187A" w14:textId="77777777" w:rsidTr="000C6C07">
        <w:tc>
          <w:tcPr>
            <w:tcW w:w="3977" w:type="dxa"/>
            <w:shd w:val="clear" w:color="auto" w:fill="auto"/>
          </w:tcPr>
          <w:p w14:paraId="0D15A544" w14:textId="77777777" w:rsidR="000C6C07" w:rsidRPr="0058047D" w:rsidRDefault="000C6C07" w:rsidP="00B42A20">
            <w:pPr>
              <w:ind w:left="138" w:right="138"/>
              <w:rPr>
                <w:rFonts w:eastAsia="Calibri"/>
                <w:color w:val="000000"/>
              </w:rPr>
            </w:pPr>
            <w:r w:rsidRPr="0058047D">
              <w:rPr>
                <w:rFonts w:eastAsia="Calibri"/>
                <w:color w:val="000000"/>
              </w:rPr>
              <w:t>Yammer Enterprise</w:t>
            </w:r>
          </w:p>
        </w:tc>
        <w:tc>
          <w:tcPr>
            <w:tcW w:w="4230" w:type="dxa"/>
            <w:shd w:val="clear" w:color="auto" w:fill="auto"/>
          </w:tcPr>
          <w:p w14:paraId="1271E717" w14:textId="77777777" w:rsidR="000C6C07" w:rsidRPr="0058047D" w:rsidRDefault="000C6C07" w:rsidP="008368B4">
            <w:pPr>
              <w:ind w:left="186" w:right="180"/>
              <w:rPr>
                <w:rFonts w:eastAsia="Calibri"/>
                <w:color w:val="000000"/>
              </w:rPr>
            </w:pPr>
            <w:r w:rsidRPr="0058047D">
              <w:rPr>
                <w:rFonts w:eastAsia="Calibri"/>
                <w:color w:val="000000"/>
              </w:rPr>
              <w:t>Yammer Enterprise</w:t>
            </w:r>
          </w:p>
        </w:tc>
      </w:tr>
    </w:tbl>
    <w:p w14:paraId="42A6BFDC" w14:textId="77777777" w:rsidR="00630ED6" w:rsidRPr="003F471F" w:rsidRDefault="00630ED6" w:rsidP="00630ED6">
      <w:pPr>
        <w:pStyle w:val="PURBody"/>
        <w:spacing w:after="0"/>
        <w:ind w:left="720"/>
        <w:rPr>
          <w:lang w:val="it-IT"/>
        </w:rPr>
      </w:pPr>
    </w:p>
    <w:p w14:paraId="121B35F6" w14:textId="77777777" w:rsidR="00B26237" w:rsidRPr="003F471F" w:rsidRDefault="00B26237" w:rsidP="00D16EA8">
      <w:pPr>
        <w:ind w:left="720"/>
        <w:rPr>
          <w:lang w:val="it-IT"/>
        </w:rPr>
      </w:pPr>
      <w:r w:rsidRPr="003F471F">
        <w:rPr>
          <w:rFonts w:cs="Tahoma"/>
          <w:color w:val="000000"/>
          <w:szCs w:val="18"/>
          <w:lang w:val="it-IT"/>
        </w:rPr>
        <w:t>Questa lista è soggetta a modifiche. Nell</w:t>
      </w:r>
      <w:r w:rsidR="001C4212" w:rsidRPr="003F471F">
        <w:rPr>
          <w:rFonts w:cs="Tahoma"/>
          <w:color w:val="000000"/>
          <w:szCs w:val="18"/>
          <w:lang w:val="it-IT"/>
        </w:rPr>
        <w:t>’</w:t>
      </w:r>
      <w:r w:rsidRPr="003F471F">
        <w:rPr>
          <w:rFonts w:cs="Tahoma"/>
          <w:color w:val="000000"/>
          <w:szCs w:val="18"/>
          <w:lang w:val="it-IT"/>
        </w:rPr>
        <w:t>eventualità di una discrepanza tra le condizioni di licenza per Office 365 Enterprise E3 - E4 e questa nota, i Diritti di Utilizzo del Prodotto correnti avranno prevalenza. Gli eventuali diritti di accesso aggiuntivi per il software On-Premise concesso in licenza separatamente sono specificati nei Diritti di Utilizzo del Prodotto.</w:t>
      </w:r>
      <w:r w:rsidR="00E34ED3" w:rsidRPr="003F471F">
        <w:rPr>
          <w:rFonts w:cs="Tahoma"/>
          <w:color w:val="000000"/>
          <w:szCs w:val="18"/>
          <w:lang w:val="it-IT"/>
        </w:rPr>
        <w:t xml:space="preserve"> </w:t>
      </w:r>
    </w:p>
    <w:p w14:paraId="38F1EC71" w14:textId="77777777" w:rsidR="00B26237" w:rsidRPr="003F471F" w:rsidRDefault="00B26237" w:rsidP="00D16EA8">
      <w:pPr>
        <w:ind w:left="720"/>
        <w:rPr>
          <w:lang w:val="it-IT"/>
        </w:rPr>
      </w:pPr>
    </w:p>
    <w:p w14:paraId="34088F3B" w14:textId="77777777" w:rsidR="00DC2291" w:rsidRPr="003F471F" w:rsidRDefault="00B26237" w:rsidP="00D16EA8">
      <w:pPr>
        <w:pStyle w:val="FootnoteBulletLevel1"/>
        <w:tabs>
          <w:tab w:val="clear" w:pos="900"/>
        </w:tabs>
        <w:spacing w:before="0" w:after="0"/>
        <w:ind w:left="720" w:firstLine="0"/>
        <w:rPr>
          <w:lang w:val="it-IT"/>
        </w:rPr>
      </w:pPr>
      <w:r w:rsidRPr="003F471F">
        <w:rPr>
          <w:rFonts w:ascii="Tahoma" w:hAnsi="Tahoma" w:cs="Tahoma"/>
          <w:color w:val="000000"/>
          <w:sz w:val="18"/>
          <w:szCs w:val="18"/>
          <w:lang w:val="it-IT"/>
        </w:rPr>
        <w:t>Lync Online Piano 1 e Piano 2 richiedono l</w:t>
      </w:r>
      <w:r w:rsidR="001C4212" w:rsidRPr="003F471F">
        <w:rPr>
          <w:rFonts w:ascii="Tahoma" w:hAnsi="Tahoma" w:cs="Tahoma"/>
          <w:color w:val="000000"/>
          <w:sz w:val="18"/>
          <w:szCs w:val="18"/>
          <w:lang w:val="it-IT"/>
        </w:rPr>
        <w:t>’</w:t>
      </w:r>
      <w:r w:rsidRPr="003F471F">
        <w:rPr>
          <w:rFonts w:ascii="Tahoma" w:hAnsi="Tahoma" w:cs="Tahoma"/>
          <w:color w:val="000000"/>
          <w:sz w:val="18"/>
          <w:szCs w:val="18"/>
          <w:lang w:val="it-IT"/>
        </w:rPr>
        <w:t>acquisto e l</w:t>
      </w:r>
      <w:r w:rsidR="001C4212" w:rsidRPr="003F471F">
        <w:rPr>
          <w:rFonts w:ascii="Tahoma" w:hAnsi="Tahoma" w:cs="Tahoma"/>
          <w:color w:val="000000"/>
          <w:sz w:val="18"/>
          <w:szCs w:val="18"/>
          <w:lang w:val="it-IT"/>
        </w:rPr>
        <w:t>’</w:t>
      </w:r>
      <w:r w:rsidRPr="003F471F">
        <w:rPr>
          <w:rFonts w:ascii="Tahoma" w:hAnsi="Tahoma" w:cs="Tahoma"/>
          <w:color w:val="000000"/>
          <w:sz w:val="18"/>
          <w:szCs w:val="18"/>
          <w:lang w:val="it-IT"/>
        </w:rPr>
        <w:t>installazione separati di Microsoft Lync 2013 (o di Lync per Mac 2011) per accedere al set completo di funzionalità di Lync Online Piano 1 e Piano 2. Grazie a</w:t>
      </w:r>
      <w:r w:rsidR="006A73A3" w:rsidRPr="003F471F">
        <w:rPr>
          <w:rFonts w:ascii="Tahoma" w:hAnsi="Tahoma" w:cs="Tahoma"/>
          <w:color w:val="000000"/>
          <w:sz w:val="18"/>
          <w:szCs w:val="18"/>
          <w:lang w:val="it-IT"/>
        </w:rPr>
        <w:t> </w:t>
      </w:r>
      <w:r w:rsidRPr="003F471F">
        <w:rPr>
          <w:rFonts w:ascii="Tahoma" w:hAnsi="Tahoma" w:cs="Tahoma"/>
          <w:color w:val="000000"/>
          <w:sz w:val="18"/>
          <w:szCs w:val="18"/>
          <w:lang w:val="it-IT"/>
        </w:rPr>
        <w:t>un</w:t>
      </w:r>
      <w:r w:rsidR="001C4212" w:rsidRPr="003F471F">
        <w:rPr>
          <w:rFonts w:ascii="Tahoma" w:hAnsi="Tahoma" w:cs="Tahoma"/>
          <w:color w:val="000000"/>
          <w:sz w:val="18"/>
          <w:szCs w:val="18"/>
          <w:lang w:val="it-IT"/>
        </w:rPr>
        <w:t>’</w:t>
      </w:r>
      <w:r w:rsidRPr="003F471F">
        <w:rPr>
          <w:rFonts w:ascii="Tahoma" w:hAnsi="Tahoma" w:cs="Tahoma"/>
          <w:color w:val="000000"/>
          <w:sz w:val="18"/>
          <w:szCs w:val="18"/>
          <w:lang w:val="it-IT"/>
        </w:rPr>
        <w:t xml:space="preserve">offerta di durata limitata, le società titolari di licenza per Lync Online riceveranno gratuitamente in licenza una copia di Lync 2010 (o di Lync per Mac 2011) per ciascuna licenza </w:t>
      </w:r>
      <w:r w:rsidR="00E34ED3" w:rsidRPr="003F471F">
        <w:rPr>
          <w:rFonts w:ascii="Tahoma" w:hAnsi="Tahoma" w:cs="Tahoma"/>
          <w:color w:val="000000"/>
          <w:sz w:val="18"/>
          <w:szCs w:val="18"/>
          <w:lang w:val="it-IT"/>
        </w:rPr>
        <w:t>“</w:t>
      </w:r>
      <w:r w:rsidRPr="003F471F">
        <w:rPr>
          <w:rFonts w:ascii="Tahoma" w:hAnsi="Tahoma" w:cs="Tahoma"/>
          <w:color w:val="000000"/>
          <w:sz w:val="18"/>
          <w:szCs w:val="18"/>
          <w:lang w:val="it-IT"/>
        </w:rPr>
        <w:t>subscription</w:t>
      </w:r>
      <w:r w:rsidR="00E34ED3" w:rsidRPr="003F471F">
        <w:rPr>
          <w:rFonts w:ascii="Tahoma" w:hAnsi="Tahoma" w:cs="Tahoma"/>
          <w:color w:val="000000"/>
          <w:sz w:val="18"/>
          <w:szCs w:val="18"/>
          <w:lang w:val="it-IT"/>
        </w:rPr>
        <w:t>”</w:t>
      </w:r>
      <w:r w:rsidRPr="003F471F">
        <w:rPr>
          <w:rFonts w:ascii="Tahoma" w:hAnsi="Tahoma" w:cs="Tahoma"/>
          <w:color w:val="000000"/>
          <w:sz w:val="18"/>
          <w:szCs w:val="18"/>
          <w:lang w:val="it-IT"/>
        </w:rPr>
        <w:t xml:space="preserve"> acquistata o in versione di valutazione di Lync Online. Il software potrà essere utilizzato esclusivamente con Lync Online e tutti i diritti di utilizzo del software cesseranno alla scadenza della licenza </w:t>
      </w:r>
      <w:r w:rsidR="00E34ED3" w:rsidRPr="003F471F">
        <w:rPr>
          <w:rFonts w:ascii="Tahoma" w:hAnsi="Tahoma" w:cs="Tahoma"/>
          <w:color w:val="000000"/>
          <w:sz w:val="18"/>
          <w:szCs w:val="18"/>
          <w:lang w:val="it-IT"/>
        </w:rPr>
        <w:t>“</w:t>
      </w:r>
      <w:r w:rsidRPr="003F471F">
        <w:rPr>
          <w:rFonts w:ascii="Tahoma" w:hAnsi="Tahoma" w:cs="Tahoma"/>
          <w:color w:val="000000"/>
          <w:sz w:val="18"/>
          <w:szCs w:val="18"/>
          <w:lang w:val="it-IT"/>
        </w:rPr>
        <w:t>subscription</w:t>
      </w:r>
      <w:r w:rsidR="00E34ED3" w:rsidRPr="003F471F">
        <w:rPr>
          <w:rFonts w:ascii="Tahoma" w:hAnsi="Tahoma" w:cs="Tahoma"/>
          <w:color w:val="000000"/>
          <w:sz w:val="18"/>
          <w:szCs w:val="18"/>
          <w:lang w:val="it-IT"/>
        </w:rPr>
        <w:t>”</w:t>
      </w:r>
      <w:r w:rsidRPr="003F471F">
        <w:rPr>
          <w:rFonts w:ascii="Tahoma" w:hAnsi="Tahoma" w:cs="Tahoma"/>
          <w:color w:val="000000"/>
          <w:sz w:val="18"/>
          <w:szCs w:val="18"/>
          <w:lang w:val="it-IT"/>
        </w:rPr>
        <w:t xml:space="preserve"> sottostante oppure in occasione della migrazione alla successiva nuova versione principale di Lync Online, a seconda di quale evento si verificherà per primo. Le società potranno utilizzare il client gratuito Lync Basic 2013 per i loro utenti finali in possesso di Windows.</w:t>
      </w:r>
    </w:p>
    <w:p w14:paraId="476B9EA7" w14:textId="77777777" w:rsidR="00B26237" w:rsidRPr="003F471F" w:rsidRDefault="00B26237" w:rsidP="00D16EA8">
      <w:pPr>
        <w:pStyle w:val="FootnoteBulletLevel1"/>
        <w:tabs>
          <w:tab w:val="clear" w:pos="900"/>
          <w:tab w:val="num" w:pos="1080"/>
        </w:tabs>
        <w:spacing w:before="0" w:after="0"/>
        <w:ind w:left="0" w:firstLine="0"/>
        <w:rPr>
          <w:lang w:val="it-IT"/>
        </w:rPr>
      </w:pPr>
    </w:p>
    <w:p w14:paraId="06B24CCE" w14:textId="77777777" w:rsidR="00D16EA8" w:rsidRPr="003F471F" w:rsidRDefault="00D16EA8" w:rsidP="00D16EA8">
      <w:pPr>
        <w:pStyle w:val="FootnoteBulletLevel1"/>
        <w:tabs>
          <w:tab w:val="clear" w:pos="900"/>
          <w:tab w:val="num" w:pos="1080"/>
        </w:tabs>
        <w:spacing w:before="0" w:after="0"/>
        <w:ind w:left="0" w:firstLine="0"/>
        <w:rPr>
          <w:lang w:val="it-IT"/>
        </w:rPr>
      </w:pPr>
    </w:p>
    <w:p w14:paraId="0139300A" w14:textId="77777777" w:rsidR="00704723" w:rsidRPr="0058047D" w:rsidRDefault="00A560B6" w:rsidP="000429EF">
      <w:pPr>
        <w:pStyle w:val="Heading3"/>
      </w:pPr>
      <w:bookmarkStart w:id="981" w:name="_76_Office_for"/>
      <w:bookmarkStart w:id="982" w:name="_8_Office_for"/>
      <w:bookmarkStart w:id="983" w:name="_Toc336338264"/>
      <w:bookmarkStart w:id="984" w:name="_Toc371663660"/>
      <w:bookmarkStart w:id="985" w:name="Srv_4OfficeMacStandard2011"/>
      <w:bookmarkEnd w:id="951"/>
      <w:bookmarkEnd w:id="981"/>
      <w:bookmarkEnd w:id="982"/>
      <w:r w:rsidRPr="0058047D">
        <w:rPr>
          <w:rFonts w:ascii="Tahoma" w:hAnsi="Tahoma"/>
          <w:caps/>
          <w:color w:val="F66400"/>
          <w:sz w:val="22"/>
          <w:vertAlign w:val="superscript"/>
        </w:rPr>
        <w:t xml:space="preserve">9 </w:t>
      </w:r>
      <w:r w:rsidRPr="0058047D">
        <w:rPr>
          <w:rFonts w:ascii="Tahoma" w:hAnsi="Tahoma"/>
          <w:color w:val="F66400"/>
          <w:sz w:val="22"/>
        </w:rPr>
        <w:t>Office per Mac Standard 2011</w:t>
      </w:r>
      <w:bookmarkEnd w:id="983"/>
      <w:bookmarkEnd w:id="984"/>
      <w:r w:rsidRPr="0058047D">
        <w:rPr>
          <w:rFonts w:ascii="Tahoma" w:hAnsi="Tahoma"/>
          <w:color w:val="F66400"/>
          <w:sz w:val="22"/>
        </w:rPr>
        <w:t xml:space="preserve"> </w:t>
      </w:r>
      <w:bookmarkEnd w:id="985"/>
    </w:p>
    <w:p w14:paraId="09F4A1C3" w14:textId="77777777" w:rsidR="00FD5FBA" w:rsidRPr="0058047D" w:rsidRDefault="00FD5FBA" w:rsidP="00AE5A9F"/>
    <w:p w14:paraId="08EE7D2D" w14:textId="77777777" w:rsidR="00FD5FBA" w:rsidRPr="003F471F" w:rsidRDefault="00FD5FBA" w:rsidP="00346F4B">
      <w:pPr>
        <w:pStyle w:val="EndnoteText"/>
        <w:numPr>
          <w:ilvl w:val="0"/>
          <w:numId w:val="114"/>
        </w:numPr>
        <w:ind w:left="990"/>
        <w:rPr>
          <w:lang w:val="it-IT"/>
        </w:rPr>
      </w:pPr>
      <w:r w:rsidRPr="003F471F">
        <w:rPr>
          <w:rFonts w:ascii="Tahoma" w:hAnsi="Tahoma" w:cs="Tahoma"/>
          <w:sz w:val="18"/>
          <w:szCs w:val="20"/>
          <w:lang w:val="it-IT"/>
        </w:rPr>
        <w:t xml:space="preserve">Licenza Work at Home (WAH) disponibile per le società con Contratto Select </w:t>
      </w:r>
      <w:r w:rsidRPr="003F471F">
        <w:rPr>
          <w:rFonts w:ascii="Tahoma" w:hAnsi="Tahoma" w:cs="Tahoma"/>
          <w:sz w:val="18"/>
          <w:szCs w:val="18"/>
          <w:lang w:val="it-IT"/>
        </w:rPr>
        <w:t>e Select Plus</w:t>
      </w:r>
    </w:p>
    <w:p w14:paraId="4044E354" w14:textId="77777777" w:rsidR="00CA6122" w:rsidRPr="003F471F" w:rsidRDefault="00CA6122" w:rsidP="00CA6122">
      <w:pPr>
        <w:adjustRightInd w:val="0"/>
        <w:ind w:left="720"/>
        <w:textAlignment w:val="baseline"/>
        <w:rPr>
          <w:lang w:val="it-IT"/>
        </w:rPr>
      </w:pPr>
    </w:p>
    <w:p w14:paraId="2DD1E3A6" w14:textId="77777777" w:rsidR="00864B8A" w:rsidRPr="003F471F" w:rsidRDefault="00704723" w:rsidP="00864B8A">
      <w:pPr>
        <w:spacing w:after="60"/>
        <w:ind w:left="720"/>
        <w:rPr>
          <w:lang w:val="it-IT"/>
        </w:rPr>
      </w:pPr>
      <w:r w:rsidRPr="003F471F">
        <w:rPr>
          <w:rFonts w:cs="Tahoma"/>
          <w:b/>
          <w:szCs w:val="20"/>
          <w:lang w:val="it-IT"/>
        </w:rPr>
        <w:t>Office per Mac Standard 2011</w:t>
      </w:r>
    </w:p>
    <w:p w14:paraId="68171618" w14:textId="77777777" w:rsidR="00704723" w:rsidRPr="003F471F" w:rsidRDefault="00704723" w:rsidP="00864B8A">
      <w:pPr>
        <w:spacing w:after="60"/>
        <w:ind w:left="720"/>
        <w:rPr>
          <w:lang w:val="it-IT"/>
        </w:rPr>
      </w:pPr>
      <w:r w:rsidRPr="003F471F">
        <w:rPr>
          <w:rFonts w:cs="Tahoma"/>
          <w:szCs w:val="20"/>
          <w:lang w:val="it-IT"/>
        </w:rPr>
        <w:t xml:space="preserve">Una Licenza per Office per Mac Standard 2011 è composta dai seguenti elementi: Lync per Mac 2011, Excel per Mac 2011, Outlook per Mac 2011, </w:t>
      </w:r>
      <w:r w:rsidRPr="003F471F">
        <w:rPr>
          <w:rFonts w:cs="Tahoma"/>
          <w:lang w:val="it-IT"/>
        </w:rPr>
        <w:t>Office Home and Student RT 2013 Commercial Use,</w:t>
      </w:r>
      <w:r w:rsidRPr="003F471F">
        <w:rPr>
          <w:rFonts w:cs="Tahoma"/>
          <w:szCs w:val="20"/>
          <w:lang w:val="it-IT"/>
        </w:rPr>
        <w:t xml:space="preserve"> Office Web Apps 2010, PowerPoint per Mac 2011 e Word per Mac 2011.</w:t>
      </w:r>
    </w:p>
    <w:p w14:paraId="58B778CC" w14:textId="77777777" w:rsidR="00CA6122" w:rsidRPr="003F471F" w:rsidRDefault="00CA6122" w:rsidP="00CA6122">
      <w:pPr>
        <w:adjustRightInd w:val="0"/>
        <w:ind w:left="720"/>
        <w:textAlignment w:val="baseline"/>
        <w:rPr>
          <w:lang w:val="it-IT"/>
        </w:rPr>
      </w:pPr>
    </w:p>
    <w:p w14:paraId="11A22166" w14:textId="77777777" w:rsidR="00864B8A" w:rsidRPr="003F471F" w:rsidRDefault="00704723" w:rsidP="00864B8A">
      <w:pPr>
        <w:spacing w:after="60"/>
        <w:ind w:left="720"/>
        <w:rPr>
          <w:lang w:val="it-IT"/>
        </w:rPr>
      </w:pPr>
      <w:r w:rsidRPr="003F471F">
        <w:rPr>
          <w:rFonts w:cs="Tahoma"/>
          <w:b/>
          <w:szCs w:val="20"/>
          <w:lang w:val="it-IT"/>
        </w:rPr>
        <w:t>Impossibilità di Separare Microsoft Office per Mac Standard 2011</w:t>
      </w:r>
    </w:p>
    <w:p w14:paraId="13E80021" w14:textId="77777777" w:rsidR="00704723" w:rsidRPr="003F471F" w:rsidRDefault="00704723" w:rsidP="00864B8A">
      <w:pPr>
        <w:spacing w:after="60"/>
        <w:ind w:left="720"/>
        <w:rPr>
          <w:lang w:val="it-IT"/>
        </w:rPr>
      </w:pPr>
      <w:r w:rsidRPr="003F471F">
        <w:rPr>
          <w:rFonts w:cs="Tahoma"/>
          <w:szCs w:val="20"/>
          <w:lang w:val="it-IT"/>
        </w:rPr>
        <w:t>Office per Mac Standard 2011 è composto da più di un prodotto offerto ai sensi di un</w:t>
      </w:r>
      <w:r w:rsidR="001C4212" w:rsidRPr="003F471F">
        <w:rPr>
          <w:rFonts w:cs="Tahoma"/>
          <w:szCs w:val="20"/>
          <w:lang w:val="it-IT"/>
        </w:rPr>
        <w:t>’</w:t>
      </w:r>
      <w:r w:rsidRPr="003F471F">
        <w:rPr>
          <w:rFonts w:cs="Tahoma"/>
          <w:szCs w:val="20"/>
          <w:lang w:val="it-IT"/>
        </w:rPr>
        <w:t>unica licenza. Il</w:t>
      </w:r>
      <w:r w:rsidR="006A73A3" w:rsidRPr="003F471F">
        <w:rPr>
          <w:rFonts w:cs="Tahoma"/>
          <w:szCs w:val="20"/>
          <w:lang w:val="it-IT"/>
        </w:rPr>
        <w:t> </w:t>
      </w:r>
      <w:r w:rsidRPr="003F471F">
        <w:rPr>
          <w:rFonts w:cs="Tahoma"/>
          <w:szCs w:val="20"/>
          <w:lang w:val="it-IT"/>
        </w:rPr>
        <w:t>software non può essere separato per l</w:t>
      </w:r>
      <w:r w:rsidR="001C4212" w:rsidRPr="003F471F">
        <w:rPr>
          <w:rFonts w:cs="Tahoma"/>
          <w:szCs w:val="20"/>
          <w:lang w:val="it-IT"/>
        </w:rPr>
        <w:t>’</w:t>
      </w:r>
      <w:r w:rsidRPr="003F471F">
        <w:rPr>
          <w:rFonts w:cs="Tahoma"/>
          <w:szCs w:val="20"/>
          <w:lang w:val="it-IT"/>
        </w:rPr>
        <w:t>utilizzo su più di un computer.</w:t>
      </w:r>
    </w:p>
    <w:p w14:paraId="46599CB3" w14:textId="77777777" w:rsidR="00CA6122" w:rsidRPr="003F471F" w:rsidRDefault="00CA6122" w:rsidP="00CA6122">
      <w:pPr>
        <w:adjustRightInd w:val="0"/>
        <w:ind w:left="720"/>
        <w:textAlignment w:val="baseline"/>
        <w:rPr>
          <w:lang w:val="it-IT"/>
        </w:rPr>
      </w:pPr>
    </w:p>
    <w:p w14:paraId="76DD4708" w14:textId="77777777" w:rsidR="00704723" w:rsidRPr="003F471F" w:rsidRDefault="0035314F" w:rsidP="00864B8A">
      <w:pPr>
        <w:spacing w:after="60"/>
        <w:ind w:left="720"/>
        <w:rPr>
          <w:lang w:val="it-IT"/>
        </w:rPr>
      </w:pPr>
      <w:r w:rsidRPr="003F471F">
        <w:rPr>
          <w:rFonts w:cs="Tahoma"/>
          <w:b/>
          <w:szCs w:val="20"/>
          <w:lang w:val="it-IT"/>
        </w:rPr>
        <w:t>Diritti di Utilizzo di Lync per Mac 2011</w:t>
      </w:r>
    </w:p>
    <w:p w14:paraId="21FAED1A" w14:textId="77777777" w:rsidR="00CA6122" w:rsidRPr="003F471F" w:rsidRDefault="00F14B59" w:rsidP="00737831">
      <w:pPr>
        <w:adjustRightInd w:val="0"/>
        <w:ind w:left="720"/>
        <w:textAlignment w:val="baseline"/>
        <w:rPr>
          <w:lang w:val="it-IT"/>
        </w:rPr>
      </w:pPr>
      <w:r w:rsidRPr="003F471F">
        <w:rPr>
          <w:rFonts w:cs="Tahoma"/>
          <w:szCs w:val="20"/>
          <w:lang w:val="it-IT"/>
        </w:rPr>
        <w:t>Le società che hanno acquistato Office per Mac Standard 2011 alla data del 1 ottobre 2011 riceveranno una famiglia di prodotti Office che include Lync per Mac 2011 anziché Communicator per Mac 2011. Le società con copertura Software Assurance attiva per Office per Mac Standard 2011 alla data del 1 ottobre 2011 possono utilizzare Communicator per Mac 2011 o fare l</w:t>
      </w:r>
      <w:r w:rsidR="001C4212" w:rsidRPr="003F471F">
        <w:rPr>
          <w:rFonts w:cs="Tahoma"/>
          <w:szCs w:val="20"/>
          <w:lang w:val="it-IT"/>
        </w:rPr>
        <w:t>’</w:t>
      </w:r>
      <w:r w:rsidRPr="003F471F">
        <w:rPr>
          <w:rFonts w:cs="Tahoma"/>
          <w:szCs w:val="20"/>
          <w:lang w:val="it-IT"/>
        </w:rPr>
        <w:t xml:space="preserve">aggiornamento a Lync per Mac 2011. </w:t>
      </w:r>
    </w:p>
    <w:p w14:paraId="3266C734" w14:textId="77777777" w:rsidR="007631EF" w:rsidRPr="003F471F" w:rsidRDefault="007631EF">
      <w:pPr>
        <w:rPr>
          <w:lang w:val="it-IT"/>
        </w:rPr>
      </w:pPr>
    </w:p>
    <w:p w14:paraId="2BF4D7AE" w14:textId="77777777" w:rsidR="00697E59" w:rsidRPr="003F471F" w:rsidRDefault="00697E59">
      <w:pPr>
        <w:rPr>
          <w:lang w:val="it-IT"/>
        </w:rPr>
      </w:pPr>
      <w:bookmarkStart w:id="986" w:name="_Toc336338265"/>
    </w:p>
    <w:p w14:paraId="6B02F41E" w14:textId="77777777" w:rsidR="006A73A3" w:rsidRPr="003F471F" w:rsidRDefault="006A73A3">
      <w:pPr>
        <w:rPr>
          <w:lang w:val="it-IT"/>
        </w:rPr>
      </w:pPr>
    </w:p>
    <w:p w14:paraId="6B5C0ECB" w14:textId="77777777" w:rsidR="006A73A3" w:rsidRPr="003F471F" w:rsidRDefault="006A73A3">
      <w:pPr>
        <w:rPr>
          <w:lang w:val="it-IT"/>
        </w:rPr>
      </w:pPr>
    </w:p>
    <w:p w14:paraId="45B0712A" w14:textId="77777777" w:rsidR="006A73A3" w:rsidRPr="003F471F" w:rsidRDefault="006A73A3">
      <w:pPr>
        <w:rPr>
          <w:lang w:val="it-IT"/>
        </w:rPr>
      </w:pPr>
    </w:p>
    <w:p w14:paraId="1CF235FF" w14:textId="77777777" w:rsidR="006A73A3" w:rsidRPr="003F471F" w:rsidRDefault="006A73A3">
      <w:pPr>
        <w:rPr>
          <w:lang w:val="it-IT"/>
        </w:rPr>
      </w:pPr>
    </w:p>
    <w:p w14:paraId="130E3408" w14:textId="77777777" w:rsidR="006A73A3" w:rsidRPr="003F471F" w:rsidRDefault="006A73A3">
      <w:pPr>
        <w:rPr>
          <w:lang w:val="it-IT"/>
        </w:rPr>
      </w:pPr>
    </w:p>
    <w:p w14:paraId="22EED9D2" w14:textId="77777777" w:rsidR="00023FE7" w:rsidRPr="003F471F" w:rsidRDefault="00A560B6">
      <w:pPr>
        <w:pStyle w:val="Heading3"/>
        <w:rPr>
          <w:lang w:val="it-IT"/>
        </w:rPr>
      </w:pPr>
      <w:bookmarkStart w:id="987" w:name="_5_Office_Multi-Language"/>
      <w:bookmarkStart w:id="988" w:name="_7_Office_Multi-Language"/>
      <w:bookmarkStart w:id="989" w:name="_87_Office_Multi-Language"/>
      <w:bookmarkStart w:id="990" w:name="_9_Office_Multi-Language"/>
      <w:bookmarkStart w:id="991" w:name="Aps_8OffMultiLangPack07"/>
      <w:bookmarkStart w:id="992" w:name="Aps_6OfficeMultiLangPack2010"/>
      <w:bookmarkStart w:id="993" w:name="Aps_5OfficeMultiLangPack2010"/>
      <w:bookmarkStart w:id="994" w:name="_Toc371663661"/>
      <w:bookmarkEnd w:id="987"/>
      <w:bookmarkEnd w:id="988"/>
      <w:bookmarkEnd w:id="989"/>
      <w:bookmarkEnd w:id="990"/>
      <w:r w:rsidRPr="003F471F">
        <w:rPr>
          <w:rFonts w:ascii="Tahoma" w:hAnsi="Tahoma"/>
          <w:caps/>
          <w:color w:val="F66400"/>
          <w:sz w:val="22"/>
          <w:vertAlign w:val="superscript"/>
          <w:lang w:val="it-IT"/>
        </w:rPr>
        <w:t>10</w:t>
      </w:r>
      <w:r w:rsidRPr="003F471F">
        <w:rPr>
          <w:rFonts w:ascii="Tahoma" w:hAnsi="Tahoma"/>
          <w:color w:val="F66400"/>
          <w:sz w:val="22"/>
          <w:lang w:val="it-IT"/>
        </w:rPr>
        <w:t xml:space="preserve"> Office Multi-Language Pack </w:t>
      </w:r>
      <w:bookmarkEnd w:id="986"/>
      <w:bookmarkEnd w:id="991"/>
      <w:bookmarkEnd w:id="992"/>
      <w:bookmarkEnd w:id="993"/>
      <w:r w:rsidRPr="003F471F">
        <w:rPr>
          <w:rFonts w:ascii="Tahoma" w:hAnsi="Tahoma"/>
          <w:color w:val="F66400"/>
          <w:sz w:val="22"/>
          <w:lang w:val="it-IT"/>
        </w:rPr>
        <w:t>2013</w:t>
      </w:r>
      <w:bookmarkEnd w:id="994"/>
    </w:p>
    <w:p w14:paraId="402708A2" w14:textId="77777777" w:rsidR="00023FE7" w:rsidRPr="003F471F" w:rsidRDefault="00023FE7" w:rsidP="00AE5A9F">
      <w:pPr>
        <w:rPr>
          <w:lang w:val="it-IT"/>
        </w:rPr>
      </w:pPr>
    </w:p>
    <w:p w14:paraId="3483034C" w14:textId="77777777" w:rsidR="00223A77" w:rsidRPr="003F471F" w:rsidRDefault="0035314F" w:rsidP="00864B8A">
      <w:pPr>
        <w:spacing w:after="60"/>
        <w:ind w:left="720"/>
        <w:rPr>
          <w:lang w:val="it-IT"/>
        </w:rPr>
      </w:pPr>
      <w:r w:rsidRPr="003F471F">
        <w:rPr>
          <w:rFonts w:cs="Tahoma"/>
          <w:b/>
          <w:szCs w:val="20"/>
          <w:lang w:val="it-IT"/>
        </w:rPr>
        <w:t>Diritti di Downgrade per Office Multi-Language Pack 2013</w:t>
      </w:r>
    </w:p>
    <w:p w14:paraId="21224949" w14:textId="77777777" w:rsidR="00223A77" w:rsidRPr="003F471F" w:rsidRDefault="00223A77" w:rsidP="00CA6122">
      <w:pPr>
        <w:ind w:left="720"/>
        <w:rPr>
          <w:lang w:val="it-IT"/>
        </w:rPr>
      </w:pPr>
      <w:r w:rsidRPr="003F471F">
        <w:rPr>
          <w:rFonts w:cs="Tahoma"/>
          <w:szCs w:val="18"/>
          <w:lang w:val="it-IT"/>
        </w:rPr>
        <w:t>Le società con Contratti Multilicenza e che dispongono di una licenza per Office Multi-Language Pack 2013 e di una licenza per uno qualsiasi dei seguenti prodotti:</w:t>
      </w:r>
    </w:p>
    <w:p w14:paraId="3B6244B8" w14:textId="77777777" w:rsidR="00C2130B" w:rsidRPr="003F471F" w:rsidRDefault="00C2130B" w:rsidP="00CA6122">
      <w:pPr>
        <w:ind w:left="900"/>
        <w:rPr>
          <w:lang w:val="it-IT"/>
        </w:rPr>
      </w:pPr>
    </w:p>
    <w:p w14:paraId="43F32075" w14:textId="77777777" w:rsidR="00223A77" w:rsidRPr="0058047D" w:rsidRDefault="00223A77" w:rsidP="00CA6122">
      <w:pPr>
        <w:numPr>
          <w:ilvl w:val="0"/>
          <w:numId w:val="9"/>
        </w:numPr>
        <w:spacing w:after="60"/>
        <w:ind w:left="1440"/>
      </w:pPr>
      <w:r w:rsidRPr="0058047D">
        <w:rPr>
          <w:rFonts w:cs="Tahoma"/>
          <w:szCs w:val="18"/>
        </w:rPr>
        <w:t>Office Standard 2013</w:t>
      </w:r>
    </w:p>
    <w:p w14:paraId="61310BA2" w14:textId="77777777" w:rsidR="00223A77" w:rsidRPr="0058047D" w:rsidRDefault="00223A77" w:rsidP="00CA6122">
      <w:pPr>
        <w:numPr>
          <w:ilvl w:val="0"/>
          <w:numId w:val="9"/>
        </w:numPr>
        <w:spacing w:after="60"/>
        <w:ind w:left="1440"/>
      </w:pPr>
      <w:r w:rsidRPr="0058047D">
        <w:rPr>
          <w:rFonts w:cs="Tahoma"/>
          <w:szCs w:val="18"/>
        </w:rPr>
        <w:t>Office Professional Plus 2013</w:t>
      </w:r>
    </w:p>
    <w:p w14:paraId="31982B9B" w14:textId="77777777" w:rsidR="00223A77" w:rsidRPr="0058047D" w:rsidRDefault="00223A77" w:rsidP="00CA6122">
      <w:pPr>
        <w:numPr>
          <w:ilvl w:val="0"/>
          <w:numId w:val="9"/>
        </w:numPr>
        <w:spacing w:after="60"/>
        <w:ind w:left="1440"/>
      </w:pPr>
      <w:r w:rsidRPr="0058047D">
        <w:rPr>
          <w:rFonts w:cs="Tahoma"/>
          <w:szCs w:val="18"/>
        </w:rPr>
        <w:t>Project Standard 2013</w:t>
      </w:r>
    </w:p>
    <w:p w14:paraId="35CDA669" w14:textId="77777777" w:rsidR="00223A77" w:rsidRPr="0058047D" w:rsidRDefault="00223A77" w:rsidP="00CA6122">
      <w:pPr>
        <w:numPr>
          <w:ilvl w:val="0"/>
          <w:numId w:val="9"/>
        </w:numPr>
        <w:spacing w:after="60"/>
        <w:ind w:left="1440"/>
      </w:pPr>
      <w:r w:rsidRPr="0058047D">
        <w:rPr>
          <w:rFonts w:cs="Tahoma"/>
          <w:szCs w:val="18"/>
        </w:rPr>
        <w:t>Project Professional 2013</w:t>
      </w:r>
    </w:p>
    <w:p w14:paraId="2D75E077" w14:textId="77777777" w:rsidR="00223A77" w:rsidRPr="0058047D" w:rsidRDefault="00223A77" w:rsidP="00CA6122">
      <w:pPr>
        <w:numPr>
          <w:ilvl w:val="0"/>
          <w:numId w:val="9"/>
        </w:numPr>
        <w:spacing w:after="60"/>
        <w:ind w:left="1440"/>
      </w:pPr>
      <w:r w:rsidRPr="0058047D">
        <w:rPr>
          <w:rFonts w:cs="Tahoma"/>
          <w:szCs w:val="18"/>
        </w:rPr>
        <w:t>Visio Standard 2013</w:t>
      </w:r>
    </w:p>
    <w:p w14:paraId="1E30F24D" w14:textId="77777777" w:rsidR="00223A77" w:rsidRPr="0058047D" w:rsidRDefault="00223A77" w:rsidP="00CA6122">
      <w:pPr>
        <w:numPr>
          <w:ilvl w:val="0"/>
          <w:numId w:val="9"/>
        </w:numPr>
        <w:spacing w:after="60"/>
        <w:ind w:left="1440"/>
      </w:pPr>
      <w:r w:rsidRPr="0058047D">
        <w:rPr>
          <w:rFonts w:cs="Tahoma"/>
          <w:szCs w:val="18"/>
        </w:rPr>
        <w:t>Visio Professional 2013</w:t>
      </w:r>
    </w:p>
    <w:p w14:paraId="56CC28DF" w14:textId="77777777" w:rsidR="00223A77" w:rsidRPr="0058047D" w:rsidRDefault="00223A77" w:rsidP="00CA6122">
      <w:pPr>
        <w:ind w:left="1260"/>
      </w:pPr>
    </w:p>
    <w:p w14:paraId="7148D5FD" w14:textId="77777777" w:rsidR="00223A77" w:rsidRPr="003F471F" w:rsidRDefault="00223A77" w:rsidP="00CA6122">
      <w:pPr>
        <w:ind w:left="720"/>
        <w:rPr>
          <w:lang w:val="it-IT"/>
        </w:rPr>
      </w:pPr>
      <w:r w:rsidRPr="003F471F">
        <w:rPr>
          <w:rFonts w:cs="Tahoma"/>
          <w:szCs w:val="18"/>
          <w:lang w:val="it-IT"/>
        </w:rPr>
        <w:t>sono idonee a utilizzare la versione Inglese/Multilingua di una versione sottoposta a downgrade del prodotto, al posto della versione concessa in licenza</w:t>
      </w:r>
      <w:r w:rsidRPr="003F471F">
        <w:rPr>
          <w:rFonts w:cs="Tahoma"/>
          <w:i/>
          <w:iCs/>
          <w:szCs w:val="18"/>
          <w:lang w:val="it-IT"/>
        </w:rPr>
        <w:t>.</w:t>
      </w:r>
      <w:r w:rsidRPr="003F471F">
        <w:rPr>
          <w:rFonts w:cs="Tahoma"/>
          <w:szCs w:val="18"/>
          <w:lang w:val="it-IT"/>
        </w:rPr>
        <w:t xml:space="preserve"> L</w:t>
      </w:r>
      <w:r w:rsidR="001C4212" w:rsidRPr="003F471F">
        <w:rPr>
          <w:rFonts w:cs="Tahoma"/>
          <w:szCs w:val="18"/>
          <w:lang w:val="it-IT"/>
        </w:rPr>
        <w:t>’</w:t>
      </w:r>
      <w:r w:rsidRPr="003F471F">
        <w:rPr>
          <w:rFonts w:cs="Tahoma"/>
          <w:szCs w:val="18"/>
          <w:lang w:val="it-IT"/>
        </w:rPr>
        <w:t>utilizzo della versione sottoposta a downgrade del prodotto è soggetta ai diritti di utilizzo della versione 2013 del prodotto. Tali diritti cesseranno alla scadenza dei diritti della società di utilizzare il prodotto Office Multi-Language Pack 2013 o i prodotti 2013 indicati in precedenza.</w:t>
      </w:r>
    </w:p>
    <w:p w14:paraId="12464918" w14:textId="77777777" w:rsidR="00CA6122" w:rsidRPr="003F471F" w:rsidRDefault="00CA6122">
      <w:pPr>
        <w:pStyle w:val="Heading3"/>
        <w:rPr>
          <w:lang w:val="it-IT"/>
        </w:rPr>
      </w:pPr>
      <w:bookmarkStart w:id="995" w:name="_Toc336338266"/>
      <w:bookmarkStart w:id="996" w:name="Aps_9OffProPlus07forWin"/>
      <w:bookmarkStart w:id="997" w:name="Aps_7OfficeProPlus2010"/>
      <w:bookmarkStart w:id="998" w:name="Aps_6OfficeProPlus2010"/>
    </w:p>
    <w:p w14:paraId="2D6ECCB3" w14:textId="77777777" w:rsidR="00CA6122" w:rsidRPr="003F471F" w:rsidRDefault="00CA6122">
      <w:pPr>
        <w:pStyle w:val="Heading3"/>
        <w:rPr>
          <w:lang w:val="it-IT"/>
        </w:rPr>
      </w:pPr>
    </w:p>
    <w:p w14:paraId="0EAFC499" w14:textId="77777777" w:rsidR="00023FE7" w:rsidRPr="0058047D" w:rsidRDefault="00A560B6">
      <w:pPr>
        <w:pStyle w:val="Heading3"/>
      </w:pPr>
      <w:bookmarkStart w:id="999" w:name="_98_Office_Professional"/>
      <w:bookmarkStart w:id="1000" w:name="_10_Office_Professional"/>
      <w:bookmarkStart w:id="1001" w:name="_Toc371663662"/>
      <w:bookmarkEnd w:id="999"/>
      <w:bookmarkEnd w:id="1000"/>
      <w:r w:rsidRPr="0058047D">
        <w:rPr>
          <w:rFonts w:ascii="Tahoma" w:hAnsi="Tahoma"/>
          <w:caps/>
          <w:color w:val="F66400"/>
          <w:sz w:val="22"/>
          <w:vertAlign w:val="superscript"/>
        </w:rPr>
        <w:t>11</w:t>
      </w:r>
      <w:r w:rsidRPr="0058047D">
        <w:rPr>
          <w:rFonts w:ascii="Tahoma" w:hAnsi="Tahoma"/>
          <w:color w:val="F66400"/>
          <w:sz w:val="22"/>
        </w:rPr>
        <w:t xml:space="preserve"> Office Professional Plus </w:t>
      </w:r>
      <w:bookmarkEnd w:id="995"/>
      <w:r w:rsidRPr="0058047D">
        <w:rPr>
          <w:rFonts w:ascii="Tahoma" w:hAnsi="Tahoma"/>
          <w:color w:val="F66400"/>
          <w:sz w:val="22"/>
        </w:rPr>
        <w:t>2013</w:t>
      </w:r>
      <w:bookmarkEnd w:id="1001"/>
    </w:p>
    <w:bookmarkEnd w:id="996"/>
    <w:bookmarkEnd w:id="997"/>
    <w:bookmarkEnd w:id="998"/>
    <w:p w14:paraId="0815E5B2" w14:textId="77777777" w:rsidR="00023FE7" w:rsidRPr="0058047D" w:rsidRDefault="00023FE7" w:rsidP="00AE5A9F"/>
    <w:p w14:paraId="4B199569" w14:textId="77777777" w:rsidR="00223A77" w:rsidRPr="003F471F" w:rsidRDefault="00223A77" w:rsidP="00346F4B">
      <w:pPr>
        <w:pStyle w:val="EndnoteText"/>
        <w:numPr>
          <w:ilvl w:val="0"/>
          <w:numId w:val="114"/>
        </w:numPr>
        <w:ind w:left="1080"/>
        <w:rPr>
          <w:lang w:val="it-IT"/>
        </w:rPr>
      </w:pPr>
      <w:r w:rsidRPr="003F471F">
        <w:rPr>
          <w:rFonts w:ascii="Tahoma" w:hAnsi="Tahoma" w:cs="Tahoma"/>
          <w:sz w:val="18"/>
          <w:szCs w:val="20"/>
          <w:lang w:val="it-IT"/>
        </w:rPr>
        <w:t xml:space="preserve">Licenza Work at Home (WAH) disponibile per le società con Contratto Select </w:t>
      </w:r>
      <w:r w:rsidRPr="003F471F">
        <w:rPr>
          <w:rFonts w:ascii="Tahoma" w:hAnsi="Tahoma" w:cs="Tahoma"/>
          <w:sz w:val="18"/>
          <w:szCs w:val="18"/>
          <w:lang w:val="it-IT"/>
        </w:rPr>
        <w:t>e Select Plus</w:t>
      </w:r>
    </w:p>
    <w:p w14:paraId="2F85BC61" w14:textId="77777777" w:rsidR="00223A77" w:rsidRPr="003F471F" w:rsidRDefault="00223A77" w:rsidP="00346F4B">
      <w:pPr>
        <w:pStyle w:val="EndnoteText"/>
        <w:numPr>
          <w:ilvl w:val="0"/>
          <w:numId w:val="114"/>
        </w:numPr>
        <w:ind w:left="1080"/>
        <w:rPr>
          <w:lang w:val="it-IT"/>
        </w:rPr>
      </w:pPr>
      <w:r w:rsidRPr="003F471F">
        <w:rPr>
          <w:rFonts w:ascii="Tahoma" w:hAnsi="Tahoma" w:cs="Tahoma"/>
          <w:sz w:val="18"/>
          <w:szCs w:val="20"/>
          <w:lang w:val="it-IT"/>
        </w:rPr>
        <w:t>Licenza Work at Home (WAH) disponibile per le società con Contratto Enterprise</w:t>
      </w:r>
    </w:p>
    <w:p w14:paraId="3898A9E8" w14:textId="77777777" w:rsidR="00223A77" w:rsidRPr="003F471F" w:rsidRDefault="00223A77" w:rsidP="00D16C5F">
      <w:pPr>
        <w:pStyle w:val="FootnoteBulletLevel1"/>
        <w:tabs>
          <w:tab w:val="clear" w:pos="900"/>
        </w:tabs>
        <w:spacing w:before="0" w:after="0"/>
        <w:ind w:left="720" w:firstLine="0"/>
        <w:rPr>
          <w:lang w:val="it-IT"/>
        </w:rPr>
      </w:pPr>
    </w:p>
    <w:p w14:paraId="53BB0CDC" w14:textId="77777777" w:rsidR="00864B8A" w:rsidRPr="003F471F" w:rsidRDefault="00223A77" w:rsidP="00864B8A">
      <w:pPr>
        <w:spacing w:after="60"/>
        <w:ind w:left="720"/>
        <w:rPr>
          <w:lang w:val="it-IT"/>
        </w:rPr>
      </w:pPr>
      <w:r w:rsidRPr="003F471F">
        <w:rPr>
          <w:rFonts w:cs="Tahoma"/>
          <w:b/>
          <w:lang w:val="it-IT"/>
        </w:rPr>
        <w:t>Office Professional Plus 2013</w:t>
      </w:r>
    </w:p>
    <w:p w14:paraId="49E93D1F" w14:textId="77777777" w:rsidR="00223A77" w:rsidRPr="003F471F" w:rsidRDefault="00223A77" w:rsidP="00864B8A">
      <w:pPr>
        <w:spacing w:after="60"/>
        <w:ind w:left="720"/>
        <w:rPr>
          <w:lang w:val="it-IT"/>
        </w:rPr>
      </w:pPr>
      <w:r w:rsidRPr="003F471F">
        <w:rPr>
          <w:rFonts w:cs="Tahoma"/>
          <w:lang w:val="it-IT"/>
        </w:rPr>
        <w:t>Una Licenza per Office Professional Plus 2013 è composta dai seguenti elementi: Access 2013, Lync 2013, Excel 2013, InfoPath 2013, OneNote 2013, Outlook 2013, Office Home and Student RT 2013 Commercial Use, Office Web Apps, PowerPoint 2013, Publisher 2013 e Word 2013.</w:t>
      </w:r>
    </w:p>
    <w:p w14:paraId="13DAA901" w14:textId="77777777" w:rsidR="00973A93" w:rsidRPr="003F471F" w:rsidRDefault="00973A93">
      <w:pPr>
        <w:rPr>
          <w:lang w:val="it-IT"/>
        </w:rPr>
      </w:pPr>
    </w:p>
    <w:p w14:paraId="46923D91" w14:textId="77777777" w:rsidR="00223A77" w:rsidRPr="003F471F" w:rsidRDefault="00223A77" w:rsidP="00AF1D88">
      <w:pPr>
        <w:keepNext/>
        <w:spacing w:after="60"/>
        <w:ind w:left="720"/>
        <w:rPr>
          <w:lang w:val="it-IT"/>
        </w:rPr>
      </w:pPr>
      <w:r w:rsidRPr="003F471F">
        <w:rPr>
          <w:rFonts w:cs="Tahoma"/>
          <w:b/>
          <w:lang w:val="it-IT"/>
        </w:rPr>
        <w:t>Impossibilità di Separare Office Professional Plus 2013</w:t>
      </w:r>
    </w:p>
    <w:p w14:paraId="7350B1F9" w14:textId="77777777" w:rsidR="00223A77" w:rsidRPr="003F471F" w:rsidRDefault="00223A77" w:rsidP="00D16C5F">
      <w:pPr>
        <w:pStyle w:val="FootnoteBulletLevel1"/>
        <w:tabs>
          <w:tab w:val="clear" w:pos="900"/>
        </w:tabs>
        <w:spacing w:before="0" w:after="0"/>
        <w:ind w:left="720" w:firstLine="0"/>
        <w:rPr>
          <w:lang w:val="it-IT"/>
        </w:rPr>
      </w:pPr>
      <w:r w:rsidRPr="003F471F">
        <w:rPr>
          <w:rFonts w:ascii="Tahoma" w:hAnsi="Tahoma" w:cs="Tahoma"/>
          <w:sz w:val="18"/>
          <w:lang w:val="it-IT"/>
        </w:rPr>
        <w:t>Microsoft Office Professional Plus 2013 è composto da più di un prodotto offerto ai sensi di un</w:t>
      </w:r>
      <w:r w:rsidR="001C4212" w:rsidRPr="003F471F">
        <w:rPr>
          <w:rFonts w:ascii="Tahoma" w:hAnsi="Tahoma" w:cs="Tahoma"/>
          <w:sz w:val="18"/>
          <w:lang w:val="it-IT"/>
        </w:rPr>
        <w:t>’</w:t>
      </w:r>
      <w:r w:rsidRPr="003F471F">
        <w:rPr>
          <w:rFonts w:ascii="Tahoma" w:hAnsi="Tahoma" w:cs="Tahoma"/>
          <w:sz w:val="18"/>
          <w:lang w:val="it-IT"/>
        </w:rPr>
        <w:t>unica licenza. Il software non può essere separato per l</w:t>
      </w:r>
      <w:r w:rsidR="001C4212" w:rsidRPr="003F471F">
        <w:rPr>
          <w:rFonts w:ascii="Tahoma" w:hAnsi="Tahoma" w:cs="Tahoma"/>
          <w:sz w:val="18"/>
          <w:lang w:val="it-IT"/>
        </w:rPr>
        <w:t>’</w:t>
      </w:r>
      <w:r w:rsidRPr="003F471F">
        <w:rPr>
          <w:rFonts w:ascii="Tahoma" w:hAnsi="Tahoma" w:cs="Tahoma"/>
          <w:sz w:val="18"/>
          <w:lang w:val="it-IT"/>
        </w:rPr>
        <w:t>utilizzo su più di un computer.</w:t>
      </w:r>
    </w:p>
    <w:p w14:paraId="79C8968A" w14:textId="77777777" w:rsidR="00952A87" w:rsidRPr="003F471F" w:rsidRDefault="00952A87" w:rsidP="00D16C5F">
      <w:pPr>
        <w:ind w:left="720"/>
        <w:rPr>
          <w:lang w:val="it-IT"/>
        </w:rPr>
      </w:pPr>
    </w:p>
    <w:p w14:paraId="1F441A5B" w14:textId="77777777" w:rsidR="00952A87" w:rsidRPr="003F471F" w:rsidRDefault="00952A87" w:rsidP="00864B8A">
      <w:pPr>
        <w:spacing w:after="60"/>
        <w:ind w:left="720"/>
        <w:rPr>
          <w:lang w:val="it-IT"/>
        </w:rPr>
      </w:pPr>
      <w:r w:rsidRPr="003F471F">
        <w:rPr>
          <w:rFonts w:cs="Tahoma"/>
          <w:b/>
          <w:lang w:val="it-IT"/>
        </w:rPr>
        <w:t>Contratto Campus e School</w:t>
      </w:r>
    </w:p>
    <w:p w14:paraId="12B3D008" w14:textId="77777777" w:rsidR="00001A9A" w:rsidRPr="003F471F" w:rsidRDefault="00952A87" w:rsidP="00D16C5F">
      <w:pPr>
        <w:ind w:left="720"/>
        <w:rPr>
          <w:lang w:val="it-IT"/>
        </w:rPr>
      </w:pPr>
      <w:r w:rsidRPr="003F471F">
        <w:rPr>
          <w:rFonts w:eastAsia="Calibri" w:cs="Tahoma"/>
          <w:iCs/>
          <w:color w:val="000000"/>
          <w:szCs w:val="18"/>
          <w:lang w:val="it-IT"/>
        </w:rPr>
        <w:t>Gli Istituti in possesso di USL per Office 365 ProPlus cedute a tutto il personale docente e non docente potranno installare il software Office Professional Plus 2013 in qualsiasi laboratorio o biblioteca ad accesso libero all</w:t>
      </w:r>
      <w:r w:rsidR="001C4212" w:rsidRPr="003F471F">
        <w:rPr>
          <w:rFonts w:eastAsia="Calibri" w:cs="Tahoma"/>
          <w:iCs/>
          <w:color w:val="000000"/>
          <w:szCs w:val="18"/>
          <w:lang w:val="it-IT"/>
        </w:rPr>
        <w:t>’</w:t>
      </w:r>
      <w:r w:rsidRPr="003F471F">
        <w:rPr>
          <w:rFonts w:eastAsia="Calibri" w:cs="Tahoma"/>
          <w:iCs/>
          <w:color w:val="000000"/>
          <w:szCs w:val="18"/>
          <w:lang w:val="it-IT"/>
        </w:rPr>
        <w:t>interno dell</w:t>
      </w:r>
      <w:r w:rsidR="001C4212" w:rsidRPr="003F471F">
        <w:rPr>
          <w:rFonts w:eastAsia="Calibri" w:cs="Tahoma"/>
          <w:iCs/>
          <w:color w:val="000000"/>
          <w:szCs w:val="18"/>
          <w:lang w:val="it-IT"/>
        </w:rPr>
        <w:t>’</w:t>
      </w:r>
      <w:r w:rsidRPr="003F471F">
        <w:rPr>
          <w:rFonts w:eastAsia="Calibri" w:cs="Tahoma"/>
          <w:iCs/>
          <w:color w:val="000000"/>
          <w:szCs w:val="18"/>
          <w:lang w:val="it-IT"/>
        </w:rPr>
        <w:t>Organizzazione dell</w:t>
      </w:r>
      <w:r w:rsidR="001C4212" w:rsidRPr="003F471F">
        <w:rPr>
          <w:rFonts w:eastAsia="Calibri" w:cs="Tahoma"/>
          <w:iCs/>
          <w:color w:val="000000"/>
          <w:szCs w:val="18"/>
          <w:lang w:val="it-IT"/>
        </w:rPr>
        <w:t>’</w:t>
      </w:r>
      <w:r w:rsidRPr="003F471F">
        <w:rPr>
          <w:rFonts w:eastAsia="Calibri" w:cs="Tahoma"/>
          <w:iCs/>
          <w:color w:val="000000"/>
          <w:szCs w:val="18"/>
          <w:lang w:val="it-IT"/>
        </w:rPr>
        <w:t>Istituto.</w:t>
      </w:r>
      <w:r w:rsidR="00E34ED3" w:rsidRPr="003F471F">
        <w:rPr>
          <w:rFonts w:eastAsia="Calibri" w:cs="Tahoma"/>
          <w:iCs/>
          <w:color w:val="000000"/>
          <w:szCs w:val="18"/>
          <w:lang w:val="it-IT"/>
        </w:rPr>
        <w:t xml:space="preserve"> </w:t>
      </w:r>
      <w:r w:rsidRPr="003F471F">
        <w:rPr>
          <w:rFonts w:eastAsia="Calibri" w:cs="Tahoma"/>
          <w:iCs/>
          <w:color w:val="000000"/>
          <w:szCs w:val="18"/>
          <w:lang w:val="it-IT"/>
        </w:rPr>
        <w:t>L</w:t>
      </w:r>
      <w:r w:rsidR="001C4212" w:rsidRPr="003F471F">
        <w:rPr>
          <w:rFonts w:eastAsia="Calibri" w:cs="Tahoma"/>
          <w:iCs/>
          <w:color w:val="000000"/>
          <w:szCs w:val="18"/>
          <w:lang w:val="it-IT"/>
        </w:rPr>
        <w:t>’</w:t>
      </w:r>
      <w:r w:rsidRPr="003F471F">
        <w:rPr>
          <w:rFonts w:eastAsia="Calibri" w:cs="Tahoma"/>
          <w:iCs/>
          <w:color w:val="000000"/>
          <w:szCs w:val="18"/>
          <w:lang w:val="it-IT"/>
        </w:rPr>
        <w:t>utilizzo del software è soggetto alle condizioni di licenza per Office Professional Plus 2013.</w:t>
      </w:r>
    </w:p>
    <w:p w14:paraId="17407483" w14:textId="77777777" w:rsidR="00952A87" w:rsidRPr="003F471F" w:rsidRDefault="00952A87" w:rsidP="00D16C5F">
      <w:pPr>
        <w:rPr>
          <w:lang w:val="it-IT"/>
        </w:rPr>
      </w:pPr>
    </w:p>
    <w:p w14:paraId="1EC28282" w14:textId="77777777" w:rsidR="00133069" w:rsidRPr="003F471F" w:rsidRDefault="00133069" w:rsidP="00133069">
      <w:pPr>
        <w:rPr>
          <w:lang w:val="it-IT"/>
        </w:rPr>
      </w:pPr>
    </w:p>
    <w:p w14:paraId="2715828E" w14:textId="77777777" w:rsidR="00223A77" w:rsidRPr="0058047D" w:rsidRDefault="00A560B6" w:rsidP="00223A77">
      <w:pPr>
        <w:pStyle w:val="Heading3"/>
      </w:pPr>
      <w:bookmarkStart w:id="1002" w:name="_109_Office_Standard"/>
      <w:bookmarkStart w:id="1003" w:name="_11_Office_Standard"/>
      <w:bookmarkStart w:id="1004" w:name="Aps_OfficeStandard2010"/>
      <w:bookmarkStart w:id="1005" w:name="_Toc254806115"/>
      <w:bookmarkStart w:id="1006" w:name="_Toc328146032"/>
      <w:bookmarkStart w:id="1007" w:name="_Toc371663663"/>
      <w:bookmarkStart w:id="1008" w:name="Aps_7OfficeStandard2010"/>
      <w:bookmarkStart w:id="1009" w:name="_Toc336338268"/>
      <w:bookmarkEnd w:id="1002"/>
      <w:bookmarkEnd w:id="1003"/>
      <w:r w:rsidRPr="0058047D">
        <w:rPr>
          <w:rFonts w:ascii="Tahoma" w:hAnsi="Tahoma"/>
          <w:caps/>
          <w:color w:val="F66400"/>
          <w:sz w:val="22"/>
          <w:vertAlign w:val="superscript"/>
        </w:rPr>
        <w:t>12</w:t>
      </w:r>
      <w:r w:rsidRPr="0058047D">
        <w:rPr>
          <w:rFonts w:ascii="Tahoma" w:hAnsi="Tahoma"/>
          <w:color w:val="F66400"/>
          <w:sz w:val="22"/>
        </w:rPr>
        <w:t xml:space="preserve"> Office Standard </w:t>
      </w:r>
      <w:bookmarkEnd w:id="1004"/>
      <w:bookmarkEnd w:id="1005"/>
      <w:bookmarkEnd w:id="1006"/>
      <w:r w:rsidRPr="0058047D">
        <w:rPr>
          <w:rFonts w:ascii="Tahoma" w:hAnsi="Tahoma"/>
          <w:color w:val="F66400"/>
          <w:sz w:val="22"/>
        </w:rPr>
        <w:t>2013</w:t>
      </w:r>
      <w:bookmarkEnd w:id="1007"/>
    </w:p>
    <w:bookmarkEnd w:id="1008"/>
    <w:p w14:paraId="7F3E4671" w14:textId="77777777" w:rsidR="00223A77" w:rsidRPr="0058047D" w:rsidRDefault="00223A77" w:rsidP="00AE5A9F"/>
    <w:p w14:paraId="13215A7C" w14:textId="77777777" w:rsidR="00223A77" w:rsidRPr="003F471F" w:rsidRDefault="00223A77" w:rsidP="00346F4B">
      <w:pPr>
        <w:pStyle w:val="EndnoteText"/>
        <w:numPr>
          <w:ilvl w:val="3"/>
          <w:numId w:val="81"/>
        </w:numPr>
        <w:ind w:left="990"/>
        <w:rPr>
          <w:lang w:val="it-IT"/>
        </w:rPr>
      </w:pPr>
      <w:r w:rsidRPr="003F471F">
        <w:rPr>
          <w:rFonts w:ascii="Tahoma" w:hAnsi="Tahoma" w:cs="Tahoma"/>
          <w:sz w:val="18"/>
          <w:szCs w:val="20"/>
          <w:lang w:val="it-IT"/>
        </w:rPr>
        <w:t>Licenza Work at Home (WAH)</w:t>
      </w:r>
      <w:r w:rsidRPr="003F471F">
        <w:rPr>
          <w:rFonts w:ascii="Tahoma" w:hAnsi="Tahoma" w:cs="Tahoma"/>
          <w:sz w:val="18"/>
          <w:lang w:val="it-IT"/>
        </w:rPr>
        <w:t xml:space="preserve"> disponibile per le società con Contratto Select </w:t>
      </w:r>
      <w:r w:rsidRPr="003F471F">
        <w:rPr>
          <w:rFonts w:ascii="Tahoma" w:hAnsi="Tahoma" w:cs="Tahoma"/>
          <w:lang w:val="it-IT"/>
        </w:rPr>
        <w:t>e Select Plus</w:t>
      </w:r>
    </w:p>
    <w:p w14:paraId="0198FD39" w14:textId="77777777" w:rsidR="00223A77" w:rsidRPr="003F471F" w:rsidRDefault="00223A77" w:rsidP="00346F4B">
      <w:pPr>
        <w:pStyle w:val="EndnoteText"/>
        <w:numPr>
          <w:ilvl w:val="3"/>
          <w:numId w:val="81"/>
        </w:numPr>
        <w:ind w:left="990"/>
        <w:rPr>
          <w:lang w:val="it-IT"/>
        </w:rPr>
      </w:pPr>
      <w:r w:rsidRPr="003F471F">
        <w:rPr>
          <w:rFonts w:ascii="Tahoma" w:hAnsi="Tahoma" w:cs="Tahoma"/>
          <w:sz w:val="18"/>
          <w:lang w:val="it-IT"/>
        </w:rPr>
        <w:t>Licenza Work at Home (WAH) disponibile per le società con Contratto Enterprise</w:t>
      </w:r>
    </w:p>
    <w:p w14:paraId="653733B2" w14:textId="77777777" w:rsidR="00223A77" w:rsidRPr="003F471F" w:rsidRDefault="00223A77" w:rsidP="00DF0E39">
      <w:pPr>
        <w:pStyle w:val="FootnoteBulletLevel1"/>
        <w:tabs>
          <w:tab w:val="clear" w:pos="900"/>
        </w:tabs>
        <w:spacing w:before="0" w:after="0"/>
        <w:ind w:left="720" w:firstLine="0"/>
        <w:rPr>
          <w:lang w:val="it-IT"/>
        </w:rPr>
      </w:pPr>
    </w:p>
    <w:p w14:paraId="11C71227" w14:textId="77777777" w:rsidR="00864B8A" w:rsidRPr="003F471F" w:rsidRDefault="00223A77" w:rsidP="00864B8A">
      <w:pPr>
        <w:spacing w:after="60"/>
        <w:ind w:left="720"/>
        <w:rPr>
          <w:lang w:val="it-IT"/>
        </w:rPr>
      </w:pPr>
      <w:r w:rsidRPr="003F471F">
        <w:rPr>
          <w:rFonts w:cs="Tahoma"/>
          <w:b/>
          <w:lang w:val="it-IT"/>
        </w:rPr>
        <w:t>Office Standard 2013</w:t>
      </w:r>
    </w:p>
    <w:p w14:paraId="1D1022FC" w14:textId="77777777" w:rsidR="00223A77" w:rsidRPr="003F471F" w:rsidRDefault="00223A77" w:rsidP="00DF0E39">
      <w:pPr>
        <w:pStyle w:val="FootnoteBulletLevel1"/>
        <w:tabs>
          <w:tab w:val="clear" w:pos="900"/>
        </w:tabs>
        <w:spacing w:before="0" w:after="0"/>
        <w:ind w:left="720" w:firstLine="0"/>
        <w:rPr>
          <w:lang w:val="it-IT"/>
        </w:rPr>
      </w:pPr>
      <w:r w:rsidRPr="003F471F">
        <w:rPr>
          <w:rFonts w:ascii="Tahoma" w:hAnsi="Tahoma" w:cs="Tahoma"/>
          <w:sz w:val="18"/>
          <w:lang w:val="it-IT"/>
        </w:rPr>
        <w:t>Una Licenza per Office Standard 2013 è composta dai seguenti elementi: Excel 2013, OneNote 2013, Outlook 2013,</w:t>
      </w:r>
      <w:r w:rsidRPr="003F471F">
        <w:rPr>
          <w:rFonts w:cs="Tahoma"/>
          <w:lang w:val="it-IT"/>
        </w:rPr>
        <w:t xml:space="preserve"> Office Home and Student RT 2013 Commercial Use,</w:t>
      </w:r>
      <w:r w:rsidRPr="003F471F">
        <w:rPr>
          <w:rFonts w:ascii="Tahoma" w:hAnsi="Tahoma" w:cs="Tahoma"/>
          <w:sz w:val="18"/>
          <w:lang w:val="it-IT"/>
        </w:rPr>
        <w:t xml:space="preserve"> Office Web Apps, PowerPoint 2013, Publisher 2013 e Word 2013.</w:t>
      </w:r>
    </w:p>
    <w:p w14:paraId="0F1AD599" w14:textId="77777777" w:rsidR="00DF0E39" w:rsidRPr="003F471F" w:rsidRDefault="00DF0E39" w:rsidP="00DF0E39">
      <w:pPr>
        <w:pStyle w:val="FootnoteBulletLevel1"/>
        <w:tabs>
          <w:tab w:val="clear" w:pos="900"/>
        </w:tabs>
        <w:spacing w:before="0" w:after="0"/>
        <w:ind w:left="720" w:firstLine="0"/>
        <w:rPr>
          <w:lang w:val="it-IT"/>
        </w:rPr>
      </w:pPr>
    </w:p>
    <w:p w14:paraId="1380FCF7" w14:textId="77777777" w:rsidR="00864B8A" w:rsidRPr="003F471F" w:rsidRDefault="00223A77" w:rsidP="00864B8A">
      <w:pPr>
        <w:spacing w:after="60"/>
        <w:ind w:left="720"/>
        <w:rPr>
          <w:lang w:val="it-IT"/>
        </w:rPr>
      </w:pPr>
      <w:r w:rsidRPr="003F471F">
        <w:rPr>
          <w:rFonts w:cs="Tahoma"/>
          <w:b/>
          <w:lang w:val="it-IT"/>
        </w:rPr>
        <w:t>Impossibilità di Separare Microsoft Office Standard 2013</w:t>
      </w:r>
    </w:p>
    <w:p w14:paraId="567553EA" w14:textId="77777777" w:rsidR="00223A77" w:rsidRPr="003F471F" w:rsidRDefault="00223A77" w:rsidP="002F39A5">
      <w:pPr>
        <w:spacing w:after="60"/>
        <w:ind w:left="720"/>
        <w:rPr>
          <w:lang w:val="it-IT"/>
        </w:rPr>
      </w:pPr>
      <w:r w:rsidRPr="003F471F">
        <w:rPr>
          <w:rFonts w:cs="Tahoma"/>
          <w:lang w:val="it-IT"/>
        </w:rPr>
        <w:t>Office Standard 2013 è composto da più di un prodotto offerto ai sensi di un</w:t>
      </w:r>
      <w:r w:rsidR="001C4212" w:rsidRPr="003F471F">
        <w:rPr>
          <w:rFonts w:cs="Tahoma"/>
          <w:lang w:val="it-IT"/>
        </w:rPr>
        <w:t>’</w:t>
      </w:r>
      <w:r w:rsidRPr="003F471F">
        <w:rPr>
          <w:rFonts w:cs="Tahoma"/>
          <w:lang w:val="it-IT"/>
        </w:rPr>
        <w:t>unica licenza. Il software non</w:t>
      </w:r>
      <w:r w:rsidR="006A73A3" w:rsidRPr="003F471F">
        <w:rPr>
          <w:rFonts w:cs="Tahoma"/>
          <w:lang w:val="it-IT"/>
        </w:rPr>
        <w:t> </w:t>
      </w:r>
      <w:r w:rsidRPr="003F471F">
        <w:rPr>
          <w:rFonts w:cs="Tahoma"/>
          <w:lang w:val="it-IT"/>
        </w:rPr>
        <w:t>può essere separato per l</w:t>
      </w:r>
      <w:r w:rsidR="001C4212" w:rsidRPr="003F471F">
        <w:rPr>
          <w:rFonts w:cs="Tahoma"/>
          <w:lang w:val="it-IT"/>
        </w:rPr>
        <w:t>’</w:t>
      </w:r>
      <w:r w:rsidRPr="003F471F">
        <w:rPr>
          <w:rFonts w:cs="Tahoma"/>
          <w:lang w:val="it-IT"/>
        </w:rPr>
        <w:t>utilizzo su più di un computer.</w:t>
      </w:r>
    </w:p>
    <w:p w14:paraId="6E211D15" w14:textId="77777777" w:rsidR="00B2182D" w:rsidRPr="003F471F" w:rsidRDefault="00A560B6" w:rsidP="00461CA9">
      <w:pPr>
        <w:pStyle w:val="Heading3"/>
        <w:rPr>
          <w:lang w:val="it-IT"/>
        </w:rPr>
      </w:pPr>
      <w:bookmarkStart w:id="1010" w:name="_110_Office_365"/>
      <w:bookmarkStart w:id="1011" w:name="_12_Office_365"/>
      <w:bookmarkStart w:id="1012" w:name="_Toc371663664"/>
      <w:bookmarkStart w:id="1013" w:name="Aps_9OfficeProPlusSubUserSL"/>
      <w:bookmarkEnd w:id="1010"/>
      <w:bookmarkEnd w:id="1011"/>
      <w:r w:rsidRPr="003F471F">
        <w:rPr>
          <w:rFonts w:ascii="Tahoma" w:hAnsi="Tahoma" w:cs="Tahoma"/>
          <w:caps/>
          <w:color w:val="F26200"/>
          <w:sz w:val="22"/>
          <w:vertAlign w:val="superscript"/>
          <w:lang w:val="it-IT"/>
        </w:rPr>
        <w:t>13</w:t>
      </w:r>
      <w:r w:rsidRPr="003F471F">
        <w:rPr>
          <w:rFonts w:ascii="Tahoma" w:hAnsi="Tahoma" w:cs="Tahoma"/>
          <w:color w:val="F26200"/>
          <w:sz w:val="22"/>
          <w:lang w:val="it-IT"/>
        </w:rPr>
        <w:t xml:space="preserve"> Office 365 ProPlus (SL per Utente)</w:t>
      </w:r>
      <w:bookmarkEnd w:id="1009"/>
      <w:bookmarkEnd w:id="1012"/>
    </w:p>
    <w:bookmarkEnd w:id="1013"/>
    <w:p w14:paraId="0765B01C" w14:textId="77777777" w:rsidR="00B2182D" w:rsidRPr="003F471F" w:rsidRDefault="00B2182D" w:rsidP="00AE5A9F">
      <w:pPr>
        <w:rPr>
          <w:lang w:val="it-IT"/>
        </w:rPr>
      </w:pPr>
    </w:p>
    <w:p w14:paraId="6321D0DA" w14:textId="77777777" w:rsidR="003418C5" w:rsidRPr="003F471F" w:rsidRDefault="003418C5" w:rsidP="003418C5">
      <w:pPr>
        <w:spacing w:after="60"/>
        <w:ind w:left="720"/>
        <w:rPr>
          <w:lang w:val="it-IT"/>
        </w:rPr>
      </w:pPr>
      <w:r w:rsidRPr="003F471F">
        <w:rPr>
          <w:b/>
          <w:bCs/>
          <w:lang w:val="it-IT"/>
        </w:rPr>
        <w:t>Idoneità all</w:t>
      </w:r>
      <w:r w:rsidR="001C4212" w:rsidRPr="003F471F">
        <w:rPr>
          <w:b/>
          <w:bCs/>
          <w:lang w:val="it-IT"/>
        </w:rPr>
        <w:t>’</w:t>
      </w:r>
      <w:r w:rsidRPr="003F471F">
        <w:rPr>
          <w:b/>
          <w:bCs/>
          <w:lang w:val="it-IT"/>
        </w:rPr>
        <w:t>acquisto</w:t>
      </w:r>
    </w:p>
    <w:p w14:paraId="23561B41" w14:textId="77777777" w:rsidR="003418C5" w:rsidRPr="003F471F" w:rsidRDefault="003418C5" w:rsidP="003418C5">
      <w:pPr>
        <w:ind w:left="720"/>
        <w:rPr>
          <w:lang w:val="it-IT"/>
        </w:rPr>
      </w:pPr>
      <w:r w:rsidRPr="003F471F">
        <w:rPr>
          <w:lang w:val="it-IT"/>
        </w:rPr>
        <w:t xml:space="preserve">Il licenziatario potrà acquistare la licenza Office 365 ProPlus SA Transition solo qualora disponga di una licenza sottostante per Office Professional Plus con Software Assurance per un Contratto Enterprise attivo. </w:t>
      </w:r>
    </w:p>
    <w:p w14:paraId="39606135" w14:textId="77777777" w:rsidR="003418C5" w:rsidRPr="003F471F" w:rsidRDefault="003418C5" w:rsidP="00864B8A">
      <w:pPr>
        <w:spacing w:after="60"/>
        <w:ind w:left="720"/>
        <w:rPr>
          <w:lang w:val="it-IT"/>
        </w:rPr>
      </w:pPr>
    </w:p>
    <w:p w14:paraId="417E0ADE" w14:textId="77777777" w:rsidR="005C647E" w:rsidRPr="003F471F" w:rsidRDefault="005C647E" w:rsidP="00864B8A">
      <w:pPr>
        <w:spacing w:after="60"/>
        <w:ind w:left="720"/>
        <w:rPr>
          <w:lang w:val="it-IT"/>
        </w:rPr>
      </w:pPr>
      <w:r w:rsidRPr="003F471F">
        <w:rPr>
          <w:rFonts w:cs="Tahoma"/>
          <w:b/>
          <w:lang w:val="it-IT"/>
        </w:rPr>
        <w:t>Campus and School</w:t>
      </w:r>
    </w:p>
    <w:p w14:paraId="1B73AD9C" w14:textId="77777777" w:rsidR="005C647E" w:rsidRPr="003F471F" w:rsidRDefault="005C647E" w:rsidP="00810479">
      <w:pPr>
        <w:ind w:left="720"/>
        <w:rPr>
          <w:lang w:val="it-IT"/>
        </w:rPr>
      </w:pPr>
      <w:r w:rsidRPr="003F471F">
        <w:rPr>
          <w:color w:val="000000"/>
          <w:lang w:val="it-IT"/>
        </w:rPr>
        <w:t>Qualora un Istituto disponga di una sottoscrizione di una USL per Office 365 ProPlus, dovrà acquistare una licenza per ogni Utente Qualificato della propria organizzazione. Qualora un Istituto aderisca all</w:t>
      </w:r>
      <w:r w:rsidR="001C4212" w:rsidRPr="003F471F">
        <w:rPr>
          <w:color w:val="000000"/>
          <w:lang w:val="it-IT"/>
        </w:rPr>
        <w:t>’</w:t>
      </w:r>
      <w:r w:rsidRPr="003F471F">
        <w:rPr>
          <w:color w:val="000000"/>
          <w:lang w:val="it-IT"/>
        </w:rPr>
        <w:t>Opzione Studente per la USL per Office 365 ProPlus, dovrà acquistare una licenza per ogni Studente dell</w:t>
      </w:r>
      <w:r w:rsidR="001C4212" w:rsidRPr="003F471F">
        <w:rPr>
          <w:color w:val="000000"/>
          <w:lang w:val="it-IT"/>
        </w:rPr>
        <w:t>’</w:t>
      </w:r>
      <w:r w:rsidRPr="003F471F">
        <w:rPr>
          <w:color w:val="000000"/>
          <w:lang w:val="it-IT"/>
        </w:rPr>
        <w:t>Organizzazione.</w:t>
      </w:r>
    </w:p>
    <w:p w14:paraId="3FD7EDAC" w14:textId="77777777" w:rsidR="005C647E" w:rsidRPr="003F471F" w:rsidRDefault="005C647E" w:rsidP="00810479">
      <w:pPr>
        <w:ind w:left="720"/>
        <w:rPr>
          <w:lang w:val="it-IT"/>
        </w:rPr>
      </w:pPr>
    </w:p>
    <w:p w14:paraId="59C5BB92" w14:textId="77777777" w:rsidR="008368B4" w:rsidRPr="003F471F" w:rsidRDefault="008368B4" w:rsidP="008368B4">
      <w:pPr>
        <w:ind w:left="720"/>
        <w:rPr>
          <w:lang w:val="it-IT"/>
        </w:rPr>
      </w:pPr>
      <w:r w:rsidRPr="003F471F">
        <w:rPr>
          <w:rFonts w:cs="Tahoma"/>
          <w:b/>
          <w:bCs/>
          <w:szCs w:val="18"/>
          <w:lang w:val="it-IT"/>
        </w:rPr>
        <w:t>Utilizzo di Office Professional Plus 2010 o Office per Mac Standard 2011</w:t>
      </w:r>
    </w:p>
    <w:p w14:paraId="11B9B2F3" w14:textId="77777777" w:rsidR="008368B4" w:rsidRPr="003F471F" w:rsidRDefault="008368B4" w:rsidP="008368B4">
      <w:pPr>
        <w:ind w:left="720"/>
        <w:rPr>
          <w:lang w:val="it-IT"/>
        </w:rPr>
      </w:pPr>
      <w:r w:rsidRPr="003F471F">
        <w:rPr>
          <w:rFonts w:cs="Tahoma"/>
          <w:bCs/>
          <w:szCs w:val="18"/>
          <w:lang w:val="it-IT"/>
        </w:rPr>
        <w:t>Con il rilascio del servizio aggiornato per Office 365 ProPlus il diritto di idoneità dei supporti di memorizzazione di utilizzare Office Professional Plus 2010 o Office per Mac Standard 2011 al posto del software Office 365 ProPlus ai sensi di sottoscrizioni attive è stato interrotto. La società avrà a disposizione un anno, fino al 28 febbraio 2014 per aggiornare i dispositivi e utilizzare i supporti di memorizzazione di Office 365 ProPlus.</w:t>
      </w:r>
    </w:p>
    <w:p w14:paraId="1C12BEC4" w14:textId="77777777" w:rsidR="00934C9A" w:rsidRPr="003F471F" w:rsidRDefault="00934C9A" w:rsidP="008368B4">
      <w:pPr>
        <w:ind w:left="720"/>
        <w:rPr>
          <w:lang w:val="it-IT"/>
        </w:rPr>
      </w:pPr>
      <w:r w:rsidRPr="003F471F">
        <w:rPr>
          <w:rFonts w:cs="Tahoma"/>
          <w:bCs/>
          <w:szCs w:val="18"/>
          <w:lang w:val="it-IT"/>
        </w:rPr>
        <w:t>* Consultare la Lista dei Prodotti del mese di febbraio 2013 per prendere visione di tutte le condizioni dei diritti di idoneità dei supporti di memorizzazione per Office Professional Plus Subscription</w:t>
      </w:r>
    </w:p>
    <w:p w14:paraId="162D184F" w14:textId="77777777" w:rsidR="008368B4" w:rsidRPr="003F471F" w:rsidRDefault="008368B4" w:rsidP="008368B4">
      <w:pPr>
        <w:ind w:left="720"/>
        <w:rPr>
          <w:lang w:val="it-IT"/>
        </w:rPr>
      </w:pPr>
    </w:p>
    <w:p w14:paraId="5B0A3D87" w14:textId="77777777" w:rsidR="008368B4" w:rsidRPr="003F471F" w:rsidRDefault="008368B4" w:rsidP="008368B4">
      <w:pPr>
        <w:spacing w:after="60"/>
        <w:ind w:left="720"/>
        <w:rPr>
          <w:lang w:val="it-IT"/>
        </w:rPr>
      </w:pPr>
      <w:r w:rsidRPr="003F471F">
        <w:rPr>
          <w:rFonts w:cs="Tahoma"/>
          <w:b/>
          <w:lang w:val="it-IT"/>
        </w:rPr>
        <w:t>Idoneità dei Supporti di Memorizzazione con i Servizi Desktop Remoto (RDS)</w:t>
      </w:r>
    </w:p>
    <w:p w14:paraId="32E7520A" w14:textId="77777777" w:rsidR="008368B4" w:rsidRPr="003F471F" w:rsidRDefault="008368B4" w:rsidP="008368B4">
      <w:pPr>
        <w:ind w:left="720"/>
        <w:rPr>
          <w:lang w:val="it-IT"/>
        </w:rPr>
      </w:pPr>
      <w:r w:rsidRPr="003F471F">
        <w:rPr>
          <w:rFonts w:cs="Tahoma"/>
          <w:szCs w:val="18"/>
          <w:lang w:val="it-IT"/>
        </w:rPr>
        <w:t>Qualora l</w:t>
      </w:r>
      <w:r w:rsidR="001C4212" w:rsidRPr="003F471F">
        <w:rPr>
          <w:rFonts w:cs="Tahoma"/>
          <w:szCs w:val="18"/>
          <w:lang w:val="it-IT"/>
        </w:rPr>
        <w:t>’</w:t>
      </w:r>
      <w:r w:rsidRPr="003F471F">
        <w:rPr>
          <w:rFonts w:cs="Tahoma"/>
          <w:szCs w:val="18"/>
          <w:lang w:val="it-IT"/>
        </w:rPr>
        <w:t>utente al quale è stata ceduta una licenza per Office 365 ProPlus utilizzi il software su un server di rete con il ruolo RDS attivato anziché installare una copia del software fornito con Office 365 ProPlus su uno dei cinque dispositivi autorizzati in conformità ai Diritti di Utilizzo del Prodotto per Office 365 ProPlus, tale utente potrà 1) installare una copia del software Office Professional Plus 2013 su un server di rete e 2) accedere al software Office Professional Plus 2013 da qualsiasi dispositivo.</w:t>
      </w:r>
      <w:r w:rsidR="00E34ED3" w:rsidRPr="003F471F">
        <w:rPr>
          <w:rFonts w:cs="Tahoma"/>
          <w:szCs w:val="18"/>
          <w:lang w:val="it-IT"/>
        </w:rPr>
        <w:t xml:space="preserve"> </w:t>
      </w:r>
      <w:r w:rsidRPr="003F471F">
        <w:rPr>
          <w:rFonts w:cs="Tahoma"/>
          <w:szCs w:val="18"/>
          <w:lang w:val="it-IT"/>
        </w:rPr>
        <w:t xml:space="preserve">Alla scadenza della sottoscrizione di Office 365 ProPlus la società dovrà disinstallare il software Office Professional Plus 2013 dal server di rete. </w:t>
      </w:r>
    </w:p>
    <w:p w14:paraId="6F4315FB" w14:textId="77777777" w:rsidR="00B2182D" w:rsidRPr="003F471F" w:rsidRDefault="00B2182D" w:rsidP="00810479">
      <w:pPr>
        <w:ind w:left="720"/>
        <w:rPr>
          <w:lang w:val="it-IT"/>
        </w:rPr>
      </w:pPr>
    </w:p>
    <w:p w14:paraId="7BAF41E7" w14:textId="77777777" w:rsidR="00ED6F81" w:rsidRPr="003F471F" w:rsidRDefault="00ED6F81" w:rsidP="00864B8A">
      <w:pPr>
        <w:spacing w:after="60"/>
        <w:ind w:left="720"/>
        <w:rPr>
          <w:lang w:val="it-IT"/>
        </w:rPr>
      </w:pPr>
      <w:r w:rsidRPr="003F471F">
        <w:rPr>
          <w:rFonts w:cs="Tahoma"/>
          <w:b/>
          <w:lang w:val="it-IT"/>
        </w:rPr>
        <w:t>Idoneità dei Supporti di Memorizzazione con Windows To Go Rights</w:t>
      </w:r>
    </w:p>
    <w:p w14:paraId="0D8047B6" w14:textId="77777777" w:rsidR="008368B4" w:rsidRPr="003F471F" w:rsidRDefault="008368B4" w:rsidP="008368B4">
      <w:pPr>
        <w:ind w:left="720"/>
        <w:rPr>
          <w:lang w:val="it-IT"/>
        </w:rPr>
      </w:pPr>
      <w:r w:rsidRPr="003F471F">
        <w:rPr>
          <w:rFonts w:cs="Tahoma"/>
          <w:szCs w:val="18"/>
          <w:lang w:val="it-IT"/>
        </w:rPr>
        <w:t>Nell</w:t>
      </w:r>
      <w:r w:rsidR="001C4212" w:rsidRPr="003F471F">
        <w:rPr>
          <w:rFonts w:cs="Tahoma"/>
          <w:szCs w:val="18"/>
          <w:lang w:val="it-IT"/>
        </w:rPr>
        <w:t>’</w:t>
      </w:r>
      <w:r w:rsidRPr="003F471F">
        <w:rPr>
          <w:rFonts w:cs="Tahoma"/>
          <w:szCs w:val="18"/>
          <w:lang w:val="it-IT"/>
        </w:rPr>
        <w:t>ambito della presentazione di Windows To Go Rights, qualora l</w:t>
      </w:r>
      <w:r w:rsidR="001C4212" w:rsidRPr="003F471F">
        <w:rPr>
          <w:rFonts w:cs="Tahoma"/>
          <w:szCs w:val="18"/>
          <w:lang w:val="it-IT"/>
        </w:rPr>
        <w:t>’</w:t>
      </w:r>
      <w:r w:rsidRPr="003F471F">
        <w:rPr>
          <w:rFonts w:cs="Tahoma"/>
          <w:szCs w:val="18"/>
          <w:lang w:val="it-IT"/>
        </w:rPr>
        <w:t xml:space="preserve">utente al quale è stata ceduta una licenza per Office 365 ProPlus richieda il diritto di utilizzare il software ai sensi di Windows to Go Rights, anziché installare una copia del software fornito con una licenza per Office 365 ProPlus su uno dei cinque dispositivi autorizzati in conformità ai Diritti di Utilizzo del Prodotto per la licenza per Office 365 ProPlus, tale utente potrà 1) installare una copia del software Office Professional </w:t>
      </w:r>
      <w:r w:rsidRPr="003F471F">
        <w:rPr>
          <w:rFonts w:cs="Tahoma"/>
          <w:color w:val="000000" w:themeColor="text1"/>
          <w:szCs w:val="18"/>
          <w:lang w:val="it-IT"/>
        </w:rPr>
        <w:t>Plus 2013 sull</w:t>
      </w:r>
      <w:r w:rsidR="001C4212" w:rsidRPr="003F471F">
        <w:rPr>
          <w:rFonts w:cs="Tahoma"/>
          <w:color w:val="000000" w:themeColor="text1"/>
          <w:szCs w:val="18"/>
          <w:lang w:val="it-IT"/>
        </w:rPr>
        <w:t>’</w:t>
      </w:r>
      <w:r w:rsidRPr="003F471F">
        <w:rPr>
          <w:rFonts w:cs="Tahoma"/>
          <w:color w:val="000000" w:themeColor="text1"/>
          <w:szCs w:val="18"/>
          <w:lang w:val="it-IT"/>
        </w:rPr>
        <w:t xml:space="preserve">unità USB utilizzata per Windows to Go Rights e 2) usare il software Office Professional Plus 2013 </w:t>
      </w:r>
      <w:r w:rsidRPr="003F471F">
        <w:rPr>
          <w:rFonts w:cs="Tahoma"/>
          <w:szCs w:val="18"/>
          <w:lang w:val="it-IT"/>
        </w:rPr>
        <w:t>su tale unità USB su qualsiasi dispositivo con licenza. Alla scadenza della sottoscrizione di Office 365 ProPlus la società dovrà disinstallare il software Office Professional Plus 2013 dall</w:t>
      </w:r>
      <w:r w:rsidR="001C4212" w:rsidRPr="003F471F">
        <w:rPr>
          <w:rFonts w:cs="Tahoma"/>
          <w:szCs w:val="18"/>
          <w:lang w:val="it-IT"/>
        </w:rPr>
        <w:t>’</w:t>
      </w:r>
      <w:r w:rsidRPr="003F471F">
        <w:rPr>
          <w:rFonts w:cs="Tahoma"/>
          <w:szCs w:val="18"/>
          <w:lang w:val="it-IT"/>
        </w:rPr>
        <w:t xml:space="preserve">unità USB. </w:t>
      </w:r>
    </w:p>
    <w:p w14:paraId="0D4BD049" w14:textId="77777777" w:rsidR="00ED6F81" w:rsidRPr="003F471F" w:rsidRDefault="00ED6F81" w:rsidP="00810479">
      <w:pPr>
        <w:ind w:left="720"/>
        <w:rPr>
          <w:lang w:val="it-IT"/>
        </w:rPr>
      </w:pPr>
    </w:p>
    <w:p w14:paraId="308238B8" w14:textId="77777777" w:rsidR="00B2182D" w:rsidRPr="003F471F" w:rsidRDefault="00B2182D" w:rsidP="00864B8A">
      <w:pPr>
        <w:spacing w:after="60"/>
        <w:ind w:left="720"/>
        <w:rPr>
          <w:lang w:val="it-IT"/>
        </w:rPr>
      </w:pPr>
      <w:r w:rsidRPr="003F471F">
        <w:rPr>
          <w:rFonts w:cs="Tahoma"/>
          <w:b/>
          <w:lang w:val="it-IT"/>
        </w:rPr>
        <w:t>Diritti di Downgrade</w:t>
      </w:r>
    </w:p>
    <w:p w14:paraId="0EC6A72A" w14:textId="77777777" w:rsidR="008368B4" w:rsidRPr="003F471F" w:rsidRDefault="008368B4" w:rsidP="008368B4">
      <w:pPr>
        <w:ind w:left="720"/>
        <w:rPr>
          <w:lang w:val="it-IT"/>
        </w:rPr>
      </w:pPr>
      <w:r w:rsidRPr="003F471F">
        <w:rPr>
          <w:rFonts w:cs="Tahoma"/>
          <w:bCs/>
          <w:szCs w:val="18"/>
          <w:lang w:val="it-IT"/>
        </w:rPr>
        <w:t>Per il servizio Office 365 ProPlus non sono previsti diritti di downgrade. Per ulteriori informazioni in merito ai requisiti per l</w:t>
      </w:r>
      <w:r w:rsidR="001C4212" w:rsidRPr="003F471F">
        <w:rPr>
          <w:rFonts w:cs="Tahoma"/>
          <w:bCs/>
          <w:szCs w:val="18"/>
          <w:lang w:val="it-IT"/>
        </w:rPr>
        <w:t>’</w:t>
      </w:r>
      <w:r w:rsidRPr="003F471F">
        <w:rPr>
          <w:rFonts w:cs="Tahoma"/>
          <w:bCs/>
          <w:szCs w:val="18"/>
          <w:lang w:val="it-IT"/>
        </w:rPr>
        <w:t xml:space="preserve">aggiornamento dei Servizi Online, consultare il documento Diritti di Utilizzo del Prodotto (Product Use Rights o PUR) alla pagina </w:t>
      </w:r>
      <w:hyperlink r:id="rId38" w:history="1">
        <w:r w:rsidRPr="003F471F">
          <w:rPr>
            <w:rStyle w:val="Hyperlink"/>
            <w:rFonts w:cs="Tahoma"/>
            <w:bCs/>
            <w:szCs w:val="18"/>
            <w:lang w:val="it-IT"/>
          </w:rPr>
          <w:t>www.microsoftvolumelicensing.com/userights/PUR.aspx</w:t>
        </w:r>
      </w:hyperlink>
    </w:p>
    <w:p w14:paraId="7607B233" w14:textId="77777777" w:rsidR="00AE5A9F" w:rsidRPr="003F471F" w:rsidRDefault="00AE5A9F" w:rsidP="00AE5A9F">
      <w:pPr>
        <w:rPr>
          <w:lang w:val="it-IT"/>
        </w:rPr>
      </w:pPr>
      <w:bookmarkStart w:id="1014" w:name="Srv_9OutlookMac2011"/>
    </w:p>
    <w:p w14:paraId="204C345B" w14:textId="77777777" w:rsidR="00AE5A9F" w:rsidRPr="003F471F" w:rsidRDefault="00AE5A9F" w:rsidP="00AE5A9F">
      <w:pPr>
        <w:rPr>
          <w:lang w:val="it-IT"/>
        </w:rPr>
      </w:pPr>
    </w:p>
    <w:p w14:paraId="26815B34" w14:textId="77777777" w:rsidR="00704723" w:rsidRPr="003F471F" w:rsidRDefault="00A560B6" w:rsidP="00704723">
      <w:pPr>
        <w:pStyle w:val="Heading3"/>
        <w:rPr>
          <w:lang w:val="it-IT"/>
        </w:rPr>
      </w:pPr>
      <w:bookmarkStart w:id="1015" w:name="_121_Outlook_for"/>
      <w:bookmarkStart w:id="1016" w:name="_13_Outlook_for"/>
      <w:bookmarkStart w:id="1017" w:name="_14_Outlook_per"/>
      <w:bookmarkStart w:id="1018" w:name="_Toc336338270"/>
      <w:bookmarkStart w:id="1019" w:name="_Toc371663665"/>
      <w:bookmarkEnd w:id="1015"/>
      <w:bookmarkEnd w:id="1016"/>
      <w:bookmarkEnd w:id="1017"/>
      <w:r w:rsidRPr="003F471F">
        <w:rPr>
          <w:rFonts w:ascii="Tahoma" w:hAnsi="Tahoma"/>
          <w:caps/>
          <w:color w:val="F66400"/>
          <w:sz w:val="22"/>
          <w:vertAlign w:val="superscript"/>
          <w:lang w:val="it-IT"/>
        </w:rPr>
        <w:t>14</w:t>
      </w:r>
      <w:r w:rsidRPr="003F471F">
        <w:rPr>
          <w:rFonts w:ascii="Tahoma" w:hAnsi="Tahoma"/>
          <w:color w:val="F66400"/>
          <w:sz w:val="22"/>
          <w:lang w:val="it-IT"/>
        </w:rPr>
        <w:t xml:space="preserve"> Outlook per Mac 2011</w:t>
      </w:r>
      <w:bookmarkEnd w:id="1018"/>
      <w:bookmarkEnd w:id="1019"/>
      <w:r w:rsidRPr="003F471F">
        <w:rPr>
          <w:rFonts w:ascii="Tahoma" w:hAnsi="Tahoma"/>
          <w:color w:val="F66400"/>
          <w:sz w:val="22"/>
          <w:lang w:val="it-IT"/>
        </w:rPr>
        <w:t xml:space="preserve"> </w:t>
      </w:r>
    </w:p>
    <w:bookmarkEnd w:id="1014"/>
    <w:p w14:paraId="4B94B30E" w14:textId="77777777" w:rsidR="00704723" w:rsidRPr="003F471F" w:rsidRDefault="00704723" w:rsidP="00AE5A9F">
      <w:pPr>
        <w:rPr>
          <w:lang w:val="it-IT"/>
        </w:rPr>
      </w:pPr>
    </w:p>
    <w:p w14:paraId="22A5FFC5" w14:textId="77777777" w:rsidR="00704723" w:rsidRPr="003F471F" w:rsidRDefault="00704723" w:rsidP="00864B8A">
      <w:pPr>
        <w:spacing w:after="60"/>
        <w:ind w:left="720"/>
        <w:rPr>
          <w:lang w:val="it-IT"/>
        </w:rPr>
      </w:pPr>
      <w:r w:rsidRPr="003F471F">
        <w:rPr>
          <w:rFonts w:cs="Tahoma"/>
          <w:b/>
          <w:lang w:val="it-IT"/>
        </w:rPr>
        <w:t>Percorso di Migrazione a Software Assurance per Entourage per Mac 2008</w:t>
      </w:r>
    </w:p>
    <w:p w14:paraId="555200AE" w14:textId="77777777" w:rsidR="00223A77" w:rsidRPr="003F471F" w:rsidRDefault="00704723" w:rsidP="00AE5A9F">
      <w:pPr>
        <w:adjustRightInd w:val="0"/>
        <w:ind w:left="720"/>
        <w:textAlignment w:val="baseline"/>
        <w:rPr>
          <w:lang w:val="it-IT"/>
        </w:rPr>
      </w:pPr>
      <w:r w:rsidRPr="003F471F">
        <w:rPr>
          <w:rFonts w:cs="Tahoma"/>
          <w:szCs w:val="20"/>
          <w:lang w:val="it-IT"/>
        </w:rPr>
        <w:t>La versione sostitutiva di Entourage per Mac</w:t>
      </w:r>
      <w:bookmarkStart w:id="1020" w:name="Srv_8Project2010Pro"/>
      <w:r w:rsidRPr="003F471F">
        <w:rPr>
          <w:rFonts w:cs="Tahoma"/>
          <w:szCs w:val="20"/>
          <w:lang w:val="it-IT"/>
        </w:rPr>
        <w:t xml:space="preserve"> 2008 è Outlook per Mac 2011.</w:t>
      </w:r>
    </w:p>
    <w:p w14:paraId="45F1046D" w14:textId="77777777" w:rsidR="00AE5A9F" w:rsidRPr="003F471F" w:rsidRDefault="00AE5A9F" w:rsidP="00AE5A9F">
      <w:pPr>
        <w:adjustRightInd w:val="0"/>
        <w:textAlignment w:val="baseline"/>
        <w:rPr>
          <w:lang w:val="it-IT"/>
        </w:rPr>
      </w:pPr>
    </w:p>
    <w:p w14:paraId="4A43B50B" w14:textId="77777777" w:rsidR="00AE5A9F" w:rsidRPr="003F471F" w:rsidRDefault="00AE5A9F" w:rsidP="00AE5A9F">
      <w:pPr>
        <w:adjustRightInd w:val="0"/>
        <w:textAlignment w:val="baseline"/>
        <w:rPr>
          <w:lang w:val="it-IT"/>
        </w:rPr>
      </w:pPr>
    </w:p>
    <w:p w14:paraId="228552F8" w14:textId="77777777" w:rsidR="00EB5FFE" w:rsidRPr="003F471F" w:rsidRDefault="00EB5FFE" w:rsidP="00AE5A9F">
      <w:pPr>
        <w:adjustRightInd w:val="0"/>
        <w:textAlignment w:val="baseline"/>
        <w:rPr>
          <w:lang w:val="it-IT"/>
        </w:rPr>
      </w:pPr>
    </w:p>
    <w:p w14:paraId="6FCCC41D" w14:textId="77777777" w:rsidR="00EB5FFE" w:rsidRPr="003F471F" w:rsidRDefault="00EB5FFE" w:rsidP="00AE5A9F">
      <w:pPr>
        <w:adjustRightInd w:val="0"/>
        <w:textAlignment w:val="baseline"/>
        <w:rPr>
          <w:lang w:val="it-IT"/>
        </w:rPr>
      </w:pPr>
    </w:p>
    <w:p w14:paraId="1D8C8C71" w14:textId="77777777" w:rsidR="00EB5FFE" w:rsidRPr="003F471F" w:rsidRDefault="00EB5FFE" w:rsidP="00AE5A9F">
      <w:pPr>
        <w:adjustRightInd w:val="0"/>
        <w:textAlignment w:val="baseline"/>
        <w:rPr>
          <w:lang w:val="it-IT"/>
        </w:rPr>
      </w:pPr>
    </w:p>
    <w:p w14:paraId="33F480ED" w14:textId="77777777" w:rsidR="00EB5FFE" w:rsidRPr="003F471F" w:rsidRDefault="00EB5FFE" w:rsidP="00AE5A9F">
      <w:pPr>
        <w:adjustRightInd w:val="0"/>
        <w:textAlignment w:val="baseline"/>
        <w:rPr>
          <w:lang w:val="it-IT"/>
        </w:rPr>
      </w:pPr>
    </w:p>
    <w:p w14:paraId="4602CE94" w14:textId="77777777" w:rsidR="00EB5FFE" w:rsidRPr="003F471F" w:rsidRDefault="00EB5FFE" w:rsidP="00AE5A9F">
      <w:pPr>
        <w:adjustRightInd w:val="0"/>
        <w:textAlignment w:val="baseline"/>
        <w:rPr>
          <w:lang w:val="it-IT"/>
        </w:rPr>
      </w:pPr>
    </w:p>
    <w:p w14:paraId="74BBCC5E" w14:textId="77777777" w:rsidR="00223A77" w:rsidRPr="003F471F" w:rsidRDefault="00A560B6" w:rsidP="00223A77">
      <w:pPr>
        <w:pStyle w:val="Heading3"/>
        <w:rPr>
          <w:lang w:val="it-IT"/>
        </w:rPr>
      </w:pPr>
      <w:bookmarkStart w:id="1021" w:name="_132_Project_2013"/>
      <w:bookmarkStart w:id="1022" w:name="_14_Project_Professional"/>
      <w:bookmarkStart w:id="1023" w:name="_Toc336338271"/>
      <w:bookmarkStart w:id="1024" w:name="_Toc371663666"/>
      <w:bookmarkStart w:id="1025" w:name="_Toc254806116"/>
      <w:bookmarkStart w:id="1026" w:name="Srv_Project2010Pro"/>
      <w:bookmarkStart w:id="1027" w:name="Aps_8Project2010Pro"/>
      <w:bookmarkEnd w:id="1021"/>
      <w:bookmarkEnd w:id="1022"/>
      <w:r w:rsidRPr="003F471F">
        <w:rPr>
          <w:rFonts w:ascii="Tahoma" w:hAnsi="Tahoma"/>
          <w:caps/>
          <w:color w:val="F66400"/>
          <w:sz w:val="22"/>
          <w:vertAlign w:val="superscript"/>
          <w:lang w:val="it-IT"/>
        </w:rPr>
        <w:t>15</w:t>
      </w:r>
      <w:r w:rsidRPr="003F471F">
        <w:rPr>
          <w:rFonts w:ascii="Tahoma" w:hAnsi="Tahoma"/>
          <w:color w:val="F66400"/>
          <w:sz w:val="22"/>
          <w:lang w:val="it-IT"/>
        </w:rPr>
        <w:t xml:space="preserve"> Project Professional 2013</w:t>
      </w:r>
      <w:bookmarkEnd w:id="1023"/>
      <w:bookmarkEnd w:id="1024"/>
      <w:r w:rsidRPr="003F471F">
        <w:rPr>
          <w:rFonts w:ascii="Tahoma" w:hAnsi="Tahoma"/>
          <w:color w:val="F66400"/>
          <w:sz w:val="22"/>
          <w:lang w:val="it-IT"/>
        </w:rPr>
        <w:t xml:space="preserve"> </w:t>
      </w:r>
      <w:bookmarkEnd w:id="1025"/>
    </w:p>
    <w:bookmarkEnd w:id="1020"/>
    <w:bookmarkEnd w:id="1026"/>
    <w:bookmarkEnd w:id="1027"/>
    <w:p w14:paraId="639C32B9" w14:textId="77777777" w:rsidR="00223A77" w:rsidRPr="003F471F" w:rsidRDefault="00223A77" w:rsidP="00AE5A9F">
      <w:pPr>
        <w:ind w:left="720"/>
        <w:rPr>
          <w:lang w:val="it-IT"/>
        </w:rPr>
      </w:pPr>
    </w:p>
    <w:p w14:paraId="7A52D7B8" w14:textId="77777777" w:rsidR="00223A77" w:rsidRPr="003F471F" w:rsidRDefault="00223A77" w:rsidP="00864B8A">
      <w:pPr>
        <w:spacing w:after="60"/>
        <w:ind w:left="720"/>
        <w:rPr>
          <w:lang w:val="it-IT"/>
        </w:rPr>
      </w:pPr>
      <w:r w:rsidRPr="003F471F">
        <w:rPr>
          <w:rFonts w:cs="Tahoma"/>
          <w:b/>
          <w:lang w:val="it-IT"/>
        </w:rPr>
        <w:t>CAL gratuita per Project Server</w:t>
      </w:r>
    </w:p>
    <w:p w14:paraId="572A98FD" w14:textId="77777777" w:rsidR="00223A77" w:rsidRPr="003F471F" w:rsidRDefault="00223A77" w:rsidP="00AE5A9F">
      <w:pPr>
        <w:pStyle w:val="EndnoteText"/>
        <w:ind w:left="720"/>
        <w:rPr>
          <w:lang w:val="it-IT"/>
        </w:rPr>
      </w:pPr>
      <w:r w:rsidRPr="003F471F">
        <w:rPr>
          <w:rStyle w:val="EndnoteTextChar"/>
          <w:rFonts w:ascii="Tahoma" w:hAnsi="Tahoma" w:cs="Tahoma"/>
          <w:sz w:val="18"/>
          <w:lang w:val="it-IT"/>
        </w:rPr>
        <w:t>Le società che acquistano una licenza per Project Professional 2013 saranno considerate titolari di una CAL per Dispositivo per Project Server 2013. Il diritto di accedere a Project Server 2013 in virtù della CAL cesserà alla scadenza della corrispondente Licenza per Project Professional.</w:t>
      </w:r>
    </w:p>
    <w:p w14:paraId="183C1886" w14:textId="77777777" w:rsidR="00223A77" w:rsidRPr="003F471F" w:rsidRDefault="00223A77" w:rsidP="00AE5A9F">
      <w:pPr>
        <w:pStyle w:val="EndnoteText"/>
        <w:ind w:left="720"/>
        <w:rPr>
          <w:lang w:val="it-IT"/>
        </w:rPr>
      </w:pPr>
    </w:p>
    <w:p w14:paraId="548594C3" w14:textId="77777777" w:rsidR="00223A77" w:rsidRPr="003F471F" w:rsidRDefault="00223A77" w:rsidP="00AE5A9F">
      <w:pPr>
        <w:pStyle w:val="EndnoteText"/>
        <w:ind w:left="720"/>
        <w:rPr>
          <w:lang w:val="it-IT"/>
        </w:rPr>
      </w:pPr>
      <w:r w:rsidRPr="003F471F">
        <w:rPr>
          <w:rStyle w:val="EndnoteTextChar"/>
          <w:rFonts w:ascii="Tahoma" w:hAnsi="Tahoma" w:cs="Tahoma"/>
          <w:sz w:val="18"/>
          <w:lang w:val="it-IT"/>
        </w:rPr>
        <w:t>Le società con copertura Software Assurance attiva sulla rispettiva licenza per Project Professional saranno considerate titolari di una copertura Software Assurance relativa alle Licenze CAL gratuite per Project Server. Tale copertura cesserà alla scadenza della copertura Project Professional corrispondente.</w:t>
      </w:r>
    </w:p>
    <w:p w14:paraId="23A8CCA4" w14:textId="77777777" w:rsidR="00223A77" w:rsidRPr="003F471F" w:rsidRDefault="00223A77" w:rsidP="00AE5A9F">
      <w:pPr>
        <w:pStyle w:val="EndnoteText"/>
        <w:ind w:left="720"/>
        <w:rPr>
          <w:lang w:val="it-IT"/>
        </w:rPr>
      </w:pPr>
    </w:p>
    <w:p w14:paraId="1DBF7437" w14:textId="77777777" w:rsidR="00223A77" w:rsidRPr="003F471F" w:rsidRDefault="00223A77" w:rsidP="00AE5A9F">
      <w:pPr>
        <w:pStyle w:val="EndnoteText"/>
        <w:ind w:left="720"/>
        <w:rPr>
          <w:lang w:val="it-IT"/>
        </w:rPr>
      </w:pPr>
      <w:r w:rsidRPr="003F471F">
        <w:rPr>
          <w:rStyle w:val="EndnoteTextChar"/>
          <w:rFonts w:ascii="Tahoma" w:hAnsi="Tahoma" w:cs="Tahoma"/>
          <w:sz w:val="18"/>
          <w:lang w:val="it-IT"/>
        </w:rPr>
        <w:t>Per ulteriori dettagli sui diritti aggiuntivi che si applicano a tali CAL, fare riferimento alle note relative alle condizioni del prodotto Project Server.</w:t>
      </w:r>
    </w:p>
    <w:p w14:paraId="54DA2424" w14:textId="77777777" w:rsidR="00AE5A9F" w:rsidRPr="003F471F" w:rsidRDefault="00AE5A9F" w:rsidP="00AE5A9F">
      <w:pPr>
        <w:rPr>
          <w:lang w:val="it-IT"/>
        </w:rPr>
      </w:pPr>
    </w:p>
    <w:p w14:paraId="4FA961D4" w14:textId="77777777" w:rsidR="00AE5A9F" w:rsidRPr="003F471F" w:rsidRDefault="00AE5A9F" w:rsidP="00AE5A9F">
      <w:pPr>
        <w:rPr>
          <w:lang w:val="it-IT"/>
        </w:rPr>
      </w:pPr>
    </w:p>
    <w:p w14:paraId="301AD94F" w14:textId="77777777" w:rsidR="002202DB" w:rsidRPr="003F471F" w:rsidRDefault="00A560B6" w:rsidP="00D824E9">
      <w:pPr>
        <w:pStyle w:val="Heading3"/>
        <w:keepNext/>
        <w:rPr>
          <w:lang w:val="it-IT"/>
        </w:rPr>
      </w:pPr>
      <w:bookmarkStart w:id="1028" w:name="_143_Project_Pro"/>
      <w:bookmarkStart w:id="1029" w:name="_15_Project_Pro"/>
      <w:bookmarkStart w:id="1030" w:name="_Toc371663667"/>
      <w:bookmarkEnd w:id="1028"/>
      <w:bookmarkEnd w:id="1029"/>
      <w:r w:rsidRPr="003F471F">
        <w:rPr>
          <w:rFonts w:ascii="Tahoma" w:hAnsi="Tahoma"/>
          <w:caps/>
          <w:color w:val="F66400"/>
          <w:sz w:val="22"/>
          <w:vertAlign w:val="superscript"/>
          <w:lang w:val="it-IT"/>
        </w:rPr>
        <w:t xml:space="preserve">16 </w:t>
      </w:r>
      <w:r w:rsidRPr="003F471F">
        <w:rPr>
          <w:rFonts w:ascii="Tahoma" w:hAnsi="Tahoma"/>
          <w:color w:val="F66400"/>
          <w:sz w:val="22"/>
          <w:lang w:val="it-IT"/>
        </w:rPr>
        <w:t>Project Pro per Office 365</w:t>
      </w:r>
      <w:bookmarkEnd w:id="1030"/>
      <w:r w:rsidRPr="003F471F">
        <w:rPr>
          <w:rFonts w:ascii="Tahoma" w:hAnsi="Tahoma"/>
          <w:color w:val="F66400"/>
          <w:sz w:val="22"/>
          <w:lang w:val="it-IT"/>
        </w:rPr>
        <w:t xml:space="preserve"> </w:t>
      </w:r>
    </w:p>
    <w:p w14:paraId="110F76A1" w14:textId="77777777" w:rsidR="00A32FE7" w:rsidRPr="003F471F" w:rsidRDefault="00A32FE7" w:rsidP="00D824E9">
      <w:pPr>
        <w:keepNext/>
        <w:rPr>
          <w:lang w:val="it-IT"/>
        </w:rPr>
      </w:pPr>
    </w:p>
    <w:p w14:paraId="1946CA8B" w14:textId="77777777" w:rsidR="002202DB" w:rsidRPr="003F471F" w:rsidRDefault="002202DB" w:rsidP="002202DB">
      <w:pPr>
        <w:spacing w:after="60"/>
        <w:ind w:left="720"/>
        <w:rPr>
          <w:lang w:val="it-IT"/>
        </w:rPr>
      </w:pPr>
      <w:r w:rsidRPr="003F471F">
        <w:rPr>
          <w:rFonts w:cs="Tahoma"/>
          <w:b/>
          <w:lang w:val="it-IT"/>
        </w:rPr>
        <w:t>Idoneità dei Supporti di Memorizzazione con i Servizi Desktop Remoto (RDS)</w:t>
      </w:r>
    </w:p>
    <w:p w14:paraId="4BD4F7FC" w14:textId="77777777" w:rsidR="002202DB" w:rsidRPr="003F471F" w:rsidRDefault="002202DB" w:rsidP="002202DB">
      <w:pPr>
        <w:ind w:left="720"/>
        <w:rPr>
          <w:lang w:val="it-IT"/>
        </w:rPr>
      </w:pPr>
      <w:r w:rsidRPr="003F471F">
        <w:rPr>
          <w:rFonts w:cs="Tahoma"/>
          <w:szCs w:val="18"/>
          <w:lang w:val="it-IT"/>
        </w:rPr>
        <w:t>Qualora l</w:t>
      </w:r>
      <w:r w:rsidR="001C4212" w:rsidRPr="003F471F">
        <w:rPr>
          <w:rFonts w:cs="Tahoma"/>
          <w:szCs w:val="18"/>
          <w:lang w:val="it-IT"/>
        </w:rPr>
        <w:t>’</w:t>
      </w:r>
      <w:r w:rsidRPr="003F471F">
        <w:rPr>
          <w:rFonts w:cs="Tahoma"/>
          <w:szCs w:val="18"/>
          <w:lang w:val="it-IT"/>
        </w:rPr>
        <w:t>utente al quale è stata ceduta una licenza per Project Pro per Office 365 utilizzi il software su un server di rete con il ruolo RDS attivato anziché installare una copia del software fornito con Project Pro per Office 365 su uno dei cinque dispositivi autorizzati in conformità ai Diritti di Utilizzo del Prodotto per Project Pro per Office 365, tale utente potrà 1) installare una copia del software Project Professional 2013 su un server di rete e 2) accedere al software Project Professional 2013 da qualsiasi dispositivo.</w:t>
      </w:r>
      <w:r w:rsidR="00E34ED3" w:rsidRPr="003F471F">
        <w:rPr>
          <w:rFonts w:cs="Tahoma"/>
          <w:szCs w:val="18"/>
          <w:lang w:val="it-IT"/>
        </w:rPr>
        <w:t xml:space="preserve"> </w:t>
      </w:r>
      <w:r w:rsidRPr="003F471F">
        <w:rPr>
          <w:rFonts w:cs="Tahoma"/>
          <w:szCs w:val="18"/>
          <w:lang w:val="it-IT"/>
        </w:rPr>
        <w:t xml:space="preserve">Alla scadenza della sottoscrizione di Project Pro per Office 365 la società dovrà disinstallare il software Project Professional 2013 dal server di rete. </w:t>
      </w:r>
    </w:p>
    <w:p w14:paraId="443A4EF2" w14:textId="77777777" w:rsidR="002202DB" w:rsidRPr="003F471F" w:rsidRDefault="002202DB" w:rsidP="002202DB">
      <w:pPr>
        <w:ind w:left="720"/>
        <w:rPr>
          <w:lang w:val="it-IT"/>
        </w:rPr>
      </w:pPr>
    </w:p>
    <w:p w14:paraId="0BF36FEF" w14:textId="77777777" w:rsidR="002202DB" w:rsidRPr="003F471F" w:rsidRDefault="002202DB" w:rsidP="002202DB">
      <w:pPr>
        <w:spacing w:after="60"/>
        <w:ind w:left="720"/>
        <w:rPr>
          <w:lang w:val="it-IT"/>
        </w:rPr>
      </w:pPr>
      <w:r w:rsidRPr="003F471F">
        <w:rPr>
          <w:rFonts w:cs="Tahoma"/>
          <w:b/>
          <w:lang w:val="it-IT"/>
        </w:rPr>
        <w:t>Diritti di Downgrade</w:t>
      </w:r>
    </w:p>
    <w:p w14:paraId="1519EB62" w14:textId="77777777" w:rsidR="002202DB" w:rsidRPr="003F471F" w:rsidRDefault="002202DB" w:rsidP="002202DB">
      <w:pPr>
        <w:ind w:left="720"/>
        <w:rPr>
          <w:lang w:val="it-IT"/>
        </w:rPr>
      </w:pPr>
      <w:r w:rsidRPr="003F471F">
        <w:rPr>
          <w:rFonts w:cs="Tahoma"/>
          <w:bCs/>
          <w:szCs w:val="18"/>
          <w:lang w:val="it-IT"/>
        </w:rPr>
        <w:t>Per il servizio Project Pro per Office 365 non sono previsti diritti di downgrade. Per ulteriori informazioni in</w:t>
      </w:r>
      <w:r w:rsidR="00EB5FFE" w:rsidRPr="003F471F">
        <w:rPr>
          <w:rFonts w:cs="Tahoma"/>
          <w:bCs/>
          <w:szCs w:val="18"/>
          <w:lang w:val="it-IT"/>
        </w:rPr>
        <w:t> </w:t>
      </w:r>
      <w:r w:rsidRPr="003F471F">
        <w:rPr>
          <w:rFonts w:cs="Tahoma"/>
          <w:bCs/>
          <w:szCs w:val="18"/>
          <w:lang w:val="it-IT"/>
        </w:rPr>
        <w:t>merito ai requisiti per l</w:t>
      </w:r>
      <w:r w:rsidR="001C4212" w:rsidRPr="003F471F">
        <w:rPr>
          <w:rFonts w:cs="Tahoma"/>
          <w:bCs/>
          <w:szCs w:val="18"/>
          <w:lang w:val="it-IT"/>
        </w:rPr>
        <w:t>’</w:t>
      </w:r>
      <w:r w:rsidRPr="003F471F">
        <w:rPr>
          <w:rFonts w:cs="Tahoma"/>
          <w:bCs/>
          <w:szCs w:val="18"/>
          <w:lang w:val="it-IT"/>
        </w:rPr>
        <w:t xml:space="preserve">aggiornamento dei Servizi Online, consultare il documento Diritti di Utilizzo del Prodotto (Product Use Rights o PUR) alla pagina </w:t>
      </w:r>
      <w:hyperlink r:id="rId39" w:history="1">
        <w:r w:rsidR="00EB5FFE" w:rsidRPr="003F471F">
          <w:rPr>
            <w:rStyle w:val="Hyperlink"/>
            <w:rFonts w:cs="Tahoma"/>
            <w:bCs/>
            <w:szCs w:val="18"/>
            <w:lang w:val="it-IT"/>
          </w:rPr>
          <w:t>http://www.microsoftvolumelicensing.com/userights/PUR.aspx</w:t>
        </w:r>
      </w:hyperlink>
    </w:p>
    <w:p w14:paraId="1E67D3FD" w14:textId="77777777" w:rsidR="002202DB" w:rsidRPr="003F471F" w:rsidRDefault="002202DB" w:rsidP="00AE5A9F">
      <w:pPr>
        <w:rPr>
          <w:lang w:val="it-IT"/>
        </w:rPr>
      </w:pPr>
    </w:p>
    <w:p w14:paraId="103C4C08" w14:textId="77777777" w:rsidR="002202DB" w:rsidRPr="003F471F" w:rsidRDefault="002202DB" w:rsidP="00AE5A9F">
      <w:pPr>
        <w:rPr>
          <w:lang w:val="it-IT"/>
        </w:rPr>
      </w:pPr>
    </w:p>
    <w:p w14:paraId="743D8E71" w14:textId="77777777" w:rsidR="00223A77" w:rsidRPr="003F471F" w:rsidRDefault="00A560B6" w:rsidP="002541AE">
      <w:pPr>
        <w:pStyle w:val="Heading3"/>
        <w:rPr>
          <w:lang w:val="it-IT"/>
        </w:rPr>
      </w:pPr>
      <w:bookmarkStart w:id="1031" w:name="_145_Rental_Rights"/>
      <w:bookmarkStart w:id="1032" w:name="_16_Rental_Rights"/>
      <w:bookmarkStart w:id="1033" w:name="_Toc336338272"/>
      <w:bookmarkStart w:id="1034" w:name="_Toc371663668"/>
      <w:bookmarkStart w:id="1035" w:name="Aps_9RentalRightsOffice"/>
      <w:bookmarkStart w:id="1036" w:name="Srv_RentalRightsOffice"/>
      <w:bookmarkStart w:id="1037" w:name="Srv_9RentalRightsOffice"/>
      <w:bookmarkEnd w:id="1031"/>
      <w:bookmarkEnd w:id="1032"/>
      <w:r w:rsidRPr="003F471F">
        <w:rPr>
          <w:rFonts w:ascii="Tahoma" w:hAnsi="Tahoma" w:cs="Tahoma"/>
          <w:caps/>
          <w:color w:val="E65D08"/>
          <w:sz w:val="22"/>
          <w:szCs w:val="22"/>
          <w:vertAlign w:val="superscript"/>
          <w:lang w:val="it-IT"/>
        </w:rPr>
        <w:t>17</w:t>
      </w:r>
      <w:r w:rsidRPr="003F471F">
        <w:rPr>
          <w:rFonts w:ascii="Tahoma" w:hAnsi="Tahoma" w:cs="Tahoma"/>
          <w:color w:val="E65D08"/>
          <w:sz w:val="22"/>
          <w:szCs w:val="22"/>
          <w:lang w:val="it-IT"/>
        </w:rPr>
        <w:t xml:space="preserve"> Diritti di Noleggio per Office</w:t>
      </w:r>
      <w:bookmarkEnd w:id="1033"/>
      <w:bookmarkEnd w:id="1034"/>
    </w:p>
    <w:bookmarkEnd w:id="1035"/>
    <w:p w14:paraId="788E8673" w14:textId="77777777" w:rsidR="002541AE" w:rsidRPr="003F471F" w:rsidRDefault="002541AE" w:rsidP="002541AE">
      <w:pPr>
        <w:rPr>
          <w:lang w:val="it-IT"/>
        </w:rPr>
      </w:pPr>
    </w:p>
    <w:bookmarkEnd w:id="1036"/>
    <w:bookmarkEnd w:id="1037"/>
    <w:p w14:paraId="0EC8DE4B" w14:textId="77777777" w:rsidR="000B0A08" w:rsidRPr="003F471F" w:rsidRDefault="000B0A08" w:rsidP="005E3B5E">
      <w:pPr>
        <w:pStyle w:val="FootnoteBulletLevel1"/>
        <w:tabs>
          <w:tab w:val="clear" w:pos="900"/>
        </w:tabs>
        <w:spacing w:before="0" w:after="0"/>
        <w:ind w:left="720" w:firstLine="0"/>
        <w:rPr>
          <w:lang w:val="it-IT"/>
        </w:rPr>
      </w:pPr>
      <w:r w:rsidRPr="003F471F">
        <w:rPr>
          <w:rFonts w:ascii="Tahoma" w:hAnsi="Tahoma" w:cs="Tahoma"/>
          <w:color w:val="000000"/>
          <w:sz w:val="18"/>
          <w:szCs w:val="18"/>
          <w:lang w:val="it-IT"/>
        </w:rPr>
        <w:t>Le licenze per i diritti di noleggio fornite in base ai presenti programmi sono unicamente licenze aggiuntive. Tali licenze non sono licenze complete per i prodotti. Pertanto, ogni desktop a cui la società assegni una licenza per i diritti di noleggio dovrà avere la licenza per eseguire una delle applicazioni qualificanti indicate di seguito.</w:t>
      </w:r>
    </w:p>
    <w:p w14:paraId="4B04A81B" w14:textId="77777777" w:rsidR="00980240" w:rsidRPr="003F471F" w:rsidRDefault="00980240" w:rsidP="005E3B5E">
      <w:pPr>
        <w:ind w:left="720"/>
        <w:rPr>
          <w:lang w:val="it-IT"/>
        </w:rPr>
      </w:pPr>
    </w:p>
    <w:p w14:paraId="0CB1EAE1" w14:textId="77777777" w:rsidR="00980240" w:rsidRPr="003F471F" w:rsidRDefault="000B0A08" w:rsidP="00864B8A">
      <w:pPr>
        <w:spacing w:after="60"/>
        <w:ind w:left="720"/>
        <w:rPr>
          <w:lang w:val="it-IT"/>
        </w:rPr>
      </w:pPr>
      <w:r w:rsidRPr="003F471F">
        <w:rPr>
          <w:rFonts w:cs="Tahoma"/>
          <w:b/>
          <w:lang w:val="it-IT"/>
        </w:rPr>
        <w:t>Regole per le Applicazioni Qualificanti</w:t>
      </w:r>
    </w:p>
    <w:p w14:paraId="208C6FC4" w14:textId="77777777" w:rsidR="000B0A08" w:rsidRPr="003F471F" w:rsidRDefault="000B0A08" w:rsidP="005E3B5E">
      <w:pPr>
        <w:ind w:left="720"/>
        <w:rPr>
          <w:lang w:val="it-IT"/>
        </w:rPr>
      </w:pPr>
      <w:r w:rsidRPr="003F471F">
        <w:rPr>
          <w:rFonts w:cs="Tahoma"/>
          <w:color w:val="000000"/>
          <w:szCs w:val="18"/>
          <w:lang w:val="it-IT"/>
        </w:rPr>
        <w:t>(Ciascuna delle seguenti condizioni deve essere soddisfatta affinché la Licenza di base qualifichi la società per ottenere la licenza relativa ai Diritti di Noleggio):</w:t>
      </w:r>
    </w:p>
    <w:p w14:paraId="46A86441" w14:textId="77777777" w:rsidR="005E3B5E" w:rsidRPr="003F471F" w:rsidRDefault="005E3B5E" w:rsidP="005E3B5E">
      <w:pPr>
        <w:ind w:left="900"/>
        <w:rPr>
          <w:lang w:val="it-IT"/>
        </w:rPr>
      </w:pPr>
    </w:p>
    <w:p w14:paraId="451AF857" w14:textId="77777777" w:rsidR="000B0A08" w:rsidRPr="003F471F" w:rsidRDefault="000B0A08" w:rsidP="005E3B5E">
      <w:pPr>
        <w:numPr>
          <w:ilvl w:val="0"/>
          <w:numId w:val="20"/>
        </w:numPr>
        <w:spacing w:after="60"/>
        <w:ind w:left="1440"/>
        <w:rPr>
          <w:lang w:val="it-IT"/>
        </w:rPr>
      </w:pPr>
      <w:r w:rsidRPr="003F471F">
        <w:rPr>
          <w:rFonts w:cs="Tahoma"/>
          <w:color w:val="000000"/>
          <w:szCs w:val="18"/>
          <w:lang w:val="it-IT"/>
        </w:rPr>
        <w:t>La licenza per l</w:t>
      </w:r>
      <w:r w:rsidR="001C4212" w:rsidRPr="003F471F">
        <w:rPr>
          <w:rFonts w:cs="Tahoma"/>
          <w:color w:val="000000"/>
          <w:szCs w:val="18"/>
          <w:lang w:val="it-IT"/>
        </w:rPr>
        <w:t>’</w:t>
      </w:r>
      <w:r w:rsidRPr="003F471F">
        <w:rPr>
          <w:rFonts w:cs="Tahoma"/>
          <w:color w:val="000000"/>
          <w:szCs w:val="18"/>
          <w:lang w:val="it-IT"/>
        </w:rPr>
        <w:t>applicazione qualificante deve essere assegnata allo stesso dispositivo a cui deve essere assegnata la licenza per i Diritti di Noleggio VL.</w:t>
      </w:r>
    </w:p>
    <w:p w14:paraId="36B5FC92" w14:textId="77777777" w:rsidR="000B0A08" w:rsidRPr="003F471F" w:rsidRDefault="000B0A08" w:rsidP="005E3B5E">
      <w:pPr>
        <w:numPr>
          <w:ilvl w:val="0"/>
          <w:numId w:val="20"/>
        </w:numPr>
        <w:tabs>
          <w:tab w:val="left" w:pos="1440"/>
        </w:tabs>
        <w:spacing w:after="60"/>
        <w:ind w:left="1440"/>
        <w:rPr>
          <w:lang w:val="it-IT"/>
        </w:rPr>
      </w:pPr>
      <w:r w:rsidRPr="003F471F">
        <w:rPr>
          <w:rFonts w:cs="Tahoma"/>
          <w:color w:val="000000"/>
          <w:szCs w:val="18"/>
          <w:lang w:val="it-IT"/>
        </w:rPr>
        <w:t>L</w:t>
      </w:r>
      <w:r w:rsidR="001C4212" w:rsidRPr="003F471F">
        <w:rPr>
          <w:rFonts w:cs="Tahoma"/>
          <w:color w:val="000000"/>
          <w:szCs w:val="18"/>
          <w:lang w:val="it-IT"/>
        </w:rPr>
        <w:t>’</w:t>
      </w:r>
      <w:r w:rsidRPr="003F471F">
        <w:rPr>
          <w:rFonts w:cs="Tahoma"/>
          <w:color w:val="000000"/>
          <w:szCs w:val="18"/>
          <w:lang w:val="it-IT"/>
        </w:rPr>
        <w:t>applicazione qualificante deve essere installata su tale dispositivo.</w:t>
      </w:r>
    </w:p>
    <w:p w14:paraId="7EA73424" w14:textId="77777777" w:rsidR="000B0A08" w:rsidRPr="003F471F" w:rsidRDefault="000B0A08" w:rsidP="005E3B5E">
      <w:pPr>
        <w:pStyle w:val="EndnoteText"/>
        <w:rPr>
          <w:lang w:val="it-IT"/>
        </w:rPr>
      </w:pPr>
    </w:p>
    <w:p w14:paraId="6F8857BD" w14:textId="77777777" w:rsidR="000B0A08" w:rsidRPr="003F471F" w:rsidRDefault="000B0A08" w:rsidP="005E3B5E">
      <w:pPr>
        <w:pStyle w:val="EndnoteText"/>
        <w:ind w:left="720"/>
        <w:rPr>
          <w:lang w:val="it-IT"/>
        </w:rPr>
      </w:pPr>
      <w:r w:rsidRPr="003F471F">
        <w:rPr>
          <w:rFonts w:ascii="Tahoma" w:hAnsi="Tahoma" w:cs="Tahoma"/>
          <w:color w:val="000000"/>
          <w:sz w:val="18"/>
          <w:szCs w:val="18"/>
          <w:lang w:val="it-IT"/>
        </w:rPr>
        <w:t>Le applicazioni qualificanti in base al tipo di Programma sono:</w:t>
      </w:r>
    </w:p>
    <w:p w14:paraId="5C9AE7DE" w14:textId="77777777" w:rsidR="000B0A08" w:rsidRPr="003F471F" w:rsidRDefault="000B0A08" w:rsidP="000B0A08">
      <w:pPr>
        <w:rPr>
          <w:lang w:val="it-IT"/>
        </w:rPr>
      </w:pPr>
    </w:p>
    <w:tbl>
      <w:tblPr>
        <w:tblW w:w="8405" w:type="dxa"/>
        <w:tblInd w:w="675" w:type="dxa"/>
        <w:tblLayout w:type="fixed"/>
        <w:tblCellMar>
          <w:left w:w="0" w:type="dxa"/>
          <w:right w:w="0" w:type="dxa"/>
        </w:tblCellMar>
        <w:tblLook w:val="04A0" w:firstRow="1" w:lastRow="0" w:firstColumn="1" w:lastColumn="0" w:noHBand="0" w:noVBand="1"/>
      </w:tblPr>
      <w:tblGrid>
        <w:gridCol w:w="2910"/>
        <w:gridCol w:w="65"/>
        <w:gridCol w:w="1350"/>
        <w:gridCol w:w="1355"/>
        <w:gridCol w:w="1460"/>
        <w:gridCol w:w="1265"/>
      </w:tblGrid>
      <w:tr w:rsidR="00C4660F" w:rsidRPr="0058047D" w14:paraId="1BBB99D8" w14:textId="77777777" w:rsidTr="00EB5FFE">
        <w:trPr>
          <w:cantSplit/>
          <w:trHeight w:val="730"/>
          <w:tblHeader/>
        </w:trPr>
        <w:tc>
          <w:tcPr>
            <w:tcW w:w="2975" w:type="dxa"/>
            <w:gridSpan w:val="2"/>
            <w:tcBorders>
              <w:top w:val="single" w:sz="4" w:space="0" w:color="auto"/>
              <w:left w:val="single" w:sz="8" w:space="0" w:color="auto"/>
              <w:bottom w:val="single" w:sz="4" w:space="0" w:color="auto"/>
              <w:right w:val="single" w:sz="8" w:space="0" w:color="auto"/>
            </w:tcBorders>
            <w:shd w:val="clear" w:color="auto" w:fill="FABF8F"/>
            <w:vAlign w:val="center"/>
            <w:hideMark/>
          </w:tcPr>
          <w:p w14:paraId="3DBE1361" w14:textId="77777777" w:rsidR="00C4660F" w:rsidRPr="003F471F" w:rsidRDefault="00C4660F" w:rsidP="00EB5FFE">
            <w:pPr>
              <w:ind w:left="55"/>
              <w:jc w:val="center"/>
              <w:rPr>
                <w:rFonts w:eastAsia="MS PGothic" w:cs="Tahoma"/>
                <w:b/>
                <w:bCs/>
                <w:color w:val="000000"/>
                <w:szCs w:val="18"/>
                <w:lang w:val="it-IT"/>
              </w:rPr>
            </w:pPr>
            <w:r w:rsidRPr="003F471F">
              <w:rPr>
                <w:rFonts w:cs="Tahoma"/>
                <w:b/>
                <w:bCs/>
                <w:color w:val="000000"/>
                <w:szCs w:val="18"/>
                <w:lang w:val="it-IT"/>
              </w:rPr>
              <w:t>Applicazioni Qualificanti per l</w:t>
            </w:r>
            <w:r w:rsidR="001C4212" w:rsidRPr="003F471F">
              <w:rPr>
                <w:rFonts w:cs="Tahoma"/>
                <w:b/>
                <w:bCs/>
                <w:color w:val="000000"/>
                <w:szCs w:val="18"/>
                <w:lang w:val="it-IT"/>
              </w:rPr>
              <w:t>’</w:t>
            </w:r>
            <w:r w:rsidRPr="003F471F">
              <w:rPr>
                <w:rFonts w:cs="Tahoma"/>
                <w:b/>
                <w:bCs/>
                <w:color w:val="000000"/>
                <w:szCs w:val="18"/>
                <w:lang w:val="it-IT"/>
              </w:rPr>
              <w:t>Acquisto dei Diritti di Noleggio per Office Standard</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3FFA4103" w14:textId="77777777" w:rsidR="00C4660F" w:rsidRPr="0058047D" w:rsidRDefault="00C4660F" w:rsidP="00AD69BD">
            <w:pPr>
              <w:jc w:val="center"/>
              <w:rPr>
                <w:rFonts w:cs="Tahoma"/>
                <w:b/>
                <w:bCs/>
                <w:color w:val="000000"/>
                <w:szCs w:val="18"/>
              </w:rPr>
            </w:pPr>
            <w:r w:rsidRPr="0058047D">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7E9CE295" w14:textId="77777777" w:rsidR="00C4660F" w:rsidRPr="0058047D" w:rsidRDefault="00C4660F" w:rsidP="00AD69BD">
            <w:pPr>
              <w:jc w:val="center"/>
            </w:pPr>
            <w:r w:rsidRPr="0058047D">
              <w:rPr>
                <w:rFonts w:cs="Tahoma"/>
                <w:b/>
                <w:bCs/>
                <w:color w:val="000000"/>
                <w:szCs w:val="18"/>
              </w:rPr>
              <w:t>PIPC</w:t>
            </w:r>
          </w:p>
          <w:p w14:paraId="63AD6DCE" w14:textId="77777777" w:rsidR="00C4660F" w:rsidRPr="0058047D" w:rsidRDefault="00C4660F" w:rsidP="00AD69BD">
            <w:pPr>
              <w:jc w:val="center"/>
              <w:rPr>
                <w:rFonts w:cs="Tahoma"/>
                <w:b/>
                <w:bCs/>
                <w:color w:val="000000"/>
                <w:szCs w:val="18"/>
              </w:rPr>
            </w:pPr>
            <w:r w:rsidRPr="0058047D">
              <w:rPr>
                <w:rFonts w:cs="Tahoma"/>
                <w:b/>
                <w:bCs/>
                <w:color w:val="000000"/>
                <w:szCs w:val="18"/>
              </w:rPr>
              <w:t>(solo Giappone)</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0F5A6576" w14:textId="77777777" w:rsidR="00C4660F" w:rsidRPr="0058047D" w:rsidRDefault="00C4660F" w:rsidP="00AD69BD">
            <w:pPr>
              <w:jc w:val="center"/>
              <w:rPr>
                <w:rFonts w:cs="Tahoma"/>
                <w:b/>
                <w:bCs/>
                <w:color w:val="000000"/>
                <w:szCs w:val="18"/>
              </w:rPr>
            </w:pPr>
            <w:r w:rsidRPr="0058047D">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19F30961" w14:textId="77777777" w:rsidR="00C4660F" w:rsidRPr="0058047D" w:rsidRDefault="00C4660F" w:rsidP="00AD69BD">
            <w:pPr>
              <w:jc w:val="center"/>
              <w:rPr>
                <w:rFonts w:cs="Tahoma"/>
                <w:b/>
                <w:bCs/>
                <w:color w:val="000000"/>
                <w:szCs w:val="18"/>
              </w:rPr>
            </w:pPr>
            <w:r w:rsidRPr="0058047D">
              <w:rPr>
                <w:rFonts w:cs="Tahoma"/>
                <w:b/>
                <w:bCs/>
                <w:color w:val="000000"/>
                <w:szCs w:val="18"/>
              </w:rPr>
              <w:t>Licenza Open</w:t>
            </w:r>
          </w:p>
        </w:tc>
      </w:tr>
      <w:tr w:rsidR="000B0A08" w:rsidRPr="0058047D" w14:paraId="42B42BDB" w14:textId="77777777" w:rsidTr="00EB5FFE">
        <w:trPr>
          <w:trHeight w:val="255"/>
        </w:trPr>
        <w:tc>
          <w:tcPr>
            <w:tcW w:w="2975" w:type="dxa"/>
            <w:gridSpan w:val="2"/>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709B183" w14:textId="77777777" w:rsidR="000B0A08" w:rsidRPr="0058047D" w:rsidRDefault="000B0A08" w:rsidP="00257298">
            <w:pPr>
              <w:rPr>
                <w:rFonts w:cs="Tahoma"/>
                <w:b/>
                <w:bCs/>
                <w:color w:val="000000"/>
                <w:szCs w:val="18"/>
              </w:rPr>
            </w:pPr>
            <w:r w:rsidRPr="0058047D">
              <w:rPr>
                <w:rFonts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19EBB15B" w14:textId="77777777" w:rsidR="000B0A08" w:rsidRPr="0058047D"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14:paraId="01FF9D78" w14:textId="77777777" w:rsidR="000B0A08" w:rsidRPr="0058047D" w:rsidRDefault="000B0A08" w:rsidP="00AD69BD">
            <w:pPr>
              <w:jc w:val="center"/>
              <w:rPr>
                <w:rFonts w:ascii="Arial" w:eastAsia="MS PGothic" w:hAnsi="Arial" w:cs="Arial"/>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4648BAEB" w14:textId="77777777" w:rsidR="000B0A08" w:rsidRPr="0058047D" w:rsidRDefault="000B0A08" w:rsidP="00AD69BD">
            <w:pPr>
              <w:jc w:val="center"/>
              <w:rPr>
                <w:rFonts w:eastAsia="MS PGothic" w:cs="Tahoma"/>
                <w:color w:val="000000"/>
                <w:sz w:val="21"/>
                <w:szCs w:val="21"/>
              </w:rPr>
            </w:pPr>
            <w:r w:rsidRPr="0058047D">
              <w:rPr>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6F37974C" w14:textId="77777777" w:rsidR="000B0A08" w:rsidRPr="0058047D" w:rsidRDefault="000B0A08" w:rsidP="00AD69BD">
            <w:pPr>
              <w:jc w:val="center"/>
              <w:rPr>
                <w:rFonts w:eastAsia="MS PGothic" w:cs="Tahoma"/>
                <w:color w:val="000000"/>
                <w:sz w:val="21"/>
                <w:szCs w:val="21"/>
              </w:rPr>
            </w:pPr>
            <w:r w:rsidRPr="0058047D">
              <w:rPr>
                <w:color w:val="000000"/>
              </w:rPr>
              <w:t>x</w:t>
            </w:r>
          </w:p>
        </w:tc>
      </w:tr>
      <w:tr w:rsidR="000B0A08" w:rsidRPr="0058047D" w14:paraId="71D0C94A" w14:textId="77777777" w:rsidTr="00EB5FFE">
        <w:trPr>
          <w:trHeight w:val="255"/>
        </w:trPr>
        <w:tc>
          <w:tcPr>
            <w:tcW w:w="2975" w:type="dxa"/>
            <w:gridSpan w:val="2"/>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1503441B" w14:textId="77777777" w:rsidR="000B0A08" w:rsidRPr="0058047D" w:rsidRDefault="000B0A08" w:rsidP="00257298">
            <w:pPr>
              <w:rPr>
                <w:rFonts w:cs="Tahoma"/>
                <w:b/>
                <w:bCs/>
                <w:color w:val="000000"/>
                <w:szCs w:val="18"/>
              </w:rPr>
            </w:pPr>
            <w:r w:rsidRPr="0058047D">
              <w:rPr>
                <w:rFonts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39588797" w14:textId="77777777" w:rsidR="000B0A08" w:rsidRPr="0058047D" w:rsidRDefault="000B0A08" w:rsidP="00AD69BD">
            <w:pPr>
              <w:jc w:val="center"/>
              <w:rPr>
                <w:rFonts w:eastAsia="MS PGothic" w:cs="Tahoma"/>
                <w:color w:val="000000"/>
                <w:sz w:val="21"/>
                <w:szCs w:val="21"/>
              </w:rPr>
            </w:pPr>
          </w:p>
        </w:tc>
        <w:tc>
          <w:tcPr>
            <w:tcW w:w="1355" w:type="dxa"/>
            <w:tcBorders>
              <w:top w:val="nil"/>
              <w:left w:val="nil"/>
              <w:bottom w:val="single" w:sz="8" w:space="0" w:color="auto"/>
              <w:right w:val="single" w:sz="8" w:space="0" w:color="auto"/>
            </w:tcBorders>
          </w:tcPr>
          <w:p w14:paraId="14568626" w14:textId="77777777" w:rsidR="000B0A08" w:rsidRPr="0058047D" w:rsidRDefault="000B0A08" w:rsidP="00AD69BD">
            <w:pPr>
              <w:jc w:val="center"/>
              <w:rPr>
                <w:rFonts w:ascii="Arial" w:eastAsia="MS PGothic" w:hAnsi="Arial" w:cs="Arial"/>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650E8F" w14:textId="77777777" w:rsidR="000B0A08" w:rsidRPr="0058047D" w:rsidRDefault="000B0A08" w:rsidP="00AD69BD">
            <w:pPr>
              <w:jc w:val="center"/>
              <w:rPr>
                <w:rFonts w:eastAsia="MS PGothic" w:cs="Tahoma"/>
                <w:color w:val="000000"/>
                <w:sz w:val="21"/>
                <w:szCs w:val="21"/>
              </w:rPr>
            </w:pPr>
            <w:r w:rsidRPr="0058047D">
              <w:rPr>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EC6AF9" w14:textId="77777777" w:rsidR="000B0A08" w:rsidRPr="0058047D" w:rsidRDefault="000B0A08" w:rsidP="00AD69BD">
            <w:pPr>
              <w:jc w:val="center"/>
              <w:rPr>
                <w:rFonts w:eastAsia="MS PGothic" w:cs="Tahoma"/>
                <w:color w:val="000000"/>
                <w:sz w:val="21"/>
                <w:szCs w:val="21"/>
              </w:rPr>
            </w:pPr>
            <w:r w:rsidRPr="0058047D">
              <w:rPr>
                <w:color w:val="000000"/>
              </w:rPr>
              <w:t>x</w:t>
            </w:r>
          </w:p>
        </w:tc>
      </w:tr>
      <w:tr w:rsidR="00C4660F" w:rsidRPr="0058047D" w14:paraId="2A20E3E2" w14:textId="77777777" w:rsidTr="00EB5FFE">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71C71F61" w14:textId="77777777" w:rsidR="00C4660F" w:rsidRPr="003F471F" w:rsidRDefault="00C4660F" w:rsidP="00EB5FFE">
            <w:pPr>
              <w:ind w:left="55" w:firstLine="13"/>
              <w:jc w:val="center"/>
              <w:rPr>
                <w:rFonts w:eastAsia="MS PGothic" w:cs="Tahoma"/>
                <w:b/>
                <w:bCs/>
                <w:szCs w:val="18"/>
                <w:lang w:val="it-IT"/>
              </w:rPr>
            </w:pPr>
            <w:r w:rsidRPr="003F471F">
              <w:rPr>
                <w:rFonts w:cs="Tahoma"/>
                <w:b/>
                <w:bCs/>
                <w:szCs w:val="18"/>
                <w:lang w:val="it-IT"/>
              </w:rPr>
              <w:t>Applicazioni Qualificanti per l</w:t>
            </w:r>
            <w:r w:rsidR="001C4212" w:rsidRPr="003F471F">
              <w:rPr>
                <w:rFonts w:cs="Tahoma"/>
                <w:b/>
                <w:bCs/>
                <w:szCs w:val="18"/>
                <w:lang w:val="it-IT"/>
              </w:rPr>
              <w:t>’</w:t>
            </w:r>
            <w:r w:rsidRPr="003F471F">
              <w:rPr>
                <w:rFonts w:cs="Tahoma"/>
                <w:b/>
                <w:bCs/>
                <w:szCs w:val="18"/>
                <w:lang w:val="it-IT"/>
              </w:rPr>
              <w:t>Acquisto dei Diritti di Noleggio per Office Professional Plus</w:t>
            </w:r>
          </w:p>
        </w:tc>
        <w:tc>
          <w:tcPr>
            <w:tcW w:w="1415" w:type="dxa"/>
            <w:gridSpan w:val="2"/>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7F0BC40C" w14:textId="77777777" w:rsidR="00C4660F" w:rsidRPr="0058047D" w:rsidRDefault="00C4660F" w:rsidP="00AD69BD">
            <w:pPr>
              <w:jc w:val="center"/>
              <w:rPr>
                <w:rFonts w:cs="Tahoma"/>
                <w:b/>
                <w:bCs/>
                <w:szCs w:val="18"/>
              </w:rPr>
            </w:pPr>
            <w:r w:rsidRPr="0058047D">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016CEB49" w14:textId="77777777" w:rsidR="00C4660F" w:rsidRPr="0058047D" w:rsidRDefault="00C4660F" w:rsidP="00AD69BD">
            <w:pPr>
              <w:jc w:val="center"/>
            </w:pPr>
            <w:r w:rsidRPr="0058047D">
              <w:rPr>
                <w:rFonts w:cs="Tahoma"/>
                <w:b/>
                <w:bCs/>
                <w:szCs w:val="18"/>
              </w:rPr>
              <w:t>PIPC</w:t>
            </w:r>
          </w:p>
          <w:p w14:paraId="4A8B0ACA" w14:textId="77777777" w:rsidR="00C4660F" w:rsidRPr="0058047D" w:rsidRDefault="00C4660F" w:rsidP="00AD69BD">
            <w:pPr>
              <w:jc w:val="center"/>
              <w:rPr>
                <w:rFonts w:cs="Tahoma"/>
                <w:b/>
                <w:bCs/>
                <w:szCs w:val="16"/>
                <w:lang w:eastAsia="ja-JP"/>
              </w:rPr>
            </w:pPr>
            <w:r w:rsidRPr="0058047D">
              <w:rPr>
                <w:rFonts w:cs="Tahoma"/>
                <w:b/>
                <w:bCs/>
                <w:szCs w:val="18"/>
              </w:rPr>
              <w:t>(solo Giappone)</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329B4DC" w14:textId="77777777" w:rsidR="00C4660F" w:rsidRPr="0058047D" w:rsidRDefault="00C4660F" w:rsidP="00AD69BD">
            <w:pPr>
              <w:jc w:val="center"/>
              <w:rPr>
                <w:rFonts w:cs="Tahoma"/>
                <w:b/>
                <w:bCs/>
                <w:szCs w:val="18"/>
              </w:rPr>
            </w:pPr>
            <w:r w:rsidRPr="0058047D">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020C3A30" w14:textId="77777777" w:rsidR="00C4660F" w:rsidRPr="0058047D" w:rsidRDefault="00C4660F" w:rsidP="00AD69BD">
            <w:pPr>
              <w:jc w:val="center"/>
              <w:rPr>
                <w:rFonts w:cs="Tahoma"/>
                <w:b/>
                <w:bCs/>
                <w:szCs w:val="18"/>
              </w:rPr>
            </w:pPr>
            <w:r w:rsidRPr="0058047D">
              <w:rPr>
                <w:rFonts w:cs="Tahoma"/>
                <w:b/>
                <w:bCs/>
                <w:szCs w:val="18"/>
              </w:rPr>
              <w:t>Licenza Open</w:t>
            </w:r>
          </w:p>
        </w:tc>
      </w:tr>
      <w:tr w:rsidR="000B0A08" w:rsidRPr="0058047D" w14:paraId="2586E426" w14:textId="77777777" w:rsidTr="00EB5FFE">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4AD32188" w14:textId="77777777" w:rsidR="000B0A08" w:rsidRPr="0058047D" w:rsidRDefault="000B0A08" w:rsidP="00257298">
            <w:pPr>
              <w:rPr>
                <w:rFonts w:cs="Tahoma"/>
                <w:b/>
                <w:bCs/>
                <w:szCs w:val="18"/>
                <w:lang w:eastAsia="ja-JP"/>
              </w:rPr>
            </w:pPr>
            <w:r w:rsidRPr="0058047D">
              <w:rPr>
                <w:rFonts w:cs="Tahoma"/>
                <w:b/>
                <w:bCs/>
                <w:szCs w:val="18"/>
              </w:rPr>
              <w:t>Office Professional Plus 2013</w:t>
            </w:r>
          </w:p>
        </w:tc>
        <w:tc>
          <w:tcPr>
            <w:tcW w:w="1415"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BA3361" w14:textId="77777777" w:rsidR="000B0A08" w:rsidRPr="0058047D" w:rsidRDefault="000B0A08" w:rsidP="00AD69BD">
            <w:pPr>
              <w:jc w:val="center"/>
              <w:rPr>
                <w:rFonts w:eastAsia="MS PGothic" w:cs="Tahoma"/>
                <w:szCs w:val="18"/>
              </w:rPr>
            </w:pPr>
            <w:r w:rsidRPr="0058047D">
              <w:rPr>
                <w:rFonts w:cs="Tahoma"/>
                <w:szCs w:val="18"/>
              </w:rPr>
              <w:t> </w:t>
            </w:r>
          </w:p>
        </w:tc>
        <w:tc>
          <w:tcPr>
            <w:tcW w:w="1355" w:type="dxa"/>
            <w:tcBorders>
              <w:top w:val="nil"/>
              <w:left w:val="nil"/>
              <w:bottom w:val="single" w:sz="8" w:space="0" w:color="auto"/>
              <w:right w:val="single" w:sz="8" w:space="0" w:color="auto"/>
            </w:tcBorders>
          </w:tcPr>
          <w:p w14:paraId="2251C2F8" w14:textId="77777777" w:rsidR="000B0A08" w:rsidRPr="0058047D"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B15672" w14:textId="77777777" w:rsidR="000B0A08" w:rsidRPr="0058047D" w:rsidRDefault="000B0A08" w:rsidP="00AD69BD">
            <w:pPr>
              <w:jc w:val="center"/>
              <w:rPr>
                <w:rFonts w:eastAsia="MS PGothic" w:cs="Tahoma"/>
                <w:szCs w:val="18"/>
              </w:rPr>
            </w:pPr>
            <w:r w:rsidRPr="0058047D">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4E2FA6" w14:textId="77777777" w:rsidR="000B0A08" w:rsidRPr="0058047D" w:rsidRDefault="000B0A08" w:rsidP="00AD69BD">
            <w:pPr>
              <w:jc w:val="center"/>
              <w:rPr>
                <w:rFonts w:eastAsia="MS PGothic" w:cs="Tahoma"/>
                <w:szCs w:val="18"/>
              </w:rPr>
            </w:pPr>
            <w:r w:rsidRPr="0058047D">
              <w:rPr>
                <w:rFonts w:cs="Tahoma"/>
                <w:szCs w:val="18"/>
              </w:rPr>
              <w:t>x</w:t>
            </w:r>
          </w:p>
        </w:tc>
      </w:tr>
      <w:tr w:rsidR="000B0A08" w:rsidRPr="0058047D" w14:paraId="17931618" w14:textId="77777777" w:rsidTr="00EB5FFE">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2EB4E8F" w14:textId="77777777" w:rsidR="000B0A08" w:rsidRPr="0058047D" w:rsidRDefault="000B0A08" w:rsidP="00257298">
            <w:pPr>
              <w:rPr>
                <w:rFonts w:cs="Tahoma"/>
                <w:b/>
                <w:bCs/>
                <w:szCs w:val="18"/>
                <w:lang w:eastAsia="ja-JP"/>
              </w:rPr>
            </w:pPr>
            <w:r w:rsidRPr="0058047D">
              <w:rPr>
                <w:rFonts w:cs="Tahoma"/>
                <w:b/>
                <w:bCs/>
                <w:szCs w:val="18"/>
              </w:rPr>
              <w:t>Office Professional Plus 2010</w:t>
            </w:r>
          </w:p>
        </w:tc>
        <w:tc>
          <w:tcPr>
            <w:tcW w:w="1415" w:type="dxa"/>
            <w:gridSpan w:val="2"/>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831AC19" w14:textId="77777777" w:rsidR="000B0A08" w:rsidRPr="0058047D" w:rsidRDefault="000B0A08" w:rsidP="00AD69BD">
            <w:pPr>
              <w:jc w:val="center"/>
              <w:rPr>
                <w:rFonts w:eastAsia="MS PGothic" w:cs="Tahoma"/>
                <w:szCs w:val="18"/>
              </w:rPr>
            </w:pPr>
            <w:r w:rsidRPr="0058047D">
              <w:rPr>
                <w:rFonts w:cs="Tahoma"/>
                <w:szCs w:val="18"/>
              </w:rPr>
              <w:t> </w:t>
            </w:r>
          </w:p>
        </w:tc>
        <w:tc>
          <w:tcPr>
            <w:tcW w:w="1355" w:type="dxa"/>
            <w:tcBorders>
              <w:top w:val="nil"/>
              <w:left w:val="nil"/>
              <w:bottom w:val="single" w:sz="8" w:space="0" w:color="auto"/>
              <w:right w:val="single" w:sz="8" w:space="0" w:color="auto"/>
            </w:tcBorders>
          </w:tcPr>
          <w:p w14:paraId="04A4275B" w14:textId="77777777" w:rsidR="000B0A08" w:rsidRPr="0058047D"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869398" w14:textId="77777777" w:rsidR="000B0A08" w:rsidRPr="0058047D" w:rsidRDefault="000B0A08" w:rsidP="00AD69BD">
            <w:pPr>
              <w:jc w:val="center"/>
              <w:rPr>
                <w:rFonts w:eastAsia="MS PGothic" w:cs="Tahoma"/>
                <w:szCs w:val="18"/>
              </w:rPr>
            </w:pPr>
            <w:r w:rsidRPr="0058047D">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D8F746" w14:textId="77777777" w:rsidR="000B0A08" w:rsidRPr="0058047D" w:rsidRDefault="000B0A08" w:rsidP="00AD69BD">
            <w:pPr>
              <w:jc w:val="center"/>
              <w:rPr>
                <w:rFonts w:eastAsia="MS PGothic" w:cs="Tahoma"/>
                <w:szCs w:val="18"/>
              </w:rPr>
            </w:pPr>
            <w:r w:rsidRPr="0058047D">
              <w:rPr>
                <w:rFonts w:cs="Tahoma"/>
                <w:szCs w:val="18"/>
              </w:rPr>
              <w:t>x</w:t>
            </w:r>
          </w:p>
        </w:tc>
      </w:tr>
      <w:tr w:rsidR="000B0A08" w:rsidRPr="0058047D" w14:paraId="5F187222" w14:textId="77777777" w:rsidTr="00EB5FFE">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0C34C26" w14:textId="77777777" w:rsidR="000B0A08" w:rsidRPr="0058047D" w:rsidRDefault="000B0A08" w:rsidP="00257298">
            <w:pPr>
              <w:rPr>
                <w:rFonts w:cs="Tahoma"/>
                <w:b/>
                <w:bCs/>
                <w:szCs w:val="18"/>
              </w:rPr>
            </w:pPr>
            <w:r w:rsidRPr="0058047D">
              <w:rPr>
                <w:rFonts w:cs="Tahoma"/>
                <w:b/>
                <w:bCs/>
                <w:szCs w:val="18"/>
              </w:rPr>
              <w:t>Office Personal 2013</w:t>
            </w:r>
          </w:p>
        </w:tc>
        <w:tc>
          <w:tcPr>
            <w:tcW w:w="1415" w:type="dxa"/>
            <w:gridSpan w:val="2"/>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F4CEE79" w14:textId="77777777" w:rsidR="000B0A08" w:rsidRPr="0058047D"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2565794B" w14:textId="77777777" w:rsidR="000B0A08" w:rsidRPr="0058047D" w:rsidRDefault="000B0A08" w:rsidP="00AD69BD">
            <w:pPr>
              <w:jc w:val="center"/>
              <w:rPr>
                <w:rFonts w:eastAsia="MS PGothic" w:cs="Tahoma"/>
                <w:color w:val="000000"/>
                <w:szCs w:val="18"/>
              </w:rPr>
            </w:pPr>
            <w:r w:rsidRPr="0058047D">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EAEF50" w14:textId="77777777" w:rsidR="000B0A08" w:rsidRPr="0058047D"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EBAB54" w14:textId="77777777" w:rsidR="000B0A08" w:rsidRPr="0058047D" w:rsidRDefault="000B0A08" w:rsidP="00AD69BD">
            <w:pPr>
              <w:rPr>
                <w:rFonts w:eastAsia="Times New Roman" w:cs="Tahoma"/>
                <w:szCs w:val="18"/>
              </w:rPr>
            </w:pPr>
          </w:p>
        </w:tc>
      </w:tr>
      <w:tr w:rsidR="000B0A08" w:rsidRPr="0058047D" w14:paraId="665D3BE4" w14:textId="77777777" w:rsidTr="00EB5FFE">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7DF5A2B" w14:textId="77777777" w:rsidR="000B0A08" w:rsidRPr="0058047D" w:rsidRDefault="000B0A08" w:rsidP="00257298">
            <w:pPr>
              <w:rPr>
                <w:rFonts w:cs="Tahoma"/>
                <w:b/>
                <w:bCs/>
                <w:szCs w:val="18"/>
              </w:rPr>
            </w:pPr>
            <w:r w:rsidRPr="0058047D">
              <w:rPr>
                <w:rFonts w:cs="Tahoma"/>
                <w:b/>
                <w:bCs/>
                <w:szCs w:val="18"/>
              </w:rPr>
              <w:t>Office Home &amp; Business 2013</w:t>
            </w:r>
          </w:p>
        </w:tc>
        <w:tc>
          <w:tcPr>
            <w:tcW w:w="1415" w:type="dxa"/>
            <w:gridSpan w:val="2"/>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E92F8F6" w14:textId="77777777" w:rsidR="000B0A08" w:rsidRPr="0058047D"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4765F14C" w14:textId="77777777" w:rsidR="000B0A08" w:rsidRPr="0058047D" w:rsidRDefault="000B0A08" w:rsidP="00AD69BD">
            <w:pPr>
              <w:jc w:val="center"/>
              <w:rPr>
                <w:rFonts w:eastAsia="MS PGothic" w:cs="Tahoma"/>
                <w:color w:val="000000"/>
                <w:szCs w:val="18"/>
              </w:rPr>
            </w:pPr>
            <w:r w:rsidRPr="0058047D">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E6DB15" w14:textId="77777777" w:rsidR="000B0A08" w:rsidRPr="0058047D"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6F92BD" w14:textId="77777777" w:rsidR="000B0A08" w:rsidRPr="0058047D" w:rsidRDefault="000B0A08" w:rsidP="00AD69BD">
            <w:pPr>
              <w:rPr>
                <w:rFonts w:eastAsia="Times New Roman" w:cs="Tahoma"/>
                <w:szCs w:val="18"/>
              </w:rPr>
            </w:pPr>
          </w:p>
        </w:tc>
      </w:tr>
      <w:tr w:rsidR="000B0A08" w:rsidRPr="0058047D" w14:paraId="558B715E" w14:textId="77777777" w:rsidTr="00EB5FFE">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1CF94DD" w14:textId="77777777" w:rsidR="000B0A08" w:rsidRPr="0058047D" w:rsidRDefault="000B0A08" w:rsidP="00257298">
            <w:pPr>
              <w:rPr>
                <w:rFonts w:cs="Tahoma"/>
                <w:b/>
                <w:bCs/>
                <w:szCs w:val="18"/>
              </w:rPr>
            </w:pPr>
            <w:r w:rsidRPr="0058047D">
              <w:rPr>
                <w:rFonts w:cs="Tahoma"/>
                <w:b/>
                <w:bCs/>
                <w:szCs w:val="18"/>
              </w:rPr>
              <w:t>Office Professional 2013</w:t>
            </w:r>
          </w:p>
        </w:tc>
        <w:tc>
          <w:tcPr>
            <w:tcW w:w="1415" w:type="dxa"/>
            <w:gridSpan w:val="2"/>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338E9F81" w14:textId="77777777" w:rsidR="000B0A08" w:rsidRPr="0058047D"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14:paraId="0189DAB4" w14:textId="77777777" w:rsidR="000B0A08" w:rsidRPr="0058047D" w:rsidRDefault="000B0A08" w:rsidP="00AD69BD">
            <w:pPr>
              <w:jc w:val="center"/>
              <w:rPr>
                <w:rFonts w:eastAsia="MS PGothic" w:cs="Tahoma"/>
                <w:color w:val="000000" w:themeColor="text1"/>
                <w:szCs w:val="18"/>
              </w:rPr>
            </w:pPr>
            <w:r w:rsidRPr="0058047D">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97DFC5" w14:textId="77777777" w:rsidR="000B0A08" w:rsidRPr="0058047D"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703AC4" w14:textId="77777777" w:rsidR="000B0A08" w:rsidRPr="0058047D" w:rsidRDefault="000B0A08" w:rsidP="00AD69BD">
            <w:pPr>
              <w:rPr>
                <w:rFonts w:eastAsia="Times New Roman" w:cs="Tahoma"/>
                <w:color w:val="000000" w:themeColor="text1"/>
                <w:szCs w:val="18"/>
              </w:rPr>
            </w:pPr>
          </w:p>
        </w:tc>
      </w:tr>
    </w:tbl>
    <w:p w14:paraId="618904A1" w14:textId="77777777" w:rsidR="000B0A08" w:rsidRPr="0058047D" w:rsidRDefault="000B0A08" w:rsidP="00980240"/>
    <w:p w14:paraId="60837A64" w14:textId="77777777" w:rsidR="000B0A08" w:rsidRPr="003F471F" w:rsidRDefault="000B0A08" w:rsidP="005C382A">
      <w:pPr>
        <w:ind w:left="720"/>
        <w:rPr>
          <w:lang w:val="it-IT"/>
        </w:rPr>
      </w:pPr>
      <w:r w:rsidRPr="003F471F">
        <w:rPr>
          <w:rFonts w:cs="Tahoma"/>
          <w:color w:val="000000"/>
          <w:szCs w:val="18"/>
          <w:lang w:val="it-IT"/>
        </w:rPr>
        <w:t>Le società che acquistano la licenza relativa ai diritti di noleggio in aggiunta alla licenza per l</w:t>
      </w:r>
      <w:r w:rsidR="001C4212" w:rsidRPr="003F471F">
        <w:rPr>
          <w:rFonts w:cs="Tahoma"/>
          <w:color w:val="000000"/>
          <w:szCs w:val="18"/>
          <w:lang w:val="it-IT"/>
        </w:rPr>
        <w:t>’</w:t>
      </w:r>
      <w:r w:rsidRPr="003F471F">
        <w:rPr>
          <w:rFonts w:cs="Tahoma"/>
          <w:color w:val="000000"/>
          <w:szCs w:val="18"/>
          <w:lang w:val="it-IT"/>
        </w:rPr>
        <w:t>applicazione qualificante beneficeranno di un</w:t>
      </w:r>
      <w:r w:rsidR="001C4212" w:rsidRPr="003F471F">
        <w:rPr>
          <w:rFonts w:cs="Tahoma"/>
          <w:color w:val="000000"/>
          <w:szCs w:val="18"/>
          <w:lang w:val="it-IT"/>
        </w:rPr>
        <w:t>’</w:t>
      </w:r>
      <w:r w:rsidRPr="003F471F">
        <w:rPr>
          <w:rFonts w:cs="Tahoma"/>
          <w:color w:val="000000"/>
          <w:szCs w:val="18"/>
          <w:lang w:val="it-IT"/>
        </w:rPr>
        <w:t>estensione dei diritti contemplati dalla licenza dell</w:t>
      </w:r>
      <w:r w:rsidR="001C4212" w:rsidRPr="003F471F">
        <w:rPr>
          <w:rFonts w:cs="Tahoma"/>
          <w:color w:val="000000"/>
          <w:szCs w:val="18"/>
          <w:lang w:val="it-IT"/>
        </w:rPr>
        <w:t>’</w:t>
      </w:r>
      <w:r w:rsidRPr="003F471F">
        <w:rPr>
          <w:rFonts w:cs="Tahoma"/>
          <w:color w:val="000000"/>
          <w:szCs w:val="18"/>
          <w:lang w:val="it-IT"/>
        </w:rPr>
        <w:t>applicazione qualificante per consentire l</w:t>
      </w:r>
      <w:r w:rsidR="001C4212" w:rsidRPr="003F471F">
        <w:rPr>
          <w:rFonts w:cs="Tahoma"/>
          <w:color w:val="000000"/>
          <w:szCs w:val="18"/>
          <w:lang w:val="it-IT"/>
        </w:rPr>
        <w:t>’</w:t>
      </w:r>
      <w:r w:rsidRPr="003F471F">
        <w:rPr>
          <w:rFonts w:cs="Tahoma"/>
          <w:color w:val="000000"/>
          <w:szCs w:val="18"/>
          <w:lang w:val="it-IT"/>
        </w:rPr>
        <w:t>utilizzo da parte di terzi dello stesso software. La licenza di noleggio non è una licenza step-up per una versione superiore del prodotto.</w:t>
      </w:r>
    </w:p>
    <w:p w14:paraId="2EFB295E" w14:textId="77777777" w:rsidR="00223A77" w:rsidRPr="003F471F" w:rsidRDefault="00223A77" w:rsidP="005C382A">
      <w:pPr>
        <w:ind w:left="720"/>
        <w:rPr>
          <w:lang w:val="it-IT"/>
        </w:rPr>
      </w:pPr>
    </w:p>
    <w:p w14:paraId="746EC939" w14:textId="77777777" w:rsidR="00223A77" w:rsidRPr="003F471F" w:rsidRDefault="00223A77" w:rsidP="00864B8A">
      <w:pPr>
        <w:spacing w:after="60"/>
        <w:ind w:left="720"/>
        <w:rPr>
          <w:lang w:val="it-IT"/>
        </w:rPr>
      </w:pPr>
      <w:r w:rsidRPr="003F471F">
        <w:rPr>
          <w:rFonts w:cs="Tahoma"/>
          <w:b/>
          <w:lang w:val="it-IT"/>
        </w:rPr>
        <w:t>Eccezione per Software Assurance</w:t>
      </w:r>
    </w:p>
    <w:p w14:paraId="592A73E3" w14:textId="77777777" w:rsidR="009504CA" w:rsidRPr="003F471F" w:rsidRDefault="00223A77" w:rsidP="005C382A">
      <w:pPr>
        <w:ind w:left="720"/>
        <w:rPr>
          <w:lang w:val="it-IT"/>
        </w:rPr>
      </w:pPr>
      <w:r w:rsidRPr="003F471F">
        <w:rPr>
          <w:rFonts w:cs="Tahoma"/>
          <w:color w:val="000000"/>
          <w:szCs w:val="18"/>
          <w:lang w:val="it-IT"/>
        </w:rPr>
        <w:t>Le società che acquistano licenze per i diritti di noleggio non sono idonee a ricevere Software Assurance per</w:t>
      </w:r>
      <w:r w:rsidR="00EB5FFE" w:rsidRPr="003F471F">
        <w:rPr>
          <w:rFonts w:cs="Tahoma"/>
          <w:color w:val="000000"/>
          <w:szCs w:val="18"/>
          <w:lang w:val="it-IT"/>
        </w:rPr>
        <w:t> </w:t>
      </w:r>
      <w:r w:rsidRPr="003F471F">
        <w:rPr>
          <w:rFonts w:cs="Tahoma"/>
          <w:color w:val="000000"/>
          <w:szCs w:val="18"/>
          <w:lang w:val="it-IT"/>
        </w:rPr>
        <w:t>le licenze per i diritti di noleggio, né per le licenze software qualificanti sottostanti.</w:t>
      </w:r>
    </w:p>
    <w:p w14:paraId="4CAC9FC2" w14:textId="77777777" w:rsidR="00413D8A" w:rsidRPr="003F471F" w:rsidRDefault="00413D8A">
      <w:pPr>
        <w:rPr>
          <w:lang w:val="it-IT"/>
        </w:rPr>
      </w:pPr>
    </w:p>
    <w:p w14:paraId="1579BC95" w14:textId="77777777" w:rsidR="00980240" w:rsidRPr="003F471F" w:rsidRDefault="00980240" w:rsidP="00980240">
      <w:pPr>
        <w:rPr>
          <w:lang w:val="it-IT"/>
        </w:rPr>
      </w:pPr>
    </w:p>
    <w:p w14:paraId="7A445134" w14:textId="77777777" w:rsidR="00257298" w:rsidRPr="003F471F" w:rsidRDefault="00A560B6" w:rsidP="005C382A">
      <w:pPr>
        <w:pStyle w:val="Heading3"/>
        <w:rPr>
          <w:lang w:val="it-IT"/>
        </w:rPr>
      </w:pPr>
      <w:bookmarkStart w:id="1038" w:name="_15_Visio_Professional"/>
      <w:bookmarkStart w:id="1039" w:name="_17_Visio_Professional"/>
      <w:bookmarkStart w:id="1040" w:name="_Toc371663669"/>
      <w:bookmarkEnd w:id="1038"/>
      <w:bookmarkEnd w:id="1039"/>
      <w:r w:rsidRPr="003F471F">
        <w:rPr>
          <w:rFonts w:ascii="Tahoma" w:hAnsi="Tahoma"/>
          <w:caps/>
          <w:color w:val="F66400"/>
          <w:sz w:val="22"/>
          <w:vertAlign w:val="superscript"/>
          <w:lang w:val="it-IT"/>
        </w:rPr>
        <w:t>18</w:t>
      </w:r>
      <w:r w:rsidRPr="003F471F">
        <w:rPr>
          <w:rFonts w:ascii="Tahoma" w:hAnsi="Tahoma"/>
          <w:color w:val="F66400"/>
          <w:sz w:val="22"/>
          <w:lang w:val="it-IT"/>
        </w:rPr>
        <w:t xml:space="preserve"> Visio Professional 2013</w:t>
      </w:r>
      <w:bookmarkEnd w:id="1040"/>
    </w:p>
    <w:p w14:paraId="29EC371F" w14:textId="77777777" w:rsidR="005C382A" w:rsidRPr="003F471F" w:rsidRDefault="005C382A" w:rsidP="005C382A">
      <w:pPr>
        <w:rPr>
          <w:lang w:val="it-IT"/>
        </w:rPr>
      </w:pPr>
    </w:p>
    <w:p w14:paraId="660B6438" w14:textId="77777777" w:rsidR="00257298" w:rsidRPr="003F471F" w:rsidRDefault="00257298" w:rsidP="00864B8A">
      <w:pPr>
        <w:spacing w:after="60"/>
        <w:ind w:left="720"/>
        <w:rPr>
          <w:lang w:val="it-IT"/>
        </w:rPr>
      </w:pPr>
      <w:r w:rsidRPr="003F471F">
        <w:rPr>
          <w:rFonts w:cs="Tahoma"/>
          <w:b/>
          <w:lang w:val="it-IT"/>
        </w:rPr>
        <w:t xml:space="preserve">Percorso di Migrazione di Software Assurance per </w:t>
      </w:r>
      <w:bookmarkStart w:id="1041" w:name="Srv_11VisioPremium2010"/>
      <w:bookmarkStart w:id="1042" w:name="Aps_11VisioPremium2010"/>
      <w:bookmarkStart w:id="1043" w:name="_Toc336338274"/>
      <w:bookmarkStart w:id="1044" w:name="Srv_VisioPremium2010"/>
      <w:r w:rsidRPr="003F471F">
        <w:rPr>
          <w:rFonts w:cs="Tahoma"/>
          <w:b/>
          <w:lang w:val="it-IT"/>
        </w:rPr>
        <w:t>Visio Premium 2010</w:t>
      </w:r>
      <w:bookmarkEnd w:id="1041"/>
      <w:bookmarkEnd w:id="1042"/>
      <w:bookmarkEnd w:id="1043"/>
    </w:p>
    <w:bookmarkEnd w:id="1044"/>
    <w:p w14:paraId="5E10AEE1" w14:textId="77777777" w:rsidR="00257298" w:rsidRPr="003F471F" w:rsidRDefault="00257298" w:rsidP="005C382A">
      <w:pPr>
        <w:pStyle w:val="FootnoteBulletLevel1"/>
        <w:spacing w:before="0" w:after="0"/>
        <w:ind w:left="720" w:firstLine="0"/>
        <w:rPr>
          <w:lang w:val="it-IT"/>
        </w:rPr>
      </w:pPr>
      <w:r w:rsidRPr="003F471F">
        <w:rPr>
          <w:rFonts w:ascii="Tahoma" w:hAnsi="Tahoma" w:cs="Tahoma"/>
          <w:sz w:val="18"/>
          <w:lang w:val="it-IT"/>
        </w:rPr>
        <w:t>Le società con una copertura Software Assurance attiva per Visio Premium 2010 alla data di disponibilità del download di Visio Professional 2013 sono idonee a utilizzare Visio Professional 2013 anziché Visio Premium 2010. Il diritto di utilizzo di Visio Professional 2013 ai sensi di tale offerta cesserà alla cessazione dei diritti di utilizzo di Visio Premium 2010 ai sensi della relativa licenza qualificante.</w:t>
      </w:r>
      <w:r w:rsidR="00E34ED3" w:rsidRPr="003F471F">
        <w:rPr>
          <w:rFonts w:ascii="Tahoma" w:hAnsi="Tahoma" w:cs="Tahoma"/>
          <w:sz w:val="18"/>
          <w:lang w:val="it-IT"/>
        </w:rPr>
        <w:t xml:space="preserve"> </w:t>
      </w:r>
      <w:r w:rsidRPr="003F471F">
        <w:rPr>
          <w:rFonts w:ascii="Tahoma" w:hAnsi="Tahoma" w:cs="Tahoma"/>
          <w:sz w:val="18"/>
          <w:lang w:val="it-IT"/>
        </w:rPr>
        <w:t>L</w:t>
      </w:r>
      <w:r w:rsidR="001C4212" w:rsidRPr="003F471F">
        <w:rPr>
          <w:rFonts w:ascii="Tahoma" w:hAnsi="Tahoma" w:cs="Tahoma"/>
          <w:sz w:val="18"/>
          <w:lang w:val="it-IT"/>
        </w:rPr>
        <w:t>’</w:t>
      </w:r>
      <w:r w:rsidRPr="003F471F">
        <w:rPr>
          <w:rFonts w:ascii="Tahoma" w:hAnsi="Tahoma" w:cs="Tahoma"/>
          <w:sz w:val="18"/>
          <w:lang w:val="it-IT"/>
        </w:rPr>
        <w:t>utilizzo di Visio Professional 2013 è disciplinato dai diritti sull</w:t>
      </w:r>
      <w:r w:rsidR="001C4212" w:rsidRPr="003F471F">
        <w:rPr>
          <w:rFonts w:ascii="Tahoma" w:hAnsi="Tahoma" w:cs="Tahoma"/>
          <w:sz w:val="18"/>
          <w:lang w:val="it-IT"/>
        </w:rPr>
        <w:t>’</w:t>
      </w:r>
      <w:r w:rsidRPr="003F471F">
        <w:rPr>
          <w:rFonts w:ascii="Tahoma" w:hAnsi="Tahoma" w:cs="Tahoma"/>
          <w:sz w:val="18"/>
          <w:lang w:val="it-IT"/>
        </w:rPr>
        <w:t>utilizzo di Visio Professional 2013 e dalle condizioni del Contratto Multilicenza della società.</w:t>
      </w:r>
      <w:r w:rsidR="00E34ED3" w:rsidRPr="003F471F">
        <w:rPr>
          <w:rFonts w:ascii="Tahoma" w:hAnsi="Tahoma" w:cs="Tahoma"/>
          <w:sz w:val="18"/>
          <w:lang w:val="it-IT"/>
        </w:rPr>
        <w:t xml:space="preserve"> </w:t>
      </w:r>
      <w:r w:rsidRPr="003F471F">
        <w:rPr>
          <w:rFonts w:ascii="Tahoma" w:hAnsi="Tahoma" w:cs="Tahoma"/>
          <w:sz w:val="18"/>
          <w:lang w:val="it-IT"/>
        </w:rPr>
        <w:t>La presente nota relativa alle condizioni del prodotto e la prova da parte della società della corrispondente licenza qualificante costituiscono insieme la prova del diritto di utilizzo di Visio Professional 2013 ai sensi della presente offerta.</w:t>
      </w:r>
      <w:r w:rsidR="00E34ED3" w:rsidRPr="003F471F">
        <w:rPr>
          <w:rFonts w:ascii="Tahoma" w:hAnsi="Tahoma" w:cs="Tahoma"/>
          <w:sz w:val="18"/>
          <w:lang w:val="it-IT"/>
        </w:rPr>
        <w:t xml:space="preserve"> </w:t>
      </w:r>
      <w:r w:rsidRPr="003F471F">
        <w:rPr>
          <w:rFonts w:ascii="Tahoma" w:hAnsi="Tahoma" w:cs="Tahoma"/>
          <w:sz w:val="18"/>
          <w:lang w:val="it-IT"/>
        </w:rPr>
        <w:t>Alla scadenza della copertura Software Assurance per Visio Premium 2010, la società potrà acquistare Software Assurance per Visio Professional 2013 senza dover acquistare separatamente una nuova licenza.</w:t>
      </w:r>
    </w:p>
    <w:p w14:paraId="4111D537" w14:textId="77777777" w:rsidR="005C382A" w:rsidRPr="003F471F" w:rsidRDefault="005C382A" w:rsidP="005C382A">
      <w:pPr>
        <w:pStyle w:val="FootnoteBulletLevel1"/>
        <w:spacing w:before="0" w:after="0"/>
        <w:ind w:left="720" w:firstLine="0"/>
        <w:rPr>
          <w:lang w:val="it-IT"/>
        </w:rPr>
      </w:pPr>
    </w:p>
    <w:p w14:paraId="642D72E6" w14:textId="77777777" w:rsidR="00DF3CEE" w:rsidRPr="003F471F" w:rsidRDefault="00DF3CEE" w:rsidP="00864B8A">
      <w:pPr>
        <w:spacing w:after="60"/>
        <w:ind w:left="720"/>
        <w:rPr>
          <w:lang w:val="it-IT"/>
        </w:rPr>
      </w:pPr>
      <w:r w:rsidRPr="003F471F">
        <w:rPr>
          <w:rFonts w:cs="Tahoma"/>
          <w:b/>
          <w:lang w:val="it-IT"/>
        </w:rPr>
        <w:t>Diritti di Downgrade per Visio Professional 2013</w:t>
      </w:r>
    </w:p>
    <w:p w14:paraId="3E9DCC2E" w14:textId="77777777" w:rsidR="00DF3CEE" w:rsidRPr="003F471F" w:rsidRDefault="00DF3CEE" w:rsidP="005C382A">
      <w:pPr>
        <w:pStyle w:val="FootnoteBulletLevel1"/>
        <w:spacing w:before="0" w:after="0"/>
        <w:ind w:left="720" w:firstLine="0"/>
        <w:rPr>
          <w:lang w:val="it-IT"/>
        </w:rPr>
      </w:pPr>
      <w:r w:rsidRPr="003F471F">
        <w:rPr>
          <w:rFonts w:ascii="Tahoma" w:hAnsi="Tahoma" w:cs="Tahoma"/>
          <w:sz w:val="18"/>
          <w:lang w:val="it-IT"/>
        </w:rPr>
        <w:t>Le società con Software Assurance che hanno distribuito solo Visio Premium 2010 (ad esempio quelle che non utilizzano altre edizioni di Visio nella loro organizzazione) e necessitano di ulteriori postazioni di Visio Premium 2010 potranno acquistare licenze per Visio Professional 2013 ed effettuare il downgrade a Visio Premium 2010. Non sono consentiti altri downgrade da Visio Professional 2013 a Visio Premium 2010.</w:t>
      </w:r>
    </w:p>
    <w:p w14:paraId="46AEC665" w14:textId="77777777" w:rsidR="005C382A" w:rsidRPr="003F471F" w:rsidRDefault="005C382A" w:rsidP="005C382A">
      <w:pPr>
        <w:rPr>
          <w:lang w:val="it-IT"/>
        </w:rPr>
      </w:pPr>
    </w:p>
    <w:p w14:paraId="39FDE7AF" w14:textId="77777777" w:rsidR="00676723" w:rsidRPr="003F471F" w:rsidRDefault="00676723" w:rsidP="005C382A">
      <w:pPr>
        <w:rPr>
          <w:lang w:val="it-IT"/>
        </w:rPr>
      </w:pPr>
    </w:p>
    <w:p w14:paraId="5CADF9FE" w14:textId="77777777" w:rsidR="00BE4D27" w:rsidRPr="003F471F" w:rsidRDefault="00A560B6" w:rsidP="00BE4D27">
      <w:pPr>
        <w:pStyle w:val="Heading3"/>
        <w:rPr>
          <w:rFonts w:ascii="Tahoma" w:hAnsi="Tahoma"/>
          <w:color w:val="F66400"/>
          <w:sz w:val="22"/>
          <w:lang w:val="it-IT"/>
        </w:rPr>
      </w:pPr>
      <w:bookmarkStart w:id="1045" w:name="_18_Visio_Pro"/>
      <w:bookmarkStart w:id="1046" w:name="_Toc371663670"/>
      <w:bookmarkEnd w:id="1045"/>
      <w:r w:rsidRPr="003F471F">
        <w:rPr>
          <w:rFonts w:ascii="Tahoma" w:hAnsi="Tahoma"/>
          <w:caps/>
          <w:color w:val="F66400"/>
          <w:sz w:val="22"/>
          <w:vertAlign w:val="superscript"/>
          <w:lang w:val="it-IT"/>
        </w:rPr>
        <w:t>19</w:t>
      </w:r>
      <w:r w:rsidRPr="003F471F">
        <w:rPr>
          <w:rFonts w:ascii="Tahoma" w:hAnsi="Tahoma"/>
          <w:color w:val="F66400"/>
          <w:sz w:val="22"/>
          <w:lang w:val="it-IT"/>
        </w:rPr>
        <w:t xml:space="preserve"> Visio Pro per Office 365</w:t>
      </w:r>
      <w:bookmarkEnd w:id="1046"/>
      <w:r w:rsidRPr="003F471F">
        <w:rPr>
          <w:rFonts w:ascii="Tahoma" w:hAnsi="Tahoma"/>
          <w:color w:val="F66400"/>
          <w:sz w:val="22"/>
          <w:lang w:val="it-IT"/>
        </w:rPr>
        <w:t xml:space="preserve"> </w:t>
      </w:r>
    </w:p>
    <w:p w14:paraId="195C61D0" w14:textId="77777777" w:rsidR="006C4578" w:rsidRPr="003F471F" w:rsidRDefault="006C4578" w:rsidP="006C4578">
      <w:pPr>
        <w:rPr>
          <w:lang w:val="it-IT"/>
        </w:rPr>
      </w:pPr>
    </w:p>
    <w:p w14:paraId="0821288E" w14:textId="77777777" w:rsidR="00BE4D27" w:rsidRPr="003F471F" w:rsidRDefault="00BE4D27" w:rsidP="00BE4D27">
      <w:pPr>
        <w:spacing w:after="60"/>
        <w:ind w:left="720"/>
        <w:rPr>
          <w:lang w:val="it-IT"/>
        </w:rPr>
      </w:pPr>
      <w:r w:rsidRPr="003F471F">
        <w:rPr>
          <w:rFonts w:cs="Tahoma"/>
          <w:b/>
          <w:lang w:val="it-IT"/>
        </w:rPr>
        <w:t>Idoneità dei Supporti di Memorizzazione con i Servizi Desktop Remoto (RDS)</w:t>
      </w:r>
    </w:p>
    <w:p w14:paraId="7B1D87B4" w14:textId="77777777" w:rsidR="00BE4D27" w:rsidRPr="003F471F" w:rsidRDefault="00BE4D27" w:rsidP="00BE4D27">
      <w:pPr>
        <w:ind w:left="720"/>
        <w:rPr>
          <w:lang w:val="it-IT"/>
        </w:rPr>
      </w:pPr>
      <w:r w:rsidRPr="003F471F">
        <w:rPr>
          <w:rFonts w:cs="Tahoma"/>
          <w:szCs w:val="18"/>
          <w:lang w:val="it-IT"/>
        </w:rPr>
        <w:t>Qualora l</w:t>
      </w:r>
      <w:r w:rsidR="001C4212" w:rsidRPr="003F471F">
        <w:rPr>
          <w:rFonts w:cs="Tahoma"/>
          <w:szCs w:val="18"/>
          <w:lang w:val="it-IT"/>
        </w:rPr>
        <w:t>’</w:t>
      </w:r>
      <w:r w:rsidRPr="003F471F">
        <w:rPr>
          <w:rFonts w:cs="Tahoma"/>
          <w:szCs w:val="18"/>
          <w:lang w:val="it-IT"/>
        </w:rPr>
        <w:t>utente al quale è stata ceduta una licenza per Visio Pro per Office 365 utilizzi il software su un server di rete con il ruolo RDS attivato anziché installare una copia del software fornito con Visio Pro per Office 365 su uno dei cinque dispositivi autorizzati in conformità ai Diritti di Utilizzo del Prodotto per Visio Pro per Office 365, tale utente potrà 1) installare una copia del software Visio 2013 Professional su un server di rete e 2) accedere al software Visio 2013 Professional da qualsiasi dispositivo.</w:t>
      </w:r>
      <w:r w:rsidR="00E34ED3" w:rsidRPr="003F471F">
        <w:rPr>
          <w:rFonts w:cs="Tahoma"/>
          <w:szCs w:val="18"/>
          <w:lang w:val="it-IT"/>
        </w:rPr>
        <w:t xml:space="preserve"> </w:t>
      </w:r>
      <w:r w:rsidRPr="003F471F">
        <w:rPr>
          <w:rFonts w:cs="Tahoma"/>
          <w:szCs w:val="18"/>
          <w:lang w:val="it-IT"/>
        </w:rPr>
        <w:t xml:space="preserve">Alla scadenza della sottoscrizione di Visio Pro per Office 365 la società dovrà disinstallare il software Visio 2013 Professional dal server di rete. </w:t>
      </w:r>
    </w:p>
    <w:p w14:paraId="36EC0678" w14:textId="77777777" w:rsidR="00BE4D27" w:rsidRPr="003F471F" w:rsidRDefault="00BE4D27" w:rsidP="00BE4D27">
      <w:pPr>
        <w:ind w:left="720"/>
        <w:rPr>
          <w:lang w:val="it-IT"/>
        </w:rPr>
      </w:pPr>
    </w:p>
    <w:p w14:paraId="17C0E9A9" w14:textId="77777777" w:rsidR="00BE4D27" w:rsidRPr="003F471F" w:rsidRDefault="00BE4D27" w:rsidP="00BE4D27">
      <w:pPr>
        <w:spacing w:after="60"/>
        <w:ind w:left="720"/>
        <w:rPr>
          <w:lang w:val="it-IT"/>
        </w:rPr>
      </w:pPr>
      <w:r w:rsidRPr="003F471F">
        <w:rPr>
          <w:rFonts w:cs="Tahoma"/>
          <w:b/>
          <w:lang w:val="it-IT"/>
        </w:rPr>
        <w:t>Diritti di Downgrade</w:t>
      </w:r>
    </w:p>
    <w:p w14:paraId="5ED0B77C" w14:textId="77777777" w:rsidR="00BE4D27" w:rsidRPr="003F471F" w:rsidRDefault="00BE4D27" w:rsidP="006C4578">
      <w:pPr>
        <w:ind w:left="720"/>
        <w:rPr>
          <w:lang w:val="it-IT"/>
        </w:rPr>
      </w:pPr>
      <w:r w:rsidRPr="003F471F">
        <w:rPr>
          <w:rFonts w:cs="Tahoma"/>
          <w:bCs/>
          <w:spacing w:val="-2"/>
          <w:szCs w:val="18"/>
          <w:lang w:val="it-IT"/>
        </w:rPr>
        <w:t>Per il servizio Visio Pro per Office 365 non sono previsti diritti di downgrade. Per ulteriori informazioni in merito ai requisiti per l</w:t>
      </w:r>
      <w:r w:rsidR="001C4212" w:rsidRPr="003F471F">
        <w:rPr>
          <w:rFonts w:cs="Tahoma"/>
          <w:bCs/>
          <w:spacing w:val="-2"/>
          <w:szCs w:val="18"/>
          <w:lang w:val="it-IT"/>
        </w:rPr>
        <w:t>’</w:t>
      </w:r>
      <w:r w:rsidRPr="003F471F">
        <w:rPr>
          <w:rFonts w:cs="Tahoma"/>
          <w:bCs/>
          <w:spacing w:val="-2"/>
          <w:szCs w:val="18"/>
          <w:lang w:val="it-IT"/>
        </w:rPr>
        <w:t xml:space="preserve">aggiornamento dei Servizi Online, consultare il documento Diritti di Utilizzo del Prodotto (Product Use Rights o PUR) alla pagina </w:t>
      </w:r>
      <w:hyperlink r:id="rId40" w:history="1">
        <w:r w:rsidR="00EB5FFE" w:rsidRPr="003F471F">
          <w:rPr>
            <w:rStyle w:val="Hyperlink"/>
            <w:rFonts w:cs="Tahoma"/>
            <w:bCs/>
            <w:szCs w:val="18"/>
            <w:lang w:val="it-IT"/>
          </w:rPr>
          <w:t>http://www.microsoftvolumelicensing.com/userights/PUR.aspx</w:t>
        </w:r>
      </w:hyperlink>
    </w:p>
    <w:p w14:paraId="081BE7A4" w14:textId="77777777" w:rsidR="00223A77" w:rsidRPr="003F471F" w:rsidRDefault="00A560B6" w:rsidP="00223A77">
      <w:pPr>
        <w:pStyle w:val="Heading3"/>
        <w:rPr>
          <w:lang w:val="it-IT"/>
        </w:rPr>
      </w:pPr>
      <w:bookmarkStart w:id="1047" w:name="_19_Visual_Studio"/>
      <w:bookmarkStart w:id="1048" w:name="_Toc336338275"/>
      <w:bookmarkStart w:id="1049" w:name="_Toc371663671"/>
      <w:bookmarkStart w:id="1050" w:name="Aps_12VS2010Professional"/>
      <w:bookmarkStart w:id="1051" w:name="_Toc252341836"/>
      <w:bookmarkEnd w:id="1047"/>
      <w:r w:rsidRPr="003F471F">
        <w:rPr>
          <w:rFonts w:ascii="Tahoma" w:hAnsi="Tahoma"/>
          <w:caps/>
          <w:color w:val="F66400"/>
          <w:sz w:val="22"/>
          <w:vertAlign w:val="superscript"/>
          <w:lang w:val="it-IT"/>
        </w:rPr>
        <w:t>20</w:t>
      </w:r>
      <w:r w:rsidRPr="003F471F">
        <w:rPr>
          <w:rFonts w:ascii="Tahoma" w:hAnsi="Tahoma"/>
          <w:color w:val="F66400"/>
          <w:sz w:val="22"/>
          <w:lang w:val="it-IT"/>
        </w:rPr>
        <w:t xml:space="preserve"> Visual Studio Professional 2012</w:t>
      </w:r>
      <w:bookmarkEnd w:id="1048"/>
      <w:bookmarkEnd w:id="1049"/>
    </w:p>
    <w:bookmarkEnd w:id="1050"/>
    <w:p w14:paraId="31923F05" w14:textId="77777777" w:rsidR="009275A3" w:rsidRPr="003F471F" w:rsidRDefault="009275A3" w:rsidP="009275A3">
      <w:pPr>
        <w:pStyle w:val="FootnoteBulletLevel1"/>
        <w:tabs>
          <w:tab w:val="clear" w:pos="900"/>
        </w:tabs>
        <w:spacing w:before="0" w:after="0"/>
        <w:ind w:left="0" w:firstLine="0"/>
        <w:rPr>
          <w:lang w:val="it-IT"/>
        </w:rPr>
      </w:pPr>
    </w:p>
    <w:p w14:paraId="52885E62" w14:textId="77777777" w:rsidR="006D58DB" w:rsidRPr="003F471F" w:rsidRDefault="006D58DB" w:rsidP="00864B8A">
      <w:pPr>
        <w:spacing w:after="60"/>
        <w:ind w:left="720"/>
        <w:rPr>
          <w:lang w:val="it-IT"/>
        </w:rPr>
      </w:pPr>
      <w:r w:rsidRPr="003F471F">
        <w:rPr>
          <w:rFonts w:cs="Tahoma"/>
          <w:b/>
          <w:lang w:val="it-IT"/>
        </w:rPr>
        <w:t>Percorso di Migrazione di Software Assurance per Visual Studio LightSwitch 2011</w:t>
      </w:r>
    </w:p>
    <w:p w14:paraId="5499BEF3" w14:textId="77777777" w:rsidR="006D58DB" w:rsidRPr="003F471F" w:rsidRDefault="006D58DB" w:rsidP="009275A3">
      <w:pPr>
        <w:pStyle w:val="FootnoteBulletLevel1"/>
        <w:tabs>
          <w:tab w:val="clear" w:pos="900"/>
        </w:tabs>
        <w:spacing w:before="0" w:after="0"/>
        <w:ind w:left="720" w:firstLine="0"/>
        <w:rPr>
          <w:lang w:val="it-IT"/>
        </w:rPr>
      </w:pPr>
      <w:r w:rsidRPr="003F471F">
        <w:rPr>
          <w:rFonts w:ascii="Tahoma" w:hAnsi="Tahoma" w:cs="Tahoma"/>
          <w:sz w:val="18"/>
          <w:lang w:val="it-IT"/>
        </w:rPr>
        <w:t>Le società con una copertura Software Assurance attiva per Visual Studio LightSwitch 2011 alla data di disponibilità del download di Visual Studio Professional 2012 potranno utilizzare Visual Studio Professional 2012. Il diritto di utilizzo di Visual Studio Professional 2012 ai sensi di tale offerta cesserà alla cessazione del diritto di utilizzo di Visual Studio LightSwitch 2011 in virtù delle relative licenze qualificanti.</w:t>
      </w:r>
      <w:r w:rsidR="00E34ED3" w:rsidRPr="003F471F">
        <w:rPr>
          <w:rFonts w:ascii="Tahoma" w:hAnsi="Tahoma" w:cs="Tahoma"/>
          <w:sz w:val="18"/>
          <w:lang w:val="it-IT"/>
        </w:rPr>
        <w:t xml:space="preserve"> </w:t>
      </w:r>
      <w:r w:rsidRPr="003F471F">
        <w:rPr>
          <w:rFonts w:ascii="Tahoma" w:hAnsi="Tahoma" w:cs="Tahoma"/>
          <w:sz w:val="18"/>
          <w:lang w:val="it-IT"/>
        </w:rPr>
        <w:t>L</w:t>
      </w:r>
      <w:r w:rsidR="001C4212" w:rsidRPr="003F471F">
        <w:rPr>
          <w:rFonts w:ascii="Tahoma" w:hAnsi="Tahoma" w:cs="Tahoma"/>
          <w:sz w:val="18"/>
          <w:lang w:val="it-IT"/>
        </w:rPr>
        <w:t>’</w:t>
      </w:r>
      <w:r w:rsidRPr="003F471F">
        <w:rPr>
          <w:rFonts w:ascii="Tahoma" w:hAnsi="Tahoma" w:cs="Tahoma"/>
          <w:sz w:val="18"/>
          <w:lang w:val="it-IT"/>
        </w:rPr>
        <w:t>utilizzo di Visual Studio Professional 2012 è regolato dai diritti di utilizzo di Visual Studio Professional 2012 e dalle condizioni del contratto multilicenza della società.</w:t>
      </w:r>
      <w:r w:rsidR="00E34ED3" w:rsidRPr="003F471F">
        <w:rPr>
          <w:rFonts w:ascii="Tahoma" w:hAnsi="Tahoma" w:cs="Tahoma"/>
          <w:sz w:val="18"/>
          <w:lang w:val="it-IT"/>
        </w:rPr>
        <w:t xml:space="preserve"> </w:t>
      </w:r>
      <w:r w:rsidRPr="003F471F">
        <w:rPr>
          <w:rFonts w:ascii="Tahoma" w:hAnsi="Tahoma" w:cs="Tahoma"/>
          <w:sz w:val="18"/>
          <w:lang w:val="it-IT"/>
        </w:rPr>
        <w:t>La presente nota relativa alle condizioni del prodotto e la prova da parte della società della corrispondente licenza qualificante costituiscono insieme la prova del diritto di utilizzo di Visual Studio Professional 2012 ai sensi della presente offerta.</w:t>
      </w:r>
      <w:r w:rsidR="00E34ED3" w:rsidRPr="003F471F">
        <w:rPr>
          <w:rFonts w:ascii="Tahoma" w:hAnsi="Tahoma" w:cs="Tahoma"/>
          <w:sz w:val="18"/>
          <w:lang w:val="it-IT"/>
        </w:rPr>
        <w:t xml:space="preserve"> </w:t>
      </w:r>
    </w:p>
    <w:p w14:paraId="293F58F4" w14:textId="77777777" w:rsidR="00223A77" w:rsidRPr="003F471F" w:rsidRDefault="00223A77" w:rsidP="009275A3">
      <w:pPr>
        <w:rPr>
          <w:lang w:val="it-IT"/>
        </w:rPr>
      </w:pPr>
    </w:p>
    <w:p w14:paraId="7E4458F6" w14:textId="77777777" w:rsidR="00691648" w:rsidRPr="003F471F" w:rsidRDefault="00691648" w:rsidP="00691648">
      <w:pPr>
        <w:spacing w:after="60"/>
        <w:ind w:left="720"/>
        <w:rPr>
          <w:lang w:val="it-IT"/>
        </w:rPr>
      </w:pPr>
      <w:r w:rsidRPr="003F471F">
        <w:rPr>
          <w:b/>
          <w:bCs/>
          <w:lang w:val="it-IT"/>
        </w:rPr>
        <w:t>Percorso di Migrazione di Software Assurance per Expression Studio Ultimate 4</w:t>
      </w:r>
    </w:p>
    <w:p w14:paraId="1F15CAC8" w14:textId="77777777" w:rsidR="00691648" w:rsidRPr="003F471F" w:rsidRDefault="00691648" w:rsidP="00691648">
      <w:pPr>
        <w:ind w:left="720"/>
        <w:rPr>
          <w:lang w:val="it-IT"/>
        </w:rPr>
      </w:pPr>
      <w:r w:rsidRPr="003F471F">
        <w:rPr>
          <w:lang w:val="it-IT"/>
        </w:rPr>
        <w:t>Le società con una copertura Software Assurance attiva per Expression Studio Ultimate 4 al 1 marzo 2013 sono idonee a utilizzare Visual Studio Professional 2012. Il diritto di utilizzo di Visual Studio Professional 2012 scadrà alla scadenza del diritto di utilizzo di Expression Studio Ultimate 4 ai sensi delle corrispondenti licenze qualificanti. L</w:t>
      </w:r>
      <w:r w:rsidR="001C4212" w:rsidRPr="003F471F">
        <w:rPr>
          <w:lang w:val="it-IT"/>
        </w:rPr>
        <w:t>’</w:t>
      </w:r>
      <w:r w:rsidRPr="003F471F">
        <w:rPr>
          <w:lang w:val="it-IT"/>
        </w:rPr>
        <w:t>utilizzo di Visual Studio Professional 2012 è disciplinato dai diritti sull</w:t>
      </w:r>
      <w:r w:rsidR="001C4212" w:rsidRPr="003F471F">
        <w:rPr>
          <w:lang w:val="it-IT"/>
        </w:rPr>
        <w:t>’</w:t>
      </w:r>
      <w:r w:rsidRPr="003F471F">
        <w:rPr>
          <w:lang w:val="it-IT"/>
        </w:rPr>
        <w:t>utilizzo per il software Visual Studio Professional 2012 e dalle condizioni del contratto multilicenza della società. La presente nota relativa alle condizioni del prodotto e la prova delle corrispondenti licenze qualificanti attestano il diritto di utilizzo di Visual Studio Professional 2012 ai sensi della presente offerta.</w:t>
      </w:r>
      <w:r w:rsidR="00E34ED3" w:rsidRPr="003F471F">
        <w:rPr>
          <w:lang w:val="it-IT"/>
        </w:rPr>
        <w:t xml:space="preserve"> </w:t>
      </w:r>
    </w:p>
    <w:p w14:paraId="22112669" w14:textId="77777777" w:rsidR="009275A3" w:rsidRPr="003F471F" w:rsidRDefault="009275A3" w:rsidP="009275A3">
      <w:pPr>
        <w:rPr>
          <w:lang w:val="it-IT"/>
        </w:rPr>
      </w:pPr>
    </w:p>
    <w:p w14:paraId="06FB5620" w14:textId="77777777" w:rsidR="00F73587" w:rsidRPr="003F471F" w:rsidRDefault="00F73587" w:rsidP="009275A3">
      <w:pPr>
        <w:rPr>
          <w:lang w:val="it-IT"/>
        </w:rPr>
      </w:pPr>
    </w:p>
    <w:p w14:paraId="7323C424" w14:textId="77777777" w:rsidR="00223A77" w:rsidRPr="003F471F" w:rsidRDefault="00A560B6" w:rsidP="00223A77">
      <w:pPr>
        <w:pStyle w:val="Heading3"/>
        <w:rPr>
          <w:lang w:val="it-IT"/>
        </w:rPr>
      </w:pPr>
      <w:bookmarkStart w:id="1052" w:name="_20_Visual_Studio"/>
      <w:bookmarkStart w:id="1053" w:name="_Toc336338276"/>
      <w:bookmarkStart w:id="1054" w:name="_Toc371663672"/>
      <w:bookmarkStart w:id="1055" w:name="Aps_13VS2010ProfessionalMSDN"/>
      <w:bookmarkEnd w:id="1052"/>
      <w:r w:rsidRPr="003F471F">
        <w:rPr>
          <w:rFonts w:ascii="Tahoma" w:hAnsi="Tahoma"/>
          <w:caps/>
          <w:color w:val="F66400"/>
          <w:sz w:val="22"/>
          <w:vertAlign w:val="superscript"/>
          <w:lang w:val="it-IT"/>
        </w:rPr>
        <w:t>21</w:t>
      </w:r>
      <w:r w:rsidRPr="003F471F">
        <w:rPr>
          <w:rFonts w:ascii="Tahoma" w:hAnsi="Tahoma"/>
          <w:color w:val="F66400"/>
          <w:sz w:val="22"/>
          <w:lang w:val="it-IT"/>
        </w:rPr>
        <w:t xml:space="preserve"> Visual Studio Professional 2013 con MSDN</w:t>
      </w:r>
      <w:bookmarkEnd w:id="1053"/>
      <w:bookmarkEnd w:id="1054"/>
      <w:r w:rsidRPr="003F471F">
        <w:rPr>
          <w:rFonts w:ascii="Tahoma" w:hAnsi="Tahoma"/>
          <w:color w:val="F66400"/>
          <w:sz w:val="22"/>
          <w:lang w:val="it-IT"/>
        </w:rPr>
        <w:t xml:space="preserve"> </w:t>
      </w:r>
      <w:bookmarkEnd w:id="1051"/>
    </w:p>
    <w:p w14:paraId="3E2893F6" w14:textId="77777777" w:rsidR="00F6352F" w:rsidRPr="003F471F" w:rsidRDefault="00F6352F" w:rsidP="005B0791">
      <w:pPr>
        <w:ind w:left="720"/>
        <w:rPr>
          <w:lang w:val="it-IT"/>
        </w:rPr>
      </w:pPr>
    </w:p>
    <w:bookmarkEnd w:id="1055"/>
    <w:p w14:paraId="35C11A03" w14:textId="77777777" w:rsidR="001026FD" w:rsidRPr="003F471F" w:rsidRDefault="001026FD" w:rsidP="00864B8A">
      <w:pPr>
        <w:spacing w:after="60"/>
        <w:ind w:left="720"/>
        <w:rPr>
          <w:lang w:val="it-IT"/>
        </w:rPr>
      </w:pPr>
      <w:r w:rsidRPr="003F471F">
        <w:rPr>
          <w:rFonts w:cs="Tahoma"/>
          <w:b/>
          <w:lang w:val="it-IT"/>
        </w:rPr>
        <w:t>Visual Studio Team Foundation Server 2013</w:t>
      </w:r>
    </w:p>
    <w:p w14:paraId="4C0FB02B" w14:textId="77777777" w:rsidR="001026FD" w:rsidRPr="003F471F" w:rsidRDefault="001026FD" w:rsidP="005B0791">
      <w:pPr>
        <w:pStyle w:val="EndnoteText"/>
        <w:tabs>
          <w:tab w:val="num" w:pos="1350"/>
        </w:tabs>
        <w:ind w:left="720"/>
        <w:rPr>
          <w:lang w:val="it-IT"/>
        </w:rPr>
      </w:pPr>
      <w:r w:rsidRPr="003F471F">
        <w:rPr>
          <w:rFonts w:ascii="Tahoma" w:hAnsi="Tahoma" w:cs="Tahoma"/>
          <w:sz w:val="18"/>
          <w:lang w:val="it-IT"/>
        </w:rPr>
        <w:t>Il sottoscrittore è autorizzato a ricevere una licenza server per Visual Studio Team Foundation Server 2013 e</w:t>
      </w:r>
      <w:r w:rsidR="006B2556" w:rsidRPr="003F471F">
        <w:rPr>
          <w:rFonts w:ascii="Tahoma" w:hAnsi="Tahoma" w:cs="Tahoma"/>
          <w:sz w:val="18"/>
          <w:lang w:val="it-IT"/>
        </w:rPr>
        <w:t> </w:t>
      </w:r>
      <w:r w:rsidRPr="003F471F">
        <w:rPr>
          <w:rFonts w:ascii="Tahoma" w:hAnsi="Tahoma" w:cs="Tahoma"/>
          <w:sz w:val="18"/>
          <w:lang w:val="it-IT"/>
        </w:rPr>
        <w:t>una User CAL per Team Foundation Server. La licenza CAL può essere utilizzata esclusivamente dal sottoscrittore.</w:t>
      </w:r>
    </w:p>
    <w:p w14:paraId="10E63B9D" w14:textId="77777777" w:rsidR="001026FD" w:rsidRPr="003F471F" w:rsidRDefault="001026FD" w:rsidP="005B0791">
      <w:pPr>
        <w:pStyle w:val="EndnoteText"/>
        <w:tabs>
          <w:tab w:val="num" w:pos="1350"/>
        </w:tabs>
        <w:ind w:left="720"/>
        <w:rPr>
          <w:lang w:val="it-IT"/>
        </w:rPr>
      </w:pPr>
    </w:p>
    <w:p w14:paraId="6B89AF47" w14:textId="77777777" w:rsidR="001026FD" w:rsidRPr="003F471F" w:rsidRDefault="001026FD" w:rsidP="00864B8A">
      <w:pPr>
        <w:spacing w:after="60"/>
        <w:ind w:left="720"/>
        <w:rPr>
          <w:lang w:val="it-IT"/>
        </w:rPr>
      </w:pPr>
      <w:r w:rsidRPr="003F471F">
        <w:rPr>
          <w:rFonts w:cs="Tahoma"/>
          <w:b/>
          <w:lang w:val="it-IT"/>
        </w:rPr>
        <w:t>SQL Server Parallel Data Warehouse Developer</w:t>
      </w:r>
    </w:p>
    <w:p w14:paraId="1C162E4E" w14:textId="77777777" w:rsidR="001026FD" w:rsidRPr="003F471F" w:rsidRDefault="001026FD" w:rsidP="005B0791">
      <w:pPr>
        <w:pStyle w:val="EndnoteText"/>
        <w:tabs>
          <w:tab w:val="num" w:pos="1350"/>
        </w:tabs>
        <w:ind w:left="720"/>
        <w:rPr>
          <w:lang w:val="it-IT"/>
        </w:rPr>
      </w:pPr>
      <w:r w:rsidRPr="003F471F">
        <w:rPr>
          <w:rFonts w:ascii="Tahoma" w:hAnsi="Tahoma" w:cs="Tahoma"/>
          <w:sz w:val="18"/>
          <w:lang w:val="it-IT"/>
        </w:rPr>
        <w:t>Il sottoscrittore è idoneo a ricevere una licenza per SQL Server 2012 Parallel Data Warehouse Developer.</w:t>
      </w:r>
    </w:p>
    <w:p w14:paraId="19FB3563" w14:textId="77777777" w:rsidR="005B0791" w:rsidRPr="003F471F" w:rsidRDefault="005B0791" w:rsidP="005B0791">
      <w:pPr>
        <w:pStyle w:val="FootnoteBulletLevel1"/>
        <w:tabs>
          <w:tab w:val="clear" w:pos="900"/>
          <w:tab w:val="num" w:pos="1350"/>
        </w:tabs>
        <w:spacing w:before="0" w:after="0"/>
        <w:ind w:left="720" w:firstLine="0"/>
        <w:rPr>
          <w:lang w:val="it-IT"/>
        </w:rPr>
      </w:pPr>
    </w:p>
    <w:p w14:paraId="553BE2A4" w14:textId="77777777" w:rsidR="00223A77" w:rsidRPr="003F471F" w:rsidRDefault="00223A77" w:rsidP="00864B8A">
      <w:pPr>
        <w:spacing w:after="60"/>
        <w:ind w:left="720"/>
        <w:rPr>
          <w:lang w:val="it-IT"/>
        </w:rPr>
      </w:pPr>
      <w:r w:rsidRPr="003F471F">
        <w:rPr>
          <w:rFonts w:cs="Tahoma"/>
          <w:b/>
          <w:lang w:val="it-IT"/>
        </w:rPr>
        <w:t>Percorso di Migrazione di Software Assurance per Visual Studio 2010 Professional con MSDN Integrato</w:t>
      </w:r>
    </w:p>
    <w:p w14:paraId="757298F3" w14:textId="77777777" w:rsidR="00223A77" w:rsidRPr="003F471F" w:rsidRDefault="00223A77" w:rsidP="005B0791">
      <w:pPr>
        <w:pStyle w:val="FootnoteBulletLevel1"/>
        <w:tabs>
          <w:tab w:val="clear" w:pos="900"/>
          <w:tab w:val="num" w:pos="1350"/>
        </w:tabs>
        <w:spacing w:before="0" w:after="0"/>
        <w:ind w:left="720" w:firstLine="0"/>
        <w:rPr>
          <w:lang w:val="it-IT"/>
        </w:rPr>
      </w:pPr>
      <w:r w:rsidRPr="003F471F">
        <w:rPr>
          <w:rFonts w:ascii="Tahoma" w:hAnsi="Tahoma" w:cs="Tahoma"/>
          <w:sz w:val="18"/>
          <w:lang w:val="it-IT"/>
        </w:rPr>
        <w:t xml:space="preserve">La versione sostitutiva di Visual Studio 2010 Professional con MSDN Integrato è Visual Studio Professional 2012 con MSDN. </w:t>
      </w:r>
    </w:p>
    <w:p w14:paraId="48628748" w14:textId="77777777" w:rsidR="005B0791" w:rsidRPr="003F471F" w:rsidRDefault="005B0791" w:rsidP="005B0791">
      <w:pPr>
        <w:pStyle w:val="FootnoteBulletLevel1"/>
        <w:tabs>
          <w:tab w:val="clear" w:pos="900"/>
          <w:tab w:val="num" w:pos="1350"/>
        </w:tabs>
        <w:spacing w:before="0" w:after="0"/>
        <w:ind w:left="720" w:firstLine="0"/>
        <w:rPr>
          <w:lang w:val="it-IT"/>
        </w:rPr>
      </w:pPr>
    </w:p>
    <w:p w14:paraId="06ECA94E" w14:textId="77777777" w:rsidR="00223A77" w:rsidRPr="003F471F" w:rsidRDefault="00223A77" w:rsidP="00864B8A">
      <w:pPr>
        <w:spacing w:after="60"/>
        <w:ind w:left="720"/>
        <w:rPr>
          <w:lang w:val="it-IT"/>
        </w:rPr>
      </w:pPr>
      <w:r w:rsidRPr="003F471F">
        <w:rPr>
          <w:rFonts w:cs="Tahoma"/>
          <w:b/>
          <w:lang w:val="it-IT"/>
        </w:rPr>
        <w:t>Requisiti di Idoneità per Software Assurance</w:t>
      </w:r>
    </w:p>
    <w:p w14:paraId="4027C823" w14:textId="77777777" w:rsidR="00BE4D27" w:rsidRPr="003F471F" w:rsidRDefault="00223A77" w:rsidP="000C6DBC">
      <w:pPr>
        <w:pStyle w:val="EndnoteText"/>
        <w:tabs>
          <w:tab w:val="left" w:pos="1170"/>
        </w:tabs>
        <w:ind w:left="720"/>
        <w:rPr>
          <w:lang w:val="it-IT"/>
        </w:rPr>
      </w:pPr>
      <w:r w:rsidRPr="003F471F">
        <w:rPr>
          <w:rFonts w:ascii="Tahoma" w:hAnsi="Tahoma" w:cs="Tahoma"/>
          <w:sz w:val="18"/>
          <w:lang w:val="it-IT"/>
        </w:rPr>
        <w:t>Le società con copertura Software Assurance in scadenza per le licenze dei seguenti prodotti sono idonee a</w:t>
      </w:r>
      <w:r w:rsidR="006B2556" w:rsidRPr="003F471F">
        <w:rPr>
          <w:rFonts w:ascii="Tahoma" w:hAnsi="Tahoma" w:cs="Tahoma"/>
          <w:sz w:val="18"/>
          <w:lang w:val="it-IT"/>
        </w:rPr>
        <w:t> </w:t>
      </w:r>
      <w:r w:rsidRPr="003F471F">
        <w:rPr>
          <w:rFonts w:ascii="Tahoma" w:hAnsi="Tahoma" w:cs="Tahoma"/>
          <w:sz w:val="18"/>
          <w:lang w:val="it-IT"/>
        </w:rPr>
        <w:t>rinnovare la copertura come Visual Studio Professional 2013 con MSDN.</w:t>
      </w:r>
      <w:r w:rsidRPr="003F471F">
        <w:rPr>
          <w:rFonts w:cs="Tahoma"/>
          <w:lang w:val="it-IT"/>
        </w:rPr>
        <w:t xml:space="preserve"> </w:t>
      </w:r>
      <w:r w:rsidRPr="003F471F">
        <w:rPr>
          <w:rFonts w:ascii="Tahoma" w:hAnsi="Tahoma" w:cs="Tahoma"/>
          <w:sz w:val="18"/>
          <w:lang w:val="it-IT"/>
        </w:rPr>
        <w:t>Quando viene effettuato il rinnovo a un livello di abbonamento MSDN diverso, le nuove condizioni per l</w:t>
      </w:r>
      <w:r w:rsidR="001C4212" w:rsidRPr="003F471F">
        <w:rPr>
          <w:rFonts w:ascii="Tahoma" w:hAnsi="Tahoma" w:cs="Tahoma"/>
          <w:sz w:val="18"/>
          <w:lang w:val="it-IT"/>
        </w:rPr>
        <w:t>’</w:t>
      </w:r>
      <w:r w:rsidRPr="003F471F">
        <w:rPr>
          <w:rFonts w:ascii="Tahoma" w:hAnsi="Tahoma" w:cs="Tahoma"/>
          <w:sz w:val="18"/>
          <w:lang w:val="it-IT"/>
        </w:rPr>
        <w:t>utilizzo sostituiscono quelle precedenti e</w:t>
      </w:r>
      <w:r w:rsidR="006B2556" w:rsidRPr="003F471F">
        <w:rPr>
          <w:rFonts w:ascii="Tahoma" w:hAnsi="Tahoma" w:cs="Tahoma"/>
          <w:sz w:val="18"/>
          <w:lang w:val="it-IT"/>
        </w:rPr>
        <w:t> </w:t>
      </w:r>
      <w:r w:rsidRPr="003F471F">
        <w:rPr>
          <w:rFonts w:ascii="Tahoma" w:hAnsi="Tahoma" w:cs="Tahoma"/>
          <w:sz w:val="18"/>
          <w:lang w:val="it-IT"/>
        </w:rPr>
        <w:t>qualsiasi prodotto software non incluso nel nuovo abbonamento MSDN dovrà essere rimosso.</w:t>
      </w:r>
    </w:p>
    <w:p w14:paraId="5135C666" w14:textId="77777777" w:rsidR="00223A77" w:rsidRPr="003F471F" w:rsidRDefault="00223A77" w:rsidP="00223A77">
      <w:pPr>
        <w:pStyle w:val="EndnoteText"/>
        <w:rPr>
          <w:lang w:val="it-IT"/>
        </w:rPr>
      </w:pPr>
    </w:p>
    <w:p w14:paraId="17090F2C" w14:textId="77777777" w:rsidR="00223A77" w:rsidRPr="0058047D" w:rsidRDefault="00223A77" w:rsidP="005B0791">
      <w:pPr>
        <w:pStyle w:val="FootnoteBulletLevel2"/>
        <w:numPr>
          <w:ilvl w:val="0"/>
          <w:numId w:val="4"/>
        </w:numPr>
        <w:spacing w:before="0" w:after="60"/>
        <w:ind w:left="1440"/>
      </w:pPr>
      <w:r w:rsidRPr="0058047D">
        <w:rPr>
          <w:rFonts w:ascii="Tahoma" w:hAnsi="Tahoma" w:cs="Tahoma"/>
          <w:sz w:val="18"/>
        </w:rPr>
        <w:t>Visual Studio Ultimate con MSDN</w:t>
      </w:r>
    </w:p>
    <w:p w14:paraId="5197D5D6" w14:textId="77777777" w:rsidR="00223A77" w:rsidRPr="0058047D" w:rsidRDefault="00223A77" w:rsidP="005B0791">
      <w:pPr>
        <w:pStyle w:val="FootnoteBulletLevel2"/>
        <w:numPr>
          <w:ilvl w:val="0"/>
          <w:numId w:val="4"/>
        </w:numPr>
        <w:spacing w:before="0" w:after="60"/>
        <w:ind w:left="1440"/>
      </w:pPr>
      <w:r w:rsidRPr="0058047D">
        <w:rPr>
          <w:rFonts w:ascii="Tahoma" w:hAnsi="Tahoma" w:cs="Tahoma"/>
          <w:sz w:val="18"/>
        </w:rPr>
        <w:t>Visual Studio Premium con MSDN</w:t>
      </w:r>
    </w:p>
    <w:p w14:paraId="48F35E30" w14:textId="77777777" w:rsidR="00223A77" w:rsidRPr="0058047D" w:rsidRDefault="00223A77" w:rsidP="005B0791">
      <w:pPr>
        <w:pStyle w:val="FootnoteBulletLevel2"/>
        <w:numPr>
          <w:ilvl w:val="0"/>
          <w:numId w:val="4"/>
        </w:numPr>
        <w:spacing w:before="0" w:after="60"/>
        <w:ind w:left="1440"/>
      </w:pPr>
      <w:r w:rsidRPr="0058047D">
        <w:rPr>
          <w:rFonts w:ascii="Tahoma" w:hAnsi="Tahoma" w:cs="Tahoma"/>
          <w:sz w:val="18"/>
        </w:rPr>
        <w:t>Visual Studio Professional con MSDN</w:t>
      </w:r>
    </w:p>
    <w:p w14:paraId="3B714369" w14:textId="77777777" w:rsidR="00223A77" w:rsidRPr="0058047D" w:rsidRDefault="00223A77" w:rsidP="005B0791">
      <w:pPr>
        <w:pStyle w:val="FootnoteBulletLevel2"/>
        <w:numPr>
          <w:ilvl w:val="0"/>
          <w:numId w:val="4"/>
        </w:numPr>
        <w:spacing w:before="0" w:after="60"/>
        <w:ind w:left="1440"/>
      </w:pPr>
      <w:r w:rsidRPr="0058047D">
        <w:rPr>
          <w:rFonts w:ascii="Tahoma" w:hAnsi="Tahoma" w:cs="Tahoma"/>
          <w:sz w:val="18"/>
        </w:rPr>
        <w:t>Visual Studio Professional con MSDN Embedded</w:t>
      </w:r>
    </w:p>
    <w:p w14:paraId="0333E32C" w14:textId="77777777" w:rsidR="00223A77" w:rsidRPr="003F471F" w:rsidRDefault="00223A77" w:rsidP="005B0791">
      <w:pPr>
        <w:pStyle w:val="FootnoteBulletLevel2"/>
        <w:numPr>
          <w:ilvl w:val="0"/>
          <w:numId w:val="4"/>
        </w:numPr>
        <w:spacing w:before="0" w:after="60"/>
        <w:ind w:left="1440"/>
        <w:rPr>
          <w:lang w:val="it-IT"/>
        </w:rPr>
      </w:pPr>
      <w:r w:rsidRPr="003F471F">
        <w:rPr>
          <w:rFonts w:ascii="Tahoma" w:hAnsi="Tahoma" w:cs="Tahoma"/>
          <w:sz w:val="18"/>
          <w:lang w:val="it-IT"/>
        </w:rPr>
        <w:t>Visual Studio Professional con MSDN Professional</w:t>
      </w:r>
    </w:p>
    <w:p w14:paraId="789EC228" w14:textId="77777777" w:rsidR="00223A77" w:rsidRPr="003F471F" w:rsidRDefault="00223A77" w:rsidP="005B0791">
      <w:pPr>
        <w:pStyle w:val="FootnoteBulletLevel2"/>
        <w:numPr>
          <w:ilvl w:val="0"/>
          <w:numId w:val="4"/>
        </w:numPr>
        <w:spacing w:before="0" w:after="60"/>
        <w:ind w:left="1440"/>
        <w:rPr>
          <w:lang w:val="it-IT"/>
        </w:rPr>
      </w:pPr>
      <w:r w:rsidRPr="003F471F">
        <w:rPr>
          <w:rFonts w:ascii="Tahoma" w:hAnsi="Tahoma" w:cs="Tahoma"/>
          <w:sz w:val="18"/>
          <w:lang w:val="it-IT"/>
        </w:rPr>
        <w:t>Visual Studio Professional con MSDN Premium</w:t>
      </w:r>
    </w:p>
    <w:p w14:paraId="7D8B7B0E" w14:textId="77777777" w:rsidR="00223A77" w:rsidRPr="0058047D" w:rsidRDefault="00223A77" w:rsidP="005B0791">
      <w:pPr>
        <w:pStyle w:val="FootnoteBulletLevel2"/>
        <w:numPr>
          <w:ilvl w:val="0"/>
          <w:numId w:val="4"/>
        </w:numPr>
        <w:spacing w:before="0" w:after="60"/>
        <w:ind w:left="1440"/>
      </w:pPr>
      <w:r w:rsidRPr="0058047D">
        <w:rPr>
          <w:rFonts w:ascii="Tahoma" w:hAnsi="Tahoma" w:cs="Tahoma"/>
          <w:sz w:val="18"/>
        </w:rPr>
        <w:t>Visual Studio Team System Team Suite con MSDN Premium</w:t>
      </w:r>
    </w:p>
    <w:p w14:paraId="6AFCC909" w14:textId="77777777" w:rsidR="00223A77" w:rsidRPr="0058047D" w:rsidRDefault="00223A77" w:rsidP="005B0791">
      <w:pPr>
        <w:pStyle w:val="FootnoteBulletLevel2"/>
        <w:numPr>
          <w:ilvl w:val="0"/>
          <w:numId w:val="4"/>
        </w:numPr>
        <w:spacing w:before="0" w:after="60"/>
        <w:ind w:left="1440"/>
      </w:pPr>
      <w:r w:rsidRPr="0058047D">
        <w:rPr>
          <w:rFonts w:ascii="Tahoma" w:hAnsi="Tahoma" w:cs="Tahoma"/>
          <w:sz w:val="18"/>
        </w:rPr>
        <w:t>Visual Studio Team System Test Edition con MSDN Premium</w:t>
      </w:r>
    </w:p>
    <w:p w14:paraId="7EB94F55" w14:textId="77777777" w:rsidR="00223A77" w:rsidRPr="0058047D" w:rsidRDefault="00223A77" w:rsidP="005B0791">
      <w:pPr>
        <w:pStyle w:val="FootnoteBulletLevel2"/>
        <w:numPr>
          <w:ilvl w:val="0"/>
          <w:numId w:val="4"/>
        </w:numPr>
        <w:spacing w:before="0" w:after="60"/>
        <w:ind w:left="1440"/>
      </w:pPr>
      <w:r w:rsidRPr="0058047D">
        <w:rPr>
          <w:rFonts w:ascii="Tahoma" w:hAnsi="Tahoma" w:cs="Tahoma"/>
          <w:sz w:val="18"/>
        </w:rPr>
        <w:t>Visual Studio Team System Development Edition con MSDN Premium</w:t>
      </w:r>
    </w:p>
    <w:p w14:paraId="262573D4" w14:textId="77777777" w:rsidR="00223A77" w:rsidRPr="0058047D" w:rsidRDefault="00223A77" w:rsidP="005B0791">
      <w:pPr>
        <w:pStyle w:val="FootnoteBulletLevel2"/>
        <w:numPr>
          <w:ilvl w:val="0"/>
          <w:numId w:val="4"/>
        </w:numPr>
        <w:spacing w:before="0" w:after="60"/>
        <w:ind w:left="1440"/>
      </w:pPr>
      <w:r w:rsidRPr="0058047D">
        <w:rPr>
          <w:rFonts w:ascii="Tahoma" w:hAnsi="Tahoma" w:cs="Tahoma"/>
          <w:sz w:val="18"/>
        </w:rPr>
        <w:t xml:space="preserve">Visual Studio Team System Architecture Edition con MSDN Premium </w:t>
      </w:r>
    </w:p>
    <w:p w14:paraId="05D960EA" w14:textId="77777777" w:rsidR="00223A77" w:rsidRPr="0058047D" w:rsidRDefault="00223A77" w:rsidP="005B0791">
      <w:pPr>
        <w:pStyle w:val="FootnoteBulletLevel2"/>
        <w:numPr>
          <w:ilvl w:val="0"/>
          <w:numId w:val="4"/>
        </w:numPr>
        <w:spacing w:before="0" w:after="60"/>
        <w:ind w:left="1440"/>
      </w:pPr>
      <w:r w:rsidRPr="0058047D">
        <w:rPr>
          <w:rFonts w:ascii="Tahoma" w:hAnsi="Tahoma" w:cs="Tahoma"/>
          <w:sz w:val="18"/>
        </w:rPr>
        <w:t>Visual Studio Team System Database Edition con MSDN Premium</w:t>
      </w:r>
    </w:p>
    <w:p w14:paraId="7F679CC3" w14:textId="77777777" w:rsidR="00223A77" w:rsidRPr="003F471F" w:rsidRDefault="00223A77" w:rsidP="005B0791">
      <w:pPr>
        <w:pStyle w:val="FootnoteBulletLevel2"/>
        <w:numPr>
          <w:ilvl w:val="0"/>
          <w:numId w:val="4"/>
        </w:numPr>
        <w:spacing w:before="0" w:after="60"/>
        <w:ind w:left="1440"/>
        <w:rPr>
          <w:lang w:val="it-IT"/>
        </w:rPr>
      </w:pPr>
      <w:r w:rsidRPr="003F471F">
        <w:rPr>
          <w:rFonts w:ascii="Tahoma" w:hAnsi="Tahoma" w:cs="Tahoma"/>
          <w:sz w:val="18"/>
          <w:lang w:val="it-IT"/>
        </w:rPr>
        <w:t>Società titolari di un abbonamento retail attivo per qualsiasi prodotto software indicato nel precedente elenco.</w:t>
      </w:r>
    </w:p>
    <w:p w14:paraId="44F5E80A" w14:textId="77777777" w:rsidR="00223A77" w:rsidRPr="003F471F" w:rsidRDefault="00223A77" w:rsidP="005B0791">
      <w:pPr>
        <w:pStyle w:val="FootnoteBulletLevel2"/>
        <w:numPr>
          <w:ilvl w:val="0"/>
          <w:numId w:val="4"/>
        </w:numPr>
        <w:spacing w:before="0" w:after="60"/>
        <w:ind w:left="1440"/>
        <w:rPr>
          <w:lang w:val="it-IT"/>
        </w:rPr>
      </w:pPr>
      <w:r w:rsidRPr="003F471F">
        <w:rPr>
          <w:rFonts w:ascii="Tahoma" w:hAnsi="Tahoma" w:cs="Tahoma"/>
          <w:sz w:val="18"/>
          <w:lang w:val="it-IT"/>
        </w:rPr>
        <w:t>MSDN Essentials (acquisto con la licenza retail di Visual Studio 2010 Professional)</w:t>
      </w:r>
    </w:p>
    <w:p w14:paraId="28D3A392" w14:textId="77777777" w:rsidR="00223A77" w:rsidRPr="003F471F" w:rsidRDefault="00223A77" w:rsidP="005B0791">
      <w:pPr>
        <w:pStyle w:val="FootnoteBulletLevel1"/>
        <w:spacing w:before="0" w:after="0"/>
        <w:ind w:left="0" w:firstLine="0"/>
        <w:rPr>
          <w:lang w:val="it-IT"/>
        </w:rPr>
      </w:pPr>
    </w:p>
    <w:p w14:paraId="5A36ED02" w14:textId="77777777" w:rsidR="00223A77" w:rsidRPr="003F471F" w:rsidRDefault="00223A77" w:rsidP="005B0791">
      <w:pPr>
        <w:pStyle w:val="FootnoteBulletLevel1"/>
        <w:tabs>
          <w:tab w:val="clear" w:pos="900"/>
        </w:tabs>
        <w:spacing w:before="0" w:after="0"/>
        <w:ind w:left="720" w:firstLine="0"/>
        <w:rPr>
          <w:lang w:val="it-IT"/>
        </w:rPr>
      </w:pPr>
      <w:r w:rsidRPr="003F471F">
        <w:rPr>
          <w:rFonts w:ascii="Tahoma" w:hAnsi="Tahoma" w:cs="Tahoma"/>
          <w:sz w:val="18"/>
          <w:lang w:val="it-IT"/>
        </w:rPr>
        <w:t>Le società che hanno stipulato contratti Enterprise, Select o Open Value e con copertura Software Assurance attiva su Visual Studio Professional 2013 con MSDN potranno anch</w:t>
      </w:r>
      <w:r w:rsidR="001C4212" w:rsidRPr="003F471F">
        <w:rPr>
          <w:rFonts w:ascii="Tahoma" w:hAnsi="Tahoma" w:cs="Tahoma"/>
          <w:sz w:val="18"/>
          <w:lang w:val="it-IT"/>
        </w:rPr>
        <w:t>’</w:t>
      </w:r>
      <w:r w:rsidRPr="003F471F">
        <w:rPr>
          <w:rFonts w:ascii="Tahoma" w:hAnsi="Tahoma" w:cs="Tahoma"/>
          <w:sz w:val="18"/>
          <w:lang w:val="it-IT"/>
        </w:rPr>
        <w:t xml:space="preserve">esse effettuare lo step-up a Visual Studio Premium 2013 con MSDN o a Visual Studio Ultimate 2013 con MSDN dopo aver acquistato gli </w:t>
      </w:r>
      <w:hyperlink w:anchor="Step_Up" w:history="1">
        <w:r w:rsidRPr="003F471F">
          <w:rPr>
            <w:rFonts w:ascii="Tahoma" w:hAnsi="Tahoma" w:cs="Tahoma"/>
            <w:sz w:val="18"/>
            <w:lang w:val="it-IT"/>
          </w:rPr>
          <w:t>SKU di Step-Up</w:t>
        </w:r>
      </w:hyperlink>
      <w:r w:rsidRPr="003F471F">
        <w:rPr>
          <w:rFonts w:ascii="Tahoma" w:hAnsi="Tahoma" w:cs="Tahoma"/>
          <w:sz w:val="18"/>
          <w:lang w:val="it-IT"/>
        </w:rPr>
        <w:t xml:space="preserve"> idonei.</w:t>
      </w:r>
    </w:p>
    <w:p w14:paraId="082F3ED2" w14:textId="77777777" w:rsidR="005B0791" w:rsidRPr="003F471F" w:rsidRDefault="005B0791" w:rsidP="005B0791">
      <w:pPr>
        <w:pStyle w:val="FootnoteBulletLevel2"/>
        <w:tabs>
          <w:tab w:val="clear" w:pos="1260"/>
        </w:tabs>
        <w:spacing w:before="0"/>
        <w:ind w:left="720" w:firstLine="0"/>
        <w:rPr>
          <w:lang w:val="it-IT"/>
        </w:rPr>
      </w:pPr>
    </w:p>
    <w:p w14:paraId="1789B0A5" w14:textId="77777777" w:rsidR="0055611F" w:rsidRPr="003F471F" w:rsidRDefault="009B2474" w:rsidP="001760D6">
      <w:pPr>
        <w:keepNext/>
        <w:spacing w:after="60"/>
        <w:ind w:left="720"/>
        <w:rPr>
          <w:lang w:val="it-IT"/>
        </w:rPr>
      </w:pPr>
      <w:r w:rsidRPr="003F471F">
        <w:rPr>
          <w:rFonts w:cs="Tahoma"/>
          <w:b/>
          <w:lang w:val="it-IT"/>
        </w:rPr>
        <w:t>Servizi “Subscription”</w:t>
      </w:r>
    </w:p>
    <w:p w14:paraId="184A5FD1" w14:textId="77777777" w:rsidR="0055611F" w:rsidRPr="003F471F" w:rsidRDefault="0055611F" w:rsidP="005B0791">
      <w:pPr>
        <w:pStyle w:val="FootnoteBulletLevel2"/>
        <w:tabs>
          <w:tab w:val="clear" w:pos="1260"/>
        </w:tabs>
        <w:spacing w:before="0"/>
        <w:ind w:left="720" w:firstLine="0"/>
        <w:rPr>
          <w:lang w:val="it-IT"/>
        </w:rPr>
      </w:pPr>
      <w:r w:rsidRPr="003F471F">
        <w:rPr>
          <w:rFonts w:ascii="Tahoma" w:hAnsi="Tahoma" w:cs="Tahoma"/>
          <w:sz w:val="18"/>
          <w:lang w:val="it-IT"/>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1C4212" w:rsidRPr="003F471F">
        <w:rPr>
          <w:rFonts w:ascii="Tahoma" w:hAnsi="Tahoma" w:cs="Tahoma"/>
          <w:sz w:val="18"/>
          <w:lang w:val="it-IT"/>
        </w:rPr>
        <w:t>’</w:t>
      </w:r>
      <w:r w:rsidRPr="003F471F">
        <w:rPr>
          <w:rFonts w:ascii="Tahoma" w:hAnsi="Tahoma" w:cs="Tahoma"/>
          <w:sz w:val="18"/>
          <w:lang w:val="it-IT"/>
        </w:rPr>
        <w:t>abbonamento.</w:t>
      </w:r>
    </w:p>
    <w:p w14:paraId="784A9F67" w14:textId="77777777" w:rsidR="0055611F" w:rsidRPr="003F471F" w:rsidRDefault="0055611F" w:rsidP="005B0791">
      <w:pPr>
        <w:pStyle w:val="FootnoteBulletLevel1"/>
        <w:tabs>
          <w:tab w:val="clear" w:pos="900"/>
        </w:tabs>
        <w:spacing w:before="0" w:after="0"/>
        <w:ind w:left="720" w:firstLine="0"/>
        <w:rPr>
          <w:lang w:val="it-IT"/>
        </w:rPr>
      </w:pPr>
    </w:p>
    <w:p w14:paraId="61D22163" w14:textId="77777777" w:rsidR="0055611F" w:rsidRPr="003F471F" w:rsidRDefault="009B2474" w:rsidP="00864B8A">
      <w:pPr>
        <w:spacing w:after="60"/>
        <w:ind w:left="720"/>
        <w:rPr>
          <w:lang w:val="it-IT"/>
        </w:rPr>
      </w:pPr>
      <w:r w:rsidRPr="003F471F">
        <w:rPr>
          <w:rFonts w:cs="Tahoma"/>
          <w:b/>
          <w:lang w:val="it-IT"/>
        </w:rPr>
        <w:t>Servizi della Piattaforma Windows Azure</w:t>
      </w:r>
    </w:p>
    <w:p w14:paraId="5557AD41" w14:textId="77777777" w:rsidR="0055611F" w:rsidRPr="003F471F" w:rsidRDefault="0055611F" w:rsidP="005B0791">
      <w:pPr>
        <w:pStyle w:val="FootnoteBulletLevel2"/>
        <w:tabs>
          <w:tab w:val="clear" w:pos="1260"/>
        </w:tabs>
        <w:spacing w:before="0"/>
        <w:ind w:left="720" w:firstLine="0"/>
        <w:rPr>
          <w:lang w:val="it-IT"/>
        </w:rPr>
      </w:pPr>
      <w:r w:rsidRPr="003F471F">
        <w:rPr>
          <w:rFonts w:ascii="Tahoma" w:hAnsi="Tahoma" w:cs="Tahoma"/>
          <w:sz w:val="18"/>
          <w:lang w:val="it-IT"/>
        </w:rPr>
        <w:t>I vantaggi di Windows Azure non possono essere una combinazione di più abbonamenti a MSDN su un singolo account di Windows Azure. L</w:t>
      </w:r>
      <w:r w:rsidR="001C4212" w:rsidRPr="003F471F">
        <w:rPr>
          <w:rFonts w:ascii="Tahoma" w:hAnsi="Tahoma" w:cs="Tahoma"/>
          <w:sz w:val="18"/>
          <w:lang w:val="it-IT"/>
        </w:rPr>
        <w:t>’</w:t>
      </w:r>
      <w:r w:rsidRPr="003F471F">
        <w:rPr>
          <w:rFonts w:ascii="Tahoma" w:hAnsi="Tahoma" w:cs="Tahoma"/>
          <w:sz w:val="18"/>
          <w:lang w:val="it-IT"/>
        </w:rPr>
        <w:t>uso di Windows Azure è soggetto alle relative condizioni per l</w:t>
      </w:r>
      <w:r w:rsidR="001C4212" w:rsidRPr="003F471F">
        <w:rPr>
          <w:rFonts w:ascii="Tahoma" w:hAnsi="Tahoma" w:cs="Tahoma"/>
          <w:sz w:val="18"/>
          <w:lang w:val="it-IT"/>
        </w:rPr>
        <w:t>’</w:t>
      </w:r>
      <w:r w:rsidRPr="003F471F">
        <w:rPr>
          <w:rFonts w:ascii="Tahoma" w:hAnsi="Tahoma" w:cs="Tahoma"/>
          <w:sz w:val="18"/>
          <w:lang w:val="it-IT"/>
        </w:rPr>
        <w:t>utilizzo.</w:t>
      </w:r>
    </w:p>
    <w:p w14:paraId="1F9E6BBC" w14:textId="77777777" w:rsidR="005B0791" w:rsidRPr="003F471F" w:rsidRDefault="005B0791" w:rsidP="005B0791">
      <w:pPr>
        <w:pStyle w:val="FootnoteBulletLevel2"/>
        <w:tabs>
          <w:tab w:val="clear" w:pos="1260"/>
        </w:tabs>
        <w:spacing w:before="0"/>
        <w:ind w:left="0" w:firstLine="0"/>
        <w:rPr>
          <w:lang w:val="it-IT"/>
        </w:rPr>
      </w:pPr>
    </w:p>
    <w:p w14:paraId="1B97CBF6" w14:textId="77777777" w:rsidR="005B0791" w:rsidRPr="003F471F" w:rsidRDefault="005B0791" w:rsidP="005B0791">
      <w:pPr>
        <w:pStyle w:val="FootnoteBulletLevel2"/>
        <w:tabs>
          <w:tab w:val="clear" w:pos="1260"/>
        </w:tabs>
        <w:spacing w:before="0"/>
        <w:ind w:left="0" w:firstLine="0"/>
        <w:rPr>
          <w:lang w:val="it-IT"/>
        </w:rPr>
      </w:pPr>
    </w:p>
    <w:p w14:paraId="29786CD8" w14:textId="77777777" w:rsidR="00223A77" w:rsidRPr="0058047D" w:rsidRDefault="00A560B6" w:rsidP="00223A77">
      <w:pPr>
        <w:pStyle w:val="Heading3"/>
      </w:pPr>
      <w:bookmarkStart w:id="1056" w:name="_21_Visual_Studio"/>
      <w:bookmarkStart w:id="1057" w:name="_Toc336338277"/>
      <w:bookmarkStart w:id="1058" w:name="_Toc371663673"/>
      <w:bookmarkStart w:id="1059" w:name="_Toc252341837"/>
      <w:bookmarkStart w:id="1060" w:name="Aps_16VS2010PremiumMSDN"/>
      <w:bookmarkEnd w:id="1056"/>
      <w:r w:rsidRPr="0058047D">
        <w:rPr>
          <w:rFonts w:ascii="Tahoma" w:hAnsi="Tahoma"/>
          <w:caps/>
          <w:color w:val="F66400"/>
          <w:sz w:val="22"/>
          <w:vertAlign w:val="superscript"/>
        </w:rPr>
        <w:t>22</w:t>
      </w:r>
      <w:r w:rsidRPr="0058047D">
        <w:rPr>
          <w:rFonts w:ascii="Tahoma" w:hAnsi="Tahoma"/>
          <w:color w:val="F66400"/>
          <w:sz w:val="22"/>
        </w:rPr>
        <w:t xml:space="preserve"> Visual Studio Premium 2013 con MSDN</w:t>
      </w:r>
      <w:bookmarkEnd w:id="1057"/>
      <w:bookmarkEnd w:id="1058"/>
      <w:r w:rsidRPr="0058047D">
        <w:rPr>
          <w:rFonts w:ascii="Tahoma" w:hAnsi="Tahoma"/>
          <w:color w:val="F66400"/>
          <w:sz w:val="22"/>
        </w:rPr>
        <w:t xml:space="preserve"> </w:t>
      </w:r>
      <w:bookmarkEnd w:id="1059"/>
    </w:p>
    <w:bookmarkEnd w:id="1060"/>
    <w:p w14:paraId="0BF45118" w14:textId="77777777" w:rsidR="00CB436E" w:rsidRPr="0058047D" w:rsidRDefault="00CB436E" w:rsidP="00CB436E">
      <w:pPr>
        <w:pStyle w:val="FootnoteBulletLevel1"/>
        <w:tabs>
          <w:tab w:val="clear" w:pos="900"/>
        </w:tabs>
        <w:spacing w:before="0" w:after="0"/>
        <w:ind w:left="720" w:firstLine="0"/>
      </w:pPr>
    </w:p>
    <w:p w14:paraId="36D7C928" w14:textId="77777777" w:rsidR="001026FD" w:rsidRPr="0058047D" w:rsidRDefault="001026FD" w:rsidP="00864B8A">
      <w:pPr>
        <w:spacing w:after="60"/>
        <w:ind w:left="720"/>
      </w:pPr>
      <w:r w:rsidRPr="0058047D">
        <w:rPr>
          <w:rFonts w:cs="Tahoma"/>
          <w:b/>
        </w:rPr>
        <w:t>Visual Studio Team Foundation Server 2013</w:t>
      </w:r>
    </w:p>
    <w:p w14:paraId="0F4CC94B" w14:textId="77777777" w:rsidR="001026FD" w:rsidRPr="003F471F" w:rsidRDefault="001026FD" w:rsidP="00CB436E">
      <w:pPr>
        <w:pStyle w:val="EndnoteText"/>
        <w:ind w:left="720"/>
        <w:rPr>
          <w:spacing w:val="-3"/>
          <w:lang w:val="it-IT"/>
        </w:rPr>
      </w:pPr>
      <w:r w:rsidRPr="003F471F">
        <w:rPr>
          <w:rFonts w:ascii="Tahoma" w:hAnsi="Tahoma" w:cs="Tahoma"/>
          <w:spacing w:val="-3"/>
          <w:sz w:val="18"/>
          <w:lang w:val="it-IT"/>
        </w:rPr>
        <w:t>Il sottoscrittore è autorizzato a ricevere una licenza server per Visual Studio Team Foundation Server 2013 e una User CAL per Team Foundation Server. La licenza CAL può essere utilizzata esclusivamente dal sottoscrittore.</w:t>
      </w:r>
    </w:p>
    <w:p w14:paraId="0FD2F9D9" w14:textId="77777777" w:rsidR="001026FD" w:rsidRPr="003F471F" w:rsidRDefault="001026FD" w:rsidP="00CB436E">
      <w:pPr>
        <w:pStyle w:val="EndnoteText"/>
        <w:ind w:left="720"/>
        <w:rPr>
          <w:lang w:val="it-IT"/>
        </w:rPr>
      </w:pPr>
    </w:p>
    <w:p w14:paraId="2BC7A4C4" w14:textId="77777777" w:rsidR="001026FD" w:rsidRPr="003F471F" w:rsidRDefault="001026FD" w:rsidP="00864B8A">
      <w:pPr>
        <w:spacing w:after="60"/>
        <w:ind w:left="720"/>
        <w:rPr>
          <w:lang w:val="it-IT"/>
        </w:rPr>
      </w:pPr>
      <w:r w:rsidRPr="003F471F">
        <w:rPr>
          <w:rFonts w:cs="Tahoma"/>
          <w:b/>
          <w:lang w:val="it-IT"/>
        </w:rPr>
        <w:t>SQL Server Parallel Data Warehouse Developer</w:t>
      </w:r>
    </w:p>
    <w:p w14:paraId="2508D01E" w14:textId="77777777" w:rsidR="001026FD" w:rsidRPr="003F471F" w:rsidRDefault="001026FD" w:rsidP="00CB436E">
      <w:pPr>
        <w:pStyle w:val="EndnoteText"/>
        <w:ind w:left="720"/>
        <w:rPr>
          <w:lang w:val="it-IT"/>
        </w:rPr>
      </w:pPr>
      <w:r w:rsidRPr="003F471F">
        <w:rPr>
          <w:rFonts w:ascii="Tahoma" w:hAnsi="Tahoma" w:cs="Tahoma"/>
          <w:sz w:val="18"/>
          <w:lang w:val="it-IT"/>
        </w:rPr>
        <w:t>Il sottoscrittore è idoneo a ricevere una licenza per SQL Server 2012 Parallel Data Warehouse Developer.</w:t>
      </w:r>
    </w:p>
    <w:p w14:paraId="5E24CB5D" w14:textId="77777777" w:rsidR="00CB436E" w:rsidRPr="003F471F" w:rsidRDefault="00CB436E" w:rsidP="00CB436E">
      <w:pPr>
        <w:pStyle w:val="FootnoteBulletLevel1"/>
        <w:tabs>
          <w:tab w:val="clear" w:pos="900"/>
        </w:tabs>
        <w:spacing w:before="0" w:after="0"/>
        <w:ind w:left="720" w:firstLine="0"/>
        <w:rPr>
          <w:lang w:val="it-IT"/>
        </w:rPr>
      </w:pPr>
    </w:p>
    <w:p w14:paraId="449A9F07" w14:textId="77777777" w:rsidR="00223A77" w:rsidRPr="003F471F" w:rsidRDefault="009B2474" w:rsidP="00864B8A">
      <w:pPr>
        <w:spacing w:after="60"/>
        <w:ind w:left="720"/>
        <w:rPr>
          <w:lang w:val="it-IT"/>
        </w:rPr>
      </w:pPr>
      <w:r w:rsidRPr="003F471F">
        <w:rPr>
          <w:rFonts w:cs="Tahoma"/>
          <w:b/>
          <w:lang w:val="it-IT"/>
        </w:rPr>
        <w:t>Requisiti di Idoneità per Software Assurance</w:t>
      </w:r>
    </w:p>
    <w:p w14:paraId="7AD3AD20" w14:textId="77777777" w:rsidR="00BE4D27" w:rsidRPr="003F471F" w:rsidRDefault="00223A77" w:rsidP="000C6DBC">
      <w:pPr>
        <w:pStyle w:val="EndnoteText"/>
        <w:tabs>
          <w:tab w:val="left" w:pos="1080"/>
        </w:tabs>
        <w:ind w:left="720"/>
        <w:rPr>
          <w:lang w:val="it-IT"/>
        </w:rPr>
      </w:pPr>
      <w:r w:rsidRPr="003F471F">
        <w:rPr>
          <w:rFonts w:ascii="Tahoma" w:hAnsi="Tahoma" w:cs="Tahoma"/>
          <w:sz w:val="18"/>
          <w:lang w:val="it-IT"/>
        </w:rPr>
        <w:t>Le società con copertura Software Assurance in scadenza per i seguenti prodotti sono idonee a rinnovare la</w:t>
      </w:r>
      <w:r w:rsidR="006B2556" w:rsidRPr="003F471F">
        <w:rPr>
          <w:rFonts w:ascii="Tahoma" w:hAnsi="Tahoma" w:cs="Tahoma"/>
          <w:sz w:val="18"/>
          <w:lang w:val="it-IT"/>
        </w:rPr>
        <w:t> </w:t>
      </w:r>
      <w:r w:rsidRPr="003F471F">
        <w:rPr>
          <w:rFonts w:ascii="Tahoma" w:hAnsi="Tahoma" w:cs="Tahoma"/>
          <w:sz w:val="18"/>
          <w:lang w:val="it-IT"/>
        </w:rPr>
        <w:t>copertura come Visual Studio Premium 2013 con MSDN. Quando viene effettuato il rinnovo a un livello di</w:t>
      </w:r>
      <w:r w:rsidR="006B2556" w:rsidRPr="003F471F">
        <w:rPr>
          <w:rFonts w:ascii="Tahoma" w:hAnsi="Tahoma" w:cs="Tahoma"/>
          <w:sz w:val="18"/>
          <w:lang w:val="it-IT"/>
        </w:rPr>
        <w:t> </w:t>
      </w:r>
      <w:r w:rsidRPr="003F471F">
        <w:rPr>
          <w:rFonts w:ascii="Tahoma" w:hAnsi="Tahoma" w:cs="Tahoma"/>
          <w:sz w:val="18"/>
          <w:lang w:val="it-IT"/>
        </w:rPr>
        <w:t>abbonamento MSDN diverso, le nuove condizioni per l</w:t>
      </w:r>
      <w:r w:rsidR="001C4212" w:rsidRPr="003F471F">
        <w:rPr>
          <w:rFonts w:ascii="Tahoma" w:hAnsi="Tahoma" w:cs="Tahoma"/>
          <w:sz w:val="18"/>
          <w:lang w:val="it-IT"/>
        </w:rPr>
        <w:t>’</w:t>
      </w:r>
      <w:r w:rsidRPr="003F471F">
        <w:rPr>
          <w:rFonts w:ascii="Tahoma" w:hAnsi="Tahoma" w:cs="Tahoma"/>
          <w:sz w:val="18"/>
          <w:lang w:val="it-IT"/>
        </w:rPr>
        <w:t>utilizzo sostituiscono quelle precedenti e qualsiasi prodotto software non incluso nel nuovo abbonamento MSDN dovrà essere rimosso.</w:t>
      </w:r>
    </w:p>
    <w:p w14:paraId="25A59FCF" w14:textId="77777777" w:rsidR="00223A77" w:rsidRPr="003F471F" w:rsidRDefault="00223A77" w:rsidP="007E466C">
      <w:pPr>
        <w:pStyle w:val="EndnoteText"/>
        <w:ind w:left="720"/>
        <w:rPr>
          <w:lang w:val="it-IT"/>
        </w:rPr>
      </w:pPr>
    </w:p>
    <w:p w14:paraId="5DF0935A" w14:textId="77777777" w:rsidR="00223A77" w:rsidRPr="0058047D" w:rsidRDefault="00223A77" w:rsidP="00CB436E">
      <w:pPr>
        <w:pStyle w:val="FootnoteBulletLevel2"/>
        <w:numPr>
          <w:ilvl w:val="0"/>
          <w:numId w:val="6"/>
        </w:numPr>
        <w:spacing w:before="0" w:after="60"/>
        <w:ind w:left="1440"/>
      </w:pPr>
      <w:r w:rsidRPr="0058047D">
        <w:rPr>
          <w:rFonts w:ascii="Tahoma" w:hAnsi="Tahoma" w:cs="Tahoma"/>
          <w:sz w:val="18"/>
        </w:rPr>
        <w:t>Visual Studio Ultimate con MSDN</w:t>
      </w:r>
    </w:p>
    <w:p w14:paraId="7151C4A6" w14:textId="77777777" w:rsidR="00223A77" w:rsidRPr="0058047D" w:rsidRDefault="00223A77" w:rsidP="00CB436E">
      <w:pPr>
        <w:pStyle w:val="FootnoteBulletLevel2"/>
        <w:numPr>
          <w:ilvl w:val="0"/>
          <w:numId w:val="6"/>
        </w:numPr>
        <w:spacing w:before="0" w:after="60"/>
        <w:ind w:left="1440"/>
      </w:pPr>
      <w:r w:rsidRPr="0058047D">
        <w:rPr>
          <w:rFonts w:ascii="Tahoma" w:hAnsi="Tahoma" w:cs="Tahoma"/>
          <w:sz w:val="18"/>
        </w:rPr>
        <w:t>Visual Studio Premium con MSDN</w:t>
      </w:r>
    </w:p>
    <w:p w14:paraId="68F21627" w14:textId="77777777" w:rsidR="00223A77" w:rsidRPr="003F471F" w:rsidRDefault="00223A77" w:rsidP="00CB436E">
      <w:pPr>
        <w:pStyle w:val="FootnoteBulletLevel2"/>
        <w:numPr>
          <w:ilvl w:val="0"/>
          <w:numId w:val="6"/>
        </w:numPr>
        <w:spacing w:before="0" w:after="60"/>
        <w:ind w:left="1440"/>
        <w:rPr>
          <w:lang w:val="it-IT"/>
        </w:rPr>
      </w:pPr>
      <w:r w:rsidRPr="003F471F">
        <w:rPr>
          <w:rFonts w:ascii="Tahoma" w:hAnsi="Tahoma" w:cs="Tahoma"/>
          <w:sz w:val="18"/>
          <w:lang w:val="it-IT"/>
        </w:rPr>
        <w:t>Visual Studio Professional con MSDN Premium</w:t>
      </w:r>
    </w:p>
    <w:p w14:paraId="2A48CE21" w14:textId="77777777" w:rsidR="00223A77" w:rsidRPr="0058047D" w:rsidRDefault="00223A77" w:rsidP="00CB436E">
      <w:pPr>
        <w:pStyle w:val="FootnoteBulletLevel2"/>
        <w:numPr>
          <w:ilvl w:val="0"/>
          <w:numId w:val="6"/>
        </w:numPr>
        <w:spacing w:before="0" w:after="60"/>
        <w:ind w:left="1440"/>
      </w:pPr>
      <w:r w:rsidRPr="0058047D">
        <w:rPr>
          <w:rFonts w:ascii="Tahoma" w:hAnsi="Tahoma" w:cs="Tahoma"/>
          <w:sz w:val="18"/>
        </w:rPr>
        <w:t>Visual Studio Team System Team Suite con MSDN Premium</w:t>
      </w:r>
    </w:p>
    <w:p w14:paraId="46189A69" w14:textId="77777777" w:rsidR="00223A77" w:rsidRPr="0058047D" w:rsidRDefault="00223A77" w:rsidP="00CB436E">
      <w:pPr>
        <w:pStyle w:val="FootnoteBulletLevel2"/>
        <w:numPr>
          <w:ilvl w:val="0"/>
          <w:numId w:val="6"/>
        </w:numPr>
        <w:spacing w:before="0" w:after="60"/>
        <w:ind w:left="1440"/>
      </w:pPr>
      <w:r w:rsidRPr="0058047D">
        <w:rPr>
          <w:rFonts w:ascii="Tahoma" w:hAnsi="Tahoma" w:cs="Tahoma"/>
          <w:sz w:val="18"/>
        </w:rPr>
        <w:t>Visual Studio Team System Test Edition con MSDN Premium</w:t>
      </w:r>
    </w:p>
    <w:p w14:paraId="38E8807E" w14:textId="77777777" w:rsidR="00223A77" w:rsidRPr="0058047D" w:rsidRDefault="00223A77" w:rsidP="00CB436E">
      <w:pPr>
        <w:pStyle w:val="FootnoteBulletLevel2"/>
        <w:numPr>
          <w:ilvl w:val="0"/>
          <w:numId w:val="6"/>
        </w:numPr>
        <w:spacing w:before="0" w:after="60"/>
        <w:ind w:left="1440"/>
      </w:pPr>
      <w:r w:rsidRPr="0058047D">
        <w:rPr>
          <w:rFonts w:ascii="Tahoma" w:hAnsi="Tahoma" w:cs="Tahoma"/>
          <w:sz w:val="18"/>
        </w:rPr>
        <w:t>Visual Studio Team System Development Edition con MSDN Premium</w:t>
      </w:r>
    </w:p>
    <w:p w14:paraId="4A962D27" w14:textId="77777777" w:rsidR="00223A77" w:rsidRPr="0058047D" w:rsidRDefault="00223A77" w:rsidP="00CB436E">
      <w:pPr>
        <w:pStyle w:val="FootnoteBulletLevel2"/>
        <w:numPr>
          <w:ilvl w:val="0"/>
          <w:numId w:val="6"/>
        </w:numPr>
        <w:spacing w:before="0" w:after="60"/>
        <w:ind w:left="1440"/>
      </w:pPr>
      <w:r w:rsidRPr="0058047D">
        <w:rPr>
          <w:rFonts w:ascii="Tahoma" w:hAnsi="Tahoma" w:cs="Tahoma"/>
          <w:sz w:val="18"/>
        </w:rPr>
        <w:t xml:space="preserve">Visual Studio Team System Architecture Edition con MSDN Premium </w:t>
      </w:r>
    </w:p>
    <w:p w14:paraId="7E4F00AA" w14:textId="77777777" w:rsidR="00223A77" w:rsidRPr="0058047D" w:rsidRDefault="00223A77" w:rsidP="00CB436E">
      <w:pPr>
        <w:pStyle w:val="FootnoteBulletLevel2"/>
        <w:numPr>
          <w:ilvl w:val="0"/>
          <w:numId w:val="6"/>
        </w:numPr>
        <w:spacing w:before="0" w:after="60"/>
        <w:ind w:left="1440"/>
      </w:pPr>
      <w:r w:rsidRPr="0058047D">
        <w:rPr>
          <w:rFonts w:ascii="Tahoma" w:hAnsi="Tahoma" w:cs="Tahoma"/>
          <w:sz w:val="18"/>
        </w:rPr>
        <w:t>Visual Studio Team System Database Edition con MSDN Premium</w:t>
      </w:r>
    </w:p>
    <w:p w14:paraId="37D96F3F" w14:textId="77777777" w:rsidR="00223A77" w:rsidRPr="003F471F" w:rsidRDefault="00223A77" w:rsidP="00CB436E">
      <w:pPr>
        <w:pStyle w:val="FootnoteBulletLevel2"/>
        <w:numPr>
          <w:ilvl w:val="0"/>
          <w:numId w:val="6"/>
        </w:numPr>
        <w:spacing w:before="0" w:after="60"/>
        <w:ind w:left="1440"/>
        <w:rPr>
          <w:lang w:val="it-IT"/>
        </w:rPr>
      </w:pPr>
      <w:r w:rsidRPr="003F471F">
        <w:rPr>
          <w:rFonts w:ascii="Tahoma" w:hAnsi="Tahoma" w:cs="Tahoma"/>
          <w:sz w:val="18"/>
          <w:lang w:val="it-IT"/>
        </w:rPr>
        <w:t>Società titolari di un abbonamento retail attivo per qualsiasi prodotto software indicato nel precedente elenco.</w:t>
      </w:r>
    </w:p>
    <w:p w14:paraId="2B8D9689" w14:textId="77777777" w:rsidR="00413D8A" w:rsidRPr="003F471F" w:rsidRDefault="00413D8A">
      <w:pPr>
        <w:rPr>
          <w:lang w:val="it-IT"/>
        </w:rPr>
      </w:pPr>
    </w:p>
    <w:p w14:paraId="71D4C6A8" w14:textId="77777777" w:rsidR="00223A77" w:rsidRPr="003F471F" w:rsidRDefault="00223A77" w:rsidP="00AF1D88">
      <w:pPr>
        <w:pStyle w:val="FootnoteBulletLevel1"/>
        <w:keepNext/>
        <w:tabs>
          <w:tab w:val="clear" w:pos="900"/>
        </w:tabs>
        <w:spacing w:before="0" w:after="0"/>
        <w:ind w:left="720" w:firstLine="0"/>
        <w:rPr>
          <w:lang w:val="it-IT"/>
        </w:rPr>
      </w:pPr>
      <w:r w:rsidRPr="003F471F">
        <w:rPr>
          <w:rFonts w:ascii="Tahoma" w:hAnsi="Tahoma" w:cs="Tahoma"/>
          <w:sz w:val="18"/>
          <w:lang w:val="it-IT"/>
        </w:rPr>
        <w:t xml:space="preserve">Le società con copertura Software Assurance in scadenza per Visual Studio Premium 2013 con MSDN sono idonee a rinnovare la copertura come: </w:t>
      </w:r>
    </w:p>
    <w:p w14:paraId="0AD6006A" w14:textId="77777777" w:rsidR="00CB436E" w:rsidRPr="003F471F" w:rsidRDefault="00CB436E" w:rsidP="00AF1D88">
      <w:pPr>
        <w:pStyle w:val="FootnoteBulletLevel1"/>
        <w:keepNext/>
        <w:spacing w:before="0" w:after="0"/>
        <w:ind w:left="907" w:firstLine="0"/>
        <w:rPr>
          <w:lang w:val="it-IT"/>
        </w:rPr>
      </w:pPr>
    </w:p>
    <w:p w14:paraId="4EDA8CD7" w14:textId="77777777" w:rsidR="00223A77" w:rsidRPr="0058047D" w:rsidRDefault="00223A77" w:rsidP="00AF1D88">
      <w:pPr>
        <w:pStyle w:val="FootnoteBulletLevel2"/>
        <w:keepNext/>
        <w:numPr>
          <w:ilvl w:val="0"/>
          <w:numId w:val="6"/>
        </w:numPr>
        <w:spacing w:before="0" w:after="60"/>
        <w:ind w:left="1440"/>
      </w:pPr>
      <w:r w:rsidRPr="0058047D">
        <w:rPr>
          <w:rFonts w:ascii="Tahoma" w:hAnsi="Tahoma" w:cs="Tahoma"/>
          <w:sz w:val="18"/>
        </w:rPr>
        <w:t>Visual Studio Professional con MSDN</w:t>
      </w:r>
    </w:p>
    <w:p w14:paraId="315A05FF" w14:textId="77777777" w:rsidR="006771C8" w:rsidRPr="0058047D" w:rsidRDefault="006771C8" w:rsidP="00CB436E">
      <w:pPr>
        <w:pStyle w:val="FootnoteBulletLevel2"/>
        <w:numPr>
          <w:ilvl w:val="0"/>
          <w:numId w:val="6"/>
        </w:numPr>
        <w:spacing w:before="0" w:after="60"/>
        <w:ind w:left="1440"/>
      </w:pPr>
      <w:r w:rsidRPr="0058047D">
        <w:rPr>
          <w:rFonts w:ascii="Tahoma" w:hAnsi="Tahoma" w:cs="Tahoma"/>
          <w:sz w:val="18"/>
        </w:rPr>
        <w:t>Visual Studio Test Professional con MSDN</w:t>
      </w:r>
    </w:p>
    <w:p w14:paraId="65A4E512" w14:textId="77777777" w:rsidR="00223A77" w:rsidRPr="0058047D" w:rsidRDefault="00223A77" w:rsidP="00CB436E">
      <w:pPr>
        <w:pStyle w:val="FootnoteBulletLevel2"/>
        <w:numPr>
          <w:ilvl w:val="0"/>
          <w:numId w:val="6"/>
        </w:numPr>
        <w:spacing w:before="0" w:after="60"/>
        <w:ind w:left="1440"/>
      </w:pPr>
      <w:r w:rsidRPr="0058047D">
        <w:rPr>
          <w:rFonts w:ascii="Tahoma" w:hAnsi="Tahoma" w:cs="Tahoma"/>
          <w:sz w:val="18"/>
        </w:rPr>
        <w:t>Sistemi Operativi MSDN</w:t>
      </w:r>
    </w:p>
    <w:p w14:paraId="01F4D0CA" w14:textId="77777777" w:rsidR="0055611F" w:rsidRPr="003F471F" w:rsidRDefault="00223A77" w:rsidP="00076CB4">
      <w:pPr>
        <w:pStyle w:val="FootnoteBulletLevel1"/>
        <w:tabs>
          <w:tab w:val="clear" w:pos="900"/>
        </w:tabs>
        <w:spacing w:before="0" w:after="0"/>
        <w:ind w:left="720" w:firstLine="0"/>
        <w:rPr>
          <w:lang w:val="it-IT"/>
        </w:rPr>
      </w:pPr>
      <w:r w:rsidRPr="003F471F">
        <w:rPr>
          <w:rFonts w:ascii="Tahoma" w:hAnsi="Tahoma" w:cs="Tahoma"/>
          <w:sz w:val="18"/>
          <w:lang w:val="it-IT"/>
        </w:rPr>
        <w:t>Le società che hanno stipulato contratti Enterprise, Select o Open Value e con copertura Software Assurance attiva per Visual Studio Premium 2013 con MSDN potranno anch</w:t>
      </w:r>
      <w:r w:rsidR="001C4212" w:rsidRPr="003F471F">
        <w:rPr>
          <w:rFonts w:ascii="Tahoma" w:hAnsi="Tahoma" w:cs="Tahoma"/>
          <w:sz w:val="18"/>
          <w:lang w:val="it-IT"/>
        </w:rPr>
        <w:t>’</w:t>
      </w:r>
      <w:r w:rsidRPr="003F471F">
        <w:rPr>
          <w:rFonts w:ascii="Tahoma" w:hAnsi="Tahoma" w:cs="Tahoma"/>
          <w:sz w:val="18"/>
          <w:lang w:val="it-IT"/>
        </w:rPr>
        <w:t xml:space="preserve">esse effettuare lo step-up a Visual Studio Ultimate 2013 con MSDN dopo aver acquistato lo </w:t>
      </w:r>
      <w:hyperlink w:anchor="Step_Up" w:history="1">
        <w:r w:rsidRPr="003F471F">
          <w:rPr>
            <w:rFonts w:ascii="Tahoma" w:hAnsi="Tahoma" w:cs="Tahoma"/>
            <w:sz w:val="18"/>
            <w:szCs w:val="24"/>
            <w:lang w:val="it-IT"/>
          </w:rPr>
          <w:t>SKU di Step-Up</w:t>
        </w:r>
      </w:hyperlink>
      <w:r w:rsidRPr="003F471F">
        <w:rPr>
          <w:rFonts w:ascii="Tahoma" w:hAnsi="Tahoma" w:cs="Tahoma"/>
          <w:sz w:val="18"/>
          <w:lang w:val="it-IT"/>
        </w:rPr>
        <w:t>idoneo.</w:t>
      </w:r>
    </w:p>
    <w:p w14:paraId="27FA826B" w14:textId="77777777" w:rsidR="00CB436E" w:rsidRPr="003F471F" w:rsidRDefault="00CB436E" w:rsidP="00076CB4">
      <w:pPr>
        <w:pStyle w:val="FootnoteBulletLevel2"/>
        <w:tabs>
          <w:tab w:val="clear" w:pos="1260"/>
        </w:tabs>
        <w:spacing w:before="0"/>
        <w:ind w:left="720" w:firstLine="0"/>
        <w:rPr>
          <w:lang w:val="it-IT"/>
        </w:rPr>
      </w:pPr>
    </w:p>
    <w:p w14:paraId="5069FCB8" w14:textId="77777777" w:rsidR="0055611F" w:rsidRPr="003F471F" w:rsidRDefault="0055611F" w:rsidP="00864B8A">
      <w:pPr>
        <w:spacing w:after="60"/>
        <w:ind w:left="720"/>
        <w:rPr>
          <w:lang w:val="it-IT"/>
        </w:rPr>
      </w:pPr>
      <w:r w:rsidRPr="003F471F">
        <w:rPr>
          <w:rFonts w:cs="Tahoma"/>
          <w:b/>
          <w:lang w:val="it-IT"/>
        </w:rPr>
        <w:t>Servizi “Subscription”</w:t>
      </w:r>
    </w:p>
    <w:p w14:paraId="0D10F205" w14:textId="77777777" w:rsidR="0055611F" w:rsidRPr="003F471F" w:rsidRDefault="0055611F" w:rsidP="00076CB4">
      <w:pPr>
        <w:pStyle w:val="FootnoteBulletLevel2"/>
        <w:tabs>
          <w:tab w:val="clear" w:pos="1260"/>
        </w:tabs>
        <w:spacing w:before="0"/>
        <w:ind w:left="720" w:firstLine="0"/>
        <w:rPr>
          <w:lang w:val="it-IT"/>
        </w:rPr>
      </w:pPr>
      <w:r w:rsidRPr="003F471F">
        <w:rPr>
          <w:rFonts w:ascii="Tahoma" w:hAnsi="Tahoma" w:cs="Tahoma"/>
          <w:sz w:val="18"/>
          <w:lang w:val="it-IT"/>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1C4212" w:rsidRPr="003F471F">
        <w:rPr>
          <w:rFonts w:ascii="Tahoma" w:hAnsi="Tahoma" w:cs="Tahoma"/>
          <w:sz w:val="18"/>
          <w:lang w:val="it-IT"/>
        </w:rPr>
        <w:t>’</w:t>
      </w:r>
      <w:r w:rsidRPr="003F471F">
        <w:rPr>
          <w:rFonts w:ascii="Tahoma" w:hAnsi="Tahoma" w:cs="Tahoma"/>
          <w:sz w:val="18"/>
          <w:lang w:val="it-IT"/>
        </w:rPr>
        <w:t>abbonamento.</w:t>
      </w:r>
    </w:p>
    <w:p w14:paraId="5E214EC1" w14:textId="77777777" w:rsidR="0055611F" w:rsidRPr="003F471F" w:rsidRDefault="0055611F" w:rsidP="00076CB4">
      <w:pPr>
        <w:pStyle w:val="FootnoteBulletLevel1"/>
        <w:tabs>
          <w:tab w:val="clear" w:pos="900"/>
        </w:tabs>
        <w:spacing w:before="0" w:after="0"/>
        <w:ind w:left="720" w:firstLine="0"/>
        <w:rPr>
          <w:lang w:val="it-IT"/>
        </w:rPr>
      </w:pPr>
    </w:p>
    <w:p w14:paraId="3ED73102" w14:textId="77777777" w:rsidR="0055611F" w:rsidRPr="003F471F" w:rsidRDefault="009B2474" w:rsidP="00864B8A">
      <w:pPr>
        <w:spacing w:after="60"/>
        <w:ind w:left="720"/>
        <w:rPr>
          <w:lang w:val="it-IT"/>
        </w:rPr>
      </w:pPr>
      <w:r w:rsidRPr="003F471F">
        <w:rPr>
          <w:rFonts w:cs="Tahoma"/>
          <w:b/>
          <w:lang w:val="it-IT"/>
        </w:rPr>
        <w:t>Servizi della Piattaforma Windows Azure</w:t>
      </w:r>
    </w:p>
    <w:p w14:paraId="607FECF8" w14:textId="77777777" w:rsidR="00DB3ECB" w:rsidRPr="003F471F" w:rsidRDefault="0055611F" w:rsidP="001760D6">
      <w:pPr>
        <w:pStyle w:val="FootnoteBulletLevel2"/>
        <w:tabs>
          <w:tab w:val="clear" w:pos="1260"/>
        </w:tabs>
        <w:spacing w:before="0"/>
        <w:ind w:left="720" w:firstLine="0"/>
        <w:rPr>
          <w:lang w:val="it-IT"/>
        </w:rPr>
      </w:pPr>
      <w:r w:rsidRPr="003F471F">
        <w:rPr>
          <w:rFonts w:ascii="Tahoma" w:hAnsi="Tahoma" w:cs="Tahoma"/>
          <w:sz w:val="18"/>
          <w:lang w:val="it-IT"/>
        </w:rPr>
        <w:t>I vantaggi di Windows Azure non possono essere una combinazione di più abbonamenti a MSDN su un singolo account di Windows Azure. L</w:t>
      </w:r>
      <w:r w:rsidR="001C4212" w:rsidRPr="003F471F">
        <w:rPr>
          <w:rFonts w:ascii="Tahoma" w:hAnsi="Tahoma" w:cs="Tahoma"/>
          <w:sz w:val="18"/>
          <w:lang w:val="it-IT"/>
        </w:rPr>
        <w:t>’</w:t>
      </w:r>
      <w:r w:rsidRPr="003F471F">
        <w:rPr>
          <w:rFonts w:ascii="Tahoma" w:hAnsi="Tahoma" w:cs="Tahoma"/>
          <w:sz w:val="18"/>
          <w:lang w:val="it-IT"/>
        </w:rPr>
        <w:t>uso di Windows Azure è soggetto alle relative condizioni per l</w:t>
      </w:r>
      <w:r w:rsidR="001C4212" w:rsidRPr="003F471F">
        <w:rPr>
          <w:rFonts w:ascii="Tahoma" w:hAnsi="Tahoma" w:cs="Tahoma"/>
          <w:sz w:val="18"/>
          <w:lang w:val="it-IT"/>
        </w:rPr>
        <w:t>’</w:t>
      </w:r>
      <w:r w:rsidRPr="003F471F">
        <w:rPr>
          <w:rFonts w:ascii="Tahoma" w:hAnsi="Tahoma" w:cs="Tahoma"/>
          <w:sz w:val="18"/>
          <w:lang w:val="it-IT"/>
        </w:rPr>
        <w:t>utilizzo.</w:t>
      </w:r>
    </w:p>
    <w:p w14:paraId="26B2DEBB" w14:textId="77777777" w:rsidR="0055611F" w:rsidRPr="003F471F" w:rsidRDefault="0055611F" w:rsidP="00CB436E">
      <w:pPr>
        <w:pStyle w:val="FootnoteBulletLevel2"/>
        <w:tabs>
          <w:tab w:val="clear" w:pos="1260"/>
        </w:tabs>
        <w:spacing w:before="0"/>
        <w:ind w:left="0" w:firstLine="0"/>
        <w:rPr>
          <w:sz w:val="16"/>
          <w:szCs w:val="16"/>
          <w:lang w:val="it-IT"/>
        </w:rPr>
      </w:pPr>
    </w:p>
    <w:p w14:paraId="37177058" w14:textId="77777777" w:rsidR="00E03856" w:rsidRPr="003F471F" w:rsidRDefault="00E03856" w:rsidP="00CB436E">
      <w:pPr>
        <w:pStyle w:val="FootnoteBulletLevel2"/>
        <w:tabs>
          <w:tab w:val="clear" w:pos="1260"/>
        </w:tabs>
        <w:spacing w:before="0"/>
        <w:ind w:left="0" w:firstLine="0"/>
        <w:rPr>
          <w:sz w:val="16"/>
          <w:szCs w:val="16"/>
          <w:lang w:val="it-IT"/>
        </w:rPr>
      </w:pPr>
    </w:p>
    <w:p w14:paraId="193DB397" w14:textId="77777777" w:rsidR="00223A77" w:rsidRPr="003F471F" w:rsidRDefault="00A560B6" w:rsidP="00223A77">
      <w:pPr>
        <w:pStyle w:val="Heading3"/>
        <w:rPr>
          <w:lang w:val="it-IT"/>
        </w:rPr>
      </w:pPr>
      <w:bookmarkStart w:id="1061" w:name="_22_Visual_Studio"/>
      <w:bookmarkStart w:id="1062" w:name="_Toc336338278"/>
      <w:bookmarkStart w:id="1063" w:name="_Toc371663674"/>
      <w:bookmarkStart w:id="1064" w:name="Aps_18VS2010UltimateMSDN"/>
      <w:bookmarkEnd w:id="1061"/>
      <w:r w:rsidRPr="003F471F">
        <w:rPr>
          <w:rFonts w:ascii="Tahoma" w:hAnsi="Tahoma"/>
          <w:caps/>
          <w:color w:val="F66400"/>
          <w:sz w:val="22"/>
          <w:vertAlign w:val="superscript"/>
          <w:lang w:val="it-IT"/>
        </w:rPr>
        <w:t>23</w:t>
      </w:r>
      <w:r w:rsidRPr="003F471F">
        <w:rPr>
          <w:rFonts w:ascii="Tahoma" w:hAnsi="Tahoma"/>
          <w:color w:val="F66400"/>
          <w:sz w:val="22"/>
          <w:lang w:val="it-IT"/>
        </w:rPr>
        <w:t xml:space="preserve"> Visual Studio Ultimate 2013 con MSDN</w:t>
      </w:r>
      <w:bookmarkEnd w:id="1062"/>
      <w:bookmarkEnd w:id="1063"/>
      <w:r w:rsidRPr="003F471F">
        <w:rPr>
          <w:rFonts w:ascii="Tahoma" w:hAnsi="Tahoma"/>
          <w:color w:val="F66400"/>
          <w:sz w:val="22"/>
          <w:lang w:val="it-IT"/>
        </w:rPr>
        <w:t xml:space="preserve"> </w:t>
      </w:r>
    </w:p>
    <w:bookmarkEnd w:id="1064"/>
    <w:p w14:paraId="6F1F769A" w14:textId="77777777" w:rsidR="0032113C" w:rsidRPr="003F471F" w:rsidRDefault="0032113C" w:rsidP="007A4659">
      <w:pPr>
        <w:adjustRightInd w:val="0"/>
        <w:ind w:left="540"/>
        <w:textAlignment w:val="baseline"/>
        <w:rPr>
          <w:sz w:val="16"/>
          <w:szCs w:val="16"/>
          <w:lang w:val="it-IT"/>
        </w:rPr>
      </w:pPr>
    </w:p>
    <w:p w14:paraId="2515EE7A" w14:textId="77777777" w:rsidR="00B76EEE" w:rsidRDefault="00B76EEE" w:rsidP="00864B8A">
      <w:pPr>
        <w:spacing w:after="60"/>
        <w:ind w:left="720"/>
        <w:rPr>
          <w:rFonts w:cs="Tahoma"/>
          <w:b/>
          <w:lang w:val="it-IT"/>
        </w:rPr>
      </w:pPr>
    </w:p>
    <w:p w14:paraId="556A93F6" w14:textId="77777777" w:rsidR="00B76EEE" w:rsidRPr="00B76EEE" w:rsidRDefault="00B76EEE" w:rsidP="00B76EEE">
      <w:pPr>
        <w:ind w:left="720"/>
        <w:rPr>
          <w:rFonts w:cs="Tahoma"/>
          <w:b/>
          <w:bCs/>
          <w:szCs w:val="18"/>
          <w:lang w:val="it-IT"/>
        </w:rPr>
      </w:pPr>
      <w:r w:rsidRPr="00B76EEE">
        <w:rPr>
          <w:rFonts w:cs="Tahoma"/>
          <w:b/>
          <w:szCs w:val="18"/>
          <w:lang w:val="it-IT"/>
        </w:rPr>
        <w:t>Visual Studio Deployment 2013 Standard</w:t>
      </w:r>
    </w:p>
    <w:p w14:paraId="74BB35CE" w14:textId="77777777" w:rsidR="00B76EEE" w:rsidRPr="00B76EEE" w:rsidRDefault="00B76EEE" w:rsidP="00B76EEE">
      <w:pPr>
        <w:ind w:left="720"/>
        <w:rPr>
          <w:rFonts w:cs="Tahoma"/>
          <w:szCs w:val="18"/>
          <w:lang w:val="it-IT"/>
        </w:rPr>
      </w:pPr>
      <w:r w:rsidRPr="00B76EEE">
        <w:rPr>
          <w:rFonts w:cs="Tahoma"/>
          <w:szCs w:val="18"/>
          <w:lang w:val="it-IT"/>
        </w:rPr>
        <w:t>Il sottoscrittore è idoneo a ricevere una licenza per server di gestione per Visual Studio Deployment 2013 Standard.</w:t>
      </w:r>
    </w:p>
    <w:p w14:paraId="4D0C2030" w14:textId="77777777" w:rsidR="00B76EEE" w:rsidRDefault="00B76EEE" w:rsidP="00864B8A">
      <w:pPr>
        <w:spacing w:after="60"/>
        <w:ind w:left="720"/>
        <w:rPr>
          <w:rFonts w:cs="Tahoma"/>
          <w:b/>
          <w:lang w:val="it-IT"/>
        </w:rPr>
      </w:pPr>
    </w:p>
    <w:p w14:paraId="653BB11E" w14:textId="77777777" w:rsidR="001026FD" w:rsidRPr="003F471F" w:rsidRDefault="001026FD" w:rsidP="00864B8A">
      <w:pPr>
        <w:spacing w:after="60"/>
        <w:ind w:left="720"/>
        <w:rPr>
          <w:lang w:val="it-IT"/>
        </w:rPr>
      </w:pPr>
      <w:r w:rsidRPr="003F471F">
        <w:rPr>
          <w:rFonts w:cs="Tahoma"/>
          <w:b/>
          <w:lang w:val="it-IT"/>
        </w:rPr>
        <w:t>Visual Studio Team Foundation Server 2013</w:t>
      </w:r>
    </w:p>
    <w:p w14:paraId="3E06CA61" w14:textId="77777777" w:rsidR="001026FD" w:rsidRPr="003F471F" w:rsidRDefault="001026FD" w:rsidP="007A4659">
      <w:pPr>
        <w:pStyle w:val="EndnoteText"/>
        <w:ind w:left="720"/>
        <w:rPr>
          <w:spacing w:val="-4"/>
          <w:lang w:val="it-IT"/>
        </w:rPr>
      </w:pPr>
      <w:r w:rsidRPr="003F471F">
        <w:rPr>
          <w:rFonts w:ascii="Tahoma" w:hAnsi="Tahoma" w:cs="Tahoma"/>
          <w:spacing w:val="-4"/>
          <w:sz w:val="18"/>
          <w:lang w:val="it-IT"/>
        </w:rPr>
        <w:t>Il sottoscrittore è autorizzato a ricevere una licenza server per Visual Studio Team Foundation Server 2013 e</w:t>
      </w:r>
      <w:r w:rsidR="003148BC" w:rsidRPr="003F471F">
        <w:rPr>
          <w:rFonts w:ascii="Tahoma" w:hAnsi="Tahoma" w:cs="Tahoma"/>
          <w:spacing w:val="-4"/>
          <w:sz w:val="18"/>
          <w:lang w:val="it-IT"/>
        </w:rPr>
        <w:t> </w:t>
      </w:r>
      <w:r w:rsidRPr="003F471F">
        <w:rPr>
          <w:rFonts w:ascii="Tahoma" w:hAnsi="Tahoma" w:cs="Tahoma"/>
          <w:spacing w:val="-4"/>
          <w:sz w:val="18"/>
          <w:lang w:val="it-IT"/>
        </w:rPr>
        <w:t>una User CAL per Team Foundation Server. La licenza CAL può essere utilizzata esclusivamente dal sottoscrittore.</w:t>
      </w:r>
    </w:p>
    <w:p w14:paraId="258EB618" w14:textId="77777777" w:rsidR="001026FD" w:rsidRPr="003F471F" w:rsidRDefault="001026FD" w:rsidP="007A4659">
      <w:pPr>
        <w:pStyle w:val="EndnoteText"/>
        <w:ind w:left="720"/>
        <w:rPr>
          <w:sz w:val="16"/>
          <w:szCs w:val="16"/>
          <w:lang w:val="it-IT"/>
        </w:rPr>
      </w:pPr>
    </w:p>
    <w:p w14:paraId="6EEC7BCD" w14:textId="77777777" w:rsidR="001026FD" w:rsidRPr="003F471F" w:rsidRDefault="001026FD" w:rsidP="00864B8A">
      <w:pPr>
        <w:spacing w:after="60"/>
        <w:ind w:left="720"/>
        <w:rPr>
          <w:lang w:val="it-IT"/>
        </w:rPr>
      </w:pPr>
      <w:r w:rsidRPr="003F471F">
        <w:rPr>
          <w:rFonts w:cs="Tahoma"/>
          <w:b/>
          <w:lang w:val="it-IT"/>
        </w:rPr>
        <w:t>SQL Server Parallel Data Warehouse Developer</w:t>
      </w:r>
    </w:p>
    <w:p w14:paraId="01565373" w14:textId="77777777" w:rsidR="001026FD" w:rsidRPr="003F471F" w:rsidRDefault="001026FD" w:rsidP="007A4659">
      <w:pPr>
        <w:pStyle w:val="EndnoteText"/>
        <w:ind w:left="720"/>
        <w:rPr>
          <w:lang w:val="it-IT"/>
        </w:rPr>
      </w:pPr>
      <w:r w:rsidRPr="003F471F">
        <w:rPr>
          <w:rFonts w:ascii="Tahoma" w:hAnsi="Tahoma" w:cs="Tahoma"/>
          <w:sz w:val="18"/>
          <w:lang w:val="it-IT"/>
        </w:rPr>
        <w:t>Il sottoscrittore è idoneo a ricevere una licenza per SQL Server 2012 Parallel Data Warehouse Developer.</w:t>
      </w:r>
    </w:p>
    <w:p w14:paraId="67CC0C83" w14:textId="77777777" w:rsidR="007A4659" w:rsidRPr="003F471F" w:rsidRDefault="007A4659" w:rsidP="007A4659">
      <w:pPr>
        <w:adjustRightInd w:val="0"/>
        <w:ind w:left="720"/>
        <w:textAlignment w:val="baseline"/>
        <w:rPr>
          <w:sz w:val="16"/>
          <w:szCs w:val="16"/>
          <w:lang w:val="it-IT"/>
        </w:rPr>
      </w:pPr>
    </w:p>
    <w:p w14:paraId="1A08DE1A" w14:textId="77777777" w:rsidR="0032113C" w:rsidRPr="003F471F" w:rsidRDefault="0032113C" w:rsidP="00864B8A">
      <w:pPr>
        <w:spacing w:after="60"/>
        <w:ind w:left="720"/>
        <w:rPr>
          <w:lang w:val="it-IT"/>
        </w:rPr>
      </w:pPr>
      <w:r w:rsidRPr="003F471F">
        <w:rPr>
          <w:rFonts w:cs="Tahoma"/>
          <w:b/>
          <w:lang w:val="it-IT"/>
        </w:rPr>
        <w:t>Requisiti di Idoneità per Software Assurance</w:t>
      </w:r>
    </w:p>
    <w:p w14:paraId="613D4896" w14:textId="77777777" w:rsidR="0032113C" w:rsidRPr="003F471F" w:rsidRDefault="0032113C" w:rsidP="000C6DBC">
      <w:pPr>
        <w:pStyle w:val="EndnoteText"/>
        <w:ind w:left="720"/>
        <w:rPr>
          <w:lang w:val="it-IT"/>
        </w:rPr>
      </w:pPr>
      <w:r w:rsidRPr="003F471F">
        <w:rPr>
          <w:rFonts w:ascii="Tahoma" w:hAnsi="Tahoma" w:cs="Tahoma"/>
          <w:sz w:val="18"/>
          <w:szCs w:val="18"/>
          <w:lang w:val="it-IT"/>
        </w:rPr>
        <w:t>Le società con copertura Software Assurance in scadenza per i prodotti che seguono sono idonee a rinnovare la copertura come Visual Studio Ultimate 2013 con MSDN. Quando viene effettuato il rinnovo a</w:t>
      </w:r>
      <w:r w:rsidR="003148BC" w:rsidRPr="003F471F">
        <w:rPr>
          <w:rFonts w:ascii="Tahoma" w:hAnsi="Tahoma" w:cs="Tahoma"/>
          <w:sz w:val="18"/>
          <w:szCs w:val="18"/>
          <w:lang w:val="it-IT"/>
        </w:rPr>
        <w:t> </w:t>
      </w:r>
      <w:r w:rsidRPr="003F471F">
        <w:rPr>
          <w:rFonts w:ascii="Tahoma" w:hAnsi="Tahoma" w:cs="Tahoma"/>
          <w:sz w:val="18"/>
          <w:szCs w:val="18"/>
          <w:lang w:val="it-IT"/>
        </w:rPr>
        <w:t>un</w:t>
      </w:r>
      <w:r w:rsidR="003148BC" w:rsidRPr="003F471F">
        <w:rPr>
          <w:rFonts w:ascii="Tahoma" w:hAnsi="Tahoma" w:cs="Tahoma"/>
          <w:sz w:val="18"/>
          <w:szCs w:val="18"/>
          <w:lang w:val="it-IT"/>
        </w:rPr>
        <w:t> </w:t>
      </w:r>
      <w:r w:rsidRPr="003F471F">
        <w:rPr>
          <w:rFonts w:ascii="Tahoma" w:hAnsi="Tahoma" w:cs="Tahoma"/>
          <w:sz w:val="18"/>
          <w:szCs w:val="18"/>
          <w:lang w:val="it-IT"/>
        </w:rPr>
        <w:t>livello di abbonamento MSDN diverso, le nuove condizioni per l</w:t>
      </w:r>
      <w:r w:rsidR="001C4212" w:rsidRPr="003F471F">
        <w:rPr>
          <w:rFonts w:ascii="Tahoma" w:hAnsi="Tahoma" w:cs="Tahoma"/>
          <w:sz w:val="18"/>
          <w:szCs w:val="18"/>
          <w:lang w:val="it-IT"/>
        </w:rPr>
        <w:t>’</w:t>
      </w:r>
      <w:r w:rsidRPr="003F471F">
        <w:rPr>
          <w:rFonts w:ascii="Tahoma" w:hAnsi="Tahoma" w:cs="Tahoma"/>
          <w:sz w:val="18"/>
          <w:szCs w:val="18"/>
          <w:lang w:val="it-IT"/>
        </w:rPr>
        <w:t>utilizzo sostituiscono quelle precedenti e</w:t>
      </w:r>
      <w:r w:rsidR="003148BC" w:rsidRPr="003F471F">
        <w:rPr>
          <w:rFonts w:ascii="Tahoma" w:hAnsi="Tahoma" w:cs="Tahoma"/>
          <w:sz w:val="18"/>
          <w:szCs w:val="18"/>
          <w:lang w:val="it-IT"/>
        </w:rPr>
        <w:t> </w:t>
      </w:r>
      <w:r w:rsidRPr="003F471F">
        <w:rPr>
          <w:rFonts w:ascii="Tahoma" w:hAnsi="Tahoma" w:cs="Tahoma"/>
          <w:sz w:val="18"/>
          <w:szCs w:val="18"/>
          <w:lang w:val="it-IT"/>
        </w:rPr>
        <w:t>qualsiasi prodotto software non incluso nel nuovo abbonamento MSDN</w:t>
      </w:r>
      <w:r w:rsidRPr="003F471F">
        <w:rPr>
          <w:rFonts w:ascii="Tahoma" w:hAnsi="Tahoma" w:cs="Tahoma"/>
          <w:sz w:val="18"/>
          <w:lang w:val="it-IT"/>
        </w:rPr>
        <w:t xml:space="preserve"> dovrà essere rimosso.</w:t>
      </w:r>
    </w:p>
    <w:p w14:paraId="071684BA" w14:textId="77777777" w:rsidR="0032113C" w:rsidRPr="003F471F" w:rsidRDefault="0032113C" w:rsidP="0032113C">
      <w:pPr>
        <w:ind w:left="900"/>
        <w:rPr>
          <w:sz w:val="16"/>
          <w:szCs w:val="16"/>
          <w:lang w:val="it-IT"/>
        </w:rPr>
      </w:pPr>
    </w:p>
    <w:p w14:paraId="05EE8C12" w14:textId="77777777" w:rsidR="0032113C" w:rsidRPr="0058047D" w:rsidRDefault="0032113C" w:rsidP="007A4659">
      <w:pPr>
        <w:numPr>
          <w:ilvl w:val="0"/>
          <w:numId w:val="6"/>
        </w:numPr>
        <w:adjustRightInd w:val="0"/>
        <w:snapToGrid w:val="0"/>
        <w:spacing w:after="60"/>
        <w:ind w:left="1440"/>
        <w:textAlignment w:val="baseline"/>
      </w:pPr>
      <w:r w:rsidRPr="0058047D">
        <w:rPr>
          <w:rFonts w:cs="Tahoma"/>
          <w:szCs w:val="24"/>
        </w:rPr>
        <w:t>Visual Studio Ultimate con MSDN</w:t>
      </w:r>
    </w:p>
    <w:p w14:paraId="2B80405E" w14:textId="77777777" w:rsidR="0032113C" w:rsidRPr="0058047D" w:rsidRDefault="0032113C" w:rsidP="007A4659">
      <w:pPr>
        <w:numPr>
          <w:ilvl w:val="0"/>
          <w:numId w:val="6"/>
        </w:numPr>
        <w:adjustRightInd w:val="0"/>
        <w:snapToGrid w:val="0"/>
        <w:spacing w:after="60"/>
        <w:ind w:left="1440"/>
        <w:textAlignment w:val="baseline"/>
      </w:pPr>
      <w:r w:rsidRPr="0058047D">
        <w:rPr>
          <w:rFonts w:cs="Tahoma"/>
          <w:szCs w:val="24"/>
        </w:rPr>
        <w:t>Visual Studio Team System Team Suite con MSDN Premium</w:t>
      </w:r>
    </w:p>
    <w:p w14:paraId="723227F8" w14:textId="77777777" w:rsidR="0032113C" w:rsidRPr="0058047D" w:rsidRDefault="0032113C" w:rsidP="007A4659">
      <w:pPr>
        <w:numPr>
          <w:ilvl w:val="0"/>
          <w:numId w:val="6"/>
        </w:numPr>
        <w:adjustRightInd w:val="0"/>
        <w:snapToGrid w:val="0"/>
        <w:spacing w:after="60"/>
        <w:ind w:left="1440"/>
        <w:textAlignment w:val="baseline"/>
      </w:pPr>
      <w:r w:rsidRPr="0058047D">
        <w:rPr>
          <w:rFonts w:cs="Tahoma"/>
          <w:szCs w:val="24"/>
        </w:rPr>
        <w:t>Visual Studio Team System Test Edition con MSDN Premium</w:t>
      </w:r>
    </w:p>
    <w:p w14:paraId="09343C6C" w14:textId="77777777" w:rsidR="0032113C" w:rsidRPr="0058047D" w:rsidRDefault="0032113C" w:rsidP="007A4659">
      <w:pPr>
        <w:numPr>
          <w:ilvl w:val="0"/>
          <w:numId w:val="6"/>
        </w:numPr>
        <w:adjustRightInd w:val="0"/>
        <w:snapToGrid w:val="0"/>
        <w:spacing w:after="60"/>
        <w:ind w:left="1440"/>
        <w:textAlignment w:val="baseline"/>
      </w:pPr>
      <w:r w:rsidRPr="0058047D">
        <w:rPr>
          <w:rFonts w:cs="Tahoma"/>
          <w:szCs w:val="24"/>
        </w:rPr>
        <w:t>Visual Studio Team System Development Edition con MSDN Premium</w:t>
      </w:r>
    </w:p>
    <w:p w14:paraId="33FEC14B" w14:textId="77777777" w:rsidR="0032113C" w:rsidRPr="0058047D" w:rsidRDefault="0032113C" w:rsidP="007A4659">
      <w:pPr>
        <w:numPr>
          <w:ilvl w:val="0"/>
          <w:numId w:val="6"/>
        </w:numPr>
        <w:adjustRightInd w:val="0"/>
        <w:snapToGrid w:val="0"/>
        <w:spacing w:after="60"/>
        <w:ind w:left="1440"/>
        <w:textAlignment w:val="baseline"/>
      </w:pPr>
      <w:r w:rsidRPr="0058047D">
        <w:rPr>
          <w:rFonts w:cs="Tahoma"/>
          <w:szCs w:val="24"/>
        </w:rPr>
        <w:t xml:space="preserve">Visual Studio Team System Architecture Edition con MSDN Premium </w:t>
      </w:r>
    </w:p>
    <w:p w14:paraId="4F4A2DB7" w14:textId="77777777" w:rsidR="0032113C" w:rsidRPr="0058047D" w:rsidRDefault="0032113C" w:rsidP="007A4659">
      <w:pPr>
        <w:numPr>
          <w:ilvl w:val="0"/>
          <w:numId w:val="6"/>
        </w:numPr>
        <w:adjustRightInd w:val="0"/>
        <w:snapToGrid w:val="0"/>
        <w:spacing w:after="60"/>
        <w:ind w:left="1440"/>
        <w:textAlignment w:val="baseline"/>
      </w:pPr>
      <w:r w:rsidRPr="0058047D">
        <w:rPr>
          <w:rFonts w:cs="Tahoma"/>
          <w:szCs w:val="24"/>
        </w:rPr>
        <w:t>Visual Studio Team System Database Edition con MSDN Premium</w:t>
      </w:r>
    </w:p>
    <w:p w14:paraId="6BC8ACA8" w14:textId="77777777" w:rsidR="0032113C" w:rsidRPr="003F471F" w:rsidRDefault="0032113C" w:rsidP="007A4659">
      <w:pPr>
        <w:numPr>
          <w:ilvl w:val="0"/>
          <w:numId w:val="6"/>
        </w:numPr>
        <w:adjustRightInd w:val="0"/>
        <w:snapToGrid w:val="0"/>
        <w:spacing w:after="60"/>
        <w:ind w:left="1440"/>
        <w:textAlignment w:val="baseline"/>
        <w:rPr>
          <w:lang w:val="it-IT"/>
        </w:rPr>
      </w:pPr>
      <w:r w:rsidRPr="003F471F">
        <w:rPr>
          <w:rFonts w:cs="Tahoma"/>
          <w:szCs w:val="24"/>
          <w:lang w:val="it-IT"/>
        </w:rPr>
        <w:t>Società titolari di un abbonamento retail attivo per qualsiasi prodotto software indicato nel precedente elenco.</w:t>
      </w:r>
    </w:p>
    <w:p w14:paraId="0C948772" w14:textId="77777777" w:rsidR="0032113C" w:rsidRPr="003F471F" w:rsidRDefault="0032113C" w:rsidP="007A4659">
      <w:pPr>
        <w:tabs>
          <w:tab w:val="num" w:pos="900"/>
        </w:tabs>
        <w:adjustRightInd w:val="0"/>
        <w:ind w:left="1440"/>
        <w:textAlignment w:val="baseline"/>
        <w:rPr>
          <w:sz w:val="16"/>
          <w:szCs w:val="16"/>
          <w:lang w:val="it-IT"/>
        </w:rPr>
      </w:pPr>
    </w:p>
    <w:p w14:paraId="391CCECC" w14:textId="77777777" w:rsidR="0032113C" w:rsidRPr="003F471F" w:rsidRDefault="0032113C" w:rsidP="007A4659">
      <w:pPr>
        <w:adjustRightInd w:val="0"/>
        <w:ind w:left="720"/>
        <w:textAlignment w:val="baseline"/>
        <w:rPr>
          <w:lang w:val="it-IT"/>
        </w:rPr>
      </w:pPr>
      <w:r w:rsidRPr="003F471F">
        <w:rPr>
          <w:rFonts w:cs="Tahoma"/>
          <w:szCs w:val="20"/>
          <w:lang w:val="it-IT"/>
        </w:rPr>
        <w:t xml:space="preserve">Le società con copertura Software Assurance in scadenza per Visual Studio Ultimate 2013 con MSDN sono idonee a rinnovare la copertura come: </w:t>
      </w:r>
    </w:p>
    <w:p w14:paraId="21362C4C" w14:textId="77777777" w:rsidR="007A4659" w:rsidRPr="003F471F" w:rsidRDefault="007A4659" w:rsidP="007A4659">
      <w:pPr>
        <w:adjustRightInd w:val="0"/>
        <w:ind w:left="720"/>
        <w:textAlignment w:val="baseline"/>
        <w:rPr>
          <w:sz w:val="16"/>
          <w:szCs w:val="16"/>
          <w:lang w:val="it-IT"/>
        </w:rPr>
      </w:pPr>
    </w:p>
    <w:p w14:paraId="364E1E53" w14:textId="77777777" w:rsidR="0032113C" w:rsidRPr="0058047D" w:rsidRDefault="0032113C" w:rsidP="007A4659">
      <w:pPr>
        <w:numPr>
          <w:ilvl w:val="0"/>
          <w:numId w:val="6"/>
        </w:numPr>
        <w:adjustRightInd w:val="0"/>
        <w:snapToGrid w:val="0"/>
        <w:spacing w:after="60"/>
        <w:ind w:left="1440"/>
        <w:textAlignment w:val="baseline"/>
      </w:pPr>
      <w:r w:rsidRPr="0058047D">
        <w:rPr>
          <w:rFonts w:cs="Tahoma"/>
          <w:szCs w:val="24"/>
        </w:rPr>
        <w:t>Visual Studio Premium con MSDN</w:t>
      </w:r>
    </w:p>
    <w:p w14:paraId="6DEE3143" w14:textId="77777777" w:rsidR="0032113C" w:rsidRPr="0058047D" w:rsidRDefault="0032113C" w:rsidP="007A4659">
      <w:pPr>
        <w:numPr>
          <w:ilvl w:val="0"/>
          <w:numId w:val="6"/>
        </w:numPr>
        <w:adjustRightInd w:val="0"/>
        <w:snapToGrid w:val="0"/>
        <w:spacing w:after="60"/>
        <w:ind w:left="1440"/>
        <w:textAlignment w:val="baseline"/>
      </w:pPr>
      <w:r w:rsidRPr="0058047D">
        <w:rPr>
          <w:rFonts w:cs="Tahoma"/>
          <w:szCs w:val="24"/>
        </w:rPr>
        <w:t>Visual Studio Professional con MSDN</w:t>
      </w:r>
    </w:p>
    <w:p w14:paraId="65E4D2BF" w14:textId="77777777" w:rsidR="0032113C" w:rsidRPr="0058047D" w:rsidRDefault="0032113C" w:rsidP="007A4659">
      <w:pPr>
        <w:numPr>
          <w:ilvl w:val="0"/>
          <w:numId w:val="6"/>
        </w:numPr>
        <w:adjustRightInd w:val="0"/>
        <w:snapToGrid w:val="0"/>
        <w:spacing w:after="60"/>
        <w:ind w:left="1440"/>
        <w:textAlignment w:val="baseline"/>
      </w:pPr>
      <w:r w:rsidRPr="0058047D">
        <w:rPr>
          <w:rFonts w:cs="Tahoma"/>
          <w:szCs w:val="24"/>
        </w:rPr>
        <w:t>Visual Studio Test Professional con MSDN</w:t>
      </w:r>
    </w:p>
    <w:p w14:paraId="1675C986" w14:textId="77777777" w:rsidR="0032113C" w:rsidRPr="0058047D" w:rsidRDefault="0032113C" w:rsidP="007A4659">
      <w:pPr>
        <w:numPr>
          <w:ilvl w:val="0"/>
          <w:numId w:val="6"/>
        </w:numPr>
        <w:adjustRightInd w:val="0"/>
        <w:snapToGrid w:val="0"/>
        <w:spacing w:after="60"/>
        <w:ind w:left="1440"/>
        <w:textAlignment w:val="baseline"/>
      </w:pPr>
      <w:r w:rsidRPr="0058047D">
        <w:rPr>
          <w:rFonts w:cs="Tahoma"/>
          <w:szCs w:val="24"/>
        </w:rPr>
        <w:t>Sistemi Operativi MSDN</w:t>
      </w:r>
    </w:p>
    <w:p w14:paraId="3FC0CEE1" w14:textId="77777777" w:rsidR="00413D8A" w:rsidRPr="003148BC" w:rsidRDefault="00413D8A">
      <w:pPr>
        <w:rPr>
          <w:sz w:val="16"/>
          <w:szCs w:val="16"/>
        </w:rPr>
      </w:pPr>
    </w:p>
    <w:p w14:paraId="62CD663A" w14:textId="77777777" w:rsidR="0055611F" w:rsidRPr="0058047D" w:rsidRDefault="009B2474" w:rsidP="007B35CE">
      <w:pPr>
        <w:keepNext/>
        <w:spacing w:after="60"/>
        <w:ind w:left="720"/>
      </w:pPr>
      <w:r w:rsidRPr="0058047D">
        <w:rPr>
          <w:rFonts w:cs="Tahoma"/>
          <w:b/>
        </w:rPr>
        <w:t>Servizi “Subscription”</w:t>
      </w:r>
    </w:p>
    <w:p w14:paraId="7CD7ACC3" w14:textId="77777777" w:rsidR="0055611F" w:rsidRPr="003F471F" w:rsidRDefault="0055611F" w:rsidP="007A4659">
      <w:pPr>
        <w:pStyle w:val="FootnoteBulletLevel2"/>
        <w:tabs>
          <w:tab w:val="clear" w:pos="1260"/>
        </w:tabs>
        <w:spacing w:before="0"/>
        <w:ind w:left="720" w:firstLine="0"/>
        <w:rPr>
          <w:lang w:val="it-IT"/>
        </w:rPr>
      </w:pPr>
      <w:r w:rsidRPr="003F471F">
        <w:rPr>
          <w:rFonts w:ascii="Tahoma" w:hAnsi="Tahoma" w:cs="Tahoma"/>
          <w:sz w:val="18"/>
          <w:lang w:val="it-IT"/>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1C4212" w:rsidRPr="003F471F">
        <w:rPr>
          <w:rFonts w:ascii="Tahoma" w:hAnsi="Tahoma" w:cs="Tahoma"/>
          <w:sz w:val="18"/>
          <w:lang w:val="it-IT"/>
        </w:rPr>
        <w:t>’</w:t>
      </w:r>
      <w:r w:rsidRPr="003F471F">
        <w:rPr>
          <w:rFonts w:ascii="Tahoma" w:hAnsi="Tahoma" w:cs="Tahoma"/>
          <w:sz w:val="18"/>
          <w:lang w:val="it-IT"/>
        </w:rPr>
        <w:t>abbonamento.</w:t>
      </w:r>
    </w:p>
    <w:p w14:paraId="790BB20B" w14:textId="77777777" w:rsidR="0055611F" w:rsidRPr="003F471F" w:rsidRDefault="0055611F" w:rsidP="007A4659">
      <w:pPr>
        <w:pStyle w:val="FootnoteBulletLevel1"/>
        <w:spacing w:before="0" w:after="0"/>
        <w:ind w:left="720" w:firstLine="0"/>
        <w:rPr>
          <w:sz w:val="16"/>
          <w:szCs w:val="16"/>
          <w:lang w:val="it-IT"/>
        </w:rPr>
      </w:pPr>
    </w:p>
    <w:p w14:paraId="50BA3DEA" w14:textId="77777777" w:rsidR="0055611F" w:rsidRPr="003F471F" w:rsidRDefault="0055611F" w:rsidP="00864B8A">
      <w:pPr>
        <w:spacing w:after="60"/>
        <w:ind w:left="720"/>
        <w:rPr>
          <w:lang w:val="it-IT"/>
        </w:rPr>
      </w:pPr>
      <w:r w:rsidRPr="003F471F">
        <w:rPr>
          <w:rFonts w:cs="Tahoma"/>
          <w:b/>
          <w:lang w:val="it-IT"/>
        </w:rPr>
        <w:t>Servizi della Piattaforma Windows Azure</w:t>
      </w:r>
    </w:p>
    <w:p w14:paraId="13E625D5" w14:textId="77777777" w:rsidR="007A4659" w:rsidRPr="003F471F" w:rsidRDefault="0055611F" w:rsidP="007B35CE">
      <w:pPr>
        <w:adjustRightInd w:val="0"/>
        <w:snapToGrid w:val="0"/>
        <w:ind w:left="720"/>
        <w:textAlignment w:val="baseline"/>
        <w:rPr>
          <w:lang w:val="it-IT"/>
        </w:rPr>
      </w:pPr>
      <w:r w:rsidRPr="003F471F">
        <w:rPr>
          <w:rFonts w:cs="Tahoma"/>
          <w:lang w:val="it-IT"/>
        </w:rPr>
        <w:t>I vantaggi di Windows Azure non possono essere una combinazione di più abbonamenti a MSDN su un singolo account di Windows Azure. L</w:t>
      </w:r>
      <w:r w:rsidR="001C4212" w:rsidRPr="003F471F">
        <w:rPr>
          <w:rFonts w:cs="Tahoma"/>
          <w:lang w:val="it-IT"/>
        </w:rPr>
        <w:t>’</w:t>
      </w:r>
      <w:r w:rsidRPr="003F471F">
        <w:rPr>
          <w:rFonts w:cs="Tahoma"/>
          <w:lang w:val="it-IT"/>
        </w:rPr>
        <w:t>uso di Windows Azure è soggetto alle relative condizioni per l</w:t>
      </w:r>
      <w:r w:rsidR="001C4212" w:rsidRPr="003F471F">
        <w:rPr>
          <w:rFonts w:cs="Tahoma"/>
          <w:lang w:val="it-IT"/>
        </w:rPr>
        <w:t>’</w:t>
      </w:r>
      <w:r w:rsidRPr="003F471F">
        <w:rPr>
          <w:rFonts w:cs="Tahoma"/>
          <w:lang w:val="it-IT"/>
        </w:rPr>
        <w:t>utilizzo.</w:t>
      </w:r>
      <w:bookmarkStart w:id="1065" w:name="Aps_19VS2010TestMSDN"/>
    </w:p>
    <w:p w14:paraId="7F461E76" w14:textId="77777777" w:rsidR="00223A77" w:rsidRPr="0058047D" w:rsidRDefault="00A560B6" w:rsidP="00D824E9">
      <w:pPr>
        <w:pStyle w:val="Heading3"/>
        <w:keepNext/>
      </w:pPr>
      <w:bookmarkStart w:id="1066" w:name="_23_Visual_Studio"/>
      <w:bookmarkStart w:id="1067" w:name="_Toc336338279"/>
      <w:bookmarkStart w:id="1068" w:name="_Toc371663675"/>
      <w:bookmarkEnd w:id="1066"/>
      <w:r w:rsidRPr="0058047D">
        <w:rPr>
          <w:rFonts w:ascii="Tahoma" w:hAnsi="Tahoma"/>
          <w:caps/>
          <w:color w:val="F66400"/>
          <w:sz w:val="22"/>
          <w:vertAlign w:val="superscript"/>
        </w:rPr>
        <w:t>24</w:t>
      </w:r>
      <w:r w:rsidRPr="0058047D">
        <w:rPr>
          <w:rFonts w:ascii="Tahoma" w:hAnsi="Tahoma"/>
          <w:color w:val="F66400"/>
          <w:sz w:val="22"/>
        </w:rPr>
        <w:t xml:space="preserve"> Visual Studio Test Professional 2013 con </w:t>
      </w:r>
      <w:bookmarkEnd w:id="1065"/>
      <w:r w:rsidRPr="0058047D">
        <w:rPr>
          <w:rFonts w:ascii="Tahoma" w:hAnsi="Tahoma"/>
          <w:color w:val="F66400"/>
          <w:sz w:val="22"/>
        </w:rPr>
        <w:t>MSDN</w:t>
      </w:r>
      <w:bookmarkEnd w:id="1067"/>
      <w:bookmarkEnd w:id="1068"/>
      <w:r w:rsidRPr="0058047D">
        <w:rPr>
          <w:rFonts w:ascii="Tahoma" w:hAnsi="Tahoma"/>
          <w:color w:val="F66400"/>
          <w:sz w:val="22"/>
        </w:rPr>
        <w:t xml:space="preserve"> </w:t>
      </w:r>
    </w:p>
    <w:p w14:paraId="400B9D03" w14:textId="77777777" w:rsidR="00AC4485" w:rsidRPr="0058047D" w:rsidRDefault="00AC4485" w:rsidP="00D824E9">
      <w:pPr>
        <w:pStyle w:val="FootnoteBulletLevel1"/>
        <w:keepNext/>
        <w:spacing w:before="0" w:after="0"/>
      </w:pPr>
    </w:p>
    <w:p w14:paraId="18935794" w14:textId="77777777" w:rsidR="001026FD" w:rsidRPr="0058047D" w:rsidRDefault="001026FD" w:rsidP="00D824E9">
      <w:pPr>
        <w:keepNext/>
        <w:spacing w:after="60"/>
        <w:ind w:left="720"/>
      </w:pPr>
      <w:r w:rsidRPr="0058047D">
        <w:rPr>
          <w:rFonts w:cs="Tahoma"/>
          <w:b/>
        </w:rPr>
        <w:t>Visual Studio Team Foundation Server 2013</w:t>
      </w:r>
    </w:p>
    <w:p w14:paraId="67939A49" w14:textId="77777777" w:rsidR="001026FD" w:rsidRPr="003F471F" w:rsidRDefault="001026FD" w:rsidP="00E7500D">
      <w:pPr>
        <w:pStyle w:val="EndnoteText"/>
        <w:ind w:left="720"/>
        <w:rPr>
          <w:lang w:val="it-IT"/>
        </w:rPr>
      </w:pPr>
      <w:r w:rsidRPr="003F471F">
        <w:rPr>
          <w:rFonts w:ascii="Tahoma" w:hAnsi="Tahoma" w:cs="Tahoma"/>
          <w:sz w:val="18"/>
          <w:lang w:val="it-IT"/>
        </w:rPr>
        <w:t>Il sottoscrittore è autorizzato a ricevere una licenza server per Visual Studio Team Foundation Server 2013 e</w:t>
      </w:r>
      <w:r w:rsidR="007B2EDE" w:rsidRPr="003F471F">
        <w:rPr>
          <w:rFonts w:ascii="Tahoma" w:hAnsi="Tahoma" w:cs="Tahoma"/>
          <w:sz w:val="18"/>
          <w:lang w:val="it-IT"/>
        </w:rPr>
        <w:t> </w:t>
      </w:r>
      <w:r w:rsidRPr="003F471F">
        <w:rPr>
          <w:rFonts w:ascii="Tahoma" w:hAnsi="Tahoma" w:cs="Tahoma"/>
          <w:sz w:val="18"/>
          <w:lang w:val="it-IT"/>
        </w:rPr>
        <w:t>una User CAL per Team Foundation Server. La licenza CAL può essere utilizzata esclusivamente dal sottoscrittore.</w:t>
      </w:r>
    </w:p>
    <w:p w14:paraId="2492D456" w14:textId="77777777" w:rsidR="001026FD" w:rsidRPr="003F471F" w:rsidRDefault="001026FD" w:rsidP="00E7500D">
      <w:pPr>
        <w:pStyle w:val="EndnoteText"/>
        <w:ind w:left="720"/>
        <w:rPr>
          <w:lang w:val="it-IT"/>
        </w:rPr>
      </w:pPr>
    </w:p>
    <w:p w14:paraId="2FE8BDB6" w14:textId="77777777" w:rsidR="001026FD" w:rsidRPr="003F471F" w:rsidRDefault="001026FD" w:rsidP="00864B8A">
      <w:pPr>
        <w:spacing w:after="60"/>
        <w:ind w:left="720"/>
        <w:rPr>
          <w:lang w:val="it-IT"/>
        </w:rPr>
      </w:pPr>
      <w:r w:rsidRPr="003F471F">
        <w:rPr>
          <w:rFonts w:cs="Tahoma"/>
          <w:b/>
          <w:lang w:val="it-IT"/>
        </w:rPr>
        <w:t>SQL Server Parallel Data Warehouse Developer</w:t>
      </w:r>
    </w:p>
    <w:p w14:paraId="0EC2BA20" w14:textId="77777777" w:rsidR="001026FD" w:rsidRPr="003F471F" w:rsidRDefault="001026FD" w:rsidP="00E7500D">
      <w:pPr>
        <w:pStyle w:val="EndnoteText"/>
        <w:ind w:left="720"/>
        <w:rPr>
          <w:lang w:val="it-IT"/>
        </w:rPr>
      </w:pPr>
      <w:r w:rsidRPr="003F471F">
        <w:rPr>
          <w:rFonts w:ascii="Tahoma" w:hAnsi="Tahoma" w:cs="Tahoma"/>
          <w:sz w:val="18"/>
          <w:lang w:val="it-IT"/>
        </w:rPr>
        <w:t>Il sottoscrittore è idoneo a ricevere una licenza per SQL Server 2012 Parallel Data Warehouse Developer.</w:t>
      </w:r>
    </w:p>
    <w:p w14:paraId="5F6B0A48" w14:textId="77777777" w:rsidR="00E7500D" w:rsidRPr="003F471F" w:rsidRDefault="00E7500D" w:rsidP="00E7500D">
      <w:pPr>
        <w:pStyle w:val="FootnoteBulletLevel1"/>
        <w:tabs>
          <w:tab w:val="clear" w:pos="900"/>
        </w:tabs>
        <w:spacing w:before="0" w:after="0"/>
        <w:ind w:left="720" w:firstLine="0"/>
        <w:rPr>
          <w:lang w:val="it-IT"/>
        </w:rPr>
      </w:pPr>
    </w:p>
    <w:p w14:paraId="28764FE3" w14:textId="77777777" w:rsidR="00223A77" w:rsidRPr="003F471F" w:rsidRDefault="00223A77" w:rsidP="001760D6">
      <w:pPr>
        <w:keepNext/>
        <w:spacing w:after="60"/>
        <w:ind w:left="720"/>
        <w:rPr>
          <w:lang w:val="it-IT"/>
        </w:rPr>
      </w:pPr>
      <w:r w:rsidRPr="003F471F">
        <w:rPr>
          <w:rFonts w:cs="Tahoma"/>
          <w:b/>
          <w:lang w:val="it-IT"/>
        </w:rPr>
        <w:t>Requisiti di Idoneità per Software Assurance</w:t>
      </w:r>
    </w:p>
    <w:p w14:paraId="5DE3883C" w14:textId="77777777" w:rsidR="00223A77" w:rsidRPr="003F471F" w:rsidRDefault="00223A77" w:rsidP="00F40C90">
      <w:pPr>
        <w:tabs>
          <w:tab w:val="num" w:pos="1170"/>
        </w:tabs>
        <w:ind w:left="720"/>
        <w:rPr>
          <w:lang w:val="it-IT"/>
        </w:rPr>
      </w:pPr>
      <w:r w:rsidRPr="003F471F">
        <w:rPr>
          <w:rFonts w:cs="Tahoma"/>
          <w:lang w:val="it-IT"/>
        </w:rPr>
        <w:t>Le società con copertura Software Assurance in scadenza sui prodotti che seguono sono idonee a rinnovare la copertura come Visual Studio Test Professional 2013 con MSDN</w:t>
      </w:r>
      <w:r w:rsidRPr="003F471F">
        <w:rPr>
          <w:rFonts w:cs="Tahoma"/>
          <w:szCs w:val="24"/>
          <w:lang w:val="it-IT"/>
        </w:rPr>
        <w:t xml:space="preserve">. </w:t>
      </w:r>
      <w:r w:rsidRPr="003F471F">
        <w:rPr>
          <w:rFonts w:cs="Tahoma"/>
          <w:lang w:val="it-IT"/>
        </w:rPr>
        <w:t>Quando viene effettuato il rinnovo a un livello di abbonamento MSDN diverso, le nuove condizioni per l</w:t>
      </w:r>
      <w:r w:rsidR="001C4212" w:rsidRPr="003F471F">
        <w:rPr>
          <w:rFonts w:cs="Tahoma"/>
          <w:lang w:val="it-IT"/>
        </w:rPr>
        <w:t>’</w:t>
      </w:r>
      <w:r w:rsidRPr="003F471F">
        <w:rPr>
          <w:rFonts w:cs="Tahoma"/>
          <w:lang w:val="it-IT"/>
        </w:rPr>
        <w:t>utilizzo sostituiscono quelle precedenti e</w:t>
      </w:r>
      <w:r w:rsidR="007B2EDE" w:rsidRPr="003F471F">
        <w:rPr>
          <w:rFonts w:cs="Tahoma"/>
          <w:lang w:val="it-IT"/>
        </w:rPr>
        <w:t> </w:t>
      </w:r>
      <w:r w:rsidRPr="003F471F">
        <w:rPr>
          <w:rFonts w:cs="Tahoma"/>
          <w:lang w:val="it-IT"/>
        </w:rPr>
        <w:t>qualsiasi prodotto software non incluso nel nuovo abbonamento MSDN dovrà essere rimosso.</w:t>
      </w:r>
    </w:p>
    <w:p w14:paraId="7CEE5EA7" w14:textId="77777777" w:rsidR="00223A77" w:rsidRPr="003F471F" w:rsidRDefault="00223A77" w:rsidP="00E7500D">
      <w:pPr>
        <w:pStyle w:val="EndnoteText"/>
        <w:rPr>
          <w:lang w:val="it-IT"/>
        </w:rPr>
      </w:pPr>
    </w:p>
    <w:p w14:paraId="5FB22C58" w14:textId="77777777" w:rsidR="00223A77" w:rsidRPr="0058047D" w:rsidRDefault="00223A77" w:rsidP="00E7500D">
      <w:pPr>
        <w:pStyle w:val="FootnoteBulletLevel2"/>
        <w:numPr>
          <w:ilvl w:val="0"/>
          <w:numId w:val="5"/>
        </w:numPr>
        <w:spacing w:before="0" w:after="60"/>
        <w:ind w:left="1440"/>
      </w:pPr>
      <w:r w:rsidRPr="0058047D">
        <w:rPr>
          <w:rFonts w:ascii="Tahoma" w:hAnsi="Tahoma" w:cs="Tahoma"/>
          <w:sz w:val="18"/>
        </w:rPr>
        <w:t>Visual Studio Ultimate con MSDN</w:t>
      </w:r>
    </w:p>
    <w:p w14:paraId="515C1997" w14:textId="77777777" w:rsidR="00061A45" w:rsidRPr="0058047D" w:rsidRDefault="00BE4D27" w:rsidP="00E7500D">
      <w:pPr>
        <w:pStyle w:val="FootnoteBulletLevel2"/>
        <w:numPr>
          <w:ilvl w:val="0"/>
          <w:numId w:val="5"/>
        </w:numPr>
        <w:spacing w:before="0" w:after="60"/>
        <w:ind w:left="1440"/>
      </w:pPr>
      <w:r w:rsidRPr="0058047D">
        <w:rPr>
          <w:rFonts w:ascii="Tahoma" w:hAnsi="Tahoma" w:cs="Tahoma"/>
          <w:sz w:val="18"/>
        </w:rPr>
        <w:t>Visual Studio Premium con MSDN</w:t>
      </w:r>
    </w:p>
    <w:p w14:paraId="554E85BA" w14:textId="77777777" w:rsidR="00223A77" w:rsidRPr="0058047D" w:rsidRDefault="00223A77" w:rsidP="00E7500D">
      <w:pPr>
        <w:pStyle w:val="FootnoteBulletLevel2"/>
        <w:numPr>
          <w:ilvl w:val="0"/>
          <w:numId w:val="5"/>
        </w:numPr>
        <w:spacing w:before="0" w:after="60"/>
        <w:ind w:left="1440"/>
      </w:pPr>
      <w:r w:rsidRPr="0058047D">
        <w:rPr>
          <w:rFonts w:ascii="Tahoma" w:hAnsi="Tahoma" w:cs="Tahoma"/>
          <w:sz w:val="18"/>
        </w:rPr>
        <w:t>Visual Studio Test Professional con MSDN</w:t>
      </w:r>
    </w:p>
    <w:p w14:paraId="406D2289" w14:textId="77777777" w:rsidR="00223A77" w:rsidRPr="003F471F" w:rsidRDefault="00223A77" w:rsidP="00E7500D">
      <w:pPr>
        <w:pStyle w:val="FootnoteBulletLevel2"/>
        <w:numPr>
          <w:ilvl w:val="0"/>
          <w:numId w:val="5"/>
        </w:numPr>
        <w:spacing w:before="0" w:after="60"/>
        <w:ind w:left="1440"/>
        <w:rPr>
          <w:lang w:val="it-IT"/>
        </w:rPr>
      </w:pPr>
      <w:r w:rsidRPr="003F471F">
        <w:rPr>
          <w:rFonts w:ascii="Tahoma" w:hAnsi="Tahoma" w:cs="Tahoma"/>
          <w:sz w:val="18"/>
          <w:lang w:val="it-IT"/>
        </w:rPr>
        <w:t>Società titolari di un abbonamento retail attivo per qualsiasi prodotto software indicato nel precedente elenco.</w:t>
      </w:r>
    </w:p>
    <w:p w14:paraId="35D2C62D" w14:textId="77777777" w:rsidR="00223A77" w:rsidRPr="003F471F" w:rsidRDefault="00223A77" w:rsidP="00E7500D">
      <w:pPr>
        <w:pStyle w:val="FootnoteBulletLevel1"/>
        <w:spacing w:before="0" w:after="0"/>
        <w:ind w:firstLine="0"/>
        <w:rPr>
          <w:lang w:val="it-IT"/>
        </w:rPr>
      </w:pPr>
    </w:p>
    <w:p w14:paraId="72096F1B" w14:textId="77777777" w:rsidR="00E7500D" w:rsidRPr="003F471F" w:rsidRDefault="00223A77" w:rsidP="00E7500D">
      <w:pPr>
        <w:pStyle w:val="FootnoteBulletLevel2"/>
        <w:tabs>
          <w:tab w:val="clear" w:pos="1260"/>
        </w:tabs>
        <w:spacing w:before="0"/>
        <w:ind w:left="720" w:firstLine="0"/>
        <w:rPr>
          <w:lang w:val="it-IT"/>
        </w:rPr>
      </w:pPr>
      <w:r w:rsidRPr="003F471F">
        <w:rPr>
          <w:rFonts w:ascii="Tahoma" w:hAnsi="Tahoma" w:cs="Tahoma"/>
          <w:sz w:val="18"/>
          <w:lang w:val="it-IT"/>
        </w:rPr>
        <w:t>Le società che hanno stipulato contratti Enterprise, Select o Open Value con copertura Software Assurance attiva per Visual Studio Test Professional 2013 con MSDN potranno anch</w:t>
      </w:r>
      <w:r w:rsidR="001C4212" w:rsidRPr="003F471F">
        <w:rPr>
          <w:rFonts w:ascii="Tahoma" w:hAnsi="Tahoma" w:cs="Tahoma"/>
          <w:sz w:val="18"/>
          <w:lang w:val="it-IT"/>
        </w:rPr>
        <w:t>’</w:t>
      </w:r>
      <w:r w:rsidRPr="003F471F">
        <w:rPr>
          <w:rFonts w:ascii="Tahoma" w:hAnsi="Tahoma" w:cs="Tahoma"/>
          <w:sz w:val="18"/>
          <w:lang w:val="it-IT"/>
        </w:rPr>
        <w:t xml:space="preserve">esse effettuare lo step-up a Visual Studio Premium 2013 con MSDN acquistando lo </w:t>
      </w:r>
      <w:hyperlink w:anchor="Step_Up" w:history="1">
        <w:r w:rsidRPr="003F471F">
          <w:rPr>
            <w:rFonts w:ascii="Tahoma" w:hAnsi="Tahoma" w:cs="Tahoma"/>
            <w:sz w:val="18"/>
            <w:lang w:val="it-IT"/>
          </w:rPr>
          <w:t>SKU di Step-Up</w:t>
        </w:r>
      </w:hyperlink>
      <w:r w:rsidRPr="003F471F">
        <w:rPr>
          <w:lang w:val="it-IT"/>
        </w:rPr>
        <w:t xml:space="preserve"> idoneo.</w:t>
      </w:r>
    </w:p>
    <w:p w14:paraId="6EF858F0" w14:textId="77777777" w:rsidR="00101859" w:rsidRPr="003F471F" w:rsidRDefault="00101859">
      <w:pPr>
        <w:rPr>
          <w:lang w:val="it-IT"/>
        </w:rPr>
      </w:pPr>
    </w:p>
    <w:p w14:paraId="4878F263" w14:textId="77777777" w:rsidR="005C11D1" w:rsidRPr="003F471F" w:rsidRDefault="009B2474" w:rsidP="00864B8A">
      <w:pPr>
        <w:spacing w:after="60"/>
        <w:ind w:left="720"/>
        <w:rPr>
          <w:lang w:val="it-IT"/>
        </w:rPr>
      </w:pPr>
      <w:r w:rsidRPr="003F471F">
        <w:rPr>
          <w:rFonts w:cs="Tahoma"/>
          <w:b/>
          <w:lang w:val="it-IT"/>
        </w:rPr>
        <w:t>Servizi “Subscription”</w:t>
      </w:r>
    </w:p>
    <w:p w14:paraId="62F79BE6" w14:textId="77777777" w:rsidR="001051D1" w:rsidRPr="003F471F" w:rsidRDefault="005C11D1" w:rsidP="00E7500D">
      <w:pPr>
        <w:ind w:left="720"/>
        <w:rPr>
          <w:lang w:val="it-IT"/>
        </w:rPr>
      </w:pPr>
      <w:r w:rsidRPr="003F471F">
        <w:rPr>
          <w:lang w:val="it-IT"/>
        </w:rPr>
        <w:t xml:space="preserve">I servizi MSDN in abbonamento, che potranno includere download, codici Product Key, vantaggi di Windows Azure, </w:t>
      </w:r>
      <w:r w:rsidRPr="003F471F">
        <w:rPr>
          <w:rFonts w:cs="Tahoma"/>
          <w:lang w:val="it-IT"/>
        </w:rPr>
        <w:t xml:space="preserve">vantaggi di Office 365 Developer, </w:t>
      </w:r>
      <w:r w:rsidRPr="003F471F">
        <w:rPr>
          <w:lang w:val="it-IT"/>
        </w:rPr>
        <w:t>e-learning, supporto tecnico, vantaggi di Windows Store e altri servizi, sono disponibili solo durante il periodo di validità dell</w:t>
      </w:r>
      <w:r w:rsidR="001C4212" w:rsidRPr="003F471F">
        <w:rPr>
          <w:lang w:val="it-IT"/>
        </w:rPr>
        <w:t>’</w:t>
      </w:r>
      <w:r w:rsidRPr="003F471F">
        <w:rPr>
          <w:lang w:val="it-IT"/>
        </w:rPr>
        <w:t>abbonamento.</w:t>
      </w:r>
      <w:bookmarkStart w:id="1069" w:name="_14_Operating_System"/>
      <w:bookmarkEnd w:id="1069"/>
    </w:p>
    <w:p w14:paraId="5024C1E3" w14:textId="77777777" w:rsidR="00E03856" w:rsidRPr="003F471F" w:rsidRDefault="001051D1">
      <w:pPr>
        <w:rPr>
          <w:lang w:val="it-IT"/>
        </w:rPr>
      </w:pPr>
      <w:r w:rsidRPr="003F471F">
        <w:rPr>
          <w:lang w:val="it-IT"/>
        </w:rPr>
        <w:br w:type="page"/>
      </w:r>
      <w:bookmarkStart w:id="1070" w:name="_Toc336338280"/>
    </w:p>
    <w:p w14:paraId="2D2EFA8E" w14:textId="77777777" w:rsidR="00023FE7" w:rsidRPr="007B2EDE" w:rsidRDefault="00023FE7" w:rsidP="002E57CF">
      <w:pPr>
        <w:pStyle w:val="Heading2"/>
        <w:ind w:left="0"/>
        <w:rPr>
          <w:sz w:val="28"/>
          <w:szCs w:val="28"/>
        </w:rPr>
      </w:pPr>
      <w:bookmarkStart w:id="1071" w:name="_Toc371663676"/>
      <w:r w:rsidRPr="007B2EDE">
        <w:rPr>
          <w:rFonts w:ascii="Tahoma" w:hAnsi="Tahoma" w:cs="Tahoma"/>
          <w:sz w:val="28"/>
          <w:szCs w:val="28"/>
        </w:rPr>
        <w:t>Pool di Sistemi</w:t>
      </w:r>
      <w:bookmarkEnd w:id="1070"/>
      <w:bookmarkEnd w:id="1071"/>
    </w:p>
    <w:p w14:paraId="7E4EF24C" w14:textId="77777777" w:rsidR="00023FE7" w:rsidRPr="007B2EDE" w:rsidRDefault="00023FE7">
      <w:pPr>
        <w:rPr>
          <w:sz w:val="14"/>
          <w:szCs w:val="14"/>
        </w:rPr>
      </w:pPr>
    </w:p>
    <w:p w14:paraId="35B25036" w14:textId="77777777" w:rsidR="00B13C35" w:rsidRPr="007B2EDE" w:rsidRDefault="00B13C35" w:rsidP="00B13C35">
      <w:pPr>
        <w:contextualSpacing/>
        <w:rPr>
          <w:sz w:val="14"/>
          <w:szCs w:val="14"/>
        </w:rPr>
      </w:pPr>
    </w:p>
    <w:p w14:paraId="14BBF22C" w14:textId="77777777" w:rsidR="00B13C35" w:rsidRPr="0058047D" w:rsidRDefault="00B13C35" w:rsidP="00B13C35">
      <w:pPr>
        <w:pStyle w:val="Heading3"/>
      </w:pPr>
      <w:bookmarkStart w:id="1072" w:name="_25_Enterprise_Sideloading"/>
      <w:bookmarkStart w:id="1073" w:name="_Toc371663677"/>
      <w:bookmarkEnd w:id="1072"/>
      <w:r w:rsidRPr="0058047D">
        <w:rPr>
          <w:rFonts w:ascii="Tahoma" w:hAnsi="Tahoma"/>
          <w:caps/>
          <w:color w:val="F66400"/>
          <w:sz w:val="22"/>
          <w:vertAlign w:val="superscript"/>
        </w:rPr>
        <w:t xml:space="preserve">25 </w:t>
      </w:r>
      <w:r w:rsidRPr="0058047D">
        <w:rPr>
          <w:rFonts w:ascii="Tahoma" w:hAnsi="Tahoma"/>
          <w:color w:val="F66400"/>
          <w:sz w:val="22"/>
        </w:rPr>
        <w:t>Enterprise Sideloading per Windows Embedded 8.1</w:t>
      </w:r>
      <w:bookmarkEnd w:id="1073"/>
      <w:r w:rsidRPr="0058047D">
        <w:rPr>
          <w:rFonts w:ascii="Tahoma" w:hAnsi="Tahoma"/>
          <w:caps/>
          <w:color w:val="F66400"/>
          <w:sz w:val="22"/>
          <w:vertAlign w:val="superscript"/>
        </w:rPr>
        <w:t xml:space="preserve"> </w:t>
      </w:r>
    </w:p>
    <w:p w14:paraId="09465190" w14:textId="77777777" w:rsidR="00B13C35" w:rsidRPr="007B2EDE" w:rsidRDefault="00B13C35" w:rsidP="00B13C35">
      <w:pPr>
        <w:spacing w:after="60"/>
        <w:ind w:left="720"/>
        <w:rPr>
          <w:sz w:val="16"/>
          <w:szCs w:val="16"/>
        </w:rPr>
      </w:pPr>
    </w:p>
    <w:p w14:paraId="69B3B10A" w14:textId="77777777" w:rsidR="00B13C35" w:rsidRPr="0058047D" w:rsidRDefault="00B13C35" w:rsidP="00B13C35">
      <w:pPr>
        <w:spacing w:after="60"/>
        <w:ind w:left="720"/>
      </w:pPr>
      <w:r w:rsidRPr="0058047D">
        <w:rPr>
          <w:rFonts w:cs="Tahoma"/>
          <w:b/>
          <w:szCs w:val="18"/>
        </w:rPr>
        <w:t>Licenze Enterprise Sideloading per Windows Embedded 8.1 Disponibili per l</w:t>
      </w:r>
      <w:r w:rsidR="001C4212">
        <w:rPr>
          <w:rFonts w:cs="Tahoma"/>
          <w:b/>
          <w:szCs w:val="18"/>
        </w:rPr>
        <w:t>’</w:t>
      </w:r>
      <w:r w:rsidRPr="0058047D">
        <w:rPr>
          <w:rFonts w:cs="Tahoma"/>
          <w:b/>
          <w:szCs w:val="18"/>
        </w:rPr>
        <w:t>Acquisto</w:t>
      </w:r>
    </w:p>
    <w:p w14:paraId="2D9BC186" w14:textId="77777777" w:rsidR="00B13C35" w:rsidRPr="003F471F" w:rsidRDefault="00B13C35" w:rsidP="00B13C35">
      <w:pPr>
        <w:ind w:left="720"/>
        <w:rPr>
          <w:lang w:val="it-IT"/>
        </w:rPr>
      </w:pPr>
      <w:r w:rsidRPr="003F471F">
        <w:rPr>
          <w:rFonts w:cs="Tahoma"/>
          <w:szCs w:val="18"/>
          <w:lang w:val="it-IT"/>
        </w:rPr>
        <w:t>Enterprise Sideloading consente alla società di installare le nuove Applicazioni di Windows 8.1 direttamente su un dispositivo senza passare per Windows Store. I dispositivi aggiunti al dominio in cui è in esecuzione l</w:t>
      </w:r>
      <w:r w:rsidR="001C4212" w:rsidRPr="003F471F">
        <w:rPr>
          <w:rFonts w:cs="Tahoma"/>
          <w:szCs w:val="18"/>
          <w:lang w:val="it-IT"/>
        </w:rPr>
        <w:t>’</w:t>
      </w:r>
      <w:r w:rsidRPr="003F471F">
        <w:rPr>
          <w:rFonts w:cs="Tahoma"/>
          <w:szCs w:val="18"/>
          <w:lang w:val="it-IT"/>
        </w:rPr>
        <w:t>edizione Windows Embedded 8.1 Industry Enterprise, con qualsiasi Contratto Multilicenza, sono dotati di funzionalità abilitate per Enterprise Sideloading. Enterprise Sideloading per Windows Embedded 8.1 può essere attivato anche su dispositivi in cui è in esecuzione Windows Embedded 8.1 Industry Enterprise che non sono stati aggiunti al dominio e su dispositivi in cui si trova Windows Embedded 8.1 Industry Pro mediante l</w:t>
      </w:r>
      <w:r w:rsidR="001C4212" w:rsidRPr="003F471F">
        <w:rPr>
          <w:rFonts w:cs="Tahoma"/>
          <w:szCs w:val="18"/>
          <w:lang w:val="it-IT"/>
        </w:rPr>
        <w:t>’</w:t>
      </w:r>
      <w:r w:rsidRPr="003F471F">
        <w:rPr>
          <w:rFonts w:cs="Tahoma"/>
          <w:szCs w:val="18"/>
          <w:lang w:val="it-IT"/>
        </w:rPr>
        <w:t>utilizzo di un codice Product Key. In tutti i casi Enterprise Sideloading potrà essere utilizzato esclusivamente per distribuire App che apporteranno benefici alla società con Contratti Multilicenza. La funzionalità Enterprise Sideloading integra il Sistema Operativo Windows Embedded 8.1 Industry Pro e di conseguenza le condizioni di licenza per il Sistema Operativo Windows Embedded 8.1 Industry Pro fornite qui si applicano all</w:t>
      </w:r>
      <w:r w:rsidR="001C4212" w:rsidRPr="003F471F">
        <w:rPr>
          <w:rFonts w:cs="Tahoma"/>
          <w:szCs w:val="18"/>
          <w:lang w:val="it-IT"/>
        </w:rPr>
        <w:t>’</w:t>
      </w:r>
      <w:r w:rsidRPr="003F471F">
        <w:rPr>
          <w:rFonts w:cs="Tahoma"/>
          <w:szCs w:val="18"/>
          <w:lang w:val="it-IT"/>
        </w:rPr>
        <w:t>utilizzo di tale funzionalità da parte delle società.</w:t>
      </w:r>
    </w:p>
    <w:p w14:paraId="4B5BF2F1" w14:textId="77777777" w:rsidR="00B13C35" w:rsidRPr="003F471F" w:rsidRDefault="00B13C35" w:rsidP="00B13C35">
      <w:pPr>
        <w:ind w:left="720"/>
        <w:rPr>
          <w:sz w:val="16"/>
          <w:szCs w:val="16"/>
          <w:lang w:val="it-IT"/>
        </w:rPr>
      </w:pPr>
    </w:p>
    <w:p w14:paraId="2183E969" w14:textId="77777777" w:rsidR="00B13C35" w:rsidRPr="003F471F" w:rsidRDefault="00B13C35" w:rsidP="00B13C35">
      <w:pPr>
        <w:spacing w:after="120"/>
        <w:ind w:left="720"/>
        <w:rPr>
          <w:lang w:val="it-IT"/>
        </w:rPr>
      </w:pPr>
      <w:r w:rsidRPr="003F471F">
        <w:rPr>
          <w:rFonts w:cs="Tahoma"/>
          <w:szCs w:val="18"/>
          <w:lang w:val="it-IT"/>
        </w:rPr>
        <w:t>Le società potranno acquistare licenze per Enterprise Sideloading per Windows Embedded 8.1 per i dispositivi dotati di licenza per:</w:t>
      </w:r>
    </w:p>
    <w:p w14:paraId="5C9E1D29" w14:textId="77777777" w:rsidR="00B13C35" w:rsidRPr="0058047D" w:rsidRDefault="00B13C35" w:rsidP="00B13C35">
      <w:pPr>
        <w:pStyle w:val="ListParagraph"/>
        <w:numPr>
          <w:ilvl w:val="0"/>
          <w:numId w:val="144"/>
        </w:numPr>
      </w:pPr>
      <w:r w:rsidRPr="0058047D">
        <w:rPr>
          <w:rFonts w:ascii="Tahoma" w:hAnsi="Tahoma" w:cs="Tahoma"/>
          <w:sz w:val="18"/>
          <w:szCs w:val="18"/>
        </w:rPr>
        <w:t>Windows Embedded 8 Industry Pro</w:t>
      </w:r>
    </w:p>
    <w:p w14:paraId="38D19AB1" w14:textId="77777777" w:rsidR="00B13C35" w:rsidRPr="0058047D" w:rsidRDefault="00B13C35" w:rsidP="00B13C35">
      <w:pPr>
        <w:pStyle w:val="ListParagraph"/>
        <w:numPr>
          <w:ilvl w:val="0"/>
          <w:numId w:val="144"/>
        </w:numPr>
      </w:pPr>
      <w:r w:rsidRPr="0058047D">
        <w:rPr>
          <w:rFonts w:ascii="Tahoma" w:hAnsi="Tahoma" w:cs="Tahoma"/>
          <w:sz w:val="18"/>
          <w:szCs w:val="18"/>
        </w:rPr>
        <w:t>Windows Embedded 8.1 Pro</w:t>
      </w:r>
    </w:p>
    <w:p w14:paraId="5C28483F" w14:textId="77777777" w:rsidR="00B13C35" w:rsidRPr="003F471F" w:rsidRDefault="00B13C35" w:rsidP="00B13C35">
      <w:pPr>
        <w:spacing w:before="120"/>
        <w:ind w:left="720"/>
        <w:rPr>
          <w:lang w:val="it-IT"/>
        </w:rPr>
      </w:pPr>
      <w:r w:rsidRPr="003F471F">
        <w:rPr>
          <w:rFonts w:cs="Tahoma"/>
          <w:szCs w:val="18"/>
          <w:lang w:val="it-IT"/>
        </w:rPr>
        <w:t>Ciascuna di tali licenze dovrà essere ceduta in modo definitivo a un solo dispositivo.</w:t>
      </w:r>
      <w:r w:rsidR="00E34ED3" w:rsidRPr="003F471F">
        <w:rPr>
          <w:rFonts w:cs="Tahoma"/>
          <w:szCs w:val="18"/>
          <w:lang w:val="it-IT"/>
        </w:rPr>
        <w:t xml:space="preserve"> </w:t>
      </w:r>
      <w:r w:rsidRPr="003F471F">
        <w:rPr>
          <w:rFonts w:cs="Tahoma"/>
          <w:szCs w:val="18"/>
          <w:lang w:val="it-IT"/>
        </w:rPr>
        <w:t>Nota: le società non potranno utilizzare licenze sideloading acquistate per Windows Embedded 8 su dispositivi in cui è in esecuzione Windows Embedded 8 Industry Pro.</w:t>
      </w:r>
      <w:r w:rsidR="00E34ED3" w:rsidRPr="003F471F">
        <w:rPr>
          <w:rFonts w:cs="Tahoma"/>
          <w:szCs w:val="18"/>
          <w:lang w:val="it-IT"/>
        </w:rPr>
        <w:t xml:space="preserve"> </w:t>
      </w:r>
      <w:r w:rsidRPr="003F471F">
        <w:rPr>
          <w:rFonts w:cs="Tahoma"/>
          <w:szCs w:val="18"/>
          <w:lang w:val="it-IT"/>
        </w:rPr>
        <w:t>Per Windows Embedded 8.1.</w:t>
      </w:r>
    </w:p>
    <w:p w14:paraId="106891D3" w14:textId="77777777" w:rsidR="009C2B6B" w:rsidRPr="003F471F" w:rsidRDefault="009C2B6B">
      <w:pPr>
        <w:rPr>
          <w:sz w:val="16"/>
          <w:szCs w:val="16"/>
          <w:lang w:val="it-IT"/>
        </w:rPr>
      </w:pPr>
    </w:p>
    <w:p w14:paraId="16AF0593" w14:textId="77777777" w:rsidR="00B13C35" w:rsidRPr="003F471F" w:rsidRDefault="00B13C35">
      <w:pPr>
        <w:rPr>
          <w:sz w:val="16"/>
          <w:szCs w:val="16"/>
          <w:lang w:val="it-IT"/>
        </w:rPr>
      </w:pPr>
    </w:p>
    <w:p w14:paraId="53759B8A" w14:textId="77777777" w:rsidR="00E14FF2" w:rsidRPr="003F471F" w:rsidRDefault="00A560B6" w:rsidP="00A53269">
      <w:pPr>
        <w:pStyle w:val="Heading3"/>
        <w:rPr>
          <w:lang w:val="it-IT"/>
        </w:rPr>
      </w:pPr>
      <w:bookmarkStart w:id="1074" w:name="_24_Microsoft_Desktop"/>
      <w:bookmarkStart w:id="1075" w:name="_Toc336338283"/>
      <w:bookmarkStart w:id="1076" w:name="_Toc371663678"/>
      <w:bookmarkStart w:id="1077" w:name="Sys_21MDOPforSA"/>
      <w:bookmarkStart w:id="1078" w:name="Sys_25MDOPforSA"/>
      <w:bookmarkEnd w:id="1074"/>
      <w:r w:rsidRPr="003F471F">
        <w:rPr>
          <w:rFonts w:ascii="Tahoma" w:hAnsi="Tahoma"/>
          <w:caps/>
          <w:color w:val="F66400"/>
          <w:sz w:val="22"/>
          <w:vertAlign w:val="superscript"/>
          <w:lang w:val="it-IT"/>
        </w:rPr>
        <w:t>26</w:t>
      </w:r>
      <w:r w:rsidRPr="003F471F">
        <w:rPr>
          <w:rFonts w:ascii="Tahoma" w:hAnsi="Tahoma"/>
          <w:color w:val="F66400"/>
          <w:sz w:val="22"/>
          <w:lang w:val="it-IT"/>
        </w:rPr>
        <w:t xml:space="preserve"> Microsoft Desktop Optimization Pack per Software Assurance</w:t>
      </w:r>
      <w:bookmarkEnd w:id="1075"/>
      <w:bookmarkEnd w:id="1076"/>
    </w:p>
    <w:bookmarkEnd w:id="1077"/>
    <w:p w14:paraId="61DCCD61" w14:textId="77777777" w:rsidR="007A73DF" w:rsidRPr="003F471F" w:rsidRDefault="007A73DF" w:rsidP="00483B3D">
      <w:pPr>
        <w:rPr>
          <w:sz w:val="16"/>
          <w:szCs w:val="16"/>
          <w:lang w:val="it-IT"/>
        </w:rPr>
      </w:pPr>
    </w:p>
    <w:p w14:paraId="6EBFF0AE" w14:textId="77777777" w:rsidR="00475147" w:rsidRPr="003F471F" w:rsidRDefault="0037362E" w:rsidP="00483B3D">
      <w:pPr>
        <w:ind w:left="720"/>
        <w:rPr>
          <w:lang w:val="it-IT"/>
        </w:rPr>
      </w:pPr>
      <w:r w:rsidRPr="003F471F">
        <w:rPr>
          <w:rFonts w:eastAsia="Calibri" w:cs="Tahoma"/>
          <w:color w:val="000000"/>
          <w:szCs w:val="18"/>
          <w:lang w:val="it-IT"/>
        </w:rPr>
        <w:t>Le società che desiderano acquistare Microsoft Desktop Optimization Pack per Software Assurance (MDOP) dovranno innanzitutto avere acquistato e ceduto al desktop uno dei seguenti elementi:</w:t>
      </w:r>
    </w:p>
    <w:p w14:paraId="5481395F" w14:textId="77777777" w:rsidR="00676723" w:rsidRPr="003F471F" w:rsidRDefault="00676723" w:rsidP="00483B3D">
      <w:pPr>
        <w:ind w:left="720"/>
        <w:rPr>
          <w:sz w:val="16"/>
          <w:szCs w:val="16"/>
          <w:lang w:val="it-IT"/>
        </w:rPr>
      </w:pPr>
    </w:p>
    <w:p w14:paraId="7C82DC95" w14:textId="77777777" w:rsidR="00475147" w:rsidRPr="003F471F" w:rsidRDefault="00475147" w:rsidP="00346F4B">
      <w:pPr>
        <w:numPr>
          <w:ilvl w:val="0"/>
          <w:numId w:val="49"/>
        </w:numPr>
        <w:tabs>
          <w:tab w:val="left" w:pos="1440"/>
        </w:tabs>
        <w:ind w:left="1440" w:hanging="446"/>
        <w:rPr>
          <w:lang w:val="it-IT"/>
        </w:rPr>
      </w:pPr>
      <w:r w:rsidRPr="003F471F">
        <w:rPr>
          <w:rFonts w:eastAsia="Calibri" w:cs="Tahoma"/>
          <w:color w:val="000000"/>
          <w:szCs w:val="18"/>
          <w:lang w:val="it-IT"/>
        </w:rPr>
        <w:t>copertura Software Assurance attiva per il sistema operativo desktop Windows;</w:t>
      </w:r>
    </w:p>
    <w:p w14:paraId="43552F9F" w14:textId="77777777" w:rsidR="00475147" w:rsidRPr="0058047D" w:rsidRDefault="00475147" w:rsidP="00F40C90">
      <w:pPr>
        <w:numPr>
          <w:ilvl w:val="0"/>
          <w:numId w:val="49"/>
        </w:numPr>
        <w:tabs>
          <w:tab w:val="left" w:pos="1440"/>
        </w:tabs>
        <w:ind w:left="1440" w:hanging="446"/>
      </w:pPr>
      <w:r w:rsidRPr="0058047D">
        <w:rPr>
          <w:rFonts w:eastAsia="Calibri" w:cs="Tahoma"/>
          <w:color w:val="000000"/>
          <w:szCs w:val="18"/>
        </w:rPr>
        <w:t>licenza per Windows Virtual Desktop Access o</w:t>
      </w:r>
    </w:p>
    <w:p w14:paraId="3610CB64" w14:textId="77777777" w:rsidR="00475147" w:rsidRPr="003F471F" w:rsidRDefault="00475147" w:rsidP="00346F4B">
      <w:pPr>
        <w:numPr>
          <w:ilvl w:val="0"/>
          <w:numId w:val="49"/>
        </w:numPr>
        <w:tabs>
          <w:tab w:val="left" w:pos="1440"/>
        </w:tabs>
        <w:ind w:left="1440" w:hanging="446"/>
        <w:rPr>
          <w:lang w:val="it-IT"/>
        </w:rPr>
      </w:pPr>
      <w:r w:rsidRPr="003F471F">
        <w:rPr>
          <w:rFonts w:eastAsia="Calibri" w:cs="Tahoma"/>
          <w:color w:val="000000"/>
          <w:szCs w:val="18"/>
          <w:lang w:val="it-IT"/>
        </w:rPr>
        <w:t xml:space="preserve">sottoscrizione attiva di Windows Intune </w:t>
      </w:r>
      <w:r w:rsidRPr="003F471F">
        <w:rPr>
          <w:rFonts w:cs="Tahoma"/>
          <w:szCs w:val="18"/>
          <w:lang w:val="it-IT"/>
        </w:rPr>
        <w:t>(Per Dispositivo)</w:t>
      </w:r>
      <w:r w:rsidRPr="003F471F">
        <w:rPr>
          <w:rFonts w:eastAsia="Calibri" w:cs="Tahoma"/>
          <w:color w:val="000000"/>
          <w:szCs w:val="18"/>
          <w:lang w:val="it-IT"/>
        </w:rPr>
        <w:t>.</w:t>
      </w:r>
    </w:p>
    <w:p w14:paraId="3D5792FF" w14:textId="77777777" w:rsidR="00475147" w:rsidRPr="003F471F" w:rsidRDefault="00475147" w:rsidP="00483B3D">
      <w:pPr>
        <w:spacing w:before="120"/>
        <w:ind w:left="720"/>
        <w:rPr>
          <w:lang w:val="it-IT"/>
        </w:rPr>
      </w:pPr>
      <w:r w:rsidRPr="003F471F">
        <w:rPr>
          <w:rFonts w:eastAsia="Calibri" w:cs="Tahoma"/>
          <w:color w:val="000000"/>
          <w:szCs w:val="18"/>
          <w:lang w:val="it-IT"/>
        </w:rPr>
        <w:t>Sono inoltre consentiti i dispositivi coperti da una Licenza “Subscription” per Windows Companion attiva.</w:t>
      </w:r>
    </w:p>
    <w:p w14:paraId="63AF080B" w14:textId="77777777" w:rsidR="007A73DF" w:rsidRPr="003F471F" w:rsidRDefault="007A73DF" w:rsidP="00483B3D">
      <w:pPr>
        <w:ind w:left="720"/>
        <w:rPr>
          <w:sz w:val="16"/>
          <w:szCs w:val="16"/>
          <w:lang w:val="it-IT"/>
        </w:rPr>
      </w:pPr>
    </w:p>
    <w:p w14:paraId="4CD46BCE" w14:textId="77777777" w:rsidR="00F7027D" w:rsidRPr="003F471F" w:rsidRDefault="00F7027D" w:rsidP="00483B3D">
      <w:pPr>
        <w:ind w:left="720"/>
        <w:rPr>
          <w:lang w:val="it-IT"/>
        </w:rPr>
      </w:pPr>
      <w:r w:rsidRPr="003F471F">
        <w:rPr>
          <w:rFonts w:eastAsia="Calibri" w:cs="Tahoma"/>
          <w:color w:val="000000"/>
          <w:szCs w:val="18"/>
          <w:lang w:val="it-IT"/>
        </w:rPr>
        <w:t>Le società con Contratti Multilicenza in possesso di licenze attive per MDOP riceveranno il seguente software (non appena verrà reso disponibile).</w:t>
      </w:r>
    </w:p>
    <w:p w14:paraId="0C38A790" w14:textId="77777777" w:rsidR="007A73DF" w:rsidRPr="003F471F" w:rsidRDefault="007A73DF" w:rsidP="00483B3D">
      <w:pPr>
        <w:ind w:left="720"/>
        <w:rPr>
          <w:sz w:val="16"/>
          <w:szCs w:val="16"/>
          <w:lang w:val="it-IT"/>
        </w:rPr>
      </w:pPr>
    </w:p>
    <w:p w14:paraId="7480FE19" w14:textId="77777777" w:rsidR="00E52A26" w:rsidRPr="0058047D" w:rsidRDefault="00E52A26" w:rsidP="00346F4B">
      <w:pPr>
        <w:numPr>
          <w:ilvl w:val="0"/>
          <w:numId w:val="49"/>
        </w:numPr>
        <w:tabs>
          <w:tab w:val="left" w:pos="1440"/>
        </w:tabs>
        <w:spacing w:after="60"/>
        <w:ind w:left="1440" w:hanging="446"/>
      </w:pPr>
      <w:r w:rsidRPr="0058047D">
        <w:rPr>
          <w:rFonts w:eastAsia="Calibri" w:cs="Tahoma"/>
          <w:color w:val="000000"/>
          <w:szCs w:val="18"/>
        </w:rPr>
        <w:t>Microsoft Application Virtualization per Desktop Windows (App-V)</w:t>
      </w:r>
    </w:p>
    <w:p w14:paraId="13A10D88" w14:textId="77777777" w:rsidR="00E52A26" w:rsidRPr="003F471F" w:rsidRDefault="00E52A26" w:rsidP="00346F4B">
      <w:pPr>
        <w:numPr>
          <w:ilvl w:val="0"/>
          <w:numId w:val="49"/>
        </w:numPr>
        <w:tabs>
          <w:tab w:val="left" w:pos="1440"/>
        </w:tabs>
        <w:spacing w:after="60"/>
        <w:ind w:left="1440" w:hanging="446"/>
        <w:rPr>
          <w:lang w:val="it-IT"/>
        </w:rPr>
      </w:pPr>
      <w:r w:rsidRPr="003F471F">
        <w:rPr>
          <w:rFonts w:eastAsia="Calibri" w:cs="Tahoma"/>
          <w:color w:val="000000"/>
          <w:szCs w:val="18"/>
          <w:lang w:val="it-IT"/>
        </w:rPr>
        <w:t>Gestione Avanzata Criteri di Gruppo Microsoft (AGPM)</w:t>
      </w:r>
    </w:p>
    <w:p w14:paraId="2490C50B" w14:textId="77777777" w:rsidR="00E52A26" w:rsidRPr="003F471F" w:rsidRDefault="00E52A26" w:rsidP="00346F4B">
      <w:pPr>
        <w:numPr>
          <w:ilvl w:val="0"/>
          <w:numId w:val="49"/>
        </w:numPr>
        <w:tabs>
          <w:tab w:val="left" w:pos="1440"/>
        </w:tabs>
        <w:spacing w:after="60"/>
        <w:ind w:left="1440" w:hanging="446"/>
        <w:rPr>
          <w:lang w:val="it-IT"/>
        </w:rPr>
      </w:pPr>
      <w:r w:rsidRPr="003F471F">
        <w:rPr>
          <w:rFonts w:eastAsia="Calibri" w:cs="Tahoma"/>
          <w:color w:val="000000"/>
          <w:szCs w:val="18"/>
          <w:lang w:val="it-IT"/>
        </w:rPr>
        <w:t>Set di Strumenti Microsoft di Diagnostica e Ripristino (DART)</w:t>
      </w:r>
    </w:p>
    <w:p w14:paraId="60E3F808" w14:textId="77777777" w:rsidR="00E52A26" w:rsidRPr="0058047D" w:rsidRDefault="00E52A26" w:rsidP="00346F4B">
      <w:pPr>
        <w:numPr>
          <w:ilvl w:val="0"/>
          <w:numId w:val="49"/>
        </w:numPr>
        <w:tabs>
          <w:tab w:val="left" w:pos="1440"/>
        </w:tabs>
        <w:spacing w:after="60"/>
        <w:ind w:left="1440" w:hanging="446"/>
      </w:pPr>
      <w:r w:rsidRPr="0058047D">
        <w:rPr>
          <w:rFonts w:eastAsia="Calibri" w:cs="Tahoma"/>
          <w:color w:val="000000"/>
          <w:szCs w:val="18"/>
        </w:rPr>
        <w:t>Microsoft Enterprise Desktop Virtualization (MED-V)</w:t>
      </w:r>
    </w:p>
    <w:p w14:paraId="24AF3E39" w14:textId="77777777" w:rsidR="00E52A26" w:rsidRPr="0058047D" w:rsidRDefault="00E52A26" w:rsidP="00346F4B">
      <w:pPr>
        <w:numPr>
          <w:ilvl w:val="0"/>
          <w:numId w:val="49"/>
        </w:numPr>
        <w:tabs>
          <w:tab w:val="left" w:pos="1440"/>
        </w:tabs>
        <w:spacing w:after="60"/>
        <w:ind w:left="1440" w:hanging="446"/>
      </w:pPr>
      <w:r w:rsidRPr="0058047D">
        <w:rPr>
          <w:rFonts w:eastAsia="Calibri" w:cs="Tahoma"/>
          <w:color w:val="000000"/>
          <w:szCs w:val="18"/>
        </w:rPr>
        <w:t>Microsoft BitLocker</w:t>
      </w:r>
      <w:r w:rsidR="00E53A46" w:rsidRPr="0058047D">
        <w:rPr>
          <w:rFonts w:eastAsia="Calibri" w:cs="Tahoma"/>
          <w:color w:val="000000"/>
          <w:szCs w:val="18"/>
          <w:vertAlign w:val="superscript"/>
        </w:rPr>
        <w:t>®</w:t>
      </w:r>
      <w:r w:rsidRPr="0058047D">
        <w:rPr>
          <w:rFonts w:eastAsia="Calibri" w:cs="Tahoma"/>
          <w:color w:val="000000"/>
          <w:szCs w:val="18"/>
        </w:rPr>
        <w:t xml:space="preserve"> Administration and Monitoring (MBAM)</w:t>
      </w:r>
    </w:p>
    <w:p w14:paraId="71F2D916" w14:textId="77777777" w:rsidR="00670296" w:rsidRPr="0058047D" w:rsidRDefault="00670296" w:rsidP="00346F4B">
      <w:pPr>
        <w:numPr>
          <w:ilvl w:val="0"/>
          <w:numId w:val="49"/>
        </w:numPr>
        <w:tabs>
          <w:tab w:val="left" w:pos="1440"/>
        </w:tabs>
        <w:spacing w:after="60"/>
        <w:ind w:left="1440" w:hanging="446"/>
      </w:pPr>
      <w:r w:rsidRPr="0058047D">
        <w:rPr>
          <w:rFonts w:eastAsia="Calibri" w:cs="Tahoma"/>
          <w:color w:val="000000"/>
          <w:szCs w:val="18"/>
        </w:rPr>
        <w:t>Microsoft User Experience Virtualization (UE-V)</w:t>
      </w:r>
    </w:p>
    <w:p w14:paraId="0C7F0CAB" w14:textId="77777777" w:rsidR="007A73DF" w:rsidRPr="007B2EDE" w:rsidRDefault="007A73DF" w:rsidP="00483B3D">
      <w:pPr>
        <w:tabs>
          <w:tab w:val="left" w:pos="1440"/>
        </w:tabs>
        <w:ind w:left="994"/>
        <w:rPr>
          <w:sz w:val="14"/>
          <w:szCs w:val="14"/>
        </w:rPr>
      </w:pPr>
    </w:p>
    <w:p w14:paraId="0115B05A" w14:textId="77777777" w:rsidR="007045C0" w:rsidRPr="0058047D" w:rsidRDefault="007045C0" w:rsidP="00483B3D">
      <w:pPr>
        <w:spacing w:after="60"/>
        <w:ind w:left="720"/>
      </w:pPr>
      <w:r w:rsidRPr="0058047D">
        <w:rPr>
          <w:rFonts w:eastAsia="Calibri" w:cs="Tahoma"/>
          <w:b/>
          <w:color w:val="000000"/>
          <w:szCs w:val="18"/>
        </w:rPr>
        <w:t>Licenza “Subscription” per Windows Companion (CSL) e MDOP</w:t>
      </w:r>
    </w:p>
    <w:p w14:paraId="381B10F6" w14:textId="77777777" w:rsidR="007045C0" w:rsidRPr="003F471F" w:rsidRDefault="007045C0" w:rsidP="00483B3D">
      <w:pPr>
        <w:tabs>
          <w:tab w:val="left" w:pos="1440"/>
        </w:tabs>
        <w:ind w:left="720"/>
        <w:rPr>
          <w:lang w:val="it-IT"/>
        </w:rPr>
      </w:pPr>
      <w:r w:rsidRPr="003F471F">
        <w:rPr>
          <w:rFonts w:cs="Tahoma"/>
          <w:color w:val="000000"/>
          <w:szCs w:val="18"/>
          <w:lang w:val="it-IT"/>
        </w:rPr>
        <w:t>Gli Utenti Principali di un dispositivo coperto da una licenza MDOP attiva e da una CSL potranno accedere alla funzionalità MDOP tramite i loro dispositivi companion senza dover acquistare licenze MDOP aggiuntive per ciascun dispositivo companion.</w:t>
      </w:r>
    </w:p>
    <w:p w14:paraId="016683EA" w14:textId="77777777" w:rsidR="007045C0" w:rsidRPr="003F471F" w:rsidRDefault="007045C0" w:rsidP="00483B3D">
      <w:pPr>
        <w:tabs>
          <w:tab w:val="left" w:pos="1440"/>
        </w:tabs>
        <w:ind w:left="994"/>
        <w:rPr>
          <w:sz w:val="14"/>
          <w:szCs w:val="14"/>
          <w:lang w:val="it-IT"/>
        </w:rPr>
      </w:pPr>
    </w:p>
    <w:p w14:paraId="54DF5F14" w14:textId="77777777" w:rsidR="0031394C" w:rsidRPr="003F471F" w:rsidRDefault="0031394C" w:rsidP="00483B3D">
      <w:pPr>
        <w:spacing w:after="60"/>
        <w:ind w:left="720"/>
        <w:rPr>
          <w:lang w:val="it-IT"/>
        </w:rPr>
      </w:pPr>
      <w:r w:rsidRPr="003F471F">
        <w:rPr>
          <w:rFonts w:eastAsia="Calibri" w:cs="Tahoma"/>
          <w:b/>
          <w:color w:val="000000"/>
          <w:szCs w:val="18"/>
          <w:lang w:val="it-IT"/>
        </w:rPr>
        <w:t>Offerta di Windows Intune (Per Dispositivo) per le Società in possesso di Microsoft Desktop Optimization Pack (MDOP) che utilizzano Asset Inventory Service</w:t>
      </w:r>
    </w:p>
    <w:p w14:paraId="184F6F84" w14:textId="77777777" w:rsidR="006529B0" w:rsidRPr="003F471F" w:rsidRDefault="006529B0" w:rsidP="006529B0">
      <w:pPr>
        <w:ind w:left="720"/>
        <w:rPr>
          <w:spacing w:val="-4"/>
          <w:lang w:val="it-IT"/>
        </w:rPr>
      </w:pPr>
      <w:r w:rsidRPr="003F471F">
        <w:rPr>
          <w:rFonts w:cs="Tahoma"/>
          <w:color w:val="000000"/>
          <w:spacing w:val="-4"/>
          <w:szCs w:val="18"/>
          <w:lang w:val="it-IT"/>
        </w:rPr>
        <w:t>Informazioni dettagliate sulla presente offerta sono disponibili nella Lista dei Prodotti del mese di ottobre 2013.</w:t>
      </w:r>
    </w:p>
    <w:p w14:paraId="3A75D373" w14:textId="77777777" w:rsidR="00D513A8" w:rsidRPr="003F471F" w:rsidRDefault="00F645DA" w:rsidP="00D513A8">
      <w:pPr>
        <w:pStyle w:val="Heading3"/>
        <w:rPr>
          <w:lang w:val="it-IT"/>
        </w:rPr>
      </w:pPr>
      <w:bookmarkStart w:id="1079" w:name="_24_Windows®_Companion"/>
      <w:bookmarkStart w:id="1080" w:name="_24_Windows®_8"/>
      <w:bookmarkStart w:id="1081" w:name="_25_Windows_Embedded"/>
      <w:bookmarkStart w:id="1082" w:name="_25_Windows®_Companion"/>
      <w:bookmarkStart w:id="1083" w:name="_28_Windows®_Companion"/>
      <w:bookmarkStart w:id="1084" w:name="_26_Windows_Vista"/>
      <w:bookmarkStart w:id="1085" w:name="_29_Windows_Vista"/>
      <w:bookmarkStart w:id="1086" w:name="_29_30_Windows"/>
      <w:bookmarkStart w:id="1087" w:name="_Toc336338282"/>
      <w:bookmarkStart w:id="1088" w:name="Sys_24WindowsVistaDVDPack"/>
      <w:bookmarkStart w:id="1089" w:name="_Toc371663679"/>
      <w:bookmarkStart w:id="1090" w:name="Sys_22WindowsPartnersLearning"/>
      <w:bookmarkEnd w:id="1078"/>
      <w:bookmarkEnd w:id="1079"/>
      <w:bookmarkEnd w:id="1080"/>
      <w:bookmarkEnd w:id="1081"/>
      <w:bookmarkEnd w:id="1082"/>
      <w:bookmarkEnd w:id="1083"/>
      <w:bookmarkEnd w:id="1084"/>
      <w:bookmarkEnd w:id="1085"/>
      <w:bookmarkEnd w:id="1086"/>
      <w:r w:rsidRPr="003F471F">
        <w:rPr>
          <w:rFonts w:ascii="Tahoma" w:hAnsi="Tahoma"/>
          <w:caps/>
          <w:color w:val="F66400"/>
          <w:sz w:val="22"/>
          <w:vertAlign w:val="superscript"/>
          <w:lang w:val="it-IT"/>
        </w:rPr>
        <w:t>27</w:t>
      </w:r>
      <w:r w:rsidRPr="003F471F">
        <w:rPr>
          <w:rFonts w:ascii="Tahoma" w:eastAsia="Times New Roman" w:hAnsi="Tahoma" w:cs="Tahoma"/>
          <w:bCs/>
          <w:color w:val="F66400"/>
          <w:sz w:val="22"/>
          <w:szCs w:val="22"/>
          <w:lang w:val="it-IT"/>
        </w:rPr>
        <w:t xml:space="preserve"> </w:t>
      </w:r>
      <w:bookmarkStart w:id="1091" w:name="_30_Windows®_7"/>
      <w:bookmarkStart w:id="1092" w:name="Sys_25WindowsPartnersLearning"/>
      <w:bookmarkStart w:id="1093" w:name="_Toc336338284"/>
      <w:bookmarkEnd w:id="1087"/>
      <w:bookmarkEnd w:id="1088"/>
      <w:bookmarkEnd w:id="1091"/>
      <w:r w:rsidRPr="003F471F">
        <w:rPr>
          <w:rFonts w:ascii="Tahoma" w:hAnsi="Tahoma"/>
          <w:color w:val="F66400"/>
          <w:sz w:val="22"/>
          <w:lang w:val="it-IT"/>
        </w:rPr>
        <w:t>Windows</w:t>
      </w:r>
      <w:r w:rsidR="00E53A46" w:rsidRPr="003F471F">
        <w:rPr>
          <w:rFonts w:ascii="Tahoma" w:hAnsi="Tahoma"/>
          <w:color w:val="F66400"/>
          <w:sz w:val="22"/>
          <w:vertAlign w:val="superscript"/>
          <w:lang w:val="it-IT"/>
        </w:rPr>
        <w:t>®</w:t>
      </w:r>
      <w:r w:rsidRPr="003F471F">
        <w:rPr>
          <w:rFonts w:ascii="Tahoma" w:hAnsi="Tahoma"/>
          <w:color w:val="F66400"/>
          <w:sz w:val="22"/>
          <w:lang w:val="it-IT"/>
        </w:rPr>
        <w:t xml:space="preserve"> 7 Partners in Learning</w:t>
      </w:r>
      <w:bookmarkEnd w:id="1089"/>
      <w:bookmarkEnd w:id="1092"/>
    </w:p>
    <w:p w14:paraId="553DBAF8" w14:textId="77777777" w:rsidR="00D513A8" w:rsidRPr="003F471F" w:rsidRDefault="00D513A8" w:rsidP="00D513A8">
      <w:pPr>
        <w:rPr>
          <w:lang w:val="it-IT"/>
        </w:rPr>
      </w:pPr>
    </w:p>
    <w:p w14:paraId="3C3A8DEA" w14:textId="77777777" w:rsidR="00D513A8" w:rsidRPr="003F471F" w:rsidRDefault="00D513A8" w:rsidP="00D513A8">
      <w:pPr>
        <w:ind w:left="720" w:right="-810"/>
        <w:rPr>
          <w:lang w:val="it-IT"/>
        </w:rPr>
      </w:pPr>
      <w:r w:rsidRPr="003F471F">
        <w:rPr>
          <w:rFonts w:cs="Tahoma"/>
          <w:color w:val="000000"/>
          <w:szCs w:val="18"/>
          <w:lang w:val="it-IT"/>
        </w:rPr>
        <w:t>Per i requisiti di idoneità e l</w:t>
      </w:r>
      <w:r w:rsidR="001C4212" w:rsidRPr="003F471F">
        <w:rPr>
          <w:rFonts w:cs="Tahoma"/>
          <w:color w:val="000000"/>
          <w:szCs w:val="18"/>
          <w:lang w:val="it-IT"/>
        </w:rPr>
        <w:t>’</w:t>
      </w:r>
      <w:r w:rsidRPr="003F471F">
        <w:rPr>
          <w:rFonts w:cs="Tahoma"/>
          <w:color w:val="000000"/>
          <w:szCs w:val="18"/>
          <w:lang w:val="it-IT"/>
        </w:rPr>
        <w:t xml:space="preserve">iscrizione dei partner, la società dovrà fare riferimento alla pagina </w:t>
      </w:r>
      <w:hyperlink r:id="rId41" w:history="1">
        <w:r w:rsidR="007B2EDE" w:rsidRPr="003F471F">
          <w:rPr>
            <w:rStyle w:val="Hyperlink"/>
            <w:rFonts w:cs="Tahoma"/>
            <w:szCs w:val="18"/>
            <w:lang w:val="it-IT"/>
          </w:rPr>
          <w:t>http://www.microsoft.com/education/pil/partnersinlearning.aspx</w:t>
        </w:r>
      </w:hyperlink>
      <w:r w:rsidRPr="003F471F">
        <w:rPr>
          <w:color w:val="000000"/>
          <w:lang w:val="it-IT"/>
        </w:rPr>
        <w:t xml:space="preserve"> </w:t>
      </w:r>
    </w:p>
    <w:p w14:paraId="2D633156" w14:textId="77777777" w:rsidR="00D513A8" w:rsidRPr="003F471F" w:rsidRDefault="00D513A8" w:rsidP="00D513A8">
      <w:pPr>
        <w:ind w:right="-810"/>
        <w:rPr>
          <w:lang w:val="it-IT"/>
        </w:rPr>
      </w:pPr>
    </w:p>
    <w:p w14:paraId="51687639" w14:textId="77777777" w:rsidR="00D513A8" w:rsidRPr="003F471F" w:rsidRDefault="00D513A8" w:rsidP="00D513A8">
      <w:pPr>
        <w:ind w:right="-810"/>
        <w:rPr>
          <w:lang w:val="it-IT"/>
        </w:rPr>
      </w:pPr>
    </w:p>
    <w:p w14:paraId="2F8C5B93" w14:textId="77777777" w:rsidR="005D4DAB" w:rsidRPr="0058047D" w:rsidRDefault="00F645DA" w:rsidP="00C646B3">
      <w:pPr>
        <w:pStyle w:val="Heading3"/>
      </w:pPr>
      <w:bookmarkStart w:id="1094" w:name="_28_Windows®_8"/>
      <w:bookmarkStart w:id="1095" w:name="_31_Windows®_8"/>
      <w:bookmarkStart w:id="1096" w:name="_Toc371663680"/>
      <w:bookmarkEnd w:id="1094"/>
      <w:bookmarkEnd w:id="1095"/>
      <w:r w:rsidRPr="0058047D">
        <w:rPr>
          <w:rFonts w:ascii="Tahoma" w:hAnsi="Tahoma"/>
          <w:caps/>
          <w:color w:val="F66400"/>
          <w:sz w:val="22"/>
          <w:vertAlign w:val="superscript"/>
        </w:rPr>
        <w:t>28</w:t>
      </w:r>
      <w:r w:rsidRPr="0058047D">
        <w:rPr>
          <w:rFonts w:ascii="Tahoma" w:hAnsi="Tahoma"/>
          <w:color w:val="F66400"/>
          <w:sz w:val="22"/>
        </w:rPr>
        <w:t xml:space="preserve"> Windows</w:t>
      </w:r>
      <w:r w:rsidR="00E53A46" w:rsidRPr="0058047D">
        <w:rPr>
          <w:rFonts w:ascii="Tahoma" w:hAnsi="Tahoma"/>
          <w:color w:val="F66400"/>
          <w:sz w:val="22"/>
          <w:vertAlign w:val="superscript"/>
        </w:rPr>
        <w:t>®</w:t>
      </w:r>
      <w:r w:rsidRPr="0058047D">
        <w:rPr>
          <w:rFonts w:ascii="Tahoma" w:hAnsi="Tahoma"/>
          <w:color w:val="F66400"/>
          <w:sz w:val="22"/>
        </w:rPr>
        <w:t xml:space="preserve"> 8.1 Enterprise Sideloading</w:t>
      </w:r>
      <w:bookmarkEnd w:id="1093"/>
      <w:bookmarkEnd w:id="1096"/>
    </w:p>
    <w:p w14:paraId="36A1DB56" w14:textId="77777777" w:rsidR="009B2474" w:rsidRPr="0058047D" w:rsidRDefault="009B2474" w:rsidP="009B2474"/>
    <w:p w14:paraId="7A685046" w14:textId="77777777" w:rsidR="009B2474" w:rsidRPr="0058047D" w:rsidRDefault="009B2474" w:rsidP="009B2474"/>
    <w:tbl>
      <w:tblPr>
        <w:tblW w:w="5838" w:type="dxa"/>
        <w:tblInd w:w="780" w:type="dxa"/>
        <w:tblCellMar>
          <w:left w:w="0" w:type="dxa"/>
          <w:right w:w="0" w:type="dxa"/>
        </w:tblCellMar>
        <w:tblLook w:val="04A0" w:firstRow="1" w:lastRow="0" w:firstColumn="1" w:lastColumn="0" w:noHBand="0" w:noVBand="1"/>
      </w:tblPr>
      <w:tblGrid>
        <w:gridCol w:w="2938"/>
        <w:gridCol w:w="1560"/>
        <w:gridCol w:w="1340"/>
      </w:tblGrid>
      <w:tr w:rsidR="005D4DAB" w:rsidRPr="003F471F" w14:paraId="5AF2CF49" w14:textId="77777777" w:rsidTr="007B2EDE">
        <w:trPr>
          <w:trHeight w:val="900"/>
          <w:tblHeader/>
        </w:trPr>
        <w:tc>
          <w:tcPr>
            <w:tcW w:w="2938" w:type="dxa"/>
            <w:tcBorders>
              <w:top w:val="single" w:sz="8" w:space="0" w:color="auto"/>
              <w:left w:val="single" w:sz="8" w:space="0" w:color="auto"/>
              <w:bottom w:val="single" w:sz="4" w:space="0" w:color="auto"/>
              <w:right w:val="single" w:sz="8" w:space="0" w:color="auto"/>
            </w:tcBorders>
            <w:shd w:val="clear" w:color="auto" w:fill="FABF8F"/>
            <w:vAlign w:val="center"/>
            <w:hideMark/>
          </w:tcPr>
          <w:p w14:paraId="0EDC8C10" w14:textId="77777777" w:rsidR="005D4DAB" w:rsidRPr="0058047D" w:rsidRDefault="00433F5F" w:rsidP="005D4DAB">
            <w:pPr>
              <w:jc w:val="center"/>
              <w:rPr>
                <w:rFonts w:eastAsia="Calibri" w:cs="Tahoma"/>
                <w:b/>
                <w:bCs/>
                <w:szCs w:val="18"/>
              </w:rPr>
            </w:pPr>
            <w:r w:rsidRPr="0058047D">
              <w:rPr>
                <w:rFonts w:cs="Tahoma"/>
                <w:b/>
                <w:bCs/>
                <w:szCs w:val="18"/>
              </w:rPr>
              <w:t>Disponibilità del Programma</w:t>
            </w:r>
          </w:p>
        </w:tc>
        <w:tc>
          <w:tcPr>
            <w:tcW w:w="1560" w:type="dxa"/>
            <w:tcBorders>
              <w:top w:val="single" w:sz="4" w:space="0" w:color="auto"/>
              <w:left w:val="nil"/>
              <w:bottom w:val="single" w:sz="4" w:space="0" w:color="auto"/>
              <w:right w:val="single" w:sz="4" w:space="0" w:color="auto"/>
            </w:tcBorders>
            <w:shd w:val="clear" w:color="auto" w:fill="FABF8F"/>
            <w:vAlign w:val="bottom"/>
          </w:tcPr>
          <w:p w14:paraId="3DF5F464" w14:textId="77777777" w:rsidR="005D4DAB" w:rsidRPr="0058047D" w:rsidRDefault="005D4DAB" w:rsidP="005D4DAB">
            <w:pPr>
              <w:jc w:val="center"/>
              <w:rPr>
                <w:rFonts w:cs="Tahoma"/>
                <w:b/>
                <w:bCs/>
                <w:szCs w:val="18"/>
              </w:rPr>
            </w:pPr>
            <w:r w:rsidRPr="0058047D">
              <w:rPr>
                <w:rFonts w:cs="Tahoma"/>
                <w:b/>
                <w:bCs/>
                <w:szCs w:val="18"/>
              </w:rPr>
              <w:t>Licenze Disponibili per l</w:t>
            </w:r>
            <w:r w:rsidR="001C4212">
              <w:rPr>
                <w:rFonts w:cs="Tahoma"/>
                <w:b/>
                <w:bCs/>
                <w:szCs w:val="18"/>
              </w:rPr>
              <w:t>’</w:t>
            </w:r>
            <w:r w:rsidRPr="0058047D">
              <w:rPr>
                <w:rFonts w:cs="Tahoma"/>
                <w:b/>
                <w:bCs/>
                <w:szCs w:val="18"/>
              </w:rPr>
              <w:t>Acquisto</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1FAD6B1C" w14:textId="77777777" w:rsidR="005D4DAB" w:rsidRPr="003F471F" w:rsidRDefault="005D4DAB" w:rsidP="005D4DAB">
            <w:pPr>
              <w:jc w:val="center"/>
              <w:rPr>
                <w:rFonts w:eastAsia="Calibri" w:cs="Tahoma"/>
                <w:b/>
                <w:bCs/>
                <w:szCs w:val="18"/>
                <w:lang w:val="it-IT"/>
              </w:rPr>
            </w:pPr>
            <w:r w:rsidRPr="003F471F">
              <w:rPr>
                <w:rFonts w:cs="Tahoma"/>
                <w:b/>
                <w:bCs/>
                <w:szCs w:val="18"/>
                <w:lang w:val="it-IT"/>
              </w:rPr>
              <w:t>Disponibili come Vantaggio di Software Assurance</w:t>
            </w:r>
          </w:p>
        </w:tc>
      </w:tr>
      <w:tr w:rsidR="005D4DAB" w:rsidRPr="0058047D" w14:paraId="329D1A9F" w14:textId="77777777" w:rsidTr="007B2EDE">
        <w:trPr>
          <w:trHeight w:val="337"/>
        </w:trPr>
        <w:tc>
          <w:tcPr>
            <w:tcW w:w="293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3007139D" w14:textId="77777777" w:rsidR="005D4DAB" w:rsidRPr="0058047D" w:rsidRDefault="005D4DAB" w:rsidP="005D4DAB">
            <w:pPr>
              <w:jc w:val="center"/>
              <w:rPr>
                <w:rFonts w:eastAsia="Calibri" w:cs="Tahoma"/>
                <w:b/>
                <w:bCs/>
                <w:szCs w:val="18"/>
              </w:rPr>
            </w:pPr>
            <w:r w:rsidRPr="0058047D">
              <w:rPr>
                <w:rFonts w:cs="Tahoma"/>
                <w:b/>
                <w:bCs/>
                <w:szCs w:val="18"/>
              </w:rPr>
              <w:t>Licenza Open</w:t>
            </w:r>
          </w:p>
        </w:tc>
        <w:tc>
          <w:tcPr>
            <w:tcW w:w="1560" w:type="dxa"/>
            <w:tcBorders>
              <w:top w:val="single" w:sz="4" w:space="0" w:color="auto"/>
              <w:left w:val="single" w:sz="4" w:space="0" w:color="auto"/>
              <w:bottom w:val="single" w:sz="4" w:space="0" w:color="auto"/>
              <w:right w:val="single" w:sz="4" w:space="0" w:color="auto"/>
            </w:tcBorders>
            <w:vAlign w:val="center"/>
          </w:tcPr>
          <w:p w14:paraId="1A883DB0" w14:textId="77777777" w:rsidR="005D4DAB" w:rsidRPr="0058047D" w:rsidRDefault="005D4DAB" w:rsidP="005D4DAB">
            <w:pPr>
              <w:jc w:val="center"/>
              <w:rPr>
                <w:rFonts w:cs="Tahoma"/>
                <w:szCs w:val="18"/>
              </w:rPr>
            </w:pPr>
            <w:r w:rsidRPr="0058047D">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77B33FA2" w14:textId="77777777" w:rsidR="005D4DAB" w:rsidRPr="0058047D" w:rsidRDefault="005D4DAB" w:rsidP="005D4DAB">
            <w:pPr>
              <w:jc w:val="center"/>
              <w:rPr>
                <w:rFonts w:eastAsia="Calibri" w:cs="Tahoma"/>
                <w:szCs w:val="18"/>
              </w:rPr>
            </w:pPr>
          </w:p>
        </w:tc>
      </w:tr>
      <w:tr w:rsidR="005D4DAB" w:rsidRPr="0058047D" w14:paraId="752E4850" w14:textId="77777777" w:rsidTr="007B2EDE">
        <w:trPr>
          <w:trHeight w:val="337"/>
        </w:trPr>
        <w:tc>
          <w:tcPr>
            <w:tcW w:w="293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0130779" w14:textId="77777777" w:rsidR="005D4DAB" w:rsidRPr="0058047D" w:rsidRDefault="005D4DAB" w:rsidP="005D4DAB">
            <w:pPr>
              <w:jc w:val="center"/>
              <w:rPr>
                <w:rFonts w:cs="Tahoma"/>
                <w:b/>
                <w:bCs/>
                <w:szCs w:val="18"/>
              </w:rPr>
            </w:pPr>
            <w:r w:rsidRPr="0058047D">
              <w:rPr>
                <w:rFonts w:cs="Tahoma"/>
                <w:b/>
                <w:bCs/>
                <w:szCs w:val="18"/>
              </w:rPr>
              <w:t>Select/Select Plus</w:t>
            </w:r>
          </w:p>
        </w:tc>
        <w:tc>
          <w:tcPr>
            <w:tcW w:w="1560" w:type="dxa"/>
            <w:tcBorders>
              <w:top w:val="single" w:sz="4" w:space="0" w:color="auto"/>
              <w:left w:val="single" w:sz="4" w:space="0" w:color="auto"/>
              <w:bottom w:val="single" w:sz="4" w:space="0" w:color="auto"/>
              <w:right w:val="single" w:sz="4" w:space="0" w:color="auto"/>
            </w:tcBorders>
            <w:vAlign w:val="center"/>
          </w:tcPr>
          <w:p w14:paraId="05129244" w14:textId="77777777" w:rsidR="005D4DAB" w:rsidRPr="0058047D" w:rsidRDefault="005D4DAB" w:rsidP="005D4DAB">
            <w:pPr>
              <w:jc w:val="center"/>
              <w:rPr>
                <w:rFonts w:cs="Tahoma"/>
                <w:szCs w:val="18"/>
              </w:rPr>
            </w:pPr>
            <w:r w:rsidRPr="0058047D">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481DDFF" w14:textId="77777777" w:rsidR="005D4DAB" w:rsidRPr="0058047D" w:rsidRDefault="005D4DAB" w:rsidP="005D4DAB">
            <w:pPr>
              <w:jc w:val="center"/>
              <w:rPr>
                <w:rFonts w:eastAsia="Calibri" w:cs="Tahoma"/>
                <w:szCs w:val="18"/>
              </w:rPr>
            </w:pPr>
            <w:r w:rsidRPr="0058047D">
              <w:rPr>
                <w:rFonts w:eastAsia="Calibri" w:cs="Tahoma"/>
                <w:szCs w:val="18"/>
              </w:rPr>
              <w:t>x</w:t>
            </w:r>
          </w:p>
        </w:tc>
      </w:tr>
      <w:tr w:rsidR="005D4DAB" w:rsidRPr="0058047D" w14:paraId="4DD133B1" w14:textId="77777777" w:rsidTr="007B2EDE">
        <w:trPr>
          <w:trHeight w:val="337"/>
        </w:trPr>
        <w:tc>
          <w:tcPr>
            <w:tcW w:w="293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B992C9C" w14:textId="77777777" w:rsidR="005D4DAB" w:rsidRPr="0058047D" w:rsidRDefault="005D4DAB" w:rsidP="005D4DAB">
            <w:pPr>
              <w:jc w:val="center"/>
              <w:rPr>
                <w:rFonts w:cs="Tahoma"/>
                <w:b/>
                <w:bCs/>
                <w:szCs w:val="18"/>
              </w:rPr>
            </w:pPr>
            <w:r w:rsidRPr="0058047D">
              <w:rPr>
                <w:rFonts w:cs="Tahoma"/>
                <w:b/>
                <w:bCs/>
                <w:szCs w:val="18"/>
              </w:rPr>
              <w:t>Contratto Enterprise / EAS</w:t>
            </w:r>
          </w:p>
        </w:tc>
        <w:tc>
          <w:tcPr>
            <w:tcW w:w="1560" w:type="dxa"/>
            <w:tcBorders>
              <w:top w:val="single" w:sz="4" w:space="0" w:color="auto"/>
              <w:left w:val="single" w:sz="4" w:space="0" w:color="auto"/>
              <w:bottom w:val="single" w:sz="4" w:space="0" w:color="auto"/>
              <w:right w:val="single" w:sz="4" w:space="0" w:color="auto"/>
            </w:tcBorders>
            <w:vAlign w:val="center"/>
          </w:tcPr>
          <w:p w14:paraId="0E5126C8" w14:textId="77777777" w:rsidR="005D4DAB" w:rsidRPr="0058047D"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A496C6B" w14:textId="77777777" w:rsidR="005D4DAB" w:rsidRPr="0058047D" w:rsidRDefault="005D4DAB" w:rsidP="005D4DAB">
            <w:pPr>
              <w:jc w:val="center"/>
              <w:rPr>
                <w:rFonts w:eastAsia="Calibri" w:cs="Tahoma"/>
                <w:szCs w:val="18"/>
              </w:rPr>
            </w:pPr>
            <w:r w:rsidRPr="0058047D">
              <w:rPr>
                <w:rFonts w:eastAsia="Calibri" w:cs="Tahoma"/>
                <w:szCs w:val="18"/>
              </w:rPr>
              <w:t>x</w:t>
            </w:r>
          </w:p>
        </w:tc>
      </w:tr>
      <w:tr w:rsidR="00755633" w:rsidRPr="0058047D" w14:paraId="4D180A79" w14:textId="77777777" w:rsidTr="007B2EDE">
        <w:trPr>
          <w:trHeight w:val="337"/>
        </w:trPr>
        <w:tc>
          <w:tcPr>
            <w:tcW w:w="293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DB8D993" w14:textId="77777777" w:rsidR="00755633" w:rsidRPr="0058047D" w:rsidRDefault="00EB3A5F" w:rsidP="005D4DAB">
            <w:pPr>
              <w:jc w:val="center"/>
              <w:rPr>
                <w:rFonts w:cs="Tahoma"/>
                <w:b/>
                <w:bCs/>
                <w:szCs w:val="18"/>
              </w:rPr>
            </w:pPr>
            <w:r w:rsidRPr="0058047D">
              <w:rPr>
                <w:rFonts w:cs="Tahoma"/>
                <w:b/>
                <w:bCs/>
                <w:szCs w:val="18"/>
              </w:rPr>
              <w:t>Enrollment for Education Solutions</w:t>
            </w:r>
          </w:p>
        </w:tc>
        <w:tc>
          <w:tcPr>
            <w:tcW w:w="1560" w:type="dxa"/>
            <w:tcBorders>
              <w:top w:val="single" w:sz="4" w:space="0" w:color="auto"/>
              <w:left w:val="single" w:sz="4" w:space="0" w:color="auto"/>
              <w:bottom w:val="single" w:sz="4" w:space="0" w:color="auto"/>
              <w:right w:val="single" w:sz="4" w:space="0" w:color="auto"/>
            </w:tcBorders>
            <w:vAlign w:val="center"/>
          </w:tcPr>
          <w:p w14:paraId="677FD928" w14:textId="77777777" w:rsidR="00755633" w:rsidRPr="0058047D"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EBABE01" w14:textId="77777777" w:rsidR="00755633" w:rsidRPr="0058047D" w:rsidRDefault="00755633" w:rsidP="005D4DAB">
            <w:pPr>
              <w:jc w:val="center"/>
              <w:rPr>
                <w:rFonts w:eastAsia="Calibri" w:cs="Tahoma"/>
                <w:szCs w:val="18"/>
              </w:rPr>
            </w:pPr>
            <w:r w:rsidRPr="0058047D">
              <w:rPr>
                <w:rFonts w:eastAsia="Calibri" w:cs="Tahoma"/>
                <w:szCs w:val="18"/>
              </w:rPr>
              <w:t>x</w:t>
            </w:r>
          </w:p>
        </w:tc>
      </w:tr>
    </w:tbl>
    <w:p w14:paraId="2E56A331" w14:textId="77777777" w:rsidR="005D4DAB" w:rsidRPr="0058047D" w:rsidRDefault="005D4DAB" w:rsidP="00572128">
      <w:pPr>
        <w:ind w:left="900"/>
      </w:pPr>
    </w:p>
    <w:p w14:paraId="4CBF6378" w14:textId="77777777" w:rsidR="005D4DAB" w:rsidRPr="003F471F" w:rsidRDefault="005D4DAB" w:rsidP="00EE035D">
      <w:pPr>
        <w:ind w:left="720"/>
        <w:rPr>
          <w:lang w:val="it-IT"/>
        </w:rPr>
      </w:pPr>
      <w:r w:rsidRPr="003F471F">
        <w:rPr>
          <w:rFonts w:cs="Tahoma"/>
          <w:szCs w:val="18"/>
          <w:lang w:val="it-IT"/>
        </w:rPr>
        <w:t>Windows Enterprise Sideloading consente alla società di installare le nuove Applicazioni di Windows 8.1 direttamente su un dispositivo senza passare per Windows Store.</w:t>
      </w:r>
      <w:r w:rsidR="00E34ED3" w:rsidRPr="003F471F">
        <w:rPr>
          <w:rFonts w:cs="Tahoma"/>
          <w:szCs w:val="18"/>
          <w:lang w:val="it-IT"/>
        </w:rPr>
        <w:t xml:space="preserve"> </w:t>
      </w:r>
      <w:r w:rsidRPr="003F471F">
        <w:rPr>
          <w:rFonts w:cs="Tahoma"/>
          <w:szCs w:val="18"/>
          <w:lang w:val="it-IT"/>
        </w:rPr>
        <w:t>I dispositivi aggiunti al dominio in cui è</w:t>
      </w:r>
      <w:r w:rsidR="007B2EDE" w:rsidRPr="003F471F">
        <w:rPr>
          <w:rFonts w:cs="Tahoma"/>
          <w:szCs w:val="18"/>
          <w:lang w:val="it-IT"/>
        </w:rPr>
        <w:t> </w:t>
      </w:r>
      <w:r w:rsidRPr="003F471F">
        <w:rPr>
          <w:rFonts w:cs="Tahoma"/>
          <w:szCs w:val="18"/>
          <w:lang w:val="it-IT"/>
        </w:rPr>
        <w:t>in</w:t>
      </w:r>
      <w:r w:rsidR="007B2EDE" w:rsidRPr="003F471F">
        <w:rPr>
          <w:rFonts w:cs="Tahoma"/>
          <w:szCs w:val="18"/>
          <w:lang w:val="it-IT"/>
        </w:rPr>
        <w:t> </w:t>
      </w:r>
      <w:r w:rsidRPr="003F471F">
        <w:rPr>
          <w:rFonts w:cs="Tahoma"/>
          <w:szCs w:val="18"/>
          <w:lang w:val="it-IT"/>
        </w:rPr>
        <w:t>esecuzione l</w:t>
      </w:r>
      <w:r w:rsidR="001C4212" w:rsidRPr="003F471F">
        <w:rPr>
          <w:rFonts w:cs="Tahoma"/>
          <w:szCs w:val="18"/>
          <w:lang w:val="it-IT"/>
        </w:rPr>
        <w:t>’</w:t>
      </w:r>
      <w:r w:rsidRPr="003F471F">
        <w:rPr>
          <w:rFonts w:cs="Tahoma"/>
          <w:szCs w:val="18"/>
          <w:lang w:val="it-IT"/>
        </w:rPr>
        <w:t>edizione Windows 8.1 Enterprise, con qualsiasi Contratto Multilicenza, sono dotati di funzionalità abilitate per Windows Enterprise Sideloading.</w:t>
      </w:r>
      <w:r w:rsidR="00E34ED3" w:rsidRPr="003F471F">
        <w:rPr>
          <w:rFonts w:cs="Tahoma"/>
          <w:szCs w:val="18"/>
          <w:lang w:val="it-IT"/>
        </w:rPr>
        <w:t xml:space="preserve"> </w:t>
      </w:r>
      <w:r w:rsidRPr="003F471F">
        <w:rPr>
          <w:rFonts w:cs="Tahoma"/>
          <w:szCs w:val="18"/>
          <w:lang w:val="it-IT"/>
        </w:rPr>
        <w:t>Windows Enterprise Sideloading può essere attivato anche su dispositivi in cui è in esecuzione Windows 8.1 Enterprise che non sono stati aggiunti al dominio e su dispositivi in cui si trova Windows 8.1 Pro, Windows RT o Windows RT 8.1 mediante l</w:t>
      </w:r>
      <w:r w:rsidR="001C4212" w:rsidRPr="003F471F">
        <w:rPr>
          <w:rFonts w:cs="Tahoma"/>
          <w:szCs w:val="18"/>
          <w:lang w:val="it-IT"/>
        </w:rPr>
        <w:t>’</w:t>
      </w:r>
      <w:r w:rsidRPr="003F471F">
        <w:rPr>
          <w:rFonts w:cs="Tahoma"/>
          <w:szCs w:val="18"/>
          <w:lang w:val="it-IT"/>
        </w:rPr>
        <w:t>utilizzo di un codice Product Key.</w:t>
      </w:r>
      <w:r w:rsidR="00E34ED3" w:rsidRPr="003F471F">
        <w:rPr>
          <w:rFonts w:cs="Tahoma"/>
          <w:szCs w:val="18"/>
          <w:lang w:val="it-IT"/>
        </w:rPr>
        <w:t xml:space="preserve"> </w:t>
      </w:r>
      <w:r w:rsidRPr="003F471F">
        <w:rPr>
          <w:rFonts w:cs="Tahoma"/>
          <w:szCs w:val="18"/>
          <w:lang w:val="it-IT"/>
        </w:rPr>
        <w:t>In tutti i casi Windows Enterprise Sideloading potrà essere utilizzato esclusivamente per distribuire Applicazioni che apporteranno benefici alla società con Contratti Multilicenza.</w:t>
      </w:r>
      <w:r w:rsidR="00E34ED3" w:rsidRPr="003F471F">
        <w:rPr>
          <w:rFonts w:cs="Tahoma"/>
          <w:szCs w:val="18"/>
          <w:lang w:val="it-IT"/>
        </w:rPr>
        <w:t xml:space="preserve"> </w:t>
      </w:r>
      <w:r w:rsidRPr="003F471F">
        <w:rPr>
          <w:rFonts w:cs="Tahoma"/>
          <w:szCs w:val="18"/>
          <w:lang w:val="it-IT"/>
        </w:rPr>
        <w:t>La funzionalità Windows Enterprise Sideloading integra il Sistema Operativo Desktop Windows e di conseguenza le condizioni di licenza per il Sistema Operativo Desktop Windows fornite qui si applicano all</w:t>
      </w:r>
      <w:r w:rsidR="001C4212" w:rsidRPr="003F471F">
        <w:rPr>
          <w:rFonts w:cs="Tahoma"/>
          <w:szCs w:val="18"/>
          <w:lang w:val="it-IT"/>
        </w:rPr>
        <w:t>’</w:t>
      </w:r>
      <w:r w:rsidRPr="003F471F">
        <w:rPr>
          <w:rFonts w:cs="Tahoma"/>
          <w:szCs w:val="18"/>
          <w:lang w:val="it-IT"/>
        </w:rPr>
        <w:t>utilizzo di tale funzionalità da parte delle società.</w:t>
      </w:r>
    </w:p>
    <w:p w14:paraId="6557D62C" w14:textId="77777777" w:rsidR="005D4DAB" w:rsidRPr="003F471F" w:rsidRDefault="005D4DAB" w:rsidP="00572128">
      <w:pPr>
        <w:ind w:left="900"/>
        <w:rPr>
          <w:lang w:val="it-IT"/>
        </w:rPr>
      </w:pPr>
    </w:p>
    <w:p w14:paraId="75C03F2E" w14:textId="77777777" w:rsidR="005D4DAB" w:rsidRPr="003F471F" w:rsidRDefault="005D4DAB" w:rsidP="009B2474">
      <w:pPr>
        <w:spacing w:after="60"/>
        <w:ind w:left="720"/>
        <w:rPr>
          <w:lang w:val="it-IT"/>
        </w:rPr>
      </w:pPr>
      <w:r w:rsidRPr="003F471F">
        <w:rPr>
          <w:rFonts w:cs="Tahoma"/>
          <w:b/>
          <w:szCs w:val="18"/>
          <w:lang w:val="it-IT"/>
        </w:rPr>
        <w:t>Vantaggi di Software Assurance</w:t>
      </w:r>
    </w:p>
    <w:p w14:paraId="6B44C8CF" w14:textId="77777777" w:rsidR="005D4DAB" w:rsidRPr="003F471F" w:rsidRDefault="005D4DAB" w:rsidP="00EE035D">
      <w:pPr>
        <w:ind w:left="720"/>
        <w:rPr>
          <w:lang w:val="it-IT"/>
        </w:rPr>
      </w:pPr>
      <w:r w:rsidRPr="003F471F">
        <w:rPr>
          <w:rFonts w:cs="Tahoma"/>
          <w:szCs w:val="18"/>
          <w:lang w:val="it-IT"/>
        </w:rPr>
        <w:t>Per attivare Windows Enterprise Sideloading su uno dei seguenti dispositivi potrà essere utilizzato un codice Product Key:</w:t>
      </w:r>
    </w:p>
    <w:p w14:paraId="48D8AC34" w14:textId="77777777" w:rsidR="009B2474" w:rsidRPr="003F471F" w:rsidRDefault="009B2474" w:rsidP="00EE035D">
      <w:pPr>
        <w:ind w:left="720"/>
        <w:rPr>
          <w:lang w:val="it-IT"/>
        </w:rPr>
      </w:pPr>
    </w:p>
    <w:p w14:paraId="3B531C3C" w14:textId="77777777" w:rsidR="005D4DAB" w:rsidRPr="003F471F" w:rsidRDefault="005D4DAB" w:rsidP="00346F4B">
      <w:pPr>
        <w:pStyle w:val="ListParagraph"/>
        <w:numPr>
          <w:ilvl w:val="0"/>
          <w:numId w:val="83"/>
        </w:numPr>
        <w:spacing w:after="60"/>
        <w:ind w:left="1440"/>
        <w:contextualSpacing w:val="0"/>
        <w:rPr>
          <w:lang w:val="it-IT"/>
        </w:rPr>
      </w:pPr>
      <w:r w:rsidRPr="003F471F">
        <w:rPr>
          <w:rFonts w:ascii="Tahoma" w:hAnsi="Tahoma" w:cs="Tahoma"/>
          <w:sz w:val="18"/>
          <w:szCs w:val="18"/>
          <w:lang w:val="it-IT"/>
        </w:rPr>
        <w:t>Dispositivi con copertura Windows Software Assurance attiva</w:t>
      </w:r>
    </w:p>
    <w:p w14:paraId="7E6EFF5D" w14:textId="77777777" w:rsidR="005D4DAB" w:rsidRPr="003F471F" w:rsidRDefault="005D4DAB" w:rsidP="00346F4B">
      <w:pPr>
        <w:pStyle w:val="ListParagraph"/>
        <w:numPr>
          <w:ilvl w:val="0"/>
          <w:numId w:val="83"/>
        </w:numPr>
        <w:spacing w:after="60"/>
        <w:ind w:left="1440"/>
        <w:contextualSpacing w:val="0"/>
        <w:rPr>
          <w:lang w:val="it-IT"/>
        </w:rPr>
      </w:pPr>
      <w:r w:rsidRPr="003F471F">
        <w:rPr>
          <w:rFonts w:ascii="Tahoma" w:hAnsi="Tahoma" w:cs="Tahoma"/>
          <w:sz w:val="18"/>
          <w:szCs w:val="18"/>
          <w:lang w:val="it-IT"/>
        </w:rPr>
        <w:t>Dispositivi con una licenza “Subscription” per Windows Intune (Per Dispositivo) o VDA attiva</w:t>
      </w:r>
    </w:p>
    <w:p w14:paraId="03477D43" w14:textId="77777777" w:rsidR="005D4DAB" w:rsidRPr="003F471F" w:rsidRDefault="005D4DAB" w:rsidP="00346F4B">
      <w:pPr>
        <w:pStyle w:val="ListParagraph"/>
        <w:numPr>
          <w:ilvl w:val="0"/>
          <w:numId w:val="83"/>
        </w:numPr>
        <w:spacing w:after="60"/>
        <w:ind w:left="1440"/>
        <w:contextualSpacing w:val="0"/>
        <w:rPr>
          <w:lang w:val="it-IT"/>
        </w:rPr>
      </w:pPr>
      <w:r w:rsidRPr="003F471F">
        <w:rPr>
          <w:rFonts w:ascii="Tahoma" w:hAnsi="Tahoma" w:cs="Tahoma"/>
          <w:sz w:val="18"/>
          <w:szCs w:val="18"/>
          <w:lang w:val="it-IT"/>
        </w:rPr>
        <w:t>Dispositivi con Windows RT e Windows RT 8.1</w:t>
      </w:r>
    </w:p>
    <w:p w14:paraId="689D2B29" w14:textId="77777777" w:rsidR="00EB2B3F" w:rsidRPr="003F471F" w:rsidRDefault="00EB2B3F" w:rsidP="00346F4B">
      <w:pPr>
        <w:pStyle w:val="ListParagraph"/>
        <w:numPr>
          <w:ilvl w:val="0"/>
          <w:numId w:val="83"/>
        </w:numPr>
        <w:spacing w:after="60"/>
        <w:ind w:left="1440"/>
        <w:contextualSpacing w:val="0"/>
        <w:rPr>
          <w:lang w:val="it-IT"/>
        </w:rPr>
      </w:pPr>
      <w:r w:rsidRPr="003F471F">
        <w:rPr>
          <w:rFonts w:ascii="Tahoma" w:hAnsi="Tahoma" w:cs="Tahoma"/>
          <w:sz w:val="18"/>
          <w:szCs w:val="18"/>
          <w:lang w:val="it-IT"/>
        </w:rPr>
        <w:t>Dispositivi coperti dalla Licenza “Subscription” per Windows Companion</w:t>
      </w:r>
    </w:p>
    <w:p w14:paraId="708DAA19" w14:textId="77777777" w:rsidR="005D4DAB" w:rsidRPr="003F471F" w:rsidRDefault="005D4DAB" w:rsidP="00572128">
      <w:pPr>
        <w:ind w:left="900"/>
        <w:rPr>
          <w:lang w:val="it-IT"/>
        </w:rPr>
      </w:pPr>
    </w:p>
    <w:p w14:paraId="05C368A3" w14:textId="77777777" w:rsidR="005D4DAB" w:rsidRPr="003F471F" w:rsidRDefault="005D4DAB" w:rsidP="00EE035D">
      <w:pPr>
        <w:ind w:left="720"/>
        <w:rPr>
          <w:lang w:val="it-IT"/>
        </w:rPr>
      </w:pPr>
      <w:r w:rsidRPr="003F471F">
        <w:rPr>
          <w:rFonts w:cs="Tahoma"/>
          <w:szCs w:val="18"/>
          <w:lang w:val="it-IT"/>
        </w:rPr>
        <w:t xml:space="preserve">Windows Enterprise Sideloading potrà essere attivato su un qualsiasi dispositivo autorizzato solo prima della scadenza della copertura Software Assurance o della Licenza “Subscription” corrispondente. </w:t>
      </w:r>
      <w:r w:rsidRPr="003F471F">
        <w:rPr>
          <w:lang w:val="it-IT"/>
        </w:rPr>
        <w:t>Nei programmi didattici Windows Enterprise Sideloading potrà essere attivato solo su dispositivi di proprietà di istituti</w:t>
      </w:r>
      <w:r w:rsidRPr="003F471F">
        <w:rPr>
          <w:rFonts w:cs="Tahoma"/>
          <w:szCs w:val="18"/>
          <w:lang w:val="it-IT"/>
        </w:rPr>
        <w:t>.</w:t>
      </w:r>
    </w:p>
    <w:p w14:paraId="3491E9E4" w14:textId="77777777" w:rsidR="005D4DAB" w:rsidRPr="003F471F" w:rsidRDefault="005D4DAB" w:rsidP="00572128">
      <w:pPr>
        <w:ind w:left="900"/>
        <w:rPr>
          <w:lang w:val="it-IT"/>
        </w:rPr>
      </w:pPr>
    </w:p>
    <w:p w14:paraId="5CC69DE7" w14:textId="77777777" w:rsidR="005D4DAB" w:rsidRPr="003F471F" w:rsidRDefault="009B2474" w:rsidP="009B2474">
      <w:pPr>
        <w:spacing w:after="60"/>
        <w:ind w:left="720"/>
        <w:rPr>
          <w:lang w:val="it-IT"/>
        </w:rPr>
      </w:pPr>
      <w:r w:rsidRPr="003F471F">
        <w:rPr>
          <w:rFonts w:cs="Tahoma"/>
          <w:b/>
          <w:szCs w:val="18"/>
          <w:lang w:val="it-IT"/>
        </w:rPr>
        <w:t>Licenza per Enterprise Sideloading Disponibile per l</w:t>
      </w:r>
      <w:r w:rsidR="001C4212" w:rsidRPr="003F471F">
        <w:rPr>
          <w:rFonts w:cs="Tahoma"/>
          <w:b/>
          <w:szCs w:val="18"/>
          <w:lang w:val="it-IT"/>
        </w:rPr>
        <w:t>’</w:t>
      </w:r>
      <w:r w:rsidRPr="003F471F">
        <w:rPr>
          <w:rFonts w:cs="Tahoma"/>
          <w:b/>
          <w:szCs w:val="18"/>
          <w:lang w:val="it-IT"/>
        </w:rPr>
        <w:t>Acquisto</w:t>
      </w:r>
    </w:p>
    <w:p w14:paraId="4AA48B19" w14:textId="77777777" w:rsidR="00697E59" w:rsidRPr="003F471F" w:rsidRDefault="005D4DAB" w:rsidP="00AF3B19">
      <w:pPr>
        <w:ind w:left="720"/>
        <w:rPr>
          <w:lang w:val="it-IT"/>
        </w:rPr>
      </w:pPr>
      <w:r w:rsidRPr="003F471F">
        <w:rPr>
          <w:rFonts w:cs="Tahoma"/>
          <w:szCs w:val="18"/>
          <w:lang w:val="it-IT"/>
        </w:rPr>
        <w:t>Le società potranno acquistare licenze per Enterprise Sideloading.</w:t>
      </w:r>
      <w:r w:rsidR="00E34ED3" w:rsidRPr="003F471F">
        <w:rPr>
          <w:rFonts w:cs="Tahoma"/>
          <w:szCs w:val="18"/>
          <w:lang w:val="it-IT"/>
        </w:rPr>
        <w:t xml:space="preserve"> </w:t>
      </w:r>
      <w:r w:rsidRPr="003F471F">
        <w:rPr>
          <w:rFonts w:cs="Tahoma"/>
          <w:szCs w:val="18"/>
          <w:lang w:val="it-IT"/>
        </w:rPr>
        <w:t xml:space="preserve">Ciascuna di tali licenze per Enterprise Sideloading dovrà essere ceduta in modo definitivo a un dispositivo singolo. </w:t>
      </w:r>
      <w:r w:rsidRPr="003F471F">
        <w:rPr>
          <w:lang w:val="it-IT"/>
        </w:rPr>
        <w:t>Nei programmi didattici Windows Enterprise Sideloading può essere attivato solo su dispositivi di proprietà degli istituti</w:t>
      </w:r>
      <w:r w:rsidRPr="003F471F">
        <w:rPr>
          <w:rFonts w:cs="Tahoma"/>
          <w:szCs w:val="18"/>
          <w:lang w:val="it-IT"/>
        </w:rPr>
        <w:t>.</w:t>
      </w:r>
      <w:bookmarkStart w:id="1097" w:name="_Toc336338285"/>
      <w:r w:rsidRPr="003F471F">
        <w:rPr>
          <w:rFonts w:cs="Tahoma"/>
          <w:szCs w:val="18"/>
          <w:lang w:val="it-IT"/>
        </w:rPr>
        <w:t xml:space="preserve"> Le licenze per Windows Enterprise Sideloading per Windows 8 e Windows 8.1 saranno intercambiabili. Ad esempio, un dispositivo con licenza per Window 8 Enterprise Sideloading aggiornato a Windows 8.1 non necessita di un</w:t>
      </w:r>
      <w:r w:rsidR="001C4212" w:rsidRPr="003F471F">
        <w:rPr>
          <w:rFonts w:cs="Tahoma"/>
          <w:szCs w:val="18"/>
          <w:lang w:val="it-IT"/>
        </w:rPr>
        <w:t>’</w:t>
      </w:r>
      <w:r w:rsidRPr="003F471F">
        <w:rPr>
          <w:rFonts w:cs="Tahoma"/>
          <w:szCs w:val="18"/>
          <w:lang w:val="it-IT"/>
        </w:rPr>
        <w:t>ulteriore licenza specifica per sideload sul sistema operativo aggiornato.</w:t>
      </w:r>
    </w:p>
    <w:p w14:paraId="2579124E" w14:textId="77777777" w:rsidR="00AF3B19" w:rsidRPr="003F471F" w:rsidRDefault="00AF3B19" w:rsidP="00B50A5B">
      <w:pPr>
        <w:spacing w:after="60"/>
        <w:rPr>
          <w:lang w:val="it-IT"/>
        </w:rPr>
      </w:pPr>
    </w:p>
    <w:p w14:paraId="30BFF41B" w14:textId="77777777" w:rsidR="00AF3B19" w:rsidRPr="003F471F" w:rsidRDefault="00AF3B19" w:rsidP="00AF3B19">
      <w:pPr>
        <w:rPr>
          <w:lang w:val="it-IT"/>
        </w:rPr>
      </w:pPr>
    </w:p>
    <w:p w14:paraId="4F048B5F" w14:textId="77777777" w:rsidR="00B73A46" w:rsidRPr="003F471F" w:rsidRDefault="00F645DA" w:rsidP="00B73A46">
      <w:pPr>
        <w:pStyle w:val="Heading3"/>
        <w:rPr>
          <w:lang w:val="it-IT"/>
        </w:rPr>
      </w:pPr>
      <w:bookmarkStart w:id="1098" w:name="_29_Windows®_8"/>
      <w:bookmarkStart w:id="1099" w:name="_32_Windows®_8"/>
      <w:bookmarkStart w:id="1100" w:name="_Toc336338286"/>
      <w:bookmarkStart w:id="1101" w:name="_Toc371663681"/>
      <w:bookmarkStart w:id="1102" w:name="Sys_27Win7ProUpgradeWinIntune"/>
      <w:bookmarkStart w:id="1103" w:name="Sys_26WinVistaBizUpgrade"/>
      <w:bookmarkStart w:id="1104" w:name="Sys_23Windows7ProUpgrade"/>
      <w:bookmarkStart w:id="1105" w:name="Sys_27WindowsVistaProUpgrade"/>
      <w:bookmarkEnd w:id="1090"/>
      <w:bookmarkEnd w:id="1097"/>
      <w:bookmarkEnd w:id="1098"/>
      <w:bookmarkEnd w:id="1099"/>
      <w:r w:rsidRPr="003F471F">
        <w:rPr>
          <w:rFonts w:ascii="Tahoma" w:hAnsi="Tahoma"/>
          <w:caps/>
          <w:color w:val="F66400"/>
          <w:sz w:val="22"/>
          <w:vertAlign w:val="superscript"/>
          <w:lang w:val="it-IT"/>
        </w:rPr>
        <w:t>29</w:t>
      </w:r>
      <w:r w:rsidRPr="003F471F">
        <w:rPr>
          <w:rFonts w:ascii="Tahoma" w:hAnsi="Tahoma"/>
          <w:color w:val="F66400"/>
          <w:sz w:val="22"/>
          <w:lang w:val="it-IT"/>
        </w:rPr>
        <w:t xml:space="preserve"> </w:t>
      </w:r>
      <w:r w:rsidRPr="003F471F">
        <w:rPr>
          <w:rFonts w:ascii="Tahoma" w:hAnsi="Tahoma"/>
          <w:color w:val="FF6D09"/>
          <w:sz w:val="22"/>
          <w:lang w:val="it-IT"/>
        </w:rPr>
        <w:t>Windows</w:t>
      </w:r>
      <w:r w:rsidR="00E53A46" w:rsidRPr="003F471F">
        <w:rPr>
          <w:rFonts w:ascii="Tahoma" w:hAnsi="Tahoma"/>
          <w:color w:val="FF6D09"/>
          <w:sz w:val="22"/>
          <w:vertAlign w:val="superscript"/>
          <w:lang w:val="it-IT"/>
        </w:rPr>
        <w:t>®</w:t>
      </w:r>
      <w:r w:rsidRPr="003F471F">
        <w:rPr>
          <w:rFonts w:ascii="Tahoma" w:hAnsi="Tahoma"/>
          <w:color w:val="FF6D09"/>
          <w:sz w:val="22"/>
          <w:lang w:val="it-IT"/>
        </w:rPr>
        <w:t xml:space="preserve"> 8.1 Pro Upgrade</w:t>
      </w:r>
      <w:bookmarkEnd w:id="1100"/>
      <w:bookmarkEnd w:id="1101"/>
    </w:p>
    <w:bookmarkEnd w:id="1102"/>
    <w:p w14:paraId="7C639400" w14:textId="77777777" w:rsidR="003C65F4" w:rsidRPr="003F471F" w:rsidRDefault="003C65F4" w:rsidP="003C65F4">
      <w:pPr>
        <w:rPr>
          <w:lang w:val="it-IT"/>
        </w:rPr>
      </w:pPr>
    </w:p>
    <w:p w14:paraId="1331B1B3" w14:textId="77777777" w:rsidR="00B73A46" w:rsidRPr="003F471F" w:rsidRDefault="00B73A46" w:rsidP="00435C70">
      <w:pPr>
        <w:pStyle w:val="FootnoteBulletLevel1"/>
        <w:tabs>
          <w:tab w:val="clear" w:pos="900"/>
        </w:tabs>
        <w:adjustRightInd/>
        <w:spacing w:before="0" w:after="60"/>
        <w:ind w:left="720" w:firstLine="0"/>
        <w:textAlignment w:val="auto"/>
        <w:rPr>
          <w:lang w:val="it-IT"/>
        </w:rPr>
      </w:pPr>
      <w:r w:rsidRPr="003F471F">
        <w:rPr>
          <w:rFonts w:ascii="Tahoma" w:hAnsi="Tahoma" w:cs="Tahoma"/>
          <w:b/>
          <w:bCs/>
          <w:sz w:val="18"/>
          <w:szCs w:val="18"/>
          <w:lang w:val="it-IT"/>
        </w:rPr>
        <w:t>Aggiornamento per Windows 8.1 Pro</w:t>
      </w:r>
    </w:p>
    <w:p w14:paraId="747AD081" w14:textId="77777777" w:rsidR="00BB756B" w:rsidRPr="003F471F" w:rsidRDefault="00BB756B" w:rsidP="00435C70">
      <w:pPr>
        <w:ind w:left="720"/>
        <w:rPr>
          <w:lang w:val="it-IT"/>
        </w:rPr>
      </w:pPr>
      <w:r w:rsidRPr="003F471F">
        <w:rPr>
          <w:rFonts w:cs="Tahoma"/>
          <w:szCs w:val="18"/>
          <w:lang w:val="it-IT"/>
        </w:rPr>
        <w:t>Le società titolari di Contratti Multilicenza con licenza per Windows 8 Pro (o Windows Intune (per Dispositivo)) sono in possesso della licenza per Windows 8.1 Pro anche nel caso in cui la copertura per Software Assurance per il sistema operativo desktop Windows sia scaduta prima del rilascio di Windows 8.1 Pro.</w:t>
      </w:r>
      <w:r w:rsidR="00E34ED3" w:rsidRPr="003F471F">
        <w:rPr>
          <w:rFonts w:cs="Tahoma"/>
          <w:szCs w:val="18"/>
          <w:lang w:val="it-IT"/>
        </w:rPr>
        <w:t xml:space="preserve"> </w:t>
      </w:r>
      <w:r w:rsidRPr="003F471F">
        <w:rPr>
          <w:rFonts w:cs="Tahoma"/>
          <w:szCs w:val="18"/>
          <w:lang w:val="it-IT"/>
        </w:rPr>
        <w:t>Ciò non si applica a Windows 8 Enterprise; la società dovrà disporre di una copertura Software Assurance attiva per il sistema operativo desktop Windows per avere diritti per Windows 8.1 Enterprise.</w:t>
      </w:r>
    </w:p>
    <w:p w14:paraId="269DD2B6" w14:textId="77777777" w:rsidR="00BB756B" w:rsidRDefault="00BB756B" w:rsidP="00435C70">
      <w:pPr>
        <w:ind w:left="720"/>
        <w:rPr>
          <w:lang w:val="it-IT"/>
        </w:rPr>
      </w:pPr>
    </w:p>
    <w:p w14:paraId="0FA94EB0" w14:textId="77777777" w:rsidR="00B76EEE" w:rsidRDefault="00B76EEE" w:rsidP="00435C70">
      <w:pPr>
        <w:ind w:left="720"/>
        <w:rPr>
          <w:lang w:val="it-IT"/>
        </w:rPr>
      </w:pPr>
      <w:r w:rsidRPr="006057C2">
        <w:rPr>
          <w:rFonts w:cs="Tahoma"/>
          <w:szCs w:val="18"/>
          <w:lang w:val="it-IT"/>
        </w:rPr>
        <w:t>Nonostante eventuali disposizioni contrarie nelle Condizioni di Licenza OEM per Windows 8.1 Pro, le società con Contratti Multilicenza che ricevono i dispositivi da un OEM in possesso della licenza per Windows 8.1 Pro potranno esercitare i loro diritti di re-imaging ottenuti ai sensi del Contratto Multilicenza come se tali dispositivi fossero concessi in licenza con Windows 8 Pro.</w:t>
      </w:r>
    </w:p>
    <w:p w14:paraId="6D3C5CBF" w14:textId="77777777" w:rsidR="00B76EEE" w:rsidRPr="003F471F" w:rsidRDefault="00B76EEE" w:rsidP="00435C70">
      <w:pPr>
        <w:ind w:left="720"/>
        <w:rPr>
          <w:lang w:val="it-IT"/>
        </w:rPr>
      </w:pPr>
    </w:p>
    <w:p w14:paraId="3FBF0F09" w14:textId="77777777" w:rsidR="00B73A46" w:rsidRPr="003F471F" w:rsidRDefault="00B73A46" w:rsidP="00435C70">
      <w:pPr>
        <w:ind w:left="720"/>
        <w:rPr>
          <w:lang w:val="it-IT"/>
        </w:rPr>
      </w:pPr>
      <w:r w:rsidRPr="003F471F">
        <w:rPr>
          <w:rFonts w:cs="Tahoma"/>
          <w:szCs w:val="18"/>
          <w:u w:val="single"/>
          <w:lang w:val="it-IT"/>
        </w:rPr>
        <w:t>Licenza di Aggiornamento per il Sistema Operativo (OS)</w:t>
      </w:r>
    </w:p>
    <w:p w14:paraId="1FB0ABA8" w14:textId="77777777" w:rsidR="00B73A46" w:rsidRPr="003F471F" w:rsidRDefault="00B73A46" w:rsidP="00435C70">
      <w:pPr>
        <w:pStyle w:val="FootnoteBulletLevel1"/>
        <w:tabs>
          <w:tab w:val="clear" w:pos="900"/>
        </w:tabs>
        <w:adjustRightInd/>
        <w:spacing w:before="0" w:after="0"/>
        <w:ind w:left="720" w:hanging="7"/>
        <w:textAlignment w:val="auto"/>
        <w:rPr>
          <w:lang w:val="it-IT"/>
        </w:rPr>
      </w:pPr>
      <w:r w:rsidRPr="003F471F">
        <w:rPr>
          <w:rFonts w:ascii="Tahoma" w:hAnsi="Tahoma" w:cs="Tahoma"/>
          <w:sz w:val="18"/>
          <w:szCs w:val="18"/>
          <w:lang w:val="it-IT"/>
        </w:rPr>
        <w:t>Le licenze per sistemi operativi desktop fornite sono unicamente licenze di aggiornamento. Le licenze complete per sistemi operativi desktop non sono disponibili. Pertanto, ogni desktop per cui sia stato acquistato e su cui sia installato l</w:t>
      </w:r>
      <w:r w:rsidR="001C4212" w:rsidRPr="003F471F">
        <w:rPr>
          <w:rFonts w:ascii="Tahoma" w:hAnsi="Tahoma" w:cs="Tahoma"/>
          <w:sz w:val="18"/>
          <w:szCs w:val="18"/>
          <w:lang w:val="it-IT"/>
        </w:rPr>
        <w:t>’</w:t>
      </w:r>
      <w:r w:rsidRPr="003F471F">
        <w:rPr>
          <w:rFonts w:ascii="Tahoma" w:hAnsi="Tahoma" w:cs="Tahoma"/>
          <w:sz w:val="18"/>
          <w:szCs w:val="18"/>
          <w:lang w:val="it-IT"/>
        </w:rPr>
        <w:t>Aggiornamento per Windows 8.1 Pro dovrà avere la licenza per eseguire uno dei sistemi operativi qualificanti indicati sotto.</w:t>
      </w:r>
    </w:p>
    <w:p w14:paraId="57B60846" w14:textId="77777777" w:rsidR="00435C70" w:rsidRPr="003F471F" w:rsidRDefault="00435C70" w:rsidP="00435C70">
      <w:pPr>
        <w:ind w:left="720"/>
        <w:rPr>
          <w:lang w:val="it-IT"/>
        </w:rPr>
      </w:pPr>
    </w:p>
    <w:p w14:paraId="7D6840C4" w14:textId="77777777" w:rsidR="00B24C9D" w:rsidRPr="003F471F" w:rsidRDefault="00B73A46" w:rsidP="009C2B6B">
      <w:pPr>
        <w:ind w:left="720"/>
        <w:rPr>
          <w:lang w:val="it-IT"/>
        </w:rPr>
      </w:pPr>
      <w:r w:rsidRPr="003F471F">
        <w:rPr>
          <w:rFonts w:cs="Tahoma"/>
          <w:szCs w:val="18"/>
          <w:u w:val="single"/>
          <w:lang w:val="it-IT"/>
        </w:rPr>
        <w:t>Regole per i Sistemi Operativi Qualificanti</w:t>
      </w:r>
    </w:p>
    <w:p w14:paraId="23898927" w14:textId="77777777" w:rsidR="00B73A46" w:rsidRPr="003F471F" w:rsidRDefault="00B73A46" w:rsidP="00346F4B">
      <w:pPr>
        <w:numPr>
          <w:ilvl w:val="1"/>
          <w:numId w:val="84"/>
        </w:numPr>
        <w:spacing w:after="60"/>
        <w:ind w:left="1440"/>
        <w:rPr>
          <w:lang w:val="it-IT"/>
        </w:rPr>
      </w:pPr>
      <w:r w:rsidRPr="003F471F">
        <w:rPr>
          <w:rFonts w:cs="Tahoma"/>
          <w:szCs w:val="18"/>
          <w:lang w:val="it-IT"/>
        </w:rPr>
        <w:t>L</w:t>
      </w:r>
      <w:r w:rsidR="001C4212" w:rsidRPr="003F471F">
        <w:rPr>
          <w:rFonts w:cs="Tahoma"/>
          <w:szCs w:val="18"/>
          <w:lang w:val="it-IT"/>
        </w:rPr>
        <w:t>’</w:t>
      </w:r>
      <w:r w:rsidRPr="003F471F">
        <w:rPr>
          <w:rFonts w:cs="Tahoma"/>
          <w:szCs w:val="18"/>
          <w:lang w:val="it-IT"/>
        </w:rPr>
        <w:t>OS qualificante deve essere installato sul dispositivo a cui deve essere assegnata la licenza di</w:t>
      </w:r>
      <w:r w:rsidR="007B2EDE" w:rsidRPr="003F471F">
        <w:rPr>
          <w:rFonts w:cs="Tahoma"/>
          <w:szCs w:val="18"/>
          <w:lang w:val="it-IT"/>
        </w:rPr>
        <w:t> </w:t>
      </w:r>
      <w:r w:rsidRPr="003F471F">
        <w:rPr>
          <w:rFonts w:cs="Tahoma"/>
          <w:szCs w:val="18"/>
          <w:lang w:val="it-IT"/>
        </w:rPr>
        <w:t>Aggiornamento VL.</w:t>
      </w:r>
    </w:p>
    <w:p w14:paraId="6E5F7103" w14:textId="77777777" w:rsidR="00827F06" w:rsidRPr="003F471F" w:rsidRDefault="00827F06" w:rsidP="00346F4B">
      <w:pPr>
        <w:numPr>
          <w:ilvl w:val="2"/>
          <w:numId w:val="85"/>
        </w:numPr>
        <w:spacing w:after="60"/>
        <w:ind w:left="1980"/>
        <w:rPr>
          <w:lang w:val="it-IT"/>
        </w:rPr>
      </w:pPr>
      <w:r w:rsidRPr="003F471F">
        <w:rPr>
          <w:color w:val="000000"/>
          <w:lang w:val="it-IT"/>
        </w:rPr>
        <w:t>Apple Macintosh è solamente un Sistema Operativo qualificante qualora sia preinstallato dal produttore autorizzato prima della vendita iniziale del computer.</w:t>
      </w:r>
    </w:p>
    <w:p w14:paraId="5E7F63BE" w14:textId="77777777" w:rsidR="00B73A46" w:rsidRPr="003F471F" w:rsidRDefault="00B73A46" w:rsidP="00346F4B">
      <w:pPr>
        <w:numPr>
          <w:ilvl w:val="1"/>
          <w:numId w:val="86"/>
        </w:numPr>
        <w:spacing w:after="60"/>
        <w:ind w:left="1440"/>
        <w:rPr>
          <w:lang w:val="it-IT"/>
        </w:rPr>
      </w:pPr>
      <w:r w:rsidRPr="003F471F">
        <w:rPr>
          <w:rFonts w:cs="Tahoma"/>
          <w:szCs w:val="18"/>
          <w:lang w:val="it-IT"/>
        </w:rPr>
        <w:t xml:space="preserve">Salvo quanto previsto di seguito, le società dovranno rimuovere il Sistema Operativo qualificante dal dispositivo per distribuire la licenza di Aggiornamento VL. </w:t>
      </w:r>
    </w:p>
    <w:p w14:paraId="58226057" w14:textId="77777777" w:rsidR="00B31BB3" w:rsidRPr="003F471F" w:rsidRDefault="00B73A46" w:rsidP="00346F4B">
      <w:pPr>
        <w:numPr>
          <w:ilvl w:val="1"/>
          <w:numId w:val="86"/>
        </w:numPr>
        <w:spacing w:after="60"/>
        <w:ind w:left="1440"/>
        <w:rPr>
          <w:lang w:val="it-IT"/>
        </w:rPr>
      </w:pPr>
      <w:r w:rsidRPr="003F471F">
        <w:rPr>
          <w:rFonts w:cs="Tahoma"/>
          <w:szCs w:val="18"/>
          <w:lang w:val="it-IT"/>
        </w:rPr>
        <w:t>Le società che intendono installare o eseguire più di un sistema operativo con licenza alla volta (compreso il sistema operativo qualificante) potranno acquistare Software Assurance per la licenza di Aggiornamento VL.</w:t>
      </w:r>
    </w:p>
    <w:p w14:paraId="39D6CE29" w14:textId="77777777" w:rsidR="00B73A46" w:rsidRPr="003F471F" w:rsidRDefault="00B73A46" w:rsidP="00346F4B">
      <w:pPr>
        <w:numPr>
          <w:ilvl w:val="1"/>
          <w:numId w:val="86"/>
        </w:numPr>
        <w:spacing w:after="60"/>
        <w:ind w:left="1440"/>
        <w:rPr>
          <w:lang w:val="it-IT"/>
        </w:rPr>
      </w:pPr>
      <w:r w:rsidRPr="003F471F">
        <w:rPr>
          <w:rFonts w:cs="Tahoma"/>
          <w:szCs w:val="18"/>
          <w:lang w:val="it-IT"/>
        </w:rPr>
        <w:t>Le società che dispongono di una copertura Software Assurance attiva non hanno l</w:t>
      </w:r>
      <w:r w:rsidR="001C4212" w:rsidRPr="003F471F">
        <w:rPr>
          <w:rFonts w:cs="Tahoma"/>
          <w:szCs w:val="18"/>
          <w:lang w:val="it-IT"/>
        </w:rPr>
        <w:t>’</w:t>
      </w:r>
      <w:r w:rsidRPr="003F471F">
        <w:rPr>
          <w:rFonts w:cs="Tahoma"/>
          <w:szCs w:val="18"/>
          <w:lang w:val="it-IT"/>
        </w:rPr>
        <w:t>obbligo di</w:t>
      </w:r>
      <w:r w:rsidR="007B2EDE" w:rsidRPr="003F471F">
        <w:rPr>
          <w:rFonts w:cs="Tahoma"/>
          <w:szCs w:val="18"/>
          <w:lang w:val="it-IT"/>
        </w:rPr>
        <w:t> </w:t>
      </w:r>
      <w:r w:rsidRPr="003F471F">
        <w:rPr>
          <w:rFonts w:cs="Tahoma"/>
          <w:szCs w:val="18"/>
          <w:lang w:val="it-IT"/>
        </w:rPr>
        <w:t>disinstallare l</w:t>
      </w:r>
      <w:r w:rsidR="001C4212" w:rsidRPr="003F471F">
        <w:rPr>
          <w:rFonts w:cs="Tahoma"/>
          <w:szCs w:val="18"/>
          <w:lang w:val="it-IT"/>
        </w:rPr>
        <w:t>’</w:t>
      </w:r>
      <w:r w:rsidRPr="003F471F">
        <w:rPr>
          <w:rFonts w:cs="Tahoma"/>
          <w:szCs w:val="18"/>
          <w:lang w:val="it-IT"/>
        </w:rPr>
        <w:t>OS qualificante e potranno installare ed eseguire contemporaneamente l</w:t>
      </w:r>
      <w:r w:rsidR="001C4212" w:rsidRPr="003F471F">
        <w:rPr>
          <w:rFonts w:cs="Tahoma"/>
          <w:szCs w:val="18"/>
          <w:lang w:val="it-IT"/>
        </w:rPr>
        <w:t>’</w:t>
      </w:r>
      <w:r w:rsidRPr="003F471F">
        <w:rPr>
          <w:rFonts w:cs="Tahoma"/>
          <w:szCs w:val="18"/>
          <w:lang w:val="it-IT"/>
        </w:rPr>
        <w:t xml:space="preserve">OS qualificante e Windows 8.1. </w:t>
      </w:r>
    </w:p>
    <w:p w14:paraId="00AFCB99" w14:textId="77777777" w:rsidR="002512D3" w:rsidRPr="003F471F" w:rsidRDefault="002512D3">
      <w:pPr>
        <w:rPr>
          <w:lang w:val="it-IT"/>
        </w:rPr>
      </w:pPr>
    </w:p>
    <w:p w14:paraId="732251BE" w14:textId="77777777" w:rsidR="00B73A46" w:rsidRPr="003F471F" w:rsidRDefault="00B73A46" w:rsidP="002A6416">
      <w:pPr>
        <w:pStyle w:val="EndnoteText"/>
        <w:ind w:left="770"/>
        <w:rPr>
          <w:lang w:val="it-IT"/>
        </w:rPr>
      </w:pPr>
      <w:r w:rsidRPr="003F471F">
        <w:rPr>
          <w:rFonts w:ascii="Tahoma" w:hAnsi="Tahoma" w:cs="Tahoma"/>
          <w:sz w:val="18"/>
          <w:szCs w:val="18"/>
          <w:lang w:val="it-IT"/>
        </w:rPr>
        <w:t>I sistemi operativi qualificanti in base al tipo di Programma sono:</w:t>
      </w:r>
    </w:p>
    <w:p w14:paraId="06A6E9D4" w14:textId="77777777" w:rsidR="00B73A46" w:rsidRPr="003F471F" w:rsidRDefault="00B73A46" w:rsidP="00B73A46">
      <w:pPr>
        <w:pStyle w:val="EndnoteText"/>
        <w:rPr>
          <w:lang w:val="it-IT"/>
        </w:rPr>
      </w:pPr>
    </w:p>
    <w:tbl>
      <w:tblPr>
        <w:tblW w:w="9055" w:type="dxa"/>
        <w:tblInd w:w="878" w:type="dxa"/>
        <w:tblCellMar>
          <w:left w:w="0" w:type="dxa"/>
          <w:right w:w="0" w:type="dxa"/>
        </w:tblCellMar>
        <w:tblLook w:val="04A0" w:firstRow="1" w:lastRow="0" w:firstColumn="1" w:lastColumn="0" w:noHBand="0" w:noVBand="1"/>
      </w:tblPr>
      <w:tblGrid>
        <w:gridCol w:w="3158"/>
        <w:gridCol w:w="1086"/>
        <w:gridCol w:w="1143"/>
        <w:gridCol w:w="1242"/>
        <w:gridCol w:w="1206"/>
        <w:gridCol w:w="1220"/>
      </w:tblGrid>
      <w:tr w:rsidR="00290BBF" w:rsidRPr="0058047D" w14:paraId="662DBA69" w14:textId="77777777" w:rsidTr="007B2EDE">
        <w:trPr>
          <w:trHeight w:val="900"/>
          <w:tblHeader/>
        </w:trPr>
        <w:tc>
          <w:tcPr>
            <w:tcW w:w="3158" w:type="dxa"/>
            <w:tcBorders>
              <w:top w:val="single" w:sz="8" w:space="0" w:color="auto"/>
              <w:left w:val="single" w:sz="8" w:space="0" w:color="auto"/>
              <w:bottom w:val="single" w:sz="8" w:space="0" w:color="000000"/>
              <w:right w:val="single" w:sz="8" w:space="0" w:color="auto"/>
            </w:tcBorders>
            <w:shd w:val="clear" w:color="auto" w:fill="FABF8F"/>
            <w:vAlign w:val="center"/>
            <w:hideMark/>
          </w:tcPr>
          <w:p w14:paraId="4C651626" w14:textId="77777777" w:rsidR="00B73A46" w:rsidRPr="0058047D" w:rsidRDefault="009B3FA2" w:rsidP="00026546">
            <w:pPr>
              <w:jc w:val="center"/>
              <w:rPr>
                <w:rFonts w:eastAsia="Calibri" w:cs="Tahoma"/>
                <w:b/>
                <w:bCs/>
                <w:szCs w:val="18"/>
              </w:rPr>
            </w:pPr>
            <w:r w:rsidRPr="0058047D">
              <w:rPr>
                <w:rFonts w:cs="Tahoma"/>
                <w:b/>
                <w:bCs/>
                <w:szCs w:val="18"/>
              </w:rPr>
              <w:t>Sistemi Operativi Qualificanti</w:t>
            </w:r>
          </w:p>
        </w:tc>
        <w:tc>
          <w:tcPr>
            <w:tcW w:w="108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D0F891E" w14:textId="77777777" w:rsidR="00B73A46" w:rsidRPr="0058047D" w:rsidRDefault="00B73A46" w:rsidP="009B3FA2">
            <w:pPr>
              <w:jc w:val="center"/>
              <w:rPr>
                <w:rFonts w:eastAsia="Calibri" w:cs="Tahoma"/>
                <w:b/>
                <w:bCs/>
                <w:sz w:val="16"/>
                <w:szCs w:val="18"/>
              </w:rPr>
            </w:pPr>
            <w:r w:rsidRPr="0058047D">
              <w:rPr>
                <w:rFonts w:cs="Tahoma"/>
                <w:b/>
                <w:bCs/>
                <w:sz w:val="16"/>
                <w:szCs w:val="18"/>
              </w:rPr>
              <w:t>Nuovo EA/</w:t>
            </w:r>
            <w:r w:rsidRPr="0058047D">
              <w:rPr>
                <w:rFonts w:cs="Tahoma"/>
                <w:b/>
                <w:bCs/>
                <w:sz w:val="16"/>
                <w:szCs w:val="18"/>
              </w:rPr>
              <w:br/>
              <w:t>OV-CW</w:t>
            </w:r>
          </w:p>
        </w:tc>
        <w:tc>
          <w:tcPr>
            <w:tcW w:w="1143"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80C3185" w14:textId="77777777" w:rsidR="00B73A46" w:rsidRPr="0058047D" w:rsidRDefault="00B73A46" w:rsidP="009B3FA2">
            <w:pPr>
              <w:jc w:val="center"/>
              <w:rPr>
                <w:rFonts w:eastAsia="Calibri" w:cs="Tahoma"/>
                <w:b/>
                <w:bCs/>
                <w:sz w:val="16"/>
                <w:szCs w:val="18"/>
              </w:rPr>
            </w:pPr>
            <w:r w:rsidRPr="0058047D">
              <w:rPr>
                <w:rFonts w:cs="Tahoma"/>
                <w:b/>
                <w:bCs/>
                <w:sz w:val="16"/>
                <w:szCs w:val="18"/>
              </w:rPr>
              <w:t>EA/OV-CW Esistente</w:t>
            </w:r>
          </w:p>
        </w:tc>
        <w:tc>
          <w:tcPr>
            <w:tcW w:w="1242"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6D48B31" w14:textId="77777777" w:rsidR="00B73A46" w:rsidRPr="0058047D" w:rsidRDefault="00B73A46" w:rsidP="009B3FA2">
            <w:pPr>
              <w:jc w:val="center"/>
              <w:rPr>
                <w:rFonts w:eastAsia="Calibri" w:cs="Tahoma"/>
                <w:b/>
                <w:bCs/>
                <w:sz w:val="16"/>
                <w:szCs w:val="18"/>
              </w:rPr>
            </w:pPr>
            <w:r w:rsidRPr="0058047D">
              <w:rPr>
                <w:rFonts w:cs="Tahoma"/>
                <w:b/>
                <w:bCs/>
                <w:sz w:val="16"/>
                <w:szCs w:val="18"/>
              </w:rPr>
              <w:t>Select (Tutti tranne Academic)</w:t>
            </w:r>
          </w:p>
        </w:tc>
        <w:tc>
          <w:tcPr>
            <w:tcW w:w="120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2ECA267" w14:textId="77777777" w:rsidR="00B73A46" w:rsidRPr="0058047D" w:rsidRDefault="00B73A46" w:rsidP="001B15A5">
            <w:pPr>
              <w:jc w:val="center"/>
              <w:rPr>
                <w:rFonts w:eastAsia="Calibri" w:cs="Tahoma"/>
                <w:b/>
                <w:bCs/>
                <w:sz w:val="16"/>
                <w:szCs w:val="18"/>
              </w:rPr>
            </w:pPr>
            <w:r w:rsidRPr="0058047D">
              <w:rPr>
                <w:rFonts w:cs="Tahoma"/>
                <w:b/>
                <w:bCs/>
                <w:sz w:val="16"/>
                <w:szCs w:val="18"/>
              </w:rPr>
              <w:t>Open (Tutti tranne Academic, Charity &amp;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B1F2DD3" w14:textId="77777777" w:rsidR="00B73A46" w:rsidRPr="0058047D" w:rsidRDefault="00B73A46" w:rsidP="0050116B">
            <w:pPr>
              <w:jc w:val="center"/>
              <w:rPr>
                <w:rFonts w:eastAsia="Calibri" w:cs="Tahoma"/>
                <w:b/>
                <w:bCs/>
                <w:sz w:val="16"/>
                <w:szCs w:val="18"/>
              </w:rPr>
            </w:pPr>
            <w:r w:rsidRPr="0058047D">
              <w:rPr>
                <w:rFonts w:cs="Tahoma"/>
                <w:b/>
                <w:bCs/>
                <w:sz w:val="16"/>
                <w:szCs w:val="18"/>
              </w:rPr>
              <w:t>Academic &amp; Charity</w:t>
            </w:r>
          </w:p>
        </w:tc>
      </w:tr>
      <w:tr w:rsidR="008643A3" w:rsidRPr="0058047D" w14:paraId="754CB0E0" w14:textId="77777777" w:rsidTr="007B2ED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3554848" w14:textId="77777777" w:rsidR="008643A3" w:rsidRPr="0058047D" w:rsidRDefault="008643A3" w:rsidP="007B2EDE">
            <w:pPr>
              <w:rPr>
                <w:rFonts w:cs="Tahoma"/>
                <w:b/>
                <w:bCs/>
                <w:szCs w:val="18"/>
              </w:rPr>
            </w:pPr>
            <w:r w:rsidRPr="0058047D">
              <w:rPr>
                <w:rFonts w:cs="Tahoma"/>
                <w:b/>
                <w:bCs/>
                <w:szCs w:val="18"/>
              </w:rPr>
              <w:t>Windows 8 e Windows 8.1 (32</w:t>
            </w:r>
            <w:r w:rsidR="007B2EDE">
              <w:rPr>
                <w:rFonts w:cs="Tahoma"/>
                <w:b/>
                <w:bCs/>
                <w:szCs w:val="18"/>
              </w:rPr>
              <w:t> </w:t>
            </w:r>
            <w:r w:rsidRPr="0058047D">
              <w:rPr>
                <w:rFonts w:cs="Tahoma"/>
                <w:b/>
                <w:bCs/>
                <w:szCs w:val="18"/>
              </w:rPr>
              <w:t>bit o 64 bit)</w:t>
            </w:r>
          </w:p>
        </w:tc>
        <w:tc>
          <w:tcPr>
            <w:tcW w:w="10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C2A87A" w14:textId="77777777" w:rsidR="008643A3" w:rsidRPr="0058047D" w:rsidRDefault="008643A3" w:rsidP="00713A6C">
            <w:pPr>
              <w:jc w:val="center"/>
              <w:rPr>
                <w:rFonts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C6449D" w14:textId="77777777" w:rsidR="008643A3" w:rsidRPr="0058047D" w:rsidRDefault="008643A3" w:rsidP="00713A6C">
            <w:pPr>
              <w:jc w:val="center"/>
              <w:rPr>
                <w:rFonts w:cs="Tahoma"/>
                <w:szCs w:val="18"/>
              </w:rPr>
            </w:pP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04301FE" w14:textId="77777777" w:rsidR="008643A3" w:rsidRPr="0058047D" w:rsidRDefault="008643A3" w:rsidP="00713A6C">
            <w:pPr>
              <w:jc w:val="center"/>
              <w:rPr>
                <w:rFonts w:cs="Tahoma"/>
                <w:szCs w:val="18"/>
              </w:rPr>
            </w:pP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5B047A3" w14:textId="77777777" w:rsidR="008643A3" w:rsidRPr="0058047D"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6B9144D" w14:textId="77777777" w:rsidR="008643A3" w:rsidRPr="0058047D" w:rsidRDefault="008643A3" w:rsidP="00713A6C">
            <w:pPr>
              <w:jc w:val="center"/>
              <w:rPr>
                <w:rFonts w:cs="Tahoma"/>
                <w:szCs w:val="18"/>
              </w:rPr>
            </w:pPr>
          </w:p>
        </w:tc>
      </w:tr>
      <w:tr w:rsidR="008643A3" w:rsidRPr="0058047D" w14:paraId="1BD22013" w14:textId="77777777" w:rsidTr="007B2ED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A2A7897" w14:textId="77777777" w:rsidR="008643A3" w:rsidRPr="0058047D" w:rsidRDefault="008643A3" w:rsidP="00EF7CDD">
            <w:pPr>
              <w:ind w:left="522"/>
              <w:rPr>
                <w:rFonts w:cs="Tahoma"/>
                <w:b/>
                <w:bCs/>
                <w:szCs w:val="18"/>
              </w:rPr>
            </w:pPr>
            <w:r w:rsidRPr="0058047D">
              <w:rPr>
                <w:rFonts w:cs="Tahoma"/>
                <w:szCs w:val="18"/>
              </w:rPr>
              <w:t>Enterprise (N, K, KN)</w:t>
            </w:r>
          </w:p>
        </w:tc>
        <w:tc>
          <w:tcPr>
            <w:tcW w:w="10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60EC07" w14:textId="77777777" w:rsidR="008643A3" w:rsidRPr="0058047D" w:rsidRDefault="006C2A69" w:rsidP="00713A6C">
            <w:pPr>
              <w:jc w:val="center"/>
              <w:rPr>
                <w:rFonts w:cs="Tahoma"/>
                <w:szCs w:val="18"/>
              </w:rPr>
            </w:pPr>
            <w:r w:rsidRPr="0058047D">
              <w:rPr>
                <w:rFonts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34BCB12" w14:textId="77777777" w:rsidR="008643A3" w:rsidRPr="0058047D" w:rsidRDefault="006C2A69" w:rsidP="00713A6C">
            <w:pPr>
              <w:jc w:val="center"/>
              <w:rPr>
                <w:rFonts w:cs="Tahoma"/>
                <w:szCs w:val="18"/>
              </w:rPr>
            </w:pPr>
            <w:r w:rsidRPr="0058047D">
              <w:rPr>
                <w:rFonts w:cs="Tahoma"/>
                <w:szCs w:val="18"/>
              </w:rPr>
              <w:t>x</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DBA350D" w14:textId="77777777" w:rsidR="008643A3" w:rsidRPr="0058047D" w:rsidRDefault="006C2A69" w:rsidP="00713A6C">
            <w:pPr>
              <w:jc w:val="center"/>
              <w:rPr>
                <w:rFonts w:cs="Tahoma"/>
                <w:szCs w:val="18"/>
              </w:rPr>
            </w:pPr>
            <w:r w:rsidRPr="0058047D">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920073" w14:textId="77777777" w:rsidR="008643A3" w:rsidRPr="0058047D" w:rsidRDefault="006C2A69" w:rsidP="00713A6C">
            <w:pPr>
              <w:jc w:val="center"/>
              <w:rPr>
                <w:rFonts w:cs="Tahoma"/>
                <w:szCs w:val="18"/>
              </w:rPr>
            </w:pPr>
            <w:r w:rsidRPr="0058047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28159F" w14:textId="77777777" w:rsidR="008643A3" w:rsidRPr="0058047D" w:rsidRDefault="008335B9" w:rsidP="00713A6C">
            <w:pPr>
              <w:jc w:val="center"/>
              <w:rPr>
                <w:rFonts w:cs="Tahoma"/>
                <w:szCs w:val="18"/>
              </w:rPr>
            </w:pPr>
            <w:r w:rsidRPr="0058047D">
              <w:rPr>
                <w:rFonts w:cs="Tahoma"/>
                <w:szCs w:val="18"/>
              </w:rPr>
              <w:t>x</w:t>
            </w:r>
          </w:p>
        </w:tc>
      </w:tr>
      <w:tr w:rsidR="008643A3" w:rsidRPr="0058047D" w14:paraId="6A6E8CBC" w14:textId="77777777" w:rsidTr="007B2ED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7252BED" w14:textId="77777777" w:rsidR="008643A3" w:rsidRPr="003F471F" w:rsidRDefault="006C2A69" w:rsidP="00394D71">
            <w:pPr>
              <w:ind w:left="522"/>
              <w:rPr>
                <w:rFonts w:cs="Tahoma"/>
                <w:b/>
                <w:bCs/>
                <w:szCs w:val="18"/>
                <w:lang w:val="it-IT"/>
              </w:rPr>
            </w:pPr>
            <w:r w:rsidRPr="003F471F">
              <w:rPr>
                <w:rFonts w:cs="Tahoma"/>
                <w:szCs w:val="18"/>
                <w:lang w:val="it-IT"/>
              </w:rPr>
              <w:t>Pro (N, K, KN, senza dischi*)</w:t>
            </w:r>
          </w:p>
        </w:tc>
        <w:tc>
          <w:tcPr>
            <w:tcW w:w="10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1317B0" w14:textId="77777777" w:rsidR="008643A3" w:rsidRPr="0058047D" w:rsidRDefault="006C2A69" w:rsidP="00713A6C">
            <w:pPr>
              <w:jc w:val="center"/>
              <w:rPr>
                <w:rFonts w:cs="Tahoma"/>
                <w:szCs w:val="18"/>
              </w:rPr>
            </w:pPr>
            <w:r w:rsidRPr="0058047D">
              <w:rPr>
                <w:rFonts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F8086B1" w14:textId="77777777" w:rsidR="008643A3" w:rsidRPr="0058047D" w:rsidRDefault="006C2A69" w:rsidP="00713A6C">
            <w:pPr>
              <w:jc w:val="center"/>
              <w:rPr>
                <w:rFonts w:cs="Tahoma"/>
                <w:szCs w:val="18"/>
              </w:rPr>
            </w:pPr>
            <w:r w:rsidRPr="0058047D">
              <w:rPr>
                <w:rFonts w:cs="Tahoma"/>
                <w:szCs w:val="18"/>
              </w:rPr>
              <w:t>x</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0BC0047" w14:textId="77777777" w:rsidR="008643A3" w:rsidRPr="0058047D" w:rsidRDefault="006C2A69" w:rsidP="00713A6C">
            <w:pPr>
              <w:jc w:val="center"/>
              <w:rPr>
                <w:rFonts w:cs="Tahoma"/>
                <w:szCs w:val="18"/>
              </w:rPr>
            </w:pPr>
            <w:r w:rsidRPr="0058047D">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6384AC" w14:textId="77777777" w:rsidR="008643A3" w:rsidRPr="0058047D" w:rsidRDefault="006C2A69" w:rsidP="00713A6C">
            <w:pPr>
              <w:jc w:val="center"/>
              <w:rPr>
                <w:rFonts w:cs="Tahoma"/>
                <w:szCs w:val="18"/>
              </w:rPr>
            </w:pPr>
            <w:r w:rsidRPr="0058047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FE5B571" w14:textId="77777777" w:rsidR="008643A3" w:rsidRPr="0058047D" w:rsidRDefault="008335B9" w:rsidP="00713A6C">
            <w:pPr>
              <w:jc w:val="center"/>
              <w:rPr>
                <w:rFonts w:cs="Tahoma"/>
                <w:szCs w:val="18"/>
              </w:rPr>
            </w:pPr>
            <w:r w:rsidRPr="0058047D">
              <w:rPr>
                <w:rFonts w:cs="Tahoma"/>
                <w:szCs w:val="18"/>
              </w:rPr>
              <w:t>x</w:t>
            </w:r>
          </w:p>
        </w:tc>
      </w:tr>
      <w:tr w:rsidR="008643A3" w:rsidRPr="0058047D" w14:paraId="4BE28443" w14:textId="77777777" w:rsidTr="007B2ED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E19FC96" w14:textId="77777777" w:rsidR="008643A3" w:rsidRPr="0058047D" w:rsidRDefault="006C2A69" w:rsidP="00EF7CDD">
            <w:pPr>
              <w:ind w:left="522"/>
              <w:rPr>
                <w:rFonts w:cs="Tahoma"/>
                <w:b/>
                <w:bCs/>
                <w:szCs w:val="18"/>
              </w:rPr>
            </w:pPr>
            <w:r w:rsidRPr="0058047D">
              <w:rPr>
                <w:rFonts w:cs="Tahoma"/>
                <w:szCs w:val="18"/>
              </w:rPr>
              <w:t>Windows 8 e Windows 8.1</w:t>
            </w:r>
          </w:p>
        </w:tc>
        <w:tc>
          <w:tcPr>
            <w:tcW w:w="10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FBDCBC" w14:textId="77777777" w:rsidR="008643A3" w:rsidRPr="0058047D" w:rsidRDefault="008643A3" w:rsidP="00713A6C">
            <w:pPr>
              <w:jc w:val="center"/>
              <w:rPr>
                <w:rFonts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4FF4C3" w14:textId="77777777" w:rsidR="008643A3" w:rsidRPr="0058047D" w:rsidRDefault="008643A3" w:rsidP="00713A6C">
            <w:pPr>
              <w:jc w:val="center"/>
              <w:rPr>
                <w:rFonts w:cs="Tahoma"/>
                <w:szCs w:val="18"/>
              </w:rPr>
            </w:pP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86D95DD" w14:textId="77777777" w:rsidR="008643A3" w:rsidRPr="0058047D" w:rsidRDefault="008643A3" w:rsidP="00713A6C">
            <w:pPr>
              <w:jc w:val="center"/>
              <w:rPr>
                <w:rFonts w:cs="Tahoma"/>
                <w:szCs w:val="18"/>
              </w:rPr>
            </w:pP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F1AFB86" w14:textId="77777777" w:rsidR="008643A3" w:rsidRPr="0058047D"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304561" w14:textId="77777777" w:rsidR="008643A3" w:rsidRPr="0058047D" w:rsidRDefault="006C2A69" w:rsidP="00713A6C">
            <w:pPr>
              <w:jc w:val="center"/>
              <w:rPr>
                <w:rFonts w:cs="Tahoma"/>
                <w:szCs w:val="18"/>
              </w:rPr>
            </w:pPr>
            <w:r w:rsidRPr="0058047D">
              <w:rPr>
                <w:rFonts w:cs="Tahoma"/>
                <w:szCs w:val="18"/>
              </w:rPr>
              <w:t>x</w:t>
            </w:r>
          </w:p>
        </w:tc>
      </w:tr>
      <w:tr w:rsidR="00EF7CDD" w:rsidRPr="0058047D" w14:paraId="03A48699" w14:textId="77777777" w:rsidTr="007B2ED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BF8D914" w14:textId="77777777" w:rsidR="00EF7CDD" w:rsidRPr="003F471F" w:rsidRDefault="00EF7CDD" w:rsidP="007B2EDE">
            <w:pPr>
              <w:ind w:left="522"/>
              <w:rPr>
                <w:rFonts w:cs="Tahoma"/>
                <w:szCs w:val="18"/>
                <w:lang w:val="it-IT"/>
              </w:rPr>
            </w:pPr>
            <w:r w:rsidRPr="003F471F">
              <w:rPr>
                <w:rFonts w:cs="Tahoma"/>
                <w:szCs w:val="18"/>
                <w:lang w:val="it-IT"/>
              </w:rPr>
              <w:t>Windows 8 e Windows 8.1 per</w:t>
            </w:r>
            <w:r w:rsidR="007B2EDE" w:rsidRPr="003F471F">
              <w:rPr>
                <w:rFonts w:cs="Tahoma"/>
                <w:szCs w:val="18"/>
                <w:lang w:val="it-IT"/>
              </w:rPr>
              <w:t> </w:t>
            </w:r>
            <w:r w:rsidRPr="003F471F">
              <w:rPr>
                <w:rFonts w:cs="Tahoma"/>
                <w:szCs w:val="18"/>
                <w:lang w:val="it-IT"/>
              </w:rPr>
              <w:t>una Sola Lingua</w:t>
            </w:r>
          </w:p>
        </w:tc>
        <w:tc>
          <w:tcPr>
            <w:tcW w:w="10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4ACACD5" w14:textId="77777777" w:rsidR="00EF7CDD" w:rsidRPr="003F471F" w:rsidRDefault="00EF7CDD" w:rsidP="00713A6C">
            <w:pPr>
              <w:jc w:val="center"/>
              <w:rPr>
                <w:rFonts w:cs="Tahoma"/>
                <w:szCs w:val="18"/>
                <w:lang w:val="it-IT"/>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6F35AF" w14:textId="77777777" w:rsidR="00EF7CDD" w:rsidRPr="003F471F" w:rsidRDefault="00EF7CDD" w:rsidP="00713A6C">
            <w:pPr>
              <w:jc w:val="center"/>
              <w:rPr>
                <w:rFonts w:cs="Tahoma"/>
                <w:szCs w:val="18"/>
                <w:lang w:val="it-IT"/>
              </w:rPr>
            </w:pP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6B26EF" w14:textId="77777777" w:rsidR="00EF7CDD" w:rsidRPr="003F471F" w:rsidRDefault="00EF7CDD" w:rsidP="00713A6C">
            <w:pPr>
              <w:jc w:val="center"/>
              <w:rPr>
                <w:rFonts w:cs="Tahoma"/>
                <w:szCs w:val="18"/>
                <w:lang w:val="it-IT"/>
              </w:rPr>
            </w:pP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1C166AF" w14:textId="77777777" w:rsidR="00EF7CDD" w:rsidRPr="003F471F" w:rsidRDefault="00EF7CDD" w:rsidP="00713A6C">
            <w:pPr>
              <w:jc w:val="center"/>
              <w:rPr>
                <w:rFonts w:cs="Tahoma"/>
                <w:szCs w:val="18"/>
                <w:lang w:val="it-IT"/>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8D0277" w14:textId="77777777" w:rsidR="00EF7CDD" w:rsidRPr="0058047D" w:rsidRDefault="00EF7CDD" w:rsidP="00713A6C">
            <w:pPr>
              <w:jc w:val="center"/>
              <w:rPr>
                <w:rFonts w:cs="Tahoma"/>
                <w:szCs w:val="18"/>
              </w:rPr>
            </w:pPr>
            <w:r w:rsidRPr="0058047D">
              <w:rPr>
                <w:rFonts w:cs="Tahoma"/>
                <w:szCs w:val="18"/>
              </w:rPr>
              <w:t>x</w:t>
            </w:r>
          </w:p>
        </w:tc>
      </w:tr>
      <w:tr w:rsidR="00290BBF" w:rsidRPr="0058047D" w14:paraId="6DDBED00" w14:textId="77777777" w:rsidTr="007B2ED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CC4D42" w14:textId="77777777" w:rsidR="00B73A46" w:rsidRPr="0058047D" w:rsidRDefault="00B73A46" w:rsidP="00713A6C">
            <w:pPr>
              <w:rPr>
                <w:rFonts w:eastAsia="Calibri" w:cs="Tahoma"/>
                <w:b/>
                <w:bCs/>
                <w:szCs w:val="18"/>
              </w:rPr>
            </w:pPr>
            <w:r w:rsidRPr="0058047D">
              <w:rPr>
                <w:rFonts w:cs="Tahoma"/>
                <w:b/>
                <w:bCs/>
                <w:szCs w:val="18"/>
              </w:rPr>
              <w:t>Windows 7 (32-bit o 64-bit)</w:t>
            </w:r>
          </w:p>
        </w:tc>
        <w:tc>
          <w:tcPr>
            <w:tcW w:w="10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BCC73A" w14:textId="77777777" w:rsidR="00B73A46" w:rsidRPr="0058047D" w:rsidRDefault="00B73A46" w:rsidP="00713A6C">
            <w:pPr>
              <w:jc w:val="center"/>
              <w:rPr>
                <w:rFonts w:eastAsia="Calibri" w:cs="Tahoma"/>
                <w:szCs w:val="18"/>
              </w:rPr>
            </w:pPr>
            <w:r w:rsidRPr="0058047D">
              <w:rPr>
                <w:rFonts w:cs="Tahoma"/>
                <w:szCs w:val="18"/>
              </w:rPr>
              <w:t> </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33C547" w14:textId="77777777" w:rsidR="00B73A46" w:rsidRPr="0058047D" w:rsidRDefault="00B73A46" w:rsidP="00713A6C">
            <w:pPr>
              <w:jc w:val="center"/>
              <w:rPr>
                <w:rFonts w:eastAsia="Calibri" w:cs="Tahoma"/>
                <w:szCs w:val="18"/>
              </w:rPr>
            </w:pPr>
            <w:r w:rsidRPr="0058047D">
              <w:rPr>
                <w:rFonts w:cs="Tahoma"/>
                <w:szCs w:val="18"/>
              </w:rPr>
              <w:t> </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23FA07" w14:textId="77777777" w:rsidR="00B73A46" w:rsidRPr="0058047D" w:rsidRDefault="00B73A46" w:rsidP="00713A6C">
            <w:pPr>
              <w:jc w:val="center"/>
              <w:rPr>
                <w:rFonts w:eastAsia="Calibri" w:cs="Tahoma"/>
                <w:szCs w:val="18"/>
              </w:rPr>
            </w:pPr>
            <w:r w:rsidRPr="0058047D">
              <w:rPr>
                <w:rFonts w:cs="Tahoma"/>
                <w:szCs w:val="18"/>
              </w:rPr>
              <w:t> </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3BB216" w14:textId="77777777" w:rsidR="00B73A46" w:rsidRPr="0058047D" w:rsidRDefault="00B73A46" w:rsidP="00713A6C">
            <w:pPr>
              <w:jc w:val="center"/>
              <w:rPr>
                <w:rFonts w:eastAsia="Calibri" w:cs="Tahoma"/>
                <w:szCs w:val="18"/>
              </w:rPr>
            </w:pPr>
            <w:r w:rsidRPr="0058047D">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2BE423" w14:textId="77777777" w:rsidR="00B73A46" w:rsidRPr="0058047D" w:rsidRDefault="00B73A46" w:rsidP="00713A6C">
            <w:pPr>
              <w:jc w:val="center"/>
              <w:rPr>
                <w:rFonts w:eastAsia="Calibri" w:cs="Tahoma"/>
                <w:szCs w:val="18"/>
              </w:rPr>
            </w:pPr>
            <w:r w:rsidRPr="0058047D">
              <w:rPr>
                <w:rFonts w:cs="Tahoma"/>
                <w:szCs w:val="18"/>
              </w:rPr>
              <w:t> </w:t>
            </w:r>
          </w:p>
        </w:tc>
      </w:tr>
      <w:tr w:rsidR="00290BBF" w:rsidRPr="0058047D" w14:paraId="0411B0BF" w14:textId="77777777" w:rsidTr="007B2ED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920147C" w14:textId="77777777" w:rsidR="00B73A46" w:rsidRPr="0058047D" w:rsidRDefault="00B73A46" w:rsidP="00713A6C">
            <w:pPr>
              <w:ind w:firstLine="540"/>
              <w:rPr>
                <w:rFonts w:eastAsia="Calibri" w:cs="Tahoma"/>
                <w:szCs w:val="18"/>
              </w:rPr>
            </w:pPr>
            <w:r w:rsidRPr="0058047D">
              <w:rPr>
                <w:rFonts w:cs="Tahoma"/>
                <w:szCs w:val="18"/>
              </w:rPr>
              <w:t>Enterprise (N, K, KN)</w:t>
            </w:r>
          </w:p>
        </w:tc>
        <w:tc>
          <w:tcPr>
            <w:tcW w:w="10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BE99B6" w14:textId="77777777" w:rsidR="00B73A46" w:rsidRPr="0058047D" w:rsidRDefault="00B73A46" w:rsidP="00713A6C">
            <w:pPr>
              <w:jc w:val="center"/>
              <w:rPr>
                <w:rFonts w:eastAsia="Calibri" w:cs="Tahoma"/>
                <w:szCs w:val="18"/>
              </w:rPr>
            </w:pPr>
            <w:r w:rsidRPr="0058047D">
              <w:rPr>
                <w:rFonts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1BAB98" w14:textId="77777777" w:rsidR="00B73A46" w:rsidRPr="0058047D" w:rsidRDefault="00B73A46" w:rsidP="00713A6C">
            <w:pPr>
              <w:jc w:val="center"/>
              <w:rPr>
                <w:rFonts w:eastAsia="Calibri" w:cs="Tahoma"/>
                <w:szCs w:val="18"/>
              </w:rPr>
            </w:pPr>
            <w:r w:rsidRPr="0058047D">
              <w:rPr>
                <w:rFonts w:cs="Tahoma"/>
                <w:szCs w:val="18"/>
              </w:rPr>
              <w:t>x</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929CD8" w14:textId="77777777" w:rsidR="00B73A46" w:rsidRPr="0058047D" w:rsidRDefault="00B73A46" w:rsidP="00713A6C">
            <w:pPr>
              <w:jc w:val="center"/>
              <w:rPr>
                <w:rFonts w:eastAsia="Calibri" w:cs="Tahoma"/>
                <w:szCs w:val="18"/>
              </w:rPr>
            </w:pPr>
            <w:r w:rsidRPr="0058047D">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97CDE8" w14:textId="77777777" w:rsidR="00B73A46" w:rsidRPr="0058047D" w:rsidRDefault="00B73A46" w:rsidP="00713A6C">
            <w:pPr>
              <w:jc w:val="center"/>
              <w:rPr>
                <w:rFonts w:eastAsia="Calibri" w:cs="Tahoma"/>
                <w:szCs w:val="18"/>
              </w:rPr>
            </w:pPr>
            <w:r w:rsidRPr="0058047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C30E8B" w14:textId="77777777" w:rsidR="00B73A46" w:rsidRPr="0058047D" w:rsidRDefault="00B73A46" w:rsidP="00713A6C">
            <w:pPr>
              <w:jc w:val="center"/>
              <w:rPr>
                <w:rFonts w:eastAsia="Calibri" w:cs="Tahoma"/>
                <w:szCs w:val="18"/>
              </w:rPr>
            </w:pPr>
            <w:r w:rsidRPr="0058047D">
              <w:rPr>
                <w:rFonts w:cs="Tahoma"/>
                <w:szCs w:val="18"/>
              </w:rPr>
              <w:t>x</w:t>
            </w:r>
          </w:p>
        </w:tc>
      </w:tr>
      <w:tr w:rsidR="00290BBF" w:rsidRPr="0058047D" w14:paraId="2C284363" w14:textId="77777777" w:rsidTr="007B2ED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5B63ABC" w14:textId="77777777" w:rsidR="00B73A46" w:rsidRPr="003F471F" w:rsidRDefault="00B73A46" w:rsidP="00D47417">
            <w:pPr>
              <w:ind w:left="522" w:firstLine="18"/>
              <w:rPr>
                <w:rFonts w:eastAsia="Calibri" w:cs="Tahoma"/>
                <w:szCs w:val="18"/>
                <w:lang w:val="pt-BR"/>
              </w:rPr>
            </w:pPr>
            <w:r w:rsidRPr="003F471F">
              <w:rPr>
                <w:rFonts w:cs="Tahoma"/>
                <w:szCs w:val="18"/>
                <w:lang w:val="pt-BR"/>
              </w:rPr>
              <w:t>Professional (N, K, KN, diskless)</w:t>
            </w:r>
          </w:p>
        </w:tc>
        <w:tc>
          <w:tcPr>
            <w:tcW w:w="10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F807FE" w14:textId="77777777" w:rsidR="00B73A46" w:rsidRPr="0058047D" w:rsidRDefault="00B73A46" w:rsidP="00713A6C">
            <w:pPr>
              <w:jc w:val="center"/>
              <w:rPr>
                <w:rFonts w:eastAsia="Calibri" w:cs="Tahoma"/>
                <w:szCs w:val="18"/>
              </w:rPr>
            </w:pPr>
            <w:r w:rsidRPr="0058047D">
              <w:rPr>
                <w:rFonts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575439" w14:textId="77777777" w:rsidR="00B73A46" w:rsidRPr="0058047D" w:rsidRDefault="00B73A46" w:rsidP="00713A6C">
            <w:pPr>
              <w:jc w:val="center"/>
              <w:rPr>
                <w:rFonts w:eastAsia="Calibri" w:cs="Tahoma"/>
                <w:szCs w:val="18"/>
              </w:rPr>
            </w:pPr>
            <w:r w:rsidRPr="0058047D">
              <w:rPr>
                <w:rFonts w:cs="Tahoma"/>
                <w:szCs w:val="18"/>
              </w:rPr>
              <w:t>x</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46C3FC" w14:textId="77777777" w:rsidR="00B73A46" w:rsidRPr="0058047D" w:rsidRDefault="00B73A46" w:rsidP="00713A6C">
            <w:pPr>
              <w:jc w:val="center"/>
              <w:rPr>
                <w:rFonts w:eastAsia="Calibri" w:cs="Tahoma"/>
                <w:szCs w:val="18"/>
              </w:rPr>
            </w:pPr>
            <w:r w:rsidRPr="0058047D">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D953A4" w14:textId="77777777" w:rsidR="00B73A46" w:rsidRPr="0058047D" w:rsidRDefault="00B73A46" w:rsidP="00713A6C">
            <w:pPr>
              <w:jc w:val="center"/>
              <w:rPr>
                <w:rFonts w:eastAsia="Calibri" w:cs="Tahoma"/>
                <w:szCs w:val="18"/>
              </w:rPr>
            </w:pPr>
            <w:r w:rsidRPr="0058047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6AA428" w14:textId="77777777" w:rsidR="00B73A46" w:rsidRPr="0058047D" w:rsidRDefault="00B73A46" w:rsidP="00713A6C">
            <w:pPr>
              <w:jc w:val="center"/>
              <w:rPr>
                <w:rFonts w:eastAsia="Calibri" w:cs="Tahoma"/>
                <w:szCs w:val="18"/>
              </w:rPr>
            </w:pPr>
            <w:r w:rsidRPr="0058047D">
              <w:rPr>
                <w:rFonts w:cs="Tahoma"/>
                <w:szCs w:val="18"/>
              </w:rPr>
              <w:t>x</w:t>
            </w:r>
          </w:p>
        </w:tc>
      </w:tr>
      <w:tr w:rsidR="00290BBF" w:rsidRPr="0058047D" w14:paraId="7D72ADC2" w14:textId="77777777" w:rsidTr="007B2ED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FADF0ED" w14:textId="77777777" w:rsidR="00B73A46" w:rsidRPr="0058047D" w:rsidRDefault="00B73A46" w:rsidP="00713A6C">
            <w:pPr>
              <w:ind w:firstLine="540"/>
              <w:rPr>
                <w:rFonts w:eastAsia="Calibri" w:cs="Tahoma"/>
                <w:szCs w:val="18"/>
              </w:rPr>
            </w:pPr>
            <w:r w:rsidRPr="0058047D">
              <w:rPr>
                <w:rFonts w:cs="Tahoma"/>
                <w:szCs w:val="18"/>
              </w:rPr>
              <w:t>Ultimate</w:t>
            </w:r>
          </w:p>
        </w:tc>
        <w:tc>
          <w:tcPr>
            <w:tcW w:w="10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008445" w14:textId="77777777" w:rsidR="00B73A46" w:rsidRPr="0058047D" w:rsidRDefault="00B73A46" w:rsidP="00713A6C">
            <w:pPr>
              <w:jc w:val="center"/>
              <w:rPr>
                <w:rFonts w:eastAsia="Calibri" w:cs="Tahoma"/>
                <w:szCs w:val="18"/>
              </w:rPr>
            </w:pPr>
            <w:r w:rsidRPr="0058047D">
              <w:rPr>
                <w:rFonts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DF328C" w14:textId="77777777" w:rsidR="00B73A46" w:rsidRPr="0058047D" w:rsidRDefault="00B73A46" w:rsidP="00713A6C">
            <w:pPr>
              <w:jc w:val="center"/>
              <w:rPr>
                <w:rFonts w:eastAsia="Calibri" w:cs="Tahoma"/>
                <w:szCs w:val="18"/>
              </w:rPr>
            </w:pPr>
            <w:r w:rsidRPr="0058047D">
              <w:rPr>
                <w:rFonts w:cs="Tahoma"/>
                <w:szCs w:val="18"/>
              </w:rPr>
              <w:t>x</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A2D27D" w14:textId="77777777" w:rsidR="00B73A46" w:rsidRPr="0058047D" w:rsidRDefault="00B73A46" w:rsidP="00713A6C">
            <w:pPr>
              <w:jc w:val="center"/>
              <w:rPr>
                <w:rFonts w:eastAsia="Calibri" w:cs="Tahoma"/>
                <w:szCs w:val="18"/>
              </w:rPr>
            </w:pPr>
            <w:r w:rsidRPr="0058047D">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71F702" w14:textId="77777777" w:rsidR="00B73A46" w:rsidRPr="0058047D" w:rsidRDefault="00B73A46" w:rsidP="00713A6C">
            <w:pPr>
              <w:jc w:val="center"/>
              <w:rPr>
                <w:rFonts w:eastAsia="Calibri" w:cs="Tahoma"/>
                <w:szCs w:val="18"/>
              </w:rPr>
            </w:pPr>
            <w:r w:rsidRPr="0058047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1DB9EE" w14:textId="77777777" w:rsidR="00B73A46" w:rsidRPr="0058047D" w:rsidRDefault="00B73A46" w:rsidP="00713A6C">
            <w:pPr>
              <w:jc w:val="center"/>
              <w:rPr>
                <w:rFonts w:eastAsia="Calibri" w:cs="Tahoma"/>
                <w:szCs w:val="18"/>
              </w:rPr>
            </w:pPr>
            <w:r w:rsidRPr="0058047D">
              <w:rPr>
                <w:rFonts w:cs="Tahoma"/>
                <w:szCs w:val="18"/>
              </w:rPr>
              <w:t>x</w:t>
            </w:r>
          </w:p>
        </w:tc>
      </w:tr>
      <w:tr w:rsidR="00290BBF" w:rsidRPr="0058047D" w14:paraId="6632BDF8" w14:textId="77777777" w:rsidTr="007B2ED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380E490" w14:textId="77777777" w:rsidR="00B73A46" w:rsidRPr="0058047D" w:rsidRDefault="00B73A46" w:rsidP="00713A6C">
            <w:pPr>
              <w:ind w:firstLine="540"/>
              <w:rPr>
                <w:rFonts w:eastAsia="Calibri" w:cs="Tahoma"/>
                <w:szCs w:val="18"/>
              </w:rPr>
            </w:pPr>
            <w:r w:rsidRPr="0058047D">
              <w:rPr>
                <w:rFonts w:cs="Tahoma"/>
                <w:szCs w:val="18"/>
              </w:rPr>
              <w:t>Home Premium</w:t>
            </w:r>
          </w:p>
        </w:tc>
        <w:tc>
          <w:tcPr>
            <w:tcW w:w="10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CD302A" w14:textId="77777777" w:rsidR="00B73A46" w:rsidRPr="0058047D" w:rsidRDefault="00B73A46" w:rsidP="00713A6C">
            <w:pPr>
              <w:jc w:val="center"/>
              <w:rPr>
                <w:rFonts w:eastAsia="Calibri" w:cs="Tahoma"/>
                <w:szCs w:val="18"/>
              </w:rPr>
            </w:pPr>
            <w:r w:rsidRPr="0058047D">
              <w:rPr>
                <w:rFonts w:cs="Tahoma"/>
                <w:szCs w:val="18"/>
              </w:rPr>
              <w:t> </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BDC2E1" w14:textId="77777777" w:rsidR="00B73A46" w:rsidRPr="0058047D" w:rsidRDefault="00B73A46" w:rsidP="00713A6C">
            <w:pPr>
              <w:jc w:val="center"/>
              <w:rPr>
                <w:rFonts w:eastAsia="Calibri" w:cs="Tahoma"/>
                <w:szCs w:val="18"/>
              </w:rPr>
            </w:pPr>
            <w:r w:rsidRPr="0058047D">
              <w:rPr>
                <w:rFonts w:cs="Tahoma"/>
                <w:szCs w:val="18"/>
              </w:rPr>
              <w:t> </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EA02E3" w14:textId="77777777" w:rsidR="00B73A46" w:rsidRPr="0058047D" w:rsidRDefault="00B73A46" w:rsidP="00713A6C">
            <w:pPr>
              <w:jc w:val="center"/>
              <w:rPr>
                <w:rFonts w:eastAsia="Calibri" w:cs="Tahoma"/>
                <w:szCs w:val="18"/>
              </w:rPr>
            </w:pPr>
            <w:r w:rsidRPr="0058047D">
              <w:rPr>
                <w:rFonts w:cs="Tahoma"/>
                <w:szCs w:val="18"/>
              </w:rPr>
              <w:t> </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7D8D71" w14:textId="77777777" w:rsidR="00B73A46" w:rsidRPr="0058047D" w:rsidRDefault="00B73A46" w:rsidP="00713A6C">
            <w:pPr>
              <w:jc w:val="center"/>
              <w:rPr>
                <w:rFonts w:eastAsia="Calibri" w:cs="Tahoma"/>
                <w:szCs w:val="18"/>
              </w:rPr>
            </w:pPr>
            <w:r w:rsidRPr="0058047D">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A7ECC3" w14:textId="77777777" w:rsidR="00B73A46" w:rsidRPr="0058047D" w:rsidRDefault="00B73A46" w:rsidP="00713A6C">
            <w:pPr>
              <w:jc w:val="center"/>
              <w:rPr>
                <w:rFonts w:eastAsia="Calibri" w:cs="Tahoma"/>
                <w:szCs w:val="18"/>
              </w:rPr>
            </w:pPr>
            <w:r w:rsidRPr="0058047D">
              <w:rPr>
                <w:rFonts w:cs="Tahoma"/>
                <w:szCs w:val="18"/>
              </w:rPr>
              <w:t>x</w:t>
            </w:r>
          </w:p>
        </w:tc>
      </w:tr>
      <w:tr w:rsidR="00290BBF" w:rsidRPr="0058047D" w14:paraId="3C3B31D4" w14:textId="77777777" w:rsidTr="007B2ED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AEB7B9" w14:textId="77777777" w:rsidR="00B73A46" w:rsidRPr="0058047D" w:rsidRDefault="00B73A46" w:rsidP="00713A6C">
            <w:pPr>
              <w:ind w:firstLine="540"/>
              <w:rPr>
                <w:rFonts w:eastAsia="Calibri" w:cs="Tahoma"/>
                <w:szCs w:val="18"/>
              </w:rPr>
            </w:pPr>
            <w:r w:rsidRPr="0058047D">
              <w:rPr>
                <w:rFonts w:cs="Tahoma"/>
                <w:szCs w:val="18"/>
              </w:rPr>
              <w:t>Home Basic</w:t>
            </w:r>
          </w:p>
        </w:tc>
        <w:tc>
          <w:tcPr>
            <w:tcW w:w="10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CB0BE0" w14:textId="77777777" w:rsidR="00B73A46" w:rsidRPr="0058047D" w:rsidRDefault="00B73A46" w:rsidP="00713A6C">
            <w:pPr>
              <w:jc w:val="center"/>
              <w:rPr>
                <w:rFonts w:eastAsia="Calibri" w:cs="Tahoma"/>
                <w:szCs w:val="18"/>
              </w:rPr>
            </w:pPr>
            <w:r w:rsidRPr="0058047D">
              <w:rPr>
                <w:rFonts w:cs="Tahoma"/>
                <w:szCs w:val="18"/>
              </w:rPr>
              <w:t> </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9357C9" w14:textId="77777777" w:rsidR="00B73A46" w:rsidRPr="0058047D" w:rsidRDefault="00B73A46" w:rsidP="00713A6C">
            <w:pPr>
              <w:jc w:val="center"/>
              <w:rPr>
                <w:rFonts w:eastAsia="Calibri" w:cs="Tahoma"/>
                <w:szCs w:val="18"/>
              </w:rPr>
            </w:pPr>
            <w:r w:rsidRPr="0058047D">
              <w:rPr>
                <w:rFonts w:cs="Tahoma"/>
                <w:szCs w:val="18"/>
              </w:rPr>
              <w:t> </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9B7178" w14:textId="77777777" w:rsidR="00B73A46" w:rsidRPr="0058047D" w:rsidRDefault="00B73A46" w:rsidP="00713A6C">
            <w:pPr>
              <w:jc w:val="center"/>
              <w:rPr>
                <w:rFonts w:eastAsia="Calibri" w:cs="Tahoma"/>
                <w:szCs w:val="18"/>
              </w:rPr>
            </w:pPr>
            <w:r w:rsidRPr="0058047D">
              <w:rPr>
                <w:rFonts w:cs="Tahoma"/>
                <w:szCs w:val="18"/>
              </w:rPr>
              <w:t> </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5CCBF4" w14:textId="77777777" w:rsidR="00B73A46" w:rsidRPr="0058047D" w:rsidRDefault="00B73A46" w:rsidP="00713A6C">
            <w:pPr>
              <w:jc w:val="center"/>
              <w:rPr>
                <w:rFonts w:eastAsia="Calibri" w:cs="Tahoma"/>
                <w:szCs w:val="18"/>
              </w:rPr>
            </w:pPr>
            <w:r w:rsidRPr="0058047D">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0934CB" w14:textId="77777777" w:rsidR="00B73A46" w:rsidRPr="0058047D" w:rsidRDefault="00B73A46" w:rsidP="00713A6C">
            <w:pPr>
              <w:jc w:val="center"/>
              <w:rPr>
                <w:rFonts w:eastAsia="Calibri" w:cs="Tahoma"/>
                <w:szCs w:val="18"/>
              </w:rPr>
            </w:pPr>
            <w:r w:rsidRPr="0058047D">
              <w:rPr>
                <w:rFonts w:cs="Tahoma"/>
                <w:szCs w:val="18"/>
              </w:rPr>
              <w:t>x</w:t>
            </w:r>
          </w:p>
        </w:tc>
      </w:tr>
      <w:tr w:rsidR="00290BBF" w:rsidRPr="0058047D" w14:paraId="0CA2A3A6" w14:textId="77777777" w:rsidTr="007B2ED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5F362F0" w14:textId="77777777" w:rsidR="00B73A46" w:rsidRPr="0058047D" w:rsidRDefault="00B73A46" w:rsidP="00EF7CDD">
            <w:pPr>
              <w:ind w:left="522"/>
              <w:rPr>
                <w:rFonts w:eastAsia="Calibri" w:cs="Tahoma"/>
                <w:szCs w:val="18"/>
              </w:rPr>
            </w:pPr>
            <w:r w:rsidRPr="0058047D">
              <w:rPr>
                <w:rFonts w:cs="Tahoma"/>
                <w:szCs w:val="18"/>
              </w:rPr>
              <w:t>Starter Edition</w:t>
            </w:r>
          </w:p>
        </w:tc>
        <w:tc>
          <w:tcPr>
            <w:tcW w:w="10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527719F" w14:textId="77777777" w:rsidR="00B73A46" w:rsidRPr="0058047D" w:rsidRDefault="00B73A46" w:rsidP="00713A6C">
            <w:pPr>
              <w:jc w:val="center"/>
              <w:rPr>
                <w:rFonts w:eastAsia="Calibri"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53EB1D5" w14:textId="77777777" w:rsidR="00B73A46" w:rsidRPr="0058047D" w:rsidRDefault="00B73A46" w:rsidP="00713A6C">
            <w:pPr>
              <w:jc w:val="center"/>
              <w:rPr>
                <w:rFonts w:eastAsia="Calibri" w:cs="Tahoma"/>
                <w:szCs w:val="18"/>
              </w:rPr>
            </w:pP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13926C1" w14:textId="77777777" w:rsidR="00B73A46" w:rsidRPr="0058047D" w:rsidRDefault="00B73A46" w:rsidP="00713A6C">
            <w:pPr>
              <w:jc w:val="center"/>
              <w:rPr>
                <w:rFonts w:eastAsia="Calibri" w:cs="Tahoma"/>
                <w:szCs w:val="18"/>
              </w:rPr>
            </w:pP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8905CA9" w14:textId="77777777" w:rsidR="00B73A46" w:rsidRPr="0058047D"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3F68C2" w14:textId="77777777" w:rsidR="00B73A46" w:rsidRPr="0058047D" w:rsidRDefault="00B73A46" w:rsidP="00713A6C">
            <w:pPr>
              <w:jc w:val="center"/>
              <w:rPr>
                <w:rFonts w:eastAsia="Calibri" w:cs="Tahoma"/>
                <w:szCs w:val="18"/>
              </w:rPr>
            </w:pPr>
            <w:r w:rsidRPr="0058047D">
              <w:rPr>
                <w:rFonts w:cs="Tahoma"/>
                <w:szCs w:val="18"/>
              </w:rPr>
              <w:t>x</w:t>
            </w:r>
          </w:p>
        </w:tc>
      </w:tr>
      <w:tr w:rsidR="00290BBF" w:rsidRPr="003F471F" w14:paraId="2EE7E12F" w14:textId="77777777" w:rsidTr="007B2ED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6CC5DF" w14:textId="77777777" w:rsidR="00B73A46" w:rsidRPr="003F471F" w:rsidRDefault="00B73A46" w:rsidP="00713A6C">
            <w:pPr>
              <w:rPr>
                <w:rFonts w:eastAsia="Calibri" w:cs="Tahoma"/>
                <w:b/>
                <w:bCs/>
                <w:szCs w:val="18"/>
                <w:lang w:val="pt-BR"/>
              </w:rPr>
            </w:pPr>
            <w:r w:rsidRPr="003F471F">
              <w:rPr>
                <w:rFonts w:cs="Tahoma"/>
                <w:b/>
                <w:bCs/>
                <w:szCs w:val="18"/>
                <w:lang w:val="pt-BR"/>
              </w:rPr>
              <w:t>Windows Vista (32-bit o 64-bit)</w:t>
            </w:r>
          </w:p>
        </w:tc>
        <w:tc>
          <w:tcPr>
            <w:tcW w:w="10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EFE4CD" w14:textId="77777777" w:rsidR="00B73A46" w:rsidRPr="003F471F" w:rsidRDefault="00B73A46" w:rsidP="00713A6C">
            <w:pPr>
              <w:jc w:val="center"/>
              <w:rPr>
                <w:rFonts w:eastAsia="Calibri" w:cs="Tahoma"/>
                <w:szCs w:val="18"/>
                <w:lang w:val="pt-BR"/>
              </w:rPr>
            </w:pPr>
            <w:r w:rsidRPr="003F471F">
              <w:rPr>
                <w:rFonts w:cs="Tahoma"/>
                <w:szCs w:val="18"/>
                <w:lang w:val="pt-BR"/>
              </w:rPr>
              <w:t> </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29541A" w14:textId="77777777" w:rsidR="00B73A46" w:rsidRPr="003F471F" w:rsidRDefault="00B73A46" w:rsidP="00713A6C">
            <w:pPr>
              <w:jc w:val="center"/>
              <w:rPr>
                <w:rFonts w:eastAsia="Calibri" w:cs="Tahoma"/>
                <w:szCs w:val="18"/>
                <w:lang w:val="pt-BR"/>
              </w:rPr>
            </w:pPr>
            <w:r w:rsidRPr="003F471F">
              <w:rPr>
                <w:rFonts w:cs="Tahoma"/>
                <w:szCs w:val="18"/>
                <w:lang w:val="pt-BR"/>
              </w:rPr>
              <w:t> </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8C5C28" w14:textId="77777777" w:rsidR="00B73A46" w:rsidRPr="003F471F" w:rsidRDefault="00B73A46" w:rsidP="00713A6C">
            <w:pPr>
              <w:jc w:val="center"/>
              <w:rPr>
                <w:rFonts w:eastAsia="Calibri" w:cs="Tahoma"/>
                <w:szCs w:val="18"/>
                <w:lang w:val="pt-BR"/>
              </w:rPr>
            </w:pPr>
            <w:r w:rsidRPr="003F471F">
              <w:rPr>
                <w:rFonts w:cs="Tahoma"/>
                <w:szCs w:val="18"/>
                <w:lang w:val="pt-BR"/>
              </w:rPr>
              <w:t> </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B86E54" w14:textId="77777777" w:rsidR="00B73A46" w:rsidRPr="003F471F" w:rsidRDefault="00B73A46" w:rsidP="00713A6C">
            <w:pPr>
              <w:jc w:val="center"/>
              <w:rPr>
                <w:rFonts w:eastAsia="Calibri" w:cs="Tahoma"/>
                <w:szCs w:val="18"/>
                <w:lang w:val="pt-BR"/>
              </w:rPr>
            </w:pPr>
            <w:r w:rsidRPr="003F471F">
              <w:rPr>
                <w:rFonts w:cs="Tahoma"/>
                <w:szCs w:val="18"/>
                <w:lang w:val="pt-BR"/>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6D79D7" w14:textId="77777777" w:rsidR="00B73A46" w:rsidRPr="003F471F" w:rsidRDefault="00B73A46" w:rsidP="00713A6C">
            <w:pPr>
              <w:jc w:val="center"/>
              <w:rPr>
                <w:rFonts w:eastAsia="Calibri" w:cs="Tahoma"/>
                <w:szCs w:val="18"/>
                <w:lang w:val="pt-BR"/>
              </w:rPr>
            </w:pPr>
            <w:r w:rsidRPr="003F471F">
              <w:rPr>
                <w:rFonts w:cs="Tahoma"/>
                <w:szCs w:val="18"/>
                <w:lang w:val="pt-BR"/>
              </w:rPr>
              <w:t> </w:t>
            </w:r>
          </w:p>
        </w:tc>
      </w:tr>
      <w:tr w:rsidR="00290BBF" w:rsidRPr="0058047D" w14:paraId="4140FC03" w14:textId="77777777" w:rsidTr="007B2ED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0B684C5" w14:textId="77777777" w:rsidR="00B73A46" w:rsidRPr="0058047D" w:rsidRDefault="00B73A46" w:rsidP="00713A6C">
            <w:pPr>
              <w:ind w:firstLine="540"/>
              <w:rPr>
                <w:rFonts w:eastAsia="Calibri" w:cs="Tahoma"/>
                <w:szCs w:val="18"/>
              </w:rPr>
            </w:pPr>
            <w:r w:rsidRPr="0058047D">
              <w:rPr>
                <w:rFonts w:cs="Tahoma"/>
                <w:szCs w:val="18"/>
              </w:rPr>
              <w:t>Enterprise (N, K, KN)</w:t>
            </w:r>
          </w:p>
        </w:tc>
        <w:tc>
          <w:tcPr>
            <w:tcW w:w="10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1031FD" w14:textId="77777777" w:rsidR="00B73A46" w:rsidRPr="0058047D" w:rsidRDefault="00B73A46" w:rsidP="00713A6C">
            <w:pPr>
              <w:jc w:val="center"/>
              <w:rPr>
                <w:rFonts w:eastAsia="Calibri" w:cs="Tahoma"/>
                <w:szCs w:val="18"/>
              </w:rPr>
            </w:pPr>
            <w:r w:rsidRPr="0058047D">
              <w:rPr>
                <w:rFonts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5A8823" w14:textId="77777777" w:rsidR="00B73A46" w:rsidRPr="0058047D" w:rsidRDefault="00B73A46" w:rsidP="00713A6C">
            <w:pPr>
              <w:jc w:val="center"/>
              <w:rPr>
                <w:rFonts w:eastAsia="Calibri" w:cs="Tahoma"/>
                <w:szCs w:val="18"/>
              </w:rPr>
            </w:pP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25564B" w14:textId="77777777" w:rsidR="00B73A46" w:rsidRPr="0058047D" w:rsidRDefault="00B73A46" w:rsidP="00713A6C">
            <w:pPr>
              <w:jc w:val="center"/>
              <w:rPr>
                <w:rFonts w:eastAsia="Calibri" w:cs="Tahoma"/>
                <w:szCs w:val="18"/>
              </w:rPr>
            </w:pPr>
            <w:r w:rsidRPr="0058047D">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6C6232" w14:textId="77777777" w:rsidR="00B73A46" w:rsidRPr="0058047D" w:rsidRDefault="00B73A46" w:rsidP="00713A6C">
            <w:pPr>
              <w:jc w:val="center"/>
              <w:rPr>
                <w:rFonts w:eastAsia="Calibri" w:cs="Tahoma"/>
                <w:szCs w:val="18"/>
              </w:rPr>
            </w:pPr>
            <w:r w:rsidRPr="0058047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000808" w14:textId="77777777" w:rsidR="00B73A46" w:rsidRPr="0058047D" w:rsidRDefault="00B73A46" w:rsidP="00713A6C">
            <w:pPr>
              <w:jc w:val="center"/>
              <w:rPr>
                <w:rFonts w:eastAsia="Calibri" w:cs="Tahoma"/>
                <w:szCs w:val="18"/>
              </w:rPr>
            </w:pPr>
            <w:r w:rsidRPr="0058047D">
              <w:rPr>
                <w:rFonts w:cs="Tahoma"/>
                <w:szCs w:val="18"/>
              </w:rPr>
              <w:t>x</w:t>
            </w:r>
          </w:p>
        </w:tc>
      </w:tr>
      <w:tr w:rsidR="00290BBF" w:rsidRPr="0058047D" w14:paraId="34804639" w14:textId="77777777" w:rsidTr="007B2ED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510E883" w14:textId="77777777" w:rsidR="00B73A46" w:rsidRPr="0058047D" w:rsidRDefault="00B73A46" w:rsidP="00713A6C">
            <w:pPr>
              <w:ind w:firstLine="540"/>
              <w:rPr>
                <w:rFonts w:eastAsia="Calibri" w:cs="Tahoma"/>
                <w:szCs w:val="18"/>
              </w:rPr>
            </w:pPr>
            <w:r w:rsidRPr="0058047D">
              <w:rPr>
                <w:rFonts w:cs="Tahoma"/>
                <w:szCs w:val="18"/>
              </w:rPr>
              <w:t>Business (N, K, KN, Blade)</w:t>
            </w:r>
          </w:p>
        </w:tc>
        <w:tc>
          <w:tcPr>
            <w:tcW w:w="10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B4D93C" w14:textId="77777777" w:rsidR="00B73A46" w:rsidRPr="0058047D" w:rsidRDefault="00B73A46" w:rsidP="00713A6C">
            <w:pPr>
              <w:jc w:val="center"/>
              <w:rPr>
                <w:rFonts w:eastAsia="Calibri" w:cs="Tahoma"/>
                <w:szCs w:val="18"/>
              </w:rPr>
            </w:pPr>
            <w:r w:rsidRPr="0058047D">
              <w:rPr>
                <w:rFonts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8FE9F26" w14:textId="77777777" w:rsidR="00B73A46" w:rsidRPr="0058047D" w:rsidRDefault="00B73A46" w:rsidP="00713A6C">
            <w:pPr>
              <w:jc w:val="center"/>
              <w:rPr>
                <w:rFonts w:eastAsia="Calibri" w:cs="Tahoma"/>
                <w:szCs w:val="18"/>
              </w:rPr>
            </w:pP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2C522A" w14:textId="77777777" w:rsidR="00B73A46" w:rsidRPr="0058047D" w:rsidRDefault="00B73A46" w:rsidP="00713A6C">
            <w:pPr>
              <w:jc w:val="center"/>
              <w:rPr>
                <w:rFonts w:eastAsia="Calibri" w:cs="Tahoma"/>
                <w:szCs w:val="18"/>
              </w:rPr>
            </w:pPr>
            <w:r w:rsidRPr="0058047D">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58FB8A" w14:textId="77777777" w:rsidR="00B73A46" w:rsidRPr="0058047D" w:rsidRDefault="00B73A46" w:rsidP="00713A6C">
            <w:pPr>
              <w:jc w:val="center"/>
              <w:rPr>
                <w:rFonts w:eastAsia="Calibri" w:cs="Tahoma"/>
                <w:szCs w:val="18"/>
              </w:rPr>
            </w:pPr>
            <w:r w:rsidRPr="0058047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B68E5C" w14:textId="77777777" w:rsidR="00B73A46" w:rsidRPr="0058047D" w:rsidRDefault="00B73A46" w:rsidP="00713A6C">
            <w:pPr>
              <w:jc w:val="center"/>
              <w:rPr>
                <w:rFonts w:eastAsia="Calibri" w:cs="Tahoma"/>
                <w:szCs w:val="18"/>
              </w:rPr>
            </w:pPr>
            <w:r w:rsidRPr="0058047D">
              <w:rPr>
                <w:rFonts w:cs="Tahoma"/>
                <w:szCs w:val="18"/>
              </w:rPr>
              <w:t>x</w:t>
            </w:r>
          </w:p>
        </w:tc>
      </w:tr>
      <w:tr w:rsidR="00290BBF" w:rsidRPr="0058047D" w14:paraId="503868BF" w14:textId="77777777" w:rsidTr="007B2ED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12DAA4" w14:textId="77777777" w:rsidR="00B73A46" w:rsidRPr="0058047D" w:rsidRDefault="00B73A46" w:rsidP="00713A6C">
            <w:pPr>
              <w:ind w:firstLine="540"/>
              <w:rPr>
                <w:rFonts w:eastAsia="Calibri" w:cs="Tahoma"/>
                <w:szCs w:val="18"/>
              </w:rPr>
            </w:pPr>
            <w:r w:rsidRPr="0058047D">
              <w:rPr>
                <w:rFonts w:cs="Tahoma"/>
                <w:szCs w:val="18"/>
              </w:rPr>
              <w:t>Ultimate</w:t>
            </w:r>
          </w:p>
        </w:tc>
        <w:tc>
          <w:tcPr>
            <w:tcW w:w="10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5A8890" w14:textId="77777777" w:rsidR="00B73A46" w:rsidRPr="0058047D" w:rsidRDefault="00B73A46" w:rsidP="00713A6C">
            <w:pPr>
              <w:jc w:val="center"/>
              <w:rPr>
                <w:rFonts w:eastAsia="Calibri" w:cs="Tahoma"/>
                <w:szCs w:val="18"/>
              </w:rPr>
            </w:pPr>
            <w:r w:rsidRPr="0058047D">
              <w:rPr>
                <w:rFonts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35E4FD" w14:textId="77777777" w:rsidR="00B73A46" w:rsidRPr="0058047D" w:rsidRDefault="00B73A46" w:rsidP="00713A6C">
            <w:pPr>
              <w:jc w:val="center"/>
              <w:rPr>
                <w:rFonts w:eastAsia="Calibri" w:cs="Tahoma"/>
                <w:szCs w:val="18"/>
              </w:rPr>
            </w:pP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9E8E3C" w14:textId="77777777" w:rsidR="00B73A46" w:rsidRPr="0058047D" w:rsidRDefault="00B73A46" w:rsidP="00713A6C">
            <w:pPr>
              <w:jc w:val="center"/>
              <w:rPr>
                <w:rFonts w:eastAsia="Calibri" w:cs="Tahoma"/>
                <w:szCs w:val="18"/>
              </w:rPr>
            </w:pPr>
            <w:r w:rsidRPr="0058047D">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C362D8" w14:textId="77777777" w:rsidR="00B73A46" w:rsidRPr="0058047D" w:rsidRDefault="00B73A46" w:rsidP="00713A6C">
            <w:pPr>
              <w:jc w:val="center"/>
              <w:rPr>
                <w:rFonts w:eastAsia="Calibri" w:cs="Tahoma"/>
                <w:szCs w:val="18"/>
              </w:rPr>
            </w:pPr>
            <w:r w:rsidRPr="0058047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B3EA82" w14:textId="77777777" w:rsidR="00B73A46" w:rsidRPr="0058047D" w:rsidRDefault="00B73A46" w:rsidP="00713A6C">
            <w:pPr>
              <w:jc w:val="center"/>
              <w:rPr>
                <w:rFonts w:eastAsia="Calibri" w:cs="Tahoma"/>
                <w:szCs w:val="18"/>
              </w:rPr>
            </w:pPr>
            <w:r w:rsidRPr="0058047D">
              <w:rPr>
                <w:rFonts w:cs="Tahoma"/>
                <w:szCs w:val="18"/>
              </w:rPr>
              <w:t>x</w:t>
            </w:r>
          </w:p>
        </w:tc>
      </w:tr>
      <w:tr w:rsidR="00290BBF" w:rsidRPr="0058047D" w14:paraId="4560FAA7" w14:textId="77777777" w:rsidTr="007B2ED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F175A54" w14:textId="77777777" w:rsidR="00B73A46" w:rsidRPr="0058047D" w:rsidRDefault="00B73A46" w:rsidP="00713A6C">
            <w:pPr>
              <w:ind w:firstLine="540"/>
              <w:rPr>
                <w:rFonts w:eastAsia="Calibri" w:cs="Tahoma"/>
                <w:szCs w:val="18"/>
              </w:rPr>
            </w:pPr>
            <w:r w:rsidRPr="0058047D">
              <w:rPr>
                <w:rFonts w:cs="Tahoma"/>
                <w:szCs w:val="18"/>
              </w:rPr>
              <w:t>Home Premium</w:t>
            </w:r>
          </w:p>
        </w:tc>
        <w:tc>
          <w:tcPr>
            <w:tcW w:w="108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F1146B" w14:textId="77777777" w:rsidR="00B73A46" w:rsidRPr="0058047D" w:rsidRDefault="00B73A46" w:rsidP="00713A6C">
            <w:pPr>
              <w:jc w:val="center"/>
              <w:rPr>
                <w:rFonts w:eastAsia="Calibri"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A926CA" w14:textId="77777777" w:rsidR="00B73A46" w:rsidRPr="0058047D" w:rsidRDefault="00B73A46" w:rsidP="00713A6C">
            <w:pPr>
              <w:jc w:val="center"/>
              <w:rPr>
                <w:rFonts w:eastAsia="Calibri" w:cs="Tahoma"/>
                <w:szCs w:val="18"/>
              </w:rPr>
            </w:pP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841C5A8" w14:textId="77777777" w:rsidR="00B73A46" w:rsidRPr="0058047D" w:rsidRDefault="00B73A46" w:rsidP="00713A6C">
            <w:pPr>
              <w:jc w:val="center"/>
              <w:rPr>
                <w:rFonts w:eastAsia="Calibri" w:cs="Tahoma"/>
                <w:szCs w:val="18"/>
              </w:rPr>
            </w:pP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E48B9AA" w14:textId="77777777" w:rsidR="00B73A46" w:rsidRPr="0058047D"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077D5D" w14:textId="77777777" w:rsidR="00B73A46" w:rsidRPr="0058047D" w:rsidRDefault="00B73A46" w:rsidP="00713A6C">
            <w:pPr>
              <w:jc w:val="center"/>
              <w:rPr>
                <w:rFonts w:eastAsia="Calibri" w:cs="Tahoma"/>
                <w:szCs w:val="18"/>
              </w:rPr>
            </w:pPr>
            <w:r w:rsidRPr="0058047D">
              <w:rPr>
                <w:rFonts w:cs="Tahoma"/>
                <w:szCs w:val="18"/>
              </w:rPr>
              <w:t>x</w:t>
            </w:r>
          </w:p>
        </w:tc>
      </w:tr>
      <w:tr w:rsidR="00290BBF" w:rsidRPr="0058047D" w14:paraId="72CB1EF8" w14:textId="77777777" w:rsidTr="007B2ED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47CB667" w14:textId="77777777" w:rsidR="00B73A46" w:rsidRPr="0058047D" w:rsidRDefault="00B73A46" w:rsidP="00713A6C">
            <w:pPr>
              <w:ind w:firstLine="540"/>
              <w:rPr>
                <w:rFonts w:eastAsia="Calibri" w:cs="Tahoma"/>
                <w:szCs w:val="18"/>
              </w:rPr>
            </w:pPr>
            <w:r w:rsidRPr="0058047D">
              <w:rPr>
                <w:rFonts w:cs="Tahoma"/>
                <w:szCs w:val="18"/>
              </w:rPr>
              <w:t>Home Basic</w:t>
            </w:r>
          </w:p>
        </w:tc>
        <w:tc>
          <w:tcPr>
            <w:tcW w:w="10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6E702D" w14:textId="77777777" w:rsidR="00B73A46" w:rsidRPr="0058047D" w:rsidRDefault="00B73A46" w:rsidP="00713A6C">
            <w:pPr>
              <w:jc w:val="center"/>
              <w:rPr>
                <w:rFonts w:eastAsia="Calibri" w:cs="Tahoma"/>
                <w:szCs w:val="18"/>
              </w:rPr>
            </w:pPr>
            <w:r w:rsidRPr="0058047D">
              <w:rPr>
                <w:rFonts w:cs="Tahoma"/>
                <w:szCs w:val="18"/>
              </w:rPr>
              <w:t> </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D23142" w14:textId="77777777" w:rsidR="00B73A46" w:rsidRPr="0058047D" w:rsidRDefault="00B73A46" w:rsidP="00713A6C">
            <w:pPr>
              <w:jc w:val="center"/>
              <w:rPr>
                <w:rFonts w:eastAsia="Calibri" w:cs="Tahoma"/>
                <w:szCs w:val="18"/>
              </w:rPr>
            </w:pPr>
            <w:r w:rsidRPr="0058047D">
              <w:rPr>
                <w:rFonts w:cs="Tahoma"/>
                <w:szCs w:val="18"/>
              </w:rPr>
              <w:t> </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B892AF" w14:textId="77777777" w:rsidR="00B73A46" w:rsidRPr="0058047D" w:rsidRDefault="00B73A46" w:rsidP="00713A6C">
            <w:pPr>
              <w:jc w:val="center"/>
              <w:rPr>
                <w:rFonts w:eastAsia="Calibri" w:cs="Tahoma"/>
                <w:szCs w:val="18"/>
              </w:rPr>
            </w:pPr>
            <w:r w:rsidRPr="0058047D">
              <w:rPr>
                <w:rFonts w:cs="Tahoma"/>
                <w:szCs w:val="18"/>
              </w:rPr>
              <w:t> </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E01805" w14:textId="77777777" w:rsidR="00B73A46" w:rsidRPr="0058047D" w:rsidRDefault="00B73A46" w:rsidP="00713A6C">
            <w:pPr>
              <w:jc w:val="center"/>
              <w:rPr>
                <w:rFonts w:eastAsia="Calibri" w:cs="Tahoma"/>
                <w:szCs w:val="18"/>
              </w:rPr>
            </w:pPr>
            <w:r w:rsidRPr="0058047D">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06467F" w14:textId="77777777" w:rsidR="00B73A46" w:rsidRPr="0058047D" w:rsidRDefault="00B73A46" w:rsidP="00713A6C">
            <w:pPr>
              <w:jc w:val="center"/>
              <w:rPr>
                <w:rFonts w:eastAsia="Calibri" w:cs="Tahoma"/>
                <w:szCs w:val="18"/>
              </w:rPr>
            </w:pPr>
            <w:r w:rsidRPr="0058047D">
              <w:rPr>
                <w:rFonts w:cs="Tahoma"/>
                <w:szCs w:val="18"/>
              </w:rPr>
              <w:t>x</w:t>
            </w:r>
          </w:p>
        </w:tc>
      </w:tr>
      <w:tr w:rsidR="00290BBF" w:rsidRPr="0058047D" w14:paraId="4DE0F693" w14:textId="77777777" w:rsidTr="007B2ED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5701011" w14:textId="77777777" w:rsidR="00B73A46" w:rsidRPr="0058047D" w:rsidRDefault="00B73A46" w:rsidP="004C3222">
            <w:pPr>
              <w:ind w:left="522"/>
              <w:rPr>
                <w:rFonts w:eastAsia="Calibri" w:cs="Tahoma"/>
                <w:bCs/>
                <w:szCs w:val="18"/>
              </w:rPr>
            </w:pPr>
            <w:r w:rsidRPr="0058047D">
              <w:rPr>
                <w:rFonts w:cs="Tahoma"/>
                <w:szCs w:val="18"/>
              </w:rPr>
              <w:t>Starter Edition</w:t>
            </w:r>
          </w:p>
        </w:tc>
        <w:tc>
          <w:tcPr>
            <w:tcW w:w="10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2565AB" w14:textId="77777777" w:rsidR="00B73A46" w:rsidRPr="0058047D" w:rsidRDefault="00B73A46" w:rsidP="00713A6C">
            <w:pPr>
              <w:jc w:val="center"/>
              <w:rPr>
                <w:rFonts w:eastAsia="Calibri" w:cs="Tahoma"/>
                <w:szCs w:val="18"/>
              </w:rPr>
            </w:pPr>
            <w:r w:rsidRPr="0058047D">
              <w:rPr>
                <w:rFonts w:cs="Tahoma"/>
                <w:szCs w:val="18"/>
              </w:rPr>
              <w:t> </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BA36F3" w14:textId="77777777" w:rsidR="00B73A46" w:rsidRPr="0058047D" w:rsidRDefault="00B73A46" w:rsidP="00713A6C">
            <w:pPr>
              <w:jc w:val="center"/>
              <w:rPr>
                <w:rFonts w:eastAsia="Calibri" w:cs="Tahoma"/>
                <w:szCs w:val="18"/>
              </w:rPr>
            </w:pPr>
            <w:r w:rsidRPr="0058047D">
              <w:rPr>
                <w:rFonts w:cs="Tahoma"/>
                <w:szCs w:val="18"/>
              </w:rPr>
              <w:t> </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DADC59" w14:textId="77777777" w:rsidR="00B73A46" w:rsidRPr="0058047D" w:rsidRDefault="00B73A46" w:rsidP="00713A6C">
            <w:pPr>
              <w:jc w:val="center"/>
              <w:rPr>
                <w:rFonts w:eastAsia="Calibri" w:cs="Tahoma"/>
                <w:szCs w:val="18"/>
              </w:rPr>
            </w:pPr>
            <w:r w:rsidRPr="0058047D">
              <w:rPr>
                <w:rFonts w:cs="Tahoma"/>
                <w:szCs w:val="18"/>
              </w:rPr>
              <w:t> </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441487" w14:textId="77777777" w:rsidR="00B73A46" w:rsidRPr="0058047D" w:rsidRDefault="00B73A46" w:rsidP="00713A6C">
            <w:pPr>
              <w:jc w:val="center"/>
              <w:rPr>
                <w:rFonts w:eastAsia="Calibri" w:cs="Tahoma"/>
                <w:szCs w:val="18"/>
              </w:rPr>
            </w:pPr>
            <w:r w:rsidRPr="0058047D">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D462D8" w14:textId="77777777" w:rsidR="00B73A46" w:rsidRPr="0058047D" w:rsidRDefault="00B73A46" w:rsidP="00713A6C">
            <w:pPr>
              <w:jc w:val="center"/>
              <w:rPr>
                <w:rFonts w:eastAsia="Calibri" w:cs="Tahoma"/>
                <w:szCs w:val="18"/>
              </w:rPr>
            </w:pPr>
            <w:r w:rsidRPr="0058047D">
              <w:rPr>
                <w:rFonts w:cs="Tahoma"/>
                <w:szCs w:val="18"/>
              </w:rPr>
              <w:t>x</w:t>
            </w:r>
          </w:p>
        </w:tc>
      </w:tr>
      <w:tr w:rsidR="00290BBF" w:rsidRPr="0058047D" w14:paraId="517F7DF9" w14:textId="77777777" w:rsidTr="007B2ED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6033DA" w14:textId="77777777" w:rsidR="00B73A46" w:rsidRPr="0058047D" w:rsidRDefault="00B73A46" w:rsidP="00713A6C">
            <w:pPr>
              <w:rPr>
                <w:rFonts w:eastAsia="Calibri" w:cs="Tahoma"/>
                <w:b/>
                <w:szCs w:val="18"/>
              </w:rPr>
            </w:pPr>
            <w:r w:rsidRPr="0058047D">
              <w:rPr>
                <w:rFonts w:cs="Tahoma"/>
                <w:b/>
                <w:bCs/>
                <w:szCs w:val="18"/>
              </w:rPr>
              <w:t>Windows XP (32-bit o 64-bit)</w:t>
            </w:r>
          </w:p>
        </w:tc>
        <w:tc>
          <w:tcPr>
            <w:tcW w:w="10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B212DA" w14:textId="77777777" w:rsidR="00B73A46" w:rsidRPr="0058047D" w:rsidRDefault="00B73A46" w:rsidP="00713A6C">
            <w:pPr>
              <w:jc w:val="center"/>
              <w:rPr>
                <w:rFonts w:eastAsia="Calibri" w:cs="Tahoma"/>
                <w:szCs w:val="18"/>
              </w:rPr>
            </w:pPr>
            <w:r w:rsidRPr="0058047D">
              <w:rPr>
                <w:rFonts w:cs="Tahoma"/>
                <w:szCs w:val="18"/>
              </w:rPr>
              <w:t> </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8A1B2C" w14:textId="77777777" w:rsidR="00B73A46" w:rsidRPr="0058047D" w:rsidRDefault="00B73A46" w:rsidP="00713A6C">
            <w:pPr>
              <w:jc w:val="center"/>
              <w:rPr>
                <w:rFonts w:eastAsia="Calibri" w:cs="Tahoma"/>
                <w:szCs w:val="18"/>
              </w:rPr>
            </w:pPr>
            <w:r w:rsidRPr="0058047D">
              <w:rPr>
                <w:rFonts w:cs="Tahoma"/>
                <w:szCs w:val="18"/>
              </w:rPr>
              <w:t> </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4148FE" w14:textId="77777777" w:rsidR="00B73A46" w:rsidRPr="0058047D" w:rsidRDefault="00B73A46" w:rsidP="00713A6C">
            <w:pPr>
              <w:jc w:val="center"/>
              <w:rPr>
                <w:rFonts w:eastAsia="Calibri" w:cs="Tahoma"/>
                <w:szCs w:val="18"/>
              </w:rPr>
            </w:pPr>
            <w:r w:rsidRPr="0058047D">
              <w:rPr>
                <w:rFonts w:cs="Tahoma"/>
                <w:szCs w:val="18"/>
              </w:rPr>
              <w:t> </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9A0239" w14:textId="77777777" w:rsidR="00B73A46" w:rsidRPr="0058047D" w:rsidRDefault="00B73A46" w:rsidP="00713A6C">
            <w:pPr>
              <w:jc w:val="center"/>
              <w:rPr>
                <w:rFonts w:eastAsia="Calibri" w:cs="Tahoma"/>
                <w:szCs w:val="18"/>
              </w:rPr>
            </w:pPr>
            <w:r w:rsidRPr="0058047D">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544FA0" w14:textId="77777777" w:rsidR="00B73A46" w:rsidRPr="0058047D" w:rsidRDefault="00B73A46" w:rsidP="00713A6C">
            <w:pPr>
              <w:jc w:val="center"/>
              <w:rPr>
                <w:rFonts w:eastAsia="Calibri" w:cs="Tahoma"/>
                <w:szCs w:val="18"/>
              </w:rPr>
            </w:pPr>
            <w:r w:rsidRPr="0058047D">
              <w:rPr>
                <w:rFonts w:cs="Tahoma"/>
                <w:szCs w:val="18"/>
              </w:rPr>
              <w:t> </w:t>
            </w:r>
          </w:p>
        </w:tc>
      </w:tr>
      <w:tr w:rsidR="00290BBF" w:rsidRPr="0058047D" w14:paraId="3F3369F8" w14:textId="77777777" w:rsidTr="007B2ED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31092EC" w14:textId="77777777" w:rsidR="00B73A46" w:rsidRPr="0058047D" w:rsidRDefault="00B73A46" w:rsidP="00713A6C">
            <w:pPr>
              <w:ind w:left="564"/>
              <w:rPr>
                <w:rFonts w:eastAsia="Calibri" w:cs="Tahoma"/>
                <w:szCs w:val="18"/>
                <w:lang w:val="pt-BR"/>
              </w:rPr>
            </w:pPr>
            <w:r w:rsidRPr="0058047D">
              <w:rPr>
                <w:rFonts w:cs="Tahoma"/>
                <w:szCs w:val="18"/>
              </w:rPr>
              <w:t>Professional (N, K, KN, Blade)</w:t>
            </w:r>
          </w:p>
        </w:tc>
        <w:tc>
          <w:tcPr>
            <w:tcW w:w="10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E13CED" w14:textId="77777777" w:rsidR="00B73A46" w:rsidRPr="0058047D" w:rsidRDefault="00B73A46" w:rsidP="00713A6C">
            <w:pPr>
              <w:jc w:val="center"/>
              <w:rPr>
                <w:rFonts w:eastAsia="Calibri" w:cs="Tahoma"/>
                <w:szCs w:val="18"/>
              </w:rPr>
            </w:pPr>
            <w:r w:rsidRPr="0058047D">
              <w:rPr>
                <w:rFonts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EB3E17" w14:textId="77777777" w:rsidR="00B73A46" w:rsidRPr="0058047D" w:rsidRDefault="00B73A46" w:rsidP="00713A6C">
            <w:pPr>
              <w:jc w:val="center"/>
              <w:rPr>
                <w:rFonts w:eastAsia="Calibri" w:cs="Tahoma"/>
                <w:szCs w:val="18"/>
              </w:rPr>
            </w:pP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B9EB12" w14:textId="77777777" w:rsidR="00B73A46" w:rsidRPr="0058047D" w:rsidRDefault="00B73A46" w:rsidP="00713A6C">
            <w:pPr>
              <w:jc w:val="center"/>
              <w:rPr>
                <w:rFonts w:eastAsia="Calibri" w:cs="Tahoma"/>
                <w:szCs w:val="18"/>
              </w:rPr>
            </w:pPr>
            <w:r w:rsidRPr="0058047D">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7BEEE5" w14:textId="77777777" w:rsidR="00B73A46" w:rsidRPr="0058047D" w:rsidRDefault="00B73A46" w:rsidP="00713A6C">
            <w:pPr>
              <w:jc w:val="center"/>
              <w:rPr>
                <w:rFonts w:eastAsia="Calibri" w:cs="Tahoma"/>
                <w:szCs w:val="18"/>
              </w:rPr>
            </w:pPr>
            <w:r w:rsidRPr="0058047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88D3D4" w14:textId="77777777" w:rsidR="00B73A46" w:rsidRPr="0058047D" w:rsidRDefault="00B73A46" w:rsidP="00713A6C">
            <w:pPr>
              <w:jc w:val="center"/>
              <w:rPr>
                <w:rFonts w:eastAsia="Calibri" w:cs="Tahoma"/>
                <w:szCs w:val="18"/>
              </w:rPr>
            </w:pPr>
            <w:r w:rsidRPr="0058047D">
              <w:rPr>
                <w:rFonts w:cs="Tahoma"/>
                <w:szCs w:val="18"/>
              </w:rPr>
              <w:t>x</w:t>
            </w:r>
          </w:p>
        </w:tc>
      </w:tr>
      <w:tr w:rsidR="00290BBF" w:rsidRPr="0058047D" w14:paraId="2ACBD276" w14:textId="77777777" w:rsidTr="007B2ED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27535F9" w14:textId="77777777" w:rsidR="00B73A46" w:rsidRPr="0058047D" w:rsidRDefault="00B73A46" w:rsidP="00713A6C">
            <w:pPr>
              <w:ind w:left="564"/>
              <w:rPr>
                <w:rFonts w:eastAsia="Calibri" w:cs="Tahoma"/>
                <w:szCs w:val="18"/>
              </w:rPr>
            </w:pPr>
            <w:r w:rsidRPr="0058047D">
              <w:rPr>
                <w:rFonts w:cs="Tahoma"/>
                <w:szCs w:val="18"/>
              </w:rPr>
              <w:t>Tablet Edition (N, K, KN, Blade)</w:t>
            </w:r>
          </w:p>
        </w:tc>
        <w:tc>
          <w:tcPr>
            <w:tcW w:w="10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A453FE" w14:textId="77777777" w:rsidR="00B73A46" w:rsidRPr="0058047D" w:rsidRDefault="00B73A46" w:rsidP="00713A6C">
            <w:pPr>
              <w:jc w:val="center"/>
              <w:rPr>
                <w:rFonts w:eastAsia="Calibri" w:cs="Tahoma"/>
                <w:szCs w:val="18"/>
              </w:rPr>
            </w:pPr>
            <w:r w:rsidRPr="0058047D">
              <w:rPr>
                <w:rFonts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C371C81" w14:textId="77777777" w:rsidR="00B73A46" w:rsidRPr="0058047D" w:rsidRDefault="00B73A46" w:rsidP="00713A6C">
            <w:pPr>
              <w:jc w:val="center"/>
              <w:rPr>
                <w:rFonts w:eastAsia="Calibri" w:cs="Tahoma"/>
                <w:szCs w:val="18"/>
              </w:rPr>
            </w:pP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4D438E" w14:textId="77777777" w:rsidR="00B73A46" w:rsidRPr="0058047D" w:rsidRDefault="00B73A46" w:rsidP="00713A6C">
            <w:pPr>
              <w:jc w:val="center"/>
              <w:rPr>
                <w:rFonts w:eastAsia="Calibri" w:cs="Tahoma"/>
                <w:szCs w:val="18"/>
              </w:rPr>
            </w:pPr>
            <w:r w:rsidRPr="0058047D">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254505" w14:textId="77777777" w:rsidR="00B73A46" w:rsidRPr="0058047D" w:rsidRDefault="00B73A46" w:rsidP="00713A6C">
            <w:pPr>
              <w:jc w:val="center"/>
              <w:rPr>
                <w:rFonts w:eastAsia="Calibri" w:cs="Tahoma"/>
                <w:szCs w:val="18"/>
              </w:rPr>
            </w:pPr>
            <w:r w:rsidRPr="0058047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D5D7FC" w14:textId="77777777" w:rsidR="00B73A46" w:rsidRPr="0058047D" w:rsidRDefault="00B73A46" w:rsidP="00713A6C">
            <w:pPr>
              <w:jc w:val="center"/>
              <w:rPr>
                <w:rFonts w:eastAsia="Calibri" w:cs="Tahoma"/>
                <w:szCs w:val="18"/>
              </w:rPr>
            </w:pPr>
            <w:r w:rsidRPr="0058047D">
              <w:rPr>
                <w:rFonts w:cs="Tahoma"/>
                <w:szCs w:val="18"/>
              </w:rPr>
              <w:t>x</w:t>
            </w:r>
          </w:p>
        </w:tc>
      </w:tr>
      <w:tr w:rsidR="00290BBF" w:rsidRPr="0058047D" w14:paraId="3EA255CF" w14:textId="77777777" w:rsidTr="007B2ED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855D2A1" w14:textId="77777777" w:rsidR="00B73A46" w:rsidRPr="0058047D" w:rsidRDefault="00B73A46" w:rsidP="00713A6C">
            <w:pPr>
              <w:ind w:left="564"/>
              <w:rPr>
                <w:rFonts w:eastAsia="Calibri" w:cs="Tahoma"/>
                <w:szCs w:val="18"/>
              </w:rPr>
            </w:pPr>
            <w:r w:rsidRPr="0058047D">
              <w:rPr>
                <w:rFonts w:cs="Tahoma"/>
                <w:szCs w:val="18"/>
              </w:rPr>
              <w:t>XP Pro N</w:t>
            </w:r>
          </w:p>
        </w:tc>
        <w:tc>
          <w:tcPr>
            <w:tcW w:w="10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7E5B8E" w14:textId="77777777" w:rsidR="00B73A46" w:rsidRPr="0058047D" w:rsidRDefault="00B73A46" w:rsidP="00713A6C">
            <w:pPr>
              <w:jc w:val="center"/>
              <w:rPr>
                <w:rFonts w:eastAsia="Calibri" w:cs="Tahoma"/>
                <w:szCs w:val="18"/>
              </w:rPr>
            </w:pPr>
            <w:r w:rsidRPr="0058047D">
              <w:rPr>
                <w:rFonts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D8B3418" w14:textId="77777777" w:rsidR="00B73A46" w:rsidRPr="0058047D" w:rsidRDefault="00B73A46" w:rsidP="00713A6C">
            <w:pPr>
              <w:jc w:val="center"/>
              <w:rPr>
                <w:rFonts w:eastAsia="Calibri" w:cs="Tahoma"/>
                <w:szCs w:val="18"/>
              </w:rPr>
            </w:pP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A70F0" w14:textId="77777777" w:rsidR="00B73A46" w:rsidRPr="0058047D" w:rsidRDefault="00B73A46" w:rsidP="00713A6C">
            <w:pPr>
              <w:jc w:val="center"/>
              <w:rPr>
                <w:rFonts w:eastAsia="Calibri" w:cs="Tahoma"/>
                <w:szCs w:val="18"/>
              </w:rPr>
            </w:pPr>
            <w:r w:rsidRPr="0058047D">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AB502C" w14:textId="77777777" w:rsidR="00B73A46" w:rsidRPr="0058047D" w:rsidRDefault="00B73A46" w:rsidP="00713A6C">
            <w:pPr>
              <w:jc w:val="center"/>
              <w:rPr>
                <w:rFonts w:eastAsia="Calibri" w:cs="Tahoma"/>
                <w:szCs w:val="18"/>
              </w:rPr>
            </w:pPr>
            <w:r w:rsidRPr="0058047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2F8F89" w14:textId="77777777" w:rsidR="00B73A46" w:rsidRPr="0058047D" w:rsidRDefault="00B73A46" w:rsidP="00713A6C">
            <w:pPr>
              <w:jc w:val="center"/>
              <w:rPr>
                <w:rFonts w:eastAsia="Calibri" w:cs="Tahoma"/>
                <w:szCs w:val="18"/>
              </w:rPr>
            </w:pPr>
            <w:r w:rsidRPr="0058047D">
              <w:rPr>
                <w:rFonts w:cs="Tahoma"/>
                <w:szCs w:val="18"/>
              </w:rPr>
              <w:t>x</w:t>
            </w:r>
          </w:p>
        </w:tc>
      </w:tr>
      <w:tr w:rsidR="00290BBF" w:rsidRPr="0058047D" w14:paraId="1A45388C" w14:textId="77777777" w:rsidTr="007B2ED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4C2B446" w14:textId="77777777" w:rsidR="00B73A46" w:rsidRPr="0058047D" w:rsidRDefault="00B73A46" w:rsidP="00713A6C">
            <w:pPr>
              <w:ind w:left="564"/>
              <w:rPr>
                <w:rFonts w:eastAsia="Calibri" w:cs="Tahoma"/>
                <w:szCs w:val="18"/>
              </w:rPr>
            </w:pPr>
            <w:r w:rsidRPr="0058047D">
              <w:rPr>
                <w:rFonts w:cs="Tahoma"/>
                <w:szCs w:val="18"/>
              </w:rPr>
              <w:t>XP Pro Blade PC</w:t>
            </w:r>
          </w:p>
        </w:tc>
        <w:tc>
          <w:tcPr>
            <w:tcW w:w="10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8AC59B" w14:textId="77777777" w:rsidR="00B73A46" w:rsidRPr="0058047D" w:rsidRDefault="00B73A46" w:rsidP="00713A6C">
            <w:pPr>
              <w:jc w:val="center"/>
              <w:rPr>
                <w:rFonts w:eastAsia="Calibri" w:cs="Tahoma"/>
                <w:szCs w:val="18"/>
              </w:rPr>
            </w:pPr>
            <w:r w:rsidRPr="0058047D">
              <w:rPr>
                <w:rFonts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CBC5F8" w14:textId="77777777" w:rsidR="00B73A46" w:rsidRPr="0058047D" w:rsidRDefault="00B73A46" w:rsidP="00713A6C">
            <w:pPr>
              <w:jc w:val="center"/>
              <w:rPr>
                <w:rFonts w:eastAsia="Calibri" w:cs="Tahoma"/>
                <w:szCs w:val="18"/>
              </w:rPr>
            </w:pP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767BE7" w14:textId="77777777" w:rsidR="00B73A46" w:rsidRPr="0058047D" w:rsidRDefault="00B73A46" w:rsidP="00713A6C">
            <w:pPr>
              <w:jc w:val="center"/>
              <w:rPr>
                <w:rFonts w:eastAsia="Calibri" w:cs="Tahoma"/>
                <w:szCs w:val="18"/>
              </w:rPr>
            </w:pPr>
            <w:r w:rsidRPr="0058047D">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7C51B1" w14:textId="77777777" w:rsidR="00B73A46" w:rsidRPr="0058047D" w:rsidRDefault="00B73A46" w:rsidP="00713A6C">
            <w:pPr>
              <w:jc w:val="center"/>
              <w:rPr>
                <w:rFonts w:eastAsia="Calibri" w:cs="Tahoma"/>
                <w:szCs w:val="18"/>
              </w:rPr>
            </w:pPr>
            <w:r w:rsidRPr="0058047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56C80C" w14:textId="77777777" w:rsidR="00B73A46" w:rsidRPr="0058047D" w:rsidRDefault="00B73A46" w:rsidP="00713A6C">
            <w:pPr>
              <w:jc w:val="center"/>
              <w:rPr>
                <w:rFonts w:eastAsia="Calibri" w:cs="Tahoma"/>
                <w:szCs w:val="18"/>
              </w:rPr>
            </w:pPr>
            <w:r w:rsidRPr="0058047D">
              <w:rPr>
                <w:rFonts w:cs="Tahoma"/>
                <w:szCs w:val="18"/>
              </w:rPr>
              <w:t>x</w:t>
            </w:r>
          </w:p>
        </w:tc>
      </w:tr>
      <w:tr w:rsidR="00290BBF" w:rsidRPr="0058047D" w14:paraId="6FDB6E16" w14:textId="77777777" w:rsidTr="007B2ED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C971192" w14:textId="77777777" w:rsidR="00B73A46" w:rsidRPr="0058047D" w:rsidRDefault="00B73A46" w:rsidP="00713A6C">
            <w:pPr>
              <w:ind w:left="564"/>
              <w:rPr>
                <w:rFonts w:eastAsia="Calibri" w:cs="Tahoma"/>
                <w:szCs w:val="18"/>
              </w:rPr>
            </w:pPr>
            <w:r w:rsidRPr="0058047D">
              <w:rPr>
                <w:rFonts w:cs="Tahoma"/>
                <w:szCs w:val="18"/>
              </w:rPr>
              <w:t>Home e Starter Edition</w:t>
            </w:r>
          </w:p>
        </w:tc>
        <w:tc>
          <w:tcPr>
            <w:tcW w:w="10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8A0F83" w14:textId="77777777" w:rsidR="00B73A46" w:rsidRPr="0058047D" w:rsidRDefault="00B73A46" w:rsidP="00713A6C">
            <w:pPr>
              <w:jc w:val="center"/>
              <w:rPr>
                <w:rFonts w:eastAsia="Calibri" w:cs="Tahoma"/>
                <w:szCs w:val="18"/>
              </w:rPr>
            </w:pPr>
            <w:r w:rsidRPr="0058047D">
              <w:rPr>
                <w:rFonts w:cs="Tahoma"/>
                <w:szCs w:val="18"/>
              </w:rPr>
              <w:t> </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821000" w14:textId="77777777" w:rsidR="00B73A46" w:rsidRPr="0058047D" w:rsidRDefault="00B73A46" w:rsidP="00713A6C">
            <w:pPr>
              <w:rPr>
                <w:rFonts w:eastAsia="Times New Roman" w:cs="Tahoma"/>
                <w:szCs w:val="18"/>
              </w:rPr>
            </w:pP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AC89C6" w14:textId="77777777" w:rsidR="00B73A46" w:rsidRPr="0058047D" w:rsidRDefault="00B73A46" w:rsidP="00713A6C">
            <w:pPr>
              <w:jc w:val="center"/>
              <w:rPr>
                <w:rFonts w:eastAsia="Calibri" w:cs="Tahoma"/>
                <w:szCs w:val="18"/>
              </w:rPr>
            </w:pPr>
            <w:r w:rsidRPr="0058047D">
              <w:rPr>
                <w:rFonts w:cs="Tahoma"/>
                <w:szCs w:val="18"/>
              </w:rPr>
              <w:t> </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2E2620" w14:textId="77777777" w:rsidR="00B73A46" w:rsidRPr="0058047D" w:rsidRDefault="00B73A46" w:rsidP="00713A6C">
            <w:pPr>
              <w:jc w:val="center"/>
              <w:rPr>
                <w:rFonts w:eastAsia="Calibri" w:cs="Tahoma"/>
                <w:szCs w:val="18"/>
              </w:rPr>
            </w:pPr>
            <w:r w:rsidRPr="0058047D">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79987A" w14:textId="77777777" w:rsidR="00B73A46" w:rsidRPr="0058047D" w:rsidRDefault="00B73A46" w:rsidP="00713A6C">
            <w:pPr>
              <w:jc w:val="center"/>
              <w:rPr>
                <w:rFonts w:eastAsia="Calibri" w:cs="Tahoma"/>
                <w:szCs w:val="18"/>
              </w:rPr>
            </w:pPr>
            <w:r w:rsidRPr="0058047D">
              <w:rPr>
                <w:rFonts w:cs="Tahoma"/>
                <w:szCs w:val="18"/>
              </w:rPr>
              <w:t>x</w:t>
            </w:r>
          </w:p>
        </w:tc>
      </w:tr>
      <w:tr w:rsidR="00290BBF" w:rsidRPr="0058047D" w14:paraId="5B8AE763" w14:textId="77777777" w:rsidTr="007B2ED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01B462A" w14:textId="77777777" w:rsidR="00B73A46" w:rsidRPr="0058047D" w:rsidRDefault="00B73A46" w:rsidP="00713A6C">
            <w:pPr>
              <w:rPr>
                <w:rFonts w:eastAsia="Calibri" w:cs="Tahoma"/>
                <w:b/>
                <w:szCs w:val="18"/>
              </w:rPr>
            </w:pPr>
            <w:r w:rsidRPr="0058047D">
              <w:rPr>
                <w:rFonts w:cs="Tahoma"/>
                <w:b/>
                <w:bCs/>
                <w:szCs w:val="18"/>
              </w:rPr>
              <w:t>Windows 2000 Professional</w:t>
            </w:r>
          </w:p>
        </w:tc>
        <w:tc>
          <w:tcPr>
            <w:tcW w:w="10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5FA2FB" w14:textId="77777777" w:rsidR="00B73A46" w:rsidRPr="0058047D" w:rsidRDefault="00B73A46" w:rsidP="00713A6C">
            <w:pPr>
              <w:jc w:val="center"/>
              <w:rPr>
                <w:rFonts w:eastAsia="Calibri" w:cs="Tahoma"/>
                <w:szCs w:val="18"/>
              </w:rPr>
            </w:pPr>
            <w:r w:rsidRPr="0058047D">
              <w:rPr>
                <w:rFonts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FC5C57" w14:textId="77777777" w:rsidR="00B73A46" w:rsidRPr="0058047D" w:rsidRDefault="00B73A46" w:rsidP="00713A6C">
            <w:pPr>
              <w:rPr>
                <w:rFonts w:eastAsia="Times New Roman" w:cs="Tahoma"/>
                <w:szCs w:val="18"/>
              </w:rPr>
            </w:pP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6F3153" w14:textId="77777777" w:rsidR="00B73A46" w:rsidRPr="0058047D" w:rsidRDefault="00B73A46" w:rsidP="00713A6C">
            <w:pPr>
              <w:jc w:val="center"/>
              <w:rPr>
                <w:rFonts w:eastAsia="Calibri" w:cs="Tahoma"/>
                <w:szCs w:val="18"/>
              </w:rPr>
            </w:pPr>
            <w:r w:rsidRPr="0058047D">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C40E13" w14:textId="77777777" w:rsidR="00B73A46" w:rsidRPr="0058047D" w:rsidRDefault="00B73A46" w:rsidP="00713A6C">
            <w:pPr>
              <w:jc w:val="center"/>
              <w:rPr>
                <w:rFonts w:eastAsia="Calibri" w:cs="Tahoma"/>
                <w:szCs w:val="18"/>
              </w:rPr>
            </w:pPr>
            <w:r w:rsidRPr="0058047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5CCF56" w14:textId="77777777" w:rsidR="00B73A46" w:rsidRPr="0058047D" w:rsidRDefault="00B73A46" w:rsidP="00713A6C">
            <w:pPr>
              <w:jc w:val="center"/>
              <w:rPr>
                <w:rFonts w:eastAsia="Calibri" w:cs="Tahoma"/>
                <w:szCs w:val="18"/>
              </w:rPr>
            </w:pPr>
            <w:r w:rsidRPr="0058047D">
              <w:rPr>
                <w:rFonts w:cs="Tahoma"/>
                <w:szCs w:val="18"/>
              </w:rPr>
              <w:t>x</w:t>
            </w:r>
          </w:p>
        </w:tc>
      </w:tr>
      <w:tr w:rsidR="00290BBF" w:rsidRPr="0058047D" w14:paraId="2772D66B" w14:textId="77777777" w:rsidTr="007B2ED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ADBB64D" w14:textId="77777777" w:rsidR="00B73A46" w:rsidRPr="0058047D" w:rsidRDefault="00B73A46" w:rsidP="00713A6C">
            <w:pPr>
              <w:rPr>
                <w:rFonts w:eastAsia="Calibri" w:cs="Tahoma"/>
                <w:b/>
                <w:bCs/>
                <w:szCs w:val="18"/>
              </w:rPr>
            </w:pPr>
            <w:r w:rsidRPr="0058047D">
              <w:rPr>
                <w:rFonts w:cs="Tahoma"/>
                <w:b/>
                <w:bCs/>
                <w:szCs w:val="18"/>
              </w:rPr>
              <w:t>Windows NT Workstation 4.0</w:t>
            </w:r>
          </w:p>
        </w:tc>
        <w:tc>
          <w:tcPr>
            <w:tcW w:w="10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ED930B" w14:textId="77777777" w:rsidR="00B73A46" w:rsidRPr="0058047D" w:rsidRDefault="00B73A46" w:rsidP="00713A6C">
            <w:pPr>
              <w:jc w:val="center"/>
              <w:rPr>
                <w:rFonts w:eastAsia="Calibri" w:cs="Tahoma"/>
                <w:szCs w:val="18"/>
              </w:rPr>
            </w:pPr>
            <w:r w:rsidRPr="0058047D">
              <w:rPr>
                <w:rFonts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2EFC91" w14:textId="77777777" w:rsidR="00B73A46" w:rsidRPr="0058047D" w:rsidRDefault="00B73A46" w:rsidP="00713A6C">
            <w:pPr>
              <w:rPr>
                <w:rFonts w:eastAsia="Times New Roman" w:cs="Tahoma"/>
                <w:szCs w:val="18"/>
              </w:rPr>
            </w:pP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9C0BE9" w14:textId="77777777" w:rsidR="00B73A46" w:rsidRPr="0058047D" w:rsidRDefault="00B73A46" w:rsidP="00713A6C">
            <w:pPr>
              <w:jc w:val="center"/>
              <w:rPr>
                <w:rFonts w:eastAsia="Calibri" w:cs="Tahoma"/>
                <w:szCs w:val="18"/>
              </w:rPr>
            </w:pPr>
            <w:r w:rsidRPr="0058047D">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81BD30" w14:textId="77777777" w:rsidR="00B73A46" w:rsidRPr="0058047D" w:rsidRDefault="00B73A46" w:rsidP="00713A6C">
            <w:pPr>
              <w:jc w:val="center"/>
              <w:rPr>
                <w:rFonts w:eastAsia="Calibri" w:cs="Tahoma"/>
                <w:szCs w:val="18"/>
              </w:rPr>
            </w:pPr>
            <w:r w:rsidRPr="0058047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43C895" w14:textId="77777777" w:rsidR="00B73A46" w:rsidRPr="0058047D" w:rsidRDefault="00B73A46" w:rsidP="00713A6C">
            <w:pPr>
              <w:jc w:val="center"/>
              <w:rPr>
                <w:rFonts w:eastAsia="Calibri" w:cs="Tahoma"/>
                <w:szCs w:val="18"/>
              </w:rPr>
            </w:pPr>
            <w:r w:rsidRPr="0058047D">
              <w:rPr>
                <w:rFonts w:cs="Tahoma"/>
                <w:szCs w:val="18"/>
              </w:rPr>
              <w:t>x</w:t>
            </w:r>
          </w:p>
        </w:tc>
      </w:tr>
      <w:tr w:rsidR="00290BBF" w:rsidRPr="0058047D" w14:paraId="036227A9" w14:textId="77777777" w:rsidTr="007B2ED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B989BFC" w14:textId="77777777" w:rsidR="00B73A46" w:rsidRPr="003F471F" w:rsidRDefault="00B73A46" w:rsidP="00713A6C">
            <w:pPr>
              <w:rPr>
                <w:rFonts w:eastAsia="Calibri" w:cs="Tahoma"/>
                <w:b/>
                <w:bCs/>
                <w:szCs w:val="18"/>
                <w:lang w:val="it-IT"/>
              </w:rPr>
            </w:pPr>
            <w:r w:rsidRPr="003F471F">
              <w:rPr>
                <w:rFonts w:cs="Tahoma"/>
                <w:b/>
                <w:bCs/>
                <w:szCs w:val="18"/>
                <w:lang w:val="it-IT"/>
              </w:rPr>
              <w:t>Windows 98 (inclusa la seconda versione)</w:t>
            </w:r>
          </w:p>
        </w:tc>
        <w:tc>
          <w:tcPr>
            <w:tcW w:w="10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A51FF0" w14:textId="77777777" w:rsidR="00B73A46" w:rsidRPr="0058047D" w:rsidRDefault="00B73A46" w:rsidP="00713A6C">
            <w:pPr>
              <w:jc w:val="center"/>
              <w:rPr>
                <w:rFonts w:eastAsia="Calibri" w:cs="Tahoma"/>
                <w:szCs w:val="18"/>
              </w:rPr>
            </w:pPr>
            <w:r w:rsidRPr="0058047D">
              <w:rPr>
                <w:rFonts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C70ABC" w14:textId="77777777" w:rsidR="00B73A46" w:rsidRPr="0058047D" w:rsidRDefault="00B73A46" w:rsidP="00713A6C">
            <w:pPr>
              <w:rPr>
                <w:rFonts w:eastAsia="Times New Roman" w:cs="Tahoma"/>
                <w:szCs w:val="18"/>
              </w:rPr>
            </w:pP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F3B241" w14:textId="77777777" w:rsidR="00B73A46" w:rsidRPr="0058047D" w:rsidRDefault="00B73A46" w:rsidP="00713A6C">
            <w:pPr>
              <w:jc w:val="center"/>
              <w:rPr>
                <w:rFonts w:eastAsia="Calibri" w:cs="Tahoma"/>
                <w:szCs w:val="18"/>
              </w:rPr>
            </w:pPr>
            <w:r w:rsidRPr="0058047D">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0A26EE" w14:textId="77777777" w:rsidR="00B73A46" w:rsidRPr="0058047D" w:rsidRDefault="00B73A46" w:rsidP="00713A6C">
            <w:pPr>
              <w:jc w:val="center"/>
              <w:rPr>
                <w:rFonts w:eastAsia="Calibri" w:cs="Tahoma"/>
                <w:szCs w:val="18"/>
              </w:rPr>
            </w:pPr>
            <w:r w:rsidRPr="0058047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843E99" w14:textId="77777777" w:rsidR="00B73A46" w:rsidRPr="0058047D" w:rsidRDefault="00B73A46" w:rsidP="00713A6C">
            <w:pPr>
              <w:jc w:val="center"/>
              <w:rPr>
                <w:rFonts w:eastAsia="Calibri" w:cs="Tahoma"/>
                <w:szCs w:val="18"/>
              </w:rPr>
            </w:pPr>
            <w:r w:rsidRPr="0058047D">
              <w:rPr>
                <w:rFonts w:cs="Tahoma"/>
                <w:szCs w:val="18"/>
              </w:rPr>
              <w:t>x</w:t>
            </w:r>
          </w:p>
        </w:tc>
      </w:tr>
      <w:tr w:rsidR="00290BBF" w:rsidRPr="0058047D" w14:paraId="32086A06" w14:textId="77777777" w:rsidTr="007B2ED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7983B16" w14:textId="77777777" w:rsidR="00B73A46" w:rsidRPr="0058047D" w:rsidRDefault="00B73A46" w:rsidP="00713A6C">
            <w:pPr>
              <w:rPr>
                <w:rFonts w:eastAsia="Calibri" w:cs="Tahoma"/>
                <w:b/>
                <w:bCs/>
                <w:szCs w:val="18"/>
              </w:rPr>
            </w:pPr>
            <w:r w:rsidRPr="0058047D">
              <w:rPr>
                <w:rFonts w:cs="Tahoma"/>
                <w:b/>
                <w:bCs/>
                <w:szCs w:val="18"/>
              </w:rPr>
              <w:t>Apple Macintosh</w:t>
            </w:r>
          </w:p>
        </w:tc>
        <w:tc>
          <w:tcPr>
            <w:tcW w:w="10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1F99C7" w14:textId="77777777" w:rsidR="00B73A46" w:rsidRPr="0058047D" w:rsidRDefault="00B73A46" w:rsidP="00713A6C">
            <w:pPr>
              <w:jc w:val="center"/>
              <w:rPr>
                <w:rFonts w:eastAsia="Calibri" w:cs="Tahoma"/>
                <w:szCs w:val="18"/>
              </w:rPr>
            </w:pPr>
            <w:r w:rsidRPr="0058047D">
              <w:rPr>
                <w:rFonts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5B3885" w14:textId="77777777" w:rsidR="00B73A46" w:rsidRPr="0058047D" w:rsidRDefault="00B73A46" w:rsidP="00713A6C">
            <w:pPr>
              <w:rPr>
                <w:rFonts w:eastAsia="Times New Roman" w:cs="Tahoma"/>
                <w:szCs w:val="18"/>
              </w:rPr>
            </w:pP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93F5E5" w14:textId="77777777" w:rsidR="00B73A46" w:rsidRPr="0058047D" w:rsidRDefault="00B73A46" w:rsidP="00713A6C">
            <w:pPr>
              <w:jc w:val="center"/>
              <w:rPr>
                <w:rFonts w:eastAsia="Calibri" w:cs="Tahoma"/>
                <w:szCs w:val="18"/>
              </w:rPr>
            </w:pPr>
            <w:r w:rsidRPr="0058047D">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4D3925" w14:textId="77777777" w:rsidR="00B73A46" w:rsidRPr="0058047D" w:rsidRDefault="00B73A46" w:rsidP="00713A6C">
            <w:pPr>
              <w:jc w:val="center"/>
              <w:rPr>
                <w:rFonts w:eastAsia="Calibri" w:cs="Tahoma"/>
                <w:szCs w:val="18"/>
              </w:rPr>
            </w:pPr>
            <w:r w:rsidRPr="0058047D">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9609F2" w14:textId="77777777" w:rsidR="00B73A46" w:rsidRPr="0058047D" w:rsidRDefault="00B73A46" w:rsidP="00713A6C">
            <w:pPr>
              <w:jc w:val="center"/>
              <w:rPr>
                <w:rFonts w:eastAsia="Calibri" w:cs="Tahoma"/>
                <w:szCs w:val="18"/>
              </w:rPr>
            </w:pPr>
            <w:r w:rsidRPr="0058047D">
              <w:rPr>
                <w:rFonts w:cs="Tahoma"/>
                <w:szCs w:val="18"/>
              </w:rPr>
              <w:t>x</w:t>
            </w:r>
          </w:p>
        </w:tc>
      </w:tr>
    </w:tbl>
    <w:p w14:paraId="07D82B3F" w14:textId="77777777" w:rsidR="00B73A46" w:rsidRPr="007B2EDE" w:rsidRDefault="00B73A46" w:rsidP="002A6416">
      <w:pPr>
        <w:ind w:left="770"/>
        <w:rPr>
          <w:sz w:val="14"/>
          <w:szCs w:val="14"/>
        </w:rPr>
      </w:pPr>
      <w:r w:rsidRPr="0058047D">
        <w:rPr>
          <w:rFonts w:cs="Tahoma"/>
          <w:bCs/>
          <w:i/>
          <w:iCs/>
          <w:sz w:val="14"/>
          <w:szCs w:val="14"/>
          <w:u w:val="single"/>
        </w:rPr>
        <w:t>Nota</w:t>
      </w:r>
      <w:r w:rsidRPr="0058047D">
        <w:rPr>
          <w:rFonts w:cs="Tahoma"/>
          <w:i/>
          <w:iCs/>
          <w:sz w:val="14"/>
          <w:szCs w:val="14"/>
        </w:rPr>
        <w:t xml:space="preserve">: </w:t>
      </w:r>
      <w:r w:rsidRPr="0058047D">
        <w:rPr>
          <w:rFonts w:cs="Tahoma"/>
          <w:i/>
          <w:iCs/>
          <w:sz w:val="14"/>
          <w:szCs w:val="14"/>
        </w:rPr>
        <w:br/>
        <w:t>Academic include i Programmi Contratto Campus e School, Open Value Subscription - Education Solutions, Select - Academic e Open - Academic</w:t>
      </w:r>
      <w:r w:rsidRPr="0058047D">
        <w:rPr>
          <w:rFonts w:cs="Tahoma"/>
          <w:i/>
          <w:iCs/>
          <w:sz w:val="14"/>
          <w:szCs w:val="14"/>
        </w:rPr>
        <w:br/>
        <w:t>EA = Contratto Enterprise</w:t>
      </w:r>
      <w:r w:rsidRPr="0058047D">
        <w:rPr>
          <w:rFonts w:cs="Tahoma"/>
          <w:i/>
          <w:iCs/>
          <w:sz w:val="14"/>
          <w:szCs w:val="14"/>
        </w:rPr>
        <w:br/>
      </w:r>
      <w:r w:rsidRPr="007B2EDE">
        <w:rPr>
          <w:rFonts w:cs="Tahoma"/>
          <w:i/>
          <w:iCs/>
          <w:sz w:val="14"/>
          <w:szCs w:val="14"/>
        </w:rPr>
        <w:t>OV-CW = Open Value - Opzione a livello aziendale</w:t>
      </w:r>
    </w:p>
    <w:p w14:paraId="0AFFB2CF" w14:textId="77777777" w:rsidR="00B73A46" w:rsidRPr="003F471F" w:rsidRDefault="00B73A46" w:rsidP="002A6416">
      <w:pPr>
        <w:ind w:left="770"/>
        <w:rPr>
          <w:sz w:val="14"/>
          <w:szCs w:val="14"/>
          <w:lang w:val="it-IT"/>
        </w:rPr>
      </w:pPr>
      <w:r w:rsidRPr="003F471F">
        <w:rPr>
          <w:rFonts w:cs="Tahoma"/>
          <w:i/>
          <w:iCs/>
          <w:sz w:val="14"/>
          <w:szCs w:val="14"/>
          <w:lang w:val="it-IT"/>
        </w:rPr>
        <w:t>“N”, “K”</w:t>
      </w:r>
      <w:r w:rsidR="001C4212" w:rsidRPr="003F471F">
        <w:rPr>
          <w:rFonts w:cs="Tahoma"/>
          <w:i/>
          <w:iCs/>
          <w:sz w:val="14"/>
          <w:szCs w:val="14"/>
          <w:lang w:val="it-IT"/>
        </w:rPr>
        <w:t>‘</w:t>
      </w:r>
      <w:r w:rsidRPr="003F471F">
        <w:rPr>
          <w:rFonts w:cs="Tahoma"/>
          <w:i/>
          <w:iCs/>
          <w:sz w:val="14"/>
          <w:szCs w:val="14"/>
          <w:lang w:val="it-IT"/>
        </w:rPr>
        <w:t xml:space="preserve"> e “KN” sono edizioni specializzate disponibili su alcuni mercati.</w:t>
      </w:r>
    </w:p>
    <w:p w14:paraId="0E7B550B" w14:textId="77777777" w:rsidR="00BB756B" w:rsidRPr="003F471F" w:rsidRDefault="00BB756B" w:rsidP="002A6416">
      <w:pPr>
        <w:ind w:left="770"/>
        <w:rPr>
          <w:sz w:val="14"/>
          <w:szCs w:val="14"/>
          <w:lang w:val="it-IT"/>
        </w:rPr>
      </w:pPr>
      <w:r w:rsidRPr="003F471F">
        <w:rPr>
          <w:rFonts w:cs="Tahoma"/>
          <w:i/>
          <w:iCs/>
          <w:sz w:val="14"/>
          <w:szCs w:val="14"/>
          <w:lang w:val="it-IT"/>
        </w:rPr>
        <w:t>* Si applica solo a Windows 8.1.</w:t>
      </w:r>
    </w:p>
    <w:p w14:paraId="2C7A300F" w14:textId="77777777" w:rsidR="002512D3" w:rsidRPr="003F471F" w:rsidRDefault="002512D3">
      <w:pPr>
        <w:rPr>
          <w:lang w:val="it-IT"/>
        </w:rPr>
      </w:pPr>
    </w:p>
    <w:p w14:paraId="6692779A" w14:textId="77777777" w:rsidR="00BB756B" w:rsidRPr="003F471F" w:rsidRDefault="00BB756B" w:rsidP="00BB756B">
      <w:pPr>
        <w:pStyle w:val="FootnoteBulletLevel1"/>
        <w:tabs>
          <w:tab w:val="clear" w:pos="900"/>
        </w:tabs>
        <w:spacing w:before="0" w:after="0"/>
        <w:ind w:left="720" w:firstLine="0"/>
        <w:rPr>
          <w:lang w:val="it-IT"/>
        </w:rPr>
      </w:pPr>
      <w:r w:rsidRPr="003F471F">
        <w:rPr>
          <w:rFonts w:ascii="Tahoma" w:hAnsi="Tahoma" w:cs="Tahoma"/>
          <w:sz w:val="18"/>
          <w:szCs w:val="18"/>
          <w:lang w:val="it-IT"/>
        </w:rPr>
        <w:t>I sistemi operativi non inclusi nel precedente elenco non sono OS qualificanti, ad esempio:</w:t>
      </w:r>
    </w:p>
    <w:p w14:paraId="1C034C14" w14:textId="77777777" w:rsidR="00BB756B" w:rsidRPr="003F471F" w:rsidRDefault="00BB756B" w:rsidP="00BB756B">
      <w:pPr>
        <w:pStyle w:val="FootnoteBulletLevel1"/>
        <w:tabs>
          <w:tab w:val="clear" w:pos="900"/>
        </w:tabs>
        <w:spacing w:before="0" w:after="0"/>
        <w:ind w:left="720" w:firstLine="0"/>
        <w:rPr>
          <w:lang w:val="it-IT"/>
        </w:rPr>
      </w:pPr>
    </w:p>
    <w:p w14:paraId="458A5BC7" w14:textId="77777777" w:rsidR="00BB756B" w:rsidRPr="003F471F" w:rsidRDefault="00BB756B" w:rsidP="00BB756B">
      <w:pPr>
        <w:pStyle w:val="FootnoteBulletLevel2"/>
        <w:numPr>
          <w:ilvl w:val="0"/>
          <w:numId w:val="34"/>
        </w:numPr>
        <w:adjustRightInd/>
        <w:spacing w:before="0" w:after="60"/>
        <w:ind w:left="1440"/>
        <w:textAlignment w:val="auto"/>
        <w:rPr>
          <w:lang w:val="it-IT"/>
        </w:rPr>
      </w:pPr>
      <w:r w:rsidRPr="003F471F">
        <w:rPr>
          <w:rFonts w:ascii="Tahoma" w:hAnsi="Tahoma" w:cs="Tahoma"/>
          <w:sz w:val="18"/>
          <w:szCs w:val="18"/>
          <w:lang w:val="it-IT"/>
        </w:rPr>
        <w:t>I Sistemi Incorporati (ad esempio, Windows Embedded 8.1 Industry Pro, Windows XP Embedded) non si qualificano per gli Aggiornamenti per Windows 8.1 Pro.</w:t>
      </w:r>
    </w:p>
    <w:p w14:paraId="67EFCA31" w14:textId="77777777" w:rsidR="00BB756B" w:rsidRPr="003F471F" w:rsidRDefault="00BB756B" w:rsidP="00BB756B">
      <w:pPr>
        <w:pStyle w:val="FootnoteBulletLevel2"/>
        <w:numPr>
          <w:ilvl w:val="0"/>
          <w:numId w:val="34"/>
        </w:numPr>
        <w:adjustRightInd/>
        <w:spacing w:before="0" w:after="60"/>
        <w:ind w:left="1440"/>
        <w:textAlignment w:val="auto"/>
        <w:rPr>
          <w:lang w:val="it-IT"/>
        </w:rPr>
      </w:pPr>
      <w:r w:rsidRPr="003F471F">
        <w:rPr>
          <w:rFonts w:ascii="Tahoma" w:hAnsi="Tahoma" w:cs="Tahoma"/>
          <w:sz w:val="18"/>
          <w:szCs w:val="18"/>
          <w:lang w:val="it-IT"/>
        </w:rPr>
        <w:t>Linux o OS/2 non si qualifica per gli Aggiornamenti per Windows 8.1 Pro.</w:t>
      </w:r>
    </w:p>
    <w:p w14:paraId="752C9F07" w14:textId="77777777" w:rsidR="00BB756B" w:rsidRPr="003F471F" w:rsidRDefault="00BB756B" w:rsidP="00BB756B">
      <w:pPr>
        <w:pStyle w:val="FootnoteBulletLevel2"/>
        <w:numPr>
          <w:ilvl w:val="0"/>
          <w:numId w:val="34"/>
        </w:numPr>
        <w:adjustRightInd/>
        <w:spacing w:before="0" w:after="60"/>
        <w:ind w:left="1440"/>
        <w:textAlignment w:val="auto"/>
        <w:rPr>
          <w:lang w:val="it-IT"/>
        </w:rPr>
      </w:pPr>
      <w:r w:rsidRPr="003F471F">
        <w:rPr>
          <w:rFonts w:ascii="Tahoma" w:hAnsi="Tahoma" w:cs="Tahoma"/>
          <w:sz w:val="18"/>
          <w:szCs w:val="18"/>
          <w:lang w:val="it-IT"/>
        </w:rPr>
        <w:t>La Licenza CAL per i Servizi Terminal di Windows non si qualifica per gli Aggiornamenti per Windows 8.1 Pro.</w:t>
      </w:r>
    </w:p>
    <w:p w14:paraId="4BDDB898" w14:textId="77777777" w:rsidR="00BB756B" w:rsidRPr="003F471F" w:rsidRDefault="00BB756B" w:rsidP="00B24C9D">
      <w:pPr>
        <w:ind w:left="720"/>
        <w:rPr>
          <w:lang w:val="it-IT"/>
        </w:rPr>
      </w:pPr>
    </w:p>
    <w:p w14:paraId="13FF6C2C" w14:textId="77777777" w:rsidR="00B73A46" w:rsidRPr="003F471F" w:rsidRDefault="00B73A46" w:rsidP="00B24C9D">
      <w:pPr>
        <w:ind w:left="720"/>
        <w:rPr>
          <w:lang w:val="it-IT"/>
        </w:rPr>
      </w:pPr>
      <w:r w:rsidRPr="003F471F">
        <w:rPr>
          <w:rFonts w:cs="Tahoma"/>
          <w:szCs w:val="18"/>
          <w:lang w:val="it-IT"/>
        </w:rPr>
        <w:t>I seguenti requisiti sono applicabili al re-imaging di Windows:</w:t>
      </w:r>
    </w:p>
    <w:p w14:paraId="48E59C5D" w14:textId="77777777" w:rsidR="00B73A46" w:rsidRPr="003F471F" w:rsidRDefault="00B73A46" w:rsidP="00B24C9D">
      <w:pPr>
        <w:ind w:left="720"/>
        <w:rPr>
          <w:lang w:val="it-IT"/>
        </w:rPr>
      </w:pPr>
    </w:p>
    <w:p w14:paraId="2BAC8775" w14:textId="77777777" w:rsidR="00912205" w:rsidRPr="003F471F" w:rsidRDefault="00912205" w:rsidP="00346F4B">
      <w:pPr>
        <w:pStyle w:val="ColorfulList-Accent11"/>
        <w:numPr>
          <w:ilvl w:val="0"/>
          <w:numId w:val="33"/>
        </w:numPr>
        <w:ind w:left="1440"/>
        <w:rPr>
          <w:rFonts w:ascii="Tahoma" w:hAnsi="Tahoma" w:cs="Tahoma"/>
          <w:sz w:val="18"/>
          <w:szCs w:val="18"/>
          <w:lang w:val="it-IT"/>
        </w:rPr>
      </w:pPr>
      <w:r w:rsidRPr="003F471F">
        <w:rPr>
          <w:rFonts w:ascii="Tahoma" w:hAnsi="Tahoma" w:cs="Tahoma"/>
          <w:sz w:val="18"/>
          <w:szCs w:val="18"/>
          <w:lang w:val="it-IT"/>
        </w:rPr>
        <w:t>Qualora un terzo effettui il re-imaging di prodotti Windows Embedded su un PC della società, la società dovrà prima di tutto fornire a tale terzo una documentazione scritta con la quale dimostri di</w:t>
      </w:r>
      <w:r w:rsidR="007B2EDE" w:rsidRPr="003F471F">
        <w:rPr>
          <w:rFonts w:ascii="Tahoma" w:hAnsi="Tahoma" w:cs="Tahoma"/>
          <w:sz w:val="18"/>
          <w:szCs w:val="18"/>
          <w:lang w:val="it-IT"/>
        </w:rPr>
        <w:t> </w:t>
      </w:r>
      <w:r w:rsidRPr="003F471F">
        <w:rPr>
          <w:rFonts w:ascii="Tahoma" w:hAnsi="Tahoma" w:cs="Tahoma"/>
          <w:sz w:val="18"/>
          <w:szCs w:val="18"/>
          <w:lang w:val="it-IT"/>
        </w:rPr>
        <w:t>essere in possesso delle licenze per il software che il terzo installerà.</w:t>
      </w:r>
      <w:r w:rsidR="00E34ED3" w:rsidRPr="003F471F">
        <w:rPr>
          <w:rFonts w:ascii="Tahoma" w:hAnsi="Tahoma" w:cs="Tahoma"/>
          <w:sz w:val="18"/>
          <w:szCs w:val="18"/>
          <w:lang w:val="it-IT"/>
        </w:rPr>
        <w:t xml:space="preserve"> </w:t>
      </w:r>
      <w:r w:rsidRPr="003F471F">
        <w:rPr>
          <w:rFonts w:ascii="Tahoma" w:hAnsi="Tahoma" w:cs="Tahoma"/>
          <w:sz w:val="18"/>
          <w:szCs w:val="18"/>
          <w:lang w:val="it-IT"/>
        </w:rPr>
        <w:t>Ad esempio, può essere fornita come documentazione una copia del modulo per la sottoscrizione dal Contratto Multilicenza Microsoft applicabile al software di aggiornamento del sistema operativo Microsoft che viene installato o la “Verifica della Licenza Microsoft della Società per i Servizi di Installazione degli Aggiornamenti per il Software del Sistema Operativo Microsoft Windows da Parte di Terzi” (disponibile all</w:t>
      </w:r>
      <w:r w:rsidR="001C4212" w:rsidRPr="003F471F">
        <w:rPr>
          <w:rFonts w:ascii="Tahoma" w:hAnsi="Tahoma" w:cs="Tahoma"/>
          <w:sz w:val="18"/>
          <w:szCs w:val="18"/>
          <w:lang w:val="it-IT"/>
        </w:rPr>
        <w:t>’</w:t>
      </w:r>
      <w:r w:rsidRPr="003F471F">
        <w:rPr>
          <w:rFonts w:ascii="Tahoma" w:hAnsi="Tahoma" w:cs="Tahoma"/>
          <w:sz w:val="18"/>
          <w:szCs w:val="18"/>
          <w:lang w:val="it-IT"/>
        </w:rPr>
        <w:t xml:space="preserve">indirizzo </w:t>
      </w:r>
      <w:hyperlink r:id="rId42" w:history="1">
        <w:r w:rsidR="007B2EDE" w:rsidRPr="003F471F">
          <w:rPr>
            <w:rStyle w:val="Hyperlink"/>
            <w:rFonts w:ascii="Tahoma" w:hAnsi="Tahoma" w:cs="Tahoma"/>
            <w:sz w:val="18"/>
            <w:szCs w:val="18"/>
            <w:lang w:val="it-IT"/>
          </w:rPr>
          <w:t>www.microsoft.com/licensing</w:t>
        </w:r>
      </w:hyperlink>
      <w:r w:rsidRPr="003F471F">
        <w:rPr>
          <w:rFonts w:ascii="Tahoma" w:hAnsi="Tahoma" w:cs="Tahoma"/>
          <w:sz w:val="18"/>
          <w:szCs w:val="18"/>
          <w:lang w:val="it-IT"/>
        </w:rPr>
        <w:t>).</w:t>
      </w:r>
    </w:p>
    <w:p w14:paraId="14D56E05" w14:textId="77777777" w:rsidR="00912205" w:rsidRPr="003F471F" w:rsidRDefault="00912205" w:rsidP="00912205">
      <w:pPr>
        <w:pStyle w:val="ColorfulList-Accent11"/>
        <w:ind w:left="1440"/>
        <w:rPr>
          <w:rFonts w:ascii="Tahoma" w:hAnsi="Tahoma" w:cs="Tahoma"/>
          <w:sz w:val="18"/>
          <w:szCs w:val="18"/>
          <w:lang w:val="it-IT"/>
        </w:rPr>
      </w:pPr>
    </w:p>
    <w:p w14:paraId="5AEA797A" w14:textId="77777777" w:rsidR="00912205" w:rsidRPr="003F471F" w:rsidRDefault="00B73A46" w:rsidP="00912205">
      <w:pPr>
        <w:pStyle w:val="ColorfulList-Accent11"/>
        <w:rPr>
          <w:rFonts w:ascii="Tahoma" w:hAnsi="Tahoma" w:cs="Tahoma"/>
          <w:sz w:val="18"/>
          <w:szCs w:val="18"/>
          <w:lang w:val="it-IT"/>
        </w:rPr>
      </w:pPr>
      <w:r w:rsidRPr="003F471F">
        <w:rPr>
          <w:rFonts w:ascii="Tahoma" w:hAnsi="Tahoma" w:cs="Tahoma"/>
          <w:sz w:val="18"/>
          <w:szCs w:val="18"/>
          <w:u w:val="single"/>
          <w:lang w:val="it-IT"/>
        </w:rPr>
        <w:t>Società con Contratto Academic</w:t>
      </w:r>
    </w:p>
    <w:p w14:paraId="704317FB" w14:textId="77777777" w:rsidR="00B73A46" w:rsidRPr="003F471F" w:rsidRDefault="00B73A46" w:rsidP="00912205">
      <w:pPr>
        <w:pStyle w:val="ColorfulList-Accent11"/>
        <w:rPr>
          <w:rFonts w:ascii="Tahoma" w:hAnsi="Tahoma" w:cs="Tahoma"/>
          <w:sz w:val="18"/>
          <w:szCs w:val="18"/>
          <w:lang w:val="it-IT"/>
        </w:rPr>
      </w:pPr>
      <w:r w:rsidRPr="003F471F">
        <w:rPr>
          <w:rFonts w:ascii="Tahoma" w:hAnsi="Tahoma" w:cs="Tahoma"/>
          <w:sz w:val="18"/>
          <w:szCs w:val="18"/>
          <w:lang w:val="it-IT"/>
        </w:rPr>
        <w:t xml:space="preserve">Le società con contratti Academic Select, Academic Open e Open Value Subscription - Education Solutions sono autorizzate ad acquistare una licenza di Aggiornamento Windows utilizzando Windows XP Starter Edition, Windows Vista Starter Edition o Windows 7 Starter Edition come sistema operativo qualificante. </w:t>
      </w:r>
    </w:p>
    <w:p w14:paraId="58FBF025" w14:textId="77777777" w:rsidR="00B73A46" w:rsidRPr="003F471F" w:rsidRDefault="00B73A46" w:rsidP="00B24C9D">
      <w:pPr>
        <w:pStyle w:val="ColorfulList-Accent11"/>
        <w:rPr>
          <w:rFonts w:ascii="Tahoma" w:hAnsi="Tahoma" w:cs="Tahoma"/>
          <w:sz w:val="18"/>
          <w:szCs w:val="18"/>
          <w:lang w:val="it-IT"/>
        </w:rPr>
      </w:pPr>
    </w:p>
    <w:p w14:paraId="54388DF0" w14:textId="77777777" w:rsidR="00B73A46" w:rsidRPr="003F471F" w:rsidRDefault="00B73A46" w:rsidP="00B24C9D">
      <w:pPr>
        <w:pStyle w:val="ColorfulList-Accent11"/>
        <w:rPr>
          <w:rFonts w:ascii="Tahoma" w:hAnsi="Tahoma" w:cs="Tahoma"/>
          <w:sz w:val="18"/>
          <w:szCs w:val="18"/>
          <w:lang w:val="it-IT"/>
        </w:rPr>
      </w:pPr>
      <w:r w:rsidRPr="003F471F">
        <w:rPr>
          <w:rFonts w:ascii="Tahoma" w:hAnsi="Tahoma" w:cs="Tahoma"/>
          <w:sz w:val="18"/>
          <w:szCs w:val="18"/>
          <w:lang w:val="it-IT"/>
        </w:rPr>
        <w:t>Le società che acquistano l</w:t>
      </w:r>
      <w:r w:rsidR="001C4212" w:rsidRPr="003F471F">
        <w:rPr>
          <w:rFonts w:ascii="Tahoma" w:hAnsi="Tahoma" w:cs="Tahoma"/>
          <w:sz w:val="18"/>
          <w:szCs w:val="18"/>
          <w:lang w:val="it-IT"/>
        </w:rPr>
        <w:t>’</w:t>
      </w:r>
      <w:r w:rsidRPr="003F471F">
        <w:rPr>
          <w:rFonts w:ascii="Tahoma" w:hAnsi="Tahoma" w:cs="Tahoma"/>
          <w:sz w:val="18"/>
          <w:szCs w:val="18"/>
          <w:lang w:val="it-IT"/>
        </w:rPr>
        <w:t>aggiornamento su questa base rinunciano a qualunque diritto di trasferire la</w:t>
      </w:r>
      <w:r w:rsidR="007B2EDE" w:rsidRPr="003F471F">
        <w:rPr>
          <w:rFonts w:ascii="Tahoma" w:hAnsi="Tahoma" w:cs="Tahoma"/>
          <w:sz w:val="18"/>
          <w:szCs w:val="18"/>
          <w:lang w:val="it-IT"/>
        </w:rPr>
        <w:t> </w:t>
      </w:r>
      <w:r w:rsidRPr="003F471F">
        <w:rPr>
          <w:rFonts w:ascii="Tahoma" w:hAnsi="Tahoma" w:cs="Tahoma"/>
          <w:sz w:val="18"/>
          <w:szCs w:val="18"/>
          <w:lang w:val="it-IT"/>
        </w:rPr>
        <w:t xml:space="preserve">licenza al di fuori del paese in cui è stata acquistata. </w:t>
      </w:r>
    </w:p>
    <w:p w14:paraId="18AA0981" w14:textId="77777777" w:rsidR="00B24C9D" w:rsidRPr="003F471F" w:rsidRDefault="00B24C9D" w:rsidP="00B24C9D">
      <w:pPr>
        <w:pStyle w:val="FootnoteBulletLevel1"/>
        <w:tabs>
          <w:tab w:val="clear" w:pos="900"/>
        </w:tabs>
        <w:adjustRightInd/>
        <w:spacing w:before="0" w:after="0"/>
        <w:ind w:left="720" w:firstLine="0"/>
        <w:textAlignment w:val="auto"/>
        <w:rPr>
          <w:lang w:val="it-IT"/>
        </w:rPr>
      </w:pPr>
    </w:p>
    <w:p w14:paraId="4E3B611F" w14:textId="77777777" w:rsidR="00B73A46" w:rsidRPr="003F471F" w:rsidRDefault="005D46BA" w:rsidP="00B24C9D">
      <w:pPr>
        <w:pStyle w:val="FootnoteBulletLevel1"/>
        <w:tabs>
          <w:tab w:val="clear" w:pos="900"/>
        </w:tabs>
        <w:adjustRightInd/>
        <w:spacing w:before="0" w:after="60"/>
        <w:ind w:left="720" w:firstLine="0"/>
        <w:textAlignment w:val="auto"/>
        <w:rPr>
          <w:lang w:val="it-IT"/>
        </w:rPr>
      </w:pPr>
      <w:r w:rsidRPr="003F471F">
        <w:rPr>
          <w:rFonts w:ascii="Tahoma" w:hAnsi="Tahoma" w:cs="Tahoma"/>
          <w:b/>
          <w:bCs/>
          <w:sz w:val="18"/>
          <w:szCs w:val="18"/>
          <w:lang w:val="it-IT"/>
        </w:rPr>
        <w:t>Windows Intune (Per Dispositivo)</w:t>
      </w:r>
    </w:p>
    <w:p w14:paraId="5709B222" w14:textId="77777777" w:rsidR="00EB4202" w:rsidRPr="003F471F" w:rsidRDefault="00EB4202" w:rsidP="00EB4202">
      <w:pPr>
        <w:pStyle w:val="FootnoteBulletLevel2"/>
        <w:spacing w:before="0"/>
        <w:ind w:left="720" w:firstLine="0"/>
        <w:rPr>
          <w:lang w:val="it-IT"/>
        </w:rPr>
      </w:pPr>
      <w:r w:rsidRPr="003F471F">
        <w:rPr>
          <w:rFonts w:ascii="Tahoma" w:hAnsi="Tahoma" w:cs="Tahoma"/>
          <w:sz w:val="18"/>
          <w:szCs w:val="18"/>
          <w:lang w:val="it-IT"/>
        </w:rPr>
        <w:t>Informazioni dettagliate sono disponibili nella Lista dei Prodotti del mese di ottobre 2013</w:t>
      </w:r>
    </w:p>
    <w:p w14:paraId="2A03B452" w14:textId="77777777" w:rsidR="00EB4202" w:rsidRPr="003F471F" w:rsidRDefault="00EB4202" w:rsidP="00EB4202">
      <w:pPr>
        <w:pStyle w:val="FootnoteBulletLevel2"/>
        <w:spacing w:before="0"/>
        <w:ind w:left="720" w:firstLine="0"/>
        <w:rPr>
          <w:lang w:val="it-IT"/>
        </w:rPr>
      </w:pPr>
    </w:p>
    <w:p w14:paraId="6B296BD4" w14:textId="77777777" w:rsidR="00EB4202" w:rsidRPr="003F471F" w:rsidRDefault="00EB4202" w:rsidP="00EB4202">
      <w:pPr>
        <w:pStyle w:val="FootnoteBulletLevel1"/>
        <w:tabs>
          <w:tab w:val="left" w:pos="720"/>
        </w:tabs>
        <w:adjustRightInd/>
        <w:spacing w:before="0" w:after="60"/>
        <w:ind w:left="720" w:firstLine="0"/>
        <w:rPr>
          <w:lang w:val="it-IT"/>
        </w:rPr>
      </w:pPr>
      <w:r w:rsidRPr="003F471F">
        <w:rPr>
          <w:rFonts w:ascii="Tahoma" w:hAnsi="Tahoma" w:cs="Tahoma"/>
          <w:b/>
          <w:bCs/>
          <w:sz w:val="18"/>
          <w:szCs w:val="18"/>
          <w:lang w:val="it-IT"/>
        </w:rPr>
        <w:t>Aggiornamento per Windows Pro e Software Assurance per il Sistema Operativo Desktop Windows</w:t>
      </w:r>
    </w:p>
    <w:p w14:paraId="2F1A8D24" w14:textId="77777777" w:rsidR="00EB4202" w:rsidRPr="003F471F" w:rsidRDefault="00EB4202" w:rsidP="00EB4202">
      <w:pPr>
        <w:pStyle w:val="FootnoteBulletLevel1"/>
        <w:spacing w:before="0" w:after="0"/>
        <w:ind w:left="720" w:firstLine="0"/>
        <w:rPr>
          <w:lang w:val="it-IT"/>
        </w:rPr>
      </w:pPr>
      <w:r w:rsidRPr="003F471F">
        <w:rPr>
          <w:rFonts w:ascii="Tahoma" w:hAnsi="Tahoma" w:cs="Tahoma"/>
          <w:sz w:val="18"/>
          <w:szCs w:val="18"/>
          <w:u w:val="single"/>
          <w:lang w:val="it-IT"/>
        </w:rPr>
        <w:t>Licenza di Aggiornamento per il Sistema Operativo (OS)</w:t>
      </w:r>
    </w:p>
    <w:p w14:paraId="28A571ED" w14:textId="77777777" w:rsidR="00EB4202" w:rsidRPr="003F471F" w:rsidRDefault="00EB4202" w:rsidP="00EB4202">
      <w:pPr>
        <w:pStyle w:val="FootnoteBulletLevel2"/>
        <w:tabs>
          <w:tab w:val="left" w:pos="720"/>
        </w:tabs>
        <w:adjustRightInd/>
        <w:spacing w:before="0"/>
        <w:ind w:left="720" w:firstLine="0"/>
        <w:rPr>
          <w:lang w:val="it-IT"/>
        </w:rPr>
      </w:pPr>
      <w:r w:rsidRPr="003F471F">
        <w:rPr>
          <w:rFonts w:ascii="Tahoma" w:hAnsi="Tahoma" w:cs="Tahoma"/>
          <w:sz w:val="18"/>
          <w:szCs w:val="18"/>
          <w:lang w:val="it-IT"/>
        </w:rPr>
        <w:t>Le licenze per sistemi operativi desktop fornite in base ai presenti programmi sono unicamente licenze di</w:t>
      </w:r>
      <w:r w:rsidR="007B2EDE" w:rsidRPr="003F471F">
        <w:rPr>
          <w:rFonts w:ascii="Tahoma" w:hAnsi="Tahoma" w:cs="Tahoma"/>
          <w:sz w:val="18"/>
          <w:szCs w:val="18"/>
          <w:lang w:val="it-IT"/>
        </w:rPr>
        <w:t> </w:t>
      </w:r>
      <w:r w:rsidRPr="003F471F">
        <w:rPr>
          <w:rFonts w:ascii="Tahoma" w:hAnsi="Tahoma" w:cs="Tahoma"/>
          <w:sz w:val="18"/>
          <w:szCs w:val="18"/>
          <w:lang w:val="it-IT"/>
        </w:rPr>
        <w:t>aggiornamento. I presenti programmi non prevedono licenze complete per sistemi operativi desktop. Pertanto, la società dovrà avere ottenuto in licenza e installato su ogni desktop per il quale acquista e sul quale eseguirà l</w:t>
      </w:r>
      <w:r w:rsidR="001C4212" w:rsidRPr="003F471F">
        <w:rPr>
          <w:rFonts w:ascii="Tahoma" w:hAnsi="Tahoma" w:cs="Tahoma"/>
          <w:sz w:val="18"/>
          <w:szCs w:val="18"/>
          <w:lang w:val="it-IT"/>
        </w:rPr>
        <w:t>’</w:t>
      </w:r>
      <w:r w:rsidRPr="003F471F">
        <w:rPr>
          <w:rFonts w:ascii="Tahoma" w:hAnsi="Tahoma" w:cs="Tahoma"/>
          <w:sz w:val="18"/>
          <w:szCs w:val="18"/>
          <w:lang w:val="it-IT"/>
        </w:rPr>
        <w:t>Aggiornamento per Windows 8.1 Pro uno dei sistemi operativi qualificanti applicabili indicati nella precedente tabella.</w:t>
      </w:r>
    </w:p>
    <w:p w14:paraId="6E104E63" w14:textId="77777777" w:rsidR="00EB4202" w:rsidRPr="003F471F" w:rsidRDefault="00EB4202" w:rsidP="00EB4202">
      <w:pPr>
        <w:pStyle w:val="FootnoteBulletLevel1"/>
        <w:spacing w:before="0" w:after="0"/>
        <w:ind w:left="720" w:firstLine="0"/>
        <w:rPr>
          <w:lang w:val="it-IT"/>
        </w:rPr>
      </w:pPr>
    </w:p>
    <w:p w14:paraId="029C1C23" w14:textId="77777777" w:rsidR="00EB4202" w:rsidRPr="0058047D" w:rsidRDefault="00EB4202" w:rsidP="00EB4202">
      <w:pPr>
        <w:pStyle w:val="FootnoteBulletLevel1"/>
        <w:spacing w:before="0" w:after="0"/>
        <w:ind w:left="720" w:firstLine="0"/>
      </w:pPr>
      <w:r w:rsidRPr="0058047D">
        <w:rPr>
          <w:rFonts w:ascii="Tahoma" w:hAnsi="Tahoma" w:cs="Tahoma"/>
          <w:sz w:val="18"/>
          <w:szCs w:val="18"/>
          <w:u w:val="single"/>
        </w:rPr>
        <w:t xml:space="preserve">Copertura Software Assurance </w:t>
      </w:r>
    </w:p>
    <w:p w14:paraId="39F01B0B" w14:textId="77777777" w:rsidR="00EB4202" w:rsidRPr="0058047D" w:rsidRDefault="00EB4202" w:rsidP="00EB4202">
      <w:pPr>
        <w:pStyle w:val="FootnoteBulletLevel1"/>
        <w:spacing w:before="0" w:after="0"/>
        <w:ind w:left="720" w:firstLine="0"/>
      </w:pPr>
      <w:r w:rsidRPr="0058047D">
        <w:rPr>
          <w:rFonts w:ascii="Tahoma" w:hAnsi="Tahoma" w:cs="Tahoma"/>
          <w:sz w:val="18"/>
          <w:szCs w:val="18"/>
        </w:rPr>
        <w:t>Le società che intendono partecipare a Software Assurance per il Sistema Operativo Desktop Windows dispongono delle opzioni che seguono.</w:t>
      </w:r>
      <w:r w:rsidR="00E34ED3" w:rsidRPr="0058047D">
        <w:rPr>
          <w:rFonts w:ascii="Tahoma" w:hAnsi="Tahoma" w:cs="Tahoma"/>
          <w:sz w:val="18"/>
          <w:szCs w:val="18"/>
        </w:rPr>
        <w:t xml:space="preserve"> </w:t>
      </w:r>
      <w:r w:rsidRPr="0058047D">
        <w:rPr>
          <w:rFonts w:ascii="Tahoma" w:hAnsi="Tahoma" w:cs="Tahoma"/>
          <w:sz w:val="18"/>
          <w:szCs w:val="18"/>
        </w:rPr>
        <w:t>Le opzioni riportate di seguito sono disponibili solo per i programmi specifici elencati e solo ai sensi delle condizioni stabilite.</w:t>
      </w:r>
    </w:p>
    <w:p w14:paraId="4B4A54E8" w14:textId="77777777" w:rsidR="00EB4202" w:rsidRPr="0058047D" w:rsidRDefault="00EB4202" w:rsidP="00EB4202">
      <w:pPr>
        <w:pStyle w:val="FootnoteBulletLevel1"/>
        <w:spacing w:before="0" w:after="0"/>
        <w:ind w:left="720" w:firstLine="0"/>
      </w:pPr>
      <w:r w:rsidRPr="0058047D">
        <w:rPr>
          <w:rFonts w:ascii="Tahoma" w:hAnsi="Tahoma" w:cs="Tahoma"/>
          <w:sz w:val="18"/>
          <w:szCs w:val="18"/>
        </w:rPr>
        <w:t>Non tutte le opzioni sono disponibili in tutti i programmi.</w:t>
      </w:r>
    </w:p>
    <w:p w14:paraId="7DA825F0" w14:textId="77777777" w:rsidR="00EB4202" w:rsidRPr="0058047D" w:rsidRDefault="00EB4202" w:rsidP="00EB4202">
      <w:pPr>
        <w:pStyle w:val="FootnoteBulletLevel1"/>
        <w:spacing w:before="0" w:after="0"/>
        <w:ind w:left="720" w:firstLine="0"/>
      </w:pPr>
    </w:p>
    <w:p w14:paraId="36C46A57" w14:textId="77777777" w:rsidR="00EB4202" w:rsidRPr="0058047D" w:rsidRDefault="00EB4202" w:rsidP="00EB4202">
      <w:pPr>
        <w:pStyle w:val="FootnoteBulletLevel1"/>
        <w:numPr>
          <w:ilvl w:val="0"/>
          <w:numId w:val="29"/>
        </w:numPr>
        <w:tabs>
          <w:tab w:val="left" w:pos="720"/>
        </w:tabs>
        <w:adjustRightInd/>
        <w:spacing w:before="0" w:after="60"/>
        <w:ind w:left="1080"/>
        <w:textAlignment w:val="auto"/>
      </w:pPr>
      <w:r w:rsidRPr="0058047D">
        <w:rPr>
          <w:rFonts w:ascii="Tahoma" w:hAnsi="Tahoma" w:cs="Tahoma"/>
          <w:sz w:val="18"/>
          <w:szCs w:val="18"/>
        </w:rPr>
        <w:t xml:space="preserve">Programmi Select Plus, Open Value (opzione non a livello aziendale) e Open License </w:t>
      </w:r>
    </w:p>
    <w:p w14:paraId="283052B7" w14:textId="77777777" w:rsidR="00EB4202" w:rsidRPr="0058047D" w:rsidRDefault="00EB4202" w:rsidP="00EB4202">
      <w:pPr>
        <w:pStyle w:val="Footnotedash"/>
        <w:tabs>
          <w:tab w:val="left" w:pos="720"/>
        </w:tabs>
        <w:spacing w:before="0"/>
      </w:pPr>
      <w:r w:rsidRPr="0058047D">
        <w:rPr>
          <w:rFonts w:ascii="Tahoma" w:eastAsia="Calibri" w:hAnsi="Tahoma" w:cs="Tahoma"/>
          <w:color w:val="000000"/>
          <w:sz w:val="18"/>
          <w:szCs w:val="18"/>
          <w:u w:val="single"/>
        </w:rPr>
        <w:t>Per i dispositivi nuovi o i dispositivi con licenze nuove</w:t>
      </w:r>
    </w:p>
    <w:p w14:paraId="60E1F86A" w14:textId="77777777" w:rsidR="00EB4202" w:rsidRPr="0058047D" w:rsidRDefault="00EB4202" w:rsidP="00EB4202">
      <w:pPr>
        <w:pStyle w:val="Footnotedash"/>
        <w:numPr>
          <w:ilvl w:val="2"/>
          <w:numId w:val="85"/>
        </w:numPr>
        <w:tabs>
          <w:tab w:val="left" w:pos="720"/>
        </w:tabs>
        <w:spacing w:before="0"/>
        <w:ind w:left="1800"/>
        <w:textAlignment w:val="auto"/>
      </w:pPr>
      <w:r w:rsidRPr="0058047D">
        <w:rPr>
          <w:rFonts w:ascii="Tahoma" w:eastAsia="Calibri" w:hAnsi="Tahoma" w:cs="Tahoma"/>
          <w:color w:val="000000"/>
          <w:sz w:val="18"/>
          <w:szCs w:val="18"/>
        </w:rPr>
        <w:t xml:space="preserve">Acquistare la copertura Software Assurance per Windows 8.1 Pro, Windows 8 Pro o Windows 7 Professional (32 bit o 64 bit o edizioni N, K o KN) tramite licenza OEM, Retail Get Genuine Windows Agreement (GGWA) (anche conosciuta, in alcuni paesi, come “Get Genuine Solution”) entro 90 giorni dalla data di acquisto della licenza OEM, Retail o GGWA </w:t>
      </w:r>
    </w:p>
    <w:p w14:paraId="5803F4B7" w14:textId="77777777" w:rsidR="00EB4202" w:rsidRPr="0058047D" w:rsidRDefault="00EB4202" w:rsidP="00EB4202">
      <w:pPr>
        <w:pStyle w:val="Footnotedash"/>
        <w:tabs>
          <w:tab w:val="left" w:pos="720"/>
        </w:tabs>
        <w:spacing w:before="0"/>
      </w:pPr>
      <w:r w:rsidRPr="0058047D">
        <w:rPr>
          <w:rFonts w:ascii="Tahoma" w:eastAsia="Calibri" w:hAnsi="Tahoma" w:cs="Tahoma"/>
          <w:color w:val="000000"/>
          <w:sz w:val="18"/>
          <w:szCs w:val="18"/>
          <w:u w:val="single"/>
        </w:rPr>
        <w:t>Per tutti gli altri dispositivi</w:t>
      </w:r>
    </w:p>
    <w:p w14:paraId="2ACFF423" w14:textId="77777777" w:rsidR="00EB4202" w:rsidRPr="0058047D" w:rsidRDefault="00EB4202" w:rsidP="00EB4202">
      <w:pPr>
        <w:pStyle w:val="Footnotedash"/>
        <w:numPr>
          <w:ilvl w:val="1"/>
          <w:numId w:val="31"/>
        </w:numPr>
        <w:tabs>
          <w:tab w:val="left" w:pos="720"/>
        </w:tabs>
        <w:spacing w:before="0"/>
        <w:ind w:left="1800"/>
        <w:textAlignment w:val="auto"/>
      </w:pPr>
      <w:r w:rsidRPr="0058047D">
        <w:rPr>
          <w:rFonts w:ascii="Tahoma" w:eastAsia="Calibri" w:hAnsi="Tahoma" w:cs="Tahoma"/>
          <w:color w:val="000000"/>
          <w:sz w:val="18"/>
          <w:szCs w:val="18"/>
        </w:rPr>
        <w:t>Acquistare l</w:t>
      </w:r>
      <w:r w:rsidR="001C4212">
        <w:rPr>
          <w:rFonts w:ascii="Tahoma" w:eastAsia="Calibri" w:hAnsi="Tahoma" w:cs="Tahoma"/>
          <w:color w:val="000000"/>
          <w:sz w:val="18"/>
          <w:szCs w:val="18"/>
        </w:rPr>
        <w:t>’</w:t>
      </w:r>
      <w:r w:rsidRPr="0058047D">
        <w:rPr>
          <w:rFonts w:ascii="Tahoma" w:eastAsia="Calibri" w:hAnsi="Tahoma" w:cs="Tahoma"/>
          <w:color w:val="000000"/>
          <w:sz w:val="18"/>
          <w:szCs w:val="18"/>
        </w:rPr>
        <w:t>Aggiornamento e Software Assurance per Windows 8.1 Pro per i desktop per i quali la società ha ottenuto in licenza e installato uno dei sistemi operativi qualificanti elencati nella precedente tabella degli Aggiornamenti per Windows.</w:t>
      </w:r>
    </w:p>
    <w:p w14:paraId="06D5AC86" w14:textId="77777777" w:rsidR="00EB4202" w:rsidRPr="0058047D" w:rsidRDefault="00EB4202" w:rsidP="00EB4202">
      <w:pPr>
        <w:pStyle w:val="FootnoteBulletLevel1"/>
        <w:tabs>
          <w:tab w:val="left" w:pos="720"/>
        </w:tabs>
        <w:adjustRightInd/>
        <w:spacing w:before="0" w:after="60"/>
      </w:pPr>
    </w:p>
    <w:p w14:paraId="4E4840EF" w14:textId="77777777" w:rsidR="00EB4202" w:rsidRPr="0058047D" w:rsidRDefault="00EB4202" w:rsidP="00EB4202">
      <w:pPr>
        <w:pStyle w:val="FootnoteBulletLevel1"/>
        <w:numPr>
          <w:ilvl w:val="0"/>
          <w:numId w:val="29"/>
        </w:numPr>
        <w:tabs>
          <w:tab w:val="left" w:pos="720"/>
        </w:tabs>
        <w:adjustRightInd/>
        <w:spacing w:before="0" w:after="60"/>
        <w:ind w:left="1080"/>
        <w:textAlignment w:val="auto"/>
      </w:pPr>
      <w:r w:rsidRPr="0058047D">
        <w:rPr>
          <w:rFonts w:ascii="Tahoma" w:hAnsi="Tahoma" w:cs="Tahoma"/>
          <w:sz w:val="18"/>
          <w:szCs w:val="18"/>
        </w:rPr>
        <w:t>Iscrizioni Enterprise e Contratti Open Value per l</w:t>
      </w:r>
      <w:r w:rsidR="001C4212">
        <w:rPr>
          <w:rFonts w:ascii="Tahoma" w:hAnsi="Tahoma" w:cs="Tahoma"/>
          <w:sz w:val="18"/>
          <w:szCs w:val="18"/>
        </w:rPr>
        <w:t>’</w:t>
      </w:r>
      <w:r w:rsidRPr="0058047D">
        <w:rPr>
          <w:rFonts w:ascii="Tahoma" w:hAnsi="Tahoma" w:cs="Tahoma"/>
          <w:sz w:val="18"/>
          <w:szCs w:val="18"/>
        </w:rPr>
        <w:t>intera organizzazione (perpetui e subscription):</w:t>
      </w:r>
    </w:p>
    <w:p w14:paraId="44EFE9C4" w14:textId="77777777" w:rsidR="00EB4202" w:rsidRPr="0058047D" w:rsidRDefault="00EB4202" w:rsidP="00EB4202">
      <w:pPr>
        <w:pStyle w:val="Footnotedash"/>
        <w:tabs>
          <w:tab w:val="left" w:pos="720"/>
        </w:tabs>
        <w:spacing w:before="0"/>
      </w:pPr>
      <w:r w:rsidRPr="0058047D">
        <w:rPr>
          <w:rFonts w:ascii="Tahoma" w:eastAsia="Calibri" w:hAnsi="Tahoma" w:cs="Tahoma"/>
          <w:color w:val="000000"/>
          <w:sz w:val="18"/>
          <w:szCs w:val="18"/>
          <w:u w:val="single"/>
        </w:rPr>
        <w:t>Iscrizioni Enterprise Iniziali o Contratti Open Value</w:t>
      </w:r>
    </w:p>
    <w:p w14:paraId="42E7CEFB" w14:textId="77777777" w:rsidR="00EB4202" w:rsidRPr="0058047D" w:rsidRDefault="00EB4202" w:rsidP="00EB4202">
      <w:pPr>
        <w:pStyle w:val="Footnotedash"/>
        <w:numPr>
          <w:ilvl w:val="1"/>
          <w:numId w:val="31"/>
        </w:numPr>
        <w:tabs>
          <w:tab w:val="left" w:pos="720"/>
        </w:tabs>
        <w:spacing w:before="0"/>
        <w:ind w:left="1800"/>
        <w:textAlignment w:val="auto"/>
      </w:pPr>
      <w:r w:rsidRPr="0058047D">
        <w:rPr>
          <w:rFonts w:ascii="Tahoma" w:eastAsia="Calibri" w:hAnsi="Tahoma" w:cs="Tahoma"/>
          <w:color w:val="000000"/>
          <w:sz w:val="18"/>
          <w:szCs w:val="18"/>
        </w:rPr>
        <w:t>Acquistare l</w:t>
      </w:r>
      <w:r w:rsidR="001C4212">
        <w:rPr>
          <w:rFonts w:ascii="Tahoma" w:eastAsia="Calibri" w:hAnsi="Tahoma" w:cs="Tahoma"/>
          <w:color w:val="000000"/>
          <w:sz w:val="18"/>
          <w:szCs w:val="18"/>
        </w:rPr>
        <w:t>’</w:t>
      </w:r>
      <w:r w:rsidRPr="0058047D">
        <w:rPr>
          <w:rFonts w:ascii="Tahoma" w:eastAsia="Calibri" w:hAnsi="Tahoma" w:cs="Tahoma"/>
          <w:color w:val="000000"/>
          <w:sz w:val="18"/>
          <w:szCs w:val="18"/>
        </w:rPr>
        <w:t>Aggiornamento per Windows 8.1 Pro e Software Assurance per tutti i Dispositivi Qualificati. La società dovrà disporre della licenza per e avere installato uno dei sistemi operativi qualificanti indicati nella precedente tabella degli Aggiornamenti di Windows, nella</w:t>
      </w:r>
      <w:r w:rsidR="007B2EDE">
        <w:rPr>
          <w:rFonts w:ascii="Tahoma" w:eastAsia="Calibri" w:hAnsi="Tahoma" w:cs="Tahoma"/>
          <w:color w:val="000000"/>
          <w:sz w:val="18"/>
          <w:szCs w:val="18"/>
        </w:rPr>
        <w:t> </w:t>
      </w:r>
      <w:r w:rsidRPr="0058047D">
        <w:rPr>
          <w:rFonts w:ascii="Tahoma" w:eastAsia="Calibri" w:hAnsi="Tahoma" w:cs="Tahoma"/>
          <w:color w:val="000000"/>
          <w:sz w:val="18"/>
          <w:szCs w:val="18"/>
        </w:rPr>
        <w:t>colonna “Nuovo EA/OV-CW” su tutti i Dispositivi Qualificati.</w:t>
      </w:r>
    </w:p>
    <w:p w14:paraId="51FC57A9" w14:textId="77777777" w:rsidR="00EB4202" w:rsidRPr="0058047D" w:rsidRDefault="00EB4202" w:rsidP="00EB4202">
      <w:pPr>
        <w:pStyle w:val="Footnotedash"/>
        <w:tabs>
          <w:tab w:val="left" w:pos="720"/>
        </w:tabs>
        <w:spacing w:before="0"/>
      </w:pPr>
      <w:r w:rsidRPr="0058047D">
        <w:rPr>
          <w:rFonts w:ascii="Tahoma" w:eastAsia="Calibri" w:hAnsi="Tahoma" w:cs="Tahoma"/>
          <w:color w:val="000000"/>
          <w:sz w:val="18"/>
          <w:szCs w:val="18"/>
          <w:u w:val="single"/>
        </w:rPr>
        <w:t>Iscrizioni Enterprise Esistenti o Contratti Open Value (true-up e sostituzioni)</w:t>
      </w:r>
    </w:p>
    <w:p w14:paraId="58BBDE7C" w14:textId="77777777" w:rsidR="00EB4202" w:rsidRPr="0058047D" w:rsidRDefault="00EB4202" w:rsidP="00EB4202">
      <w:pPr>
        <w:pStyle w:val="Footnotedash"/>
        <w:numPr>
          <w:ilvl w:val="1"/>
          <w:numId w:val="31"/>
        </w:numPr>
        <w:tabs>
          <w:tab w:val="left" w:pos="720"/>
        </w:tabs>
        <w:spacing w:before="0"/>
        <w:ind w:left="1800"/>
        <w:textAlignment w:val="auto"/>
      </w:pPr>
      <w:r w:rsidRPr="0058047D">
        <w:rPr>
          <w:rFonts w:ascii="Tahoma" w:eastAsia="Calibri" w:hAnsi="Tahoma" w:cs="Tahoma"/>
          <w:color w:val="000000"/>
          <w:sz w:val="18"/>
          <w:szCs w:val="18"/>
        </w:rPr>
        <w:t>Acquistare l</w:t>
      </w:r>
      <w:r w:rsidR="001C4212">
        <w:rPr>
          <w:rFonts w:ascii="Tahoma" w:eastAsia="Calibri" w:hAnsi="Tahoma" w:cs="Tahoma"/>
          <w:color w:val="000000"/>
          <w:sz w:val="18"/>
          <w:szCs w:val="18"/>
        </w:rPr>
        <w:t>’</w:t>
      </w:r>
      <w:r w:rsidRPr="0058047D">
        <w:rPr>
          <w:rFonts w:ascii="Tahoma" w:eastAsia="Calibri" w:hAnsi="Tahoma" w:cs="Tahoma"/>
          <w:color w:val="000000"/>
          <w:sz w:val="18"/>
          <w:szCs w:val="18"/>
        </w:rPr>
        <w:t>Aggiornamento per Windows 8.1 Pro e Software Assurance per tutti i Dispositivi Qualificati aggiuntivi. La società dovrà avere ottenuto in licenza e installato su tutti i Dispositivi Qualificati aggiuntivi ricevuti da una fonte qualsiasi, tranne una fusione o acquisizione, uno dei sistemi operativi qualificanti indicati nella precedente tabella degli Aggiornamenti di Windows, nella colonna “EA/OV-CW Esistente”.</w:t>
      </w:r>
    </w:p>
    <w:p w14:paraId="3A53310F" w14:textId="77777777" w:rsidR="00EB4202" w:rsidRPr="0058047D" w:rsidRDefault="00EB4202" w:rsidP="00EB4202">
      <w:pPr>
        <w:pStyle w:val="Footnotedash"/>
        <w:numPr>
          <w:ilvl w:val="1"/>
          <w:numId w:val="31"/>
        </w:numPr>
        <w:tabs>
          <w:tab w:val="left" w:pos="720"/>
        </w:tabs>
        <w:spacing w:before="0"/>
        <w:ind w:left="1800"/>
        <w:textAlignment w:val="auto"/>
      </w:pPr>
      <w:r w:rsidRPr="0058047D">
        <w:rPr>
          <w:rFonts w:ascii="Tahoma" w:eastAsia="Calibri" w:hAnsi="Tahoma" w:cs="Tahoma"/>
          <w:color w:val="000000"/>
          <w:sz w:val="18"/>
          <w:szCs w:val="18"/>
        </w:rPr>
        <w:t>Nel caso di fusione o acquisizione, la società dovrà avere ottenuto in licenza e installato su tutti</w:t>
      </w:r>
      <w:r w:rsidR="007B2EDE">
        <w:rPr>
          <w:rFonts w:ascii="Tahoma" w:eastAsia="Calibri" w:hAnsi="Tahoma" w:cs="Tahoma"/>
          <w:color w:val="000000"/>
          <w:sz w:val="18"/>
          <w:szCs w:val="18"/>
        </w:rPr>
        <w:t> </w:t>
      </w:r>
      <w:r w:rsidRPr="0058047D">
        <w:rPr>
          <w:rFonts w:ascii="Tahoma" w:eastAsia="Calibri" w:hAnsi="Tahoma" w:cs="Tahoma"/>
          <w:color w:val="000000"/>
          <w:sz w:val="18"/>
          <w:szCs w:val="18"/>
        </w:rPr>
        <w:t>i Dispositivi Qualificati ricevuti tramite una fusione o acquisizione uno dei sistemi operativi qualificanti indicati nella precedente tabella degli Aggiornamenti di Windows, nella colonna “Nuovo EA/OV-CW”.</w:t>
      </w:r>
    </w:p>
    <w:p w14:paraId="248DE983" w14:textId="77777777" w:rsidR="00EB4202" w:rsidRPr="0058047D" w:rsidRDefault="00EB4202" w:rsidP="00EB4202">
      <w:pPr>
        <w:pStyle w:val="Footnotedash"/>
        <w:tabs>
          <w:tab w:val="left" w:pos="720"/>
        </w:tabs>
        <w:spacing w:before="0"/>
      </w:pPr>
      <w:r w:rsidRPr="0058047D">
        <w:rPr>
          <w:rFonts w:ascii="Tahoma" w:eastAsia="Calibri" w:hAnsi="Tahoma" w:cs="Tahoma"/>
          <w:color w:val="000000"/>
          <w:sz w:val="18"/>
          <w:szCs w:val="18"/>
          <w:u w:val="single"/>
        </w:rPr>
        <w:t>Rinnovo dell</w:t>
      </w:r>
      <w:r w:rsidR="001C4212">
        <w:rPr>
          <w:rFonts w:ascii="Tahoma" w:eastAsia="Calibri" w:hAnsi="Tahoma" w:cs="Tahoma"/>
          <w:color w:val="000000"/>
          <w:sz w:val="18"/>
          <w:szCs w:val="18"/>
          <w:u w:val="single"/>
        </w:rPr>
        <w:t>’</w:t>
      </w:r>
      <w:r w:rsidRPr="0058047D">
        <w:rPr>
          <w:rFonts w:ascii="Tahoma" w:eastAsia="Calibri" w:hAnsi="Tahoma" w:cs="Tahoma"/>
          <w:color w:val="000000"/>
          <w:sz w:val="18"/>
          <w:szCs w:val="18"/>
          <w:u w:val="single"/>
        </w:rPr>
        <w:t>Iscrizione Enterprise</w:t>
      </w:r>
    </w:p>
    <w:p w14:paraId="734410FE" w14:textId="77777777" w:rsidR="00EB4202" w:rsidRPr="0058047D" w:rsidRDefault="00EB4202" w:rsidP="00EB4202">
      <w:pPr>
        <w:pStyle w:val="Footnotedash"/>
        <w:numPr>
          <w:ilvl w:val="1"/>
          <w:numId w:val="31"/>
        </w:numPr>
        <w:tabs>
          <w:tab w:val="left" w:pos="720"/>
        </w:tabs>
        <w:spacing w:before="0"/>
        <w:ind w:left="1800"/>
        <w:textAlignment w:val="auto"/>
      </w:pPr>
      <w:r w:rsidRPr="0058047D">
        <w:rPr>
          <w:rFonts w:ascii="Tahoma" w:eastAsia="Calibri" w:hAnsi="Tahoma" w:cs="Tahoma"/>
          <w:color w:val="000000"/>
          <w:sz w:val="18"/>
          <w:szCs w:val="18"/>
        </w:rPr>
        <w:t>alla scadenza di un</w:t>
      </w:r>
      <w:r w:rsidR="001C4212">
        <w:rPr>
          <w:rFonts w:ascii="Tahoma" w:eastAsia="Calibri" w:hAnsi="Tahoma" w:cs="Tahoma"/>
          <w:color w:val="000000"/>
          <w:sz w:val="18"/>
          <w:szCs w:val="18"/>
        </w:rPr>
        <w:t>’</w:t>
      </w:r>
      <w:r w:rsidRPr="0058047D">
        <w:rPr>
          <w:rFonts w:ascii="Tahoma" w:eastAsia="Calibri" w:hAnsi="Tahoma" w:cs="Tahoma"/>
          <w:color w:val="000000"/>
          <w:sz w:val="18"/>
          <w:szCs w:val="18"/>
        </w:rPr>
        <w:t>Iscrizione Enterprise già esistente relativa al Sistema Operativo Windows Desktop, è possibile rinnovare tale copertura con una nuova Iscrizione Enterprise per il Sistema Operativo Windows Desktop.</w:t>
      </w:r>
    </w:p>
    <w:p w14:paraId="154CC847" w14:textId="77777777" w:rsidR="00EB4202" w:rsidRDefault="00EB4202" w:rsidP="00EB4202">
      <w:pPr>
        <w:pStyle w:val="FootnoteBulletLevel2"/>
        <w:tabs>
          <w:tab w:val="left" w:pos="720"/>
        </w:tabs>
        <w:adjustRightInd/>
        <w:spacing w:before="0"/>
        <w:ind w:left="0" w:firstLine="0"/>
      </w:pPr>
    </w:p>
    <w:p w14:paraId="3DAC03C4" w14:textId="77777777" w:rsidR="007B2EDE" w:rsidRDefault="007B2EDE" w:rsidP="00EB4202">
      <w:pPr>
        <w:pStyle w:val="FootnoteBulletLevel2"/>
        <w:tabs>
          <w:tab w:val="left" w:pos="720"/>
        </w:tabs>
        <w:adjustRightInd/>
        <w:spacing w:before="0"/>
        <w:ind w:left="0" w:firstLine="0"/>
      </w:pPr>
    </w:p>
    <w:p w14:paraId="0B1943FB" w14:textId="77777777" w:rsidR="007B2EDE" w:rsidRDefault="007B2EDE" w:rsidP="00EB4202">
      <w:pPr>
        <w:pStyle w:val="FootnoteBulletLevel2"/>
        <w:tabs>
          <w:tab w:val="left" w:pos="720"/>
        </w:tabs>
        <w:adjustRightInd/>
        <w:spacing w:before="0"/>
        <w:ind w:left="0" w:firstLine="0"/>
      </w:pPr>
    </w:p>
    <w:p w14:paraId="6351BC7D" w14:textId="77777777" w:rsidR="007B2EDE" w:rsidRDefault="007B2EDE" w:rsidP="00EB4202">
      <w:pPr>
        <w:pStyle w:val="FootnoteBulletLevel2"/>
        <w:tabs>
          <w:tab w:val="left" w:pos="720"/>
        </w:tabs>
        <w:adjustRightInd/>
        <w:spacing w:before="0"/>
        <w:ind w:left="0" w:firstLine="0"/>
      </w:pPr>
    </w:p>
    <w:p w14:paraId="51B8EC1D" w14:textId="77777777" w:rsidR="007B2EDE" w:rsidRPr="0058047D" w:rsidRDefault="007B2EDE" w:rsidP="00EB4202">
      <w:pPr>
        <w:pStyle w:val="FootnoteBulletLevel2"/>
        <w:tabs>
          <w:tab w:val="left" w:pos="720"/>
        </w:tabs>
        <w:adjustRightInd/>
        <w:spacing w:before="0"/>
        <w:ind w:left="0" w:firstLine="0"/>
      </w:pPr>
    </w:p>
    <w:p w14:paraId="3E46F32C" w14:textId="77777777" w:rsidR="00EB4202" w:rsidRPr="0058047D" w:rsidRDefault="00EB4202" w:rsidP="00EB4202">
      <w:pPr>
        <w:pStyle w:val="FootnoteBulletLevel2"/>
        <w:numPr>
          <w:ilvl w:val="0"/>
          <w:numId w:val="25"/>
        </w:numPr>
        <w:tabs>
          <w:tab w:val="left" w:pos="720"/>
        </w:tabs>
        <w:adjustRightInd/>
        <w:spacing w:before="0" w:after="60"/>
        <w:ind w:left="1440"/>
        <w:textAlignment w:val="auto"/>
      </w:pPr>
      <w:r w:rsidRPr="0058047D">
        <w:rPr>
          <w:rFonts w:ascii="Tahoma" w:hAnsi="Tahoma" w:cs="Tahoma"/>
          <w:sz w:val="18"/>
          <w:szCs w:val="18"/>
        </w:rPr>
        <w:t xml:space="preserve">Le società con Contratti Campus e School e Open Value Subscription - Education Solutions: </w:t>
      </w:r>
    </w:p>
    <w:p w14:paraId="42EBA245" w14:textId="77777777" w:rsidR="00EB4202" w:rsidRPr="0058047D" w:rsidRDefault="00EB4202" w:rsidP="00EB4202">
      <w:pPr>
        <w:pStyle w:val="Footnotedash"/>
        <w:numPr>
          <w:ilvl w:val="1"/>
          <w:numId w:val="31"/>
        </w:numPr>
        <w:tabs>
          <w:tab w:val="left" w:pos="720"/>
        </w:tabs>
        <w:spacing w:before="0"/>
        <w:ind w:left="1800"/>
        <w:textAlignment w:val="auto"/>
      </w:pPr>
      <w:r w:rsidRPr="0058047D">
        <w:rPr>
          <w:rFonts w:ascii="Tahoma" w:eastAsia="Calibri" w:hAnsi="Tahoma" w:cs="Tahoma"/>
          <w:color w:val="000000"/>
          <w:sz w:val="18"/>
          <w:szCs w:val="18"/>
        </w:rPr>
        <w:t>Il sistema operativo Windows è concesso in licenza esclusivamente come aggiornamento. Di conseguenza, le società che intendono eseguire il sistema operativo Windows devono prima avere ottenuto in licenza e installato un sistema operativo qualificante sul loro desktop. Per essere qualificante, il sistema operativo deve essere inserito nell</w:t>
      </w:r>
      <w:r w:rsidR="001C4212">
        <w:rPr>
          <w:rFonts w:ascii="Tahoma" w:eastAsia="Calibri" w:hAnsi="Tahoma" w:cs="Tahoma"/>
          <w:color w:val="000000"/>
          <w:sz w:val="18"/>
          <w:szCs w:val="18"/>
        </w:rPr>
        <w:t>’</w:t>
      </w:r>
      <w:r w:rsidRPr="0058047D">
        <w:rPr>
          <w:rFonts w:ascii="Tahoma" w:eastAsia="Calibri" w:hAnsi="Tahoma" w:cs="Tahoma"/>
          <w:color w:val="000000"/>
          <w:sz w:val="18"/>
          <w:szCs w:val="18"/>
        </w:rPr>
        <w:t xml:space="preserve">elenco dei sistemi operativi qualificanti indicati nella tabella degli Aggiornamenti di Windows nella colonna “Academic”. </w:t>
      </w:r>
    </w:p>
    <w:p w14:paraId="64BD0F40" w14:textId="77777777" w:rsidR="00EB4202" w:rsidRPr="0058047D" w:rsidRDefault="00EB4202" w:rsidP="00EB4202">
      <w:pPr>
        <w:pStyle w:val="FootnoteBulletLevel2"/>
        <w:spacing w:before="0"/>
        <w:ind w:left="720" w:firstLine="0"/>
      </w:pPr>
      <w:r w:rsidRPr="0058047D">
        <w:rPr>
          <w:rFonts w:ascii="Tahoma" w:eastAsia="Calibri" w:hAnsi="Tahoma" w:cs="Tahoma"/>
          <w:color w:val="000000"/>
          <w:sz w:val="18"/>
          <w:szCs w:val="18"/>
        </w:rPr>
        <w:t>Nonostante eventuali disposizioni contrarie dei Diritti di Utilizzo del Prodotto, agli istituti che scelgono l</w:t>
      </w:r>
      <w:r w:rsidR="001C4212">
        <w:rPr>
          <w:rFonts w:ascii="Tahoma" w:eastAsia="Calibri" w:hAnsi="Tahoma" w:cs="Tahoma"/>
          <w:color w:val="000000"/>
          <w:sz w:val="18"/>
          <w:szCs w:val="18"/>
        </w:rPr>
        <w:t>’</w:t>
      </w:r>
      <w:r w:rsidRPr="0058047D">
        <w:rPr>
          <w:rFonts w:ascii="Tahoma" w:eastAsia="Calibri" w:hAnsi="Tahoma" w:cs="Tahoma"/>
          <w:color w:val="000000"/>
          <w:sz w:val="18"/>
          <w:szCs w:val="18"/>
        </w:rPr>
        <w:t>Opzione per Studente viene concessa una sola istanza di Windows To Go per ogni dispositivo con licenza in dotazione a uno studente.</w:t>
      </w:r>
      <w:r w:rsidR="00E34ED3" w:rsidRPr="0058047D">
        <w:rPr>
          <w:rFonts w:ascii="Tahoma" w:eastAsia="Calibri" w:hAnsi="Tahoma" w:cs="Tahoma"/>
          <w:color w:val="000000"/>
          <w:sz w:val="18"/>
          <w:szCs w:val="18"/>
        </w:rPr>
        <w:t xml:space="preserve"> </w:t>
      </w:r>
      <w:r w:rsidRPr="0058047D">
        <w:rPr>
          <w:rFonts w:ascii="Tahoma" w:eastAsia="Calibri" w:hAnsi="Tahoma" w:cs="Tahoma"/>
          <w:color w:val="000000"/>
          <w:sz w:val="18"/>
          <w:szCs w:val="18"/>
        </w:rPr>
        <w:t>Gli istituti dovranno verificare che gli studenti che non sono più iscritti all</w:t>
      </w:r>
      <w:r w:rsidR="001C4212">
        <w:rPr>
          <w:rFonts w:ascii="Tahoma" w:eastAsia="Calibri" w:hAnsi="Tahoma" w:cs="Tahoma"/>
          <w:color w:val="000000"/>
          <w:sz w:val="18"/>
          <w:szCs w:val="18"/>
        </w:rPr>
        <w:t>’</w:t>
      </w:r>
      <w:r w:rsidRPr="0058047D">
        <w:rPr>
          <w:rFonts w:ascii="Tahoma" w:eastAsia="Calibri" w:hAnsi="Tahoma" w:cs="Tahoma"/>
          <w:color w:val="000000"/>
          <w:sz w:val="18"/>
          <w:szCs w:val="18"/>
        </w:rPr>
        <w:t>istituto cessino di utilizzare Windows To Go e restituiscano all</w:t>
      </w:r>
      <w:r w:rsidR="001C4212">
        <w:rPr>
          <w:rFonts w:ascii="Tahoma" w:eastAsia="Calibri" w:hAnsi="Tahoma" w:cs="Tahoma"/>
          <w:color w:val="000000"/>
          <w:sz w:val="18"/>
          <w:szCs w:val="18"/>
        </w:rPr>
        <w:t>’</w:t>
      </w:r>
      <w:r w:rsidRPr="0058047D">
        <w:rPr>
          <w:rFonts w:ascii="Tahoma" w:eastAsia="Calibri" w:hAnsi="Tahoma" w:cs="Tahoma"/>
          <w:color w:val="000000"/>
          <w:sz w:val="18"/>
          <w:szCs w:val="18"/>
        </w:rPr>
        <w:t>istituto i dispositivi USB in cui è installata un</w:t>
      </w:r>
      <w:r w:rsidR="001C4212">
        <w:rPr>
          <w:rFonts w:ascii="Tahoma" w:eastAsia="Calibri" w:hAnsi="Tahoma" w:cs="Tahoma"/>
          <w:color w:val="000000"/>
          <w:sz w:val="18"/>
          <w:szCs w:val="18"/>
        </w:rPr>
        <w:t>’</w:t>
      </w:r>
      <w:r w:rsidRPr="0058047D">
        <w:rPr>
          <w:rFonts w:ascii="Tahoma" w:eastAsia="Calibri" w:hAnsi="Tahoma" w:cs="Tahoma"/>
          <w:color w:val="000000"/>
          <w:sz w:val="18"/>
          <w:szCs w:val="18"/>
        </w:rPr>
        <w:t xml:space="preserve">istanza di Windows To Go. </w:t>
      </w:r>
      <w:r w:rsidRPr="0058047D">
        <w:rPr>
          <w:rFonts w:ascii="Tahoma" w:hAnsi="Tahoma" w:cs="Tahoma"/>
          <w:sz w:val="18"/>
          <w:szCs w:val="18"/>
        </w:rPr>
        <w:t>Gli istituti che scelgono l</w:t>
      </w:r>
      <w:r w:rsidR="001C4212">
        <w:rPr>
          <w:rFonts w:ascii="Tahoma" w:hAnsi="Tahoma" w:cs="Tahoma"/>
          <w:sz w:val="18"/>
          <w:szCs w:val="18"/>
        </w:rPr>
        <w:t>’</w:t>
      </w:r>
      <w:r w:rsidRPr="0058047D">
        <w:rPr>
          <w:rFonts w:ascii="Tahoma" w:hAnsi="Tahoma" w:cs="Tahoma"/>
          <w:sz w:val="18"/>
          <w:szCs w:val="18"/>
        </w:rPr>
        <w:t>Opzione per Studente non potranno installare Windows Enterprise sui dispositivi di proprietà degli studenti.</w:t>
      </w:r>
    </w:p>
    <w:p w14:paraId="43FEF074" w14:textId="77777777" w:rsidR="00973A93" w:rsidRPr="0058047D" w:rsidRDefault="00973A93" w:rsidP="00AF3B19"/>
    <w:p w14:paraId="265B62B1" w14:textId="77777777" w:rsidR="00B73A46" w:rsidRPr="0058047D" w:rsidRDefault="00B73A46" w:rsidP="00F64DEA">
      <w:pPr>
        <w:pStyle w:val="FootnoteBulletLevel1"/>
        <w:tabs>
          <w:tab w:val="clear" w:pos="900"/>
        </w:tabs>
        <w:adjustRightInd/>
        <w:spacing w:before="0" w:after="60"/>
        <w:ind w:left="720" w:firstLine="0"/>
        <w:textAlignment w:val="auto"/>
      </w:pPr>
      <w:r w:rsidRPr="0058047D">
        <w:rPr>
          <w:rFonts w:ascii="Tahoma" w:hAnsi="Tahoma" w:cs="Tahoma"/>
          <w:b/>
          <w:bCs/>
          <w:sz w:val="18"/>
          <w:szCs w:val="18"/>
        </w:rPr>
        <w:t>Microsoft Windows XP Professional N (non contiene Windows Media Player)</w:t>
      </w:r>
    </w:p>
    <w:p w14:paraId="1AE5DDE5" w14:textId="77777777" w:rsidR="00B73A46" w:rsidRPr="0058047D" w:rsidRDefault="00B73A46" w:rsidP="00F64DEA">
      <w:pPr>
        <w:pStyle w:val="FootnoteBulletLevel2"/>
        <w:tabs>
          <w:tab w:val="clear" w:pos="1260"/>
          <w:tab w:val="num" w:pos="900"/>
        </w:tabs>
        <w:spacing w:before="0"/>
        <w:ind w:left="720" w:firstLine="0"/>
      </w:pPr>
      <w:r w:rsidRPr="0058047D">
        <w:rPr>
          <w:rFonts w:ascii="Tahoma" w:hAnsi="Tahoma" w:cs="Tahoma"/>
          <w:sz w:val="18"/>
          <w:szCs w:val="18"/>
          <w:u w:val="single"/>
        </w:rPr>
        <w:t>Requisiti di Idoneità</w:t>
      </w:r>
      <w:r w:rsidRPr="0058047D">
        <w:rPr>
          <w:rFonts w:ascii="Tahoma" w:hAnsi="Tahoma" w:cs="Tahoma"/>
          <w:sz w:val="18"/>
          <w:szCs w:val="18"/>
        </w:rPr>
        <w:br/>
        <w:t>Le società che hanno stipulato un Contratto Multilicenza e che soddisfano tutti i criteri che seguono sono</w:t>
      </w:r>
      <w:r w:rsidR="00905752">
        <w:rPr>
          <w:rFonts w:ascii="Tahoma" w:hAnsi="Tahoma" w:cs="Tahoma"/>
          <w:sz w:val="18"/>
          <w:szCs w:val="18"/>
        </w:rPr>
        <w:t> </w:t>
      </w:r>
      <w:r w:rsidRPr="0058047D">
        <w:rPr>
          <w:rFonts w:ascii="Tahoma" w:hAnsi="Tahoma" w:cs="Tahoma"/>
          <w:sz w:val="18"/>
          <w:szCs w:val="18"/>
        </w:rPr>
        <w:t>idonee ad acquistare i supporti di memorizzazione per Microsoft Windows XP Professional N.</w:t>
      </w:r>
    </w:p>
    <w:p w14:paraId="7F7E5981" w14:textId="77777777" w:rsidR="00F64DEA" w:rsidRPr="0058047D" w:rsidRDefault="00F64DEA" w:rsidP="00F64DEA">
      <w:pPr>
        <w:pStyle w:val="FootnoteBulletLevel2"/>
        <w:tabs>
          <w:tab w:val="clear" w:pos="1260"/>
          <w:tab w:val="num" w:pos="900"/>
        </w:tabs>
        <w:spacing w:before="0"/>
        <w:ind w:left="720" w:firstLine="0"/>
      </w:pPr>
    </w:p>
    <w:p w14:paraId="2D3C965C" w14:textId="77777777" w:rsidR="00B73A46" w:rsidRPr="0058047D" w:rsidRDefault="00B73A46" w:rsidP="00F64DEA">
      <w:pPr>
        <w:pStyle w:val="Footnotedash"/>
        <w:tabs>
          <w:tab w:val="clear" w:pos="1620"/>
          <w:tab w:val="num" w:pos="2160"/>
        </w:tabs>
        <w:spacing w:before="0" w:after="0"/>
        <w:ind w:left="720" w:firstLine="7"/>
      </w:pPr>
      <w:r w:rsidRPr="0058047D">
        <w:rPr>
          <w:rFonts w:ascii="Tahoma" w:hAnsi="Tahoma" w:cs="Tahoma"/>
          <w:sz w:val="18"/>
          <w:szCs w:val="18"/>
        </w:rPr>
        <w:t xml:space="preserve">Devono disporre di almeno uno dei seguenti contratti o iscrizioni attivi con Microsoft Ireland Operations Ltd: </w:t>
      </w:r>
    </w:p>
    <w:p w14:paraId="086121DD" w14:textId="77777777" w:rsidR="00F64DEA" w:rsidRPr="0058047D" w:rsidRDefault="00F64DEA" w:rsidP="00F64DEA">
      <w:pPr>
        <w:pStyle w:val="Footnotedash"/>
        <w:tabs>
          <w:tab w:val="clear" w:pos="1620"/>
          <w:tab w:val="num" w:pos="2160"/>
        </w:tabs>
        <w:spacing w:before="0" w:after="0"/>
        <w:ind w:left="720" w:firstLine="7"/>
      </w:pPr>
    </w:p>
    <w:p w14:paraId="115CD7FB" w14:textId="77777777" w:rsidR="00B73A46" w:rsidRPr="0058047D" w:rsidRDefault="00B73A46" w:rsidP="00346F4B">
      <w:pPr>
        <w:pStyle w:val="Footnotedash"/>
        <w:numPr>
          <w:ilvl w:val="0"/>
          <w:numId w:val="32"/>
        </w:numPr>
        <w:adjustRightInd/>
        <w:spacing w:before="0"/>
        <w:ind w:left="1440"/>
        <w:textAlignment w:val="auto"/>
      </w:pPr>
      <w:r w:rsidRPr="0058047D">
        <w:rPr>
          <w:rFonts w:ascii="Tahoma" w:hAnsi="Tahoma" w:cs="Tahoma"/>
          <w:sz w:val="18"/>
          <w:szCs w:val="18"/>
        </w:rPr>
        <w:t>Iscrizione Select, Enterprise o Enterprise Subscription</w:t>
      </w:r>
    </w:p>
    <w:p w14:paraId="31D6709B" w14:textId="77777777" w:rsidR="00B73A46" w:rsidRPr="0058047D" w:rsidRDefault="00B73A46" w:rsidP="00346F4B">
      <w:pPr>
        <w:pStyle w:val="Footnotedash"/>
        <w:numPr>
          <w:ilvl w:val="0"/>
          <w:numId w:val="32"/>
        </w:numPr>
        <w:adjustRightInd/>
        <w:spacing w:before="0"/>
        <w:ind w:left="1440"/>
        <w:textAlignment w:val="auto"/>
      </w:pPr>
      <w:r w:rsidRPr="0058047D">
        <w:rPr>
          <w:rFonts w:ascii="Tahoma" w:hAnsi="Tahoma" w:cs="Tahoma"/>
          <w:sz w:val="18"/>
          <w:szCs w:val="18"/>
        </w:rPr>
        <w:t xml:space="preserve">Contratti Open License*, Open Value, Campus e School, Open Value Subscription - Education Solutions </w:t>
      </w:r>
    </w:p>
    <w:p w14:paraId="0AAABB89" w14:textId="77777777" w:rsidR="00B73A46" w:rsidRPr="0058047D" w:rsidRDefault="00B73A46" w:rsidP="00F64DEA">
      <w:pPr>
        <w:pStyle w:val="Footnotedash"/>
        <w:spacing w:before="0"/>
        <w:ind w:left="1440" w:firstLine="0"/>
      </w:pPr>
      <w:r w:rsidRPr="0058047D">
        <w:rPr>
          <w:rFonts w:ascii="Tahoma" w:hAnsi="Tahoma" w:cs="Tahoma"/>
          <w:sz w:val="18"/>
          <w:szCs w:val="18"/>
        </w:rPr>
        <w:t>(*Ai fini del Contratto Open License, un “contratto attivo” è un contratto associato a un Numero di</w:t>
      </w:r>
      <w:r w:rsidR="00905752">
        <w:rPr>
          <w:rFonts w:ascii="Tahoma" w:hAnsi="Tahoma" w:cs="Tahoma"/>
          <w:sz w:val="18"/>
          <w:szCs w:val="18"/>
        </w:rPr>
        <w:t> </w:t>
      </w:r>
      <w:r w:rsidRPr="0058047D">
        <w:rPr>
          <w:rFonts w:ascii="Tahoma" w:hAnsi="Tahoma" w:cs="Tahoma"/>
          <w:sz w:val="18"/>
          <w:szCs w:val="18"/>
        </w:rPr>
        <w:t>Autorizzazione Open License attivo).</w:t>
      </w:r>
    </w:p>
    <w:p w14:paraId="52E92659" w14:textId="77777777" w:rsidR="00F64DEA" w:rsidRPr="0058047D" w:rsidRDefault="00F64DEA" w:rsidP="00F64DEA">
      <w:pPr>
        <w:pStyle w:val="Footnotedash"/>
        <w:spacing w:before="0" w:after="0"/>
        <w:ind w:left="1440" w:firstLine="0"/>
      </w:pPr>
    </w:p>
    <w:p w14:paraId="55710B48" w14:textId="77777777" w:rsidR="00B73A46" w:rsidRPr="0058047D" w:rsidRDefault="00B73A46" w:rsidP="00F64DEA">
      <w:pPr>
        <w:pStyle w:val="Footnotedash"/>
        <w:tabs>
          <w:tab w:val="left" w:pos="1620"/>
        </w:tabs>
        <w:spacing w:before="0" w:after="0"/>
        <w:ind w:left="720" w:firstLine="7"/>
      </w:pPr>
      <w:r w:rsidRPr="0058047D">
        <w:rPr>
          <w:rFonts w:ascii="Tahoma" w:hAnsi="Tahoma" w:cs="Tahoma"/>
          <w:sz w:val="18"/>
          <w:szCs w:val="18"/>
        </w:rPr>
        <w:t>Devono disporre di una copertura Software Assurance attiva per le licenze di Aggiornamento per il Sistema Operativo Desktop Windows o per Windows XP Professional acquistate a partire dalla data del 2 febbraio 2005.</w:t>
      </w:r>
    </w:p>
    <w:p w14:paraId="6CCAB906" w14:textId="77777777" w:rsidR="00F64DEA" w:rsidRPr="0058047D" w:rsidRDefault="00F64DEA" w:rsidP="00F64DEA">
      <w:pPr>
        <w:pStyle w:val="Footnotedash"/>
        <w:tabs>
          <w:tab w:val="left" w:pos="1620"/>
        </w:tabs>
        <w:spacing w:before="0" w:after="0"/>
        <w:ind w:left="720" w:firstLine="7"/>
      </w:pPr>
    </w:p>
    <w:p w14:paraId="3828FC4A" w14:textId="77777777" w:rsidR="00766C40" w:rsidRPr="0058047D" w:rsidRDefault="00B73A46" w:rsidP="00F64DEA">
      <w:pPr>
        <w:pStyle w:val="Footnotedash"/>
        <w:tabs>
          <w:tab w:val="left" w:pos="1620"/>
        </w:tabs>
        <w:spacing w:before="0" w:after="0"/>
        <w:ind w:left="720" w:firstLine="7"/>
      </w:pPr>
      <w:r w:rsidRPr="0058047D">
        <w:rPr>
          <w:rFonts w:ascii="Tahoma" w:hAnsi="Tahoma" w:cs="Tahoma"/>
          <w:sz w:val="18"/>
          <w:szCs w:val="18"/>
        </w:rPr>
        <w:t>Devono avere sede in a) uno dei paesi dell</w:t>
      </w:r>
      <w:r w:rsidR="001C4212">
        <w:rPr>
          <w:rFonts w:ascii="Tahoma" w:hAnsi="Tahoma" w:cs="Tahoma"/>
          <w:sz w:val="18"/>
          <w:szCs w:val="18"/>
        </w:rPr>
        <w:t>’</w:t>
      </w:r>
      <w:r w:rsidRPr="0058047D">
        <w:rPr>
          <w:rFonts w:ascii="Tahoma" w:hAnsi="Tahoma" w:cs="Tahoma"/>
          <w:sz w:val="18"/>
          <w:szCs w:val="18"/>
        </w:rPr>
        <w:t>Unione Europea (UE), b) in uno stato membro dell</w:t>
      </w:r>
      <w:r w:rsidR="001C4212">
        <w:rPr>
          <w:rFonts w:ascii="Tahoma" w:hAnsi="Tahoma" w:cs="Tahoma"/>
          <w:sz w:val="18"/>
          <w:szCs w:val="18"/>
        </w:rPr>
        <w:t>’</w:t>
      </w:r>
      <w:r w:rsidRPr="0058047D">
        <w:rPr>
          <w:rFonts w:ascii="Tahoma" w:hAnsi="Tahoma" w:cs="Tahoma"/>
          <w:sz w:val="18"/>
          <w:szCs w:val="18"/>
        </w:rPr>
        <w:t xml:space="preserve">Associazione Europea per il Libero Scambio (EFTA), c) in Bulgaria, in Croazia, in Romania o in Svizzera. </w:t>
      </w:r>
    </w:p>
    <w:p w14:paraId="176365F2" w14:textId="77777777" w:rsidR="00F64DEA" w:rsidRPr="0058047D" w:rsidRDefault="00F64DEA" w:rsidP="00F64DEA">
      <w:pPr>
        <w:pStyle w:val="FootnoteBulletLevel1"/>
        <w:tabs>
          <w:tab w:val="clear" w:pos="900"/>
        </w:tabs>
        <w:adjustRightInd/>
        <w:spacing w:before="0" w:after="0"/>
        <w:ind w:left="720" w:firstLine="0"/>
        <w:textAlignment w:val="auto"/>
      </w:pPr>
    </w:p>
    <w:p w14:paraId="5B4ABE31" w14:textId="77777777" w:rsidR="00B73A46" w:rsidRPr="0058047D" w:rsidRDefault="00B73A46" w:rsidP="00F64DEA">
      <w:pPr>
        <w:pStyle w:val="FootnoteBulletLevel1"/>
        <w:tabs>
          <w:tab w:val="clear" w:pos="900"/>
        </w:tabs>
        <w:adjustRightInd/>
        <w:spacing w:before="0" w:after="60"/>
        <w:ind w:left="720" w:firstLine="0"/>
        <w:textAlignment w:val="auto"/>
      </w:pPr>
      <w:r w:rsidRPr="0058047D">
        <w:rPr>
          <w:rFonts w:ascii="Tahoma" w:hAnsi="Tahoma" w:cs="Tahoma"/>
          <w:b/>
          <w:bCs/>
          <w:sz w:val="18"/>
          <w:szCs w:val="18"/>
        </w:rPr>
        <w:t>Windows XP Professional</w:t>
      </w:r>
    </w:p>
    <w:p w14:paraId="5D6F505D" w14:textId="77777777" w:rsidR="00B73A46" w:rsidRPr="0058047D" w:rsidRDefault="00B73A46" w:rsidP="00F64DEA">
      <w:pPr>
        <w:pStyle w:val="FootnoteBulletLevel2"/>
        <w:spacing w:before="0"/>
        <w:ind w:left="720" w:firstLine="0"/>
      </w:pPr>
      <w:r w:rsidRPr="0058047D">
        <w:rPr>
          <w:rFonts w:ascii="Tahoma" w:hAnsi="Tahoma" w:cs="Tahoma"/>
          <w:sz w:val="18"/>
          <w:szCs w:val="18"/>
        </w:rPr>
        <w:t>Limitazioni all</w:t>
      </w:r>
      <w:r w:rsidR="001C4212">
        <w:rPr>
          <w:rFonts w:ascii="Tahoma" w:hAnsi="Tahoma" w:cs="Tahoma"/>
          <w:sz w:val="18"/>
          <w:szCs w:val="18"/>
        </w:rPr>
        <w:t>’</w:t>
      </w:r>
      <w:r w:rsidRPr="0058047D">
        <w:rPr>
          <w:rFonts w:ascii="Tahoma" w:hAnsi="Tahoma" w:cs="Tahoma"/>
          <w:sz w:val="18"/>
          <w:szCs w:val="18"/>
        </w:rPr>
        <w:t>utilizzo di Windows XP Professional in Corea:</w:t>
      </w:r>
    </w:p>
    <w:p w14:paraId="126AF593" w14:textId="77777777" w:rsidR="00B73A46" w:rsidRPr="0058047D" w:rsidRDefault="00B73A46" w:rsidP="00F64DEA">
      <w:pPr>
        <w:pStyle w:val="FootnoteBulletLevel2"/>
        <w:spacing w:before="0"/>
        <w:ind w:left="720" w:firstLine="0"/>
      </w:pPr>
      <w:r w:rsidRPr="0058047D">
        <w:rPr>
          <w:rFonts w:ascii="Tahoma" w:hAnsi="Tahoma" w:cs="Tahoma"/>
          <w:sz w:val="18"/>
          <w:szCs w:val="18"/>
        </w:rPr>
        <w:t>Tali limitazioni si applicano anche all</w:t>
      </w:r>
      <w:r w:rsidR="001C4212">
        <w:rPr>
          <w:rFonts w:ascii="Tahoma" w:hAnsi="Tahoma" w:cs="Tahoma"/>
          <w:sz w:val="18"/>
          <w:szCs w:val="18"/>
        </w:rPr>
        <w:t>’</w:t>
      </w:r>
      <w:r w:rsidRPr="0058047D">
        <w:rPr>
          <w:rFonts w:ascii="Tahoma" w:hAnsi="Tahoma" w:cs="Tahoma"/>
          <w:sz w:val="18"/>
          <w:szCs w:val="18"/>
        </w:rPr>
        <w:t>utilizzo di Windows XP Professional in conformità ai diritti di downgrade.</w:t>
      </w:r>
    </w:p>
    <w:p w14:paraId="2C5BD08F" w14:textId="77777777" w:rsidR="00F64DEA" w:rsidRPr="0058047D" w:rsidRDefault="00F64DEA" w:rsidP="00F64DEA">
      <w:pPr>
        <w:pStyle w:val="FootnoteBulletLevel2"/>
        <w:spacing w:before="0"/>
        <w:ind w:left="720" w:firstLine="0"/>
      </w:pPr>
    </w:p>
    <w:p w14:paraId="595CD4B7" w14:textId="77777777" w:rsidR="00B73A46" w:rsidRPr="0058047D" w:rsidRDefault="00B73A46" w:rsidP="00346F4B">
      <w:pPr>
        <w:pStyle w:val="Footnotedash"/>
        <w:numPr>
          <w:ilvl w:val="0"/>
          <w:numId w:val="32"/>
        </w:numPr>
        <w:adjustRightInd/>
        <w:spacing w:before="0"/>
        <w:ind w:left="1440"/>
        <w:textAlignment w:val="auto"/>
      </w:pPr>
      <w:r w:rsidRPr="0058047D">
        <w:rPr>
          <w:rFonts w:ascii="Tahoma" w:hAnsi="Tahoma" w:cs="Tahoma"/>
          <w:sz w:val="18"/>
          <w:szCs w:val="18"/>
        </w:rPr>
        <w:t xml:space="preserve">La KFTC (Korean Fair Trade Commission) prevede alcune limitazioni relative alla possibilità per le società che abbiano stipulato Contratti Multilicenza e le loro consociate di distribuire la versione in lingua coreana di Windows XP Professional per utilizzarla in Corea. </w:t>
      </w:r>
    </w:p>
    <w:p w14:paraId="5959575B" w14:textId="77777777" w:rsidR="00B73A46" w:rsidRPr="0058047D" w:rsidRDefault="00B73A46" w:rsidP="00346F4B">
      <w:pPr>
        <w:pStyle w:val="Footnotedash"/>
        <w:numPr>
          <w:ilvl w:val="0"/>
          <w:numId w:val="32"/>
        </w:numPr>
        <w:adjustRightInd/>
        <w:spacing w:before="0"/>
        <w:ind w:left="1440"/>
        <w:textAlignment w:val="auto"/>
      </w:pPr>
      <w:r w:rsidRPr="0058047D">
        <w:rPr>
          <w:rFonts w:ascii="Tahoma" w:hAnsi="Tahoma" w:cs="Tahoma"/>
          <w:sz w:val="18"/>
          <w:szCs w:val="18"/>
        </w:rPr>
        <w:t xml:space="preserve">Tali limitazioni non si applicano alle licenze acquistate dalle società nella versione in lingua coreana di Windows XP Professional prima del 24 agosto 2006. </w:t>
      </w:r>
    </w:p>
    <w:p w14:paraId="537926F5" w14:textId="77777777" w:rsidR="00B73A46" w:rsidRPr="0058047D" w:rsidRDefault="00B73A46" w:rsidP="00346F4B">
      <w:pPr>
        <w:pStyle w:val="Footnotedash"/>
        <w:numPr>
          <w:ilvl w:val="0"/>
          <w:numId w:val="32"/>
        </w:numPr>
        <w:adjustRightInd/>
        <w:spacing w:before="0"/>
        <w:ind w:left="1440"/>
        <w:textAlignment w:val="auto"/>
      </w:pPr>
      <w:r w:rsidRPr="0058047D">
        <w:rPr>
          <w:rFonts w:ascii="Tahoma" w:hAnsi="Tahoma" w:cs="Tahoma"/>
          <w:sz w:val="18"/>
          <w:szCs w:val="18"/>
        </w:rPr>
        <w:t>Tali limitazioni non si applicano neppure alle società multinazionali la cui sede sia al di fuori della Corea e che utilizzano un</w:t>
      </w:r>
      <w:r w:rsidR="001C4212">
        <w:rPr>
          <w:rFonts w:ascii="Tahoma" w:hAnsi="Tahoma" w:cs="Tahoma"/>
          <w:sz w:val="18"/>
          <w:szCs w:val="18"/>
        </w:rPr>
        <w:t>’</w:t>
      </w:r>
      <w:r w:rsidRPr="0058047D">
        <w:rPr>
          <w:rFonts w:ascii="Tahoma" w:hAnsi="Tahoma" w:cs="Tahoma"/>
          <w:sz w:val="18"/>
          <w:szCs w:val="18"/>
        </w:rPr>
        <w:t>unica immagine del software.</w:t>
      </w:r>
    </w:p>
    <w:p w14:paraId="69D86A3B" w14:textId="77777777" w:rsidR="00B73A46" w:rsidRPr="0058047D" w:rsidRDefault="00B73A46" w:rsidP="00346F4B">
      <w:pPr>
        <w:pStyle w:val="Footnotedash"/>
        <w:numPr>
          <w:ilvl w:val="0"/>
          <w:numId w:val="32"/>
        </w:numPr>
        <w:adjustRightInd/>
        <w:spacing w:before="0"/>
        <w:ind w:left="1440"/>
        <w:textAlignment w:val="auto"/>
      </w:pPr>
      <w:r w:rsidRPr="0058047D">
        <w:rPr>
          <w:rFonts w:ascii="Tahoma" w:hAnsi="Tahoma" w:cs="Tahoma"/>
          <w:sz w:val="18"/>
          <w:szCs w:val="18"/>
        </w:rPr>
        <w:t>Tali limitazioni non si applicano alle società che abbiano stipulato contratti in vigore al 23 agosto 2006 e che, in circostanze eccezionali, utilizzino un</w:t>
      </w:r>
      <w:r w:rsidR="001C4212">
        <w:rPr>
          <w:rFonts w:ascii="Tahoma" w:hAnsi="Tahoma" w:cs="Tahoma"/>
          <w:sz w:val="18"/>
          <w:szCs w:val="18"/>
        </w:rPr>
        <w:t>’</w:t>
      </w:r>
      <w:r w:rsidRPr="0058047D">
        <w:rPr>
          <w:rFonts w:ascii="Tahoma" w:hAnsi="Tahoma" w:cs="Tahoma"/>
          <w:sz w:val="18"/>
          <w:szCs w:val="18"/>
        </w:rPr>
        <w:t>unica immagine del software in via continuativa.</w:t>
      </w:r>
    </w:p>
    <w:p w14:paraId="2E70427C" w14:textId="77777777" w:rsidR="00B73A46" w:rsidRPr="0058047D" w:rsidRDefault="00B73A46" w:rsidP="00346F4B">
      <w:pPr>
        <w:pStyle w:val="Footnotedash"/>
        <w:numPr>
          <w:ilvl w:val="0"/>
          <w:numId w:val="32"/>
        </w:numPr>
        <w:adjustRightInd/>
        <w:spacing w:before="0"/>
        <w:ind w:left="1440"/>
        <w:textAlignment w:val="auto"/>
      </w:pPr>
      <w:r w:rsidRPr="0058047D">
        <w:rPr>
          <w:rFonts w:ascii="Tahoma" w:hAnsi="Tahoma" w:cs="Tahoma"/>
          <w:sz w:val="18"/>
          <w:szCs w:val="18"/>
        </w:rPr>
        <w:t>La KFTC non ha imposto limitazioni relative all</w:t>
      </w:r>
      <w:r w:rsidR="001C4212">
        <w:rPr>
          <w:rFonts w:ascii="Tahoma" w:hAnsi="Tahoma" w:cs="Tahoma"/>
          <w:sz w:val="18"/>
          <w:szCs w:val="18"/>
        </w:rPr>
        <w:t>’</w:t>
      </w:r>
      <w:r w:rsidRPr="0058047D">
        <w:rPr>
          <w:rFonts w:ascii="Tahoma" w:hAnsi="Tahoma" w:cs="Tahoma"/>
          <w:sz w:val="18"/>
          <w:szCs w:val="18"/>
        </w:rPr>
        <w:t xml:space="preserve">utilizzo delle versioni in lingue diverse dal coreano. </w:t>
      </w:r>
    </w:p>
    <w:p w14:paraId="23B35BDA" w14:textId="77777777" w:rsidR="00B73A46" w:rsidRPr="0058047D" w:rsidRDefault="00B73A46" w:rsidP="00346F4B">
      <w:pPr>
        <w:pStyle w:val="Footnotedash"/>
        <w:numPr>
          <w:ilvl w:val="0"/>
          <w:numId w:val="32"/>
        </w:numPr>
        <w:adjustRightInd/>
        <w:spacing w:before="0"/>
        <w:ind w:left="1440"/>
        <w:textAlignment w:val="auto"/>
      </w:pPr>
      <w:r w:rsidRPr="0058047D">
        <w:rPr>
          <w:rFonts w:ascii="Tahoma" w:hAnsi="Tahoma" w:cs="Tahoma"/>
          <w:sz w:val="18"/>
          <w:szCs w:val="18"/>
        </w:rPr>
        <w:t>La KFTC non ha imposto limitazioni relative alle edizioni Tablet PC o 64-bit in qualunque versione linguistica.</w:t>
      </w:r>
    </w:p>
    <w:p w14:paraId="32D774A4" w14:textId="77777777" w:rsidR="00F64DEA" w:rsidRPr="0058047D" w:rsidRDefault="00F64DEA" w:rsidP="00AF3B19">
      <w:pPr>
        <w:pStyle w:val="Footnotedash"/>
        <w:tabs>
          <w:tab w:val="clear" w:pos="1620"/>
        </w:tabs>
        <w:adjustRightInd/>
        <w:spacing w:before="0" w:after="0"/>
        <w:ind w:left="1440" w:firstLine="0"/>
        <w:textAlignment w:val="auto"/>
      </w:pPr>
    </w:p>
    <w:p w14:paraId="0EA28522" w14:textId="77777777" w:rsidR="00B73A46" w:rsidRPr="0058047D" w:rsidRDefault="00B73A46" w:rsidP="00F64DEA">
      <w:pPr>
        <w:pStyle w:val="FootnoteBulletLevel2"/>
        <w:spacing w:before="0"/>
        <w:ind w:left="720" w:hanging="7"/>
      </w:pPr>
      <w:r w:rsidRPr="0058047D">
        <w:rPr>
          <w:rFonts w:ascii="Tahoma" w:hAnsi="Tahoma" w:cs="Tahoma"/>
          <w:sz w:val="18"/>
          <w:szCs w:val="18"/>
          <w:u w:val="single"/>
        </w:rPr>
        <w:t>Limitazioni</w:t>
      </w:r>
      <w:r w:rsidRPr="00905752">
        <w:rPr>
          <w:rFonts w:ascii="Tahoma" w:hAnsi="Tahoma" w:cs="Tahoma"/>
          <w:sz w:val="18"/>
          <w:szCs w:val="18"/>
        </w:rPr>
        <w:t>:</w:t>
      </w:r>
    </w:p>
    <w:p w14:paraId="0BDA1CC2" w14:textId="77777777" w:rsidR="00B73A46" w:rsidRPr="0058047D" w:rsidRDefault="00B73A46" w:rsidP="00F64DEA">
      <w:pPr>
        <w:pStyle w:val="FootnoteBulletLevel2"/>
        <w:spacing w:before="0"/>
        <w:ind w:left="720" w:hanging="7"/>
      </w:pPr>
      <w:r w:rsidRPr="0058047D">
        <w:rPr>
          <w:rFonts w:ascii="Tahoma" w:hAnsi="Tahoma" w:cs="Tahoma"/>
          <w:sz w:val="18"/>
          <w:szCs w:val="18"/>
        </w:rPr>
        <w:t>A partire dal 24 agosto 2006 le società che hanno stipulato Contratti Multilicenza in Corea, che non soddisfano i criteri previsti per le eccezioni e che intendono utilizzare le versioni in lingua coreana, devono distribuire Windows XP Professional K o Windows XP Professional KN.</w:t>
      </w:r>
    </w:p>
    <w:p w14:paraId="498DE2D1" w14:textId="77777777" w:rsidR="00B73A46" w:rsidRPr="0058047D" w:rsidRDefault="00B73A46" w:rsidP="00F64DEA">
      <w:pPr>
        <w:pStyle w:val="FootnoteBulletLevel1"/>
        <w:tabs>
          <w:tab w:val="clear" w:pos="900"/>
        </w:tabs>
        <w:adjustRightInd/>
        <w:spacing w:before="0" w:after="60"/>
        <w:ind w:left="720" w:firstLine="0"/>
        <w:textAlignment w:val="auto"/>
      </w:pPr>
      <w:r w:rsidRPr="0058047D">
        <w:rPr>
          <w:rFonts w:ascii="Tahoma" w:hAnsi="Tahoma" w:cs="Tahoma"/>
          <w:b/>
          <w:bCs/>
          <w:sz w:val="18"/>
          <w:szCs w:val="18"/>
        </w:rPr>
        <w:t>Windows XP Professional K e KN</w:t>
      </w:r>
    </w:p>
    <w:p w14:paraId="6343496F" w14:textId="77777777" w:rsidR="00B73A46" w:rsidRPr="0058047D" w:rsidRDefault="00B73A46" w:rsidP="00F64DEA">
      <w:pPr>
        <w:pStyle w:val="FootnoteBulletLevel2"/>
        <w:spacing w:before="0"/>
        <w:ind w:left="720" w:hanging="7"/>
      </w:pPr>
      <w:r w:rsidRPr="0058047D">
        <w:rPr>
          <w:rFonts w:ascii="Tahoma" w:hAnsi="Tahoma" w:cs="Tahoma"/>
          <w:sz w:val="18"/>
          <w:szCs w:val="18"/>
        </w:rPr>
        <w:t>Le società che hanno stipulato Contratti Multilicenza e le loro consociate potranno distribuire Windows XP Professional K o KN esclusivamente per l</w:t>
      </w:r>
      <w:r w:rsidR="001C4212">
        <w:rPr>
          <w:rFonts w:ascii="Tahoma" w:hAnsi="Tahoma" w:cs="Tahoma"/>
          <w:sz w:val="18"/>
          <w:szCs w:val="18"/>
        </w:rPr>
        <w:t>’</w:t>
      </w:r>
      <w:r w:rsidRPr="0058047D">
        <w:rPr>
          <w:rFonts w:ascii="Tahoma" w:hAnsi="Tahoma" w:cs="Tahoma"/>
          <w:sz w:val="18"/>
          <w:szCs w:val="18"/>
        </w:rPr>
        <w:t xml:space="preserve">utilizzo in Corea. </w:t>
      </w:r>
    </w:p>
    <w:p w14:paraId="27651B8A" w14:textId="77777777" w:rsidR="00F64DEA" w:rsidRPr="0058047D" w:rsidRDefault="00F64DEA" w:rsidP="00F64DEA">
      <w:pPr>
        <w:pStyle w:val="FootnoteBulletLevel2"/>
        <w:spacing w:before="0"/>
        <w:ind w:left="720" w:hanging="7"/>
      </w:pPr>
    </w:p>
    <w:p w14:paraId="6CDE4C68" w14:textId="77777777" w:rsidR="00B73A46" w:rsidRPr="0058047D" w:rsidRDefault="00B73A46" w:rsidP="00F64DEA">
      <w:pPr>
        <w:pStyle w:val="FootnoteBulletLevel1"/>
        <w:tabs>
          <w:tab w:val="clear" w:pos="900"/>
        </w:tabs>
        <w:adjustRightInd/>
        <w:spacing w:before="0" w:after="60"/>
        <w:ind w:left="720" w:firstLine="0"/>
        <w:textAlignment w:val="auto"/>
      </w:pPr>
      <w:r w:rsidRPr="0058047D">
        <w:rPr>
          <w:rFonts w:ascii="Tahoma" w:hAnsi="Tahoma" w:cs="Tahoma"/>
          <w:b/>
          <w:bCs/>
          <w:sz w:val="18"/>
          <w:szCs w:val="18"/>
        </w:rPr>
        <w:t>Windows Vista Business KN</w:t>
      </w:r>
    </w:p>
    <w:p w14:paraId="2726125E" w14:textId="77777777" w:rsidR="00B73A46" w:rsidRPr="0058047D" w:rsidRDefault="00B73A46" w:rsidP="00F64DEA">
      <w:pPr>
        <w:pStyle w:val="FootnoteBulletLevel2"/>
        <w:spacing w:before="0"/>
        <w:ind w:left="720" w:hanging="7"/>
      </w:pPr>
      <w:r w:rsidRPr="0058047D">
        <w:rPr>
          <w:rFonts w:ascii="Tahoma" w:hAnsi="Tahoma" w:cs="Tahoma"/>
          <w:sz w:val="18"/>
          <w:szCs w:val="18"/>
          <w:u w:val="single"/>
        </w:rPr>
        <w:t>Requisiti di Idoneità</w:t>
      </w:r>
      <w:r w:rsidRPr="00905752">
        <w:rPr>
          <w:rFonts w:ascii="Tahoma" w:hAnsi="Tahoma" w:cs="Tahoma"/>
          <w:sz w:val="18"/>
          <w:szCs w:val="18"/>
        </w:rPr>
        <w:t>:</w:t>
      </w:r>
      <w:r w:rsidRPr="0058047D">
        <w:rPr>
          <w:rFonts w:ascii="Tahoma" w:hAnsi="Tahoma" w:cs="Tahoma"/>
          <w:sz w:val="18"/>
          <w:szCs w:val="18"/>
          <w:u w:val="single"/>
        </w:rPr>
        <w:br/>
      </w:r>
      <w:r w:rsidRPr="0058047D">
        <w:rPr>
          <w:rFonts w:ascii="Tahoma" w:hAnsi="Tahoma" w:cs="Tahoma"/>
          <w:sz w:val="18"/>
          <w:szCs w:val="18"/>
        </w:rPr>
        <w:t>le società con sede in Corea, che hanno stipulato Contratti Multilicenza e che dispongono di un</w:t>
      </w:r>
      <w:r w:rsidR="001C4212">
        <w:rPr>
          <w:rFonts w:ascii="Tahoma" w:hAnsi="Tahoma" w:cs="Tahoma"/>
          <w:sz w:val="18"/>
          <w:szCs w:val="18"/>
        </w:rPr>
        <w:t>’</w:t>
      </w:r>
      <w:r w:rsidRPr="0058047D">
        <w:rPr>
          <w:rFonts w:ascii="Tahoma" w:hAnsi="Tahoma" w:cs="Tahoma"/>
          <w:sz w:val="18"/>
          <w:szCs w:val="18"/>
        </w:rPr>
        <w:t>iscrizione o</w:t>
      </w:r>
      <w:r w:rsidR="00905752">
        <w:rPr>
          <w:rFonts w:ascii="Tahoma" w:hAnsi="Tahoma" w:cs="Tahoma"/>
          <w:sz w:val="18"/>
          <w:szCs w:val="18"/>
        </w:rPr>
        <w:t> </w:t>
      </w:r>
      <w:r w:rsidRPr="0058047D">
        <w:rPr>
          <w:rFonts w:ascii="Tahoma" w:hAnsi="Tahoma" w:cs="Tahoma"/>
          <w:sz w:val="18"/>
          <w:szCs w:val="18"/>
        </w:rPr>
        <w:t>di</w:t>
      </w:r>
      <w:r w:rsidR="00905752">
        <w:rPr>
          <w:rFonts w:ascii="Tahoma" w:hAnsi="Tahoma" w:cs="Tahoma"/>
          <w:sz w:val="18"/>
          <w:szCs w:val="18"/>
        </w:rPr>
        <w:t> </w:t>
      </w:r>
      <w:r w:rsidRPr="0058047D">
        <w:rPr>
          <w:rFonts w:ascii="Tahoma" w:hAnsi="Tahoma" w:cs="Tahoma"/>
          <w:sz w:val="18"/>
          <w:szCs w:val="18"/>
        </w:rPr>
        <w:t>un Contratto Multilicenza attivo con Microsoft Operations Pte Ltd, sono idonee ad acquistare i supporti di memorizzazione per Windows Vista Business KN per la distribuzione e l</w:t>
      </w:r>
      <w:r w:rsidR="001C4212">
        <w:rPr>
          <w:rFonts w:ascii="Tahoma" w:hAnsi="Tahoma" w:cs="Tahoma"/>
          <w:sz w:val="18"/>
          <w:szCs w:val="18"/>
        </w:rPr>
        <w:t>’</w:t>
      </w:r>
      <w:r w:rsidRPr="0058047D">
        <w:rPr>
          <w:rFonts w:ascii="Tahoma" w:hAnsi="Tahoma" w:cs="Tahoma"/>
          <w:sz w:val="18"/>
          <w:szCs w:val="18"/>
        </w:rPr>
        <w:t>utilizzo in Corea. Nessun altro utilizzo è consentito.</w:t>
      </w:r>
    </w:p>
    <w:p w14:paraId="7A9B58DE" w14:textId="77777777" w:rsidR="00F64DEA" w:rsidRPr="0058047D" w:rsidRDefault="00F64DEA" w:rsidP="00F64DEA">
      <w:pPr>
        <w:pStyle w:val="FootnoteBulletLevel2"/>
        <w:spacing w:before="0"/>
        <w:ind w:left="720" w:hanging="7"/>
      </w:pPr>
    </w:p>
    <w:p w14:paraId="34AD29BF" w14:textId="77777777" w:rsidR="00B73A46" w:rsidRPr="0058047D" w:rsidRDefault="00B73A46" w:rsidP="00F64DEA">
      <w:pPr>
        <w:pStyle w:val="FootnoteBulletLevel1"/>
        <w:tabs>
          <w:tab w:val="clear" w:pos="900"/>
        </w:tabs>
        <w:adjustRightInd/>
        <w:spacing w:before="0" w:after="60"/>
        <w:ind w:left="720" w:firstLine="0"/>
        <w:textAlignment w:val="auto"/>
      </w:pPr>
      <w:r w:rsidRPr="0058047D">
        <w:rPr>
          <w:rFonts w:ascii="Tahoma" w:hAnsi="Tahoma" w:cs="Tahoma"/>
          <w:b/>
          <w:bCs/>
          <w:sz w:val="18"/>
          <w:szCs w:val="18"/>
        </w:rPr>
        <w:t>Windows 7 Professional KN</w:t>
      </w:r>
    </w:p>
    <w:p w14:paraId="722749D8" w14:textId="77777777" w:rsidR="00B47893" w:rsidRPr="0058047D" w:rsidRDefault="00B73A46" w:rsidP="00F64DEA">
      <w:pPr>
        <w:pStyle w:val="FootnoteBulletLevel2"/>
        <w:spacing w:before="0"/>
        <w:ind w:left="720" w:hanging="7"/>
      </w:pPr>
      <w:r w:rsidRPr="0058047D">
        <w:rPr>
          <w:rFonts w:ascii="Tahoma" w:hAnsi="Tahoma" w:cs="Tahoma"/>
          <w:sz w:val="18"/>
          <w:szCs w:val="18"/>
          <w:u w:val="single"/>
        </w:rPr>
        <w:t>Requisiti di Idoneità</w:t>
      </w:r>
      <w:r w:rsidRPr="00905752">
        <w:rPr>
          <w:rFonts w:ascii="Tahoma" w:hAnsi="Tahoma" w:cs="Tahoma"/>
          <w:sz w:val="18"/>
          <w:szCs w:val="18"/>
        </w:rPr>
        <w:t>:</w:t>
      </w:r>
      <w:r w:rsidRPr="0058047D">
        <w:rPr>
          <w:rFonts w:ascii="Tahoma" w:hAnsi="Tahoma" w:cs="Tahoma"/>
          <w:sz w:val="18"/>
          <w:szCs w:val="18"/>
          <w:u w:val="single"/>
        </w:rPr>
        <w:br/>
      </w:r>
      <w:r w:rsidRPr="0058047D">
        <w:rPr>
          <w:rFonts w:ascii="Tahoma" w:hAnsi="Tahoma" w:cs="Tahoma"/>
          <w:sz w:val="18"/>
          <w:szCs w:val="18"/>
        </w:rPr>
        <w:t>le società con sede in Corea, che hanno stipulato Contratti Multilicenza e che dispongono di un</w:t>
      </w:r>
      <w:r w:rsidR="001C4212">
        <w:rPr>
          <w:rFonts w:ascii="Tahoma" w:hAnsi="Tahoma" w:cs="Tahoma"/>
          <w:sz w:val="18"/>
          <w:szCs w:val="18"/>
        </w:rPr>
        <w:t>’</w:t>
      </w:r>
      <w:r w:rsidRPr="0058047D">
        <w:rPr>
          <w:rFonts w:ascii="Tahoma" w:hAnsi="Tahoma" w:cs="Tahoma"/>
          <w:sz w:val="18"/>
          <w:szCs w:val="18"/>
        </w:rPr>
        <w:t>iscrizione o</w:t>
      </w:r>
      <w:r w:rsidR="00905752">
        <w:rPr>
          <w:rFonts w:ascii="Tahoma" w:hAnsi="Tahoma" w:cs="Tahoma"/>
          <w:sz w:val="18"/>
          <w:szCs w:val="18"/>
        </w:rPr>
        <w:t> </w:t>
      </w:r>
      <w:r w:rsidRPr="0058047D">
        <w:rPr>
          <w:rFonts w:ascii="Tahoma" w:hAnsi="Tahoma" w:cs="Tahoma"/>
          <w:sz w:val="18"/>
          <w:szCs w:val="18"/>
        </w:rPr>
        <w:t>di</w:t>
      </w:r>
      <w:r w:rsidR="00905752">
        <w:rPr>
          <w:rFonts w:ascii="Tahoma" w:hAnsi="Tahoma" w:cs="Tahoma"/>
          <w:sz w:val="18"/>
          <w:szCs w:val="18"/>
        </w:rPr>
        <w:t> </w:t>
      </w:r>
      <w:r w:rsidRPr="0058047D">
        <w:rPr>
          <w:rFonts w:ascii="Tahoma" w:hAnsi="Tahoma" w:cs="Tahoma"/>
          <w:sz w:val="18"/>
          <w:szCs w:val="18"/>
        </w:rPr>
        <w:t>un Contratto Multilicenza attivo con Microsoft Operations Pte Ltd, sono idonee ad acquistare i supporti di memorizzazione per Windows 7 Professional KN per la distribuzione e l</w:t>
      </w:r>
      <w:r w:rsidR="001C4212">
        <w:rPr>
          <w:rFonts w:ascii="Tahoma" w:hAnsi="Tahoma" w:cs="Tahoma"/>
          <w:sz w:val="18"/>
          <w:szCs w:val="18"/>
        </w:rPr>
        <w:t>’</w:t>
      </w:r>
      <w:r w:rsidRPr="0058047D">
        <w:rPr>
          <w:rFonts w:ascii="Tahoma" w:hAnsi="Tahoma" w:cs="Tahoma"/>
          <w:sz w:val="18"/>
          <w:szCs w:val="18"/>
        </w:rPr>
        <w:t>utilizzo in Corea. Nessun altro utilizzo è consentito.</w:t>
      </w:r>
    </w:p>
    <w:p w14:paraId="6848CBEB" w14:textId="77777777" w:rsidR="00F64DEA" w:rsidRPr="0058047D" w:rsidRDefault="00F64DEA" w:rsidP="00F64DEA">
      <w:pPr>
        <w:pStyle w:val="FootnoteBulletLevel2"/>
        <w:spacing w:before="0"/>
        <w:ind w:left="720" w:hanging="7"/>
      </w:pPr>
    </w:p>
    <w:p w14:paraId="4BC3D84D" w14:textId="77777777" w:rsidR="00B73A46" w:rsidRPr="0058047D" w:rsidRDefault="00B73A46" w:rsidP="00F64DEA">
      <w:pPr>
        <w:pStyle w:val="FootnoteBulletLevel1"/>
        <w:tabs>
          <w:tab w:val="clear" w:pos="900"/>
        </w:tabs>
        <w:adjustRightInd/>
        <w:spacing w:before="0" w:after="60"/>
        <w:ind w:left="720" w:firstLine="0"/>
        <w:textAlignment w:val="auto"/>
      </w:pPr>
      <w:r w:rsidRPr="0058047D">
        <w:rPr>
          <w:rFonts w:ascii="Tahoma" w:hAnsi="Tahoma" w:cs="Tahoma"/>
          <w:b/>
          <w:bCs/>
          <w:sz w:val="18"/>
          <w:szCs w:val="18"/>
        </w:rPr>
        <w:t>Windows Vista Business N (non contiene Windows Media Player)</w:t>
      </w:r>
    </w:p>
    <w:p w14:paraId="334DEB53" w14:textId="77777777" w:rsidR="00B73A46" w:rsidRPr="0058047D" w:rsidRDefault="00B73A46" w:rsidP="00F64DEA">
      <w:pPr>
        <w:pStyle w:val="FootnoteBulletLevel2"/>
        <w:spacing w:before="0"/>
        <w:ind w:left="720" w:hanging="7"/>
      </w:pPr>
      <w:r w:rsidRPr="0058047D">
        <w:rPr>
          <w:rFonts w:ascii="Tahoma" w:hAnsi="Tahoma" w:cs="Tahoma"/>
          <w:sz w:val="18"/>
          <w:szCs w:val="18"/>
          <w:u w:val="single"/>
        </w:rPr>
        <w:t>Requisiti di Idoneità</w:t>
      </w:r>
      <w:r w:rsidRPr="00905752">
        <w:rPr>
          <w:rFonts w:ascii="Tahoma" w:hAnsi="Tahoma" w:cs="Tahoma"/>
          <w:sz w:val="18"/>
          <w:szCs w:val="18"/>
        </w:rPr>
        <w:t>:</w:t>
      </w:r>
      <w:r w:rsidRPr="0058047D">
        <w:rPr>
          <w:rFonts w:ascii="Tahoma" w:hAnsi="Tahoma" w:cs="Tahoma"/>
          <w:sz w:val="18"/>
          <w:szCs w:val="18"/>
          <w:u w:val="single"/>
        </w:rPr>
        <w:br/>
      </w:r>
      <w:r w:rsidRPr="0058047D">
        <w:rPr>
          <w:rFonts w:ascii="Tahoma" w:hAnsi="Tahoma" w:cs="Tahoma"/>
          <w:sz w:val="18"/>
          <w:szCs w:val="18"/>
        </w:rPr>
        <w:t>le società che hanno stipulato Contratti Multilicenza e che soddisfano tutti i criteri che seguono sono idonee ad acquistare i supporti di memorizzazione per Microsoft Windows Vista Business N esclusivamente per la distribuzione e l</w:t>
      </w:r>
      <w:r w:rsidR="001C4212">
        <w:rPr>
          <w:rFonts w:ascii="Tahoma" w:hAnsi="Tahoma" w:cs="Tahoma"/>
          <w:sz w:val="18"/>
          <w:szCs w:val="18"/>
        </w:rPr>
        <w:t>’</w:t>
      </w:r>
      <w:r w:rsidRPr="0058047D">
        <w:rPr>
          <w:rFonts w:ascii="Tahoma" w:hAnsi="Tahoma" w:cs="Tahoma"/>
          <w:sz w:val="18"/>
          <w:szCs w:val="18"/>
        </w:rPr>
        <w:t>utilizzo nell</w:t>
      </w:r>
      <w:r w:rsidR="001C4212">
        <w:rPr>
          <w:rFonts w:ascii="Tahoma" w:hAnsi="Tahoma" w:cs="Tahoma"/>
          <w:sz w:val="18"/>
          <w:szCs w:val="18"/>
        </w:rPr>
        <w:t>’</w:t>
      </w:r>
      <w:r w:rsidRPr="0058047D">
        <w:rPr>
          <w:rFonts w:ascii="Tahoma" w:hAnsi="Tahoma" w:cs="Tahoma"/>
          <w:sz w:val="18"/>
          <w:szCs w:val="18"/>
        </w:rPr>
        <w:t>Unione Europea (UE), in uno stato membro dell</w:t>
      </w:r>
      <w:r w:rsidR="001C4212">
        <w:rPr>
          <w:rFonts w:ascii="Tahoma" w:hAnsi="Tahoma" w:cs="Tahoma"/>
          <w:sz w:val="18"/>
          <w:szCs w:val="18"/>
        </w:rPr>
        <w:t>’</w:t>
      </w:r>
      <w:r w:rsidRPr="0058047D">
        <w:rPr>
          <w:rFonts w:ascii="Tahoma" w:hAnsi="Tahoma" w:cs="Tahoma"/>
          <w:sz w:val="18"/>
          <w:szCs w:val="18"/>
        </w:rPr>
        <w:t>Associazione Europea per il Libero Scambio (EFTA), in Bulgaria, in Croazia, in Romania o in Svizzera.</w:t>
      </w:r>
    </w:p>
    <w:p w14:paraId="4F499177" w14:textId="77777777" w:rsidR="00F64DEA" w:rsidRPr="0058047D" w:rsidRDefault="00F64DEA" w:rsidP="00F64DEA">
      <w:pPr>
        <w:pStyle w:val="FootnoteBulletLevel2"/>
        <w:spacing w:before="0"/>
        <w:ind w:left="720" w:hanging="7"/>
      </w:pPr>
    </w:p>
    <w:p w14:paraId="545E528D" w14:textId="77777777" w:rsidR="00B73A46" w:rsidRPr="0058047D" w:rsidRDefault="00B73A46" w:rsidP="00F64DEA">
      <w:pPr>
        <w:pStyle w:val="Footnotedash"/>
        <w:spacing w:before="0" w:after="0"/>
        <w:ind w:left="720" w:hanging="7"/>
      </w:pPr>
      <w:r w:rsidRPr="0058047D">
        <w:rPr>
          <w:rFonts w:ascii="Tahoma" w:hAnsi="Tahoma" w:cs="Tahoma"/>
          <w:sz w:val="18"/>
          <w:szCs w:val="18"/>
        </w:rPr>
        <w:t xml:space="preserve">Devono disporre di almeno uno dei seguenti contratti o iscrizioni attivi con Microsoft Ireland Operations Ltd: </w:t>
      </w:r>
    </w:p>
    <w:p w14:paraId="4191E0A3" w14:textId="77777777" w:rsidR="00F64DEA" w:rsidRPr="0058047D" w:rsidRDefault="00F64DEA" w:rsidP="00F64DEA">
      <w:pPr>
        <w:pStyle w:val="Footnotedash"/>
        <w:spacing w:before="0" w:after="0"/>
        <w:ind w:left="720" w:hanging="7"/>
      </w:pPr>
    </w:p>
    <w:p w14:paraId="146398E5" w14:textId="77777777" w:rsidR="00B73A46" w:rsidRPr="0058047D" w:rsidRDefault="00B73A46" w:rsidP="00346F4B">
      <w:pPr>
        <w:pStyle w:val="Footnotedash"/>
        <w:numPr>
          <w:ilvl w:val="0"/>
          <w:numId w:val="32"/>
        </w:numPr>
        <w:adjustRightInd/>
        <w:spacing w:before="0"/>
        <w:ind w:left="1440"/>
        <w:textAlignment w:val="auto"/>
      </w:pPr>
      <w:r w:rsidRPr="0058047D">
        <w:rPr>
          <w:rFonts w:ascii="Tahoma" w:hAnsi="Tahoma" w:cs="Tahoma"/>
          <w:sz w:val="18"/>
          <w:szCs w:val="18"/>
        </w:rPr>
        <w:t>Iscrizione Select, Enterprise o Enterprise Subscription</w:t>
      </w:r>
    </w:p>
    <w:p w14:paraId="4BED4E33" w14:textId="77777777" w:rsidR="00B73A46" w:rsidRPr="0058047D" w:rsidRDefault="00B73A46" w:rsidP="00346F4B">
      <w:pPr>
        <w:pStyle w:val="Footnotedash"/>
        <w:numPr>
          <w:ilvl w:val="0"/>
          <w:numId w:val="32"/>
        </w:numPr>
        <w:adjustRightInd/>
        <w:spacing w:before="0"/>
        <w:ind w:left="1440"/>
        <w:textAlignment w:val="auto"/>
      </w:pPr>
      <w:r w:rsidRPr="0058047D">
        <w:rPr>
          <w:rFonts w:ascii="Tahoma" w:hAnsi="Tahoma" w:cs="Tahoma"/>
          <w:sz w:val="18"/>
          <w:szCs w:val="18"/>
        </w:rPr>
        <w:t xml:space="preserve">Contratti Open License*, Open Value, Campus e School, Open Value Subscription - Education Solutions </w:t>
      </w:r>
    </w:p>
    <w:p w14:paraId="69DDDF87" w14:textId="77777777" w:rsidR="00B73A46" w:rsidRPr="0058047D" w:rsidRDefault="00B73A46" w:rsidP="00F64DEA">
      <w:pPr>
        <w:pStyle w:val="Footnotedash"/>
        <w:tabs>
          <w:tab w:val="clear" w:pos="1620"/>
        </w:tabs>
        <w:adjustRightInd/>
        <w:spacing w:before="0"/>
        <w:ind w:left="1440" w:firstLine="0"/>
        <w:textAlignment w:val="auto"/>
      </w:pPr>
      <w:r w:rsidRPr="0058047D">
        <w:rPr>
          <w:rFonts w:ascii="Tahoma" w:hAnsi="Tahoma" w:cs="Tahoma"/>
          <w:sz w:val="18"/>
          <w:szCs w:val="18"/>
        </w:rPr>
        <w:t>(*Ai fini del Contratto Open License, un “contratto attivo” è un contratto associato a un Numero di Autorizzazione Open License attivo).</w:t>
      </w:r>
    </w:p>
    <w:p w14:paraId="7FD5388C" w14:textId="77777777" w:rsidR="00F64DEA" w:rsidRPr="0058047D" w:rsidRDefault="00F64DEA" w:rsidP="00AF3B19">
      <w:pPr>
        <w:pStyle w:val="Footnotedash"/>
        <w:tabs>
          <w:tab w:val="clear" w:pos="1620"/>
        </w:tabs>
        <w:adjustRightInd/>
        <w:spacing w:before="0" w:after="0"/>
        <w:ind w:left="0" w:firstLine="0"/>
        <w:textAlignment w:val="auto"/>
      </w:pPr>
    </w:p>
    <w:p w14:paraId="31E75263" w14:textId="77777777" w:rsidR="00B73A46" w:rsidRPr="0058047D" w:rsidRDefault="00B73A46" w:rsidP="00F64DEA">
      <w:pPr>
        <w:pStyle w:val="Footnotedash"/>
        <w:spacing w:before="0" w:after="0"/>
        <w:ind w:left="720" w:hanging="7"/>
      </w:pPr>
      <w:r w:rsidRPr="0058047D">
        <w:rPr>
          <w:rFonts w:ascii="Tahoma" w:hAnsi="Tahoma" w:cs="Tahoma"/>
          <w:sz w:val="18"/>
          <w:szCs w:val="18"/>
        </w:rPr>
        <w:t>Devono disporre di una copertura Software Assurance attiva per le licenze di Aggiornamento per il Sistema Operativo Desktop Windows o per Windows Vista Business.</w:t>
      </w:r>
    </w:p>
    <w:p w14:paraId="12507FCD" w14:textId="77777777" w:rsidR="00F64DEA" w:rsidRPr="0058047D" w:rsidRDefault="00F64DEA" w:rsidP="00F64DEA">
      <w:pPr>
        <w:pStyle w:val="Footnotedash"/>
        <w:spacing w:before="0" w:after="0"/>
        <w:ind w:left="720" w:hanging="7"/>
      </w:pPr>
    </w:p>
    <w:p w14:paraId="35439B2A" w14:textId="77777777" w:rsidR="00B73A46" w:rsidRPr="0058047D" w:rsidRDefault="00B73A46" w:rsidP="00F64DEA">
      <w:pPr>
        <w:pStyle w:val="Footnotedash"/>
        <w:spacing w:before="0" w:after="0"/>
        <w:ind w:left="720" w:hanging="7"/>
      </w:pPr>
      <w:r w:rsidRPr="0058047D">
        <w:rPr>
          <w:rFonts w:ascii="Tahoma" w:hAnsi="Tahoma" w:cs="Tahoma"/>
          <w:sz w:val="18"/>
          <w:szCs w:val="18"/>
        </w:rPr>
        <w:t>Devono avere sede in uno dei paesi dell</w:t>
      </w:r>
      <w:r w:rsidR="001C4212">
        <w:rPr>
          <w:rFonts w:ascii="Tahoma" w:hAnsi="Tahoma" w:cs="Tahoma"/>
          <w:sz w:val="18"/>
          <w:szCs w:val="18"/>
        </w:rPr>
        <w:t>’</w:t>
      </w:r>
      <w:r w:rsidRPr="0058047D">
        <w:rPr>
          <w:rFonts w:ascii="Tahoma" w:hAnsi="Tahoma" w:cs="Tahoma"/>
          <w:sz w:val="18"/>
          <w:szCs w:val="18"/>
        </w:rPr>
        <w:t>Unione Europea (UE), in uno stato membro dell</w:t>
      </w:r>
      <w:r w:rsidR="001C4212">
        <w:rPr>
          <w:rFonts w:ascii="Tahoma" w:hAnsi="Tahoma" w:cs="Tahoma"/>
          <w:sz w:val="18"/>
          <w:szCs w:val="18"/>
        </w:rPr>
        <w:t>’</w:t>
      </w:r>
      <w:r w:rsidRPr="0058047D">
        <w:rPr>
          <w:rFonts w:ascii="Tahoma" w:hAnsi="Tahoma" w:cs="Tahoma"/>
          <w:sz w:val="18"/>
          <w:szCs w:val="18"/>
        </w:rPr>
        <w:t xml:space="preserve">Associazione Europea per il Libero Scambio (EFTA), in Bulgaria, in Croazia, in Romania o in Svizzera. </w:t>
      </w:r>
    </w:p>
    <w:p w14:paraId="7DA45CDE" w14:textId="77777777" w:rsidR="00EB3E62" w:rsidRPr="0058047D" w:rsidRDefault="00EB3E62" w:rsidP="00F64DEA">
      <w:pPr>
        <w:pStyle w:val="Footnotedash"/>
        <w:spacing w:before="0" w:after="0"/>
        <w:ind w:left="720" w:hanging="7"/>
      </w:pPr>
    </w:p>
    <w:p w14:paraId="258B9CD9" w14:textId="77777777" w:rsidR="00B73A46" w:rsidRPr="0058047D" w:rsidRDefault="00B73A46" w:rsidP="00EB3E62">
      <w:pPr>
        <w:pStyle w:val="FootnoteBulletLevel1"/>
        <w:tabs>
          <w:tab w:val="clear" w:pos="900"/>
        </w:tabs>
        <w:adjustRightInd/>
        <w:spacing w:before="0" w:after="60"/>
        <w:ind w:left="720" w:firstLine="0"/>
        <w:textAlignment w:val="auto"/>
      </w:pPr>
      <w:r w:rsidRPr="0058047D">
        <w:rPr>
          <w:rFonts w:ascii="Tahoma" w:hAnsi="Tahoma" w:cs="Tahoma"/>
          <w:b/>
          <w:bCs/>
          <w:sz w:val="18"/>
          <w:szCs w:val="18"/>
        </w:rPr>
        <w:t>Windows 7 Professional N (non contiene Windows Media Player)</w:t>
      </w:r>
    </w:p>
    <w:p w14:paraId="780CEF65" w14:textId="77777777" w:rsidR="00B73A46" w:rsidRDefault="00B73A46" w:rsidP="00EB3E62">
      <w:pPr>
        <w:pStyle w:val="FootnoteBulletLevel2"/>
        <w:spacing w:before="0"/>
        <w:ind w:left="720" w:firstLine="0"/>
        <w:rPr>
          <w:rFonts w:ascii="Tahoma" w:hAnsi="Tahoma" w:cs="Tahoma"/>
          <w:sz w:val="18"/>
          <w:szCs w:val="18"/>
        </w:rPr>
      </w:pPr>
      <w:r w:rsidRPr="0058047D">
        <w:rPr>
          <w:rFonts w:ascii="Tahoma" w:hAnsi="Tahoma" w:cs="Tahoma"/>
          <w:sz w:val="18"/>
          <w:szCs w:val="18"/>
          <w:u w:val="single"/>
        </w:rPr>
        <w:t>Requisiti di Idoneità</w:t>
      </w:r>
      <w:r w:rsidRPr="00905752">
        <w:rPr>
          <w:rFonts w:ascii="Tahoma" w:hAnsi="Tahoma" w:cs="Tahoma"/>
          <w:sz w:val="18"/>
          <w:szCs w:val="18"/>
        </w:rPr>
        <w:t>:</w:t>
      </w:r>
      <w:r w:rsidRPr="0058047D">
        <w:rPr>
          <w:rFonts w:ascii="Tahoma" w:hAnsi="Tahoma" w:cs="Tahoma"/>
          <w:sz w:val="18"/>
          <w:szCs w:val="18"/>
          <w:u w:val="single"/>
        </w:rPr>
        <w:br/>
      </w:r>
      <w:r w:rsidRPr="0058047D">
        <w:rPr>
          <w:rFonts w:ascii="Tahoma" w:hAnsi="Tahoma" w:cs="Tahoma"/>
          <w:sz w:val="18"/>
          <w:szCs w:val="18"/>
        </w:rPr>
        <w:t>le società che hanno stipulato Contratti Multilicenza e che soddisfano tutti i criteri che seguono sono idonee ad acquistare i supporti di memorizzazione per Microsoft Windows 7 Professional N esclusivamente per la distribuzione e l</w:t>
      </w:r>
      <w:r w:rsidR="001C4212">
        <w:rPr>
          <w:rFonts w:ascii="Tahoma" w:hAnsi="Tahoma" w:cs="Tahoma"/>
          <w:sz w:val="18"/>
          <w:szCs w:val="18"/>
        </w:rPr>
        <w:t>’</w:t>
      </w:r>
      <w:r w:rsidRPr="0058047D">
        <w:rPr>
          <w:rFonts w:ascii="Tahoma" w:hAnsi="Tahoma" w:cs="Tahoma"/>
          <w:sz w:val="18"/>
          <w:szCs w:val="18"/>
        </w:rPr>
        <w:t>utilizzo nell</w:t>
      </w:r>
      <w:r w:rsidR="001C4212">
        <w:rPr>
          <w:rFonts w:ascii="Tahoma" w:hAnsi="Tahoma" w:cs="Tahoma"/>
          <w:sz w:val="18"/>
          <w:szCs w:val="18"/>
        </w:rPr>
        <w:t>’</w:t>
      </w:r>
      <w:r w:rsidRPr="0058047D">
        <w:rPr>
          <w:rFonts w:ascii="Tahoma" w:hAnsi="Tahoma" w:cs="Tahoma"/>
          <w:sz w:val="18"/>
          <w:szCs w:val="18"/>
        </w:rPr>
        <w:t>Unione Europea (UE), in uno stato membro dell</w:t>
      </w:r>
      <w:r w:rsidR="001C4212">
        <w:rPr>
          <w:rFonts w:ascii="Tahoma" w:hAnsi="Tahoma" w:cs="Tahoma"/>
          <w:sz w:val="18"/>
          <w:szCs w:val="18"/>
        </w:rPr>
        <w:t>’</w:t>
      </w:r>
      <w:r w:rsidRPr="0058047D">
        <w:rPr>
          <w:rFonts w:ascii="Tahoma" w:hAnsi="Tahoma" w:cs="Tahoma"/>
          <w:sz w:val="18"/>
          <w:szCs w:val="18"/>
        </w:rPr>
        <w:t>Associazione Europea per il Libero Scambio (EFTA), in Bulgaria, in Croazia, in Romania o in Svizzera.</w:t>
      </w:r>
    </w:p>
    <w:p w14:paraId="2348E93C" w14:textId="77777777" w:rsidR="002D1E71" w:rsidRPr="0058047D" w:rsidRDefault="002D1E71" w:rsidP="00EB3E62">
      <w:pPr>
        <w:pStyle w:val="FootnoteBulletLevel2"/>
        <w:spacing w:before="0"/>
        <w:ind w:left="720" w:firstLine="0"/>
      </w:pPr>
    </w:p>
    <w:p w14:paraId="3F2859DF" w14:textId="77777777" w:rsidR="00B73A46" w:rsidRDefault="00B73A46" w:rsidP="00EB3E62">
      <w:pPr>
        <w:pStyle w:val="Footnotedash"/>
        <w:spacing w:before="0" w:after="0"/>
        <w:ind w:left="720" w:firstLine="0"/>
        <w:rPr>
          <w:rFonts w:ascii="Tahoma" w:hAnsi="Tahoma" w:cs="Tahoma"/>
          <w:sz w:val="18"/>
          <w:szCs w:val="18"/>
        </w:rPr>
      </w:pPr>
      <w:r w:rsidRPr="0058047D">
        <w:rPr>
          <w:rFonts w:ascii="Tahoma" w:hAnsi="Tahoma" w:cs="Tahoma"/>
          <w:sz w:val="18"/>
          <w:szCs w:val="18"/>
        </w:rPr>
        <w:t xml:space="preserve">Devono disporre di almeno uno dei seguenti contratti o iscrizioni attivi con Microsoft Ireland Operations Ltd: </w:t>
      </w:r>
    </w:p>
    <w:p w14:paraId="0A0C86E6" w14:textId="77777777" w:rsidR="002D1E71" w:rsidRPr="0058047D" w:rsidRDefault="002D1E71" w:rsidP="00EB3E62">
      <w:pPr>
        <w:pStyle w:val="Footnotedash"/>
        <w:spacing w:before="0" w:after="0"/>
        <w:ind w:left="720" w:firstLine="0"/>
      </w:pPr>
    </w:p>
    <w:p w14:paraId="1D9FD297" w14:textId="77777777" w:rsidR="00B73A46" w:rsidRPr="0058047D" w:rsidRDefault="00B73A46" w:rsidP="00346F4B">
      <w:pPr>
        <w:pStyle w:val="Footnotedash"/>
        <w:numPr>
          <w:ilvl w:val="0"/>
          <w:numId w:val="32"/>
        </w:numPr>
        <w:adjustRightInd/>
        <w:spacing w:before="0"/>
        <w:ind w:left="1440"/>
        <w:textAlignment w:val="auto"/>
      </w:pPr>
      <w:r w:rsidRPr="0058047D">
        <w:rPr>
          <w:rFonts w:ascii="Tahoma" w:hAnsi="Tahoma" w:cs="Tahoma"/>
          <w:sz w:val="18"/>
          <w:szCs w:val="18"/>
        </w:rPr>
        <w:t>Iscrizione Select, Enterprise o Enterprise Subscription</w:t>
      </w:r>
    </w:p>
    <w:p w14:paraId="175EA4B4" w14:textId="77777777" w:rsidR="00B73A46" w:rsidRPr="0058047D" w:rsidRDefault="00B73A46" w:rsidP="00346F4B">
      <w:pPr>
        <w:pStyle w:val="Footnotedash"/>
        <w:numPr>
          <w:ilvl w:val="0"/>
          <w:numId w:val="32"/>
        </w:numPr>
        <w:adjustRightInd/>
        <w:spacing w:before="0"/>
        <w:ind w:left="1440"/>
        <w:textAlignment w:val="auto"/>
      </w:pPr>
      <w:r w:rsidRPr="0058047D">
        <w:rPr>
          <w:rFonts w:ascii="Tahoma" w:hAnsi="Tahoma" w:cs="Tahoma"/>
          <w:sz w:val="18"/>
          <w:szCs w:val="18"/>
        </w:rPr>
        <w:t xml:space="preserve">Contratti Open License*, Open Value, Campus e School, Open Value Subscription - Education Solutions </w:t>
      </w:r>
    </w:p>
    <w:p w14:paraId="24E1498F" w14:textId="77777777" w:rsidR="00B73A46" w:rsidRPr="0058047D" w:rsidRDefault="00B73A46" w:rsidP="00EB3E62">
      <w:pPr>
        <w:pStyle w:val="Footnotedash"/>
        <w:tabs>
          <w:tab w:val="clear" w:pos="1620"/>
        </w:tabs>
        <w:adjustRightInd/>
        <w:spacing w:before="0"/>
        <w:ind w:left="1440" w:firstLine="0"/>
        <w:textAlignment w:val="auto"/>
      </w:pPr>
      <w:r w:rsidRPr="0058047D">
        <w:rPr>
          <w:rFonts w:ascii="Tahoma" w:hAnsi="Tahoma" w:cs="Tahoma"/>
          <w:sz w:val="18"/>
          <w:szCs w:val="18"/>
        </w:rPr>
        <w:t>(*Ai fini del Contratto Open License, un “contratto attivo” è un contratto associato a un Numero di Autorizzazione Open License attivo).</w:t>
      </w:r>
    </w:p>
    <w:p w14:paraId="71CFC751" w14:textId="77777777" w:rsidR="00B73A46" w:rsidRPr="0058047D" w:rsidRDefault="00B73A46" w:rsidP="00EB3E62">
      <w:pPr>
        <w:pStyle w:val="Footnotedash"/>
        <w:spacing w:before="0" w:after="0"/>
        <w:ind w:left="720" w:firstLine="0"/>
      </w:pPr>
      <w:r w:rsidRPr="0058047D">
        <w:rPr>
          <w:rFonts w:ascii="Tahoma" w:hAnsi="Tahoma" w:cs="Tahoma"/>
          <w:sz w:val="18"/>
          <w:szCs w:val="18"/>
        </w:rPr>
        <w:t>Devono disporre di una copertura Software Assurance attiva per le licenze di aggiornamento per il Sistema Operativo Desktop Windows o per Windows 8 Pro.</w:t>
      </w:r>
    </w:p>
    <w:p w14:paraId="4B1E5C7F" w14:textId="77777777" w:rsidR="00B73A46" w:rsidRPr="0058047D" w:rsidRDefault="00B73A46" w:rsidP="00EB3E62">
      <w:pPr>
        <w:pStyle w:val="Footnotedash"/>
        <w:spacing w:before="0" w:after="0"/>
        <w:ind w:left="720" w:firstLine="0"/>
      </w:pPr>
      <w:r w:rsidRPr="0058047D">
        <w:rPr>
          <w:rFonts w:ascii="Tahoma" w:hAnsi="Tahoma" w:cs="Tahoma"/>
          <w:sz w:val="18"/>
          <w:szCs w:val="18"/>
        </w:rPr>
        <w:t>Devono avere sede in uno dei paesi dell</w:t>
      </w:r>
      <w:r w:rsidR="001C4212">
        <w:rPr>
          <w:rFonts w:ascii="Tahoma" w:hAnsi="Tahoma" w:cs="Tahoma"/>
          <w:sz w:val="18"/>
          <w:szCs w:val="18"/>
        </w:rPr>
        <w:t>’</w:t>
      </w:r>
      <w:r w:rsidRPr="0058047D">
        <w:rPr>
          <w:rFonts w:ascii="Tahoma" w:hAnsi="Tahoma" w:cs="Tahoma"/>
          <w:sz w:val="18"/>
          <w:szCs w:val="18"/>
        </w:rPr>
        <w:t>Unione Europea (UE), in uno stato membro dell</w:t>
      </w:r>
      <w:r w:rsidR="001C4212">
        <w:rPr>
          <w:rFonts w:ascii="Tahoma" w:hAnsi="Tahoma" w:cs="Tahoma"/>
          <w:sz w:val="18"/>
          <w:szCs w:val="18"/>
        </w:rPr>
        <w:t>’</w:t>
      </w:r>
      <w:r w:rsidRPr="0058047D">
        <w:rPr>
          <w:rFonts w:ascii="Tahoma" w:hAnsi="Tahoma" w:cs="Tahoma"/>
          <w:sz w:val="18"/>
          <w:szCs w:val="18"/>
        </w:rPr>
        <w:t xml:space="preserve">Associazione Europea per il Libero Scambio (EFTA), in Bulgaria, in Croazia, in Romania o in Svizzera. </w:t>
      </w:r>
    </w:p>
    <w:p w14:paraId="66CF4788" w14:textId="77777777" w:rsidR="00EB3E62" w:rsidRPr="0058047D" w:rsidRDefault="00EB3E62" w:rsidP="00EB3E62">
      <w:pPr>
        <w:pStyle w:val="Footnotedash"/>
        <w:spacing w:before="0" w:after="0"/>
        <w:ind w:left="720" w:firstLine="0"/>
      </w:pPr>
    </w:p>
    <w:p w14:paraId="38F80C9D" w14:textId="77777777" w:rsidR="00697E59" w:rsidRPr="0058047D" w:rsidRDefault="00B73A46" w:rsidP="00EB3E62">
      <w:pPr>
        <w:pStyle w:val="Footnotedash"/>
        <w:spacing w:before="0" w:after="0"/>
        <w:ind w:left="720" w:firstLine="0"/>
      </w:pPr>
      <w:r w:rsidRPr="0058047D">
        <w:rPr>
          <w:rFonts w:ascii="Tahoma" w:hAnsi="Tahoma" w:cs="Tahoma"/>
          <w:sz w:val="18"/>
          <w:szCs w:val="18"/>
        </w:rPr>
        <w:t>Le società possono ignorare la comunicazione contenuta nei Diritti di Utilizzo del Prodotto di luglio 2009 e</w:t>
      </w:r>
      <w:r w:rsidR="00905752">
        <w:rPr>
          <w:rFonts w:ascii="Tahoma" w:hAnsi="Tahoma" w:cs="Tahoma"/>
          <w:sz w:val="18"/>
          <w:szCs w:val="18"/>
        </w:rPr>
        <w:t> </w:t>
      </w:r>
      <w:r w:rsidRPr="0058047D">
        <w:rPr>
          <w:rFonts w:ascii="Tahoma" w:hAnsi="Tahoma" w:cs="Tahoma"/>
          <w:sz w:val="18"/>
          <w:szCs w:val="18"/>
        </w:rPr>
        <w:t>relativa all</w:t>
      </w:r>
      <w:r w:rsidR="001C4212">
        <w:rPr>
          <w:rFonts w:ascii="Tahoma" w:hAnsi="Tahoma" w:cs="Tahoma"/>
          <w:sz w:val="18"/>
          <w:szCs w:val="18"/>
        </w:rPr>
        <w:t>’</w:t>
      </w:r>
      <w:r w:rsidRPr="0058047D">
        <w:rPr>
          <w:rFonts w:ascii="Tahoma" w:hAnsi="Tahoma" w:cs="Tahoma"/>
          <w:sz w:val="18"/>
          <w:szCs w:val="18"/>
        </w:rPr>
        <w:t xml:space="preserve">assenza della funzionalità Internet Explorer 8 e la relativa esclusione di garanzie. </w:t>
      </w:r>
    </w:p>
    <w:p w14:paraId="1F08C591" w14:textId="77777777" w:rsidR="00804794" w:rsidRPr="0058047D" w:rsidRDefault="00804794" w:rsidP="00804794">
      <w:pPr>
        <w:pStyle w:val="FootnoteBulletLevel1"/>
        <w:tabs>
          <w:tab w:val="clear" w:pos="900"/>
        </w:tabs>
        <w:adjustRightInd/>
        <w:spacing w:before="0" w:after="0"/>
        <w:ind w:left="720" w:firstLine="0"/>
        <w:textAlignment w:val="auto"/>
      </w:pPr>
    </w:p>
    <w:p w14:paraId="2E90200C" w14:textId="77777777" w:rsidR="008A5D64" w:rsidRPr="0058047D" w:rsidRDefault="008A5D64" w:rsidP="007B35CE">
      <w:pPr>
        <w:pStyle w:val="FootnoteBulletLevel1"/>
        <w:keepNext/>
        <w:tabs>
          <w:tab w:val="clear" w:pos="900"/>
        </w:tabs>
        <w:adjustRightInd/>
        <w:spacing w:before="0" w:after="60"/>
        <w:ind w:left="720" w:firstLine="0"/>
        <w:textAlignment w:val="auto"/>
      </w:pPr>
      <w:r w:rsidRPr="0058047D">
        <w:rPr>
          <w:rFonts w:ascii="Tahoma" w:hAnsi="Tahoma" w:cs="Tahoma"/>
          <w:b/>
          <w:bCs/>
          <w:sz w:val="18"/>
          <w:szCs w:val="18"/>
        </w:rPr>
        <w:t>Windows 8 Pro KN e Windows 8.1 Pro KN</w:t>
      </w:r>
    </w:p>
    <w:p w14:paraId="6A2A3410" w14:textId="77777777" w:rsidR="008A5D64" w:rsidRPr="0058047D" w:rsidRDefault="008A5D64" w:rsidP="00804794">
      <w:pPr>
        <w:pStyle w:val="FootnoteBulletLevel2"/>
        <w:spacing w:before="0"/>
        <w:ind w:left="720" w:hanging="7"/>
      </w:pPr>
      <w:r w:rsidRPr="0058047D">
        <w:rPr>
          <w:rFonts w:ascii="Tahoma" w:hAnsi="Tahoma" w:cs="Tahoma"/>
          <w:sz w:val="18"/>
          <w:szCs w:val="18"/>
          <w:u w:val="single"/>
        </w:rPr>
        <w:t>Requisiti di Idoneità</w:t>
      </w:r>
      <w:r w:rsidRPr="00905752">
        <w:rPr>
          <w:rFonts w:ascii="Tahoma" w:hAnsi="Tahoma" w:cs="Tahoma"/>
          <w:sz w:val="18"/>
          <w:szCs w:val="18"/>
        </w:rPr>
        <w:t>:</w:t>
      </w:r>
      <w:r w:rsidRPr="0058047D">
        <w:rPr>
          <w:rFonts w:ascii="Tahoma" w:hAnsi="Tahoma" w:cs="Tahoma"/>
          <w:sz w:val="18"/>
          <w:szCs w:val="18"/>
          <w:u w:val="single"/>
        </w:rPr>
        <w:br/>
      </w:r>
      <w:r w:rsidRPr="0058047D">
        <w:rPr>
          <w:rFonts w:ascii="Tahoma" w:hAnsi="Tahoma" w:cs="Tahoma"/>
          <w:sz w:val="18"/>
          <w:szCs w:val="18"/>
        </w:rPr>
        <w:t>le società con sede in Corea che hanno stipulato Contratti Multilicenza e che dispongono di un</w:t>
      </w:r>
      <w:r w:rsidR="001C4212">
        <w:rPr>
          <w:rFonts w:ascii="Tahoma" w:hAnsi="Tahoma" w:cs="Tahoma"/>
          <w:sz w:val="18"/>
          <w:szCs w:val="18"/>
        </w:rPr>
        <w:t>’</w:t>
      </w:r>
      <w:r w:rsidRPr="0058047D">
        <w:rPr>
          <w:rFonts w:ascii="Tahoma" w:hAnsi="Tahoma" w:cs="Tahoma"/>
          <w:sz w:val="18"/>
          <w:szCs w:val="18"/>
        </w:rPr>
        <w:t>iscrizione o di un Contratto Multilicenza attivo con Microsoft Operations Pte Ltd sono idonee ad acquistare i supporti di memorizzazione per Windows 8 Pro KN e Windows 8.1 Pro KN per la distribuzione e l</w:t>
      </w:r>
      <w:r w:rsidR="001C4212">
        <w:rPr>
          <w:rFonts w:ascii="Tahoma" w:hAnsi="Tahoma" w:cs="Tahoma"/>
          <w:sz w:val="18"/>
          <w:szCs w:val="18"/>
        </w:rPr>
        <w:t>’</w:t>
      </w:r>
      <w:r w:rsidRPr="0058047D">
        <w:rPr>
          <w:rFonts w:ascii="Tahoma" w:hAnsi="Tahoma" w:cs="Tahoma"/>
          <w:sz w:val="18"/>
          <w:szCs w:val="18"/>
        </w:rPr>
        <w:t>utilizzo in Corea. Nessun altro utilizzo è consentito.</w:t>
      </w:r>
    </w:p>
    <w:p w14:paraId="701C437E" w14:textId="77777777" w:rsidR="00804794" w:rsidRPr="0058047D" w:rsidRDefault="00804794" w:rsidP="00804794">
      <w:pPr>
        <w:pStyle w:val="FootnoteBulletLevel1"/>
        <w:tabs>
          <w:tab w:val="clear" w:pos="900"/>
        </w:tabs>
        <w:adjustRightInd/>
        <w:spacing w:before="0" w:after="0"/>
        <w:ind w:left="720" w:firstLine="0"/>
        <w:textAlignment w:val="auto"/>
      </w:pPr>
    </w:p>
    <w:p w14:paraId="07563861" w14:textId="77777777" w:rsidR="008A5D64" w:rsidRPr="0058047D" w:rsidRDefault="008A5D64" w:rsidP="00804794">
      <w:pPr>
        <w:pStyle w:val="FootnoteBulletLevel1"/>
        <w:tabs>
          <w:tab w:val="clear" w:pos="900"/>
        </w:tabs>
        <w:adjustRightInd/>
        <w:spacing w:before="0" w:after="60"/>
        <w:ind w:left="720" w:firstLine="0"/>
        <w:textAlignment w:val="auto"/>
      </w:pPr>
      <w:r w:rsidRPr="0058047D">
        <w:rPr>
          <w:rFonts w:ascii="Tahoma" w:hAnsi="Tahoma" w:cs="Tahoma"/>
          <w:b/>
          <w:bCs/>
          <w:sz w:val="18"/>
          <w:szCs w:val="18"/>
        </w:rPr>
        <w:t>Windows 8 Pro N e Windows 8.1 Pro N (non contiene Windows Media Player)</w:t>
      </w:r>
    </w:p>
    <w:p w14:paraId="11BDA19B" w14:textId="77777777" w:rsidR="008A5D64" w:rsidRPr="0058047D" w:rsidRDefault="008A5D64" w:rsidP="00804794">
      <w:pPr>
        <w:pStyle w:val="FootnoteBulletLevel2"/>
        <w:spacing w:before="0"/>
        <w:ind w:left="720" w:firstLine="0"/>
      </w:pPr>
      <w:r w:rsidRPr="0058047D">
        <w:rPr>
          <w:rFonts w:ascii="Tahoma" w:hAnsi="Tahoma" w:cs="Tahoma"/>
          <w:sz w:val="18"/>
          <w:szCs w:val="18"/>
          <w:u w:val="single"/>
        </w:rPr>
        <w:t>Requisiti di Idoneità</w:t>
      </w:r>
      <w:r w:rsidRPr="00905752">
        <w:rPr>
          <w:rFonts w:ascii="Tahoma" w:hAnsi="Tahoma" w:cs="Tahoma"/>
          <w:sz w:val="18"/>
          <w:szCs w:val="18"/>
        </w:rPr>
        <w:t>:</w:t>
      </w:r>
      <w:r w:rsidRPr="0058047D">
        <w:rPr>
          <w:rFonts w:ascii="Tahoma" w:hAnsi="Tahoma" w:cs="Tahoma"/>
          <w:sz w:val="18"/>
          <w:szCs w:val="18"/>
          <w:u w:val="single"/>
        </w:rPr>
        <w:br/>
      </w:r>
      <w:r w:rsidRPr="0058047D">
        <w:rPr>
          <w:rFonts w:ascii="Tahoma" w:hAnsi="Tahoma" w:cs="Tahoma"/>
          <w:sz w:val="18"/>
          <w:szCs w:val="18"/>
        </w:rPr>
        <w:t>le società che hanno stipulato Contratti Multilicenza e che soddisfano tutti i criteri che seguono sono idonee</w:t>
      </w:r>
      <w:r w:rsidR="00905752">
        <w:rPr>
          <w:rFonts w:ascii="Tahoma" w:hAnsi="Tahoma" w:cs="Tahoma"/>
          <w:sz w:val="18"/>
          <w:szCs w:val="18"/>
        </w:rPr>
        <w:t> </w:t>
      </w:r>
      <w:r w:rsidRPr="0058047D">
        <w:rPr>
          <w:rFonts w:ascii="Tahoma" w:hAnsi="Tahoma" w:cs="Tahoma"/>
          <w:sz w:val="18"/>
          <w:szCs w:val="18"/>
        </w:rPr>
        <w:t>ad acquistare i supporti di memorizzazione per Microsoft Windows 8 Pro N e Windows 8.1 Pro N esclusivamente per la distribuzione e l</w:t>
      </w:r>
      <w:r w:rsidR="001C4212">
        <w:rPr>
          <w:rFonts w:ascii="Tahoma" w:hAnsi="Tahoma" w:cs="Tahoma"/>
          <w:sz w:val="18"/>
          <w:szCs w:val="18"/>
        </w:rPr>
        <w:t>’</w:t>
      </w:r>
      <w:r w:rsidRPr="0058047D">
        <w:rPr>
          <w:rFonts w:ascii="Tahoma" w:hAnsi="Tahoma" w:cs="Tahoma"/>
          <w:sz w:val="18"/>
          <w:szCs w:val="18"/>
        </w:rPr>
        <w:t>utilizzo nell</w:t>
      </w:r>
      <w:r w:rsidR="001C4212">
        <w:rPr>
          <w:rFonts w:ascii="Tahoma" w:hAnsi="Tahoma" w:cs="Tahoma"/>
          <w:sz w:val="18"/>
          <w:szCs w:val="18"/>
        </w:rPr>
        <w:t>’</w:t>
      </w:r>
      <w:r w:rsidRPr="0058047D">
        <w:rPr>
          <w:rFonts w:ascii="Tahoma" w:hAnsi="Tahoma" w:cs="Tahoma"/>
          <w:sz w:val="18"/>
          <w:szCs w:val="18"/>
        </w:rPr>
        <w:t>Unione Europea (UE), in uno stato membro dell</w:t>
      </w:r>
      <w:r w:rsidR="001C4212">
        <w:rPr>
          <w:rFonts w:ascii="Tahoma" w:hAnsi="Tahoma" w:cs="Tahoma"/>
          <w:sz w:val="18"/>
          <w:szCs w:val="18"/>
        </w:rPr>
        <w:t>’</w:t>
      </w:r>
      <w:r w:rsidRPr="0058047D">
        <w:rPr>
          <w:rFonts w:ascii="Tahoma" w:hAnsi="Tahoma" w:cs="Tahoma"/>
          <w:sz w:val="18"/>
          <w:szCs w:val="18"/>
        </w:rPr>
        <w:t>Associazione Europea per il Libero Scambio (EFTA), in Bulgaria, in Croazia, in Romania o in Svizzera.</w:t>
      </w:r>
    </w:p>
    <w:p w14:paraId="32ED6BE9" w14:textId="77777777" w:rsidR="008A5D64" w:rsidRPr="0058047D" w:rsidRDefault="008A5D64" w:rsidP="00804794">
      <w:pPr>
        <w:pStyle w:val="Footnotedash"/>
        <w:spacing w:before="0" w:after="0"/>
        <w:ind w:left="720" w:hanging="7"/>
      </w:pPr>
      <w:r w:rsidRPr="0058047D">
        <w:rPr>
          <w:rFonts w:ascii="Tahoma" w:hAnsi="Tahoma" w:cs="Tahoma"/>
          <w:sz w:val="18"/>
          <w:szCs w:val="18"/>
        </w:rPr>
        <w:t xml:space="preserve">Devono disporre di almeno uno dei seguenti contratti o iscrizioni attivi con Microsoft Ireland Operations Ltd: </w:t>
      </w:r>
    </w:p>
    <w:p w14:paraId="595190C0" w14:textId="77777777" w:rsidR="00804794" w:rsidRPr="0058047D" w:rsidRDefault="00804794" w:rsidP="00804794">
      <w:pPr>
        <w:pStyle w:val="Footnotedash"/>
        <w:spacing w:before="0" w:after="0"/>
        <w:ind w:left="720" w:hanging="7"/>
      </w:pPr>
    </w:p>
    <w:p w14:paraId="292AFE0D" w14:textId="77777777" w:rsidR="008A5D64" w:rsidRPr="0058047D" w:rsidRDefault="008A5D64" w:rsidP="00346F4B">
      <w:pPr>
        <w:pStyle w:val="Footnotedash"/>
        <w:numPr>
          <w:ilvl w:val="0"/>
          <w:numId w:val="32"/>
        </w:numPr>
        <w:adjustRightInd/>
        <w:spacing w:before="0"/>
        <w:ind w:left="1440"/>
        <w:textAlignment w:val="auto"/>
      </w:pPr>
      <w:r w:rsidRPr="0058047D">
        <w:rPr>
          <w:rFonts w:ascii="Tahoma" w:hAnsi="Tahoma" w:cs="Tahoma"/>
          <w:sz w:val="18"/>
          <w:szCs w:val="18"/>
        </w:rPr>
        <w:t>Iscrizione Select, Enterprise o Enterprise Subscription</w:t>
      </w:r>
    </w:p>
    <w:p w14:paraId="71610C91" w14:textId="77777777" w:rsidR="008A5D64" w:rsidRPr="0058047D" w:rsidRDefault="008A5D64" w:rsidP="00346F4B">
      <w:pPr>
        <w:pStyle w:val="Footnotedash"/>
        <w:numPr>
          <w:ilvl w:val="0"/>
          <w:numId w:val="32"/>
        </w:numPr>
        <w:adjustRightInd/>
        <w:spacing w:before="0"/>
        <w:ind w:left="1440"/>
        <w:textAlignment w:val="auto"/>
      </w:pPr>
      <w:r w:rsidRPr="0058047D">
        <w:rPr>
          <w:rFonts w:ascii="Tahoma" w:hAnsi="Tahoma" w:cs="Tahoma"/>
          <w:sz w:val="18"/>
          <w:szCs w:val="18"/>
        </w:rPr>
        <w:t xml:space="preserve">Contratti Open License*, Open Value, Campus e School, Open Value Subscription - Education Solutions </w:t>
      </w:r>
    </w:p>
    <w:p w14:paraId="332BFA55" w14:textId="77777777" w:rsidR="008A5D64" w:rsidRPr="0058047D" w:rsidRDefault="008A5D64" w:rsidP="00804794">
      <w:pPr>
        <w:pStyle w:val="Footnotedash"/>
        <w:tabs>
          <w:tab w:val="clear" w:pos="1620"/>
        </w:tabs>
        <w:adjustRightInd/>
        <w:spacing w:before="0"/>
        <w:ind w:left="1440" w:firstLine="0"/>
        <w:textAlignment w:val="auto"/>
      </w:pPr>
      <w:r w:rsidRPr="0058047D">
        <w:rPr>
          <w:rFonts w:ascii="Tahoma" w:hAnsi="Tahoma" w:cs="Tahoma"/>
          <w:sz w:val="18"/>
          <w:szCs w:val="18"/>
        </w:rPr>
        <w:t>(*Ai fini del Contratto Open License, un “contratto attivo” è un contratto associato a un Numero di Autorizzazione Open License attivo).</w:t>
      </w:r>
    </w:p>
    <w:p w14:paraId="392F58D5" w14:textId="77777777" w:rsidR="00804794" w:rsidRPr="0058047D" w:rsidRDefault="00804794" w:rsidP="00804794">
      <w:pPr>
        <w:pStyle w:val="Footnotedash"/>
        <w:tabs>
          <w:tab w:val="clear" w:pos="1620"/>
        </w:tabs>
        <w:adjustRightInd/>
        <w:spacing w:before="0" w:after="0"/>
        <w:ind w:left="1440" w:firstLine="0"/>
        <w:textAlignment w:val="auto"/>
      </w:pPr>
    </w:p>
    <w:p w14:paraId="686FC7EE" w14:textId="77777777" w:rsidR="008A5D64" w:rsidRPr="0058047D" w:rsidRDefault="008A5D64" w:rsidP="00804794">
      <w:pPr>
        <w:pStyle w:val="Footnotedash"/>
        <w:spacing w:before="0" w:after="0"/>
        <w:ind w:left="720" w:hanging="7"/>
      </w:pPr>
      <w:r w:rsidRPr="0058047D">
        <w:rPr>
          <w:rFonts w:ascii="Tahoma" w:hAnsi="Tahoma" w:cs="Tahoma"/>
          <w:sz w:val="18"/>
          <w:szCs w:val="18"/>
        </w:rPr>
        <w:t>Devono disporre di una copertura Software Assurance attiva per le licenze di Aggiornamento per il Sistema Operativo Desktop Windows o per Windows 8 Pro.</w:t>
      </w:r>
    </w:p>
    <w:p w14:paraId="2355EC86" w14:textId="77777777" w:rsidR="00804794" w:rsidRPr="0058047D" w:rsidRDefault="00804794" w:rsidP="00804794">
      <w:pPr>
        <w:pStyle w:val="Footnotedash"/>
        <w:spacing w:before="0" w:after="0"/>
        <w:ind w:left="720" w:hanging="7"/>
      </w:pPr>
    </w:p>
    <w:p w14:paraId="325F9C35" w14:textId="77777777" w:rsidR="008A5D64" w:rsidRPr="0058047D" w:rsidRDefault="008A5D64" w:rsidP="00804794">
      <w:pPr>
        <w:pStyle w:val="Footnotedash"/>
        <w:spacing w:before="0" w:after="0"/>
        <w:ind w:left="720" w:hanging="7"/>
      </w:pPr>
      <w:r w:rsidRPr="0058047D">
        <w:rPr>
          <w:rFonts w:ascii="Tahoma" w:hAnsi="Tahoma" w:cs="Tahoma"/>
          <w:sz w:val="18"/>
          <w:szCs w:val="18"/>
        </w:rPr>
        <w:t>Devono avere sede in uno dei paesi dell</w:t>
      </w:r>
      <w:r w:rsidR="001C4212">
        <w:rPr>
          <w:rFonts w:ascii="Tahoma" w:hAnsi="Tahoma" w:cs="Tahoma"/>
          <w:sz w:val="18"/>
          <w:szCs w:val="18"/>
        </w:rPr>
        <w:t>’</w:t>
      </w:r>
      <w:r w:rsidRPr="0058047D">
        <w:rPr>
          <w:rFonts w:ascii="Tahoma" w:hAnsi="Tahoma" w:cs="Tahoma"/>
          <w:sz w:val="18"/>
          <w:szCs w:val="18"/>
        </w:rPr>
        <w:t>Unione Europea (UE), in uno stato membro dell</w:t>
      </w:r>
      <w:r w:rsidR="001C4212">
        <w:rPr>
          <w:rFonts w:ascii="Tahoma" w:hAnsi="Tahoma" w:cs="Tahoma"/>
          <w:sz w:val="18"/>
          <w:szCs w:val="18"/>
        </w:rPr>
        <w:t>’</w:t>
      </w:r>
      <w:r w:rsidRPr="0058047D">
        <w:rPr>
          <w:rFonts w:ascii="Tahoma" w:hAnsi="Tahoma" w:cs="Tahoma"/>
          <w:sz w:val="18"/>
          <w:szCs w:val="18"/>
        </w:rPr>
        <w:t>Associazione Europea per il Libero Scambio (EFTA), in Bulgaria, in Croazia, in Romania o in Svizzera.</w:t>
      </w:r>
    </w:p>
    <w:p w14:paraId="18F87AB1" w14:textId="77777777" w:rsidR="00804794" w:rsidRPr="0058047D" w:rsidRDefault="00804794" w:rsidP="00804794">
      <w:pPr>
        <w:pStyle w:val="FootnoteBulletLevel1"/>
        <w:tabs>
          <w:tab w:val="clear" w:pos="900"/>
        </w:tabs>
        <w:adjustRightInd/>
        <w:spacing w:before="0" w:after="0"/>
        <w:ind w:left="720" w:firstLine="0"/>
        <w:textAlignment w:val="auto"/>
      </w:pPr>
    </w:p>
    <w:p w14:paraId="0F879F30" w14:textId="77777777" w:rsidR="00B73A46" w:rsidRPr="0058047D" w:rsidRDefault="00B73A46" w:rsidP="00804794">
      <w:pPr>
        <w:pStyle w:val="FootnoteBulletLevel1"/>
        <w:tabs>
          <w:tab w:val="clear" w:pos="900"/>
        </w:tabs>
        <w:adjustRightInd/>
        <w:spacing w:before="0" w:after="60"/>
        <w:ind w:left="720" w:firstLine="0"/>
        <w:textAlignment w:val="auto"/>
      </w:pPr>
      <w:r w:rsidRPr="0058047D">
        <w:rPr>
          <w:rFonts w:ascii="Tahoma" w:hAnsi="Tahoma" w:cs="Tahoma"/>
          <w:b/>
          <w:bCs/>
          <w:sz w:val="18"/>
          <w:szCs w:val="18"/>
        </w:rPr>
        <w:t>Diritti di Noleggio per Windows</w:t>
      </w:r>
    </w:p>
    <w:p w14:paraId="60F2A178" w14:textId="77777777" w:rsidR="00B73A46" w:rsidRPr="0058047D" w:rsidRDefault="00B73A46" w:rsidP="00804794">
      <w:pPr>
        <w:pStyle w:val="FootnoteBulletLevel1"/>
        <w:tabs>
          <w:tab w:val="clear" w:pos="900"/>
        </w:tabs>
        <w:adjustRightInd/>
        <w:spacing w:before="0" w:after="0"/>
        <w:ind w:left="720" w:firstLine="0"/>
        <w:textAlignment w:val="auto"/>
      </w:pPr>
      <w:r w:rsidRPr="0058047D">
        <w:rPr>
          <w:rFonts w:ascii="Tahoma" w:hAnsi="Tahoma" w:cs="Tahoma"/>
          <w:sz w:val="18"/>
          <w:szCs w:val="18"/>
          <w:u w:val="single"/>
        </w:rPr>
        <w:t>Licenze per i Diritti di Noleggio</w:t>
      </w:r>
      <w:r w:rsidRPr="00905752">
        <w:rPr>
          <w:rFonts w:ascii="Tahoma" w:hAnsi="Tahoma" w:cs="Tahoma"/>
          <w:sz w:val="18"/>
          <w:szCs w:val="18"/>
        </w:rPr>
        <w:t>:</w:t>
      </w:r>
      <w:r w:rsidRPr="0058047D">
        <w:rPr>
          <w:rFonts w:ascii="Tahoma" w:hAnsi="Tahoma" w:cs="Tahoma"/>
          <w:sz w:val="18"/>
          <w:szCs w:val="18"/>
        </w:rPr>
        <w:br/>
        <w:t>le licenze per i diritti di noleggio concesse in base ai presenti programmi sono unicamente licenze add-on. Tali licenze non costituiscono né un sistema operativo completo, né una sostituzione per l</w:t>
      </w:r>
      <w:r w:rsidR="001C4212">
        <w:rPr>
          <w:rFonts w:ascii="Tahoma" w:hAnsi="Tahoma" w:cs="Tahoma"/>
          <w:sz w:val="18"/>
          <w:szCs w:val="18"/>
        </w:rPr>
        <w:t>’</w:t>
      </w:r>
      <w:r w:rsidRPr="0058047D">
        <w:rPr>
          <w:rFonts w:ascii="Tahoma" w:hAnsi="Tahoma" w:cs="Tahoma"/>
          <w:sz w:val="18"/>
          <w:szCs w:val="18"/>
        </w:rPr>
        <w:t>aggiornamento Volume License. Pertanto, ogni desktop a cui la società assegni una licenza per i diritti di noleggio dovrà avere la licenza per eseguire uno dei sistemi operativi qualificanti indicati di seguito.</w:t>
      </w:r>
    </w:p>
    <w:p w14:paraId="572958CD" w14:textId="77777777" w:rsidR="00804794" w:rsidRPr="0058047D" w:rsidRDefault="00804794" w:rsidP="00804794">
      <w:pPr>
        <w:pStyle w:val="FootnoteBulletLevel1"/>
        <w:tabs>
          <w:tab w:val="clear" w:pos="900"/>
        </w:tabs>
        <w:adjustRightInd/>
        <w:spacing w:before="0" w:after="0"/>
        <w:ind w:left="720" w:firstLine="0"/>
        <w:textAlignment w:val="auto"/>
      </w:pPr>
    </w:p>
    <w:p w14:paraId="68409300" w14:textId="77777777" w:rsidR="005F52C6" w:rsidRPr="0058047D" w:rsidRDefault="00B73A46" w:rsidP="00804794">
      <w:pPr>
        <w:pStyle w:val="FootnoteBulletLevel1"/>
        <w:tabs>
          <w:tab w:val="clear" w:pos="900"/>
        </w:tabs>
        <w:adjustRightInd/>
        <w:spacing w:before="0" w:after="0"/>
        <w:ind w:left="720" w:firstLine="0"/>
        <w:textAlignment w:val="auto"/>
      </w:pPr>
      <w:r w:rsidRPr="0058047D">
        <w:rPr>
          <w:rFonts w:ascii="Tahoma" w:hAnsi="Tahoma" w:cs="Tahoma"/>
          <w:sz w:val="18"/>
          <w:szCs w:val="18"/>
          <w:u w:val="single"/>
        </w:rPr>
        <w:t>Windows Vista, Windows 7 Professional e Windows 8 Pro e Windows 8.1 Pro</w:t>
      </w:r>
      <w:r w:rsidRPr="00905752">
        <w:rPr>
          <w:rFonts w:ascii="Tahoma" w:hAnsi="Tahoma" w:cs="Tahoma"/>
          <w:sz w:val="18"/>
          <w:szCs w:val="18"/>
        </w:rPr>
        <w:t>:</w:t>
      </w:r>
    </w:p>
    <w:p w14:paraId="105461BC" w14:textId="77777777" w:rsidR="00B73A46" w:rsidRPr="0058047D" w:rsidRDefault="00B73A46" w:rsidP="00804794">
      <w:pPr>
        <w:pStyle w:val="FootnoteBulletLevel1"/>
        <w:tabs>
          <w:tab w:val="clear" w:pos="900"/>
        </w:tabs>
        <w:adjustRightInd/>
        <w:spacing w:before="0" w:after="0"/>
        <w:ind w:left="720" w:firstLine="0"/>
        <w:textAlignment w:val="auto"/>
      </w:pPr>
      <w:r w:rsidRPr="0058047D">
        <w:rPr>
          <w:rFonts w:ascii="Tahoma" w:hAnsi="Tahoma" w:cs="Tahoma"/>
          <w:sz w:val="18"/>
          <w:szCs w:val="18"/>
        </w:rPr>
        <w:t>Le società che intendono acquistare licenze per i diritti di noleggio attraverso i programmi Select o Open License devono prima disporre della licenza relativa a un sistema operativo qualificante e installarlo sul loro desktop</w:t>
      </w:r>
      <w:r w:rsidRPr="0058047D">
        <w:rPr>
          <w:rFonts w:ascii="Tahoma" w:hAnsi="Tahoma" w:cs="Tahoma"/>
          <w:i/>
          <w:iCs/>
          <w:sz w:val="18"/>
          <w:szCs w:val="18"/>
        </w:rPr>
        <w:t>.</w:t>
      </w:r>
      <w:r w:rsidRPr="0058047D">
        <w:rPr>
          <w:rFonts w:ascii="Tahoma" w:hAnsi="Tahoma" w:cs="Tahoma"/>
          <w:sz w:val="18"/>
          <w:szCs w:val="18"/>
        </w:rPr>
        <w:t xml:space="preserve"> I sistemi operativi con licenza qualificanti includono anche licenze acquistate tramite il Contratto Get Genuine Windows nell</w:t>
      </w:r>
      <w:r w:rsidR="001C4212">
        <w:rPr>
          <w:rFonts w:ascii="Tahoma" w:hAnsi="Tahoma" w:cs="Tahoma"/>
          <w:sz w:val="18"/>
          <w:szCs w:val="18"/>
        </w:rPr>
        <w:t>’</w:t>
      </w:r>
      <w:r w:rsidRPr="0058047D">
        <w:rPr>
          <w:rFonts w:ascii="Tahoma" w:hAnsi="Tahoma" w:cs="Tahoma"/>
          <w:sz w:val="18"/>
          <w:szCs w:val="18"/>
        </w:rPr>
        <w:t>ambito di tali programmi.</w:t>
      </w:r>
    </w:p>
    <w:p w14:paraId="10363102" w14:textId="77777777" w:rsidR="00B73A46" w:rsidRPr="0058047D" w:rsidRDefault="00B73A46" w:rsidP="00804794">
      <w:pPr>
        <w:ind w:left="720"/>
      </w:pPr>
    </w:p>
    <w:p w14:paraId="0A02C6B0" w14:textId="77777777" w:rsidR="00B73A46" w:rsidRPr="0058047D" w:rsidRDefault="00B73A46" w:rsidP="00804794">
      <w:pPr>
        <w:ind w:left="720"/>
      </w:pPr>
      <w:r w:rsidRPr="0058047D">
        <w:rPr>
          <w:rFonts w:cs="Tahoma"/>
          <w:szCs w:val="18"/>
          <w:u w:val="single"/>
        </w:rPr>
        <w:t>Regole per i Sistemi Operativi Qualificanti</w:t>
      </w:r>
      <w:r w:rsidRPr="00905752">
        <w:rPr>
          <w:rFonts w:cs="Tahoma"/>
          <w:szCs w:val="18"/>
        </w:rPr>
        <w:t>:</w:t>
      </w:r>
      <w:r w:rsidRPr="0058047D">
        <w:rPr>
          <w:rFonts w:cs="Tahoma"/>
          <w:szCs w:val="18"/>
        </w:rPr>
        <w:t xml:space="preserve"> (ciascuna di queste condizioni deve essere soddisfatta affinché il Sistema Operativo qualifichi la società per ottenere la licenza relativa ai Diritti di Noleggio): </w:t>
      </w:r>
    </w:p>
    <w:p w14:paraId="278D00D1" w14:textId="77777777" w:rsidR="00B73A46" w:rsidRPr="0058047D" w:rsidRDefault="00B73A46" w:rsidP="00F02E9F">
      <w:pPr>
        <w:ind w:left="1440"/>
      </w:pPr>
    </w:p>
    <w:p w14:paraId="67651236" w14:textId="77777777" w:rsidR="00B73A46" w:rsidRPr="0058047D" w:rsidRDefault="00B73A46" w:rsidP="00346F4B">
      <w:pPr>
        <w:numPr>
          <w:ilvl w:val="0"/>
          <w:numId w:val="28"/>
        </w:numPr>
        <w:ind w:left="1440"/>
      </w:pPr>
      <w:r w:rsidRPr="0058047D">
        <w:rPr>
          <w:rFonts w:cs="Tahoma"/>
          <w:szCs w:val="18"/>
        </w:rPr>
        <w:t>La licenza per l</w:t>
      </w:r>
      <w:r w:rsidR="001C4212">
        <w:rPr>
          <w:rFonts w:cs="Tahoma"/>
          <w:szCs w:val="18"/>
        </w:rPr>
        <w:t>’</w:t>
      </w:r>
      <w:r w:rsidRPr="0058047D">
        <w:rPr>
          <w:rFonts w:cs="Tahoma"/>
          <w:szCs w:val="18"/>
        </w:rPr>
        <w:t>OS qualificante deve essere assegnata allo stesso dispositivo a cui deve essere assegnata la licenza per i Diritti di Noleggio VL.</w:t>
      </w:r>
    </w:p>
    <w:p w14:paraId="2B789BFA" w14:textId="77777777" w:rsidR="00B73A46" w:rsidRPr="0058047D" w:rsidRDefault="00B73A46" w:rsidP="00346F4B">
      <w:pPr>
        <w:numPr>
          <w:ilvl w:val="0"/>
          <w:numId w:val="28"/>
        </w:numPr>
        <w:ind w:left="1440"/>
      </w:pPr>
      <w:r w:rsidRPr="0058047D">
        <w:rPr>
          <w:rFonts w:cs="Tahoma"/>
          <w:szCs w:val="18"/>
        </w:rPr>
        <w:t>L</w:t>
      </w:r>
      <w:r w:rsidR="001C4212">
        <w:rPr>
          <w:rFonts w:cs="Tahoma"/>
          <w:szCs w:val="18"/>
        </w:rPr>
        <w:t>’</w:t>
      </w:r>
      <w:r w:rsidRPr="0058047D">
        <w:rPr>
          <w:rFonts w:cs="Tahoma"/>
          <w:szCs w:val="18"/>
        </w:rPr>
        <w:t>OS qualificante deve essere installata su tale dispositivo.</w:t>
      </w:r>
    </w:p>
    <w:p w14:paraId="4D04910C" w14:textId="77777777" w:rsidR="00E31CC0" w:rsidRDefault="00E31CC0" w:rsidP="00997D81"/>
    <w:p w14:paraId="433D6149" w14:textId="77777777" w:rsidR="00905752" w:rsidRDefault="00905752" w:rsidP="00997D81"/>
    <w:p w14:paraId="24CA04E3" w14:textId="77777777" w:rsidR="00905752" w:rsidRDefault="00905752" w:rsidP="00997D81"/>
    <w:p w14:paraId="752A4A5C" w14:textId="77777777" w:rsidR="00905752" w:rsidRDefault="00905752" w:rsidP="00997D81"/>
    <w:p w14:paraId="727399B7" w14:textId="77777777" w:rsidR="00905752" w:rsidRPr="0058047D" w:rsidRDefault="00905752" w:rsidP="00997D81"/>
    <w:p w14:paraId="57DCE9B4" w14:textId="77777777" w:rsidR="00B73A46" w:rsidRPr="0058047D" w:rsidRDefault="00B73A46" w:rsidP="00EE035D">
      <w:pPr>
        <w:pStyle w:val="EndnoteText"/>
        <w:ind w:left="720"/>
      </w:pPr>
      <w:r w:rsidRPr="0058047D">
        <w:rPr>
          <w:rFonts w:ascii="Tahoma" w:hAnsi="Tahoma" w:cs="Tahoma"/>
          <w:sz w:val="18"/>
          <w:szCs w:val="18"/>
        </w:rPr>
        <w:t>I sistemi operativi qualificanti in base al tipo di Programma sono:</w:t>
      </w:r>
    </w:p>
    <w:p w14:paraId="50FE91B4" w14:textId="77777777" w:rsidR="00B73A46" w:rsidRPr="00905752" w:rsidRDefault="00B73A46" w:rsidP="00B73A46">
      <w:pPr>
        <w:pStyle w:val="EndnoteText"/>
        <w:rPr>
          <w:rFonts w:ascii="Tahoma" w:hAnsi="Tahoma" w:cs="Tahoma"/>
          <w:sz w:val="16"/>
          <w:szCs w:val="16"/>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58047D" w14:paraId="358252FE" w14:textId="77777777"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51289522" w14:textId="77777777" w:rsidR="00B73A46" w:rsidRPr="0058047D" w:rsidRDefault="009B3FA2" w:rsidP="00905752">
            <w:pPr>
              <w:ind w:left="122"/>
              <w:rPr>
                <w:rFonts w:eastAsia="Calibri" w:cs="Tahoma"/>
                <w:bCs/>
                <w:szCs w:val="18"/>
              </w:rPr>
            </w:pPr>
            <w:r w:rsidRPr="0058047D">
              <w:rPr>
                <w:rFonts w:cs="Tahoma"/>
                <w:b/>
                <w:bCs/>
                <w:szCs w:val="18"/>
              </w:rPr>
              <w:t>Sistemi Operativi Qualificanti per l</w:t>
            </w:r>
            <w:r w:rsidR="001C4212">
              <w:rPr>
                <w:rFonts w:cs="Tahoma"/>
                <w:b/>
                <w:bCs/>
                <w:szCs w:val="18"/>
              </w:rPr>
              <w:t>’</w:t>
            </w:r>
            <w:r w:rsidRPr="0058047D">
              <w:rPr>
                <w:rFonts w:cs="Tahoma"/>
                <w:b/>
                <w:bCs/>
                <w:szCs w:val="18"/>
              </w:rPr>
              <w:t>acquisto dei Diritti di Noleggio per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CEE2507" w14:textId="77777777" w:rsidR="00B73A46" w:rsidRPr="0058047D" w:rsidRDefault="00B73A46" w:rsidP="009B3FA2">
            <w:pPr>
              <w:jc w:val="center"/>
              <w:rPr>
                <w:rFonts w:eastAsia="Calibri" w:cs="Tahoma"/>
                <w:b/>
                <w:bCs/>
                <w:sz w:val="14"/>
                <w:szCs w:val="18"/>
              </w:rPr>
            </w:pPr>
            <w:r w:rsidRPr="0058047D">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70F31B1" w14:textId="77777777" w:rsidR="00B73A46" w:rsidRPr="0058047D" w:rsidRDefault="00B73A46" w:rsidP="001B15A5">
            <w:pPr>
              <w:jc w:val="center"/>
              <w:rPr>
                <w:rFonts w:eastAsia="Calibri" w:cs="Tahoma"/>
                <w:b/>
                <w:bCs/>
                <w:sz w:val="14"/>
                <w:szCs w:val="18"/>
              </w:rPr>
            </w:pPr>
            <w:r w:rsidRPr="0058047D">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CF23D54" w14:textId="77777777" w:rsidR="00B73A46" w:rsidRPr="0058047D" w:rsidRDefault="00B73A46" w:rsidP="0050116B">
            <w:pPr>
              <w:jc w:val="center"/>
              <w:rPr>
                <w:rFonts w:eastAsia="Calibri" w:cs="Tahoma"/>
                <w:b/>
                <w:bCs/>
                <w:sz w:val="14"/>
                <w:szCs w:val="18"/>
              </w:rPr>
            </w:pPr>
            <w:r w:rsidRPr="0058047D">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42773E5" w14:textId="77777777" w:rsidR="00B73A46" w:rsidRPr="0058047D" w:rsidRDefault="00B73A46" w:rsidP="005F0406">
            <w:pPr>
              <w:jc w:val="center"/>
              <w:rPr>
                <w:rFonts w:eastAsia="Calibri" w:cs="Tahoma"/>
                <w:b/>
                <w:bCs/>
                <w:sz w:val="14"/>
                <w:szCs w:val="18"/>
              </w:rPr>
            </w:pPr>
            <w:r w:rsidRPr="0058047D">
              <w:rPr>
                <w:rFonts w:cs="Tahoma"/>
                <w:b/>
                <w:bCs/>
                <w:sz w:val="14"/>
                <w:szCs w:val="18"/>
              </w:rPr>
              <w:t>Licenza Open</w:t>
            </w:r>
          </w:p>
        </w:tc>
        <w:tc>
          <w:tcPr>
            <w:tcW w:w="16" w:type="dxa"/>
            <w:vAlign w:val="center"/>
          </w:tcPr>
          <w:p w14:paraId="4895CA65" w14:textId="77777777" w:rsidR="00B73A46" w:rsidRPr="0058047D" w:rsidRDefault="00B73A46" w:rsidP="00713A6C">
            <w:pPr>
              <w:rPr>
                <w:rFonts w:eastAsia="Calibri" w:cs="Tahoma"/>
                <w:szCs w:val="18"/>
              </w:rPr>
            </w:pPr>
          </w:p>
        </w:tc>
      </w:tr>
      <w:tr w:rsidR="00BF7A97" w:rsidRPr="0058047D" w14:paraId="63F880CF"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3B6ACFE" w14:textId="77777777" w:rsidR="00BF7A97" w:rsidRPr="0058047D" w:rsidRDefault="00BF7A97" w:rsidP="00713A6C">
            <w:pPr>
              <w:rPr>
                <w:rFonts w:cs="Tahoma"/>
                <w:b/>
                <w:bCs/>
                <w:szCs w:val="18"/>
              </w:rPr>
            </w:pPr>
            <w:r w:rsidRPr="0058047D">
              <w:rPr>
                <w:rFonts w:cs="Tahoma"/>
                <w:b/>
                <w:bCs/>
                <w:szCs w:val="18"/>
              </w:rPr>
              <w:t xml:space="preserve">Windows 8 e Windows 8.1 </w:t>
            </w:r>
            <w:r w:rsidR="00905752">
              <w:rPr>
                <w:rFonts w:cs="Tahoma"/>
                <w:b/>
                <w:bCs/>
                <w:szCs w:val="18"/>
              </w:rPr>
              <w:br/>
            </w:r>
            <w:r w:rsidRPr="0058047D">
              <w:rPr>
                <w:rFonts w:cs="Tahoma"/>
                <w:b/>
                <w:bCs/>
                <w:szCs w:val="18"/>
              </w:rPr>
              <w:t>(32 bit o 64 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77A7D" w14:textId="77777777" w:rsidR="00BF7A97" w:rsidRPr="0058047D"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C31509" w14:textId="77777777" w:rsidR="00BF7A97" w:rsidRPr="0058047D"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C0AA50E" w14:textId="77777777" w:rsidR="00BF7A97" w:rsidRPr="0058047D"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F6AD90F" w14:textId="77777777" w:rsidR="00BF7A97" w:rsidRPr="0058047D" w:rsidRDefault="00BF7A97" w:rsidP="00BF7A97">
            <w:pPr>
              <w:jc w:val="center"/>
              <w:rPr>
                <w:rFonts w:eastAsia="Times New Roman" w:cs="Tahoma"/>
                <w:szCs w:val="18"/>
              </w:rPr>
            </w:pPr>
          </w:p>
        </w:tc>
        <w:tc>
          <w:tcPr>
            <w:tcW w:w="16" w:type="dxa"/>
            <w:vAlign w:val="center"/>
          </w:tcPr>
          <w:p w14:paraId="2115FF86" w14:textId="77777777" w:rsidR="00BF7A97" w:rsidRPr="0058047D" w:rsidRDefault="00BF7A97" w:rsidP="00713A6C">
            <w:pPr>
              <w:rPr>
                <w:rFonts w:eastAsia="Calibri" w:cs="Tahoma"/>
                <w:szCs w:val="18"/>
              </w:rPr>
            </w:pPr>
          </w:p>
        </w:tc>
      </w:tr>
      <w:tr w:rsidR="00BF7A97" w:rsidRPr="0058047D" w14:paraId="7260D6AA"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F7269D4" w14:textId="77777777" w:rsidR="00BF7A97" w:rsidRPr="0058047D" w:rsidRDefault="00BF7A97" w:rsidP="00BF7A97">
            <w:pPr>
              <w:ind w:left="522"/>
              <w:rPr>
                <w:rFonts w:cs="Tahoma"/>
                <w:b/>
                <w:bCs/>
                <w:szCs w:val="18"/>
              </w:rPr>
            </w:pPr>
            <w:r w:rsidRPr="0058047D">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52C1AE" w14:textId="77777777" w:rsidR="00BF7A97" w:rsidRPr="0058047D" w:rsidRDefault="00BF7A97" w:rsidP="00BF7A97">
            <w:pPr>
              <w:jc w:val="center"/>
              <w:rPr>
                <w:rFonts w:eastAsia="Times New Roman" w:cs="Tahoma"/>
                <w:szCs w:val="18"/>
              </w:rPr>
            </w:pPr>
            <w:r w:rsidRPr="0058047D">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8DD1DFB" w14:textId="77777777" w:rsidR="00BF7A97" w:rsidRPr="0058047D"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5D40411" w14:textId="77777777" w:rsidR="00BF7A97" w:rsidRPr="0058047D" w:rsidRDefault="00BF7A97" w:rsidP="00BF7A97">
            <w:pPr>
              <w:jc w:val="center"/>
              <w:rPr>
                <w:rFonts w:eastAsia="Times New Roman" w:cs="Tahoma"/>
                <w:szCs w:val="18"/>
              </w:rPr>
            </w:pPr>
            <w:r w:rsidRPr="0058047D">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1ACF0DF" w14:textId="77777777" w:rsidR="00BF7A97" w:rsidRPr="0058047D" w:rsidRDefault="00BF7A97" w:rsidP="00BF7A97">
            <w:pPr>
              <w:jc w:val="center"/>
              <w:rPr>
                <w:rFonts w:eastAsia="Times New Roman" w:cs="Tahoma"/>
                <w:szCs w:val="18"/>
              </w:rPr>
            </w:pPr>
            <w:r w:rsidRPr="0058047D">
              <w:rPr>
                <w:rFonts w:eastAsia="Times New Roman" w:cs="Tahoma"/>
                <w:szCs w:val="18"/>
              </w:rPr>
              <w:t>x</w:t>
            </w:r>
          </w:p>
        </w:tc>
        <w:tc>
          <w:tcPr>
            <w:tcW w:w="16" w:type="dxa"/>
            <w:vAlign w:val="center"/>
          </w:tcPr>
          <w:p w14:paraId="32A155AF" w14:textId="77777777" w:rsidR="00BF7A97" w:rsidRPr="0058047D" w:rsidRDefault="00BF7A97" w:rsidP="00713A6C">
            <w:pPr>
              <w:rPr>
                <w:rFonts w:eastAsia="Calibri" w:cs="Tahoma"/>
                <w:szCs w:val="18"/>
              </w:rPr>
            </w:pPr>
          </w:p>
        </w:tc>
      </w:tr>
      <w:tr w:rsidR="00B73A46" w:rsidRPr="0058047D" w14:paraId="37680889"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8182B87" w14:textId="77777777" w:rsidR="00B73A46" w:rsidRPr="0058047D" w:rsidRDefault="00B73A46" w:rsidP="00713A6C">
            <w:pPr>
              <w:rPr>
                <w:rFonts w:eastAsia="Calibri" w:cs="Tahoma"/>
                <w:b/>
                <w:bCs/>
                <w:szCs w:val="18"/>
              </w:rPr>
            </w:pPr>
            <w:r w:rsidRPr="0058047D">
              <w:rPr>
                <w:rFonts w:cs="Tahoma"/>
                <w:b/>
                <w:bCs/>
                <w:szCs w:val="18"/>
              </w:rPr>
              <w:t>Windows 7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4A7F96" w14:textId="77777777" w:rsidR="00B73A46" w:rsidRPr="0058047D"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0D510C" w14:textId="77777777" w:rsidR="00B73A46" w:rsidRPr="0058047D"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EAEBA3" w14:textId="77777777" w:rsidR="00B73A46" w:rsidRPr="0058047D"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5EA17C" w14:textId="77777777" w:rsidR="00B73A46" w:rsidRPr="0058047D" w:rsidRDefault="00B73A46" w:rsidP="00BF7A97">
            <w:pPr>
              <w:jc w:val="center"/>
              <w:rPr>
                <w:rFonts w:eastAsia="Times New Roman" w:cs="Tahoma"/>
                <w:szCs w:val="18"/>
              </w:rPr>
            </w:pPr>
          </w:p>
        </w:tc>
        <w:tc>
          <w:tcPr>
            <w:tcW w:w="16" w:type="dxa"/>
            <w:vAlign w:val="center"/>
          </w:tcPr>
          <w:p w14:paraId="3865E0A6" w14:textId="77777777" w:rsidR="00B73A46" w:rsidRPr="0058047D" w:rsidRDefault="00B73A46" w:rsidP="00713A6C">
            <w:pPr>
              <w:rPr>
                <w:rFonts w:eastAsia="Calibri" w:cs="Tahoma"/>
                <w:szCs w:val="18"/>
              </w:rPr>
            </w:pPr>
          </w:p>
        </w:tc>
      </w:tr>
      <w:tr w:rsidR="00B73A46" w:rsidRPr="0058047D" w14:paraId="1F658C78"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D1C4D82" w14:textId="77777777" w:rsidR="00B73A46" w:rsidRPr="0058047D" w:rsidRDefault="00B73A46" w:rsidP="00BF7A97">
            <w:pPr>
              <w:ind w:left="522"/>
              <w:rPr>
                <w:rFonts w:eastAsia="Calibri" w:cs="Tahoma"/>
                <w:bCs/>
                <w:szCs w:val="18"/>
              </w:rPr>
            </w:pPr>
            <w:r w:rsidRPr="0058047D">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D6309F" w14:textId="77777777" w:rsidR="00B73A46" w:rsidRPr="0058047D" w:rsidRDefault="00B73A46" w:rsidP="00713A6C">
            <w:pPr>
              <w:jc w:val="center"/>
              <w:rPr>
                <w:rFonts w:eastAsia="Calibri" w:cs="Tahoma"/>
                <w:szCs w:val="18"/>
              </w:rPr>
            </w:pPr>
            <w:r w:rsidRPr="0058047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1406AD" w14:textId="77777777" w:rsidR="00B73A46" w:rsidRPr="0058047D" w:rsidRDefault="00B73A46" w:rsidP="00713A6C">
            <w:pPr>
              <w:jc w:val="center"/>
              <w:rPr>
                <w:rFonts w:eastAsia="Calibri" w:cs="Tahoma"/>
                <w:szCs w:val="18"/>
              </w:rPr>
            </w:pPr>
            <w:r w:rsidRPr="0058047D">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50D630" w14:textId="77777777" w:rsidR="00B73A46" w:rsidRPr="0058047D" w:rsidRDefault="00B73A46" w:rsidP="00713A6C">
            <w:pPr>
              <w:jc w:val="center"/>
              <w:rPr>
                <w:rFonts w:eastAsia="Calibri" w:cs="Tahoma"/>
                <w:szCs w:val="18"/>
              </w:rPr>
            </w:pPr>
            <w:r w:rsidRPr="0058047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35EA3F" w14:textId="77777777" w:rsidR="00B73A46" w:rsidRPr="0058047D" w:rsidRDefault="00B73A46" w:rsidP="00713A6C">
            <w:pPr>
              <w:jc w:val="center"/>
              <w:rPr>
                <w:rFonts w:eastAsia="Calibri" w:cs="Tahoma"/>
                <w:szCs w:val="18"/>
              </w:rPr>
            </w:pPr>
            <w:r w:rsidRPr="0058047D">
              <w:rPr>
                <w:rFonts w:cs="Tahoma"/>
                <w:szCs w:val="18"/>
              </w:rPr>
              <w:t>x</w:t>
            </w:r>
          </w:p>
        </w:tc>
        <w:tc>
          <w:tcPr>
            <w:tcW w:w="16" w:type="dxa"/>
            <w:vAlign w:val="center"/>
          </w:tcPr>
          <w:p w14:paraId="3F684D2D" w14:textId="77777777" w:rsidR="00B73A46" w:rsidRPr="0058047D" w:rsidRDefault="00B73A46" w:rsidP="00713A6C">
            <w:pPr>
              <w:rPr>
                <w:rFonts w:eastAsia="Calibri" w:cs="Tahoma"/>
                <w:szCs w:val="18"/>
              </w:rPr>
            </w:pPr>
          </w:p>
        </w:tc>
      </w:tr>
      <w:tr w:rsidR="00B73A46" w:rsidRPr="0058047D" w14:paraId="14375831"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5CA9843" w14:textId="77777777" w:rsidR="00B73A46" w:rsidRPr="0058047D" w:rsidRDefault="00B73A46" w:rsidP="00DF3AED">
            <w:pPr>
              <w:keepNext/>
              <w:rPr>
                <w:rFonts w:eastAsia="Calibri" w:cs="Tahoma"/>
                <w:b/>
                <w:bCs/>
                <w:szCs w:val="18"/>
              </w:rPr>
            </w:pPr>
            <w:r w:rsidRPr="0058047D">
              <w:rPr>
                <w:rFonts w:cs="Tahoma"/>
                <w:b/>
                <w:bCs/>
                <w:szCs w:val="18"/>
              </w:rPr>
              <w:t>Windows Vista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3FEC74" w14:textId="77777777" w:rsidR="00B73A46" w:rsidRPr="0058047D" w:rsidRDefault="00B73A46" w:rsidP="00713A6C">
            <w:pPr>
              <w:jc w:val="center"/>
              <w:rPr>
                <w:rFonts w:eastAsia="Calibri" w:cs="Tahoma"/>
                <w:szCs w:val="18"/>
              </w:rPr>
            </w:pPr>
            <w:r w:rsidRPr="0058047D">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5ED4C3" w14:textId="77777777" w:rsidR="00B73A46" w:rsidRPr="0058047D" w:rsidRDefault="00B73A46" w:rsidP="00713A6C">
            <w:pPr>
              <w:jc w:val="center"/>
              <w:rPr>
                <w:rFonts w:eastAsia="Calibri" w:cs="Tahoma"/>
                <w:szCs w:val="18"/>
              </w:rPr>
            </w:pPr>
            <w:r w:rsidRPr="0058047D">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1526A4" w14:textId="77777777" w:rsidR="00B73A46" w:rsidRPr="0058047D" w:rsidRDefault="00B73A46" w:rsidP="00713A6C">
            <w:pPr>
              <w:jc w:val="center"/>
              <w:rPr>
                <w:rFonts w:eastAsia="Calibri" w:cs="Tahoma"/>
                <w:szCs w:val="18"/>
              </w:rPr>
            </w:pPr>
            <w:r w:rsidRPr="0058047D">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782757" w14:textId="77777777" w:rsidR="00B73A46" w:rsidRPr="0058047D" w:rsidRDefault="00B73A46" w:rsidP="00713A6C">
            <w:pPr>
              <w:jc w:val="center"/>
              <w:rPr>
                <w:rFonts w:eastAsia="Calibri" w:cs="Tahoma"/>
                <w:szCs w:val="18"/>
              </w:rPr>
            </w:pPr>
            <w:r w:rsidRPr="0058047D">
              <w:rPr>
                <w:rFonts w:cs="Tahoma"/>
                <w:szCs w:val="18"/>
              </w:rPr>
              <w:t> </w:t>
            </w:r>
          </w:p>
        </w:tc>
        <w:tc>
          <w:tcPr>
            <w:tcW w:w="16" w:type="dxa"/>
            <w:vAlign w:val="center"/>
          </w:tcPr>
          <w:p w14:paraId="2689EC34" w14:textId="77777777" w:rsidR="00B73A46" w:rsidRPr="0058047D" w:rsidRDefault="00B73A46" w:rsidP="00713A6C">
            <w:pPr>
              <w:rPr>
                <w:rFonts w:eastAsia="Calibri" w:cs="Tahoma"/>
                <w:szCs w:val="18"/>
              </w:rPr>
            </w:pPr>
          </w:p>
        </w:tc>
      </w:tr>
      <w:tr w:rsidR="00B73A46" w:rsidRPr="0058047D" w14:paraId="7CD9D082"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A3F065A" w14:textId="77777777" w:rsidR="00B73A46" w:rsidRPr="0058047D" w:rsidRDefault="00B73A46" w:rsidP="00713A6C">
            <w:pPr>
              <w:ind w:firstLine="540"/>
              <w:rPr>
                <w:rFonts w:eastAsia="Calibri" w:cs="Tahoma"/>
                <w:szCs w:val="18"/>
              </w:rPr>
            </w:pPr>
            <w:r w:rsidRPr="0058047D">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E36729" w14:textId="77777777" w:rsidR="00B73A46" w:rsidRPr="0058047D" w:rsidRDefault="00B73A46" w:rsidP="00713A6C">
            <w:pPr>
              <w:jc w:val="center"/>
              <w:rPr>
                <w:rFonts w:eastAsia="Calibri" w:cs="Tahoma"/>
                <w:szCs w:val="18"/>
              </w:rPr>
            </w:pPr>
            <w:r w:rsidRPr="0058047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F98024" w14:textId="77777777" w:rsidR="00B73A46" w:rsidRPr="0058047D" w:rsidRDefault="00B73A46" w:rsidP="00713A6C">
            <w:pPr>
              <w:jc w:val="center"/>
              <w:rPr>
                <w:rFonts w:eastAsia="Calibri" w:cs="Tahoma"/>
                <w:szCs w:val="18"/>
              </w:rPr>
            </w:pPr>
            <w:r w:rsidRPr="0058047D">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B59C4C" w14:textId="77777777" w:rsidR="00B73A46" w:rsidRPr="0058047D" w:rsidRDefault="00B73A46" w:rsidP="00713A6C">
            <w:pPr>
              <w:jc w:val="center"/>
              <w:rPr>
                <w:rFonts w:eastAsia="Calibri" w:cs="Tahoma"/>
                <w:szCs w:val="18"/>
              </w:rPr>
            </w:pPr>
            <w:r w:rsidRPr="0058047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3A0ACB" w14:textId="77777777" w:rsidR="00B73A46" w:rsidRPr="0058047D" w:rsidRDefault="00B73A46" w:rsidP="00713A6C">
            <w:pPr>
              <w:jc w:val="center"/>
              <w:rPr>
                <w:rFonts w:eastAsia="Calibri" w:cs="Tahoma"/>
                <w:szCs w:val="18"/>
              </w:rPr>
            </w:pPr>
            <w:r w:rsidRPr="0058047D">
              <w:rPr>
                <w:rFonts w:cs="Tahoma"/>
                <w:szCs w:val="18"/>
              </w:rPr>
              <w:t>x</w:t>
            </w:r>
          </w:p>
        </w:tc>
        <w:tc>
          <w:tcPr>
            <w:tcW w:w="16" w:type="dxa"/>
            <w:vAlign w:val="center"/>
          </w:tcPr>
          <w:p w14:paraId="19BCD8E7" w14:textId="77777777" w:rsidR="00B73A46" w:rsidRPr="0058047D" w:rsidRDefault="00B73A46" w:rsidP="00713A6C">
            <w:pPr>
              <w:rPr>
                <w:rFonts w:eastAsia="Calibri" w:cs="Tahoma"/>
                <w:szCs w:val="18"/>
              </w:rPr>
            </w:pPr>
          </w:p>
        </w:tc>
      </w:tr>
    </w:tbl>
    <w:p w14:paraId="4B210D14" w14:textId="77777777" w:rsidR="00B73A46" w:rsidRPr="00905752" w:rsidRDefault="00B73A46" w:rsidP="00B73A46">
      <w:pPr>
        <w:rPr>
          <w:sz w:val="16"/>
          <w:szCs w:val="16"/>
        </w:rPr>
      </w:pPr>
    </w:p>
    <w:p w14:paraId="4DFF89DD" w14:textId="77777777" w:rsidR="00B73A46" w:rsidRPr="0058047D" w:rsidRDefault="00B73A46" w:rsidP="00EE035D">
      <w:pPr>
        <w:ind w:left="720"/>
      </w:pPr>
      <w:r w:rsidRPr="0058047D">
        <w:rPr>
          <w:rFonts w:cs="Tahoma"/>
          <w:szCs w:val="18"/>
        </w:rPr>
        <w:t>Le società che acquistano la licenza relativa ai diritti di noleggio in aggiunta alla licenza per il sistema operativo qualificante</w:t>
      </w:r>
      <w:r w:rsidRPr="0058047D">
        <w:rPr>
          <w:rStyle w:val="CommentReference"/>
          <w:rFonts w:cs="Tahoma"/>
          <w:sz w:val="18"/>
          <w:szCs w:val="18"/>
        </w:rPr>
        <w:t> </w:t>
      </w:r>
      <w:r w:rsidRPr="0058047D">
        <w:rPr>
          <w:rFonts w:cs="Tahoma"/>
          <w:szCs w:val="18"/>
        </w:rPr>
        <w:t>beneficeranno di un</w:t>
      </w:r>
      <w:r w:rsidR="001C4212">
        <w:rPr>
          <w:rFonts w:cs="Tahoma"/>
          <w:szCs w:val="18"/>
        </w:rPr>
        <w:t>’</w:t>
      </w:r>
      <w:r w:rsidRPr="0058047D">
        <w:rPr>
          <w:rFonts w:cs="Tahoma"/>
          <w:szCs w:val="18"/>
        </w:rPr>
        <w:t>estensione dei diritti contemplati dalla licenza</w:t>
      </w:r>
      <w:r w:rsidRPr="0058047D">
        <w:rPr>
          <w:rStyle w:val="CommentReference"/>
          <w:rFonts w:cs="Tahoma"/>
          <w:sz w:val="18"/>
          <w:szCs w:val="18"/>
        </w:rPr>
        <w:t> </w:t>
      </w:r>
      <w:r w:rsidRPr="0058047D">
        <w:rPr>
          <w:rFonts w:cs="Tahoma"/>
          <w:szCs w:val="18"/>
        </w:rPr>
        <w:t>del sistema operativo qualificante per consentire l</w:t>
      </w:r>
      <w:r w:rsidR="001C4212">
        <w:rPr>
          <w:rFonts w:cs="Tahoma"/>
          <w:szCs w:val="18"/>
        </w:rPr>
        <w:t>’</w:t>
      </w:r>
      <w:r w:rsidRPr="0058047D">
        <w:rPr>
          <w:rFonts w:cs="Tahoma"/>
          <w:szCs w:val="18"/>
        </w:rPr>
        <w:t xml:space="preserve">utilizzo da parte di terzi dello stesso software. La licenza di noleggio non costituisce una concessione per un aggiornamento della versione. </w:t>
      </w:r>
    </w:p>
    <w:p w14:paraId="5F58B5B4" w14:textId="77777777" w:rsidR="00B73A46" w:rsidRPr="00905752" w:rsidRDefault="00B73A46" w:rsidP="00804794">
      <w:pPr>
        <w:ind w:left="720"/>
        <w:rPr>
          <w:sz w:val="16"/>
          <w:szCs w:val="16"/>
        </w:rPr>
      </w:pPr>
    </w:p>
    <w:p w14:paraId="693FB319" w14:textId="77777777" w:rsidR="00B73A46" w:rsidRPr="0058047D" w:rsidRDefault="00B73A46" w:rsidP="00804794">
      <w:pPr>
        <w:ind w:left="720"/>
      </w:pPr>
      <w:r w:rsidRPr="0058047D">
        <w:rPr>
          <w:rFonts w:cs="Tahoma"/>
          <w:szCs w:val="18"/>
          <w:u w:val="single"/>
        </w:rPr>
        <w:t>Eccezione per Software Assurance</w:t>
      </w:r>
    </w:p>
    <w:p w14:paraId="4BC6B7D3" w14:textId="77777777" w:rsidR="00B73A46" w:rsidRPr="0058047D" w:rsidRDefault="00B73A46" w:rsidP="00804794">
      <w:pPr>
        <w:ind w:left="720"/>
      </w:pPr>
      <w:r w:rsidRPr="0058047D">
        <w:rPr>
          <w:rFonts w:cs="Tahoma"/>
          <w:szCs w:val="18"/>
        </w:rPr>
        <w:t>Le società che acquistano licenze per i diritti di noleggio non sono idonee a ricevere Software Assurance per</w:t>
      </w:r>
      <w:r w:rsidR="00905752">
        <w:rPr>
          <w:rFonts w:cs="Tahoma"/>
          <w:szCs w:val="18"/>
        </w:rPr>
        <w:t> </w:t>
      </w:r>
      <w:r w:rsidRPr="0058047D">
        <w:rPr>
          <w:rFonts w:cs="Tahoma"/>
          <w:szCs w:val="18"/>
        </w:rPr>
        <w:t>le stesse licenze software sottostanti. Tuttavia, gli utenti che noleggiano/prendono in leasing e utilizzano dispositivi cui sono cedute licenze per i diritti di noleggio potranno acquistare aggiornamenti o Aggiornamento e Software Assurance per le licenze software sottostanti ai sensi dei propri Contratti Multilicenza, conformemente alle condizioni del contratto che disciplina l</w:t>
      </w:r>
      <w:r w:rsidR="001C4212">
        <w:rPr>
          <w:rFonts w:cs="Tahoma"/>
          <w:szCs w:val="18"/>
        </w:rPr>
        <w:t>’</w:t>
      </w:r>
      <w:r w:rsidRPr="0058047D">
        <w:rPr>
          <w:rFonts w:cs="Tahoma"/>
          <w:szCs w:val="18"/>
        </w:rPr>
        <w:t>acquisto dell</w:t>
      </w:r>
      <w:r w:rsidR="001C4212">
        <w:rPr>
          <w:rFonts w:cs="Tahoma"/>
          <w:szCs w:val="18"/>
        </w:rPr>
        <w:t>’</w:t>
      </w:r>
      <w:r w:rsidRPr="0058047D">
        <w:rPr>
          <w:rFonts w:cs="Tahoma"/>
          <w:szCs w:val="18"/>
        </w:rPr>
        <w:t>Aggiornamento e</w:t>
      </w:r>
      <w:r w:rsidR="00905752">
        <w:rPr>
          <w:rFonts w:cs="Tahoma"/>
          <w:szCs w:val="18"/>
        </w:rPr>
        <w:t> </w:t>
      </w:r>
      <w:r w:rsidRPr="0058047D">
        <w:rPr>
          <w:rFonts w:cs="Tahoma"/>
          <w:szCs w:val="18"/>
        </w:rPr>
        <w:t>Software Assurance. Nonostante quanto diversamente stabilito nel contratto della società relativamente alla</w:t>
      </w:r>
      <w:r w:rsidR="00905752">
        <w:rPr>
          <w:rFonts w:cs="Tahoma"/>
          <w:szCs w:val="18"/>
        </w:rPr>
        <w:t> </w:t>
      </w:r>
      <w:r w:rsidRPr="0058047D">
        <w:rPr>
          <w:rFonts w:cs="Tahoma"/>
          <w:szCs w:val="18"/>
        </w:rPr>
        <w:t xml:space="preserve">maturazione di diritti perpetui, il diritto di utilizzo del software ai sensi di tale copertura cesserà alla scadenza delle relative licenze per i diritti di noleggio. </w:t>
      </w:r>
    </w:p>
    <w:p w14:paraId="2186E927" w14:textId="77777777" w:rsidR="00B73A46" w:rsidRPr="00905752" w:rsidRDefault="00B73A46" w:rsidP="00B73A46">
      <w:pPr>
        <w:rPr>
          <w:sz w:val="16"/>
          <w:szCs w:val="16"/>
        </w:rPr>
      </w:pPr>
    </w:p>
    <w:p w14:paraId="4FAB4C4B" w14:textId="77777777" w:rsidR="00F645DA" w:rsidRPr="00905752" w:rsidRDefault="00F645DA" w:rsidP="00B73A46">
      <w:pPr>
        <w:rPr>
          <w:sz w:val="16"/>
          <w:szCs w:val="16"/>
        </w:rPr>
      </w:pPr>
    </w:p>
    <w:p w14:paraId="799AABE4" w14:textId="77777777" w:rsidR="00F645DA" w:rsidRPr="0058047D" w:rsidRDefault="00F645DA" w:rsidP="00F645DA">
      <w:pPr>
        <w:pStyle w:val="Heading3"/>
        <w:keepNext/>
      </w:pPr>
      <w:bookmarkStart w:id="1106" w:name="_30_Licenza_“Subscription”"/>
      <w:bookmarkStart w:id="1107" w:name="_Toc371663682"/>
      <w:bookmarkEnd w:id="1103"/>
      <w:bookmarkEnd w:id="1104"/>
      <w:bookmarkEnd w:id="1105"/>
      <w:bookmarkEnd w:id="1106"/>
      <w:r w:rsidRPr="0058047D">
        <w:rPr>
          <w:rFonts w:ascii="Tahoma" w:hAnsi="Tahoma"/>
          <w:caps/>
          <w:color w:val="F66400"/>
          <w:sz w:val="22"/>
          <w:vertAlign w:val="superscript"/>
        </w:rPr>
        <w:t xml:space="preserve">30 </w:t>
      </w:r>
      <w:r w:rsidRPr="0058047D">
        <w:rPr>
          <w:rFonts w:ascii="Tahoma" w:hAnsi="Tahoma"/>
          <w:color w:val="F66400"/>
          <w:sz w:val="22"/>
        </w:rPr>
        <w:t>Licenza “Subscription” per Windows</w:t>
      </w:r>
      <w:r w:rsidR="00E53A46" w:rsidRPr="0058047D">
        <w:rPr>
          <w:rFonts w:ascii="Tahoma" w:hAnsi="Tahoma"/>
          <w:color w:val="F66400"/>
          <w:sz w:val="22"/>
          <w:vertAlign w:val="superscript"/>
        </w:rPr>
        <w:t>®</w:t>
      </w:r>
      <w:r w:rsidRPr="0058047D">
        <w:rPr>
          <w:rFonts w:ascii="Tahoma" w:hAnsi="Tahoma"/>
          <w:color w:val="F66400"/>
          <w:sz w:val="22"/>
        </w:rPr>
        <w:t xml:space="preserve"> Companion</w:t>
      </w:r>
      <w:bookmarkEnd w:id="1107"/>
    </w:p>
    <w:p w14:paraId="3DC13114" w14:textId="77777777" w:rsidR="00F645DA" w:rsidRPr="00905752" w:rsidRDefault="00F645DA" w:rsidP="00F645DA">
      <w:pPr>
        <w:rPr>
          <w:sz w:val="16"/>
          <w:szCs w:val="16"/>
        </w:rPr>
      </w:pPr>
    </w:p>
    <w:p w14:paraId="3784B1CB" w14:textId="77777777" w:rsidR="00F645DA" w:rsidRPr="0058047D" w:rsidRDefault="00F645DA" w:rsidP="00F645DA">
      <w:pPr>
        <w:spacing w:after="60"/>
        <w:ind w:left="720"/>
      </w:pPr>
      <w:r w:rsidRPr="0058047D">
        <w:rPr>
          <w:b/>
          <w:color w:val="000000"/>
        </w:rPr>
        <w:t>Istituti con Contratti Campus e School:</w:t>
      </w:r>
    </w:p>
    <w:p w14:paraId="78A5974D" w14:textId="77777777" w:rsidR="00F645DA" w:rsidRPr="0058047D" w:rsidRDefault="00F645DA" w:rsidP="00F645DA">
      <w:pPr>
        <w:ind w:left="720"/>
      </w:pPr>
      <w:r w:rsidRPr="0058047D">
        <w:rPr>
          <w:color w:val="000000"/>
        </w:rPr>
        <w:t>gli Istituti potranno acquistare la Licenza “Subscription” per Windows Companion (Companion Subscription License o “CSL”), qualora dispongano della copertura per i prodotti qualificanti.</w:t>
      </w:r>
      <w:r w:rsidR="00E34ED3" w:rsidRPr="0058047D">
        <w:rPr>
          <w:color w:val="000000"/>
        </w:rPr>
        <w:t xml:space="preserve"> </w:t>
      </w:r>
      <w:r w:rsidRPr="0058047D">
        <w:rPr>
          <w:color w:val="000000"/>
        </w:rPr>
        <w:t>La quantità massima di CSL acquistabili è pari al numero di prodotti qualificanti per i PC Idonei dell</w:t>
      </w:r>
      <w:r w:rsidR="001C4212">
        <w:rPr>
          <w:color w:val="000000"/>
        </w:rPr>
        <w:t>’</w:t>
      </w:r>
      <w:r w:rsidRPr="0058047D">
        <w:rPr>
          <w:color w:val="000000"/>
        </w:rPr>
        <w:t>istituto.</w:t>
      </w:r>
    </w:p>
    <w:p w14:paraId="03AA6E05" w14:textId="77777777" w:rsidR="00F645DA" w:rsidRPr="00905752" w:rsidRDefault="00F645DA" w:rsidP="00F645DA">
      <w:pPr>
        <w:rPr>
          <w:sz w:val="16"/>
          <w:szCs w:val="16"/>
        </w:rPr>
      </w:pPr>
    </w:p>
    <w:p w14:paraId="3C4B71D6" w14:textId="77777777" w:rsidR="00F645DA" w:rsidRPr="0058047D" w:rsidRDefault="00F645DA" w:rsidP="00F645DA">
      <w:pPr>
        <w:spacing w:after="60"/>
        <w:ind w:left="720"/>
      </w:pPr>
      <w:r w:rsidRPr="0058047D">
        <w:rPr>
          <w:b/>
          <w:color w:val="000000"/>
        </w:rPr>
        <w:t>Dispositivi Companion e Dispositivi Qualificati</w:t>
      </w:r>
    </w:p>
    <w:p w14:paraId="355AE52D" w14:textId="77777777" w:rsidR="00F645DA" w:rsidRPr="0058047D" w:rsidRDefault="00F645DA" w:rsidP="00F645DA">
      <w:pPr>
        <w:ind w:left="720"/>
      </w:pPr>
      <w:r w:rsidRPr="0058047D">
        <w:rPr>
          <w:color w:val="000000"/>
        </w:rPr>
        <w:t>I Dispositivi Companion che usano i diritti sull</w:t>
      </w:r>
      <w:r w:rsidR="001C4212">
        <w:rPr>
          <w:color w:val="000000"/>
        </w:rPr>
        <w:t>’</w:t>
      </w:r>
      <w:r w:rsidRPr="0058047D">
        <w:rPr>
          <w:color w:val="000000"/>
        </w:rPr>
        <w:t>utilizzo forniti dalla CSL sono Dispositivi Qualificati.</w:t>
      </w:r>
      <w:r w:rsidR="00E34ED3" w:rsidRPr="0058047D">
        <w:rPr>
          <w:color w:val="000000"/>
        </w:rPr>
        <w:t xml:space="preserve"> </w:t>
      </w:r>
      <w:r w:rsidRPr="0058047D">
        <w:rPr>
          <w:color w:val="000000"/>
        </w:rPr>
        <w:t>La CSL è</w:t>
      </w:r>
      <w:r w:rsidR="00905752">
        <w:rPr>
          <w:color w:val="000000"/>
        </w:rPr>
        <w:t> </w:t>
      </w:r>
      <w:r w:rsidRPr="0058047D">
        <w:rPr>
          <w:color w:val="000000"/>
        </w:rPr>
        <w:t>un Prodotto Enterprise e in tal modo completa la parte Sistemi di qualsiasi impegno di acquisto per i Dispositivi Qualificati.</w:t>
      </w:r>
      <w:r w:rsidR="00E34ED3" w:rsidRPr="0058047D">
        <w:rPr>
          <w:color w:val="000000"/>
        </w:rPr>
        <w:t xml:space="preserve"> </w:t>
      </w:r>
      <w:r w:rsidRPr="0058047D">
        <w:rPr>
          <w:color w:val="000000"/>
        </w:rPr>
        <w:t>Non esiste una quantità specifica di CSL acquistabili e non occorre acquistare CSL per</w:t>
      </w:r>
      <w:r w:rsidR="00905752">
        <w:rPr>
          <w:color w:val="000000"/>
        </w:rPr>
        <w:t> </w:t>
      </w:r>
      <w:r w:rsidRPr="0058047D">
        <w:rPr>
          <w:color w:val="000000"/>
        </w:rPr>
        <w:t xml:space="preserve">tutti i Dispositivi </w:t>
      </w:r>
      <w:r w:rsidRPr="0058047D">
        <w:t>Qualificati di un</w:t>
      </w:r>
      <w:r w:rsidR="001C4212">
        <w:t>’</w:t>
      </w:r>
      <w:r w:rsidRPr="0058047D">
        <w:t>organizzazione e in nessun caso il numero di CSL può superare la combinazione di tutte le Licenze per Windows Upgrade e VDA.</w:t>
      </w:r>
    </w:p>
    <w:p w14:paraId="7B16BF4B" w14:textId="77777777" w:rsidR="00104195" w:rsidRPr="00905752" w:rsidRDefault="00104195" w:rsidP="00104195">
      <w:pPr>
        <w:tabs>
          <w:tab w:val="left" w:pos="1440"/>
        </w:tabs>
        <w:ind w:left="1080"/>
        <w:contextualSpacing/>
        <w:rPr>
          <w:sz w:val="16"/>
          <w:szCs w:val="16"/>
        </w:rPr>
      </w:pPr>
    </w:p>
    <w:p w14:paraId="32B5992E" w14:textId="77777777" w:rsidR="00F645DA" w:rsidRPr="00905752" w:rsidRDefault="00F645DA" w:rsidP="00F645DA">
      <w:pPr>
        <w:rPr>
          <w:sz w:val="16"/>
          <w:szCs w:val="16"/>
        </w:rPr>
      </w:pPr>
    </w:p>
    <w:p w14:paraId="7BC25A24" w14:textId="77777777" w:rsidR="00F645DA" w:rsidRPr="0058047D" w:rsidRDefault="00F645DA" w:rsidP="00F645DA">
      <w:pPr>
        <w:pStyle w:val="Heading3"/>
      </w:pPr>
      <w:bookmarkStart w:id="1108" w:name="_31_Windows_Embedded"/>
      <w:bookmarkStart w:id="1109" w:name="_Toc371663683"/>
      <w:bookmarkEnd w:id="1108"/>
      <w:r w:rsidRPr="0058047D">
        <w:rPr>
          <w:rFonts w:ascii="Tahoma" w:hAnsi="Tahoma"/>
          <w:caps/>
          <w:color w:val="F66400"/>
          <w:sz w:val="22"/>
          <w:vertAlign w:val="superscript"/>
        </w:rPr>
        <w:t xml:space="preserve">31 </w:t>
      </w:r>
      <w:r w:rsidRPr="0058047D">
        <w:rPr>
          <w:rFonts w:ascii="Tahoma" w:hAnsi="Tahoma"/>
          <w:color w:val="F66400"/>
          <w:sz w:val="22"/>
        </w:rPr>
        <w:t>Windows Embedded 8 Standard Enterprise Kit</w:t>
      </w:r>
      <w:bookmarkEnd w:id="1109"/>
    </w:p>
    <w:p w14:paraId="6A090E83" w14:textId="77777777" w:rsidR="00F645DA" w:rsidRPr="00905752" w:rsidRDefault="00F645DA" w:rsidP="00F645DA">
      <w:pPr>
        <w:pStyle w:val="FootnoteBulletLevel1"/>
        <w:tabs>
          <w:tab w:val="clear" w:pos="900"/>
        </w:tabs>
        <w:adjustRightInd/>
        <w:spacing w:before="0" w:after="0"/>
        <w:ind w:left="720" w:hanging="7"/>
        <w:textAlignment w:val="auto"/>
        <w:rPr>
          <w:sz w:val="16"/>
          <w:szCs w:val="16"/>
        </w:rPr>
      </w:pPr>
    </w:p>
    <w:p w14:paraId="787EA61B" w14:textId="77777777" w:rsidR="00F645DA" w:rsidRPr="00905752" w:rsidRDefault="00F645DA" w:rsidP="00F645DA">
      <w:pPr>
        <w:pStyle w:val="FootnoteBulletLevel1"/>
        <w:tabs>
          <w:tab w:val="clear" w:pos="900"/>
        </w:tabs>
        <w:adjustRightInd/>
        <w:spacing w:before="0" w:after="0"/>
        <w:ind w:left="720" w:firstLine="0"/>
        <w:textAlignment w:val="auto"/>
      </w:pPr>
      <w:r w:rsidRPr="00905752">
        <w:rPr>
          <w:rFonts w:ascii="Tahoma" w:hAnsi="Tahoma" w:cs="Tahoma"/>
          <w:sz w:val="18"/>
          <w:szCs w:val="22"/>
        </w:rPr>
        <w:t>Le società che acquistano un dispositivo OEM con preinstallato il software Windows Embedded 8 Standard potranno acquistare una Licenza per Windows Embedded 8 Standard Enterprise Kit per ottenere in licenza, sbloccare e attivare alcune funzionalità del software (incluse Windows DirectAccess, Enterprise Sideloading, BranchCache e AppLocker). L</w:t>
      </w:r>
      <w:r w:rsidR="001C4212">
        <w:rPr>
          <w:rFonts w:ascii="Tahoma" w:hAnsi="Tahoma" w:cs="Tahoma"/>
          <w:sz w:val="18"/>
          <w:szCs w:val="22"/>
        </w:rPr>
        <w:t>’</w:t>
      </w:r>
      <w:r w:rsidRPr="00905752">
        <w:rPr>
          <w:rFonts w:ascii="Tahoma" w:hAnsi="Tahoma" w:cs="Tahoma"/>
          <w:sz w:val="18"/>
          <w:szCs w:val="22"/>
        </w:rPr>
        <w:t>utilizzo delle funzionalità del software autorizzate dalla licenza ottenuta ai sensi della presente offerta è soggetto alle condizioni del contratto di licenza della società e alle condizioni di</w:t>
      </w:r>
      <w:r w:rsidR="00905752">
        <w:rPr>
          <w:rFonts w:ascii="Tahoma" w:hAnsi="Tahoma" w:cs="Tahoma"/>
          <w:sz w:val="18"/>
          <w:szCs w:val="22"/>
        </w:rPr>
        <w:t> </w:t>
      </w:r>
      <w:r w:rsidRPr="00905752">
        <w:rPr>
          <w:rFonts w:ascii="Tahoma" w:hAnsi="Tahoma" w:cs="Tahoma"/>
          <w:sz w:val="18"/>
          <w:szCs w:val="22"/>
        </w:rPr>
        <w:t>licenza software per il software Windows Embedded 8 Standard sottostante. Il diritto di utilizzo delle funzionalità del software termina alla scadenza del diritto di utilizzo del software Windows Embedded 8 Standard sottostante. La Licenza per Windows Embedded 8 Standard Enterprise Kit dovrà essere ceduta in modo definitivo a un solo dispositivo e non potrà essere trasferita ad altri dispositivi. Enterprise Sideloading per Windows Embedded 8 Standard è disponibile solo nell</w:t>
      </w:r>
      <w:r w:rsidR="001C4212">
        <w:rPr>
          <w:rFonts w:ascii="Tahoma" w:hAnsi="Tahoma" w:cs="Tahoma"/>
          <w:sz w:val="18"/>
          <w:szCs w:val="22"/>
        </w:rPr>
        <w:t>’</w:t>
      </w:r>
      <w:r w:rsidRPr="00905752">
        <w:rPr>
          <w:rFonts w:ascii="Tahoma" w:hAnsi="Tahoma" w:cs="Tahoma"/>
          <w:sz w:val="18"/>
          <w:szCs w:val="22"/>
        </w:rPr>
        <w:t>ambito di Windows Embedded 8 Standard Enterprise Kit.</w:t>
      </w:r>
      <w:r w:rsidR="00E34ED3" w:rsidRPr="00905752">
        <w:rPr>
          <w:rFonts w:ascii="Tahoma" w:hAnsi="Tahoma" w:cs="Tahoma"/>
          <w:sz w:val="18"/>
          <w:szCs w:val="22"/>
        </w:rPr>
        <w:t xml:space="preserve"> </w:t>
      </w:r>
    </w:p>
    <w:p w14:paraId="2DB756F1" w14:textId="77777777" w:rsidR="006A6EB4" w:rsidRPr="0058047D" w:rsidRDefault="006A6EB4" w:rsidP="006A6EB4">
      <w:pPr>
        <w:pStyle w:val="Heading3"/>
      </w:pPr>
      <w:bookmarkStart w:id="1110" w:name="_32_Windows®_Embedded"/>
      <w:bookmarkStart w:id="1111" w:name="_Toc371663684"/>
      <w:bookmarkEnd w:id="1110"/>
      <w:r w:rsidRPr="0058047D">
        <w:rPr>
          <w:rFonts w:ascii="Tahoma" w:hAnsi="Tahoma"/>
          <w:caps/>
          <w:color w:val="F66400"/>
          <w:sz w:val="22"/>
          <w:vertAlign w:val="superscript"/>
        </w:rPr>
        <w:t xml:space="preserve">32 </w:t>
      </w:r>
      <w:r w:rsidRPr="0058047D">
        <w:rPr>
          <w:rFonts w:ascii="Tahoma" w:hAnsi="Tahoma"/>
          <w:color w:val="F66400"/>
          <w:sz w:val="22"/>
        </w:rPr>
        <w:t>Windows</w:t>
      </w:r>
      <w:r w:rsidR="00E53A46" w:rsidRPr="0058047D">
        <w:rPr>
          <w:rFonts w:ascii="Tahoma" w:hAnsi="Tahoma"/>
          <w:color w:val="F66400"/>
          <w:sz w:val="22"/>
          <w:vertAlign w:val="superscript"/>
        </w:rPr>
        <w:t>®</w:t>
      </w:r>
      <w:r w:rsidRPr="0058047D">
        <w:rPr>
          <w:rFonts w:ascii="Tahoma" w:hAnsi="Tahoma"/>
          <w:color w:val="F66400"/>
          <w:sz w:val="22"/>
        </w:rPr>
        <w:t xml:space="preserve"> Embedded 8.1 Industry Pro Upgrade</w:t>
      </w:r>
      <w:bookmarkEnd w:id="1111"/>
    </w:p>
    <w:p w14:paraId="6D8F1C36" w14:textId="77777777" w:rsidR="006A6EB4" w:rsidRPr="0058047D" w:rsidRDefault="006A6EB4" w:rsidP="006A6EB4"/>
    <w:p w14:paraId="263A3A75" w14:textId="77777777" w:rsidR="006A6EB4" w:rsidRPr="0058047D" w:rsidRDefault="006A6EB4" w:rsidP="006A6EB4">
      <w:pPr>
        <w:pStyle w:val="FootnoteBulletLevel1"/>
        <w:tabs>
          <w:tab w:val="clear" w:pos="900"/>
        </w:tabs>
        <w:adjustRightInd/>
        <w:spacing w:before="0" w:after="60"/>
        <w:ind w:left="720" w:firstLine="0"/>
        <w:textAlignment w:val="auto"/>
      </w:pPr>
      <w:r w:rsidRPr="0058047D">
        <w:rPr>
          <w:rFonts w:ascii="Tahoma" w:hAnsi="Tahoma" w:cs="Tahoma"/>
          <w:b/>
          <w:bCs/>
          <w:sz w:val="18"/>
          <w:szCs w:val="18"/>
        </w:rPr>
        <w:t>Aggiornamento per Windows</w:t>
      </w:r>
      <w:r w:rsidR="00E53A46" w:rsidRPr="0058047D">
        <w:rPr>
          <w:rFonts w:ascii="Tahoma" w:hAnsi="Tahoma" w:cs="Tahoma"/>
          <w:b/>
          <w:bCs/>
          <w:sz w:val="18"/>
          <w:szCs w:val="18"/>
          <w:vertAlign w:val="superscript"/>
        </w:rPr>
        <w:t>®</w:t>
      </w:r>
      <w:r w:rsidRPr="0058047D">
        <w:rPr>
          <w:rFonts w:ascii="Tahoma" w:hAnsi="Tahoma" w:cs="Tahoma"/>
          <w:b/>
          <w:bCs/>
          <w:sz w:val="18"/>
          <w:szCs w:val="18"/>
        </w:rPr>
        <w:t xml:space="preserve"> Embedded 8.1 Industry Pro e Software Assurance</w:t>
      </w:r>
      <w:r w:rsidRPr="0058047D">
        <w:rPr>
          <w:rFonts w:ascii="Tahoma" w:hAnsi="Tahoma" w:cs="Tahoma"/>
          <w:b/>
          <w:sz w:val="18"/>
          <w:szCs w:val="18"/>
          <w:u w:val="single"/>
        </w:rPr>
        <w:t xml:space="preserve"> </w:t>
      </w:r>
    </w:p>
    <w:p w14:paraId="22E15147" w14:textId="77777777" w:rsidR="006A6EB4" w:rsidRPr="0058047D" w:rsidRDefault="006A6EB4" w:rsidP="006A6EB4">
      <w:pPr>
        <w:ind w:left="720"/>
      </w:pPr>
      <w:r w:rsidRPr="0058047D">
        <w:rPr>
          <w:rFonts w:cs="Tahoma"/>
          <w:szCs w:val="18"/>
          <w:u w:val="single"/>
        </w:rPr>
        <w:t>Licenza di Aggiornamento del Sistema Operativo per Windows Embedded 8.1 Industry Pro</w:t>
      </w:r>
    </w:p>
    <w:p w14:paraId="38F7E22A" w14:textId="77777777" w:rsidR="006A6EB4" w:rsidRPr="0058047D" w:rsidRDefault="006A6EB4" w:rsidP="006A6EB4">
      <w:pPr>
        <w:pStyle w:val="FootnoteBulletLevel1"/>
        <w:tabs>
          <w:tab w:val="clear" w:pos="900"/>
        </w:tabs>
        <w:adjustRightInd/>
        <w:spacing w:before="0" w:after="0"/>
        <w:ind w:left="720" w:hanging="7"/>
        <w:textAlignment w:val="auto"/>
      </w:pPr>
      <w:r w:rsidRPr="0058047D">
        <w:rPr>
          <w:rFonts w:ascii="Tahoma" w:hAnsi="Tahoma" w:cs="Tahoma"/>
          <w:sz w:val="18"/>
          <w:szCs w:val="18"/>
        </w:rPr>
        <w:t>Le licenze per sistemi operativi desktop fornite per Windows Embedded 8.1 Industry Pro sono unicamente licenze di aggiornamento. Le licenze complete per sistemi operativi desktop non sono disponibili. Pertanto, ogni dispositivo per cui sia stato acquistato e su cui sia installato l</w:t>
      </w:r>
      <w:r w:rsidR="001C4212">
        <w:rPr>
          <w:rFonts w:ascii="Tahoma" w:hAnsi="Tahoma" w:cs="Tahoma"/>
          <w:sz w:val="18"/>
          <w:szCs w:val="18"/>
        </w:rPr>
        <w:t>’</w:t>
      </w:r>
      <w:r w:rsidRPr="0058047D">
        <w:rPr>
          <w:rFonts w:ascii="Tahoma" w:hAnsi="Tahoma" w:cs="Tahoma"/>
          <w:sz w:val="18"/>
          <w:szCs w:val="18"/>
        </w:rPr>
        <w:t>Aggiornamento per Windows Embedded 8.1 Industry Pro dovrà avere la licenza per eseguire uno dei sistemi operativi qualificanti indicati sotto.</w:t>
      </w:r>
    </w:p>
    <w:p w14:paraId="18AC4924" w14:textId="77777777" w:rsidR="006A6EB4" w:rsidRPr="0058047D" w:rsidRDefault="006A6EB4" w:rsidP="006A6EB4">
      <w:pPr>
        <w:ind w:left="720"/>
      </w:pPr>
    </w:p>
    <w:p w14:paraId="247EA26D" w14:textId="77777777" w:rsidR="006A6EB4" w:rsidRPr="0058047D" w:rsidRDefault="006A6EB4" w:rsidP="006A6EB4">
      <w:pPr>
        <w:ind w:left="720"/>
      </w:pPr>
      <w:r w:rsidRPr="0058047D">
        <w:rPr>
          <w:rFonts w:cs="Tahoma"/>
          <w:szCs w:val="18"/>
          <w:u w:val="single"/>
        </w:rPr>
        <w:t>Regole per i Sistemi Operativi Qualificanti per Windows Embedded 8.1 Industry Pro</w:t>
      </w:r>
    </w:p>
    <w:p w14:paraId="2929F9DA" w14:textId="77777777" w:rsidR="006A6EB4" w:rsidRPr="0058047D" w:rsidRDefault="006A6EB4" w:rsidP="006A6EB4">
      <w:pPr>
        <w:numPr>
          <w:ilvl w:val="0"/>
          <w:numId w:val="84"/>
        </w:numPr>
        <w:spacing w:after="60"/>
        <w:ind w:left="1440"/>
      </w:pPr>
      <w:r w:rsidRPr="0058047D">
        <w:rPr>
          <w:rFonts w:cs="Tahoma"/>
          <w:szCs w:val="18"/>
        </w:rPr>
        <w:t>Il Sistema Operativo qualificante dovrà essere installato sul dispositivo al quale dovrà essere ceduta la licenza di Aggiornamento per Windows Embedded 8 Industry Pro.</w:t>
      </w:r>
    </w:p>
    <w:p w14:paraId="4A62FA42" w14:textId="77777777" w:rsidR="006A6EB4" w:rsidRPr="0058047D" w:rsidRDefault="006A6EB4" w:rsidP="006A6EB4">
      <w:pPr>
        <w:numPr>
          <w:ilvl w:val="1"/>
          <w:numId w:val="86"/>
        </w:numPr>
        <w:spacing w:after="60"/>
        <w:ind w:left="1440"/>
      </w:pPr>
      <w:r w:rsidRPr="0058047D">
        <w:rPr>
          <w:rFonts w:cs="Tahoma"/>
          <w:szCs w:val="18"/>
        </w:rPr>
        <w:t xml:space="preserve">Salvo quanto previsto di seguito, le società dovranno rimuovere il Sistema Operativo qualificante dal dispositivo per distribuire la licenza di Aggiornamento per Windows Embedded 8.1 Industry Pro. </w:t>
      </w:r>
    </w:p>
    <w:p w14:paraId="52279C8D" w14:textId="77777777" w:rsidR="006A6EB4" w:rsidRPr="0058047D" w:rsidRDefault="006A6EB4" w:rsidP="006A6EB4">
      <w:pPr>
        <w:numPr>
          <w:ilvl w:val="1"/>
          <w:numId w:val="86"/>
        </w:numPr>
        <w:spacing w:after="60"/>
        <w:ind w:left="1440"/>
      </w:pPr>
      <w:r w:rsidRPr="0058047D">
        <w:rPr>
          <w:rFonts w:cs="Tahoma"/>
          <w:szCs w:val="18"/>
        </w:rPr>
        <w:t>Le società che intendono installare o eseguire più di un sistema operativo con licenza alla volta (compreso il sistema operativo qualificante) potranno acquistare Software Assurance per la licenza di Aggiornamento per Windows Embedded 8.1 Industry Pro.</w:t>
      </w:r>
    </w:p>
    <w:p w14:paraId="54ADC09C" w14:textId="77777777" w:rsidR="006A6EB4" w:rsidRPr="0058047D" w:rsidRDefault="006A6EB4" w:rsidP="006A6EB4">
      <w:pPr>
        <w:numPr>
          <w:ilvl w:val="1"/>
          <w:numId w:val="86"/>
        </w:numPr>
        <w:ind w:left="1440"/>
      </w:pPr>
      <w:r w:rsidRPr="0058047D">
        <w:rPr>
          <w:rFonts w:cs="Tahoma"/>
          <w:szCs w:val="18"/>
        </w:rPr>
        <w:t>Le società che dispongono di una copertura Software Assurance attiva non hanno l</w:t>
      </w:r>
      <w:r w:rsidR="001C4212">
        <w:rPr>
          <w:rFonts w:cs="Tahoma"/>
          <w:szCs w:val="18"/>
        </w:rPr>
        <w:t>’</w:t>
      </w:r>
      <w:r w:rsidRPr="0058047D">
        <w:rPr>
          <w:rFonts w:cs="Tahoma"/>
          <w:szCs w:val="18"/>
        </w:rPr>
        <w:t>obbligo di</w:t>
      </w:r>
      <w:r w:rsidR="00905752">
        <w:rPr>
          <w:rFonts w:cs="Tahoma"/>
          <w:szCs w:val="18"/>
        </w:rPr>
        <w:t> </w:t>
      </w:r>
      <w:r w:rsidRPr="0058047D">
        <w:rPr>
          <w:rFonts w:cs="Tahoma"/>
          <w:szCs w:val="18"/>
        </w:rPr>
        <w:t xml:space="preserve">disinstallare il Sistema Operativo qualificante e potranno installare ed eseguire contemporaneamente il Sistema Operativo qualificante e Windows Embedded 8.1 Industry Pro. </w:t>
      </w:r>
    </w:p>
    <w:p w14:paraId="28C31663" w14:textId="77777777" w:rsidR="006A6EB4" w:rsidRPr="0058047D" w:rsidRDefault="006A6EB4" w:rsidP="006A6EB4">
      <w:pPr>
        <w:spacing w:after="60"/>
      </w:pPr>
    </w:p>
    <w:p w14:paraId="5F3E9527" w14:textId="77777777" w:rsidR="006A6EB4" w:rsidRPr="0058047D" w:rsidRDefault="006A6EB4" w:rsidP="006A6EB4">
      <w:pPr>
        <w:pStyle w:val="ListParagraph"/>
      </w:pPr>
      <w:r w:rsidRPr="0058047D">
        <w:rPr>
          <w:rFonts w:ascii="Tahoma" w:hAnsi="Tahoma" w:cs="Tahoma"/>
          <w:sz w:val="18"/>
          <w:szCs w:val="18"/>
          <w:u w:val="single"/>
        </w:rPr>
        <w:t>Sistemi Operativi Qualificanti (“Sistema Operativo Qualificante”)</w:t>
      </w:r>
      <w:r w:rsidRPr="00905752">
        <w:rPr>
          <w:rFonts w:ascii="Tahoma" w:hAnsi="Tahoma" w:cs="Tahoma"/>
          <w:sz w:val="18"/>
          <w:szCs w:val="18"/>
        </w:rPr>
        <w:t>:</w:t>
      </w:r>
    </w:p>
    <w:p w14:paraId="7EECD40D" w14:textId="77777777" w:rsidR="006A6EB4" w:rsidRPr="0058047D" w:rsidRDefault="006A6EB4" w:rsidP="006A6EB4">
      <w:pPr>
        <w:numPr>
          <w:ilvl w:val="1"/>
          <w:numId w:val="86"/>
        </w:numPr>
        <w:spacing w:after="60"/>
        <w:ind w:left="1440"/>
      </w:pPr>
      <w:r w:rsidRPr="0058047D">
        <w:rPr>
          <w:rFonts w:cs="Tahoma"/>
          <w:szCs w:val="18"/>
        </w:rPr>
        <w:t>Windows Embedded for Point of Service (WEPOS)</w:t>
      </w:r>
    </w:p>
    <w:p w14:paraId="5E900396" w14:textId="77777777" w:rsidR="006A6EB4" w:rsidRPr="0058047D" w:rsidRDefault="006A6EB4" w:rsidP="006A6EB4">
      <w:pPr>
        <w:numPr>
          <w:ilvl w:val="1"/>
          <w:numId w:val="86"/>
        </w:numPr>
        <w:spacing w:after="60"/>
        <w:ind w:left="1440"/>
      </w:pPr>
      <w:r w:rsidRPr="0058047D">
        <w:rPr>
          <w:rFonts w:cs="Tahoma"/>
          <w:szCs w:val="18"/>
        </w:rPr>
        <w:t>Windows Embedded POSReady 2009 e POSReady 7</w:t>
      </w:r>
    </w:p>
    <w:p w14:paraId="55E67DEA" w14:textId="77777777" w:rsidR="006A6EB4" w:rsidRPr="0058047D" w:rsidRDefault="006A6EB4" w:rsidP="006A6EB4">
      <w:pPr>
        <w:numPr>
          <w:ilvl w:val="1"/>
          <w:numId w:val="86"/>
        </w:numPr>
        <w:spacing w:after="60"/>
        <w:ind w:left="1440"/>
      </w:pPr>
      <w:r w:rsidRPr="0058047D">
        <w:rPr>
          <w:rFonts w:cs="Tahoma"/>
          <w:szCs w:val="18"/>
        </w:rPr>
        <w:t xml:space="preserve">Windows XP Professional for Embedded Systems </w:t>
      </w:r>
    </w:p>
    <w:p w14:paraId="06794D7B" w14:textId="77777777" w:rsidR="006A6EB4" w:rsidRPr="0058047D" w:rsidRDefault="006A6EB4" w:rsidP="006A6EB4">
      <w:pPr>
        <w:numPr>
          <w:ilvl w:val="1"/>
          <w:numId w:val="86"/>
        </w:numPr>
        <w:spacing w:after="60"/>
        <w:ind w:left="1440"/>
      </w:pPr>
      <w:r w:rsidRPr="0058047D">
        <w:rPr>
          <w:rFonts w:cs="Tahoma"/>
          <w:szCs w:val="18"/>
        </w:rPr>
        <w:t>Windows Vista Business for Embedded Systems e Windows Vista Ultimate for Embedded Systems</w:t>
      </w:r>
    </w:p>
    <w:p w14:paraId="769E287E" w14:textId="77777777" w:rsidR="006A6EB4" w:rsidRPr="0058047D" w:rsidRDefault="006A6EB4" w:rsidP="006A6EB4">
      <w:pPr>
        <w:numPr>
          <w:ilvl w:val="1"/>
          <w:numId w:val="86"/>
        </w:numPr>
        <w:spacing w:after="60"/>
        <w:ind w:left="1440"/>
      </w:pPr>
      <w:r w:rsidRPr="0058047D">
        <w:rPr>
          <w:rFonts w:cs="Tahoma"/>
          <w:szCs w:val="18"/>
        </w:rPr>
        <w:t xml:space="preserve">Windows 2000 Professional for Embedded Systems </w:t>
      </w:r>
    </w:p>
    <w:p w14:paraId="2C846E8C" w14:textId="77777777" w:rsidR="006A6EB4" w:rsidRPr="0058047D" w:rsidRDefault="006A6EB4" w:rsidP="006A6EB4">
      <w:pPr>
        <w:numPr>
          <w:ilvl w:val="1"/>
          <w:numId w:val="86"/>
        </w:numPr>
        <w:spacing w:after="60"/>
        <w:ind w:left="1440"/>
      </w:pPr>
      <w:r w:rsidRPr="0058047D">
        <w:rPr>
          <w:rFonts w:cs="Tahoma"/>
          <w:szCs w:val="18"/>
        </w:rPr>
        <w:t>Windows NT Embedded for Embedded Systems</w:t>
      </w:r>
    </w:p>
    <w:p w14:paraId="6F91C59A" w14:textId="77777777" w:rsidR="006A6EB4" w:rsidRPr="0058047D" w:rsidRDefault="006A6EB4" w:rsidP="006A6EB4">
      <w:pPr>
        <w:numPr>
          <w:ilvl w:val="1"/>
          <w:numId w:val="86"/>
        </w:numPr>
        <w:spacing w:after="60"/>
        <w:ind w:left="1440"/>
      </w:pPr>
      <w:r w:rsidRPr="0058047D">
        <w:rPr>
          <w:rFonts w:cs="Tahoma"/>
          <w:szCs w:val="18"/>
        </w:rPr>
        <w:t>Windows 7 Professional for Embedded Systems</w:t>
      </w:r>
    </w:p>
    <w:p w14:paraId="46568F7E" w14:textId="77777777" w:rsidR="006A6EB4" w:rsidRPr="0058047D" w:rsidRDefault="006A6EB4" w:rsidP="006A6EB4">
      <w:pPr>
        <w:numPr>
          <w:ilvl w:val="1"/>
          <w:numId w:val="86"/>
        </w:numPr>
        <w:spacing w:after="60"/>
        <w:ind w:left="1440"/>
      </w:pPr>
      <w:r w:rsidRPr="0058047D">
        <w:rPr>
          <w:rFonts w:cs="Tahoma"/>
          <w:szCs w:val="18"/>
        </w:rPr>
        <w:t>Windows 7 Ultimate for Embedded Systems</w:t>
      </w:r>
    </w:p>
    <w:p w14:paraId="01CBBA01" w14:textId="77777777" w:rsidR="006A6EB4" w:rsidRPr="0058047D" w:rsidRDefault="006A6EB4" w:rsidP="006A6EB4">
      <w:pPr>
        <w:numPr>
          <w:ilvl w:val="1"/>
          <w:numId w:val="86"/>
        </w:numPr>
        <w:spacing w:after="60"/>
        <w:ind w:left="1440"/>
      </w:pPr>
      <w:r w:rsidRPr="0058047D">
        <w:rPr>
          <w:rFonts w:cs="Tahoma"/>
          <w:szCs w:val="18"/>
        </w:rPr>
        <w:t>Windows XP Embedded</w:t>
      </w:r>
    </w:p>
    <w:p w14:paraId="7FAB7B0C" w14:textId="77777777" w:rsidR="006A6EB4" w:rsidRPr="0058047D" w:rsidRDefault="006A6EB4" w:rsidP="006A6EB4">
      <w:pPr>
        <w:numPr>
          <w:ilvl w:val="1"/>
          <w:numId w:val="86"/>
        </w:numPr>
        <w:spacing w:after="60"/>
        <w:ind w:left="1440"/>
      </w:pPr>
      <w:r w:rsidRPr="0058047D">
        <w:rPr>
          <w:rFonts w:cs="Tahoma"/>
          <w:szCs w:val="18"/>
        </w:rPr>
        <w:t>Windows Embedded Standard 7, 2009 e Windows Embedded 8 Standard</w:t>
      </w:r>
    </w:p>
    <w:p w14:paraId="709C6E86" w14:textId="77777777" w:rsidR="006A6EB4" w:rsidRPr="0058047D" w:rsidRDefault="006A6EB4" w:rsidP="006A6EB4">
      <w:pPr>
        <w:numPr>
          <w:ilvl w:val="1"/>
          <w:numId w:val="86"/>
        </w:numPr>
        <w:spacing w:after="60"/>
        <w:ind w:left="1440"/>
      </w:pPr>
      <w:r w:rsidRPr="0058047D">
        <w:rPr>
          <w:rFonts w:cs="Tahoma"/>
          <w:szCs w:val="18"/>
        </w:rPr>
        <w:t>Windows Embedded 8 e 8.1 Pro</w:t>
      </w:r>
    </w:p>
    <w:p w14:paraId="3C49027E" w14:textId="77777777" w:rsidR="006A6EB4" w:rsidRPr="0058047D" w:rsidRDefault="006A6EB4" w:rsidP="006A6EB4">
      <w:pPr>
        <w:numPr>
          <w:ilvl w:val="1"/>
          <w:numId w:val="86"/>
        </w:numPr>
        <w:spacing w:after="60"/>
        <w:ind w:left="1440"/>
      </w:pPr>
      <w:r w:rsidRPr="0058047D">
        <w:rPr>
          <w:rFonts w:cs="Tahoma"/>
          <w:szCs w:val="18"/>
        </w:rPr>
        <w:t>Windows Embedded 8 e 8.1 Industry Pro: sia Standard che Retail</w:t>
      </w:r>
    </w:p>
    <w:p w14:paraId="57F16055" w14:textId="77777777" w:rsidR="006A6EB4" w:rsidRPr="00905752" w:rsidRDefault="006A6EB4" w:rsidP="006A6EB4">
      <w:pPr>
        <w:rPr>
          <w:sz w:val="16"/>
          <w:szCs w:val="16"/>
        </w:rPr>
      </w:pPr>
    </w:p>
    <w:p w14:paraId="62097E6F" w14:textId="77777777" w:rsidR="006A6EB4" w:rsidRPr="0058047D" w:rsidRDefault="006A6EB4" w:rsidP="006A6EB4">
      <w:pPr>
        <w:pStyle w:val="FootnoteBulletLevel1"/>
        <w:tabs>
          <w:tab w:val="clear" w:pos="900"/>
        </w:tabs>
        <w:spacing w:before="0" w:after="0"/>
        <w:ind w:left="0" w:firstLine="0"/>
      </w:pPr>
      <w:r w:rsidRPr="0058047D">
        <w:rPr>
          <w:rFonts w:ascii="Tahoma" w:hAnsi="Tahoma" w:cs="Tahoma"/>
          <w:sz w:val="18"/>
          <w:szCs w:val="18"/>
        </w:rPr>
        <w:t>I sistemi operativi non inclusi nel precedente elenco non sono Sistemi Operativi qualificanti.</w:t>
      </w:r>
      <w:r w:rsidR="00E34ED3" w:rsidRPr="0058047D">
        <w:rPr>
          <w:rFonts w:ascii="Tahoma" w:hAnsi="Tahoma" w:cs="Tahoma"/>
          <w:sz w:val="18"/>
          <w:szCs w:val="18"/>
        </w:rPr>
        <w:t xml:space="preserve"> </w:t>
      </w:r>
      <w:r w:rsidRPr="0058047D">
        <w:rPr>
          <w:rFonts w:ascii="Tahoma" w:hAnsi="Tahoma" w:cs="Tahoma"/>
          <w:sz w:val="18"/>
          <w:szCs w:val="18"/>
        </w:rPr>
        <w:t>Ad esempio, una licenza per Windows 8 Pro non si qualifica per l</w:t>
      </w:r>
      <w:r w:rsidR="001C4212">
        <w:rPr>
          <w:rFonts w:ascii="Tahoma" w:hAnsi="Tahoma" w:cs="Tahoma"/>
          <w:sz w:val="18"/>
          <w:szCs w:val="18"/>
        </w:rPr>
        <w:t>’</w:t>
      </w:r>
      <w:r w:rsidRPr="0058047D">
        <w:rPr>
          <w:rFonts w:ascii="Tahoma" w:hAnsi="Tahoma" w:cs="Tahoma"/>
          <w:sz w:val="18"/>
          <w:szCs w:val="18"/>
        </w:rPr>
        <w:t>Aggiornamento per Windows Embedded 8 Industry.</w:t>
      </w:r>
    </w:p>
    <w:p w14:paraId="21445532" w14:textId="77777777" w:rsidR="006A6EB4" w:rsidRPr="00905752" w:rsidRDefault="006A6EB4" w:rsidP="006A6EB4">
      <w:pPr>
        <w:pStyle w:val="FootnoteBulletLevel1"/>
        <w:spacing w:before="0" w:after="0"/>
        <w:ind w:left="720" w:firstLine="0"/>
        <w:rPr>
          <w:sz w:val="16"/>
          <w:szCs w:val="16"/>
        </w:rPr>
      </w:pPr>
    </w:p>
    <w:p w14:paraId="55853614" w14:textId="77777777" w:rsidR="006A6EB4" w:rsidRPr="0058047D" w:rsidRDefault="006A6EB4" w:rsidP="006A6EB4">
      <w:pPr>
        <w:pStyle w:val="FootnoteBulletLevel1"/>
        <w:spacing w:before="0" w:after="0"/>
        <w:ind w:left="0" w:firstLine="0"/>
      </w:pPr>
      <w:r w:rsidRPr="0058047D">
        <w:rPr>
          <w:rFonts w:ascii="Tahoma" w:hAnsi="Tahoma" w:cs="Tahoma"/>
          <w:sz w:val="18"/>
          <w:szCs w:val="18"/>
        </w:rPr>
        <w:t>Le società che intendono iscriversi a Software Assurance per Windows Embedded 8.1 Industry Pro dispongono delle seguenti opzioni:</w:t>
      </w:r>
    </w:p>
    <w:p w14:paraId="72789213" w14:textId="77777777" w:rsidR="006A6EB4" w:rsidRPr="00905752" w:rsidRDefault="006A6EB4" w:rsidP="006A6EB4">
      <w:pPr>
        <w:pStyle w:val="FootnoteBulletLevel1"/>
        <w:spacing w:before="0" w:after="0"/>
        <w:ind w:left="720" w:firstLine="0"/>
        <w:rPr>
          <w:sz w:val="16"/>
          <w:szCs w:val="16"/>
        </w:rPr>
      </w:pPr>
    </w:p>
    <w:p w14:paraId="1688E9ED" w14:textId="77777777" w:rsidR="006A6EB4" w:rsidRPr="0058047D" w:rsidRDefault="006A6EB4" w:rsidP="006A6EB4">
      <w:pPr>
        <w:pStyle w:val="FootnoteBulletLevel1"/>
        <w:numPr>
          <w:ilvl w:val="0"/>
          <w:numId w:val="29"/>
        </w:numPr>
        <w:adjustRightInd/>
        <w:spacing w:before="0" w:after="60"/>
        <w:textAlignment w:val="auto"/>
      </w:pPr>
      <w:r w:rsidRPr="0058047D">
        <w:rPr>
          <w:rFonts w:ascii="Tahoma" w:hAnsi="Tahoma" w:cs="Tahoma"/>
          <w:sz w:val="18"/>
          <w:szCs w:val="18"/>
        </w:rPr>
        <w:t>Programmi Select, Open Value (opzione non per l</w:t>
      </w:r>
      <w:r w:rsidR="001C4212">
        <w:rPr>
          <w:rFonts w:ascii="Tahoma" w:hAnsi="Tahoma" w:cs="Tahoma"/>
          <w:sz w:val="18"/>
          <w:szCs w:val="18"/>
        </w:rPr>
        <w:t>’</w:t>
      </w:r>
      <w:r w:rsidRPr="0058047D">
        <w:rPr>
          <w:rFonts w:ascii="Tahoma" w:hAnsi="Tahoma" w:cs="Tahoma"/>
          <w:sz w:val="18"/>
          <w:szCs w:val="18"/>
        </w:rPr>
        <w:t xml:space="preserve">intera azienda) e Open License </w:t>
      </w:r>
    </w:p>
    <w:p w14:paraId="1D82E8DD" w14:textId="77777777" w:rsidR="006A6EB4" w:rsidRPr="0058047D" w:rsidRDefault="006A6EB4" w:rsidP="006A6EB4">
      <w:pPr>
        <w:pStyle w:val="Footnotedash"/>
        <w:numPr>
          <w:ilvl w:val="0"/>
          <w:numId w:val="30"/>
        </w:numPr>
        <w:adjustRightInd/>
        <w:spacing w:before="0"/>
        <w:ind w:left="1800"/>
        <w:textAlignment w:val="auto"/>
      </w:pPr>
      <w:r w:rsidRPr="0058047D">
        <w:rPr>
          <w:rFonts w:ascii="Tahoma" w:hAnsi="Tahoma" w:cs="Tahoma"/>
          <w:sz w:val="18"/>
          <w:szCs w:val="18"/>
        </w:rPr>
        <w:t>La Società dovrà acquistare la copertura Software Assurance per il Sistema Operativo POSReady 2009, POSReady 7, Windows Embedded 8 Industry Pro o Windows Embedded 8.1 Industry Pro ottenuto in licenza tramite un OEM entro 90 giorni dalla data di acquisto della licenza presso l</w:t>
      </w:r>
      <w:r w:rsidR="001C4212">
        <w:rPr>
          <w:rFonts w:ascii="Tahoma" w:hAnsi="Tahoma" w:cs="Tahoma"/>
          <w:sz w:val="18"/>
          <w:szCs w:val="18"/>
        </w:rPr>
        <w:t>’</w:t>
      </w:r>
      <w:r w:rsidRPr="0058047D">
        <w:rPr>
          <w:rFonts w:ascii="Tahoma" w:hAnsi="Tahoma" w:cs="Tahoma"/>
          <w:sz w:val="18"/>
          <w:szCs w:val="18"/>
        </w:rPr>
        <w:t>OEM.</w:t>
      </w:r>
    </w:p>
    <w:p w14:paraId="422C2FDD" w14:textId="77777777" w:rsidR="006A6EB4" w:rsidRPr="0058047D" w:rsidRDefault="006A6EB4" w:rsidP="006A6EB4">
      <w:pPr>
        <w:pStyle w:val="Footnotedash"/>
        <w:numPr>
          <w:ilvl w:val="0"/>
          <w:numId w:val="30"/>
        </w:numPr>
        <w:adjustRightInd/>
        <w:spacing w:before="0"/>
        <w:ind w:left="1800"/>
        <w:textAlignment w:val="auto"/>
      </w:pPr>
      <w:r w:rsidRPr="0058047D">
        <w:rPr>
          <w:rFonts w:ascii="Tahoma" w:hAnsi="Tahoma" w:cs="Tahoma"/>
          <w:sz w:val="18"/>
          <w:szCs w:val="18"/>
        </w:rPr>
        <w:t xml:space="preserve">La Società dovrà rinnovare Software Assurance per il sistema operativo Windows Embedded alla scadenza della copertura Software Assurance per POSReady 2009, POSReady 7, Windows Embedded 8 Industry Pro o Windows Embedded 8.1 Industry Pro. </w:t>
      </w:r>
    </w:p>
    <w:p w14:paraId="3435195D" w14:textId="77777777" w:rsidR="006A6EB4" w:rsidRPr="00905752" w:rsidRDefault="006A6EB4" w:rsidP="006A6EB4">
      <w:pPr>
        <w:pStyle w:val="Footnotedash"/>
        <w:spacing w:before="0" w:after="0"/>
        <w:ind w:left="720" w:firstLine="0"/>
        <w:rPr>
          <w:rFonts w:ascii="Tahoma" w:hAnsi="Tahoma" w:cs="Tahoma"/>
          <w:sz w:val="16"/>
          <w:szCs w:val="16"/>
        </w:rPr>
      </w:pPr>
    </w:p>
    <w:p w14:paraId="741AC3B9" w14:textId="77777777" w:rsidR="006A6EB4" w:rsidRPr="0058047D" w:rsidRDefault="006A6EB4" w:rsidP="006A6EB4">
      <w:pPr>
        <w:pStyle w:val="FootnoteBulletLevel2"/>
        <w:numPr>
          <w:ilvl w:val="0"/>
          <w:numId w:val="25"/>
        </w:numPr>
        <w:adjustRightInd/>
        <w:spacing w:before="0"/>
        <w:ind w:left="1440"/>
        <w:textAlignment w:val="auto"/>
      </w:pPr>
      <w:r w:rsidRPr="0058047D">
        <w:rPr>
          <w:rFonts w:ascii="Tahoma" w:hAnsi="Tahoma" w:cs="Tahoma"/>
          <w:sz w:val="18"/>
          <w:szCs w:val="18"/>
        </w:rPr>
        <w:t>Iscrizioni Enterprise: alla scadenza di un</w:t>
      </w:r>
      <w:r w:rsidR="001C4212">
        <w:rPr>
          <w:rFonts w:ascii="Tahoma" w:hAnsi="Tahoma" w:cs="Tahoma"/>
          <w:sz w:val="18"/>
          <w:szCs w:val="18"/>
        </w:rPr>
        <w:t>’</w:t>
      </w:r>
      <w:r w:rsidRPr="0058047D">
        <w:rPr>
          <w:rFonts w:ascii="Tahoma" w:hAnsi="Tahoma" w:cs="Tahoma"/>
          <w:sz w:val="18"/>
          <w:szCs w:val="18"/>
        </w:rPr>
        <w:t>Iscrizione Enterprise già esistente relativa al Sistema Operativo Windows Embedded, è possibile rinnovare tale copertura con una nuova Iscrizione Enterprise per il Sistema Operativo Windows Embedded.</w:t>
      </w:r>
    </w:p>
    <w:p w14:paraId="41D3803A" w14:textId="77777777" w:rsidR="006A6EB4" w:rsidRPr="0058047D" w:rsidRDefault="006A6EB4" w:rsidP="006A6EB4">
      <w:pPr>
        <w:pStyle w:val="FootnoteBulletLevel2"/>
        <w:tabs>
          <w:tab w:val="clear" w:pos="1260"/>
        </w:tabs>
        <w:adjustRightInd/>
        <w:spacing w:before="0"/>
        <w:ind w:left="0" w:firstLine="0"/>
        <w:textAlignment w:val="auto"/>
      </w:pPr>
      <w:r w:rsidRPr="0058047D">
        <w:rPr>
          <w:rFonts w:ascii="Tahoma" w:hAnsi="Tahoma" w:cs="Tahoma"/>
          <w:sz w:val="18"/>
          <w:szCs w:val="18"/>
        </w:rPr>
        <w:t>Le società che intendono acquistare sia l</w:t>
      </w:r>
      <w:r w:rsidR="001C4212">
        <w:rPr>
          <w:rFonts w:ascii="Tahoma" w:hAnsi="Tahoma" w:cs="Tahoma"/>
          <w:sz w:val="18"/>
          <w:szCs w:val="18"/>
        </w:rPr>
        <w:t>’</w:t>
      </w:r>
      <w:r w:rsidRPr="0058047D">
        <w:rPr>
          <w:rFonts w:ascii="Tahoma" w:hAnsi="Tahoma" w:cs="Tahoma"/>
          <w:sz w:val="18"/>
          <w:szCs w:val="18"/>
        </w:rPr>
        <w:t>Aggiornamento per Windows Embedded 8 Industry Pro che Software Assurance dispongono delle seguenti opzioni:</w:t>
      </w:r>
    </w:p>
    <w:p w14:paraId="69EAF9D3" w14:textId="77777777" w:rsidR="006A6EB4" w:rsidRPr="0058047D" w:rsidRDefault="006A6EB4" w:rsidP="006A6EB4">
      <w:pPr>
        <w:pStyle w:val="FootnoteBulletLevel2"/>
        <w:numPr>
          <w:ilvl w:val="0"/>
          <w:numId w:val="25"/>
        </w:numPr>
        <w:adjustRightInd/>
        <w:spacing w:before="0" w:after="60"/>
        <w:ind w:left="1440"/>
        <w:textAlignment w:val="auto"/>
      </w:pPr>
      <w:r w:rsidRPr="0058047D">
        <w:rPr>
          <w:rFonts w:ascii="Tahoma" w:hAnsi="Tahoma" w:cs="Tahoma"/>
          <w:sz w:val="18"/>
          <w:szCs w:val="18"/>
        </w:rPr>
        <w:t>Programmi di Licenze Contratto Enterprise, Select Plus, Open Value (opzione non a livello aziendale) e Open:</w:t>
      </w:r>
    </w:p>
    <w:p w14:paraId="767EFBCD" w14:textId="77777777" w:rsidR="006A6EB4" w:rsidRPr="0058047D" w:rsidRDefault="006A6EB4" w:rsidP="006A6EB4">
      <w:pPr>
        <w:pStyle w:val="AppendixBodyText"/>
        <w:numPr>
          <w:ilvl w:val="0"/>
          <w:numId w:val="80"/>
        </w:numPr>
        <w:ind w:left="1800" w:right="720"/>
      </w:pPr>
      <w:r w:rsidRPr="0058047D">
        <w:rPr>
          <w:rFonts w:ascii="Tahoma" w:hAnsi="Tahoma" w:cs="Tahoma"/>
          <w:color w:val="000000"/>
          <w:sz w:val="18"/>
          <w:szCs w:val="18"/>
        </w:rPr>
        <w:t>Acquistare l</w:t>
      </w:r>
      <w:r w:rsidR="001C4212">
        <w:rPr>
          <w:rFonts w:ascii="Tahoma" w:hAnsi="Tahoma" w:cs="Tahoma"/>
          <w:color w:val="000000"/>
          <w:sz w:val="18"/>
          <w:szCs w:val="18"/>
        </w:rPr>
        <w:t>’</w:t>
      </w:r>
      <w:r w:rsidRPr="0058047D">
        <w:rPr>
          <w:rFonts w:ascii="Tahoma" w:hAnsi="Tahoma" w:cs="Tahoma"/>
          <w:color w:val="000000"/>
          <w:sz w:val="18"/>
          <w:szCs w:val="18"/>
        </w:rPr>
        <w:t>Aggiornamento per Windows Embedded 8 Industry Pro e Software Assurance per gli Industry Device per i quali la società ha ottenuto in licenza e installato uno dei sistemi operativi qualificanti riportati nel precedente elenco degli Aggiornamenti per Windows Embedded.</w:t>
      </w:r>
    </w:p>
    <w:p w14:paraId="008ED3C0" w14:textId="77777777" w:rsidR="006A6EB4" w:rsidRPr="0058047D" w:rsidRDefault="006A6EB4" w:rsidP="006A6EB4">
      <w:pPr>
        <w:pStyle w:val="AppendixBodyText"/>
        <w:numPr>
          <w:ilvl w:val="0"/>
          <w:numId w:val="80"/>
        </w:numPr>
        <w:ind w:left="1800" w:right="720"/>
      </w:pPr>
      <w:r w:rsidRPr="0058047D">
        <w:rPr>
          <w:rFonts w:ascii="Tahoma" w:hAnsi="Tahoma" w:cs="Tahoma"/>
          <w:color w:val="000000"/>
          <w:sz w:val="18"/>
          <w:szCs w:val="18"/>
        </w:rPr>
        <w:t>La società potrà riassegnare la copertura Software Assurance per Windows Embedded 8 Industry Pro dal dispositivo originale a un desktop sostitutivo, ma non a breve termine, ovvero non entro 90 giorni dall</w:t>
      </w:r>
      <w:r w:rsidR="001C4212">
        <w:rPr>
          <w:rFonts w:ascii="Tahoma" w:hAnsi="Tahoma" w:cs="Tahoma"/>
          <w:color w:val="000000"/>
          <w:sz w:val="18"/>
          <w:szCs w:val="18"/>
        </w:rPr>
        <w:t>’</w:t>
      </w:r>
      <w:r w:rsidRPr="0058047D">
        <w:rPr>
          <w:rFonts w:ascii="Tahoma" w:hAnsi="Tahoma" w:cs="Tahoma"/>
          <w:color w:val="000000"/>
          <w:sz w:val="18"/>
          <w:szCs w:val="18"/>
        </w:rPr>
        <w:t>ultima cessione, a condizione che (1) la società abbia ottenuto in licenza e installato sul dispositivo sostitutivo l</w:t>
      </w:r>
      <w:r w:rsidR="001C4212">
        <w:rPr>
          <w:rFonts w:ascii="Tahoma" w:hAnsi="Tahoma" w:cs="Tahoma"/>
          <w:color w:val="000000"/>
          <w:sz w:val="18"/>
          <w:szCs w:val="18"/>
        </w:rPr>
        <w:t>’</w:t>
      </w:r>
      <w:r w:rsidRPr="0058047D">
        <w:rPr>
          <w:rFonts w:ascii="Tahoma" w:hAnsi="Tahoma" w:cs="Tahoma"/>
          <w:color w:val="000000"/>
          <w:sz w:val="18"/>
          <w:szCs w:val="18"/>
        </w:rPr>
        <w:t>ultima versione del sistema operativo e (2) la società rimuova qualsiasi aggiornamento del sistema operativo desktop correlato dal dispositivo originale.</w:t>
      </w:r>
    </w:p>
    <w:p w14:paraId="025E0C00" w14:textId="77777777" w:rsidR="006A6EB4" w:rsidRPr="0058047D" w:rsidRDefault="006A6EB4" w:rsidP="006A6EB4">
      <w:pPr>
        <w:pStyle w:val="Footnotedash"/>
        <w:spacing w:before="0" w:after="0"/>
        <w:ind w:left="360"/>
      </w:pPr>
      <w:r w:rsidRPr="0058047D">
        <w:rPr>
          <w:rFonts w:ascii="Tahoma" w:hAnsi="Tahoma" w:cs="Tahoma"/>
          <w:sz w:val="18"/>
          <w:szCs w:val="18"/>
          <w:u w:val="single"/>
        </w:rPr>
        <w:t>Diritti di Downgrade</w:t>
      </w:r>
    </w:p>
    <w:p w14:paraId="6CFF05A9" w14:textId="77777777" w:rsidR="006A6EB4" w:rsidRPr="0058047D" w:rsidRDefault="006A6EB4" w:rsidP="006A6EB4">
      <w:pPr>
        <w:pStyle w:val="ListParagraph"/>
        <w:ind w:left="0"/>
        <w:contextualSpacing w:val="0"/>
      </w:pPr>
      <w:r w:rsidRPr="0058047D">
        <w:rPr>
          <w:rFonts w:ascii="Tahoma" w:hAnsi="Tahoma" w:cs="Tahoma"/>
          <w:bCs/>
          <w:sz w:val="18"/>
          <w:szCs w:val="18"/>
        </w:rPr>
        <w:t>Microsoft Windows Embedded 8.1 Industry Pro:</w:t>
      </w:r>
      <w:r w:rsidRPr="0058047D">
        <w:rPr>
          <w:rFonts w:ascii="Tahoma" w:hAnsi="Tahoma" w:cs="Tahoma"/>
          <w:b/>
          <w:bCs/>
          <w:sz w:val="18"/>
          <w:szCs w:val="18"/>
        </w:rPr>
        <w:t xml:space="preserve"> </w:t>
      </w:r>
      <w:r w:rsidRPr="0058047D">
        <w:rPr>
          <w:rFonts w:ascii="Tahoma" w:hAnsi="Tahoma" w:cs="Tahoma"/>
          <w:sz w:val="18"/>
          <w:szCs w:val="18"/>
        </w:rPr>
        <w:t>Le società con contratti multilicenza che dispongono di una licenza valida per Embedded 8.1 Industry Pro ottenute tramite un programma per i contratti multilicenza per Windows Embedded 8.1 Industry sono idonee a utilizzare una versione precedente al posto della versione che hanno in licenza. Le versioni precedenti idonee di Windows Embedded 8.1 Industry Pro sono Windows Embedded 8 Industry Pro, Windows Embedded POSReady 7 e Windows Embedded POSReady 2009.</w:t>
      </w:r>
      <w:r w:rsidRPr="0058047D">
        <w:rPr>
          <w:rFonts w:ascii="Tahoma" w:hAnsi="Tahoma" w:cs="Tahoma"/>
          <w:color w:val="000000" w:themeColor="text1"/>
          <w:sz w:val="18"/>
          <w:szCs w:val="18"/>
        </w:rPr>
        <w:t xml:space="preserve"> Valido solo per le società che stipulano un Contratto Enterprise o sottoscrivono un programma Select Plus: È possibile utilizzare il seguente sistema operativo, anziché la versione che si ha in licenza, solo per gli ATM: Windows 7 Professional.</w:t>
      </w:r>
      <w:r w:rsidR="00E34ED3" w:rsidRPr="0058047D">
        <w:rPr>
          <w:rFonts w:ascii="Tahoma" w:hAnsi="Tahoma" w:cs="Tahoma"/>
          <w:color w:val="000000" w:themeColor="text1"/>
          <w:sz w:val="18"/>
          <w:szCs w:val="18"/>
        </w:rPr>
        <w:t xml:space="preserve"> </w:t>
      </w:r>
      <w:r w:rsidRPr="0058047D">
        <w:rPr>
          <w:rFonts w:ascii="Tahoma" w:hAnsi="Tahoma" w:cs="Tahoma"/>
          <w:color w:val="000000" w:themeColor="text1"/>
          <w:sz w:val="18"/>
          <w:szCs w:val="18"/>
        </w:rPr>
        <w:t>È necessario che all</w:t>
      </w:r>
      <w:r w:rsidR="001C4212">
        <w:rPr>
          <w:rFonts w:ascii="Tahoma" w:hAnsi="Tahoma" w:cs="Tahoma"/>
          <w:color w:val="000000" w:themeColor="text1"/>
          <w:sz w:val="18"/>
          <w:szCs w:val="18"/>
        </w:rPr>
        <w:t>’</w:t>
      </w:r>
      <w:r w:rsidRPr="0058047D">
        <w:rPr>
          <w:rFonts w:ascii="Tahoma" w:hAnsi="Tahoma" w:cs="Tahoma"/>
          <w:color w:val="000000" w:themeColor="text1"/>
          <w:sz w:val="18"/>
          <w:szCs w:val="18"/>
        </w:rPr>
        <w:t>ATM sia stata ceduta una licenza di aggiornamento Windows Embedded 8.1 Industry Pro, ottenuta tramite un contratto multilicenza.</w:t>
      </w:r>
    </w:p>
    <w:p w14:paraId="0E890970" w14:textId="77777777" w:rsidR="006A6EB4" w:rsidRPr="0058047D" w:rsidRDefault="006A6EB4" w:rsidP="006A6EB4">
      <w:pPr>
        <w:pStyle w:val="FootnoteBulletLevel2"/>
        <w:tabs>
          <w:tab w:val="clear" w:pos="1260"/>
        </w:tabs>
        <w:spacing w:before="0"/>
        <w:ind w:left="0" w:firstLine="0"/>
      </w:pPr>
    </w:p>
    <w:p w14:paraId="3A3BBB2B" w14:textId="77777777" w:rsidR="006A6EB4" w:rsidRPr="0058047D" w:rsidRDefault="006A6EB4" w:rsidP="006A6EB4">
      <w:pPr>
        <w:pStyle w:val="FootnoteBulletLevel2"/>
        <w:tabs>
          <w:tab w:val="clear" w:pos="1260"/>
        </w:tabs>
        <w:spacing w:before="0"/>
        <w:ind w:left="0" w:firstLine="0"/>
      </w:pPr>
      <w:r w:rsidRPr="0058047D">
        <w:rPr>
          <w:rFonts w:ascii="Tahoma" w:hAnsi="Tahoma" w:cs="Tahoma"/>
          <w:sz w:val="18"/>
          <w:szCs w:val="18"/>
          <w:u w:val="single"/>
        </w:rPr>
        <w:t>I seguenti requisiti sono applicabili al re-imaging di Windows Embedded</w:t>
      </w:r>
      <w:r w:rsidRPr="00905752">
        <w:rPr>
          <w:rFonts w:ascii="Tahoma" w:hAnsi="Tahoma" w:cs="Tahoma"/>
          <w:sz w:val="18"/>
          <w:szCs w:val="18"/>
        </w:rPr>
        <w:t>:</w:t>
      </w:r>
    </w:p>
    <w:p w14:paraId="20884447" w14:textId="77777777" w:rsidR="006A6EB4" w:rsidRDefault="006A6EB4" w:rsidP="006A6EB4">
      <w:pPr>
        <w:pStyle w:val="Footnotedash"/>
        <w:tabs>
          <w:tab w:val="clear" w:pos="1620"/>
        </w:tabs>
        <w:spacing w:before="0"/>
        <w:ind w:left="0" w:firstLine="0"/>
        <w:rPr>
          <w:rFonts w:ascii="Tahoma" w:hAnsi="Tahoma" w:cs="Tahoma"/>
          <w:sz w:val="18"/>
          <w:szCs w:val="18"/>
        </w:rPr>
      </w:pPr>
      <w:r w:rsidRPr="0058047D">
        <w:rPr>
          <w:rFonts w:ascii="Tahoma" w:hAnsi="Tahoma" w:cs="Tahoma"/>
          <w:sz w:val="18"/>
          <w:szCs w:val="18"/>
        </w:rPr>
        <w:t>Qualora un terzo effettui il re-imaging di prodotti Windows Embedded su un PC della società, la società dovrà prima di tutto fornire a tale terzo una documentazione scritta con la quale dimostri di essere in possesso delle licenze per il</w:t>
      </w:r>
      <w:r w:rsidR="00905752">
        <w:rPr>
          <w:rFonts w:ascii="Tahoma" w:hAnsi="Tahoma" w:cs="Tahoma"/>
          <w:sz w:val="18"/>
          <w:szCs w:val="18"/>
        </w:rPr>
        <w:t> </w:t>
      </w:r>
      <w:r w:rsidRPr="0058047D">
        <w:rPr>
          <w:rFonts w:ascii="Tahoma" w:hAnsi="Tahoma" w:cs="Tahoma"/>
          <w:sz w:val="18"/>
          <w:szCs w:val="18"/>
        </w:rPr>
        <w:t>software che il terzo installerà. Ad esempio, può essere fornita come documentazione una copia del modulo per la</w:t>
      </w:r>
      <w:r w:rsidR="00905752">
        <w:rPr>
          <w:rFonts w:ascii="Tahoma" w:hAnsi="Tahoma" w:cs="Tahoma"/>
          <w:sz w:val="18"/>
          <w:szCs w:val="18"/>
        </w:rPr>
        <w:t> </w:t>
      </w:r>
      <w:r w:rsidRPr="0058047D">
        <w:rPr>
          <w:rFonts w:ascii="Tahoma" w:hAnsi="Tahoma" w:cs="Tahoma"/>
          <w:sz w:val="18"/>
          <w:szCs w:val="18"/>
        </w:rPr>
        <w:t xml:space="preserve">sottoscrizione del Contratto Multilicenza Microsoft applicabile al software di aggiornamento del sistema operativo Microsoft Embedded che viene installato. </w:t>
      </w:r>
    </w:p>
    <w:p w14:paraId="26B02199" w14:textId="77777777" w:rsidR="002D1E71" w:rsidRPr="0058047D" w:rsidRDefault="002D1E71" w:rsidP="002D1E71">
      <w:pPr>
        <w:pStyle w:val="Footnotedash"/>
        <w:tabs>
          <w:tab w:val="clear" w:pos="1620"/>
        </w:tabs>
        <w:spacing w:before="0" w:after="0"/>
        <w:ind w:left="0" w:firstLine="0"/>
      </w:pPr>
    </w:p>
    <w:p w14:paraId="4E05C133" w14:textId="77777777" w:rsidR="006A6EB4" w:rsidRPr="0058047D" w:rsidRDefault="006A6EB4" w:rsidP="006A6EB4">
      <w:pPr>
        <w:pStyle w:val="Footnotedash"/>
        <w:tabs>
          <w:tab w:val="clear" w:pos="1620"/>
        </w:tabs>
        <w:spacing w:before="0" w:after="0"/>
        <w:ind w:left="360"/>
      </w:pPr>
      <w:r w:rsidRPr="0058047D">
        <w:rPr>
          <w:rFonts w:ascii="Tahoma" w:eastAsia="Calibri" w:hAnsi="Tahoma" w:cs="Tahoma"/>
          <w:sz w:val="18"/>
          <w:szCs w:val="18"/>
          <w:u w:val="single"/>
        </w:rPr>
        <w:t>Limitazione relativa agli Industry Device</w:t>
      </w:r>
    </w:p>
    <w:p w14:paraId="4DD19A77" w14:textId="77777777" w:rsidR="006A6EB4" w:rsidRPr="0058047D" w:rsidRDefault="006A6EB4" w:rsidP="006A6EB4">
      <w:pPr>
        <w:pStyle w:val="Footnotedash"/>
        <w:tabs>
          <w:tab w:val="clear" w:pos="1620"/>
        </w:tabs>
        <w:spacing w:before="0"/>
        <w:ind w:left="0" w:firstLine="0"/>
      </w:pPr>
      <w:r w:rsidRPr="0058047D">
        <w:rPr>
          <w:rFonts w:ascii="Tahoma" w:eastAsia="Calibri" w:hAnsi="Tahoma" w:cs="Tahoma"/>
          <w:sz w:val="18"/>
          <w:szCs w:val="18"/>
        </w:rPr>
        <w:t>Windows Embedded 8.1 Industry Pro potrà essere installato solo su dispositivi Industry Device.</w:t>
      </w:r>
      <w:r w:rsidR="00E34ED3" w:rsidRPr="0058047D">
        <w:rPr>
          <w:rFonts w:ascii="Tahoma" w:eastAsia="Calibri" w:hAnsi="Tahoma" w:cs="Tahoma"/>
          <w:sz w:val="18"/>
          <w:szCs w:val="18"/>
        </w:rPr>
        <w:t xml:space="preserve"> </w:t>
      </w:r>
      <w:r w:rsidRPr="0058047D">
        <w:rPr>
          <w:rFonts w:ascii="Tahoma" w:eastAsia="Calibri" w:hAnsi="Tahoma" w:cs="Tahoma"/>
          <w:sz w:val="18"/>
          <w:szCs w:val="18"/>
        </w:rPr>
        <w:t>Nessun altro dispositivo è consentito.</w:t>
      </w:r>
      <w:r w:rsidR="00E34ED3" w:rsidRPr="0058047D">
        <w:rPr>
          <w:rFonts w:ascii="Tahoma" w:eastAsia="Calibri" w:hAnsi="Tahoma" w:cs="Tahoma"/>
          <w:sz w:val="18"/>
          <w:szCs w:val="18"/>
        </w:rPr>
        <w:t xml:space="preserve"> </w:t>
      </w:r>
      <w:r w:rsidRPr="0058047D">
        <w:rPr>
          <w:rFonts w:ascii="Tahoma" w:hAnsi="Tahoma" w:cs="Tahoma"/>
          <w:sz w:val="18"/>
          <w:szCs w:val="18"/>
        </w:rPr>
        <w:t>“Industry Device” (o dispositivo line-of-business) indica un dispositivo che: (1) non è utilizzabile nella configurazione distribuita come dispositivo di elaborazione personale generico, ad esempio un personal computer, come server multifunzione o come sostituto commercialmente accettabile di uno di tali sistemi e</w:t>
      </w:r>
      <w:r w:rsidR="00905752">
        <w:rPr>
          <w:rFonts w:ascii="Tahoma" w:hAnsi="Tahoma" w:cs="Tahoma"/>
          <w:sz w:val="18"/>
          <w:szCs w:val="18"/>
        </w:rPr>
        <w:t> </w:t>
      </w:r>
      <w:r w:rsidRPr="0058047D">
        <w:rPr>
          <w:rFonts w:ascii="Tahoma" w:hAnsi="Tahoma" w:cs="Tahoma"/>
          <w:sz w:val="18"/>
          <w:szCs w:val="18"/>
        </w:rPr>
        <w:t>(2) impiega solo un programma software specifico di un settore o di un</w:t>
      </w:r>
      <w:r w:rsidR="001C4212">
        <w:rPr>
          <w:rFonts w:ascii="Tahoma" w:hAnsi="Tahoma" w:cs="Tahoma"/>
          <w:sz w:val="18"/>
          <w:szCs w:val="18"/>
        </w:rPr>
        <w:t>’</w:t>
      </w:r>
      <w:r w:rsidRPr="0058047D">
        <w:rPr>
          <w:rFonts w:ascii="Tahoma" w:hAnsi="Tahoma" w:cs="Tahoma"/>
          <w:sz w:val="18"/>
          <w:szCs w:val="18"/>
        </w:rPr>
        <w:t>attività, ad esempio un programma CAD utilizzato da un architetto o un programma per punti di vendita al dettaglio (“Programma di Settore”). Il dispositivo potrà includere funzionalità e funzioni derivate da software Microsoft o da software di terzi. Qualora il dispositivo venga utilizzato per svolgere funzioni desktop, quali posta elettronica, elaborazione di testi, fogli di calcolo, database, browser Internet o di rete, pianificazione o finanza personale, tali funzioni desktop: (1) potranno essere utilizzate solo ai fini del supporto della funzionalità del Programma di Settore e (2) dovranno essere integrate tecnicamente con il Programma di Settore o utilizzare criteri o architetture tecniche che ne consentano l</w:t>
      </w:r>
      <w:r w:rsidR="001C4212">
        <w:rPr>
          <w:rFonts w:ascii="Tahoma" w:hAnsi="Tahoma" w:cs="Tahoma"/>
          <w:sz w:val="18"/>
          <w:szCs w:val="18"/>
        </w:rPr>
        <w:t>’</w:t>
      </w:r>
      <w:r w:rsidRPr="0058047D">
        <w:rPr>
          <w:rFonts w:ascii="Tahoma" w:hAnsi="Tahoma" w:cs="Tahoma"/>
          <w:sz w:val="18"/>
          <w:szCs w:val="18"/>
        </w:rPr>
        <w:t>applicazione solo in caso di utilizzo con la funzionalità del Programma di Settore.</w:t>
      </w:r>
      <w:r w:rsidR="00E34ED3" w:rsidRPr="0058047D">
        <w:rPr>
          <w:rFonts w:ascii="Tahoma" w:hAnsi="Tahoma" w:cs="Tahoma"/>
          <w:sz w:val="18"/>
          <w:szCs w:val="18"/>
        </w:rPr>
        <w:t xml:space="preserve"> </w:t>
      </w:r>
    </w:p>
    <w:p w14:paraId="7D1FB85E" w14:textId="77777777" w:rsidR="00905752" w:rsidRDefault="00905752" w:rsidP="00104195">
      <w:pPr>
        <w:tabs>
          <w:tab w:val="left" w:pos="1440"/>
        </w:tabs>
        <w:ind w:left="1080"/>
        <w:contextualSpacing/>
      </w:pPr>
    </w:p>
    <w:p w14:paraId="44F0F8FE" w14:textId="77777777" w:rsidR="00905752" w:rsidRPr="0058047D" w:rsidRDefault="00905752" w:rsidP="00104195">
      <w:pPr>
        <w:tabs>
          <w:tab w:val="left" w:pos="1440"/>
        </w:tabs>
        <w:ind w:left="1080"/>
        <w:contextualSpacing/>
      </w:pPr>
    </w:p>
    <w:p w14:paraId="6B8CF213" w14:textId="77777777" w:rsidR="00104195" w:rsidRPr="0058047D" w:rsidRDefault="00A560B6" w:rsidP="00104195">
      <w:pPr>
        <w:pStyle w:val="Heading2"/>
        <w:ind w:hanging="720"/>
      </w:pPr>
      <w:bookmarkStart w:id="1112" w:name="_98_Windows_Multipoint"/>
      <w:bookmarkStart w:id="1113" w:name="_98Windows_Intune_Add-on"/>
      <w:bookmarkStart w:id="1114" w:name="_97_Windows_Intune"/>
      <w:bookmarkStart w:id="1115" w:name="_33_Windows_Intune"/>
      <w:bookmarkStart w:id="1116" w:name="_33_Componente_Aggiuntivo"/>
      <w:bookmarkStart w:id="1117" w:name="Srv_110WindowsIntuneAddOn"/>
      <w:bookmarkStart w:id="1118" w:name="_Toc336338366"/>
      <w:bookmarkStart w:id="1119" w:name="_Toc371663685"/>
      <w:bookmarkStart w:id="1120" w:name="Srv_104WindowsIntuneAddOn"/>
      <w:bookmarkEnd w:id="1112"/>
      <w:bookmarkEnd w:id="1113"/>
      <w:bookmarkEnd w:id="1114"/>
      <w:bookmarkEnd w:id="1115"/>
      <w:bookmarkEnd w:id="1116"/>
      <w:r w:rsidRPr="0058047D">
        <w:rPr>
          <w:rFonts w:ascii="Tahoma" w:hAnsi="Tahoma" w:cs="Tahoma"/>
          <w:caps/>
          <w:color w:val="EE6000"/>
          <w:sz w:val="22"/>
          <w:szCs w:val="18"/>
          <w:vertAlign w:val="superscript"/>
        </w:rPr>
        <w:t xml:space="preserve">33 </w:t>
      </w:r>
      <w:r w:rsidRPr="0058047D">
        <w:rPr>
          <w:rFonts w:ascii="Tahoma" w:hAnsi="Tahoma" w:cs="Tahoma"/>
          <w:color w:val="EE6000"/>
          <w:sz w:val="22"/>
          <w:szCs w:val="18"/>
        </w:rPr>
        <w:t>Componente Aggiuntivo per Windows Intune</w:t>
      </w:r>
      <w:bookmarkEnd w:id="1117"/>
      <w:bookmarkEnd w:id="1118"/>
      <w:r w:rsidRPr="0058047D">
        <w:rPr>
          <w:rFonts w:ascii="Tahoma" w:hAnsi="Tahoma" w:cs="Tahoma"/>
          <w:color w:val="EE6000"/>
          <w:sz w:val="22"/>
          <w:szCs w:val="18"/>
        </w:rPr>
        <w:t xml:space="preserve"> (Per Dispositivo)</w:t>
      </w:r>
      <w:bookmarkEnd w:id="1119"/>
    </w:p>
    <w:bookmarkEnd w:id="1120"/>
    <w:p w14:paraId="192FBFE3" w14:textId="77777777" w:rsidR="00104195" w:rsidRPr="0058047D" w:rsidRDefault="00104195" w:rsidP="00104195">
      <w:pPr>
        <w:ind w:left="720"/>
      </w:pPr>
    </w:p>
    <w:p w14:paraId="57E11A0A" w14:textId="77777777" w:rsidR="00104195" w:rsidRPr="0058047D" w:rsidRDefault="00104195" w:rsidP="00104195">
      <w:pPr>
        <w:ind w:left="720"/>
      </w:pPr>
      <w:r w:rsidRPr="0058047D">
        <w:t>Le società Enterprise che desiderano acquistare licenze Add-on per Windows Intune (Per Dispositivo) aggiuntive dovranno innanzitutto avere acquistato e ceduto al proprio desktop, per il quale stanno acquistando le licenze Add-on per Windows Intune, la copertura Windows Software Assurance attiva o una licenza attiva per Windows Virtual Desktop Access (Windows VDA).</w:t>
      </w:r>
      <w:r w:rsidR="00E34ED3" w:rsidRPr="0058047D">
        <w:t xml:space="preserve"> </w:t>
      </w:r>
      <w:r w:rsidRPr="0058047D">
        <w:t xml:space="preserve">Le licenze Add-on per Windows Intune (Per Dispositivo) dovranno essere acquistate ai sensi della stessa iscrizione della copertura Software Assurance o della licenza per Windows VDA corrispondente. </w:t>
      </w:r>
    </w:p>
    <w:p w14:paraId="71B0E2C6" w14:textId="77777777" w:rsidR="00104195" w:rsidRDefault="00104195" w:rsidP="00104195">
      <w:pPr>
        <w:ind w:left="720"/>
      </w:pPr>
    </w:p>
    <w:p w14:paraId="29F8AA69" w14:textId="77777777" w:rsidR="00B21C58" w:rsidRPr="0058047D" w:rsidRDefault="00B21C58" w:rsidP="00104195">
      <w:pPr>
        <w:ind w:left="720"/>
      </w:pPr>
    </w:p>
    <w:p w14:paraId="43AE47F3" w14:textId="77777777" w:rsidR="00104195" w:rsidRPr="0058047D" w:rsidRDefault="00104195" w:rsidP="00104195">
      <w:pPr>
        <w:spacing w:after="60"/>
        <w:ind w:left="720"/>
      </w:pPr>
      <w:r w:rsidRPr="0058047D">
        <w:rPr>
          <w:b/>
        </w:rPr>
        <w:t>Riassegnazione delle Licenze</w:t>
      </w:r>
    </w:p>
    <w:p w14:paraId="100B0BE6" w14:textId="77777777" w:rsidR="00104195" w:rsidRPr="0058047D" w:rsidRDefault="00104195" w:rsidP="00104195">
      <w:pPr>
        <w:ind w:left="720"/>
      </w:pPr>
      <w:r w:rsidRPr="0058047D">
        <w:t>Le società potranno riassegnare le licenze Add-on per Windows Intune (Per Dispositivo), ma non a breve termine, vale a dire non prima di 90 giorni dall</w:t>
      </w:r>
      <w:r w:rsidR="001C4212">
        <w:t>’</w:t>
      </w:r>
      <w:r w:rsidRPr="0058047D">
        <w:t>ultima cessione.</w:t>
      </w:r>
      <w:r w:rsidR="00E34ED3" w:rsidRPr="0058047D">
        <w:t xml:space="preserve"> </w:t>
      </w:r>
      <w:r w:rsidRPr="0058047D">
        <w:t>Le società potranno riassegnare prima una licenza Add-on per Windows Intune (Per Dispositivo), nel caso in cui ritirino il dispositivo con licenza esistente a causa di un problema hardware permanente.</w:t>
      </w:r>
      <w:r w:rsidR="00E34ED3" w:rsidRPr="0058047D">
        <w:t xml:space="preserve"> </w:t>
      </w:r>
      <w:r w:rsidRPr="0058047D">
        <w:t xml:space="preserve">Il dispositivo al quale è stata riassegnata una licenza Add-on per Windows Intune (Per Dispositivo) dovrà disporre di una copertura Windows Software Assurance attiva o di una licenza per Windows VDA attiva acquistata ai sensi della stessa iscrizione della licenza Add-on per Windows Intune (Per Dispositivo). </w:t>
      </w:r>
    </w:p>
    <w:p w14:paraId="12D42922" w14:textId="77777777" w:rsidR="00023FE7" w:rsidRPr="0058047D" w:rsidRDefault="00113665">
      <w:pPr>
        <w:pStyle w:val="Heading2"/>
        <w:ind w:left="0"/>
      </w:pPr>
      <w:r w:rsidRPr="0058047D">
        <w:rPr>
          <w:rFonts w:ascii="Tahoma" w:hAnsi="Tahoma" w:cs="Tahoma"/>
          <w:sz w:val="28"/>
        </w:rPr>
        <w:br w:type="page"/>
      </w:r>
      <w:bookmarkStart w:id="1121" w:name="_Toc336338287"/>
      <w:bookmarkStart w:id="1122" w:name="_Toc371663686"/>
      <w:r w:rsidRPr="0058047D">
        <w:rPr>
          <w:rFonts w:ascii="Tahoma" w:hAnsi="Tahoma" w:cs="Tahoma"/>
          <w:sz w:val="28"/>
        </w:rPr>
        <w:t>Pool di Server</w:t>
      </w:r>
      <w:bookmarkEnd w:id="1121"/>
      <w:bookmarkEnd w:id="1122"/>
    </w:p>
    <w:p w14:paraId="703AC821" w14:textId="77777777" w:rsidR="00023FE7" w:rsidRPr="0058047D" w:rsidRDefault="00023FE7">
      <w:pPr>
        <w:pStyle w:val="EndnoteText"/>
      </w:pPr>
    </w:p>
    <w:p w14:paraId="1A1C7E78" w14:textId="77777777" w:rsidR="003C75C8" w:rsidRPr="0058047D" w:rsidRDefault="003C75C8" w:rsidP="003C75C8">
      <w:pPr>
        <w:pStyle w:val="EndnoteText"/>
      </w:pPr>
      <w:bookmarkStart w:id="1123" w:name="Srv_25BingMapsandAddons"/>
    </w:p>
    <w:p w14:paraId="522C8B66" w14:textId="77777777" w:rsidR="004640EC" w:rsidRPr="0058047D" w:rsidRDefault="00A560B6" w:rsidP="00905752">
      <w:pPr>
        <w:pStyle w:val="Heading2"/>
        <w:ind w:left="259" w:hanging="259"/>
      </w:pPr>
      <w:bookmarkStart w:id="1124" w:name="_34_Bing_Maps"/>
      <w:bookmarkStart w:id="1125" w:name="Srv_27BingMapsSvrandContentPack"/>
      <w:bookmarkStart w:id="1126" w:name="_Toc336338288"/>
      <w:bookmarkStart w:id="1127" w:name="_Toc371663687"/>
      <w:bookmarkEnd w:id="1124"/>
      <w:r w:rsidRPr="0058047D">
        <w:rPr>
          <w:rFonts w:ascii="Tahoma" w:hAnsi="Tahoma" w:cs="Tahoma"/>
          <w:caps/>
          <w:color w:val="EE6000"/>
          <w:sz w:val="22"/>
          <w:vertAlign w:val="superscript"/>
        </w:rPr>
        <w:t>34</w:t>
      </w:r>
      <w:r w:rsidRPr="0058047D">
        <w:rPr>
          <w:rFonts w:ascii="Tahoma" w:hAnsi="Tahoma" w:cs="Tahoma"/>
          <w:color w:val="EE6000"/>
          <w:sz w:val="22"/>
        </w:rPr>
        <w:t xml:space="preserve"> SL Add-On per Bing Maps Public Website Usage e Bing Maps Internal Website</w:t>
      </w:r>
      <w:r w:rsidR="00905752">
        <w:rPr>
          <w:rFonts w:ascii="Tahoma" w:hAnsi="Tahoma" w:cs="Tahoma"/>
          <w:color w:val="EE6000"/>
          <w:sz w:val="22"/>
        </w:rPr>
        <w:t> </w:t>
      </w:r>
      <w:r w:rsidRPr="0058047D">
        <w:rPr>
          <w:rFonts w:ascii="Tahoma" w:hAnsi="Tahoma" w:cs="Tahoma"/>
          <w:color w:val="EE6000"/>
          <w:sz w:val="22"/>
        </w:rPr>
        <w:t>Usage</w:t>
      </w:r>
      <w:bookmarkEnd w:id="1125"/>
      <w:bookmarkEnd w:id="1126"/>
      <w:bookmarkEnd w:id="1127"/>
    </w:p>
    <w:p w14:paraId="11EC9EAD" w14:textId="77777777" w:rsidR="004668D9" w:rsidRPr="0058047D" w:rsidRDefault="004668D9" w:rsidP="004640EC">
      <w:pPr>
        <w:pStyle w:val="NormalWeb"/>
        <w:spacing w:before="0" w:beforeAutospacing="0" w:after="0" w:afterAutospacing="0"/>
        <w:ind w:left="720"/>
      </w:pPr>
    </w:p>
    <w:p w14:paraId="3D90056D" w14:textId="77777777" w:rsidR="004640EC" w:rsidRPr="0058047D" w:rsidRDefault="004640EC" w:rsidP="004640EC">
      <w:pPr>
        <w:pStyle w:val="NormalWeb"/>
        <w:spacing w:before="0" w:beforeAutospacing="0" w:after="0" w:afterAutospacing="0"/>
        <w:ind w:left="720"/>
      </w:pPr>
      <w:r w:rsidRPr="0058047D">
        <w:rPr>
          <w:rFonts w:ascii="Tahoma" w:hAnsi="Tahoma" w:cs="Tahoma"/>
          <w:sz w:val="18"/>
          <w:szCs w:val="18"/>
        </w:rPr>
        <w:t>Ciascuna offerta di SL Add-on per Bing Maps Public Website Usage e per Bing Maps Internal Website Usage</w:t>
      </w:r>
      <w:r w:rsidR="00905752">
        <w:rPr>
          <w:rFonts w:ascii="Tahoma" w:hAnsi="Tahoma" w:cs="Tahoma"/>
          <w:sz w:val="18"/>
          <w:szCs w:val="18"/>
        </w:rPr>
        <w:t> </w:t>
      </w:r>
      <w:r w:rsidRPr="0058047D">
        <w:rPr>
          <w:rFonts w:ascii="Tahoma" w:hAnsi="Tahoma" w:cs="Tahoma"/>
          <w:sz w:val="18"/>
          <w:szCs w:val="18"/>
        </w:rPr>
        <w:t>è composta da un numero variabile di Transazione Fatturabili (definite nel presente documento).</w:t>
      </w:r>
      <w:r w:rsidR="00E34ED3" w:rsidRPr="0058047D">
        <w:rPr>
          <w:rFonts w:ascii="Tahoma" w:hAnsi="Tahoma" w:cs="Tahoma"/>
          <w:sz w:val="18"/>
          <w:szCs w:val="18"/>
        </w:rPr>
        <w:t xml:space="preserve"> </w:t>
      </w:r>
      <w:r w:rsidRPr="0058047D">
        <w:rPr>
          <w:rFonts w:ascii="Tahoma" w:hAnsi="Tahoma" w:cs="Tahoma"/>
          <w:sz w:val="18"/>
          <w:szCs w:val="18"/>
        </w:rPr>
        <w:t>“Transazioni Fatturabili” indica quanto segue (con tutti i termini in maiuscolo come definiti negli SDK della Piattaforma Bing Maps o nelle Condizioni per l</w:t>
      </w:r>
      <w:r w:rsidR="001C4212">
        <w:rPr>
          <w:rFonts w:ascii="Tahoma" w:hAnsi="Tahoma" w:cs="Tahoma"/>
          <w:sz w:val="18"/>
          <w:szCs w:val="18"/>
        </w:rPr>
        <w:t>’</w:t>
      </w:r>
      <w:r w:rsidRPr="0058047D">
        <w:rPr>
          <w:rFonts w:ascii="Tahoma" w:hAnsi="Tahoma" w:cs="Tahoma"/>
          <w:sz w:val="18"/>
          <w:szCs w:val="18"/>
        </w:rPr>
        <w:t>Utilizzo delle API della Piattaforma Microsoft Bing Maps): (a)</w:t>
      </w:r>
      <w:r w:rsidR="00905752">
        <w:rPr>
          <w:rFonts w:ascii="Tahoma" w:hAnsi="Tahoma" w:cs="Tahoma"/>
          <w:sz w:val="18"/>
          <w:szCs w:val="18"/>
        </w:rPr>
        <w:t> </w:t>
      </w:r>
      <w:r w:rsidRPr="0058047D">
        <w:rPr>
          <w:rFonts w:ascii="Tahoma" w:hAnsi="Tahoma" w:cs="Tahoma"/>
          <w:sz w:val="18"/>
          <w:szCs w:val="18"/>
        </w:rPr>
        <w:t>metodi dei servizi Web, inclusi, a titolo esemplificativo, Imagery, Route, Geocode, Spatial e Search nei</w:t>
      </w:r>
      <w:r w:rsidR="00905752">
        <w:rPr>
          <w:rFonts w:ascii="Tahoma" w:hAnsi="Tahoma" w:cs="Tahoma"/>
          <w:sz w:val="18"/>
          <w:szCs w:val="18"/>
        </w:rPr>
        <w:t> </w:t>
      </w:r>
      <w:r w:rsidRPr="0058047D">
        <w:rPr>
          <w:rFonts w:ascii="Tahoma" w:hAnsi="Tahoma" w:cs="Tahoma"/>
          <w:sz w:val="18"/>
          <w:szCs w:val="18"/>
        </w:rPr>
        <w:t>Servizi, (b) una sessione nell</w:t>
      </w:r>
      <w:r w:rsidR="001C4212">
        <w:rPr>
          <w:rFonts w:ascii="Tahoma" w:hAnsi="Tahoma" w:cs="Tahoma"/>
          <w:sz w:val="18"/>
          <w:szCs w:val="18"/>
        </w:rPr>
        <w:t>’</w:t>
      </w:r>
      <w:r w:rsidRPr="0058047D">
        <w:rPr>
          <w:rFonts w:ascii="Tahoma" w:hAnsi="Tahoma" w:cs="Tahoma"/>
          <w:sz w:val="18"/>
          <w:szCs w:val="18"/>
        </w:rPr>
        <w:t>API di Bing Maps AJAX Control, nella versione beta dell</w:t>
      </w:r>
      <w:r w:rsidR="001C4212">
        <w:rPr>
          <w:rFonts w:ascii="Tahoma" w:hAnsi="Tahoma" w:cs="Tahoma"/>
          <w:sz w:val="18"/>
          <w:szCs w:val="18"/>
        </w:rPr>
        <w:t>’</w:t>
      </w:r>
      <w:r w:rsidRPr="0058047D">
        <w:rPr>
          <w:rFonts w:ascii="Tahoma" w:hAnsi="Tahoma" w:cs="Tahoma"/>
          <w:sz w:val="18"/>
          <w:szCs w:val="18"/>
        </w:rPr>
        <w:t>API di Bing Maps Windows Presentation Foundation o nell</w:t>
      </w:r>
      <w:r w:rsidR="001C4212">
        <w:rPr>
          <w:rFonts w:ascii="Tahoma" w:hAnsi="Tahoma" w:cs="Tahoma"/>
          <w:sz w:val="18"/>
          <w:szCs w:val="18"/>
        </w:rPr>
        <w:t>’</w:t>
      </w:r>
      <w:r w:rsidRPr="0058047D">
        <w:rPr>
          <w:rFonts w:ascii="Tahoma" w:hAnsi="Tahoma" w:cs="Tahoma"/>
          <w:sz w:val="18"/>
          <w:szCs w:val="18"/>
        </w:rPr>
        <w:t>API di Bing Maps Silverlight Control, dove la sessione ha inizio con il</w:t>
      </w:r>
      <w:r w:rsidR="00905752">
        <w:rPr>
          <w:rFonts w:ascii="Tahoma" w:hAnsi="Tahoma" w:cs="Tahoma"/>
          <w:sz w:val="18"/>
          <w:szCs w:val="18"/>
        </w:rPr>
        <w:t> </w:t>
      </w:r>
      <w:r w:rsidRPr="0058047D">
        <w:rPr>
          <w:rFonts w:ascii="Tahoma" w:hAnsi="Tahoma" w:cs="Tahoma"/>
          <w:sz w:val="18"/>
          <w:szCs w:val="18"/>
        </w:rPr>
        <w:t>caricamento di uno dei suddetti controlli in un browser dell</w:t>
      </w:r>
      <w:r w:rsidR="001C4212">
        <w:rPr>
          <w:rFonts w:ascii="Tahoma" w:hAnsi="Tahoma" w:cs="Tahoma"/>
          <w:sz w:val="18"/>
          <w:szCs w:val="18"/>
        </w:rPr>
        <w:t>’</w:t>
      </w:r>
      <w:r w:rsidRPr="0058047D">
        <w:rPr>
          <w:rFonts w:ascii="Tahoma" w:hAnsi="Tahoma" w:cs="Tahoma"/>
          <w:sz w:val="18"/>
          <w:szCs w:val="18"/>
        </w:rPr>
        <w:t>utente e include tutte le transazioni fino alla chiusura del browser o allo spostamento dell</w:t>
      </w:r>
      <w:r w:rsidR="001C4212">
        <w:rPr>
          <w:rFonts w:ascii="Tahoma" w:hAnsi="Tahoma" w:cs="Tahoma"/>
          <w:sz w:val="18"/>
          <w:szCs w:val="18"/>
        </w:rPr>
        <w:t>’</w:t>
      </w:r>
      <w:r w:rsidRPr="0058047D">
        <w:rPr>
          <w:rFonts w:ascii="Tahoma" w:hAnsi="Tahoma" w:cs="Tahoma"/>
          <w:sz w:val="18"/>
          <w:szCs w:val="18"/>
        </w:rPr>
        <w:t xml:space="preserve">utente su una pagina diversa e (c) eventuali nuove funzionalità dei Servizi potranno costituire una Transazione Fatturabile come descritto negli SDK. </w:t>
      </w:r>
    </w:p>
    <w:p w14:paraId="592CF160" w14:textId="77777777" w:rsidR="004640EC" w:rsidRPr="0058047D" w:rsidRDefault="004640EC" w:rsidP="004640EC">
      <w:pPr>
        <w:ind w:left="720"/>
      </w:pPr>
    </w:p>
    <w:p w14:paraId="2C34D45B" w14:textId="77777777" w:rsidR="004640EC" w:rsidRPr="0058047D" w:rsidRDefault="004640EC" w:rsidP="004640EC">
      <w:pPr>
        <w:ind w:left="720"/>
      </w:pPr>
      <w:r w:rsidRPr="0058047D">
        <w:rPr>
          <w:rFonts w:cs="Tahoma"/>
          <w:szCs w:val="18"/>
        </w:rPr>
        <w:t>Le società potranno acquistare più offerte di SL Add-on per Bing Maps Public Website Usage e di SL Add-on per Bing Maps Internal Website Usage allo scopo di comprare ogni mese più Transazione Fatturabili, ad</w:t>
      </w:r>
      <w:r w:rsidR="00905752">
        <w:rPr>
          <w:rFonts w:cs="Tahoma"/>
          <w:szCs w:val="18"/>
        </w:rPr>
        <w:t> </w:t>
      </w:r>
      <w:r w:rsidRPr="0058047D">
        <w:rPr>
          <w:rFonts w:cs="Tahoma"/>
          <w:szCs w:val="18"/>
        </w:rPr>
        <w:t>eccezione della SL Add-on per Bing Maps Platinum che potrà essere acquistata una sola volta.</w:t>
      </w:r>
      <w:r w:rsidR="00E34ED3" w:rsidRPr="0058047D">
        <w:rPr>
          <w:rFonts w:cs="Tahoma"/>
          <w:szCs w:val="18"/>
        </w:rPr>
        <w:t xml:space="preserve"> </w:t>
      </w:r>
      <w:r w:rsidRPr="0058047D">
        <w:rPr>
          <w:rFonts w:cs="Tahoma"/>
          <w:szCs w:val="18"/>
        </w:rPr>
        <w:t>Le Transazioni Fatturabili mensili non utilizzate potranno essere cumulate su base mensile fino alla data di scadenza dell</w:t>
      </w:r>
      <w:r w:rsidR="001C4212">
        <w:rPr>
          <w:rFonts w:cs="Tahoma"/>
          <w:szCs w:val="18"/>
        </w:rPr>
        <w:t>’</w:t>
      </w:r>
      <w:r w:rsidRPr="0058047D">
        <w:rPr>
          <w:rFonts w:cs="Tahoma"/>
          <w:szCs w:val="18"/>
        </w:rPr>
        <w:t>iscrizione.</w:t>
      </w:r>
      <w:r w:rsidR="00E34ED3" w:rsidRPr="0058047D">
        <w:rPr>
          <w:rFonts w:cs="Tahoma"/>
          <w:szCs w:val="18"/>
        </w:rPr>
        <w:t xml:space="preserve"> </w:t>
      </w:r>
      <w:r w:rsidRPr="0058047D">
        <w:rPr>
          <w:rFonts w:cs="Tahoma"/>
          <w:szCs w:val="18"/>
        </w:rPr>
        <w:t>In tale data tutte le Transazioni Fatturabili non utilizzate acquistate andranno perse. Le società potranno superare il numero di Transazioni Fatturabili acquistate in un mese, purché il numero totale di Transazioni Fatturabili utilizzate non superi il numero totale di Transazioni Fatturabili acquistate durante il periodo di validità dell</w:t>
      </w:r>
      <w:r w:rsidR="001C4212">
        <w:rPr>
          <w:rFonts w:cs="Tahoma"/>
          <w:szCs w:val="18"/>
        </w:rPr>
        <w:t>’</w:t>
      </w:r>
      <w:r w:rsidRPr="0058047D">
        <w:rPr>
          <w:rFonts w:cs="Tahoma"/>
          <w:szCs w:val="18"/>
        </w:rPr>
        <w:t>iscrizione.</w:t>
      </w:r>
      <w:r w:rsidR="00E34ED3" w:rsidRPr="0058047D">
        <w:rPr>
          <w:rFonts w:cs="Tahoma"/>
          <w:szCs w:val="18"/>
        </w:rPr>
        <w:t xml:space="preserve"> </w:t>
      </w:r>
      <w:r w:rsidRPr="0058047D">
        <w:rPr>
          <w:rFonts w:cs="Tahoma"/>
          <w:szCs w:val="18"/>
        </w:rPr>
        <w:t>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w:t>
      </w:r>
      <w:r w:rsidR="001C4212">
        <w:rPr>
          <w:rFonts w:cs="Tahoma"/>
          <w:szCs w:val="18"/>
        </w:rPr>
        <w:t>’</w:t>
      </w:r>
      <w:r w:rsidRPr="0058047D">
        <w:rPr>
          <w:rFonts w:cs="Tahoma"/>
          <w:szCs w:val="18"/>
        </w:rPr>
        <w:t>iscrizione. In alternativa, Microsoft potrà interrompere l</w:t>
      </w:r>
      <w:r w:rsidR="001C4212">
        <w:rPr>
          <w:rFonts w:cs="Tahoma"/>
          <w:szCs w:val="18"/>
        </w:rPr>
        <w:t>’</w:t>
      </w:r>
      <w:r w:rsidRPr="0058047D">
        <w:rPr>
          <w:rFonts w:cs="Tahoma"/>
          <w:szCs w:val="18"/>
        </w:rPr>
        <w:t>accesso a Bing Maps da parte del cliente.</w:t>
      </w:r>
    </w:p>
    <w:p w14:paraId="01C370CB" w14:textId="77777777" w:rsidR="004640EC" w:rsidRPr="0058047D" w:rsidRDefault="004640EC" w:rsidP="004640EC">
      <w:pPr>
        <w:ind w:left="720"/>
      </w:pPr>
    </w:p>
    <w:p w14:paraId="41CAC508" w14:textId="77777777" w:rsidR="004640EC" w:rsidRPr="0058047D" w:rsidRDefault="004640EC" w:rsidP="004640EC">
      <w:pPr>
        <w:spacing w:after="60"/>
        <w:ind w:left="720"/>
      </w:pPr>
      <w:r w:rsidRPr="0058047D">
        <w:rPr>
          <w:rFonts w:cs="Tahoma"/>
          <w:b/>
          <w:color w:val="000000" w:themeColor="text1"/>
          <w:szCs w:val="18"/>
        </w:rPr>
        <w:t>SL Add-on per Bing Maps Platinum</w:t>
      </w:r>
    </w:p>
    <w:p w14:paraId="1AF5A0F9" w14:textId="77777777" w:rsidR="004640EC" w:rsidRPr="0058047D" w:rsidRDefault="004640EC" w:rsidP="004640EC">
      <w:pPr>
        <w:pStyle w:val="NormalWeb"/>
        <w:spacing w:before="0" w:beforeAutospacing="0" w:after="0" w:afterAutospacing="0"/>
        <w:ind w:left="720"/>
      </w:pPr>
      <w:r w:rsidRPr="0058047D">
        <w:rPr>
          <w:rFonts w:ascii="Tahoma" w:hAnsi="Tahoma" w:cs="Tahoma"/>
          <w:sz w:val="18"/>
          <w:szCs w:val="18"/>
        </w:rPr>
        <w:t>L</w:t>
      </w:r>
      <w:r w:rsidR="001C4212">
        <w:rPr>
          <w:rFonts w:ascii="Tahoma" w:hAnsi="Tahoma" w:cs="Tahoma"/>
          <w:sz w:val="18"/>
          <w:szCs w:val="18"/>
        </w:rPr>
        <w:t>’</w:t>
      </w:r>
      <w:r w:rsidRPr="0058047D">
        <w:rPr>
          <w:rFonts w:ascii="Tahoma" w:hAnsi="Tahoma" w:cs="Tahoma"/>
          <w:sz w:val="18"/>
          <w:szCs w:val="18"/>
        </w:rPr>
        <w:t>offerta di SL Add-on per Bing Maps Platinum presenta un limite di utilizzo di 400 milioni di Transazioni Fatturabili all</w:t>
      </w:r>
      <w:r w:rsidR="001C4212">
        <w:rPr>
          <w:rFonts w:ascii="Tahoma" w:hAnsi="Tahoma" w:cs="Tahoma"/>
          <w:sz w:val="18"/>
          <w:szCs w:val="18"/>
        </w:rPr>
        <w:t>’</w:t>
      </w:r>
      <w:r w:rsidRPr="0058047D">
        <w:rPr>
          <w:rFonts w:ascii="Tahoma" w:hAnsi="Tahoma" w:cs="Tahoma"/>
          <w:sz w:val="18"/>
          <w:szCs w:val="18"/>
        </w:rPr>
        <w:t>anno.</w:t>
      </w:r>
      <w:r w:rsidR="00E34ED3" w:rsidRPr="0058047D">
        <w:rPr>
          <w:rFonts w:ascii="Tahoma" w:hAnsi="Tahoma" w:cs="Tahoma"/>
          <w:sz w:val="18"/>
          <w:szCs w:val="18"/>
        </w:rPr>
        <w:t xml:space="preserve"> </w:t>
      </w:r>
      <w:r w:rsidRPr="0058047D">
        <w:rPr>
          <w:rFonts w:ascii="Tahoma" w:hAnsi="Tahoma" w:cs="Tahoma"/>
          <w:sz w:val="18"/>
          <w:szCs w:val="18"/>
        </w:rPr>
        <w:t>Qualora durante un qualsiasi anno del periodo di validità dell</w:t>
      </w:r>
      <w:r w:rsidR="001C4212">
        <w:rPr>
          <w:rFonts w:ascii="Tahoma" w:hAnsi="Tahoma" w:cs="Tahoma"/>
          <w:sz w:val="18"/>
          <w:szCs w:val="18"/>
        </w:rPr>
        <w:t>’</w:t>
      </w:r>
      <w:r w:rsidRPr="0058047D">
        <w:rPr>
          <w:rFonts w:ascii="Tahoma" w:hAnsi="Tahoma" w:cs="Tahoma"/>
          <w:sz w:val="18"/>
          <w:szCs w:val="18"/>
        </w:rPr>
        <w:t>iscrizione una società superi il limite di utilizzo di 400 milioni di Transazioni Fatturabili, entro 60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w:t>
      </w:r>
      <w:r w:rsidR="001C4212">
        <w:rPr>
          <w:rFonts w:ascii="Tahoma" w:hAnsi="Tahoma" w:cs="Tahoma"/>
          <w:sz w:val="18"/>
          <w:szCs w:val="18"/>
        </w:rPr>
        <w:t>’</w:t>
      </w:r>
      <w:r w:rsidRPr="0058047D">
        <w:rPr>
          <w:rFonts w:ascii="Tahoma" w:hAnsi="Tahoma" w:cs="Tahoma"/>
          <w:sz w:val="18"/>
          <w:szCs w:val="18"/>
        </w:rPr>
        <w:t>iscrizione. In alternativa, Microsoft potrà interrompere l</w:t>
      </w:r>
      <w:r w:rsidR="001C4212">
        <w:rPr>
          <w:rFonts w:ascii="Tahoma" w:hAnsi="Tahoma" w:cs="Tahoma"/>
          <w:sz w:val="18"/>
          <w:szCs w:val="18"/>
        </w:rPr>
        <w:t>’</w:t>
      </w:r>
      <w:r w:rsidRPr="0058047D">
        <w:rPr>
          <w:rFonts w:ascii="Tahoma" w:hAnsi="Tahoma" w:cs="Tahoma"/>
          <w:sz w:val="18"/>
          <w:szCs w:val="18"/>
        </w:rPr>
        <w:t>accesso a Bing Maps da parte del cliente.</w:t>
      </w:r>
    </w:p>
    <w:p w14:paraId="5C2D2B80" w14:textId="77777777" w:rsidR="004640EC" w:rsidRPr="0058047D" w:rsidRDefault="004640EC" w:rsidP="004640EC">
      <w:pPr>
        <w:pStyle w:val="NormalWeb"/>
        <w:spacing w:before="0" w:beforeAutospacing="0" w:after="0" w:afterAutospacing="0"/>
        <w:ind w:left="720"/>
      </w:pPr>
    </w:p>
    <w:p w14:paraId="4BEAAC6F" w14:textId="77777777" w:rsidR="004640EC" w:rsidRPr="0058047D" w:rsidRDefault="004640EC" w:rsidP="004640EC">
      <w:pPr>
        <w:spacing w:after="60"/>
        <w:ind w:left="720"/>
      </w:pPr>
      <w:r w:rsidRPr="0058047D">
        <w:rPr>
          <w:rFonts w:cs="Tahoma"/>
          <w:b/>
          <w:color w:val="000000" w:themeColor="text1"/>
          <w:szCs w:val="18"/>
        </w:rPr>
        <w:t>Supporto Tecnico per Bing Maps</w:t>
      </w:r>
    </w:p>
    <w:p w14:paraId="04E5FD7D" w14:textId="77777777" w:rsidR="004640EC" w:rsidRPr="0058047D" w:rsidRDefault="004640EC" w:rsidP="004640EC">
      <w:pPr>
        <w:pStyle w:val="NormalWeb"/>
        <w:spacing w:before="0" w:beforeAutospacing="0" w:after="0" w:afterAutospacing="0"/>
        <w:ind w:left="720"/>
      </w:pPr>
      <w:r w:rsidRPr="0058047D">
        <w:rPr>
          <w:rFonts w:ascii="Tahoma" w:hAnsi="Tahoma" w:cs="Tahoma"/>
          <w:sz w:val="18"/>
          <w:szCs w:val="18"/>
        </w:rPr>
        <w:t>Il Supporto Tecnico è disponibile per tutte le società che hanno acquistato Bing Maps. Tutte le informazioni riguardo al supporto sono disponibili all</w:t>
      </w:r>
      <w:r w:rsidR="001C4212">
        <w:rPr>
          <w:rFonts w:ascii="Tahoma" w:hAnsi="Tahoma" w:cs="Tahoma"/>
          <w:sz w:val="18"/>
          <w:szCs w:val="18"/>
        </w:rPr>
        <w:t>’</w:t>
      </w:r>
      <w:r w:rsidRPr="0058047D">
        <w:rPr>
          <w:rFonts w:ascii="Tahoma" w:hAnsi="Tahoma" w:cs="Tahoma"/>
          <w:sz w:val="18"/>
          <w:szCs w:val="18"/>
        </w:rPr>
        <w:t xml:space="preserve">indirizzo: </w:t>
      </w:r>
      <w:hyperlink r:id="rId43" w:history="1">
        <w:r w:rsidR="00905752" w:rsidRPr="007F7046">
          <w:rPr>
            <w:rStyle w:val="Hyperlink"/>
            <w:rFonts w:ascii="Tahoma" w:hAnsi="Tahoma" w:cs="Tahoma"/>
            <w:sz w:val="18"/>
            <w:szCs w:val="18"/>
          </w:rPr>
          <w:t>http://www.microsoft.com/maps/support/</w:t>
        </w:r>
      </w:hyperlink>
      <w:r w:rsidRPr="0058047D">
        <w:rPr>
          <w:rFonts w:ascii="Tahoma" w:hAnsi="Tahoma" w:cs="Tahoma"/>
          <w:sz w:val="18"/>
          <w:szCs w:val="18"/>
        </w:rPr>
        <w:t>.</w:t>
      </w:r>
    </w:p>
    <w:p w14:paraId="063A4BC0" w14:textId="77777777" w:rsidR="004640EC" w:rsidRPr="00905752" w:rsidRDefault="004640EC" w:rsidP="004640EC">
      <w:pPr>
        <w:pStyle w:val="NormalWeb"/>
        <w:spacing w:before="0" w:beforeAutospacing="0" w:after="0" w:afterAutospacing="0"/>
        <w:ind w:left="720"/>
        <w:rPr>
          <w:rFonts w:ascii="Tahoma" w:hAnsi="Tahoma" w:cs="Tahoma"/>
          <w:sz w:val="18"/>
          <w:szCs w:val="18"/>
        </w:rPr>
      </w:pPr>
    </w:p>
    <w:p w14:paraId="0578C617" w14:textId="77777777" w:rsidR="004640EC" w:rsidRPr="00905752" w:rsidRDefault="004640EC" w:rsidP="004640EC">
      <w:pPr>
        <w:ind w:left="720"/>
        <w:rPr>
          <w:rFonts w:cs="Tahoma"/>
          <w:szCs w:val="18"/>
        </w:rPr>
      </w:pPr>
    </w:p>
    <w:bookmarkEnd w:id="1123"/>
    <w:p w14:paraId="055422D2" w14:textId="77777777" w:rsidR="00AD481C" w:rsidRPr="0058047D" w:rsidRDefault="00AD481C" w:rsidP="00AD481C">
      <w:pPr>
        <w:ind w:left="720"/>
      </w:pPr>
      <w:r w:rsidRPr="0058047D">
        <w:rPr>
          <w:rFonts w:cs="Tahoma"/>
          <w:b/>
          <w:bCs/>
          <w:color w:val="000000"/>
          <w:szCs w:val="18"/>
        </w:rPr>
        <w:t>Modalità di accesso al Servizio Bing Maps:</w:t>
      </w:r>
    </w:p>
    <w:p w14:paraId="07C88A30" w14:textId="77777777" w:rsidR="00AD481C" w:rsidRPr="0058047D" w:rsidRDefault="00AD481C" w:rsidP="00AD481C">
      <w:pPr>
        <w:ind w:left="720"/>
      </w:pPr>
    </w:p>
    <w:p w14:paraId="336A1A3F" w14:textId="77777777" w:rsidR="00B17BCD" w:rsidRPr="0058047D" w:rsidRDefault="00B17BCD" w:rsidP="00B17BCD">
      <w:pPr>
        <w:ind w:left="720"/>
      </w:pPr>
      <w:r w:rsidRPr="0058047D">
        <w:rPr>
          <w:rFonts w:cs="Tahoma"/>
          <w:color w:val="000000"/>
          <w:szCs w:val="18"/>
        </w:rPr>
        <w:t>Il licenziatario può effettuare il provisioning degli ID Account Bing Maps previsti dal Contratto Multilicenza tramite l</w:t>
      </w:r>
      <w:r w:rsidR="001C4212">
        <w:rPr>
          <w:rFonts w:cs="Tahoma"/>
          <w:color w:val="000000"/>
          <w:szCs w:val="18"/>
        </w:rPr>
        <w:t>’</w:t>
      </w:r>
      <w:r w:rsidRPr="0058047D">
        <w:rPr>
          <w:rFonts w:cs="Tahoma"/>
          <w:color w:val="000000"/>
          <w:szCs w:val="18"/>
        </w:rPr>
        <w:t>apposito modulo per l</w:t>
      </w:r>
      <w:r w:rsidR="001C4212">
        <w:rPr>
          <w:rFonts w:cs="Tahoma"/>
          <w:color w:val="000000"/>
          <w:szCs w:val="18"/>
        </w:rPr>
        <w:t>’</w:t>
      </w:r>
      <w:r w:rsidRPr="0058047D">
        <w:rPr>
          <w:rFonts w:cs="Tahoma"/>
          <w:color w:val="000000"/>
          <w:szCs w:val="18"/>
        </w:rPr>
        <w:t>accesso alla produzione disponibile presso il Bing Maps Account Center (</w:t>
      </w:r>
      <w:hyperlink r:id="rId44" w:history="1">
        <w:r w:rsidR="00905752" w:rsidRPr="009D42D5">
          <w:rPr>
            <w:rFonts w:cs="Tahoma"/>
            <w:color w:val="000000"/>
            <w:szCs w:val="18"/>
          </w:rPr>
          <w:t>https://www.bingmapsportal.com/</w:t>
        </w:r>
      </w:hyperlink>
      <w:r w:rsidRPr="0058047D">
        <w:rPr>
          <w:rFonts w:cs="Tahoma"/>
          <w:color w:val="000000"/>
          <w:szCs w:val="18"/>
        </w:rPr>
        <w:t>).</w:t>
      </w:r>
      <w:r w:rsidR="00E34ED3" w:rsidRPr="0058047D">
        <w:rPr>
          <w:rFonts w:cs="Tahoma"/>
          <w:color w:val="000000"/>
          <w:szCs w:val="18"/>
        </w:rPr>
        <w:t xml:space="preserve"> </w:t>
      </w:r>
      <w:r w:rsidRPr="0058047D">
        <w:rPr>
          <w:rFonts w:cs="Tahoma"/>
          <w:color w:val="000000"/>
          <w:szCs w:val="18"/>
        </w:rPr>
        <w:t>L</w:t>
      </w:r>
      <w:r w:rsidR="001C4212">
        <w:rPr>
          <w:rFonts w:cs="Tahoma"/>
          <w:color w:val="000000"/>
          <w:szCs w:val="18"/>
        </w:rPr>
        <w:t>’</w:t>
      </w:r>
      <w:r w:rsidRPr="0058047D">
        <w:rPr>
          <w:rFonts w:cs="Tahoma"/>
          <w:color w:val="000000"/>
          <w:szCs w:val="18"/>
        </w:rPr>
        <w:t>accesso alla produzione per gli ID Account Bing Maps verrà concesso dopo che il licenziatario avrà fornito il numero del Contratto Multilicenza/dell</w:t>
      </w:r>
      <w:r w:rsidR="001C4212">
        <w:rPr>
          <w:rFonts w:cs="Tahoma"/>
          <w:color w:val="000000"/>
          <w:szCs w:val="18"/>
        </w:rPr>
        <w:t>’</w:t>
      </w:r>
      <w:r w:rsidRPr="0058047D">
        <w:rPr>
          <w:rFonts w:cs="Tahoma"/>
          <w:color w:val="000000"/>
          <w:szCs w:val="18"/>
        </w:rPr>
        <w:t>Iscrizione e selezionato la famiglia di prodotti associata all</w:t>
      </w:r>
      <w:r w:rsidR="001C4212">
        <w:rPr>
          <w:rFonts w:cs="Tahoma"/>
          <w:color w:val="000000"/>
          <w:szCs w:val="18"/>
        </w:rPr>
        <w:t>’</w:t>
      </w:r>
      <w:r w:rsidRPr="0058047D">
        <w:rPr>
          <w:rFonts w:cs="Tahoma"/>
          <w:color w:val="000000"/>
          <w:szCs w:val="18"/>
        </w:rPr>
        <w:t>acquisto.</w:t>
      </w:r>
    </w:p>
    <w:p w14:paraId="087DAF51" w14:textId="77777777" w:rsidR="00B17BCD" w:rsidRPr="0058047D" w:rsidRDefault="00B17BCD" w:rsidP="00B17BCD">
      <w:pPr>
        <w:pStyle w:val="EndnoteText"/>
        <w:ind w:left="0"/>
      </w:pPr>
    </w:p>
    <w:p w14:paraId="58BB7464" w14:textId="77777777" w:rsidR="00B17BCD" w:rsidRPr="0058047D" w:rsidRDefault="00B17BCD" w:rsidP="00B17BCD">
      <w:pPr>
        <w:pStyle w:val="NormalWeb"/>
        <w:spacing w:before="0" w:beforeAutospacing="0" w:after="0" w:afterAutospacing="0"/>
        <w:ind w:left="720"/>
      </w:pPr>
      <w:r w:rsidRPr="0058047D">
        <w:rPr>
          <w:rFonts w:ascii="Tahoma" w:hAnsi="Tahoma" w:cs="Tahoma"/>
          <w:sz w:val="18"/>
          <w:szCs w:val="22"/>
        </w:rPr>
        <w:t>Per ciascuna offerta acquistata tramite una famiglia di prodotti differente è necessario almeno un ID Account Bing Maps. Le diverse famiglie di prodotti sono Bing Maps Public Website, Bing Maps Internal Website, Bing Maps Known User, Bing Maps Light Known User e Bing Maps Mobile Asset Management.</w:t>
      </w:r>
    </w:p>
    <w:p w14:paraId="2A6D027C" w14:textId="77777777" w:rsidR="00B17BCD" w:rsidRPr="0058047D" w:rsidRDefault="00B17BCD" w:rsidP="00B17BCD">
      <w:pPr>
        <w:spacing w:after="60"/>
        <w:ind w:left="720"/>
      </w:pPr>
      <w:r w:rsidRPr="0058047D">
        <w:rPr>
          <w:rFonts w:cs="Tahoma"/>
        </w:rPr>
        <w:t xml:space="preserve">Condizioni speciali si applicano alla famiglia di prodotti Mobile Asset Management. Quando viene acquistato un prodotto di questa famiglia, il licenziatario richiederà un ID Account Bing Maps specifico per ciascuna combinazione di regione (ad esempio Europa o Nord America) e opzione di routing (con routing o senza routing). Ad esempio: una società che ordina </w:t>
      </w:r>
      <w:r w:rsidRPr="0058047D">
        <w:rPr>
          <w:rFonts w:eastAsia="Calibri" w:cs="Tahoma"/>
          <w:color w:val="000000"/>
          <w:szCs w:val="18"/>
        </w:rPr>
        <w:t>Bing Maps Mobile Asset Management per il Nord America senza Routing, Bing Maps Mobile Asset Management per l</w:t>
      </w:r>
      <w:r w:rsidR="001C4212">
        <w:rPr>
          <w:rFonts w:eastAsia="Calibri" w:cs="Tahoma"/>
          <w:color w:val="000000"/>
          <w:szCs w:val="18"/>
        </w:rPr>
        <w:t>’</w:t>
      </w:r>
      <w:r w:rsidRPr="0058047D">
        <w:rPr>
          <w:rFonts w:eastAsia="Calibri" w:cs="Tahoma"/>
          <w:color w:val="000000"/>
          <w:szCs w:val="18"/>
        </w:rPr>
        <w:t>Europa senza Routing e Bing Maps Mobile Asset Management per l</w:t>
      </w:r>
      <w:r w:rsidR="001C4212">
        <w:rPr>
          <w:rFonts w:eastAsia="Calibri" w:cs="Tahoma"/>
          <w:color w:val="000000"/>
          <w:szCs w:val="18"/>
        </w:rPr>
        <w:t>’</w:t>
      </w:r>
      <w:r w:rsidRPr="0058047D">
        <w:rPr>
          <w:rFonts w:eastAsia="Calibri" w:cs="Tahoma"/>
          <w:color w:val="000000"/>
          <w:szCs w:val="18"/>
        </w:rPr>
        <w:t xml:space="preserve">Europa con Routing richiederanno almeno tre ID Account Bing Maps a causa delle diverse scelte geografiche e di routing. </w:t>
      </w:r>
    </w:p>
    <w:p w14:paraId="330526F0" w14:textId="77777777" w:rsidR="00AD481C" w:rsidRPr="0058047D" w:rsidRDefault="00AD481C" w:rsidP="00B21C58">
      <w:pPr>
        <w:ind w:left="1440"/>
      </w:pPr>
    </w:p>
    <w:p w14:paraId="67B3A17F" w14:textId="77777777" w:rsidR="00E03856" w:rsidRPr="0058047D" w:rsidRDefault="00E03856" w:rsidP="00B21C58">
      <w:pPr>
        <w:pStyle w:val="EndnoteText"/>
        <w:ind w:left="0"/>
      </w:pPr>
    </w:p>
    <w:p w14:paraId="71477CF2" w14:textId="77777777" w:rsidR="008233B3" w:rsidRPr="0058047D" w:rsidRDefault="00A560B6" w:rsidP="008233B3">
      <w:pPr>
        <w:pStyle w:val="Heading3"/>
      </w:pPr>
      <w:bookmarkStart w:id="1128" w:name="_29_BizTalk®_Server"/>
      <w:bookmarkStart w:id="1129" w:name="_32_BizTalk_Server®"/>
      <w:bookmarkStart w:id="1130" w:name="_35_BizTalk_Server®"/>
      <w:bookmarkStart w:id="1131" w:name="_Toc371663688"/>
      <w:bookmarkEnd w:id="1128"/>
      <w:bookmarkEnd w:id="1129"/>
      <w:bookmarkEnd w:id="1130"/>
      <w:r w:rsidRPr="0058047D">
        <w:rPr>
          <w:rFonts w:ascii="Tahoma" w:hAnsi="Tahoma" w:cs="Tahoma"/>
          <w:caps/>
          <w:color w:val="F66400"/>
          <w:sz w:val="22"/>
          <w:vertAlign w:val="superscript"/>
        </w:rPr>
        <w:t xml:space="preserve">35 </w:t>
      </w:r>
      <w:r w:rsidRPr="0058047D">
        <w:rPr>
          <w:rFonts w:ascii="Tahoma" w:hAnsi="Tahoma" w:cs="Tahoma"/>
          <w:color w:val="F66400"/>
          <w:sz w:val="22"/>
        </w:rPr>
        <w:t>BizTalk Server</w:t>
      </w:r>
      <w:r w:rsidR="00E53A46" w:rsidRPr="0058047D">
        <w:rPr>
          <w:rFonts w:ascii="Tahoma" w:hAnsi="Tahoma" w:cs="Tahoma"/>
          <w:color w:val="F66400"/>
          <w:sz w:val="22"/>
          <w:vertAlign w:val="superscript"/>
        </w:rPr>
        <w:t>®</w:t>
      </w:r>
      <w:r w:rsidRPr="0058047D">
        <w:rPr>
          <w:rFonts w:ascii="Tahoma" w:hAnsi="Tahoma" w:cs="Tahoma"/>
          <w:color w:val="F66400"/>
          <w:sz w:val="22"/>
        </w:rPr>
        <w:t xml:space="preserve"> 2013 Branch</w:t>
      </w:r>
      <w:bookmarkEnd w:id="1131"/>
    </w:p>
    <w:p w14:paraId="5E913AC3" w14:textId="77777777" w:rsidR="008233B3" w:rsidRPr="0058047D" w:rsidRDefault="008233B3" w:rsidP="008233B3"/>
    <w:p w14:paraId="04882595" w14:textId="77777777" w:rsidR="008233B3" w:rsidRPr="0058047D" w:rsidRDefault="008233B3" w:rsidP="008233B3">
      <w:pPr>
        <w:spacing w:after="60"/>
        <w:ind w:left="720"/>
      </w:pPr>
      <w:r w:rsidRPr="0058047D">
        <w:rPr>
          <w:rFonts w:eastAsia="Calibri" w:cs="Tahoma"/>
          <w:b/>
          <w:color w:val="000000"/>
          <w:szCs w:val="18"/>
        </w:rPr>
        <w:t>Concessioni di Licenza Associate alla Variazione del Modello di Licenza</w:t>
      </w:r>
    </w:p>
    <w:p w14:paraId="76167754" w14:textId="77777777" w:rsidR="008233B3" w:rsidRPr="0058047D" w:rsidRDefault="008233B3" w:rsidP="008233B3">
      <w:pPr>
        <w:ind w:left="720"/>
      </w:pPr>
      <w:r w:rsidRPr="0058047D">
        <w:rPr>
          <w:rFonts w:eastAsia="Calibri" w:cs="Tahoma"/>
          <w:color w:val="000000"/>
          <w:szCs w:val="18"/>
        </w:rPr>
        <w:t>BizTalk Server 2010 sarà l</w:t>
      </w:r>
      <w:r w:rsidR="001C4212">
        <w:rPr>
          <w:rFonts w:eastAsia="Calibri" w:cs="Tahoma"/>
          <w:color w:val="000000"/>
          <w:szCs w:val="18"/>
        </w:rPr>
        <w:t>’</w:t>
      </w:r>
      <w:r w:rsidRPr="0058047D">
        <w:rPr>
          <w:rFonts w:eastAsia="Calibri" w:cs="Tahoma"/>
          <w:color w:val="000000"/>
          <w:szCs w:val="18"/>
        </w:rPr>
        <w:t>ultima versione di BizTalk Server concessa in licenza ai sensi del modello di licenza per processore.</w:t>
      </w:r>
      <w:r w:rsidR="00E34ED3" w:rsidRPr="0058047D">
        <w:rPr>
          <w:rFonts w:eastAsia="Calibri" w:cs="Tahoma"/>
          <w:color w:val="000000"/>
          <w:szCs w:val="18"/>
        </w:rPr>
        <w:t xml:space="preserve"> </w:t>
      </w:r>
      <w:r w:rsidRPr="0058047D">
        <w:rPr>
          <w:rFonts w:eastAsia="Calibri" w:cs="Tahoma"/>
          <w:color w:val="000000"/>
          <w:szCs w:val="18"/>
        </w:rPr>
        <w:t xml:space="preserve">In via eccezionale, alle società con Contratti Multilicenza e copertura Software Assurance attiva per le licenze per processore per BizTalk Server 2010 Branch alla data di pubblicazione della presente Lista dei Prodotti (“licenze qualificanti”) vengono offerte le opzioni che seguono. </w:t>
      </w:r>
    </w:p>
    <w:p w14:paraId="56ECC62E" w14:textId="77777777" w:rsidR="008233B3" w:rsidRPr="0058047D" w:rsidRDefault="008233B3" w:rsidP="008233B3">
      <w:pPr>
        <w:ind w:left="720"/>
      </w:pPr>
    </w:p>
    <w:p w14:paraId="547BA581" w14:textId="77777777" w:rsidR="008233B3" w:rsidRPr="0058047D" w:rsidRDefault="008233B3" w:rsidP="008233B3">
      <w:pPr>
        <w:spacing w:after="60"/>
        <w:ind w:left="720"/>
      </w:pPr>
      <w:r w:rsidRPr="0058047D">
        <w:rPr>
          <w:rFonts w:eastAsia="Calibri" w:cs="Tahoma"/>
          <w:b/>
          <w:color w:val="000000"/>
          <w:szCs w:val="18"/>
        </w:rPr>
        <w:t>Periodo di Validità Corrente</w:t>
      </w:r>
    </w:p>
    <w:p w14:paraId="26893B0E" w14:textId="77777777" w:rsidR="008233B3" w:rsidRPr="0058047D" w:rsidRDefault="008233B3" w:rsidP="008233B3">
      <w:pPr>
        <w:ind w:left="720"/>
      </w:pPr>
      <w:r w:rsidRPr="0058047D">
        <w:rPr>
          <w:rFonts w:eastAsia="Calibri" w:cs="Tahoma"/>
          <w:color w:val="000000"/>
          <w:szCs w:val="18"/>
        </w:rPr>
        <w:t>Durante il periodo di validità corrente della copertura Software Assurance le società (incluse le società titolari di contratti “subscription”) potranno, ai sensi di una licenza qualificante, effettuare l</w:t>
      </w:r>
      <w:r w:rsidR="001C4212">
        <w:rPr>
          <w:rFonts w:eastAsia="Calibri" w:cs="Tahoma"/>
          <w:color w:val="000000"/>
          <w:szCs w:val="18"/>
        </w:rPr>
        <w:t>’</w:t>
      </w:r>
      <w:r w:rsidRPr="0058047D">
        <w:rPr>
          <w:rFonts w:eastAsia="Calibri" w:cs="Tahoma"/>
          <w:color w:val="000000"/>
          <w:szCs w:val="18"/>
        </w:rPr>
        <w:t>aggiornamento all</w:t>
      </w:r>
      <w:r w:rsidR="001C4212">
        <w:rPr>
          <w:rFonts w:eastAsia="Calibri" w:cs="Tahoma"/>
          <w:color w:val="000000"/>
          <w:szCs w:val="18"/>
        </w:rPr>
        <w:t>’</w:t>
      </w:r>
      <w:r w:rsidRPr="0058047D">
        <w:rPr>
          <w:rFonts w:eastAsia="Calibri" w:cs="Tahoma"/>
          <w:color w:val="000000"/>
          <w:szCs w:val="18"/>
        </w:rPr>
        <w:t xml:space="preserve">ultima versione del software BizTalk Server Branch e utilizzarlo al posto di BizTalk Server 2010 Branch in conformità ai diritti di utilizzo del prodotto previsti dalla licenza per processore BizTalk Server 2010 Branch (come indicato nei Diritti di Utilizzo del Prodotto del mese di gennaio 2013). </w:t>
      </w:r>
    </w:p>
    <w:p w14:paraId="79AB3EDB" w14:textId="77777777" w:rsidR="00D57009" w:rsidRPr="0058047D" w:rsidRDefault="00D57009"/>
    <w:p w14:paraId="39974F4B" w14:textId="77777777" w:rsidR="008233B3" w:rsidRPr="0058047D" w:rsidRDefault="008233B3" w:rsidP="008233B3">
      <w:pPr>
        <w:spacing w:after="60"/>
        <w:ind w:left="720"/>
      </w:pPr>
      <w:r w:rsidRPr="0058047D">
        <w:rPr>
          <w:rFonts w:eastAsia="Calibri" w:cs="Tahoma"/>
          <w:b/>
          <w:color w:val="000000"/>
          <w:szCs w:val="18"/>
        </w:rPr>
        <w:t>Primo Periodo di Rinnovo</w:t>
      </w:r>
    </w:p>
    <w:p w14:paraId="7CC9D446" w14:textId="77777777" w:rsidR="008233B3" w:rsidRPr="0058047D" w:rsidRDefault="008233B3" w:rsidP="008233B3">
      <w:pPr>
        <w:tabs>
          <w:tab w:val="left" w:pos="1800"/>
        </w:tabs>
        <w:spacing w:after="60"/>
        <w:ind w:left="720"/>
      </w:pPr>
      <w:r w:rsidRPr="0058047D">
        <w:rPr>
          <w:rFonts w:eastAsia="Calibri" w:cs="Tahoma"/>
          <w:color w:val="000000"/>
          <w:szCs w:val="18"/>
        </w:rPr>
        <w:t xml:space="preserve">In occasione del primo rinnovo di Software Assurance in data 1 aprile 2013 o successiva, per ogni server che una società ha ricevuto validamente in licenza in conformità ai diritti di utilizzo del prodotto previsti dalla licenza per processore BizTalk Server 2010, la società potrà acquistare la copertura Software Assurance per le licenze core per BizTalk Server Branch senza dovere acquistare le licenze core sottostanti per un numero di licenze core pari al numero di licenze per processore qualificanti cedute al server moltiplicato per il maggiore tra: </w:t>
      </w:r>
    </w:p>
    <w:p w14:paraId="65E16E13" w14:textId="77777777" w:rsidR="008233B3" w:rsidRPr="0058047D" w:rsidRDefault="00B21C58" w:rsidP="00346F4B">
      <w:pPr>
        <w:numPr>
          <w:ilvl w:val="3"/>
          <w:numId w:val="93"/>
        </w:numPr>
        <w:tabs>
          <w:tab w:val="left" w:pos="2160"/>
        </w:tabs>
        <w:spacing w:after="60"/>
        <w:ind w:left="2160"/>
      </w:pPr>
      <w:r>
        <w:rPr>
          <w:rFonts w:eastAsia="Calibri" w:cs="Tahoma"/>
          <w:color w:val="000000"/>
          <w:szCs w:val="18"/>
        </w:rPr>
        <w:t>Quattro,</w:t>
      </w:r>
      <w:r w:rsidR="008233B3" w:rsidRPr="0058047D">
        <w:rPr>
          <w:rFonts w:eastAsia="Calibri" w:cs="Tahoma"/>
          <w:color w:val="000000"/>
          <w:szCs w:val="18"/>
        </w:rPr>
        <w:t xml:space="preserve"> O</w:t>
      </w:r>
    </w:p>
    <w:p w14:paraId="1448B76E" w14:textId="77777777" w:rsidR="008233B3" w:rsidRPr="0058047D" w:rsidRDefault="008233B3" w:rsidP="00346F4B">
      <w:pPr>
        <w:numPr>
          <w:ilvl w:val="3"/>
          <w:numId w:val="93"/>
        </w:numPr>
        <w:tabs>
          <w:tab w:val="left" w:pos="2160"/>
        </w:tabs>
        <w:spacing w:after="60"/>
        <w:ind w:left="2160"/>
      </w:pPr>
      <w:r w:rsidRPr="0058047D">
        <w:rPr>
          <w:rFonts w:eastAsia="Calibri" w:cs="Tahoma"/>
          <w:color w:val="000000"/>
          <w:szCs w:val="18"/>
        </w:rPr>
        <w:t>il numero effettivo di core per processore fisico moltiplicato per il fattore core appropriato.</w:t>
      </w:r>
      <w:r w:rsidR="00E34ED3" w:rsidRPr="0058047D">
        <w:rPr>
          <w:rFonts w:eastAsia="Calibri" w:cs="Tahoma"/>
          <w:color w:val="000000"/>
          <w:szCs w:val="18"/>
        </w:rPr>
        <w:t xml:space="preserve"> </w:t>
      </w:r>
      <w:r w:rsidRPr="0058047D">
        <w:rPr>
          <w:rFonts w:eastAsia="Calibri" w:cs="Tahoma"/>
          <w:color w:val="000000"/>
          <w:szCs w:val="18"/>
        </w:rPr>
        <w:t>(Nei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1C4212">
        <w:rPr>
          <w:rFonts w:eastAsia="Calibri" w:cs="Tahoma"/>
          <w:color w:val="000000"/>
          <w:szCs w:val="18"/>
        </w:rPr>
        <w:t>’</w:t>
      </w:r>
      <w:r w:rsidRPr="0058047D">
        <w:rPr>
          <w:rFonts w:eastAsia="Calibri" w:cs="Tahoma"/>
          <w:color w:val="000000"/>
          <w:szCs w:val="18"/>
        </w:rPr>
        <w:t xml:space="preserve">hardware fisico che supporta tale software appena prima del rinnovo di Software Assurance utilizzando lo strumento MAP di Microsoft o un software equivalente). </w:t>
      </w:r>
    </w:p>
    <w:p w14:paraId="44B1B959" w14:textId="77777777" w:rsidR="008233B3" w:rsidRPr="0058047D" w:rsidRDefault="008233B3" w:rsidP="008233B3">
      <w:pPr>
        <w:tabs>
          <w:tab w:val="left" w:pos="1800"/>
        </w:tabs>
        <w:ind w:left="1080"/>
      </w:pPr>
    </w:p>
    <w:p w14:paraId="7120629F" w14:textId="77777777" w:rsidR="008233B3" w:rsidRPr="0058047D" w:rsidRDefault="008233B3" w:rsidP="008233B3">
      <w:pPr>
        <w:spacing w:after="60"/>
        <w:ind w:left="720"/>
      </w:pPr>
      <w:r w:rsidRPr="0058047D">
        <w:rPr>
          <w:rFonts w:eastAsia="Calibri" w:cs="Tahoma"/>
          <w:color w:val="000000"/>
          <w:szCs w:val="18"/>
        </w:rPr>
        <w:t xml:space="preserve">Le licenze per processore delle società non sono più valide se si acquista la copertura Software Assurance per licenze core ai sensi della presente offerta. </w:t>
      </w:r>
      <w:r w:rsidRPr="0058047D">
        <w:rPr>
          <w:rFonts w:eastAsia="Calibri" w:cs="Tahoma"/>
          <w:szCs w:val="18"/>
        </w:rPr>
        <w:t>L</w:t>
      </w:r>
      <w:r w:rsidR="001C4212">
        <w:rPr>
          <w:rFonts w:eastAsia="Calibri" w:cs="Tahoma"/>
          <w:szCs w:val="18"/>
        </w:rPr>
        <w:t>’</w:t>
      </w:r>
      <w:r w:rsidRPr="0058047D">
        <w:rPr>
          <w:rFonts w:eastAsia="Calibri" w:cs="Tahoma"/>
          <w:szCs w:val="18"/>
        </w:rPr>
        <w:t>opzione di acquistare Software Assurance per le licenze core per BizTalk Server non è applicabile al rinnovo della copertura ai sensi dei programmi di sottoscrizione.</w:t>
      </w:r>
      <w:r w:rsidR="00E34ED3" w:rsidRPr="0058047D">
        <w:rPr>
          <w:rFonts w:eastAsia="Calibri" w:cs="Tahoma"/>
          <w:szCs w:val="18"/>
        </w:rPr>
        <w:t xml:space="preserve"> </w:t>
      </w:r>
    </w:p>
    <w:p w14:paraId="02745F0F" w14:textId="77777777" w:rsidR="008233B3" w:rsidRPr="0058047D" w:rsidRDefault="008233B3" w:rsidP="008233B3">
      <w:pPr>
        <w:ind w:left="1440"/>
      </w:pPr>
    </w:p>
    <w:p w14:paraId="456F6823" w14:textId="77777777" w:rsidR="008233B3" w:rsidRPr="0058047D" w:rsidRDefault="008233B3" w:rsidP="008233B3">
      <w:pPr>
        <w:tabs>
          <w:tab w:val="left" w:pos="1440"/>
        </w:tabs>
        <w:spacing w:after="60"/>
        <w:ind w:left="720"/>
      </w:pPr>
      <w:r w:rsidRPr="0058047D">
        <w:rPr>
          <w:rFonts w:eastAsia="Calibri" w:cs="Tahoma"/>
          <w:b/>
          <w:color w:val="000000"/>
          <w:szCs w:val="18"/>
        </w:rPr>
        <w:t>Per le Società con copertura Software Assurance che scelgono di non effettuare il rinnovo</w:t>
      </w:r>
    </w:p>
    <w:p w14:paraId="5DFAEE91" w14:textId="77777777" w:rsidR="008233B3" w:rsidRPr="0058047D" w:rsidRDefault="008233B3" w:rsidP="00B21C58">
      <w:pPr>
        <w:tabs>
          <w:tab w:val="left" w:pos="1440"/>
        </w:tabs>
        <w:ind w:left="720"/>
      </w:pPr>
      <w:r w:rsidRPr="0058047D">
        <w:rPr>
          <w:rFonts w:eastAsia="Calibri" w:cs="Tahoma"/>
          <w:color w:val="000000"/>
          <w:szCs w:val="18"/>
        </w:rPr>
        <w:t xml:space="preserve">Le società titolari di contratti Enterprise Subscription </w:t>
      </w:r>
      <w:r w:rsidRPr="0058047D">
        <w:rPr>
          <w:rFonts w:cs="Tahoma"/>
          <w:bCs/>
          <w:color w:val="000000"/>
          <w:szCs w:val="18"/>
        </w:rPr>
        <w:t xml:space="preserve">e Open Value Subscription </w:t>
      </w:r>
      <w:r w:rsidRPr="0058047D">
        <w:rPr>
          <w:rFonts w:eastAsia="Calibri" w:cs="Tahoma"/>
          <w:color w:val="000000"/>
          <w:szCs w:val="18"/>
        </w:rPr>
        <w:t>che scelgono di effettuare</w:t>
      </w:r>
      <w:r w:rsidR="00B21C58">
        <w:rPr>
          <w:rFonts w:eastAsia="Calibri" w:cs="Tahoma"/>
          <w:color w:val="000000"/>
          <w:szCs w:val="18"/>
        </w:rPr>
        <w:t> </w:t>
      </w:r>
      <w:r w:rsidRPr="0058047D">
        <w:rPr>
          <w:rFonts w:eastAsia="Calibri" w:cs="Tahoma"/>
          <w:color w:val="000000"/>
          <w:szCs w:val="18"/>
        </w:rPr>
        <w:t>il</w:t>
      </w:r>
      <w:r w:rsidR="00905752">
        <w:rPr>
          <w:rFonts w:eastAsia="Calibri" w:cs="Tahoma"/>
          <w:color w:val="000000"/>
          <w:szCs w:val="18"/>
        </w:rPr>
        <w:t> </w:t>
      </w:r>
      <w:r w:rsidRPr="0058047D">
        <w:rPr>
          <w:rFonts w:eastAsia="Calibri" w:cs="Tahoma"/>
          <w:color w:val="000000"/>
          <w:szCs w:val="18"/>
        </w:rPr>
        <w:t>buy-out delle licenze per processore e le altre società che acquistano licenze perpetue ai sensi</w:t>
      </w:r>
      <w:r w:rsidR="00B21C58">
        <w:rPr>
          <w:rFonts w:eastAsia="Calibri" w:cs="Tahoma"/>
          <w:color w:val="000000"/>
          <w:szCs w:val="18"/>
        </w:rPr>
        <w:t> </w:t>
      </w:r>
      <w:r w:rsidRPr="0058047D">
        <w:rPr>
          <w:rFonts w:eastAsia="Calibri" w:cs="Tahoma"/>
          <w:color w:val="000000"/>
          <w:szCs w:val="18"/>
        </w:rPr>
        <w:t>del loro contratto e scelgono di non rinnovare la copertura Software Assurance in scadenza potranno</w:t>
      </w:r>
      <w:r w:rsidR="00B21C58">
        <w:rPr>
          <w:rFonts w:eastAsia="Calibri" w:cs="Tahoma"/>
          <w:color w:val="000000"/>
          <w:szCs w:val="18"/>
        </w:rPr>
        <w:t> </w:t>
      </w:r>
      <w:r w:rsidRPr="0058047D">
        <w:rPr>
          <w:rFonts w:eastAsia="Calibri" w:cs="Tahoma"/>
          <w:color w:val="000000"/>
          <w:szCs w:val="18"/>
        </w:rPr>
        <w:t>eseguire BizTalk Server 2010 o l</w:t>
      </w:r>
      <w:r w:rsidR="001C4212">
        <w:rPr>
          <w:rFonts w:eastAsia="Calibri" w:cs="Tahoma"/>
          <w:color w:val="000000"/>
          <w:szCs w:val="18"/>
        </w:rPr>
        <w:t>’</w:t>
      </w:r>
      <w:r w:rsidRPr="0058047D">
        <w:rPr>
          <w:rFonts w:eastAsia="Calibri" w:cs="Tahoma"/>
          <w:color w:val="000000"/>
          <w:szCs w:val="18"/>
        </w:rPr>
        <w:t>ultima versione di BizTalk Server disponibile ai sensi di tali licenze</w:t>
      </w:r>
      <w:r w:rsidR="00B21C58">
        <w:rPr>
          <w:rFonts w:eastAsia="Calibri" w:cs="Tahoma"/>
          <w:color w:val="000000"/>
          <w:szCs w:val="18"/>
        </w:rPr>
        <w:t> </w:t>
      </w:r>
      <w:r w:rsidRPr="0058047D">
        <w:rPr>
          <w:rFonts w:eastAsia="Calibri" w:cs="Tahoma"/>
          <w:color w:val="000000"/>
          <w:szCs w:val="18"/>
        </w:rPr>
        <w:t>come indicato sotto:</w:t>
      </w:r>
    </w:p>
    <w:p w14:paraId="7E9F1813" w14:textId="77777777" w:rsidR="008233B3" w:rsidRPr="0058047D" w:rsidRDefault="008233B3" w:rsidP="008233B3">
      <w:pPr>
        <w:tabs>
          <w:tab w:val="left" w:pos="1440"/>
        </w:tabs>
        <w:ind w:left="720"/>
      </w:pPr>
    </w:p>
    <w:p w14:paraId="386B8438" w14:textId="77777777" w:rsidR="008233B3" w:rsidRPr="0058047D" w:rsidRDefault="008233B3" w:rsidP="00346F4B">
      <w:pPr>
        <w:numPr>
          <w:ilvl w:val="0"/>
          <w:numId w:val="53"/>
        </w:numPr>
        <w:spacing w:after="60"/>
        <w:ind w:left="1440"/>
      </w:pPr>
      <w:r w:rsidRPr="0058047D">
        <w:rPr>
          <w:rFonts w:eastAsia="Calibri" w:cs="Tahoma"/>
          <w:b/>
          <w:color w:val="000000"/>
          <w:szCs w:val="18"/>
        </w:rPr>
        <w:t>BizTalk Server 2010 Branch:</w:t>
      </w:r>
      <w:r w:rsidRPr="0058047D">
        <w:rPr>
          <w:rFonts w:eastAsia="Calibri" w:cs="Tahoma"/>
          <w:color w:val="000000"/>
          <w:szCs w:val="18"/>
        </w:rPr>
        <w:t xml:space="preserve"> L</w:t>
      </w:r>
      <w:r w:rsidR="001C4212">
        <w:rPr>
          <w:rFonts w:eastAsia="Calibri" w:cs="Tahoma"/>
          <w:color w:val="000000"/>
          <w:szCs w:val="18"/>
        </w:rPr>
        <w:t>’</w:t>
      </w:r>
      <w:r w:rsidRPr="0058047D">
        <w:rPr>
          <w:rFonts w:eastAsia="Calibri" w:cs="Tahoma"/>
          <w:color w:val="000000"/>
          <w:szCs w:val="18"/>
        </w:rPr>
        <w:t>utilizzo continuativo di questo software è soggetto ai diritti di utilizzo del prodotto previsti dalla licenza per processore per BizTalk Server 2010 Branch; tuttavia, le società non disporranno più di Mobilità delle Licenze tramite Software Assurance.</w:t>
      </w:r>
    </w:p>
    <w:p w14:paraId="0FBC20CD" w14:textId="77777777" w:rsidR="008233B3" w:rsidRPr="0058047D" w:rsidRDefault="00AF7294" w:rsidP="00346F4B">
      <w:pPr>
        <w:numPr>
          <w:ilvl w:val="0"/>
          <w:numId w:val="53"/>
        </w:numPr>
        <w:tabs>
          <w:tab w:val="left" w:pos="1800"/>
        </w:tabs>
        <w:spacing w:after="60"/>
        <w:ind w:left="1440"/>
      </w:pPr>
      <w:r w:rsidRPr="0058047D">
        <w:rPr>
          <w:rFonts w:eastAsia="Calibri" w:cs="Tahoma"/>
          <w:b/>
          <w:color w:val="000000"/>
          <w:szCs w:val="18"/>
        </w:rPr>
        <w:t xml:space="preserve">Ultima versione di BizTalk Server Branch: </w:t>
      </w:r>
      <w:r w:rsidRPr="0058047D">
        <w:rPr>
          <w:rFonts w:eastAsia="Calibri" w:cs="Tahoma"/>
          <w:color w:val="000000"/>
          <w:szCs w:val="18"/>
        </w:rPr>
        <w:t>l</w:t>
      </w:r>
      <w:r w:rsidR="001C4212">
        <w:rPr>
          <w:rFonts w:eastAsia="Calibri" w:cs="Tahoma"/>
          <w:color w:val="000000"/>
          <w:szCs w:val="18"/>
        </w:rPr>
        <w:t>’</w:t>
      </w:r>
      <w:r w:rsidRPr="0058047D">
        <w:rPr>
          <w:rFonts w:eastAsia="Calibri" w:cs="Tahoma"/>
          <w:color w:val="000000"/>
          <w:szCs w:val="18"/>
        </w:rPr>
        <w:t xml:space="preserve">utilizzo di tale versione del software è soggetto ai diritti di utilizzo del prodotto previsti dalla licenza per processore per BizTalk Server 2010 Branch, tuttavia: </w:t>
      </w:r>
    </w:p>
    <w:p w14:paraId="3F4324C0" w14:textId="77777777" w:rsidR="008233B3" w:rsidRPr="0058047D" w:rsidRDefault="008233B3" w:rsidP="00346F4B">
      <w:pPr>
        <w:numPr>
          <w:ilvl w:val="1"/>
          <w:numId w:val="53"/>
        </w:numPr>
        <w:tabs>
          <w:tab w:val="left" w:pos="2160"/>
        </w:tabs>
        <w:spacing w:after="60"/>
        <w:ind w:left="2160"/>
      </w:pPr>
      <w:r w:rsidRPr="0058047D">
        <w:rPr>
          <w:rFonts w:eastAsia="Calibri" w:cs="Tahoma"/>
          <w:color w:val="000000"/>
          <w:szCs w:val="18"/>
        </w:rPr>
        <w:t>le società non disporranno più della Mobilità delle Licenze all</w:t>
      </w:r>
      <w:r w:rsidR="001C4212">
        <w:rPr>
          <w:rFonts w:eastAsia="Calibri" w:cs="Tahoma"/>
          <w:color w:val="000000"/>
          <w:szCs w:val="18"/>
        </w:rPr>
        <w:t>’</w:t>
      </w:r>
      <w:r w:rsidRPr="0058047D">
        <w:rPr>
          <w:rFonts w:eastAsia="Calibri" w:cs="Tahoma"/>
          <w:color w:val="000000"/>
          <w:szCs w:val="18"/>
        </w:rPr>
        <w:t xml:space="preserve">interno di Server Farm o della Mobilità delle Licenze tramite Software Assurance e </w:t>
      </w:r>
    </w:p>
    <w:p w14:paraId="0DE5B025" w14:textId="77777777" w:rsidR="008233B3" w:rsidRPr="0058047D" w:rsidRDefault="008233B3" w:rsidP="00346F4B">
      <w:pPr>
        <w:numPr>
          <w:ilvl w:val="1"/>
          <w:numId w:val="53"/>
        </w:numPr>
        <w:tabs>
          <w:tab w:val="left" w:pos="2160"/>
          <w:tab w:val="left" w:pos="2970"/>
        </w:tabs>
        <w:spacing w:after="60"/>
        <w:ind w:left="2160"/>
      </w:pPr>
      <w:r w:rsidRPr="0058047D">
        <w:rPr>
          <w:rFonts w:eastAsia="Calibri" w:cs="Tahoma"/>
          <w:color w:val="000000"/>
          <w:szCs w:val="18"/>
        </w:rPr>
        <w:t>l</w:t>
      </w:r>
      <w:r w:rsidR="001C4212">
        <w:rPr>
          <w:rFonts w:eastAsia="Calibri" w:cs="Tahoma"/>
          <w:color w:val="000000"/>
          <w:szCs w:val="18"/>
        </w:rPr>
        <w:t>’</w:t>
      </w:r>
      <w:r w:rsidRPr="0058047D">
        <w:rPr>
          <w:rFonts w:eastAsia="Calibri" w:cs="Tahoma"/>
          <w:color w:val="000000"/>
          <w:szCs w:val="18"/>
        </w:rPr>
        <w:t>eventuale riassegnazione di licenze è soggetta ai limiti che seguono relativi alla loro “equivalenza di licenze core”. L</w:t>
      </w:r>
      <w:r w:rsidR="001C4212">
        <w:rPr>
          <w:rFonts w:eastAsia="Calibri" w:cs="Tahoma"/>
          <w:color w:val="000000"/>
          <w:szCs w:val="18"/>
        </w:rPr>
        <w:t>’</w:t>
      </w:r>
      <w:r w:rsidRPr="0058047D">
        <w:rPr>
          <w:rFonts w:eastAsia="Calibri" w:cs="Tahoma"/>
          <w:color w:val="000000"/>
          <w:szCs w:val="18"/>
        </w:rPr>
        <w:t xml:space="preserve">equivalenza di licenze core è determinata come di seguito riportato. </w:t>
      </w:r>
    </w:p>
    <w:p w14:paraId="3FA33F7A" w14:textId="77777777" w:rsidR="008233B3" w:rsidRPr="0058047D" w:rsidRDefault="008233B3" w:rsidP="00346F4B">
      <w:pPr>
        <w:numPr>
          <w:ilvl w:val="2"/>
          <w:numId w:val="53"/>
        </w:numPr>
        <w:tabs>
          <w:tab w:val="left" w:pos="2520"/>
        </w:tabs>
        <w:spacing w:after="60"/>
        <w:ind w:left="2520"/>
      </w:pPr>
      <w:r w:rsidRPr="0058047D">
        <w:rPr>
          <w:rFonts w:eastAsia="Calibri" w:cs="Tahoma"/>
          <w:color w:val="000000"/>
          <w:szCs w:val="18"/>
        </w:rPr>
        <w:t>Per ogni licenza qualificante ceduta al server, l</w:t>
      </w:r>
      <w:r w:rsidR="001C4212">
        <w:rPr>
          <w:rFonts w:eastAsia="Calibri" w:cs="Tahoma"/>
          <w:color w:val="000000"/>
          <w:szCs w:val="18"/>
        </w:rPr>
        <w:t>’</w:t>
      </w:r>
      <w:r w:rsidRPr="0058047D">
        <w:rPr>
          <w:rFonts w:eastAsia="Calibri" w:cs="Tahoma"/>
          <w:color w:val="000000"/>
          <w:szCs w:val="18"/>
        </w:rPr>
        <w:t xml:space="preserve">equivalenza di licenze core è il numero maggiore tra: </w:t>
      </w:r>
    </w:p>
    <w:p w14:paraId="74C70276" w14:textId="77777777" w:rsidR="008233B3" w:rsidRPr="0058047D" w:rsidRDefault="008233B3" w:rsidP="00346F4B">
      <w:pPr>
        <w:numPr>
          <w:ilvl w:val="4"/>
          <w:numId w:val="126"/>
        </w:numPr>
        <w:tabs>
          <w:tab w:val="left" w:pos="2880"/>
        </w:tabs>
        <w:spacing w:after="60"/>
        <w:ind w:left="2880"/>
      </w:pPr>
      <w:r w:rsidRPr="0058047D">
        <w:rPr>
          <w:rFonts w:eastAsia="Calibri" w:cs="Tahoma"/>
          <w:color w:val="000000"/>
          <w:szCs w:val="18"/>
        </w:rPr>
        <w:t xml:space="preserve">quattro core per licenza per processore O </w:t>
      </w:r>
    </w:p>
    <w:p w14:paraId="11B64C3A" w14:textId="77777777" w:rsidR="008233B3" w:rsidRPr="0058047D" w:rsidRDefault="008233B3" w:rsidP="00346F4B">
      <w:pPr>
        <w:numPr>
          <w:ilvl w:val="4"/>
          <w:numId w:val="126"/>
        </w:numPr>
        <w:tabs>
          <w:tab w:val="left" w:pos="2880"/>
        </w:tabs>
        <w:spacing w:after="60"/>
        <w:ind w:left="2880"/>
      </w:pPr>
      <w:r w:rsidRPr="0058047D">
        <w:rPr>
          <w:rFonts w:eastAsia="Calibri" w:cs="Tahoma"/>
          <w:color w:val="000000"/>
          <w:szCs w:val="18"/>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1C4212">
        <w:rPr>
          <w:rFonts w:eastAsia="Calibri" w:cs="Tahoma"/>
          <w:color w:val="000000"/>
          <w:szCs w:val="18"/>
        </w:rPr>
        <w:t>’</w:t>
      </w:r>
      <w:r w:rsidRPr="0058047D">
        <w:rPr>
          <w:rFonts w:eastAsia="Calibri" w:cs="Tahoma"/>
          <w:color w:val="000000"/>
          <w:szCs w:val="18"/>
        </w:rPr>
        <w:t xml:space="preserve">hardware fisico che supporta tale software appena prima della scadenza di Software Assurance utilizzando lo strumento MAP di Microsoft o un software equivalente). </w:t>
      </w:r>
    </w:p>
    <w:p w14:paraId="1996FB27" w14:textId="77777777" w:rsidR="008233B3" w:rsidRPr="0058047D" w:rsidRDefault="008233B3" w:rsidP="00346F4B">
      <w:pPr>
        <w:numPr>
          <w:ilvl w:val="1"/>
          <w:numId w:val="128"/>
        </w:numPr>
        <w:tabs>
          <w:tab w:val="left" w:pos="1800"/>
        </w:tabs>
        <w:spacing w:after="60"/>
      </w:pPr>
      <w:r w:rsidRPr="0058047D">
        <w:rPr>
          <w:rFonts w:eastAsia="Calibri" w:cs="Tahoma"/>
          <w:color w:val="000000"/>
          <w:szCs w:val="18"/>
        </w:rPr>
        <w:t xml:space="preserve">Le società </w:t>
      </w:r>
      <w:r w:rsidRPr="0058047D">
        <w:rPr>
          <w:rFonts w:eastAsia="Calibri" w:cs="Tahoma"/>
          <w:szCs w:val="18"/>
        </w:rPr>
        <w:t>potranno riassegnare le licenze a un altro server. Tuttavia, qualora la società riassegni una licenza a un altro server, dovrà attenersi ai diritti sull</w:t>
      </w:r>
      <w:r w:rsidR="001C4212">
        <w:rPr>
          <w:rFonts w:eastAsia="Calibri" w:cs="Tahoma"/>
          <w:szCs w:val="18"/>
        </w:rPr>
        <w:t>’</w:t>
      </w:r>
      <w:r w:rsidRPr="0058047D">
        <w:rPr>
          <w:rFonts w:eastAsia="Calibri" w:cs="Tahoma"/>
          <w:szCs w:val="18"/>
        </w:rPr>
        <w:t>utilizzo della versione del software in uso. Quando cede licenze core a server nei modi descritti, la società potrà combinare l</w:t>
      </w:r>
      <w:r w:rsidR="001C4212">
        <w:rPr>
          <w:rFonts w:eastAsia="Calibri" w:cs="Tahoma"/>
          <w:szCs w:val="18"/>
        </w:rPr>
        <w:t>’</w:t>
      </w:r>
      <w:r w:rsidRPr="0058047D">
        <w:rPr>
          <w:rFonts w:eastAsia="Calibri" w:cs="Tahoma"/>
          <w:szCs w:val="18"/>
        </w:rPr>
        <w:t>equivalenza core delle licenze esistenti con le licenze core per BizTalk Server aggiuntive.</w:t>
      </w:r>
    </w:p>
    <w:p w14:paraId="502DD5D8" w14:textId="77777777" w:rsidR="008233B3" w:rsidRPr="0058047D" w:rsidRDefault="008233B3" w:rsidP="00346F4B">
      <w:pPr>
        <w:numPr>
          <w:ilvl w:val="1"/>
          <w:numId w:val="128"/>
        </w:numPr>
        <w:tabs>
          <w:tab w:val="left" w:pos="1800"/>
          <w:tab w:val="left" w:pos="2970"/>
        </w:tabs>
        <w:spacing w:after="60"/>
      </w:pPr>
      <w:r w:rsidRPr="0058047D">
        <w:rPr>
          <w:rFonts w:eastAsia="Calibri" w:cs="Tahoma"/>
          <w:color w:val="000000"/>
          <w:szCs w:val="18"/>
        </w:rPr>
        <w:t>L</w:t>
      </w:r>
      <w:r w:rsidR="001C4212">
        <w:rPr>
          <w:rFonts w:eastAsia="Calibri" w:cs="Tahoma"/>
          <w:color w:val="000000"/>
          <w:szCs w:val="18"/>
        </w:rPr>
        <w:t>’</w:t>
      </w:r>
      <w:r w:rsidRPr="0058047D">
        <w:rPr>
          <w:rFonts w:eastAsia="Calibri" w:cs="Tahoma"/>
          <w:color w:val="000000"/>
          <w:szCs w:val="18"/>
        </w:rPr>
        <w:t>equivalenza di licenze core stimata delle società non implica che esse possano cedere una licenza singola per processore a core attraverso due o più processori.</w:t>
      </w:r>
    </w:p>
    <w:p w14:paraId="09718EAC" w14:textId="77777777" w:rsidR="008233B3" w:rsidRPr="0058047D" w:rsidRDefault="008233B3" w:rsidP="008233B3">
      <w:pPr>
        <w:ind w:left="1440"/>
      </w:pPr>
    </w:p>
    <w:p w14:paraId="647B0FBC" w14:textId="77777777" w:rsidR="008233B3" w:rsidRPr="0058047D" w:rsidRDefault="008233B3" w:rsidP="008233B3"/>
    <w:p w14:paraId="6017826D" w14:textId="77777777" w:rsidR="008233B3" w:rsidRPr="0058047D" w:rsidRDefault="00A560B6" w:rsidP="008233B3">
      <w:pPr>
        <w:pStyle w:val="Heading3"/>
      </w:pPr>
      <w:bookmarkStart w:id="1132" w:name="_36_BizTalk_Server®"/>
      <w:bookmarkStart w:id="1133" w:name="_Toc371663689"/>
      <w:bookmarkStart w:id="1134" w:name="_Toc343596567"/>
      <w:bookmarkEnd w:id="1132"/>
      <w:r w:rsidRPr="0058047D">
        <w:rPr>
          <w:rFonts w:ascii="Tahoma" w:hAnsi="Tahoma"/>
          <w:caps/>
          <w:color w:val="F66400"/>
          <w:sz w:val="22"/>
          <w:vertAlign w:val="superscript"/>
        </w:rPr>
        <w:t xml:space="preserve">36 </w:t>
      </w:r>
      <w:r w:rsidRPr="0058047D">
        <w:rPr>
          <w:rFonts w:ascii="Tahoma" w:hAnsi="Tahoma"/>
          <w:color w:val="F66400"/>
          <w:sz w:val="22"/>
        </w:rPr>
        <w:t>BizTalk Server</w:t>
      </w:r>
      <w:r w:rsidR="00E53A46" w:rsidRPr="0058047D">
        <w:rPr>
          <w:rFonts w:ascii="Tahoma" w:hAnsi="Tahoma"/>
          <w:color w:val="F66400"/>
          <w:sz w:val="22"/>
          <w:vertAlign w:val="superscript"/>
        </w:rPr>
        <w:t>®</w:t>
      </w:r>
      <w:r w:rsidRPr="0058047D">
        <w:rPr>
          <w:rFonts w:ascii="Tahoma" w:hAnsi="Tahoma"/>
          <w:color w:val="F66400"/>
          <w:sz w:val="22"/>
        </w:rPr>
        <w:t xml:space="preserve"> 2013 Enterprise</w:t>
      </w:r>
      <w:bookmarkEnd w:id="1133"/>
      <w:r w:rsidRPr="0058047D">
        <w:rPr>
          <w:rFonts w:ascii="Tahoma" w:hAnsi="Tahoma"/>
          <w:color w:val="F66400"/>
          <w:sz w:val="22"/>
        </w:rPr>
        <w:t xml:space="preserve"> </w:t>
      </w:r>
      <w:bookmarkEnd w:id="1134"/>
    </w:p>
    <w:p w14:paraId="00F3755B" w14:textId="77777777" w:rsidR="008233B3" w:rsidRPr="0058047D" w:rsidRDefault="008233B3" w:rsidP="008233B3">
      <w:pPr>
        <w:ind w:left="720"/>
      </w:pPr>
    </w:p>
    <w:p w14:paraId="16E9CACD" w14:textId="77777777" w:rsidR="008233B3" w:rsidRPr="0058047D" w:rsidRDefault="008233B3" w:rsidP="008233B3">
      <w:pPr>
        <w:spacing w:after="60"/>
        <w:ind w:left="720"/>
      </w:pPr>
      <w:r w:rsidRPr="0058047D">
        <w:rPr>
          <w:rFonts w:eastAsia="Calibri" w:cs="Tahoma"/>
          <w:b/>
          <w:color w:val="000000"/>
          <w:szCs w:val="18"/>
        </w:rPr>
        <w:t>Concessioni di Licenza Associate alla Variazione del Modello di Licenza</w:t>
      </w:r>
    </w:p>
    <w:p w14:paraId="2215CA6E" w14:textId="77777777" w:rsidR="008233B3" w:rsidRPr="0058047D" w:rsidRDefault="008233B3" w:rsidP="008233B3">
      <w:pPr>
        <w:ind w:left="720"/>
      </w:pPr>
      <w:r w:rsidRPr="0058047D">
        <w:rPr>
          <w:rFonts w:eastAsia="Calibri" w:cs="Tahoma"/>
          <w:color w:val="000000"/>
          <w:szCs w:val="18"/>
        </w:rPr>
        <w:t>BizTalk Server 2010 sarà l</w:t>
      </w:r>
      <w:r w:rsidR="001C4212">
        <w:rPr>
          <w:rFonts w:eastAsia="Calibri" w:cs="Tahoma"/>
          <w:color w:val="000000"/>
          <w:szCs w:val="18"/>
        </w:rPr>
        <w:t>’</w:t>
      </w:r>
      <w:r w:rsidRPr="0058047D">
        <w:rPr>
          <w:rFonts w:eastAsia="Calibri" w:cs="Tahoma"/>
          <w:color w:val="000000"/>
          <w:szCs w:val="18"/>
        </w:rPr>
        <w:t>ultima versione di BizTalk Server concessa in licenza ai sensi del modello di licenza per processore.</w:t>
      </w:r>
      <w:r w:rsidR="00E34ED3" w:rsidRPr="0058047D">
        <w:rPr>
          <w:rFonts w:eastAsia="Calibri" w:cs="Tahoma"/>
          <w:color w:val="000000"/>
          <w:szCs w:val="18"/>
        </w:rPr>
        <w:t xml:space="preserve"> </w:t>
      </w:r>
      <w:r w:rsidRPr="0058047D">
        <w:rPr>
          <w:rFonts w:eastAsia="Calibri" w:cs="Tahoma"/>
          <w:color w:val="000000"/>
          <w:szCs w:val="18"/>
        </w:rPr>
        <w:t>In via eccezionale, alle società con Contratti Multilicenza e copertura Software Assurance attiva per le licenze per processore per BizTalk Server 2010 Enterprise alla data di pubblicazione della presente Lista dei Prodotti (“licenze qualificanti”) vengono offerte le opzioni che seguono</w:t>
      </w:r>
      <w:r w:rsidRPr="0058047D">
        <w:rPr>
          <w:rFonts w:cs="Tahoma"/>
          <w:bCs/>
          <w:color w:val="000000"/>
          <w:szCs w:val="18"/>
        </w:rPr>
        <w:t>.</w:t>
      </w:r>
    </w:p>
    <w:p w14:paraId="3903A688" w14:textId="77777777" w:rsidR="008233B3" w:rsidRPr="0058047D" w:rsidRDefault="008233B3" w:rsidP="008233B3">
      <w:pPr>
        <w:ind w:left="720"/>
      </w:pPr>
    </w:p>
    <w:p w14:paraId="5C1872F4" w14:textId="77777777" w:rsidR="008233B3" w:rsidRPr="0058047D" w:rsidRDefault="008233B3" w:rsidP="008233B3">
      <w:pPr>
        <w:spacing w:after="60"/>
        <w:ind w:left="720"/>
      </w:pPr>
      <w:r w:rsidRPr="0058047D">
        <w:rPr>
          <w:rFonts w:eastAsia="Calibri" w:cs="Tahoma"/>
          <w:b/>
          <w:color w:val="000000"/>
          <w:szCs w:val="18"/>
        </w:rPr>
        <w:t>Periodo di Validità Corrente</w:t>
      </w:r>
    </w:p>
    <w:p w14:paraId="30FEDDFF" w14:textId="77777777" w:rsidR="008233B3" w:rsidRPr="0058047D" w:rsidRDefault="008233B3" w:rsidP="008233B3">
      <w:pPr>
        <w:ind w:left="720"/>
      </w:pPr>
      <w:r w:rsidRPr="0058047D">
        <w:rPr>
          <w:rFonts w:eastAsia="Calibri" w:cs="Tahoma"/>
          <w:color w:val="000000"/>
          <w:szCs w:val="18"/>
        </w:rPr>
        <w:t>Durante il periodo di validità corrente della copertura Software Assurance le società (incluse le società titolari di contratti “subscription”) potranno, ai sensi di una licenza qualificante, effettuare l</w:t>
      </w:r>
      <w:r w:rsidR="001C4212">
        <w:rPr>
          <w:rFonts w:eastAsia="Calibri" w:cs="Tahoma"/>
          <w:color w:val="000000"/>
          <w:szCs w:val="18"/>
        </w:rPr>
        <w:t>’</w:t>
      </w:r>
      <w:r w:rsidRPr="0058047D">
        <w:rPr>
          <w:rFonts w:eastAsia="Calibri" w:cs="Tahoma"/>
          <w:color w:val="000000"/>
          <w:szCs w:val="18"/>
        </w:rPr>
        <w:t>aggiornamento all</w:t>
      </w:r>
      <w:r w:rsidR="001C4212">
        <w:rPr>
          <w:rFonts w:eastAsia="Calibri" w:cs="Tahoma"/>
          <w:color w:val="000000"/>
          <w:szCs w:val="18"/>
        </w:rPr>
        <w:t>’</w:t>
      </w:r>
      <w:r w:rsidRPr="0058047D">
        <w:rPr>
          <w:rFonts w:eastAsia="Calibri" w:cs="Tahoma"/>
          <w:color w:val="000000"/>
          <w:szCs w:val="18"/>
        </w:rPr>
        <w:t xml:space="preserve">ultima versione del software BizTalk Server Enterprise e utilizzarlo al posto di BizTalk Server 2010 Enterprise in conformità ai diritti di utilizzo del prodotto previsti dalla licenza per processore per BizTalk Server 2010 Enterprise (come indicato nei Diritti di Utilizzo del Prodotto del mese di gennaio 2013). </w:t>
      </w:r>
    </w:p>
    <w:p w14:paraId="3C9753EE" w14:textId="77777777" w:rsidR="008233B3" w:rsidRPr="0058047D" w:rsidRDefault="008233B3" w:rsidP="008233B3">
      <w:pPr>
        <w:ind w:left="720"/>
      </w:pPr>
    </w:p>
    <w:p w14:paraId="147BB891" w14:textId="77777777" w:rsidR="008233B3" w:rsidRPr="0058047D" w:rsidRDefault="008233B3" w:rsidP="008233B3">
      <w:pPr>
        <w:spacing w:after="60"/>
        <w:ind w:left="720"/>
      </w:pPr>
      <w:r w:rsidRPr="0058047D">
        <w:rPr>
          <w:rFonts w:eastAsia="Calibri" w:cs="Tahoma"/>
          <w:b/>
          <w:color w:val="000000"/>
          <w:szCs w:val="18"/>
        </w:rPr>
        <w:t>Primo Periodo di Rinnovo</w:t>
      </w:r>
    </w:p>
    <w:p w14:paraId="696443C0" w14:textId="77777777" w:rsidR="008233B3" w:rsidRPr="00905752" w:rsidRDefault="008233B3" w:rsidP="008233B3">
      <w:pPr>
        <w:tabs>
          <w:tab w:val="left" w:pos="1800"/>
        </w:tabs>
        <w:spacing w:after="60"/>
        <w:ind w:left="720"/>
        <w:rPr>
          <w:spacing w:val="-4"/>
        </w:rPr>
      </w:pPr>
      <w:r w:rsidRPr="00905752">
        <w:rPr>
          <w:rFonts w:eastAsia="Calibri" w:cs="Tahoma"/>
          <w:color w:val="000000"/>
          <w:spacing w:val="-4"/>
          <w:szCs w:val="18"/>
        </w:rPr>
        <w:t xml:space="preserve">In occasione del primo rinnovo di Software Assurance in data 1 aprile 2013 o successiva, per ogni server che una società ha ricevuto validamente in licenza in conformità ai diritti di utilizzo del prodotto previsti dalla licenza per processore BizTalk Server 2010, la società potrà acquistare la copertura Software Assurance per le licenze core per BizTalk Server Enterprise senza dovere acquistare le licenze core sottostanti per un numero di licenze core pari al numero di licenze per processore qualificanti cedute al server moltiplicato per il maggiore tra: </w:t>
      </w:r>
    </w:p>
    <w:p w14:paraId="46881BFA" w14:textId="77777777" w:rsidR="008233B3" w:rsidRPr="0058047D" w:rsidRDefault="008233B3" w:rsidP="00346F4B">
      <w:pPr>
        <w:numPr>
          <w:ilvl w:val="3"/>
          <w:numId w:val="93"/>
        </w:numPr>
        <w:tabs>
          <w:tab w:val="left" w:pos="2160"/>
        </w:tabs>
        <w:spacing w:after="60"/>
        <w:ind w:left="2160"/>
      </w:pPr>
      <w:r w:rsidRPr="0058047D">
        <w:rPr>
          <w:rFonts w:eastAsia="Calibri" w:cs="Tahoma"/>
          <w:color w:val="000000"/>
          <w:szCs w:val="18"/>
        </w:rPr>
        <w:t>quattro O</w:t>
      </w:r>
    </w:p>
    <w:p w14:paraId="6EA62FFE" w14:textId="77777777" w:rsidR="008233B3" w:rsidRPr="00905752" w:rsidRDefault="008233B3" w:rsidP="00346F4B">
      <w:pPr>
        <w:numPr>
          <w:ilvl w:val="3"/>
          <w:numId w:val="93"/>
        </w:numPr>
        <w:tabs>
          <w:tab w:val="left" w:pos="2160"/>
        </w:tabs>
        <w:spacing w:after="60"/>
        <w:ind w:left="2160"/>
        <w:rPr>
          <w:spacing w:val="-4"/>
        </w:rPr>
      </w:pPr>
      <w:r w:rsidRPr="00905752">
        <w:rPr>
          <w:rFonts w:eastAsia="Calibri" w:cs="Tahoma"/>
          <w:color w:val="000000"/>
          <w:spacing w:val="-4"/>
          <w:szCs w:val="18"/>
        </w:rPr>
        <w:t>il numero effettivo di core per processore fisico moltiplicato per il fattore core appropriato.</w:t>
      </w:r>
      <w:r w:rsidR="00E34ED3" w:rsidRPr="00905752">
        <w:rPr>
          <w:rFonts w:eastAsia="Calibri" w:cs="Tahoma"/>
          <w:color w:val="000000"/>
          <w:spacing w:val="-4"/>
          <w:szCs w:val="18"/>
        </w:rPr>
        <w:t xml:space="preserve"> </w:t>
      </w:r>
      <w:r w:rsidRPr="00905752">
        <w:rPr>
          <w:rFonts w:eastAsia="Calibri" w:cs="Tahoma"/>
          <w:color w:val="000000"/>
          <w:spacing w:val="-4"/>
          <w:szCs w:val="18"/>
        </w:rPr>
        <w:t>(Nei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1C4212">
        <w:rPr>
          <w:rFonts w:eastAsia="Calibri" w:cs="Tahoma"/>
          <w:color w:val="000000"/>
          <w:spacing w:val="-4"/>
          <w:szCs w:val="18"/>
        </w:rPr>
        <w:t>’</w:t>
      </w:r>
      <w:r w:rsidRPr="00905752">
        <w:rPr>
          <w:rFonts w:eastAsia="Calibri" w:cs="Tahoma"/>
          <w:color w:val="000000"/>
          <w:spacing w:val="-4"/>
          <w:szCs w:val="18"/>
        </w:rPr>
        <w:t xml:space="preserve">hardware fisico che supporta tale software appena prima del rinnovo di Software Assurance utilizzando lo strumento MAP di Microsoft o un software equivalente). </w:t>
      </w:r>
    </w:p>
    <w:p w14:paraId="788C0BDF" w14:textId="77777777" w:rsidR="008233B3" w:rsidRPr="0058047D" w:rsidRDefault="008233B3" w:rsidP="008233B3">
      <w:pPr>
        <w:spacing w:after="60"/>
        <w:ind w:left="720"/>
      </w:pPr>
      <w:r w:rsidRPr="0058047D">
        <w:rPr>
          <w:rFonts w:eastAsia="Calibri" w:cs="Tahoma"/>
          <w:color w:val="000000"/>
          <w:szCs w:val="18"/>
        </w:rPr>
        <w:t xml:space="preserve">Le licenze per processore delle società non sono più valide se si acquista la copertura Software Assurance per licenze core ai sensi della presente offerta. </w:t>
      </w:r>
      <w:r w:rsidRPr="0058047D">
        <w:rPr>
          <w:rFonts w:eastAsia="Calibri" w:cs="Tahoma"/>
          <w:szCs w:val="18"/>
        </w:rPr>
        <w:t>L</w:t>
      </w:r>
      <w:r w:rsidR="001C4212">
        <w:rPr>
          <w:rFonts w:eastAsia="Calibri" w:cs="Tahoma"/>
          <w:szCs w:val="18"/>
        </w:rPr>
        <w:t>’</w:t>
      </w:r>
      <w:r w:rsidRPr="0058047D">
        <w:rPr>
          <w:rFonts w:eastAsia="Calibri" w:cs="Tahoma"/>
          <w:szCs w:val="18"/>
        </w:rPr>
        <w:t>opzione di acquistare Software Assurance per le licenze core per BizTalk Server non è applicabile al rinnovo della copertura ai sensi dei programmi di sottoscrizione.</w:t>
      </w:r>
      <w:r w:rsidR="00E34ED3" w:rsidRPr="0058047D">
        <w:rPr>
          <w:rFonts w:eastAsia="Calibri" w:cs="Tahoma"/>
          <w:szCs w:val="18"/>
        </w:rPr>
        <w:t xml:space="preserve"> </w:t>
      </w:r>
    </w:p>
    <w:p w14:paraId="2FB059BB" w14:textId="77777777" w:rsidR="008233B3" w:rsidRPr="0058047D" w:rsidRDefault="008233B3" w:rsidP="008233B3">
      <w:pPr>
        <w:ind w:left="1440"/>
      </w:pPr>
    </w:p>
    <w:p w14:paraId="1B6F2E2E" w14:textId="77777777" w:rsidR="008233B3" w:rsidRPr="0058047D" w:rsidRDefault="008233B3" w:rsidP="008233B3">
      <w:pPr>
        <w:tabs>
          <w:tab w:val="left" w:pos="1440"/>
        </w:tabs>
        <w:spacing w:after="60"/>
        <w:ind w:left="720"/>
      </w:pPr>
      <w:r w:rsidRPr="0058047D">
        <w:rPr>
          <w:rFonts w:eastAsia="Calibri" w:cs="Tahoma"/>
          <w:b/>
          <w:color w:val="000000"/>
          <w:szCs w:val="18"/>
        </w:rPr>
        <w:t>Per le Società con copertura Software Assurance che scelgono di non effettuare il rinnovo</w:t>
      </w:r>
    </w:p>
    <w:p w14:paraId="134B6CFC" w14:textId="77777777" w:rsidR="008233B3" w:rsidRPr="0058047D" w:rsidRDefault="008233B3" w:rsidP="008233B3">
      <w:pPr>
        <w:tabs>
          <w:tab w:val="left" w:pos="1440"/>
        </w:tabs>
        <w:ind w:left="720"/>
      </w:pPr>
      <w:r w:rsidRPr="0058047D">
        <w:rPr>
          <w:rFonts w:eastAsia="Calibri" w:cs="Tahoma"/>
          <w:color w:val="000000"/>
          <w:szCs w:val="18"/>
        </w:rPr>
        <w:t xml:space="preserve">Le società titolari di contratti Enterprise Subscription </w:t>
      </w:r>
      <w:r w:rsidRPr="0058047D">
        <w:rPr>
          <w:rFonts w:cs="Tahoma"/>
          <w:bCs/>
          <w:color w:val="000000"/>
          <w:szCs w:val="18"/>
        </w:rPr>
        <w:t xml:space="preserve">e Open Value Subscription </w:t>
      </w:r>
      <w:r w:rsidRPr="0058047D">
        <w:rPr>
          <w:rFonts w:eastAsia="Calibri" w:cs="Tahoma"/>
          <w:color w:val="000000"/>
          <w:szCs w:val="18"/>
        </w:rPr>
        <w:t>che scelgono di effettuare il</w:t>
      </w:r>
      <w:r w:rsidR="00905752">
        <w:rPr>
          <w:rFonts w:eastAsia="Calibri" w:cs="Tahoma"/>
          <w:color w:val="000000"/>
          <w:szCs w:val="18"/>
        </w:rPr>
        <w:t> </w:t>
      </w:r>
      <w:r w:rsidRPr="0058047D">
        <w:rPr>
          <w:rFonts w:eastAsia="Calibri" w:cs="Tahoma"/>
          <w:color w:val="000000"/>
          <w:szCs w:val="18"/>
        </w:rPr>
        <w:t>buy-out delle licenze per processore e le altre società che acquistano licenze perpetue ai sensi del loro</w:t>
      </w:r>
      <w:r w:rsidR="00905752">
        <w:rPr>
          <w:rFonts w:eastAsia="Calibri" w:cs="Tahoma"/>
          <w:color w:val="000000"/>
          <w:szCs w:val="18"/>
        </w:rPr>
        <w:t> </w:t>
      </w:r>
      <w:r w:rsidRPr="0058047D">
        <w:rPr>
          <w:rFonts w:eastAsia="Calibri" w:cs="Tahoma"/>
          <w:color w:val="000000"/>
          <w:szCs w:val="18"/>
        </w:rPr>
        <w:t>contratto e scelgono di non rinnovare la copertura Software Assurance in scadenza potranno eseguire BizTalk Server 2010 o l</w:t>
      </w:r>
      <w:r w:rsidR="001C4212">
        <w:rPr>
          <w:rFonts w:eastAsia="Calibri" w:cs="Tahoma"/>
          <w:color w:val="000000"/>
          <w:szCs w:val="18"/>
        </w:rPr>
        <w:t>’</w:t>
      </w:r>
      <w:r w:rsidRPr="0058047D">
        <w:rPr>
          <w:rFonts w:eastAsia="Calibri" w:cs="Tahoma"/>
          <w:color w:val="000000"/>
          <w:szCs w:val="18"/>
        </w:rPr>
        <w:t>ultima versione di BizTalk Server disponibile ai sensi di tali licenze come indicato</w:t>
      </w:r>
      <w:r w:rsidR="00905752">
        <w:rPr>
          <w:rFonts w:eastAsia="Calibri" w:cs="Tahoma"/>
          <w:color w:val="000000"/>
          <w:szCs w:val="18"/>
        </w:rPr>
        <w:t> </w:t>
      </w:r>
      <w:r w:rsidRPr="0058047D">
        <w:rPr>
          <w:rFonts w:eastAsia="Calibri" w:cs="Tahoma"/>
          <w:color w:val="000000"/>
          <w:szCs w:val="18"/>
        </w:rPr>
        <w:t>sotto:</w:t>
      </w:r>
    </w:p>
    <w:p w14:paraId="4FA0C3F5" w14:textId="77777777" w:rsidR="008233B3" w:rsidRPr="0058047D" w:rsidRDefault="008233B3" w:rsidP="008233B3">
      <w:pPr>
        <w:tabs>
          <w:tab w:val="left" w:pos="1440"/>
        </w:tabs>
        <w:ind w:left="720"/>
      </w:pPr>
    </w:p>
    <w:p w14:paraId="658A619F" w14:textId="77777777" w:rsidR="008233B3" w:rsidRPr="0058047D" w:rsidRDefault="008233B3" w:rsidP="00346F4B">
      <w:pPr>
        <w:numPr>
          <w:ilvl w:val="0"/>
          <w:numId w:val="53"/>
        </w:numPr>
        <w:spacing w:after="60"/>
        <w:ind w:left="1440"/>
      </w:pPr>
      <w:r w:rsidRPr="0058047D">
        <w:rPr>
          <w:rFonts w:eastAsia="Calibri" w:cs="Tahoma"/>
          <w:b/>
          <w:color w:val="000000"/>
          <w:szCs w:val="18"/>
        </w:rPr>
        <w:t>BizTalk Server 2010 Enterprise:</w:t>
      </w:r>
      <w:r w:rsidRPr="0058047D">
        <w:rPr>
          <w:rFonts w:eastAsia="Calibri" w:cs="Tahoma"/>
          <w:color w:val="000000"/>
          <w:szCs w:val="18"/>
        </w:rPr>
        <w:t xml:space="preserve"> L</w:t>
      </w:r>
      <w:r w:rsidR="001C4212">
        <w:rPr>
          <w:rFonts w:eastAsia="Calibri" w:cs="Tahoma"/>
          <w:color w:val="000000"/>
          <w:szCs w:val="18"/>
        </w:rPr>
        <w:t>’</w:t>
      </w:r>
      <w:r w:rsidRPr="0058047D">
        <w:rPr>
          <w:rFonts w:eastAsia="Calibri" w:cs="Tahoma"/>
          <w:color w:val="000000"/>
          <w:szCs w:val="18"/>
        </w:rPr>
        <w:t>utilizzo continuativo di questo software è soggetto ai diritti di utilizzo del prodotto previsti dalla licenza per processore per BizTalk Server 2010 Enterprise; tuttavia, le società non disporranno più di Mobilità delle Licenze tramite Software Assurance.</w:t>
      </w:r>
    </w:p>
    <w:p w14:paraId="08D005E1" w14:textId="77777777" w:rsidR="008233B3" w:rsidRPr="0058047D" w:rsidRDefault="00F3254C" w:rsidP="00346F4B">
      <w:pPr>
        <w:numPr>
          <w:ilvl w:val="0"/>
          <w:numId w:val="53"/>
        </w:numPr>
        <w:tabs>
          <w:tab w:val="left" w:pos="1800"/>
        </w:tabs>
        <w:spacing w:after="60"/>
        <w:ind w:left="1440"/>
      </w:pPr>
      <w:r w:rsidRPr="0058047D">
        <w:rPr>
          <w:rFonts w:eastAsia="Calibri" w:cs="Tahoma"/>
          <w:b/>
          <w:color w:val="000000"/>
          <w:szCs w:val="18"/>
        </w:rPr>
        <w:t xml:space="preserve">Ultima versione di BizTalk Server Enterprise: </w:t>
      </w:r>
      <w:r w:rsidRPr="0058047D">
        <w:rPr>
          <w:rFonts w:eastAsia="Calibri" w:cs="Tahoma"/>
          <w:color w:val="000000"/>
          <w:szCs w:val="18"/>
        </w:rPr>
        <w:t>l</w:t>
      </w:r>
      <w:r w:rsidR="001C4212">
        <w:rPr>
          <w:rFonts w:eastAsia="Calibri" w:cs="Tahoma"/>
          <w:color w:val="000000"/>
          <w:szCs w:val="18"/>
        </w:rPr>
        <w:t>’</w:t>
      </w:r>
      <w:r w:rsidRPr="0058047D">
        <w:rPr>
          <w:rFonts w:eastAsia="Calibri" w:cs="Tahoma"/>
          <w:color w:val="000000"/>
          <w:szCs w:val="18"/>
        </w:rPr>
        <w:t xml:space="preserve">utilizzo di tale versione del software è soggetto ai diritti di utilizzo del prodotto previsti dalla licenza per processore per BizTalk Server 2010 Enterprise, tuttavia: </w:t>
      </w:r>
    </w:p>
    <w:p w14:paraId="2F7E388B" w14:textId="77777777" w:rsidR="008233B3" w:rsidRPr="0058047D" w:rsidRDefault="008233B3" w:rsidP="00346F4B">
      <w:pPr>
        <w:numPr>
          <w:ilvl w:val="1"/>
          <w:numId w:val="53"/>
        </w:numPr>
        <w:tabs>
          <w:tab w:val="left" w:pos="2160"/>
        </w:tabs>
        <w:spacing w:after="60"/>
        <w:ind w:left="2160"/>
      </w:pPr>
      <w:r w:rsidRPr="0058047D">
        <w:rPr>
          <w:rFonts w:eastAsia="Calibri" w:cs="Tahoma"/>
          <w:color w:val="000000"/>
          <w:szCs w:val="18"/>
        </w:rPr>
        <w:t>le società non disporranno più della Mobilità delle Licenze all</w:t>
      </w:r>
      <w:r w:rsidR="001C4212">
        <w:rPr>
          <w:rFonts w:eastAsia="Calibri" w:cs="Tahoma"/>
          <w:color w:val="000000"/>
          <w:szCs w:val="18"/>
        </w:rPr>
        <w:t>’</w:t>
      </w:r>
      <w:r w:rsidRPr="0058047D">
        <w:rPr>
          <w:rFonts w:eastAsia="Calibri" w:cs="Tahoma"/>
          <w:color w:val="000000"/>
          <w:szCs w:val="18"/>
        </w:rPr>
        <w:t xml:space="preserve">interno di Server Farm o della Mobilità delle Licenze tramite Software Assurance e </w:t>
      </w:r>
    </w:p>
    <w:p w14:paraId="184C01FE" w14:textId="77777777" w:rsidR="008233B3" w:rsidRPr="0058047D" w:rsidRDefault="008233B3" w:rsidP="00346F4B">
      <w:pPr>
        <w:numPr>
          <w:ilvl w:val="1"/>
          <w:numId w:val="53"/>
        </w:numPr>
        <w:tabs>
          <w:tab w:val="left" w:pos="2160"/>
          <w:tab w:val="left" w:pos="2970"/>
        </w:tabs>
        <w:spacing w:after="60"/>
        <w:ind w:left="2160"/>
      </w:pPr>
      <w:r w:rsidRPr="0058047D">
        <w:rPr>
          <w:rFonts w:eastAsia="Calibri" w:cs="Tahoma"/>
          <w:color w:val="000000"/>
          <w:szCs w:val="18"/>
        </w:rPr>
        <w:t>l</w:t>
      </w:r>
      <w:r w:rsidR="001C4212">
        <w:rPr>
          <w:rFonts w:eastAsia="Calibri" w:cs="Tahoma"/>
          <w:color w:val="000000"/>
          <w:szCs w:val="18"/>
        </w:rPr>
        <w:t>’</w:t>
      </w:r>
      <w:r w:rsidRPr="0058047D">
        <w:rPr>
          <w:rFonts w:eastAsia="Calibri" w:cs="Tahoma"/>
          <w:color w:val="000000"/>
          <w:szCs w:val="18"/>
        </w:rPr>
        <w:t>eventuale riassegnazione di licenze è soggetta ai limiti che seguono relativi alla loro “equivalenza di licenze core”. L</w:t>
      </w:r>
      <w:r w:rsidR="001C4212">
        <w:rPr>
          <w:rFonts w:eastAsia="Calibri" w:cs="Tahoma"/>
          <w:color w:val="000000"/>
          <w:szCs w:val="18"/>
        </w:rPr>
        <w:t>’</w:t>
      </w:r>
      <w:r w:rsidRPr="0058047D">
        <w:rPr>
          <w:rFonts w:eastAsia="Calibri" w:cs="Tahoma"/>
          <w:color w:val="000000"/>
          <w:szCs w:val="18"/>
        </w:rPr>
        <w:t xml:space="preserve">equivalenza di licenze core è determinata come di seguito riportato. </w:t>
      </w:r>
    </w:p>
    <w:p w14:paraId="36F52A6A" w14:textId="77777777" w:rsidR="008233B3" w:rsidRPr="0058047D" w:rsidRDefault="008233B3" w:rsidP="00346F4B">
      <w:pPr>
        <w:numPr>
          <w:ilvl w:val="2"/>
          <w:numId w:val="53"/>
        </w:numPr>
        <w:tabs>
          <w:tab w:val="left" w:pos="2520"/>
        </w:tabs>
        <w:spacing w:after="60"/>
        <w:ind w:left="2520"/>
      </w:pPr>
      <w:r w:rsidRPr="0058047D">
        <w:rPr>
          <w:rFonts w:eastAsia="Calibri" w:cs="Tahoma"/>
          <w:color w:val="000000"/>
          <w:szCs w:val="18"/>
        </w:rPr>
        <w:t>Per ogni licenza qualificante ceduta al server, l</w:t>
      </w:r>
      <w:r w:rsidR="001C4212">
        <w:rPr>
          <w:rFonts w:eastAsia="Calibri" w:cs="Tahoma"/>
          <w:color w:val="000000"/>
          <w:szCs w:val="18"/>
        </w:rPr>
        <w:t>’</w:t>
      </w:r>
      <w:r w:rsidRPr="0058047D">
        <w:rPr>
          <w:rFonts w:eastAsia="Calibri" w:cs="Tahoma"/>
          <w:color w:val="000000"/>
          <w:szCs w:val="18"/>
        </w:rPr>
        <w:t xml:space="preserve">equivalenza di licenze core è il numero maggiore tra: </w:t>
      </w:r>
    </w:p>
    <w:p w14:paraId="766906BC" w14:textId="77777777" w:rsidR="008233B3" w:rsidRPr="0058047D" w:rsidRDefault="008233B3" w:rsidP="00346F4B">
      <w:pPr>
        <w:numPr>
          <w:ilvl w:val="4"/>
          <w:numId w:val="126"/>
        </w:numPr>
        <w:tabs>
          <w:tab w:val="left" w:pos="2880"/>
        </w:tabs>
        <w:spacing w:after="60"/>
        <w:ind w:left="2880"/>
      </w:pPr>
      <w:r w:rsidRPr="0058047D">
        <w:rPr>
          <w:rFonts w:eastAsia="Calibri" w:cs="Tahoma"/>
          <w:color w:val="000000"/>
          <w:szCs w:val="18"/>
        </w:rPr>
        <w:t xml:space="preserve">quattro core per licenza per processore O </w:t>
      </w:r>
    </w:p>
    <w:p w14:paraId="36345F85" w14:textId="77777777" w:rsidR="008233B3" w:rsidRPr="0058047D" w:rsidRDefault="008233B3" w:rsidP="00346F4B">
      <w:pPr>
        <w:numPr>
          <w:ilvl w:val="4"/>
          <w:numId w:val="126"/>
        </w:numPr>
        <w:tabs>
          <w:tab w:val="left" w:pos="2880"/>
        </w:tabs>
        <w:spacing w:after="60"/>
        <w:ind w:left="2880"/>
      </w:pPr>
      <w:r w:rsidRPr="0058047D">
        <w:rPr>
          <w:rFonts w:eastAsia="Calibri" w:cs="Tahoma"/>
          <w:color w:val="000000"/>
          <w:szCs w:val="18"/>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1C4212">
        <w:rPr>
          <w:rFonts w:eastAsia="Calibri" w:cs="Tahoma"/>
          <w:color w:val="000000"/>
          <w:szCs w:val="18"/>
        </w:rPr>
        <w:t>’</w:t>
      </w:r>
      <w:r w:rsidRPr="0058047D">
        <w:rPr>
          <w:rFonts w:eastAsia="Calibri" w:cs="Tahoma"/>
          <w:color w:val="000000"/>
          <w:szCs w:val="18"/>
        </w:rPr>
        <w:t xml:space="preserve">hardware fisico che supporta tale software appena prima della scadenza di Software Assurance utilizzando lo strumento MAP di Microsoft o un software equivalente). </w:t>
      </w:r>
    </w:p>
    <w:p w14:paraId="124149A9" w14:textId="77777777" w:rsidR="008233B3" w:rsidRPr="0058047D" w:rsidRDefault="008233B3" w:rsidP="00346F4B">
      <w:pPr>
        <w:numPr>
          <w:ilvl w:val="1"/>
          <w:numId w:val="127"/>
        </w:numPr>
        <w:tabs>
          <w:tab w:val="left" w:pos="1800"/>
        </w:tabs>
        <w:spacing w:after="60"/>
      </w:pPr>
      <w:r w:rsidRPr="0058047D">
        <w:rPr>
          <w:rFonts w:eastAsia="Calibri" w:cs="Tahoma"/>
          <w:color w:val="000000"/>
          <w:szCs w:val="18"/>
        </w:rPr>
        <w:t>Le società potranno riassegnare le licenze a un altro server. Tuttavia, qualora la società riassegni una licenza a un altro server, dovrà attenersi ai diritti sull</w:t>
      </w:r>
      <w:r w:rsidR="001C4212">
        <w:rPr>
          <w:rFonts w:eastAsia="Calibri" w:cs="Tahoma"/>
          <w:color w:val="000000"/>
          <w:szCs w:val="18"/>
        </w:rPr>
        <w:t>’</w:t>
      </w:r>
      <w:r w:rsidRPr="0058047D">
        <w:rPr>
          <w:rFonts w:eastAsia="Calibri" w:cs="Tahoma"/>
          <w:color w:val="000000"/>
          <w:szCs w:val="18"/>
        </w:rPr>
        <w:t>utilizzo della versione del software in uso. Quando cede licenze core a server nei modi descritti, la società potrà combinare l</w:t>
      </w:r>
      <w:r w:rsidR="001C4212">
        <w:rPr>
          <w:rFonts w:eastAsia="Calibri" w:cs="Tahoma"/>
          <w:color w:val="000000"/>
          <w:szCs w:val="18"/>
        </w:rPr>
        <w:t>’</w:t>
      </w:r>
      <w:r w:rsidRPr="0058047D">
        <w:rPr>
          <w:rFonts w:eastAsia="Calibri" w:cs="Tahoma"/>
          <w:color w:val="000000"/>
          <w:szCs w:val="18"/>
        </w:rPr>
        <w:t>equivalenza core delle licenze esistenti con le licenze core per BizTalk Server aggiuntive.</w:t>
      </w:r>
    </w:p>
    <w:p w14:paraId="6DB391CA" w14:textId="77777777" w:rsidR="008233B3" w:rsidRPr="0058047D" w:rsidRDefault="008233B3" w:rsidP="00346F4B">
      <w:pPr>
        <w:numPr>
          <w:ilvl w:val="1"/>
          <w:numId w:val="127"/>
        </w:numPr>
        <w:tabs>
          <w:tab w:val="left" w:pos="1800"/>
          <w:tab w:val="left" w:pos="2970"/>
        </w:tabs>
        <w:spacing w:after="60"/>
      </w:pPr>
      <w:r w:rsidRPr="0058047D">
        <w:rPr>
          <w:rFonts w:eastAsia="Calibri" w:cs="Tahoma"/>
          <w:color w:val="000000"/>
          <w:szCs w:val="18"/>
        </w:rPr>
        <w:t>L</w:t>
      </w:r>
      <w:r w:rsidR="001C4212">
        <w:rPr>
          <w:rFonts w:eastAsia="Calibri" w:cs="Tahoma"/>
          <w:color w:val="000000"/>
          <w:szCs w:val="18"/>
        </w:rPr>
        <w:t>’</w:t>
      </w:r>
      <w:r w:rsidRPr="0058047D">
        <w:rPr>
          <w:rFonts w:eastAsia="Calibri" w:cs="Tahoma"/>
          <w:color w:val="000000"/>
          <w:szCs w:val="18"/>
        </w:rPr>
        <w:t>equivalenza di licenze core stimata delle società non implica che esse possano cedere una licenza singola per processore a core attraverso due o più processori.</w:t>
      </w:r>
    </w:p>
    <w:p w14:paraId="1CECD178" w14:textId="77777777" w:rsidR="008233B3" w:rsidRPr="0058047D" w:rsidRDefault="008233B3" w:rsidP="008233B3">
      <w:pPr>
        <w:tabs>
          <w:tab w:val="left" w:pos="720"/>
        </w:tabs>
        <w:ind w:left="720"/>
      </w:pPr>
    </w:p>
    <w:p w14:paraId="442CAF67" w14:textId="77777777" w:rsidR="008233B3" w:rsidRPr="0058047D" w:rsidRDefault="008233B3" w:rsidP="008233B3">
      <w:pPr>
        <w:ind w:left="720"/>
      </w:pPr>
    </w:p>
    <w:p w14:paraId="0151CED9" w14:textId="77777777" w:rsidR="008233B3" w:rsidRPr="0058047D" w:rsidRDefault="00A560B6" w:rsidP="008233B3">
      <w:pPr>
        <w:pStyle w:val="Heading3"/>
      </w:pPr>
      <w:bookmarkStart w:id="1135" w:name="_37_BizTalk_Server®"/>
      <w:bookmarkStart w:id="1136" w:name="_Toc371663690"/>
      <w:bookmarkStart w:id="1137" w:name="_Toc343596569"/>
      <w:bookmarkEnd w:id="1135"/>
      <w:r w:rsidRPr="0058047D">
        <w:rPr>
          <w:rFonts w:ascii="Tahoma" w:hAnsi="Tahoma" w:cs="Tahoma"/>
          <w:caps/>
          <w:color w:val="F66400"/>
          <w:sz w:val="22"/>
          <w:vertAlign w:val="superscript"/>
        </w:rPr>
        <w:t>37</w:t>
      </w:r>
      <w:r w:rsidRPr="0058047D">
        <w:rPr>
          <w:rFonts w:ascii="Tahoma" w:hAnsi="Tahoma" w:cs="Tahoma"/>
          <w:color w:val="F66400"/>
          <w:sz w:val="22"/>
        </w:rPr>
        <w:t xml:space="preserve"> BizTalk Server</w:t>
      </w:r>
      <w:r w:rsidR="00E53A46" w:rsidRPr="0058047D">
        <w:rPr>
          <w:rFonts w:ascii="Tahoma" w:hAnsi="Tahoma" w:cs="Tahoma"/>
          <w:color w:val="F66400"/>
          <w:sz w:val="22"/>
          <w:vertAlign w:val="superscript"/>
        </w:rPr>
        <w:t>®</w:t>
      </w:r>
      <w:r w:rsidRPr="0058047D">
        <w:rPr>
          <w:rFonts w:ascii="Tahoma" w:hAnsi="Tahoma" w:cs="Tahoma"/>
          <w:color w:val="F66400"/>
          <w:sz w:val="22"/>
        </w:rPr>
        <w:t xml:space="preserve"> 2013 Standard</w:t>
      </w:r>
      <w:bookmarkEnd w:id="1136"/>
      <w:r w:rsidRPr="0058047D">
        <w:rPr>
          <w:rFonts w:ascii="Tahoma" w:eastAsia="Calibri" w:hAnsi="Tahoma" w:cs="Tahoma"/>
          <w:color w:val="F66400"/>
          <w:sz w:val="22"/>
          <w:szCs w:val="18"/>
        </w:rPr>
        <w:t xml:space="preserve"> </w:t>
      </w:r>
      <w:bookmarkEnd w:id="1137"/>
    </w:p>
    <w:p w14:paraId="3A7918CC" w14:textId="77777777" w:rsidR="008233B3" w:rsidRPr="0058047D" w:rsidRDefault="008233B3" w:rsidP="008233B3"/>
    <w:p w14:paraId="52B92C44" w14:textId="77777777" w:rsidR="008233B3" w:rsidRPr="0058047D" w:rsidRDefault="008233B3" w:rsidP="008233B3">
      <w:pPr>
        <w:spacing w:after="60"/>
        <w:ind w:left="720"/>
      </w:pPr>
      <w:r w:rsidRPr="0058047D">
        <w:rPr>
          <w:rFonts w:eastAsia="Calibri" w:cs="Tahoma"/>
          <w:b/>
          <w:color w:val="000000"/>
          <w:szCs w:val="18"/>
        </w:rPr>
        <w:t>Concessioni di Licenza Associate alla Variazione del Modello di Licenza</w:t>
      </w:r>
    </w:p>
    <w:p w14:paraId="24E4100F" w14:textId="77777777" w:rsidR="008233B3" w:rsidRPr="0058047D" w:rsidRDefault="008233B3" w:rsidP="008233B3">
      <w:pPr>
        <w:ind w:left="720"/>
      </w:pPr>
      <w:r w:rsidRPr="0058047D">
        <w:rPr>
          <w:rFonts w:eastAsia="Calibri" w:cs="Tahoma"/>
          <w:color w:val="000000"/>
          <w:szCs w:val="18"/>
        </w:rPr>
        <w:t>BizTalk Server 2010 sarà l</w:t>
      </w:r>
      <w:r w:rsidR="001C4212">
        <w:rPr>
          <w:rFonts w:eastAsia="Calibri" w:cs="Tahoma"/>
          <w:color w:val="000000"/>
          <w:szCs w:val="18"/>
        </w:rPr>
        <w:t>’</w:t>
      </w:r>
      <w:r w:rsidRPr="0058047D">
        <w:rPr>
          <w:rFonts w:eastAsia="Calibri" w:cs="Tahoma"/>
          <w:color w:val="000000"/>
          <w:szCs w:val="18"/>
        </w:rPr>
        <w:t>ultima versione di BizTalk Server concessa in licenza ai sensi del modello di licenza per processore.</w:t>
      </w:r>
      <w:r w:rsidR="00E34ED3" w:rsidRPr="0058047D">
        <w:rPr>
          <w:rFonts w:eastAsia="Calibri" w:cs="Tahoma"/>
          <w:color w:val="000000"/>
          <w:szCs w:val="18"/>
        </w:rPr>
        <w:t xml:space="preserve"> </w:t>
      </w:r>
      <w:r w:rsidRPr="0058047D">
        <w:rPr>
          <w:rFonts w:eastAsia="Calibri" w:cs="Tahoma"/>
          <w:color w:val="000000"/>
          <w:szCs w:val="18"/>
        </w:rPr>
        <w:t>In via eccezionale, alle società con Contratti Multilicenza e copertura Software Assurance attiva per le licenze per processore per BizTalk Server 2010 Standard alla data di pubblicazione della presente Lista dei Prodotti (“licenze qualificanti”) vengono offerte le opzioni che seguono.</w:t>
      </w:r>
    </w:p>
    <w:p w14:paraId="5C48E3BE" w14:textId="77777777" w:rsidR="008233B3" w:rsidRPr="0058047D" w:rsidRDefault="008233B3" w:rsidP="008233B3">
      <w:pPr>
        <w:ind w:left="720"/>
      </w:pPr>
    </w:p>
    <w:p w14:paraId="7355D71F" w14:textId="77777777" w:rsidR="008233B3" w:rsidRPr="0058047D" w:rsidRDefault="008233B3" w:rsidP="008233B3">
      <w:pPr>
        <w:spacing w:after="60"/>
        <w:ind w:left="720"/>
      </w:pPr>
      <w:r w:rsidRPr="0058047D">
        <w:rPr>
          <w:rFonts w:eastAsia="Calibri" w:cs="Tahoma"/>
          <w:b/>
          <w:color w:val="000000"/>
          <w:szCs w:val="18"/>
        </w:rPr>
        <w:t>Periodo di Validità Corrente</w:t>
      </w:r>
    </w:p>
    <w:p w14:paraId="3F2ABE11" w14:textId="77777777" w:rsidR="008233B3" w:rsidRPr="0058047D" w:rsidRDefault="008233B3" w:rsidP="008233B3">
      <w:pPr>
        <w:ind w:left="720"/>
      </w:pPr>
      <w:r w:rsidRPr="0058047D">
        <w:rPr>
          <w:rFonts w:eastAsia="Calibri" w:cs="Tahoma"/>
          <w:color w:val="000000"/>
          <w:szCs w:val="18"/>
        </w:rPr>
        <w:t>Durante il periodo di validità corrente della copertura Software Assurance le società (incluse le società titolari di contratti “subscription”) potranno, ai sensi di una licenza qualificante, effettuare l</w:t>
      </w:r>
      <w:r w:rsidR="001C4212">
        <w:rPr>
          <w:rFonts w:eastAsia="Calibri" w:cs="Tahoma"/>
          <w:color w:val="000000"/>
          <w:szCs w:val="18"/>
        </w:rPr>
        <w:t>’</w:t>
      </w:r>
      <w:r w:rsidRPr="0058047D">
        <w:rPr>
          <w:rFonts w:eastAsia="Calibri" w:cs="Tahoma"/>
          <w:color w:val="000000"/>
          <w:szCs w:val="18"/>
        </w:rPr>
        <w:t>aggiornamento all</w:t>
      </w:r>
      <w:r w:rsidR="001C4212">
        <w:rPr>
          <w:rFonts w:eastAsia="Calibri" w:cs="Tahoma"/>
          <w:color w:val="000000"/>
          <w:szCs w:val="18"/>
        </w:rPr>
        <w:t>’</w:t>
      </w:r>
      <w:r w:rsidRPr="0058047D">
        <w:rPr>
          <w:rFonts w:eastAsia="Calibri" w:cs="Tahoma"/>
          <w:color w:val="000000"/>
          <w:szCs w:val="18"/>
        </w:rPr>
        <w:t xml:space="preserve">ultima versione del software BizTalk Server Standard e utilizzarlo al posto di BizTalk Server 2010 Standard in conformità ai diritti di utilizzo del prodotto previsti dalla licenza per processore per BizTalk Server 2010 Standard (come indicato nei Diritti di Utilizzo del Prodotto del mese di gennaio 2013). </w:t>
      </w:r>
    </w:p>
    <w:p w14:paraId="65CA6B1D" w14:textId="77777777" w:rsidR="008233B3" w:rsidRPr="0058047D" w:rsidRDefault="008233B3" w:rsidP="008233B3">
      <w:pPr>
        <w:spacing w:after="60"/>
        <w:ind w:left="720"/>
      </w:pPr>
      <w:r w:rsidRPr="0058047D">
        <w:rPr>
          <w:rFonts w:eastAsia="Calibri" w:cs="Tahoma"/>
          <w:b/>
          <w:color w:val="000000"/>
          <w:szCs w:val="18"/>
        </w:rPr>
        <w:t>Primo Periodo di Rinnovo</w:t>
      </w:r>
    </w:p>
    <w:p w14:paraId="217C28AE" w14:textId="77777777" w:rsidR="008233B3" w:rsidRPr="0058047D" w:rsidRDefault="008233B3" w:rsidP="008233B3">
      <w:pPr>
        <w:tabs>
          <w:tab w:val="left" w:pos="1800"/>
        </w:tabs>
        <w:spacing w:after="60"/>
        <w:ind w:left="720"/>
      </w:pPr>
      <w:r w:rsidRPr="0058047D">
        <w:rPr>
          <w:rFonts w:eastAsia="Calibri" w:cs="Tahoma"/>
          <w:color w:val="000000"/>
          <w:szCs w:val="18"/>
        </w:rPr>
        <w:t xml:space="preserve">In occasione del primo rinnovo di Software Assurance in data 1 aprile 2013 o successiva, per ogni server che una società ha ricevuto validamente in licenza in conformità ai diritti di utilizzo del prodotto previsti dalla licenza per processore per BizTalk Server 2010, la società potrà acquistare la copertura Software Assurance per le licenze core per BizTalk Server Standard senza dovere acquistare le licenze core sottostanti per un numero di licenze core pari al numero di licenze per processore qualificanti cedute al server moltiplicato per il maggiore tra: </w:t>
      </w:r>
    </w:p>
    <w:p w14:paraId="33315954" w14:textId="77777777" w:rsidR="008233B3" w:rsidRPr="0058047D" w:rsidRDefault="008233B3" w:rsidP="00346F4B">
      <w:pPr>
        <w:numPr>
          <w:ilvl w:val="3"/>
          <w:numId w:val="93"/>
        </w:numPr>
        <w:tabs>
          <w:tab w:val="left" w:pos="2160"/>
        </w:tabs>
        <w:spacing w:after="60"/>
        <w:ind w:left="2160"/>
      </w:pPr>
      <w:r w:rsidRPr="0058047D">
        <w:rPr>
          <w:rFonts w:eastAsia="Calibri" w:cs="Tahoma"/>
          <w:color w:val="000000"/>
          <w:szCs w:val="18"/>
        </w:rPr>
        <w:t>quattro O</w:t>
      </w:r>
    </w:p>
    <w:p w14:paraId="073CB540" w14:textId="77777777" w:rsidR="008233B3" w:rsidRPr="0058047D" w:rsidRDefault="008233B3" w:rsidP="00346F4B">
      <w:pPr>
        <w:numPr>
          <w:ilvl w:val="3"/>
          <w:numId w:val="93"/>
        </w:numPr>
        <w:tabs>
          <w:tab w:val="left" w:pos="2160"/>
        </w:tabs>
        <w:spacing w:after="60"/>
        <w:ind w:left="2160"/>
      </w:pPr>
      <w:r w:rsidRPr="0058047D">
        <w:rPr>
          <w:rFonts w:eastAsia="Calibri" w:cs="Tahoma"/>
          <w:color w:val="000000"/>
          <w:szCs w:val="18"/>
        </w:rPr>
        <w:t>il numero effettivo di core per processore fisico moltiplicato per il fattore core appropriato.</w:t>
      </w:r>
      <w:r w:rsidR="00E34ED3" w:rsidRPr="0058047D">
        <w:rPr>
          <w:rFonts w:eastAsia="Calibri" w:cs="Tahoma"/>
          <w:color w:val="000000"/>
          <w:szCs w:val="18"/>
        </w:rPr>
        <w:t xml:space="preserve"> </w:t>
      </w:r>
      <w:r w:rsidRPr="0058047D">
        <w:rPr>
          <w:rFonts w:eastAsia="Calibri" w:cs="Tahoma"/>
          <w:color w:val="000000"/>
          <w:szCs w:val="18"/>
        </w:rPr>
        <w:t>(Nei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1C4212">
        <w:rPr>
          <w:rFonts w:eastAsia="Calibri" w:cs="Tahoma"/>
          <w:color w:val="000000"/>
          <w:szCs w:val="18"/>
        </w:rPr>
        <w:t>’</w:t>
      </w:r>
      <w:r w:rsidRPr="0058047D">
        <w:rPr>
          <w:rFonts w:eastAsia="Calibri" w:cs="Tahoma"/>
          <w:color w:val="000000"/>
          <w:szCs w:val="18"/>
        </w:rPr>
        <w:t xml:space="preserve">hardware fisico che supporta tale software appena prima del rinnovo di Software Assurance utilizzando lo strumento MAP di Microsoft o un software equivalente). </w:t>
      </w:r>
    </w:p>
    <w:p w14:paraId="3F020189" w14:textId="77777777" w:rsidR="008233B3" w:rsidRPr="0058047D" w:rsidRDefault="008233B3" w:rsidP="008233B3">
      <w:pPr>
        <w:tabs>
          <w:tab w:val="left" w:pos="1800"/>
        </w:tabs>
        <w:ind w:left="1080"/>
      </w:pPr>
    </w:p>
    <w:p w14:paraId="4B01C1D5" w14:textId="77777777" w:rsidR="008233B3" w:rsidRPr="0058047D" w:rsidRDefault="008233B3" w:rsidP="008233B3">
      <w:pPr>
        <w:spacing w:after="60"/>
        <w:ind w:left="720"/>
      </w:pPr>
      <w:r w:rsidRPr="0058047D">
        <w:rPr>
          <w:rFonts w:eastAsia="Calibri" w:cs="Tahoma"/>
          <w:color w:val="000000"/>
          <w:szCs w:val="18"/>
        </w:rPr>
        <w:t xml:space="preserve">Le licenze per processore delle società non sono più valide se si acquista la copertura Software Assurance per licenze core ai sensi della presente offerta. </w:t>
      </w:r>
      <w:r w:rsidRPr="0058047D">
        <w:rPr>
          <w:rFonts w:eastAsia="Calibri" w:cs="Tahoma"/>
          <w:szCs w:val="18"/>
        </w:rPr>
        <w:t>L</w:t>
      </w:r>
      <w:r w:rsidR="001C4212">
        <w:rPr>
          <w:rFonts w:eastAsia="Calibri" w:cs="Tahoma"/>
          <w:szCs w:val="18"/>
        </w:rPr>
        <w:t>’</w:t>
      </w:r>
      <w:r w:rsidRPr="0058047D">
        <w:rPr>
          <w:rFonts w:eastAsia="Calibri" w:cs="Tahoma"/>
          <w:szCs w:val="18"/>
        </w:rPr>
        <w:t>opzione di acquistare Software Assurance per le licenze core per BizTalk Server non è applicabile al rinnovo della copertura ai sensi dei programmi di sottoscrizione.</w:t>
      </w:r>
      <w:r w:rsidR="00E34ED3" w:rsidRPr="0058047D">
        <w:rPr>
          <w:rFonts w:eastAsia="Calibri" w:cs="Tahoma"/>
          <w:szCs w:val="18"/>
        </w:rPr>
        <w:t xml:space="preserve"> </w:t>
      </w:r>
    </w:p>
    <w:p w14:paraId="1D75D2C9" w14:textId="77777777" w:rsidR="008233B3" w:rsidRPr="0058047D" w:rsidRDefault="008233B3" w:rsidP="008233B3">
      <w:pPr>
        <w:ind w:left="1440"/>
      </w:pPr>
    </w:p>
    <w:p w14:paraId="4C242AA8" w14:textId="77777777" w:rsidR="008233B3" w:rsidRPr="0058047D" w:rsidRDefault="008233B3" w:rsidP="008233B3">
      <w:pPr>
        <w:tabs>
          <w:tab w:val="left" w:pos="1440"/>
        </w:tabs>
        <w:spacing w:after="60"/>
        <w:ind w:left="720"/>
      </w:pPr>
      <w:r w:rsidRPr="0058047D">
        <w:rPr>
          <w:rFonts w:eastAsia="Calibri" w:cs="Tahoma"/>
          <w:b/>
          <w:color w:val="000000"/>
          <w:szCs w:val="18"/>
        </w:rPr>
        <w:t>Per le Società con copertura Software Assurance che scelgono di non effettuare il rinnovo</w:t>
      </w:r>
    </w:p>
    <w:p w14:paraId="22854D5E" w14:textId="77777777" w:rsidR="008233B3" w:rsidRPr="0058047D" w:rsidRDefault="008233B3" w:rsidP="008233B3">
      <w:pPr>
        <w:tabs>
          <w:tab w:val="left" w:pos="1440"/>
        </w:tabs>
        <w:ind w:left="720"/>
      </w:pPr>
      <w:r w:rsidRPr="0058047D">
        <w:rPr>
          <w:rFonts w:eastAsia="Calibri" w:cs="Tahoma"/>
          <w:color w:val="000000"/>
          <w:szCs w:val="18"/>
        </w:rPr>
        <w:t xml:space="preserve">Le società titolari di contratti Enterprise Subscription </w:t>
      </w:r>
      <w:r w:rsidRPr="0058047D">
        <w:rPr>
          <w:rFonts w:cs="Tahoma"/>
          <w:bCs/>
          <w:color w:val="000000"/>
          <w:szCs w:val="18"/>
        </w:rPr>
        <w:t xml:space="preserve">e Open Value Subscription </w:t>
      </w:r>
      <w:r w:rsidRPr="0058047D">
        <w:rPr>
          <w:rFonts w:eastAsia="Calibri" w:cs="Tahoma"/>
          <w:color w:val="000000"/>
          <w:szCs w:val="18"/>
        </w:rPr>
        <w:t>che scelgono di effettuare il</w:t>
      </w:r>
      <w:r w:rsidR="00905752">
        <w:rPr>
          <w:rFonts w:eastAsia="Calibri" w:cs="Tahoma"/>
          <w:color w:val="000000"/>
          <w:szCs w:val="18"/>
        </w:rPr>
        <w:t> </w:t>
      </w:r>
      <w:r w:rsidRPr="0058047D">
        <w:rPr>
          <w:rFonts w:eastAsia="Calibri" w:cs="Tahoma"/>
          <w:color w:val="000000"/>
          <w:szCs w:val="18"/>
        </w:rPr>
        <w:t>buy-out delle licenze per processore e le altre società che acquistano licenze perpetue ai sensi del loro contratto e scelgono di non rinnovare la copertura Software Assurance in scadenza potranno eseguire BizTalk Server 2010 o l</w:t>
      </w:r>
      <w:r w:rsidR="001C4212">
        <w:rPr>
          <w:rFonts w:eastAsia="Calibri" w:cs="Tahoma"/>
          <w:color w:val="000000"/>
          <w:szCs w:val="18"/>
        </w:rPr>
        <w:t>’</w:t>
      </w:r>
      <w:r w:rsidRPr="0058047D">
        <w:rPr>
          <w:rFonts w:eastAsia="Calibri" w:cs="Tahoma"/>
          <w:color w:val="000000"/>
          <w:szCs w:val="18"/>
        </w:rPr>
        <w:t>ultima versione di BizTalk Server ai sensi di tali licenze come indicato sotto:</w:t>
      </w:r>
    </w:p>
    <w:p w14:paraId="6EF5DCEC" w14:textId="77777777" w:rsidR="008233B3" w:rsidRPr="0058047D" w:rsidRDefault="008233B3" w:rsidP="008233B3">
      <w:pPr>
        <w:tabs>
          <w:tab w:val="left" w:pos="1440"/>
        </w:tabs>
        <w:ind w:left="720"/>
      </w:pPr>
    </w:p>
    <w:p w14:paraId="69293867" w14:textId="77777777" w:rsidR="008233B3" w:rsidRPr="0058047D" w:rsidRDefault="008233B3" w:rsidP="00346F4B">
      <w:pPr>
        <w:numPr>
          <w:ilvl w:val="0"/>
          <w:numId w:val="53"/>
        </w:numPr>
        <w:spacing w:after="60"/>
        <w:ind w:left="1440"/>
      </w:pPr>
      <w:r w:rsidRPr="0058047D">
        <w:rPr>
          <w:rFonts w:eastAsia="Calibri" w:cs="Tahoma"/>
          <w:b/>
          <w:color w:val="000000"/>
          <w:szCs w:val="18"/>
        </w:rPr>
        <w:t>BizTalk Server 2010 Standard:</w:t>
      </w:r>
      <w:r w:rsidRPr="0058047D">
        <w:rPr>
          <w:rFonts w:eastAsia="Calibri" w:cs="Tahoma"/>
          <w:color w:val="000000"/>
          <w:szCs w:val="18"/>
        </w:rPr>
        <w:t xml:space="preserve"> L</w:t>
      </w:r>
      <w:r w:rsidR="001C4212">
        <w:rPr>
          <w:rFonts w:eastAsia="Calibri" w:cs="Tahoma"/>
          <w:color w:val="000000"/>
          <w:szCs w:val="18"/>
        </w:rPr>
        <w:t>’</w:t>
      </w:r>
      <w:r w:rsidRPr="0058047D">
        <w:rPr>
          <w:rFonts w:eastAsia="Calibri" w:cs="Tahoma"/>
          <w:color w:val="000000"/>
          <w:szCs w:val="18"/>
        </w:rPr>
        <w:t>utilizzo continuativo di questo software è soggetto ai diritti di utilizzo del prodotto previsti dalla licenza per processore per BizTalk Server 2010 Standard; tuttavia, le società non disporranno più di Mobilità delle Licenze tramite Software Assurance.</w:t>
      </w:r>
    </w:p>
    <w:p w14:paraId="6D65AC32" w14:textId="77777777" w:rsidR="008233B3" w:rsidRPr="0058047D" w:rsidRDefault="00F3254C" w:rsidP="00346F4B">
      <w:pPr>
        <w:numPr>
          <w:ilvl w:val="0"/>
          <w:numId w:val="53"/>
        </w:numPr>
        <w:tabs>
          <w:tab w:val="left" w:pos="1800"/>
        </w:tabs>
        <w:spacing w:after="60"/>
        <w:ind w:left="1440"/>
      </w:pPr>
      <w:r w:rsidRPr="0058047D">
        <w:rPr>
          <w:rFonts w:eastAsia="Calibri" w:cs="Tahoma"/>
          <w:b/>
          <w:color w:val="000000"/>
          <w:szCs w:val="18"/>
        </w:rPr>
        <w:t xml:space="preserve">Ultima versione di BizTalk Server Standard: </w:t>
      </w:r>
      <w:r w:rsidRPr="0058047D">
        <w:rPr>
          <w:rFonts w:eastAsia="Calibri" w:cs="Tahoma"/>
          <w:color w:val="000000"/>
          <w:szCs w:val="18"/>
        </w:rPr>
        <w:t>l</w:t>
      </w:r>
      <w:r w:rsidR="001C4212">
        <w:rPr>
          <w:rFonts w:eastAsia="Calibri" w:cs="Tahoma"/>
          <w:color w:val="000000"/>
          <w:szCs w:val="18"/>
        </w:rPr>
        <w:t>’</w:t>
      </w:r>
      <w:r w:rsidRPr="0058047D">
        <w:rPr>
          <w:rFonts w:eastAsia="Calibri" w:cs="Tahoma"/>
          <w:color w:val="000000"/>
          <w:szCs w:val="18"/>
        </w:rPr>
        <w:t xml:space="preserve">utilizzo di tale versione del software è soggetto ai diritti di utilizzo del prodotto previsti dalla licenza per processore per BizTalk Server 2010 Standard, tuttavia: </w:t>
      </w:r>
    </w:p>
    <w:p w14:paraId="708BDFC4" w14:textId="77777777" w:rsidR="008233B3" w:rsidRPr="0058047D" w:rsidRDefault="008233B3" w:rsidP="00346F4B">
      <w:pPr>
        <w:numPr>
          <w:ilvl w:val="1"/>
          <w:numId w:val="53"/>
        </w:numPr>
        <w:tabs>
          <w:tab w:val="left" w:pos="2160"/>
        </w:tabs>
        <w:spacing w:after="60"/>
        <w:ind w:left="2160"/>
      </w:pPr>
      <w:r w:rsidRPr="0058047D">
        <w:rPr>
          <w:rFonts w:eastAsia="Calibri" w:cs="Tahoma"/>
          <w:color w:val="000000"/>
          <w:szCs w:val="18"/>
        </w:rPr>
        <w:t>le società non disporranno più della Mobilità delle Licenze all</w:t>
      </w:r>
      <w:r w:rsidR="001C4212">
        <w:rPr>
          <w:rFonts w:eastAsia="Calibri" w:cs="Tahoma"/>
          <w:color w:val="000000"/>
          <w:szCs w:val="18"/>
        </w:rPr>
        <w:t>’</w:t>
      </w:r>
      <w:r w:rsidRPr="0058047D">
        <w:rPr>
          <w:rFonts w:eastAsia="Calibri" w:cs="Tahoma"/>
          <w:color w:val="000000"/>
          <w:szCs w:val="18"/>
        </w:rPr>
        <w:t xml:space="preserve">interno di Server Farm o della Mobilità delle Licenze tramite Software Assurance e </w:t>
      </w:r>
    </w:p>
    <w:p w14:paraId="411447BB" w14:textId="77777777" w:rsidR="008233B3" w:rsidRPr="0058047D" w:rsidRDefault="008233B3" w:rsidP="00346F4B">
      <w:pPr>
        <w:numPr>
          <w:ilvl w:val="1"/>
          <w:numId w:val="53"/>
        </w:numPr>
        <w:tabs>
          <w:tab w:val="left" w:pos="2160"/>
          <w:tab w:val="left" w:pos="2970"/>
        </w:tabs>
        <w:spacing w:after="60"/>
        <w:ind w:left="2160"/>
      </w:pPr>
      <w:r w:rsidRPr="0058047D">
        <w:rPr>
          <w:rFonts w:eastAsia="Calibri" w:cs="Tahoma"/>
          <w:color w:val="000000"/>
          <w:szCs w:val="18"/>
        </w:rPr>
        <w:t>l</w:t>
      </w:r>
      <w:r w:rsidR="001C4212">
        <w:rPr>
          <w:rFonts w:eastAsia="Calibri" w:cs="Tahoma"/>
          <w:color w:val="000000"/>
          <w:szCs w:val="18"/>
        </w:rPr>
        <w:t>’</w:t>
      </w:r>
      <w:r w:rsidRPr="0058047D">
        <w:rPr>
          <w:rFonts w:eastAsia="Calibri" w:cs="Tahoma"/>
          <w:color w:val="000000"/>
          <w:szCs w:val="18"/>
        </w:rPr>
        <w:t>eventuale riassegnazione di licenze è soggetta ai limiti che seguono relativi alla loro “equivalenza di licenze core”. L</w:t>
      </w:r>
      <w:r w:rsidR="001C4212">
        <w:rPr>
          <w:rFonts w:eastAsia="Calibri" w:cs="Tahoma"/>
          <w:color w:val="000000"/>
          <w:szCs w:val="18"/>
        </w:rPr>
        <w:t>’</w:t>
      </w:r>
      <w:r w:rsidRPr="0058047D">
        <w:rPr>
          <w:rFonts w:eastAsia="Calibri" w:cs="Tahoma"/>
          <w:color w:val="000000"/>
          <w:szCs w:val="18"/>
        </w:rPr>
        <w:t xml:space="preserve">equivalenza di licenze core è determinata come di seguito riportato. </w:t>
      </w:r>
    </w:p>
    <w:p w14:paraId="4210AF91" w14:textId="77777777" w:rsidR="008233B3" w:rsidRPr="0058047D" w:rsidRDefault="008233B3" w:rsidP="00346F4B">
      <w:pPr>
        <w:numPr>
          <w:ilvl w:val="2"/>
          <w:numId w:val="53"/>
        </w:numPr>
        <w:tabs>
          <w:tab w:val="left" w:pos="2520"/>
        </w:tabs>
        <w:spacing w:after="60"/>
        <w:ind w:left="2520"/>
      </w:pPr>
      <w:r w:rsidRPr="0058047D">
        <w:rPr>
          <w:rFonts w:eastAsia="Calibri" w:cs="Tahoma"/>
          <w:color w:val="000000"/>
          <w:szCs w:val="18"/>
        </w:rPr>
        <w:t>Per ogni licenza qualificante ceduta al server, l</w:t>
      </w:r>
      <w:r w:rsidR="001C4212">
        <w:rPr>
          <w:rFonts w:eastAsia="Calibri" w:cs="Tahoma"/>
          <w:color w:val="000000"/>
          <w:szCs w:val="18"/>
        </w:rPr>
        <w:t>’</w:t>
      </w:r>
      <w:r w:rsidRPr="0058047D">
        <w:rPr>
          <w:rFonts w:eastAsia="Calibri" w:cs="Tahoma"/>
          <w:color w:val="000000"/>
          <w:szCs w:val="18"/>
        </w:rPr>
        <w:t xml:space="preserve">equivalenza di licenze core è il numero maggiore tra: </w:t>
      </w:r>
    </w:p>
    <w:p w14:paraId="152C3754" w14:textId="77777777" w:rsidR="008233B3" w:rsidRPr="0058047D" w:rsidRDefault="008233B3" w:rsidP="00346F4B">
      <w:pPr>
        <w:numPr>
          <w:ilvl w:val="4"/>
          <w:numId w:val="126"/>
        </w:numPr>
        <w:tabs>
          <w:tab w:val="left" w:pos="2880"/>
        </w:tabs>
        <w:spacing w:after="60"/>
        <w:ind w:left="2880"/>
      </w:pPr>
      <w:r w:rsidRPr="0058047D">
        <w:rPr>
          <w:rFonts w:eastAsia="Calibri" w:cs="Tahoma"/>
          <w:color w:val="000000"/>
          <w:szCs w:val="18"/>
        </w:rPr>
        <w:t xml:space="preserve">quattro core per licenza per processore O </w:t>
      </w:r>
    </w:p>
    <w:p w14:paraId="5C534956" w14:textId="77777777" w:rsidR="008233B3" w:rsidRPr="0058047D" w:rsidRDefault="008233B3" w:rsidP="00346F4B">
      <w:pPr>
        <w:numPr>
          <w:ilvl w:val="4"/>
          <w:numId w:val="126"/>
        </w:numPr>
        <w:tabs>
          <w:tab w:val="left" w:pos="2880"/>
        </w:tabs>
        <w:spacing w:after="60"/>
        <w:ind w:left="2880"/>
      </w:pPr>
      <w:r w:rsidRPr="0058047D">
        <w:rPr>
          <w:rFonts w:eastAsia="Calibri" w:cs="Tahoma"/>
          <w:color w:val="000000"/>
          <w:szCs w:val="18"/>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1C4212">
        <w:rPr>
          <w:rFonts w:eastAsia="Calibri" w:cs="Tahoma"/>
          <w:color w:val="000000"/>
          <w:szCs w:val="18"/>
        </w:rPr>
        <w:t>’</w:t>
      </w:r>
      <w:r w:rsidRPr="0058047D">
        <w:rPr>
          <w:rFonts w:eastAsia="Calibri" w:cs="Tahoma"/>
          <w:color w:val="000000"/>
          <w:szCs w:val="18"/>
        </w:rPr>
        <w:t xml:space="preserve">hardware fisico che supporta tale software appena prima della scadenza di Software Assurance utilizzando lo strumento MAP di Microsoft o un software equivalente). </w:t>
      </w:r>
    </w:p>
    <w:p w14:paraId="02314E73" w14:textId="77777777" w:rsidR="008233B3" w:rsidRPr="0058047D" w:rsidRDefault="008233B3" w:rsidP="00346F4B">
      <w:pPr>
        <w:numPr>
          <w:ilvl w:val="1"/>
          <w:numId w:val="128"/>
        </w:numPr>
        <w:tabs>
          <w:tab w:val="left" w:pos="1800"/>
        </w:tabs>
        <w:spacing w:after="60"/>
      </w:pPr>
      <w:r w:rsidRPr="0058047D">
        <w:rPr>
          <w:rFonts w:eastAsia="Calibri" w:cs="Tahoma"/>
          <w:color w:val="000000"/>
          <w:szCs w:val="18"/>
        </w:rPr>
        <w:t xml:space="preserve">Le società </w:t>
      </w:r>
      <w:r w:rsidRPr="0058047D">
        <w:rPr>
          <w:rFonts w:eastAsia="Calibri" w:cs="Tahoma"/>
          <w:szCs w:val="18"/>
        </w:rPr>
        <w:t>potranno riassegnare le licenze a un altro server. Tuttavia, qualora la società riassegni una licenza a un altro server, dovrà attenersi ai diritti sull</w:t>
      </w:r>
      <w:r w:rsidR="001C4212">
        <w:rPr>
          <w:rFonts w:eastAsia="Calibri" w:cs="Tahoma"/>
          <w:szCs w:val="18"/>
        </w:rPr>
        <w:t>’</w:t>
      </w:r>
      <w:r w:rsidRPr="0058047D">
        <w:rPr>
          <w:rFonts w:eastAsia="Calibri" w:cs="Tahoma"/>
          <w:szCs w:val="18"/>
        </w:rPr>
        <w:t>utilizzo della versione del software in uso. Quando cede licenze core a server nei modi descritti, la società potrà combinare l</w:t>
      </w:r>
      <w:r w:rsidR="001C4212">
        <w:rPr>
          <w:rFonts w:eastAsia="Calibri" w:cs="Tahoma"/>
          <w:szCs w:val="18"/>
        </w:rPr>
        <w:t>’</w:t>
      </w:r>
      <w:r w:rsidRPr="0058047D">
        <w:rPr>
          <w:rFonts w:eastAsia="Calibri" w:cs="Tahoma"/>
          <w:szCs w:val="18"/>
        </w:rPr>
        <w:t>equivalenza core delle licenze esistenti con le licenze core per BizTalk Server aggiuntive.</w:t>
      </w:r>
    </w:p>
    <w:p w14:paraId="389B3BF6" w14:textId="77777777" w:rsidR="008233B3" w:rsidRPr="0058047D" w:rsidRDefault="008233B3" w:rsidP="00346F4B">
      <w:pPr>
        <w:numPr>
          <w:ilvl w:val="1"/>
          <w:numId w:val="128"/>
        </w:numPr>
        <w:tabs>
          <w:tab w:val="left" w:pos="1800"/>
          <w:tab w:val="left" w:pos="2970"/>
        </w:tabs>
        <w:spacing w:after="60"/>
      </w:pPr>
      <w:r w:rsidRPr="0058047D">
        <w:rPr>
          <w:rFonts w:eastAsia="Calibri" w:cs="Tahoma"/>
          <w:color w:val="000000"/>
          <w:szCs w:val="18"/>
        </w:rPr>
        <w:t>L</w:t>
      </w:r>
      <w:r w:rsidR="001C4212">
        <w:rPr>
          <w:rFonts w:eastAsia="Calibri" w:cs="Tahoma"/>
          <w:color w:val="000000"/>
          <w:szCs w:val="18"/>
        </w:rPr>
        <w:t>’</w:t>
      </w:r>
      <w:r w:rsidRPr="0058047D">
        <w:rPr>
          <w:rFonts w:eastAsia="Calibri" w:cs="Tahoma"/>
          <w:color w:val="000000"/>
          <w:szCs w:val="18"/>
        </w:rPr>
        <w:t>equivalenza di licenze core stimata delle società non implica che esse possano cedere una licenza singola per processore a core attraverso due o più processori.</w:t>
      </w:r>
    </w:p>
    <w:p w14:paraId="36583053" w14:textId="77777777" w:rsidR="003540FA" w:rsidRPr="0058047D" w:rsidRDefault="003540FA" w:rsidP="00A66BD2">
      <w:pPr>
        <w:ind w:left="540"/>
      </w:pPr>
    </w:p>
    <w:p w14:paraId="7042B678" w14:textId="77777777" w:rsidR="007B48BC" w:rsidRPr="0058047D" w:rsidRDefault="00A560B6" w:rsidP="000773D2">
      <w:pPr>
        <w:pStyle w:val="Heading3"/>
        <w:ind w:left="270" w:hanging="270"/>
      </w:pPr>
      <w:bookmarkStart w:id="1138" w:name="_38_Business_Intelligence"/>
      <w:bookmarkStart w:id="1139" w:name="_Toc336338293"/>
      <w:bookmarkStart w:id="1140" w:name="_Toc371663691"/>
      <w:bookmarkStart w:id="1141" w:name="Srv_35BusinessIntellApp2012"/>
      <w:bookmarkStart w:id="1142" w:name="Srv_35CoreCALBridgeWinIntune"/>
      <w:bookmarkEnd w:id="1138"/>
      <w:r w:rsidRPr="0058047D">
        <w:rPr>
          <w:rFonts w:ascii="Tahoma" w:hAnsi="Tahoma"/>
          <w:caps/>
          <w:color w:val="F66400"/>
          <w:sz w:val="22"/>
          <w:vertAlign w:val="superscript"/>
        </w:rPr>
        <w:t xml:space="preserve">38 </w:t>
      </w:r>
      <w:r w:rsidRPr="0058047D">
        <w:rPr>
          <w:rFonts w:ascii="Tahoma" w:hAnsi="Tahoma"/>
          <w:color w:val="F66400"/>
          <w:sz w:val="22"/>
        </w:rPr>
        <w:t>Business Intelligence Appliance 2012</w:t>
      </w:r>
      <w:bookmarkEnd w:id="1139"/>
      <w:bookmarkEnd w:id="1140"/>
      <w:r w:rsidRPr="0058047D">
        <w:rPr>
          <w:rFonts w:ascii="Tahoma" w:hAnsi="Tahoma"/>
          <w:caps/>
          <w:color w:val="F66400"/>
          <w:sz w:val="22"/>
          <w:vertAlign w:val="superscript"/>
        </w:rPr>
        <w:t xml:space="preserve"> </w:t>
      </w:r>
    </w:p>
    <w:bookmarkEnd w:id="1141"/>
    <w:p w14:paraId="4A5EFD06" w14:textId="77777777" w:rsidR="007B48BC" w:rsidRPr="00834AC5" w:rsidRDefault="007B48BC" w:rsidP="007B48BC">
      <w:pPr>
        <w:rPr>
          <w:sz w:val="16"/>
          <w:szCs w:val="16"/>
        </w:rPr>
      </w:pPr>
    </w:p>
    <w:p w14:paraId="391DAA85" w14:textId="77777777" w:rsidR="00E03856" w:rsidRPr="0058047D" w:rsidRDefault="00E50460" w:rsidP="00A66BD2">
      <w:pPr>
        <w:ind w:left="720"/>
      </w:pPr>
      <w:r w:rsidRPr="0058047D">
        <w:rPr>
          <w:rFonts w:cs="Tahoma"/>
          <w:szCs w:val="18"/>
        </w:rPr>
        <w:t>Il software Business Intelligence Appliance 2012, che incorpora SQL Server 2008 R2 e SharePoint Server 2010, è disponibile solo nelle configurazioni hardware e software approvate da Microsoft.</w:t>
      </w:r>
      <w:r w:rsidR="00E34ED3" w:rsidRPr="0058047D">
        <w:rPr>
          <w:rFonts w:cs="Tahoma"/>
          <w:szCs w:val="18"/>
        </w:rPr>
        <w:t xml:space="preserve"> </w:t>
      </w:r>
      <w:r w:rsidRPr="0058047D">
        <w:rPr>
          <w:rFonts w:cs="Tahoma"/>
          <w:szCs w:val="18"/>
        </w:rPr>
        <w:t>L</w:t>
      </w:r>
      <w:r w:rsidR="001C4212">
        <w:rPr>
          <w:rFonts w:cs="Tahoma"/>
          <w:szCs w:val="18"/>
        </w:rPr>
        <w:t>’</w:t>
      </w:r>
      <w:r w:rsidRPr="0058047D">
        <w:rPr>
          <w:rFonts w:cs="Tahoma"/>
          <w:szCs w:val="18"/>
        </w:rPr>
        <w:t>utilizzo del software in altre configurazioni non è supportato e potrà influire sulle prestazioni.</w:t>
      </w:r>
      <w:r w:rsidR="00E34ED3" w:rsidRPr="0058047D">
        <w:rPr>
          <w:rFonts w:cs="Tahoma"/>
          <w:szCs w:val="18"/>
        </w:rPr>
        <w:t xml:space="preserve"> </w:t>
      </w:r>
      <w:r w:rsidRPr="0058047D">
        <w:rPr>
          <w:rFonts w:cs="Tahoma"/>
          <w:szCs w:val="18"/>
        </w:rPr>
        <w:t>Per ulteriori informazioni, visitare la pagina</w:t>
      </w:r>
      <w:r w:rsidRPr="0058047D">
        <w:rPr>
          <w:rFonts w:cs="Tahoma"/>
          <w:color w:val="1F497D"/>
          <w:szCs w:val="18"/>
        </w:rPr>
        <w:t xml:space="preserve"> </w:t>
      </w:r>
      <w:hyperlink r:id="rId45" w:tooltip="http://www.microsoft.com/sqlserver/en/us/get-sql-server/how-to-buy.aspx" w:history="1">
        <w:r w:rsidR="007153B4" w:rsidRPr="00E50460">
          <w:rPr>
            <w:rStyle w:val="Hyperlink"/>
            <w:rFonts w:cs="Tahoma"/>
            <w:szCs w:val="18"/>
          </w:rPr>
          <w:t>http://www.microsoft.com/sqlserver/en/us/get-sql-server/how-to-buy.aspx</w:t>
        </w:r>
      </w:hyperlink>
      <w:r w:rsidRPr="0058047D">
        <w:rPr>
          <w:rFonts w:cs="Tahoma"/>
          <w:szCs w:val="18"/>
        </w:rPr>
        <w:t>.</w:t>
      </w:r>
      <w:r w:rsidR="00E34ED3" w:rsidRPr="0058047D">
        <w:rPr>
          <w:rFonts w:cs="Tahoma"/>
          <w:szCs w:val="18"/>
        </w:rPr>
        <w:t xml:space="preserve"> </w:t>
      </w:r>
    </w:p>
    <w:p w14:paraId="422373E7" w14:textId="77777777" w:rsidR="00A66BD2" w:rsidRPr="00834AC5" w:rsidRDefault="00A66BD2" w:rsidP="00A66BD2">
      <w:pPr>
        <w:rPr>
          <w:sz w:val="16"/>
          <w:szCs w:val="16"/>
        </w:rPr>
      </w:pPr>
    </w:p>
    <w:p w14:paraId="6522389C" w14:textId="77777777" w:rsidR="00A66BD2" w:rsidRPr="00834AC5" w:rsidRDefault="00A66BD2" w:rsidP="00A66BD2">
      <w:pPr>
        <w:rPr>
          <w:sz w:val="16"/>
          <w:szCs w:val="16"/>
        </w:rPr>
      </w:pPr>
    </w:p>
    <w:p w14:paraId="6CE2B4C0" w14:textId="77777777" w:rsidR="003540FA" w:rsidRPr="0058047D" w:rsidRDefault="001C55B1" w:rsidP="000773D2">
      <w:pPr>
        <w:pStyle w:val="Heading3"/>
        <w:ind w:left="270" w:hanging="270"/>
      </w:pPr>
      <w:bookmarkStart w:id="1143" w:name="_39_Core_CAL"/>
      <w:bookmarkStart w:id="1144" w:name="_Toc336338294"/>
      <w:bookmarkStart w:id="1145" w:name="_Toc371663692"/>
      <w:bookmarkEnd w:id="1143"/>
      <w:r w:rsidRPr="0058047D">
        <w:rPr>
          <w:rFonts w:ascii="Tahoma" w:hAnsi="Tahoma"/>
          <w:caps/>
          <w:color w:val="F66400"/>
          <w:sz w:val="22"/>
          <w:vertAlign w:val="superscript"/>
        </w:rPr>
        <w:t>39</w:t>
      </w:r>
      <w:r w:rsidRPr="0058047D">
        <w:rPr>
          <w:rFonts w:ascii="Tahoma" w:hAnsi="Tahoma"/>
          <w:color w:val="F66400"/>
          <w:sz w:val="22"/>
        </w:rPr>
        <w:t xml:space="preserve"> Core </w:t>
      </w:r>
      <w:r w:rsidRPr="0058047D">
        <w:rPr>
          <w:rFonts w:ascii="Tahoma" w:hAnsi="Tahoma"/>
          <w:color w:val="FF6600"/>
          <w:sz w:val="22"/>
        </w:rPr>
        <w:t>CAL Suite Bridge per Office 365, Core CAL Suite Bridge per Office 365 e</w:t>
      </w:r>
      <w:r w:rsidR="007153B4">
        <w:rPr>
          <w:rFonts w:ascii="Tahoma" w:hAnsi="Tahoma"/>
          <w:color w:val="FF6600"/>
          <w:sz w:val="22"/>
        </w:rPr>
        <w:t> </w:t>
      </w:r>
      <w:r w:rsidRPr="0058047D">
        <w:rPr>
          <w:rFonts w:ascii="Tahoma" w:hAnsi="Tahoma"/>
          <w:color w:val="FF6600"/>
          <w:sz w:val="22"/>
        </w:rPr>
        <w:t>Windows Intune e Core CAL Suite Bridge per Windows Intune</w:t>
      </w:r>
      <w:bookmarkEnd w:id="1144"/>
      <w:bookmarkEnd w:id="1145"/>
    </w:p>
    <w:bookmarkEnd w:id="1142"/>
    <w:p w14:paraId="503D2229" w14:textId="77777777" w:rsidR="003540FA" w:rsidRPr="00834AC5" w:rsidRDefault="003540FA" w:rsidP="00A66BD2">
      <w:pPr>
        <w:ind w:left="540"/>
        <w:rPr>
          <w:sz w:val="16"/>
          <w:szCs w:val="16"/>
        </w:rPr>
      </w:pPr>
    </w:p>
    <w:p w14:paraId="545454D6" w14:textId="77777777" w:rsidR="00A66BD2" w:rsidRPr="0058047D" w:rsidRDefault="000773D2" w:rsidP="00A66BD2">
      <w:pPr>
        <w:spacing w:after="60"/>
        <w:ind w:left="720"/>
      </w:pPr>
      <w:r w:rsidRPr="0058047D">
        <w:rPr>
          <w:b/>
          <w:szCs w:val="18"/>
        </w:rPr>
        <w:t>Definizione</w:t>
      </w:r>
    </w:p>
    <w:p w14:paraId="42477CB2" w14:textId="77777777" w:rsidR="000773D2" w:rsidRPr="0058047D" w:rsidRDefault="00A66BD2" w:rsidP="00A66BD2">
      <w:pPr>
        <w:ind w:left="720"/>
      </w:pPr>
      <w:r w:rsidRPr="0058047D">
        <w:rPr>
          <w:szCs w:val="18"/>
        </w:rPr>
        <w:t xml:space="preserve">“Transizione” indica la conversione di una Licenza </w:t>
      </w:r>
      <w:r w:rsidRPr="0058047D">
        <w:rPr>
          <w:rFonts w:cs="Tahoma"/>
          <w:szCs w:val="18"/>
        </w:rPr>
        <w:t>con copertura Software Assurance attiva in una licenza “Subscription” o viceversa.</w:t>
      </w:r>
      <w:r w:rsidR="00E34ED3" w:rsidRPr="0058047D">
        <w:rPr>
          <w:rFonts w:cs="Tahoma"/>
          <w:szCs w:val="18"/>
        </w:rPr>
        <w:t xml:space="preserve"> </w:t>
      </w:r>
    </w:p>
    <w:p w14:paraId="4B87822B" w14:textId="77777777" w:rsidR="00A66BD2" w:rsidRPr="00834AC5" w:rsidRDefault="00A66BD2" w:rsidP="00A66BD2">
      <w:pPr>
        <w:ind w:left="720"/>
        <w:rPr>
          <w:sz w:val="16"/>
          <w:szCs w:val="16"/>
        </w:rPr>
      </w:pPr>
    </w:p>
    <w:p w14:paraId="28998CBB" w14:textId="77777777" w:rsidR="00A66BD2" w:rsidRPr="0058047D" w:rsidRDefault="000773D2" w:rsidP="00A66BD2">
      <w:pPr>
        <w:spacing w:after="60"/>
        <w:ind w:left="720"/>
      </w:pPr>
      <w:r w:rsidRPr="0058047D">
        <w:rPr>
          <w:b/>
          <w:szCs w:val="18"/>
        </w:rPr>
        <w:t>Diritti sull</w:t>
      </w:r>
      <w:r w:rsidR="001C4212">
        <w:rPr>
          <w:b/>
          <w:szCs w:val="18"/>
        </w:rPr>
        <w:t>’</w:t>
      </w:r>
      <w:r w:rsidRPr="0058047D">
        <w:rPr>
          <w:b/>
          <w:szCs w:val="18"/>
        </w:rPr>
        <w:t xml:space="preserve">Utilizzo Applicabili </w:t>
      </w:r>
    </w:p>
    <w:p w14:paraId="25B8A4FF" w14:textId="77777777" w:rsidR="000773D2" w:rsidRPr="0058047D" w:rsidRDefault="000773D2" w:rsidP="00A66BD2">
      <w:pPr>
        <w:spacing w:line="276" w:lineRule="auto"/>
        <w:ind w:left="720"/>
      </w:pPr>
      <w:r w:rsidRPr="0058047D">
        <w:rPr>
          <w:rFonts w:eastAsia="Calibri" w:cs="Tahoma"/>
          <w:szCs w:val="18"/>
        </w:rPr>
        <w:t>Una licenza CAL Suite Bridge non dispone di versioni e i Diritti di Utilizzo del Prodotto sono determinati dallo stato della copertura Software Assurance per tale licenza. Qualora la copertura Software Assurance sia scaduta, i diritti di accesso attribuiti da Licenze perpetue sono determinati sulla base dei Diritti di Utilizzo del Prodotto in vigore prima della scadenza della copertura. Una Licenza per una CAL Suite Bridge è una licenza singola che dovrà essere ceduta a un utente o dispositivo singolo.</w:t>
      </w:r>
    </w:p>
    <w:p w14:paraId="379E93EB" w14:textId="77777777" w:rsidR="00A66BD2" w:rsidRPr="00834AC5" w:rsidRDefault="00A66BD2" w:rsidP="00A66BD2">
      <w:pPr>
        <w:spacing w:line="276" w:lineRule="auto"/>
        <w:ind w:left="720"/>
        <w:rPr>
          <w:sz w:val="16"/>
          <w:szCs w:val="16"/>
        </w:rPr>
      </w:pPr>
    </w:p>
    <w:p w14:paraId="599D6A92" w14:textId="77777777" w:rsidR="00A66BD2" w:rsidRPr="0058047D" w:rsidRDefault="000773D2" w:rsidP="00A66BD2">
      <w:pPr>
        <w:spacing w:after="60"/>
        <w:ind w:left="720"/>
      </w:pPr>
      <w:r w:rsidRPr="0058047D">
        <w:rPr>
          <w:b/>
          <w:szCs w:val="18"/>
        </w:rPr>
        <w:t>Requisiti</w:t>
      </w:r>
    </w:p>
    <w:p w14:paraId="070E58D5" w14:textId="77777777" w:rsidR="000773D2" w:rsidRPr="0058047D" w:rsidRDefault="000773D2" w:rsidP="00A66BD2">
      <w:pPr>
        <w:spacing w:line="276" w:lineRule="auto"/>
        <w:ind w:left="720"/>
      </w:pPr>
      <w:r w:rsidRPr="0058047D">
        <w:rPr>
          <w:rFonts w:eastAsia="Calibri" w:cs="Tahoma"/>
          <w:szCs w:val="18"/>
        </w:rPr>
        <w:t>Una CAL Suite Bridge potrà essere richiesta durante la Transizione da una CAL Suite a una combinazione di Servizi Online e Prodotti paragonabili. Quando una Transizione richiede una CAL Suite Bridge e la Licenza qualificante è stata pagata totalmente dalla Società, l</w:t>
      </w:r>
      <w:r w:rsidR="001C4212">
        <w:rPr>
          <w:rFonts w:eastAsia="Calibri" w:cs="Tahoma"/>
          <w:szCs w:val="18"/>
        </w:rPr>
        <w:t>’</w:t>
      </w:r>
      <w:r w:rsidRPr="0058047D">
        <w:rPr>
          <w:rFonts w:eastAsia="Calibri" w:cs="Tahoma"/>
          <w:szCs w:val="18"/>
        </w:rPr>
        <w:t>acquisto di una Licenza per la CAL Suite Bridge non sarà necessario. La copertura Software Assurance potrà invece essere acquistata per la CAL Suite Bridge in</w:t>
      </w:r>
      <w:r w:rsidR="007153B4">
        <w:rPr>
          <w:rFonts w:eastAsia="Calibri" w:cs="Tahoma"/>
          <w:szCs w:val="18"/>
        </w:rPr>
        <w:t> </w:t>
      </w:r>
      <w:r w:rsidRPr="0058047D">
        <w:rPr>
          <w:rFonts w:eastAsia="Calibri" w:cs="Tahoma"/>
          <w:szCs w:val="18"/>
        </w:rPr>
        <w:t>occasione della ricorrenza dell</w:t>
      </w:r>
      <w:r w:rsidR="001C4212">
        <w:rPr>
          <w:rFonts w:eastAsia="Calibri" w:cs="Tahoma"/>
          <w:szCs w:val="18"/>
        </w:rPr>
        <w:t>’</w:t>
      </w:r>
      <w:r w:rsidRPr="0058047D">
        <w:rPr>
          <w:rFonts w:eastAsia="Calibri" w:cs="Tahoma"/>
          <w:szCs w:val="18"/>
        </w:rPr>
        <w:t>Iscrizione durante la quale la Transizione è in vigore. In tali circostanze il rapporto della Transizione potrà essere solo di una copertura Software Assurance per CAL Suite Bridge per una copertura Software Assurance per CAL Suite e per la stessa Licenza per utente o dispositivo della CAL Suite qualificante.</w:t>
      </w:r>
      <w:r w:rsidR="00E34ED3" w:rsidRPr="0058047D">
        <w:rPr>
          <w:rFonts w:eastAsia="Calibri" w:cs="Tahoma"/>
          <w:szCs w:val="18"/>
        </w:rPr>
        <w:t xml:space="preserve"> </w:t>
      </w:r>
    </w:p>
    <w:p w14:paraId="4C72852C" w14:textId="77777777" w:rsidR="00A66BD2" w:rsidRPr="00834AC5" w:rsidRDefault="00A66BD2" w:rsidP="00A66BD2">
      <w:pPr>
        <w:spacing w:line="276" w:lineRule="auto"/>
        <w:ind w:left="720"/>
        <w:rPr>
          <w:sz w:val="16"/>
          <w:szCs w:val="16"/>
        </w:rPr>
      </w:pPr>
    </w:p>
    <w:p w14:paraId="606BBFC0" w14:textId="77777777" w:rsidR="000773D2" w:rsidRPr="0058047D" w:rsidRDefault="000773D2" w:rsidP="00A66BD2">
      <w:pPr>
        <w:spacing w:line="276" w:lineRule="auto"/>
        <w:ind w:left="720"/>
      </w:pPr>
      <w:r w:rsidRPr="0058047D">
        <w:rPr>
          <w:rFonts w:eastAsia="Calibri" w:cs="Tahoma"/>
          <w:szCs w:val="18"/>
        </w:rPr>
        <w:t>Una CAL Suite Bridge è un Prodotto Enterprise e potrà essere ottenuto in licenza solo insieme al Servizio Online qualificante per soddisfare il requisito a livello aziendale sia della CAL Suite Bridge che della CAL Suite</w:t>
      </w:r>
      <w:r w:rsidR="007153B4">
        <w:rPr>
          <w:rFonts w:eastAsia="Calibri" w:cs="Tahoma"/>
          <w:szCs w:val="18"/>
        </w:rPr>
        <w:t> </w:t>
      </w:r>
      <w:r w:rsidRPr="0058047D">
        <w:rPr>
          <w:rFonts w:eastAsia="Calibri" w:cs="Tahoma"/>
          <w:szCs w:val="18"/>
        </w:rPr>
        <w:t>principale.</w:t>
      </w:r>
    </w:p>
    <w:p w14:paraId="20A80FA1" w14:textId="77777777" w:rsidR="002A6416" w:rsidRPr="00834AC5" w:rsidRDefault="002A6416" w:rsidP="002A6416">
      <w:pPr>
        <w:spacing w:line="276" w:lineRule="auto"/>
        <w:ind w:left="720"/>
        <w:rPr>
          <w:sz w:val="16"/>
          <w:szCs w:val="16"/>
        </w:rPr>
      </w:pPr>
    </w:p>
    <w:tbl>
      <w:tblPr>
        <w:tblW w:w="4558" w:type="pct"/>
        <w:tblInd w:w="730" w:type="dxa"/>
        <w:tblCellMar>
          <w:left w:w="0" w:type="dxa"/>
          <w:right w:w="0" w:type="dxa"/>
        </w:tblCellMar>
        <w:tblLook w:val="04A0" w:firstRow="1" w:lastRow="0" w:firstColumn="1" w:lastColumn="0" w:noHBand="0" w:noVBand="1"/>
      </w:tblPr>
      <w:tblGrid>
        <w:gridCol w:w="2779"/>
        <w:gridCol w:w="2598"/>
        <w:gridCol w:w="3137"/>
      </w:tblGrid>
      <w:tr w:rsidR="005A36EF" w:rsidRPr="0058047D" w14:paraId="2A3B8F2F" w14:textId="77777777" w:rsidTr="00834AC5">
        <w:trPr>
          <w:tblHeader/>
        </w:trPr>
        <w:tc>
          <w:tcPr>
            <w:tcW w:w="1632"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6A6C5606" w14:textId="77777777" w:rsidR="000773D2" w:rsidRPr="0058047D" w:rsidRDefault="000773D2" w:rsidP="000773D2">
            <w:pPr>
              <w:spacing w:before="80" w:after="200" w:line="276" w:lineRule="auto"/>
              <w:jc w:val="center"/>
              <w:rPr>
                <w:rFonts w:eastAsia="Calibri" w:cs="Tahoma"/>
                <w:b/>
                <w:bCs/>
                <w:color w:val="000000"/>
                <w:szCs w:val="18"/>
                <w:lang w:eastAsia="ja-JP"/>
              </w:rPr>
            </w:pPr>
            <w:r w:rsidRPr="0058047D">
              <w:rPr>
                <w:rFonts w:eastAsia="Calibri" w:cs="Tahoma"/>
                <w:b/>
                <w:bCs/>
                <w:szCs w:val="18"/>
              </w:rPr>
              <w:t>CAL Suite Bridge</w:t>
            </w:r>
          </w:p>
        </w:tc>
        <w:tc>
          <w:tcPr>
            <w:tcW w:w="1526" w:type="pct"/>
            <w:tcBorders>
              <w:top w:val="single" w:sz="8" w:space="0" w:color="auto"/>
              <w:left w:val="nil"/>
              <w:bottom w:val="single" w:sz="8" w:space="0" w:color="auto"/>
              <w:right w:val="single" w:sz="8" w:space="0" w:color="auto"/>
            </w:tcBorders>
            <w:shd w:val="clear" w:color="auto" w:fill="FABF8F"/>
            <w:vAlign w:val="center"/>
            <w:hideMark/>
          </w:tcPr>
          <w:p w14:paraId="592D0968" w14:textId="77777777" w:rsidR="000773D2" w:rsidRPr="0058047D" w:rsidRDefault="000773D2" w:rsidP="000773D2">
            <w:pPr>
              <w:spacing w:before="80" w:after="200" w:line="276" w:lineRule="auto"/>
              <w:jc w:val="center"/>
              <w:rPr>
                <w:rFonts w:eastAsia="Calibri" w:cs="Tahoma"/>
                <w:b/>
                <w:bCs/>
                <w:color w:val="000000"/>
                <w:szCs w:val="18"/>
                <w:lang w:eastAsia="ja-JP"/>
              </w:rPr>
            </w:pPr>
            <w:r w:rsidRPr="0058047D">
              <w:rPr>
                <w:rFonts w:eastAsia="Calibri" w:cs="Tahoma"/>
                <w:b/>
                <w:bCs/>
                <w:szCs w:val="18"/>
              </w:rPr>
              <w:t>CAL Suite Principale</w:t>
            </w:r>
          </w:p>
        </w:tc>
        <w:tc>
          <w:tcPr>
            <w:tcW w:w="1842" w:type="pct"/>
            <w:tcBorders>
              <w:top w:val="single" w:sz="8" w:space="0" w:color="auto"/>
              <w:left w:val="nil"/>
              <w:bottom w:val="single" w:sz="8" w:space="0" w:color="auto"/>
              <w:right w:val="single" w:sz="8" w:space="0" w:color="auto"/>
            </w:tcBorders>
            <w:shd w:val="clear" w:color="auto" w:fill="FABF8F"/>
            <w:hideMark/>
          </w:tcPr>
          <w:p w14:paraId="2FCEC3D5" w14:textId="77777777" w:rsidR="000773D2" w:rsidRPr="0058047D" w:rsidRDefault="000773D2" w:rsidP="005A36EF">
            <w:pPr>
              <w:spacing w:before="80" w:after="200" w:line="276" w:lineRule="auto"/>
              <w:ind w:left="180" w:right="180"/>
              <w:jc w:val="center"/>
              <w:rPr>
                <w:rFonts w:eastAsia="Calibri" w:cs="Tahoma"/>
                <w:b/>
                <w:bCs/>
                <w:color w:val="000000"/>
                <w:szCs w:val="18"/>
                <w:lang w:eastAsia="ja-JP"/>
              </w:rPr>
            </w:pPr>
            <w:r w:rsidRPr="0058047D">
              <w:rPr>
                <w:rFonts w:eastAsia="Calibri" w:cs="Tahoma"/>
                <w:b/>
                <w:bCs/>
                <w:szCs w:val="18"/>
              </w:rPr>
              <w:t>Servizi Online Qualificanti</w:t>
            </w:r>
          </w:p>
        </w:tc>
      </w:tr>
      <w:tr w:rsidR="005A36EF" w:rsidRPr="0058047D" w14:paraId="5B902ED6" w14:textId="77777777" w:rsidTr="00834AC5">
        <w:trPr>
          <w:trHeight w:val="576"/>
        </w:trPr>
        <w:tc>
          <w:tcPr>
            <w:tcW w:w="1632" w:type="pct"/>
            <w:tcBorders>
              <w:top w:val="nil"/>
              <w:left w:val="single" w:sz="8" w:space="0" w:color="auto"/>
              <w:bottom w:val="single" w:sz="8" w:space="0" w:color="auto"/>
              <w:right w:val="single" w:sz="8" w:space="0" w:color="auto"/>
            </w:tcBorders>
          </w:tcPr>
          <w:p w14:paraId="49F0B885" w14:textId="77777777" w:rsidR="000773D2" w:rsidRPr="0058047D" w:rsidRDefault="000773D2" w:rsidP="00346F4B">
            <w:pPr>
              <w:numPr>
                <w:ilvl w:val="0"/>
                <w:numId w:val="40"/>
              </w:numPr>
              <w:spacing w:before="120" w:after="200" w:line="276" w:lineRule="auto"/>
              <w:ind w:left="679" w:right="181" w:hanging="450"/>
              <w:rPr>
                <w:rFonts w:eastAsia="Calibri" w:cs="Tahoma"/>
                <w:color w:val="000000"/>
                <w:szCs w:val="18"/>
              </w:rPr>
            </w:pPr>
            <w:r w:rsidRPr="0058047D">
              <w:rPr>
                <w:rFonts w:eastAsia="Calibri" w:cs="Tahoma"/>
                <w:color w:val="000000"/>
                <w:szCs w:val="18"/>
              </w:rPr>
              <w:t>Core CAL Suite Bridge per Office 365</w:t>
            </w:r>
          </w:p>
        </w:tc>
        <w:tc>
          <w:tcPr>
            <w:tcW w:w="1526" w:type="pct"/>
            <w:tcBorders>
              <w:top w:val="nil"/>
              <w:left w:val="nil"/>
              <w:bottom w:val="single" w:sz="8" w:space="0" w:color="auto"/>
              <w:right w:val="single" w:sz="8" w:space="0" w:color="auto"/>
            </w:tcBorders>
          </w:tcPr>
          <w:p w14:paraId="32E393DE" w14:textId="77777777" w:rsidR="000773D2" w:rsidRPr="0058047D" w:rsidRDefault="000773D2" w:rsidP="00346F4B">
            <w:pPr>
              <w:numPr>
                <w:ilvl w:val="0"/>
                <w:numId w:val="41"/>
              </w:numPr>
              <w:spacing w:before="120" w:after="200" w:line="276" w:lineRule="auto"/>
              <w:ind w:left="682" w:hanging="450"/>
              <w:rPr>
                <w:rFonts w:eastAsia="Calibri" w:cs="Tahoma"/>
                <w:color w:val="000000"/>
                <w:szCs w:val="18"/>
              </w:rPr>
            </w:pPr>
            <w:r w:rsidRPr="0058047D">
              <w:rPr>
                <w:rFonts w:eastAsia="Calibri" w:cs="Tahoma"/>
                <w:color w:val="000000"/>
                <w:szCs w:val="18"/>
              </w:rPr>
              <w:t>Core CAL Suite</w:t>
            </w:r>
          </w:p>
        </w:tc>
        <w:tc>
          <w:tcPr>
            <w:tcW w:w="1842" w:type="pct"/>
            <w:tcBorders>
              <w:top w:val="nil"/>
              <w:left w:val="nil"/>
              <w:bottom w:val="single" w:sz="8" w:space="0" w:color="auto"/>
              <w:right w:val="single" w:sz="8" w:space="0" w:color="auto"/>
            </w:tcBorders>
          </w:tcPr>
          <w:p w14:paraId="5FAC8569" w14:textId="77777777" w:rsidR="000773D2" w:rsidRPr="0058047D" w:rsidRDefault="000773D2" w:rsidP="00346F4B">
            <w:pPr>
              <w:numPr>
                <w:ilvl w:val="0"/>
                <w:numId w:val="42"/>
              </w:numPr>
              <w:spacing w:before="120" w:after="200" w:line="276" w:lineRule="auto"/>
              <w:ind w:left="684" w:right="181" w:hanging="450"/>
            </w:pPr>
            <w:r w:rsidRPr="0058047D">
              <w:rPr>
                <w:rFonts w:eastAsia="Calibri" w:cs="Tahoma"/>
                <w:color w:val="000000"/>
                <w:szCs w:val="18"/>
              </w:rPr>
              <w:t>Office 365 Enterprise E1 o</w:t>
            </w:r>
          </w:p>
          <w:p w14:paraId="7886FE35" w14:textId="77777777" w:rsidR="000773D2" w:rsidRPr="0058047D" w:rsidRDefault="000773D2" w:rsidP="00346F4B">
            <w:pPr>
              <w:numPr>
                <w:ilvl w:val="0"/>
                <w:numId w:val="42"/>
              </w:numPr>
              <w:spacing w:before="120" w:after="200" w:line="276" w:lineRule="auto"/>
              <w:ind w:left="684" w:right="181" w:hanging="450"/>
            </w:pPr>
            <w:r w:rsidRPr="0058047D">
              <w:rPr>
                <w:rFonts w:eastAsia="Calibri" w:cs="Tahoma"/>
                <w:color w:val="000000"/>
                <w:szCs w:val="18"/>
              </w:rPr>
              <w:t>Office 365 Enterprise E3 o</w:t>
            </w:r>
          </w:p>
          <w:p w14:paraId="6DD33B20" w14:textId="77777777" w:rsidR="000773D2" w:rsidRPr="0058047D" w:rsidRDefault="000773D2" w:rsidP="00346F4B">
            <w:pPr>
              <w:numPr>
                <w:ilvl w:val="0"/>
                <w:numId w:val="42"/>
              </w:numPr>
              <w:spacing w:before="120" w:after="200" w:line="276" w:lineRule="auto"/>
              <w:ind w:left="684" w:right="181" w:hanging="450"/>
              <w:rPr>
                <w:rFonts w:eastAsia="Calibri" w:cs="Tahoma"/>
                <w:color w:val="000000"/>
                <w:szCs w:val="18"/>
              </w:rPr>
            </w:pPr>
            <w:r w:rsidRPr="0058047D">
              <w:rPr>
                <w:rFonts w:eastAsia="Calibri" w:cs="Tahoma"/>
                <w:color w:val="000000"/>
                <w:szCs w:val="18"/>
              </w:rPr>
              <w:t>Office 365 Enterprise E4</w:t>
            </w:r>
          </w:p>
        </w:tc>
      </w:tr>
      <w:tr w:rsidR="005A36EF" w:rsidRPr="0058047D" w14:paraId="28473138" w14:textId="77777777" w:rsidTr="00834AC5">
        <w:trPr>
          <w:trHeight w:val="576"/>
        </w:trPr>
        <w:tc>
          <w:tcPr>
            <w:tcW w:w="1632" w:type="pct"/>
            <w:tcBorders>
              <w:top w:val="nil"/>
              <w:left w:val="single" w:sz="8" w:space="0" w:color="auto"/>
              <w:bottom w:val="single" w:sz="8" w:space="0" w:color="auto"/>
              <w:right w:val="single" w:sz="8" w:space="0" w:color="auto"/>
            </w:tcBorders>
          </w:tcPr>
          <w:p w14:paraId="4561BD74" w14:textId="77777777" w:rsidR="000773D2" w:rsidRPr="0058047D" w:rsidRDefault="000773D2" w:rsidP="00346F4B">
            <w:pPr>
              <w:numPr>
                <w:ilvl w:val="0"/>
                <w:numId w:val="40"/>
              </w:numPr>
              <w:spacing w:before="120" w:after="200" w:line="276" w:lineRule="auto"/>
              <w:ind w:left="679" w:right="181" w:hanging="450"/>
              <w:rPr>
                <w:rFonts w:eastAsia="Calibri" w:cs="Tahoma"/>
                <w:color w:val="000000"/>
                <w:szCs w:val="18"/>
              </w:rPr>
            </w:pPr>
            <w:r w:rsidRPr="0058047D">
              <w:rPr>
                <w:rFonts w:eastAsia="Calibri" w:cs="Tahoma"/>
                <w:color w:val="000000"/>
                <w:szCs w:val="18"/>
              </w:rPr>
              <w:t>Core CAL Suite Bridge per Office 365 e Windows Intune</w:t>
            </w:r>
          </w:p>
        </w:tc>
        <w:tc>
          <w:tcPr>
            <w:tcW w:w="1526" w:type="pct"/>
            <w:tcBorders>
              <w:top w:val="nil"/>
              <w:left w:val="nil"/>
              <w:bottom w:val="single" w:sz="8" w:space="0" w:color="auto"/>
              <w:right w:val="single" w:sz="8" w:space="0" w:color="auto"/>
            </w:tcBorders>
          </w:tcPr>
          <w:p w14:paraId="51ADF2B1" w14:textId="77777777" w:rsidR="000773D2" w:rsidRPr="0058047D" w:rsidRDefault="000773D2" w:rsidP="00346F4B">
            <w:pPr>
              <w:numPr>
                <w:ilvl w:val="0"/>
                <w:numId w:val="41"/>
              </w:numPr>
              <w:spacing w:before="120" w:after="200" w:line="276" w:lineRule="auto"/>
              <w:ind w:left="682" w:hanging="450"/>
              <w:rPr>
                <w:rFonts w:eastAsia="Calibri" w:cs="Tahoma"/>
                <w:color w:val="000000"/>
                <w:szCs w:val="18"/>
              </w:rPr>
            </w:pPr>
            <w:r w:rsidRPr="0058047D">
              <w:rPr>
                <w:rFonts w:eastAsia="Calibri" w:cs="Tahoma"/>
                <w:color w:val="000000"/>
                <w:szCs w:val="18"/>
              </w:rPr>
              <w:t>Core CAL Suite</w:t>
            </w:r>
          </w:p>
        </w:tc>
        <w:tc>
          <w:tcPr>
            <w:tcW w:w="1842" w:type="pct"/>
            <w:tcBorders>
              <w:top w:val="nil"/>
              <w:left w:val="nil"/>
              <w:bottom w:val="single" w:sz="8" w:space="0" w:color="auto"/>
              <w:right w:val="single" w:sz="8" w:space="0" w:color="auto"/>
            </w:tcBorders>
          </w:tcPr>
          <w:p w14:paraId="19444B31" w14:textId="77777777" w:rsidR="000773D2" w:rsidRPr="0058047D" w:rsidRDefault="000773D2" w:rsidP="00346F4B">
            <w:pPr>
              <w:numPr>
                <w:ilvl w:val="0"/>
                <w:numId w:val="42"/>
              </w:numPr>
              <w:spacing w:before="120" w:after="200" w:line="276" w:lineRule="auto"/>
              <w:ind w:left="684" w:right="181" w:hanging="450"/>
            </w:pPr>
            <w:r w:rsidRPr="0058047D">
              <w:rPr>
                <w:rFonts w:eastAsia="Calibri" w:cs="Tahoma"/>
                <w:color w:val="000000"/>
                <w:szCs w:val="18"/>
              </w:rPr>
              <w:t>Office 365 Enterprise E1 e Windows Intune o</w:t>
            </w:r>
          </w:p>
          <w:p w14:paraId="6C0556F0" w14:textId="77777777" w:rsidR="000773D2" w:rsidRPr="0058047D" w:rsidRDefault="000773D2" w:rsidP="00346F4B">
            <w:pPr>
              <w:numPr>
                <w:ilvl w:val="0"/>
                <w:numId w:val="42"/>
              </w:numPr>
              <w:spacing w:before="120" w:after="200" w:line="276" w:lineRule="auto"/>
              <w:ind w:left="684" w:right="181" w:hanging="450"/>
            </w:pPr>
            <w:r w:rsidRPr="0058047D">
              <w:rPr>
                <w:rFonts w:eastAsia="Calibri" w:cs="Tahoma"/>
                <w:color w:val="000000"/>
                <w:szCs w:val="18"/>
              </w:rPr>
              <w:t>Office 365 Enterprise E3 e Windows Intune o</w:t>
            </w:r>
          </w:p>
          <w:p w14:paraId="23E5219C" w14:textId="77777777" w:rsidR="000773D2" w:rsidRPr="0058047D" w:rsidRDefault="000773D2" w:rsidP="00346F4B">
            <w:pPr>
              <w:numPr>
                <w:ilvl w:val="0"/>
                <w:numId w:val="42"/>
              </w:numPr>
              <w:spacing w:before="120" w:after="200" w:line="276" w:lineRule="auto"/>
              <w:ind w:left="684" w:right="181" w:hanging="450"/>
              <w:rPr>
                <w:rFonts w:eastAsia="Calibri" w:cs="Tahoma"/>
                <w:color w:val="000000"/>
                <w:szCs w:val="18"/>
              </w:rPr>
            </w:pPr>
            <w:r w:rsidRPr="0058047D">
              <w:rPr>
                <w:rFonts w:eastAsia="Calibri" w:cs="Tahoma"/>
                <w:color w:val="000000"/>
                <w:szCs w:val="18"/>
              </w:rPr>
              <w:t>Office 365 Enterprise E4 e Windows Intune</w:t>
            </w:r>
          </w:p>
        </w:tc>
      </w:tr>
      <w:tr w:rsidR="00A2083B" w:rsidRPr="0058047D" w14:paraId="76E7AAA6" w14:textId="77777777" w:rsidTr="00834AC5">
        <w:trPr>
          <w:trHeight w:val="576"/>
        </w:trPr>
        <w:tc>
          <w:tcPr>
            <w:tcW w:w="1632" w:type="pct"/>
            <w:tcBorders>
              <w:top w:val="single" w:sz="8" w:space="0" w:color="auto"/>
              <w:left w:val="single" w:sz="8" w:space="0" w:color="auto"/>
              <w:bottom w:val="single" w:sz="8" w:space="0" w:color="auto"/>
              <w:right w:val="single" w:sz="8" w:space="0" w:color="auto"/>
            </w:tcBorders>
          </w:tcPr>
          <w:p w14:paraId="4E37F920" w14:textId="77777777" w:rsidR="00A2083B" w:rsidRPr="0058047D" w:rsidRDefault="00A2083B" w:rsidP="00346F4B">
            <w:pPr>
              <w:numPr>
                <w:ilvl w:val="0"/>
                <w:numId w:val="40"/>
              </w:numPr>
              <w:spacing w:before="120" w:after="200" w:line="276" w:lineRule="auto"/>
              <w:ind w:left="679" w:right="181" w:hanging="450"/>
              <w:rPr>
                <w:rFonts w:eastAsia="Calibri" w:cs="Tahoma"/>
                <w:color w:val="000000"/>
                <w:szCs w:val="18"/>
              </w:rPr>
            </w:pPr>
            <w:r w:rsidRPr="0058047D">
              <w:rPr>
                <w:rFonts w:cs="Tahoma"/>
                <w:color w:val="000000"/>
                <w:szCs w:val="18"/>
              </w:rPr>
              <w:t>Core CAL Suite Bridge per Windows Intune</w:t>
            </w:r>
          </w:p>
        </w:tc>
        <w:tc>
          <w:tcPr>
            <w:tcW w:w="1526" w:type="pct"/>
            <w:tcBorders>
              <w:top w:val="single" w:sz="8" w:space="0" w:color="auto"/>
              <w:left w:val="nil"/>
              <w:bottom w:val="single" w:sz="8" w:space="0" w:color="auto"/>
              <w:right w:val="single" w:sz="8" w:space="0" w:color="auto"/>
            </w:tcBorders>
          </w:tcPr>
          <w:p w14:paraId="545D1AEA" w14:textId="77777777" w:rsidR="00A2083B" w:rsidRPr="0058047D" w:rsidRDefault="00A2083B" w:rsidP="00346F4B">
            <w:pPr>
              <w:numPr>
                <w:ilvl w:val="0"/>
                <w:numId w:val="41"/>
              </w:numPr>
              <w:spacing w:before="120" w:after="200" w:line="276" w:lineRule="auto"/>
              <w:ind w:left="682" w:hanging="450"/>
              <w:rPr>
                <w:rFonts w:eastAsia="Calibri" w:cs="Tahoma"/>
                <w:color w:val="000000"/>
                <w:szCs w:val="18"/>
              </w:rPr>
            </w:pPr>
            <w:r w:rsidRPr="0058047D">
              <w:rPr>
                <w:rFonts w:cs="Tahoma"/>
                <w:color w:val="000000"/>
                <w:szCs w:val="18"/>
              </w:rPr>
              <w:t>Core CAL Suite</w:t>
            </w:r>
          </w:p>
        </w:tc>
        <w:tc>
          <w:tcPr>
            <w:tcW w:w="1842" w:type="pct"/>
            <w:tcBorders>
              <w:top w:val="single" w:sz="8" w:space="0" w:color="auto"/>
              <w:left w:val="nil"/>
              <w:bottom w:val="single" w:sz="8" w:space="0" w:color="auto"/>
              <w:right w:val="single" w:sz="8" w:space="0" w:color="auto"/>
            </w:tcBorders>
          </w:tcPr>
          <w:p w14:paraId="12DE5821" w14:textId="77777777" w:rsidR="00A2083B" w:rsidRPr="0058047D" w:rsidRDefault="00A2083B" w:rsidP="00346F4B">
            <w:pPr>
              <w:numPr>
                <w:ilvl w:val="0"/>
                <w:numId w:val="42"/>
              </w:numPr>
              <w:spacing w:before="120" w:after="200" w:line="276" w:lineRule="auto"/>
              <w:ind w:left="684" w:right="181" w:hanging="450"/>
              <w:rPr>
                <w:rFonts w:eastAsia="Calibri" w:cs="Tahoma"/>
                <w:color w:val="000000"/>
                <w:szCs w:val="18"/>
              </w:rPr>
            </w:pPr>
            <w:r w:rsidRPr="0058047D">
              <w:rPr>
                <w:rFonts w:cs="Tahoma"/>
                <w:color w:val="000000"/>
                <w:szCs w:val="18"/>
              </w:rPr>
              <w:t>Windows</w:t>
            </w:r>
            <w:r w:rsidRPr="0058047D">
              <w:rPr>
                <w:rFonts w:cs="Tahoma"/>
                <w:color w:val="000000"/>
                <w:szCs w:val="18"/>
                <w:vertAlign w:val="superscript"/>
              </w:rPr>
              <w:t xml:space="preserve"> </w:t>
            </w:r>
            <w:r w:rsidRPr="0058047D">
              <w:rPr>
                <w:rFonts w:cs="Tahoma"/>
                <w:color w:val="000000"/>
                <w:szCs w:val="18"/>
              </w:rPr>
              <w:t>Intune</w:t>
            </w:r>
          </w:p>
        </w:tc>
      </w:tr>
    </w:tbl>
    <w:p w14:paraId="308A9924" w14:textId="77777777" w:rsidR="00A66BD2" w:rsidRPr="0058047D" w:rsidRDefault="00A66BD2" w:rsidP="00AF3B19">
      <w:pPr>
        <w:pStyle w:val="Heading3"/>
      </w:pPr>
      <w:bookmarkStart w:id="1146" w:name="_Toc336338295"/>
      <w:bookmarkStart w:id="1147" w:name="Srv_34CoreCALSuite"/>
      <w:bookmarkStart w:id="1148" w:name="Srv_31CoreCALSuite"/>
    </w:p>
    <w:p w14:paraId="5021D737" w14:textId="77777777" w:rsidR="00A66BD2" w:rsidRPr="0058047D" w:rsidRDefault="00A66BD2" w:rsidP="00AF3B19">
      <w:pPr>
        <w:pStyle w:val="Heading3"/>
      </w:pPr>
    </w:p>
    <w:p w14:paraId="3D4A2A5A" w14:textId="77777777" w:rsidR="00023FE7" w:rsidRPr="0058047D" w:rsidRDefault="00A560B6" w:rsidP="001760D6">
      <w:pPr>
        <w:pStyle w:val="Heading3"/>
        <w:keepNext/>
      </w:pPr>
      <w:bookmarkStart w:id="1149" w:name="_40_Core_CAL"/>
      <w:bookmarkStart w:id="1150" w:name="_Toc371663693"/>
      <w:bookmarkEnd w:id="1149"/>
      <w:r w:rsidRPr="0058047D">
        <w:rPr>
          <w:rFonts w:ascii="Tahoma" w:hAnsi="Tahoma"/>
          <w:caps/>
          <w:color w:val="F66400"/>
          <w:sz w:val="22"/>
          <w:vertAlign w:val="superscript"/>
        </w:rPr>
        <w:t>40</w:t>
      </w:r>
      <w:r w:rsidRPr="0058047D">
        <w:rPr>
          <w:rFonts w:ascii="Tahoma" w:hAnsi="Tahoma"/>
          <w:color w:val="F66400"/>
          <w:sz w:val="22"/>
        </w:rPr>
        <w:t xml:space="preserve"> Core CAL Suite</w:t>
      </w:r>
      <w:bookmarkEnd w:id="1146"/>
      <w:bookmarkEnd w:id="1150"/>
    </w:p>
    <w:bookmarkEnd w:id="1147"/>
    <w:bookmarkEnd w:id="1148"/>
    <w:p w14:paraId="6147A293" w14:textId="77777777" w:rsidR="00023FE7" w:rsidRPr="0058047D" w:rsidRDefault="00023FE7" w:rsidP="001760D6">
      <w:pPr>
        <w:keepNext/>
        <w:ind w:firstLine="547"/>
      </w:pPr>
    </w:p>
    <w:p w14:paraId="1434C01D" w14:textId="77777777" w:rsidR="000D76F0" w:rsidRPr="0058047D" w:rsidRDefault="000D76F0" w:rsidP="001154B5">
      <w:pPr>
        <w:ind w:left="720"/>
      </w:pPr>
      <w:r w:rsidRPr="0058047D">
        <w:rPr>
          <w:rFonts w:cs="Tahoma"/>
          <w:szCs w:val="20"/>
        </w:rPr>
        <w:t xml:space="preserve">Core CAL Suite non dispone di versioni e i diritti di utilizzo del prodotto sono determinati dallo stato della copertura Software Assurance per Core CAL Suite. Qualora la copertura sia scaduta, i diritti di accesso attribuiti da licenze perpetue sono determinati sulla base dei diritti di utilizzo del prodotto in vigore prima della scadenza della copertura. A partire dal 1 ottobre 2012 una licenza per Core </w:t>
      </w:r>
      <w:r w:rsidRPr="0058047D">
        <w:rPr>
          <w:rFonts w:cs="Tahoma"/>
          <w:color w:val="000000"/>
          <w:szCs w:val="20"/>
        </w:rPr>
        <w:t xml:space="preserve">CAL Suite con copertura Software Assurance attiva concede diritti equivalenti ai seguenti prodotti: CAL per Windows Server 2012, Standard CAL per Exchange Server 2013, </w:t>
      </w:r>
      <w:r w:rsidRPr="0058047D">
        <w:rPr>
          <w:color w:val="000000"/>
        </w:rPr>
        <w:t xml:space="preserve">Standard CAL per Lync Server 2013, </w:t>
      </w:r>
      <w:r w:rsidRPr="0058047D">
        <w:rPr>
          <w:rFonts w:cs="Tahoma"/>
          <w:color w:val="000000"/>
          <w:szCs w:val="20"/>
        </w:rPr>
        <w:t>Standard CAL per SharePoint</w:t>
      </w:r>
      <w:r w:rsidRPr="0058047D">
        <w:rPr>
          <w:rFonts w:cs="Tahoma"/>
          <w:szCs w:val="20"/>
        </w:rPr>
        <w:t xml:space="preserve"> Server 2013, Licenza di Gestione Client per System Center 2012 Configuration Manager e System Center 2012 Endpoint Protection</w:t>
      </w:r>
      <w:r w:rsidRPr="0058047D">
        <w:rPr>
          <w:rFonts w:cs="Tahoma"/>
          <w:color w:val="000000"/>
          <w:szCs w:val="20"/>
        </w:rPr>
        <w:t>.</w:t>
      </w:r>
      <w:r w:rsidR="00E34ED3" w:rsidRPr="0058047D">
        <w:rPr>
          <w:rFonts w:cs="Tahoma"/>
          <w:color w:val="000000"/>
          <w:szCs w:val="20"/>
        </w:rPr>
        <w:t xml:space="preserve"> </w:t>
      </w:r>
      <w:r w:rsidRPr="0058047D">
        <w:rPr>
          <w:rFonts w:cs="Tahoma"/>
          <w:color w:val="000000"/>
          <w:szCs w:val="18"/>
        </w:rPr>
        <w:t>Una licenza per Core CAL Suite è una licenza singola che deve essere ceduta a un singolo utente o dispositivo. Secondo quanto previsto nel relativo contratto multilicenza, le società non sono autorizzate a separare i diritti di Core CAL Suite per consentire a due o più utenti o dispositivi di accedere contemporaneamente ai diversi componenti. </w:t>
      </w:r>
    </w:p>
    <w:p w14:paraId="46BAE2CA" w14:textId="77777777" w:rsidR="00023FE7" w:rsidRPr="0058047D" w:rsidRDefault="00023FE7" w:rsidP="001154B5">
      <w:pPr>
        <w:ind w:left="720"/>
      </w:pPr>
    </w:p>
    <w:p w14:paraId="0A9B3973" w14:textId="77777777" w:rsidR="00023FE7" w:rsidRPr="0058047D" w:rsidRDefault="00023FE7" w:rsidP="00A66BD2">
      <w:pPr>
        <w:spacing w:after="60"/>
        <w:ind w:left="720"/>
      </w:pPr>
      <w:r w:rsidRPr="0058047D">
        <w:rPr>
          <w:rFonts w:cs="Tahoma"/>
          <w:b/>
          <w:bCs/>
          <w:color w:val="000000"/>
          <w:szCs w:val="20"/>
        </w:rPr>
        <w:t>CAL Solo per Studenti (Academic Open License e Academic Select)</w:t>
      </w:r>
    </w:p>
    <w:p w14:paraId="7FF7B0FD" w14:textId="77777777" w:rsidR="00023FE7" w:rsidRPr="0058047D" w:rsidRDefault="00023FE7" w:rsidP="001154B5">
      <w:pPr>
        <w:ind w:left="720"/>
      </w:pPr>
      <w:r w:rsidRPr="0058047D">
        <w:rPr>
          <w:rFonts w:cs="Tahoma"/>
          <w:szCs w:val="20"/>
        </w:rPr>
        <w:t>Le CAL Solo per Studenti sono limitate ai PC di proprietà dello studente titolare della licenza o ai PC di</w:t>
      </w:r>
      <w:r w:rsidR="007153B4">
        <w:rPr>
          <w:rFonts w:cs="Tahoma"/>
          <w:szCs w:val="20"/>
        </w:rPr>
        <w:t> </w:t>
      </w:r>
      <w:r w:rsidRPr="0058047D">
        <w:rPr>
          <w:rFonts w:cs="Tahoma"/>
          <w:szCs w:val="20"/>
        </w:rPr>
        <w:t>proprietà dell</w:t>
      </w:r>
      <w:r w:rsidR="001C4212">
        <w:rPr>
          <w:rFonts w:cs="Tahoma"/>
          <w:szCs w:val="20"/>
        </w:rPr>
        <w:t>’</w:t>
      </w:r>
      <w:r w:rsidRPr="0058047D">
        <w:rPr>
          <w:rFonts w:cs="Tahoma"/>
          <w:szCs w:val="20"/>
        </w:rPr>
        <w:t>Istituto che siano assegnati a un singolo studente e NON siano utilizzati nei laboratori o</w:t>
      </w:r>
      <w:r w:rsidR="007153B4">
        <w:rPr>
          <w:rFonts w:cs="Tahoma"/>
          <w:szCs w:val="20"/>
        </w:rPr>
        <w:t> </w:t>
      </w:r>
      <w:r w:rsidRPr="0058047D">
        <w:rPr>
          <w:rFonts w:cs="Tahoma"/>
          <w:szCs w:val="20"/>
        </w:rPr>
        <w:t>in</w:t>
      </w:r>
      <w:r w:rsidR="007153B4">
        <w:rPr>
          <w:rFonts w:cs="Tahoma"/>
          <w:szCs w:val="20"/>
        </w:rPr>
        <w:t> </w:t>
      </w:r>
      <w:r w:rsidRPr="0058047D">
        <w:rPr>
          <w:rFonts w:cs="Tahoma"/>
          <w:szCs w:val="20"/>
        </w:rPr>
        <w:t>classe.</w:t>
      </w:r>
    </w:p>
    <w:p w14:paraId="5C4DCD4C" w14:textId="77777777" w:rsidR="0036063B" w:rsidRPr="0058047D" w:rsidRDefault="0036063B" w:rsidP="00AF3B19"/>
    <w:p w14:paraId="2FC9D253" w14:textId="77777777" w:rsidR="00285E3D" w:rsidRPr="0058047D" w:rsidRDefault="00285E3D" w:rsidP="00AF3B19"/>
    <w:p w14:paraId="6C967B56" w14:textId="77777777" w:rsidR="00B947E4" w:rsidRPr="0058047D" w:rsidRDefault="00A560B6" w:rsidP="00416294">
      <w:pPr>
        <w:pStyle w:val="Heading3"/>
      </w:pPr>
      <w:bookmarkStart w:id="1151" w:name="_41_Core_Infrastructure"/>
      <w:bookmarkStart w:id="1152" w:name="_Toc336338296"/>
      <w:bookmarkStart w:id="1153" w:name="_Toc371663694"/>
      <w:bookmarkStart w:id="1154" w:name="Srv_35CoreInfraServerSuiteStd"/>
      <w:bookmarkStart w:id="1155" w:name="Srv_32CoreInfraServerSuiteStd"/>
      <w:bookmarkStart w:id="1156" w:name="Srv_35DynCRMWorkProEnt"/>
      <w:bookmarkEnd w:id="1151"/>
      <w:r w:rsidRPr="0058047D">
        <w:rPr>
          <w:rFonts w:ascii="Tahoma" w:hAnsi="Tahoma"/>
          <w:caps/>
          <w:color w:val="F66400"/>
          <w:sz w:val="22"/>
          <w:vertAlign w:val="superscript"/>
        </w:rPr>
        <w:t>41</w:t>
      </w:r>
      <w:r w:rsidRPr="0058047D">
        <w:rPr>
          <w:rFonts w:ascii="Tahoma" w:hAnsi="Tahoma"/>
          <w:color w:val="F66400"/>
          <w:sz w:val="22"/>
        </w:rPr>
        <w:t xml:space="preserve"> Core Infrastructure Server Suite Standard</w:t>
      </w:r>
      <w:bookmarkEnd w:id="1152"/>
      <w:bookmarkEnd w:id="1153"/>
    </w:p>
    <w:bookmarkEnd w:id="1154"/>
    <w:bookmarkEnd w:id="1155"/>
    <w:p w14:paraId="6406937E" w14:textId="77777777" w:rsidR="004D776B" w:rsidRPr="0058047D" w:rsidRDefault="004D776B" w:rsidP="00416294"/>
    <w:p w14:paraId="6B552F59" w14:textId="77777777" w:rsidR="004D776B" w:rsidRPr="0058047D" w:rsidRDefault="00A66BD2" w:rsidP="00A66BD2">
      <w:pPr>
        <w:spacing w:after="60"/>
        <w:ind w:left="720"/>
      </w:pPr>
      <w:r w:rsidRPr="0058047D">
        <w:rPr>
          <w:rFonts w:eastAsia="Calibri" w:cs="Tahoma"/>
          <w:b/>
          <w:szCs w:val="18"/>
        </w:rPr>
        <w:t>Migrazione al Nuovo Modello di Licenza</w:t>
      </w:r>
    </w:p>
    <w:p w14:paraId="3E065CB9" w14:textId="77777777" w:rsidR="004D776B" w:rsidRPr="0058047D" w:rsidRDefault="004D776B" w:rsidP="00A66BD2">
      <w:pPr>
        <w:ind w:left="720"/>
      </w:pPr>
      <w:r w:rsidRPr="0058047D">
        <w:rPr>
          <w:rFonts w:eastAsia="Calibri" w:cs="Tahoma"/>
          <w:szCs w:val="18"/>
        </w:rPr>
        <w:t>In data 1 aprile 2012 il modello di licenza per CIS è cambiato. Le licenze acquistate ai sensi di nuove iscrizioni in vigore dopo il 1 aprile 2012 possono coprire fino a due processori fisici.</w:t>
      </w:r>
    </w:p>
    <w:p w14:paraId="151FF48F" w14:textId="77777777" w:rsidR="00A66BD2" w:rsidRPr="0058047D" w:rsidRDefault="00A66BD2" w:rsidP="00A66BD2">
      <w:pPr>
        <w:ind w:left="720"/>
      </w:pPr>
    </w:p>
    <w:p w14:paraId="05F5D324" w14:textId="77777777" w:rsidR="004D776B" w:rsidRPr="0058047D" w:rsidRDefault="004D776B" w:rsidP="00A66BD2">
      <w:pPr>
        <w:ind w:left="720"/>
      </w:pPr>
      <w:r w:rsidRPr="0058047D">
        <w:rPr>
          <w:rFonts w:eastAsia="Calibri" w:cs="Tahoma"/>
          <w:szCs w:val="18"/>
        </w:rPr>
        <w:t>Le società con iscrizioni esistenti in data 1 aprile 2012 (in vigore in data 1 aprile 2012 o antecedente) possono continuare a effettuare il true-up delle licenze acquistate ai sensi del modello precedente in base al quale ciascuna licenza può autorizzare un solo processore. I seguenti diritti di migrazione si applicano alle licenze di queste società:</w:t>
      </w:r>
    </w:p>
    <w:p w14:paraId="42B1C09A" w14:textId="77777777" w:rsidR="004D776B" w:rsidRPr="0058047D" w:rsidRDefault="004D776B" w:rsidP="00A66BD2">
      <w:pPr>
        <w:pStyle w:val="ListParagraph"/>
        <w:contextualSpacing w:val="0"/>
      </w:pPr>
      <w:r w:rsidRPr="0058047D">
        <w:rPr>
          <w:rFonts w:ascii="Tahoma" w:eastAsia="Calibri" w:hAnsi="Tahoma" w:cs="Tahoma"/>
          <w:sz w:val="18"/>
          <w:szCs w:val="18"/>
        </w:rPr>
        <w:t>Per la durata dell</w:t>
      </w:r>
      <w:r w:rsidR="001C4212">
        <w:rPr>
          <w:rFonts w:ascii="Tahoma" w:eastAsia="Calibri" w:hAnsi="Tahoma" w:cs="Tahoma"/>
          <w:sz w:val="18"/>
          <w:szCs w:val="18"/>
        </w:rPr>
        <w:t>’</w:t>
      </w:r>
      <w:r w:rsidRPr="0058047D">
        <w:rPr>
          <w:rFonts w:ascii="Tahoma" w:eastAsia="Calibri" w:hAnsi="Tahoma" w:cs="Tahoma"/>
          <w:sz w:val="18"/>
          <w:szCs w:val="18"/>
        </w:rPr>
        <w:t>iscrizione in essere le licenze nuove ed esistenti delle società, acquistate ai sensi del modello precedente, saranno considerate equivalenti alle licenze previste dal nuovo modello in percentuale di 1:1. In occasione del rinnovo le società possono rinnovare la copertura Software Assurance per le licenze del nuovo modello.</w:t>
      </w:r>
    </w:p>
    <w:p w14:paraId="3836BA73" w14:textId="77777777" w:rsidR="00973A93" w:rsidRPr="0058047D" w:rsidRDefault="00973A93"/>
    <w:p w14:paraId="269B93D6" w14:textId="77777777" w:rsidR="004D776B" w:rsidRPr="0058047D" w:rsidRDefault="004D776B" w:rsidP="00A66BD2">
      <w:pPr>
        <w:spacing w:after="60"/>
        <w:ind w:left="720"/>
      </w:pPr>
      <w:r w:rsidRPr="0058047D">
        <w:rPr>
          <w:rFonts w:eastAsia="Calibri" w:cs="Tahoma"/>
          <w:b/>
          <w:szCs w:val="18"/>
        </w:rPr>
        <w:t>Rilascio di una Nuova Versione di Windows Server</w:t>
      </w:r>
    </w:p>
    <w:p w14:paraId="39834C37" w14:textId="77777777" w:rsidR="004D776B" w:rsidRPr="0058047D" w:rsidRDefault="004D776B" w:rsidP="00A66BD2">
      <w:pPr>
        <w:ind w:left="720"/>
      </w:pPr>
      <w:r w:rsidRPr="0058047D">
        <w:rPr>
          <w:rFonts w:eastAsia="Calibri" w:cs="Tahoma"/>
          <w:szCs w:val="18"/>
        </w:rPr>
        <w:t>Le società titolari di licenze per Core Infrastructure Server Suite Standard con copertura Software Assurance attiva in data 1 settembre 2012 avranno il diritto di utilizzare i seguenti prodotti in conformità ai diritti di utilizzo del prodotto per Core Infrastructure Server Suite Standard:</w:t>
      </w:r>
    </w:p>
    <w:p w14:paraId="7D0F9ACA" w14:textId="77777777" w:rsidR="00A66BD2" w:rsidRPr="0058047D" w:rsidRDefault="00A66BD2" w:rsidP="00A66BD2">
      <w:pPr>
        <w:ind w:left="720"/>
      </w:pPr>
    </w:p>
    <w:p w14:paraId="5AB23C28" w14:textId="77777777" w:rsidR="004D776B" w:rsidRPr="0058047D" w:rsidRDefault="004D776B" w:rsidP="00346F4B">
      <w:pPr>
        <w:numPr>
          <w:ilvl w:val="0"/>
          <w:numId w:val="23"/>
        </w:numPr>
        <w:tabs>
          <w:tab w:val="left" w:pos="1440"/>
          <w:tab w:val="left" w:pos="3510"/>
        </w:tabs>
        <w:spacing w:after="60"/>
      </w:pPr>
      <w:r w:rsidRPr="0058047D">
        <w:rPr>
          <w:rFonts w:eastAsia="Calibri" w:cs="Tahoma"/>
          <w:szCs w:val="18"/>
        </w:rPr>
        <w:t>Windows Server 2012 Standard</w:t>
      </w:r>
    </w:p>
    <w:p w14:paraId="02BA9F47" w14:textId="77777777" w:rsidR="004D776B" w:rsidRPr="00834AC5" w:rsidRDefault="004D776B" w:rsidP="00346F4B">
      <w:pPr>
        <w:numPr>
          <w:ilvl w:val="0"/>
          <w:numId w:val="23"/>
        </w:numPr>
        <w:tabs>
          <w:tab w:val="left" w:pos="1440"/>
          <w:tab w:val="left" w:pos="3510"/>
        </w:tabs>
        <w:spacing w:after="60"/>
      </w:pPr>
      <w:r w:rsidRPr="0058047D">
        <w:rPr>
          <w:rFonts w:eastAsia="Calibri" w:cs="Tahoma"/>
          <w:szCs w:val="18"/>
        </w:rPr>
        <w:t>System Center 2012 Standard</w:t>
      </w:r>
    </w:p>
    <w:p w14:paraId="4C7D2AFA" w14:textId="77777777" w:rsidR="00834AC5" w:rsidRPr="0058047D" w:rsidRDefault="00834AC5" w:rsidP="00834AC5">
      <w:pPr>
        <w:tabs>
          <w:tab w:val="left" w:pos="1440"/>
          <w:tab w:val="left" w:pos="3510"/>
        </w:tabs>
        <w:spacing w:after="60"/>
        <w:ind w:left="1080"/>
      </w:pPr>
    </w:p>
    <w:p w14:paraId="78E69DE6" w14:textId="77777777" w:rsidR="004D776B" w:rsidRPr="0058047D" w:rsidRDefault="004D776B" w:rsidP="00A66BD2">
      <w:pPr>
        <w:ind w:left="720"/>
      </w:pPr>
      <w:r w:rsidRPr="0058047D">
        <w:rPr>
          <w:rFonts w:eastAsia="Calibri" w:cs="Tahoma"/>
          <w:szCs w:val="18"/>
        </w:rPr>
        <w:t>Per i server che dispongono di una licenza valida per Core Infrastructure Server Suite Standard le società potranno eseguire un</w:t>
      </w:r>
      <w:r w:rsidR="001C4212">
        <w:rPr>
          <w:rFonts w:eastAsia="Calibri" w:cs="Tahoma"/>
          <w:szCs w:val="18"/>
        </w:rPr>
        <w:t>’</w:t>
      </w:r>
      <w:r w:rsidRPr="0058047D">
        <w:rPr>
          <w:rFonts w:eastAsia="Calibri" w:cs="Tahoma"/>
          <w:szCs w:val="18"/>
        </w:rPr>
        <w:t>istanza di Windows Server 2008 R2 Enterprise anziché di Windows Server Standard.</w:t>
      </w:r>
    </w:p>
    <w:p w14:paraId="424472AC" w14:textId="77777777" w:rsidR="00A66BD2" w:rsidRPr="0058047D" w:rsidRDefault="00A66BD2" w:rsidP="00A66BD2">
      <w:pPr>
        <w:ind w:left="720"/>
      </w:pPr>
    </w:p>
    <w:p w14:paraId="56EFFC89" w14:textId="77777777" w:rsidR="004D776B" w:rsidRPr="0058047D" w:rsidRDefault="004D776B" w:rsidP="00A66BD2">
      <w:pPr>
        <w:spacing w:after="60"/>
        <w:ind w:left="720"/>
      </w:pPr>
      <w:r w:rsidRPr="0058047D">
        <w:rPr>
          <w:rFonts w:eastAsia="Calibri" w:cs="Tahoma"/>
          <w:b/>
          <w:szCs w:val="18"/>
        </w:rPr>
        <w:t>Offerta di Rinnovo di Software Assurance per le Società Titolari di Windows Server Standard e</w:t>
      </w:r>
      <w:r w:rsidR="007153B4">
        <w:rPr>
          <w:rFonts w:eastAsia="Calibri" w:cs="Tahoma"/>
          <w:b/>
          <w:szCs w:val="18"/>
        </w:rPr>
        <w:t> </w:t>
      </w:r>
      <w:r w:rsidRPr="0058047D">
        <w:rPr>
          <w:rFonts w:eastAsia="Calibri" w:cs="Tahoma"/>
          <w:b/>
          <w:szCs w:val="18"/>
        </w:rPr>
        <w:t>System Center Standard e per le Società Titolari di Windows Server Enterprise e System Center Standard</w:t>
      </w:r>
    </w:p>
    <w:p w14:paraId="4FB7FB9F" w14:textId="77777777" w:rsidR="004D776B" w:rsidRPr="0058047D" w:rsidRDefault="004D776B" w:rsidP="00A66BD2">
      <w:pPr>
        <w:ind w:left="720"/>
      </w:pPr>
      <w:r w:rsidRPr="0058047D">
        <w:rPr>
          <w:rFonts w:eastAsia="Calibri" w:cs="Tahoma"/>
          <w:szCs w:val="18"/>
        </w:rPr>
        <w:t>Le società titolari di licenze con copertura Software Assurance attiva per tutti i prodotti indicati nella Tabella</w:t>
      </w:r>
      <w:r w:rsidR="007153B4">
        <w:rPr>
          <w:rFonts w:eastAsia="Calibri" w:cs="Tahoma"/>
          <w:szCs w:val="18"/>
        </w:rPr>
        <w:t> </w:t>
      </w:r>
      <w:r w:rsidRPr="0058047D">
        <w:rPr>
          <w:rFonts w:eastAsia="Calibri" w:cs="Tahoma"/>
          <w:szCs w:val="18"/>
        </w:rPr>
        <w:t>A che segue potranno, alla scadenza di tale copertura, acquistare Software Assurance per Core Infrastructure Server Suite Standard senza dover acquistare la sottostante licenza per Core Infrastructure Server Suite Standard.</w:t>
      </w:r>
    </w:p>
    <w:p w14:paraId="603CD328" w14:textId="77777777" w:rsidR="00A66BD2" w:rsidRPr="0058047D" w:rsidRDefault="00A66BD2" w:rsidP="00A66BD2">
      <w:pPr>
        <w:ind w:left="720"/>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58047D" w14:paraId="26B95591"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187DA1EA" w14:textId="77777777" w:rsidR="004D776B" w:rsidRPr="0058047D" w:rsidRDefault="004D776B" w:rsidP="007E466C">
            <w:pPr>
              <w:spacing w:before="120" w:after="120" w:line="276" w:lineRule="auto"/>
              <w:ind w:left="-404"/>
              <w:jc w:val="center"/>
              <w:rPr>
                <w:rFonts w:eastAsia="Calibri" w:cs="Tahoma"/>
                <w:b/>
                <w:szCs w:val="18"/>
              </w:rPr>
            </w:pPr>
            <w:r w:rsidRPr="0058047D">
              <w:rPr>
                <w:rFonts w:eastAsia="Calibri" w:cs="Tahoma"/>
                <w:b/>
                <w:szCs w:val="18"/>
              </w:rPr>
              <w:t>Tabella A</w:t>
            </w:r>
          </w:p>
        </w:tc>
      </w:tr>
      <w:tr w:rsidR="004D776B" w:rsidRPr="0058047D" w14:paraId="3BDC5DEE"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2F146110" w14:textId="77777777" w:rsidR="004D776B" w:rsidRPr="0058047D" w:rsidRDefault="004D776B" w:rsidP="007E466C">
            <w:pPr>
              <w:spacing w:before="120" w:after="120" w:line="276" w:lineRule="auto"/>
              <w:ind w:left="-404"/>
              <w:jc w:val="center"/>
              <w:rPr>
                <w:rFonts w:eastAsia="Calibri" w:cs="Tahoma"/>
                <w:szCs w:val="18"/>
              </w:rPr>
            </w:pPr>
            <w:r w:rsidRPr="0058047D">
              <w:rPr>
                <w:rFonts w:eastAsia="Calibri" w:cs="Tahoma"/>
                <w:szCs w:val="18"/>
              </w:rPr>
              <w:t>Windows Server Standard</w:t>
            </w:r>
          </w:p>
        </w:tc>
      </w:tr>
      <w:tr w:rsidR="004D776B" w:rsidRPr="0058047D" w14:paraId="44CD1FD3"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100C595E" w14:textId="77777777" w:rsidR="004D776B" w:rsidRPr="0058047D" w:rsidRDefault="004D776B" w:rsidP="007E466C">
            <w:pPr>
              <w:spacing w:before="120" w:after="120" w:line="276" w:lineRule="auto"/>
              <w:ind w:left="-404"/>
              <w:jc w:val="center"/>
              <w:rPr>
                <w:rFonts w:eastAsia="Calibri" w:cs="Tahoma"/>
                <w:szCs w:val="18"/>
              </w:rPr>
            </w:pPr>
            <w:r w:rsidRPr="0058047D">
              <w:rPr>
                <w:rFonts w:eastAsia="Calibri" w:cs="Tahoma"/>
                <w:szCs w:val="18"/>
              </w:rPr>
              <w:t>System Center Standard</w:t>
            </w:r>
          </w:p>
        </w:tc>
      </w:tr>
    </w:tbl>
    <w:p w14:paraId="0C4AAFBB" w14:textId="77777777" w:rsidR="00416294" w:rsidRPr="0058047D" w:rsidRDefault="00416294" w:rsidP="00416294">
      <w:pPr>
        <w:ind w:left="547"/>
      </w:pPr>
    </w:p>
    <w:p w14:paraId="284456C0" w14:textId="77777777" w:rsidR="004D776B" w:rsidRPr="0058047D" w:rsidRDefault="004D776B" w:rsidP="00A66BD2">
      <w:pPr>
        <w:ind w:left="720"/>
      </w:pPr>
      <w:r w:rsidRPr="0058047D">
        <w:rPr>
          <w:rFonts w:eastAsia="Calibri" w:cs="Tahoma"/>
          <w:szCs w:val="18"/>
        </w:rPr>
        <w:t xml:space="preserve">Per ogni gruppo composto da una di ciascuna delle licenze qualificanti della Tabella A, le società potranno acquistare Software Assurance per una licenza di Core Infrastructure Server Suite Standard. </w:t>
      </w:r>
    </w:p>
    <w:p w14:paraId="60C0D7F8" w14:textId="77777777" w:rsidR="00A66BD2" w:rsidRPr="0058047D" w:rsidRDefault="00A66BD2" w:rsidP="00A66BD2">
      <w:pPr>
        <w:ind w:left="720"/>
      </w:pPr>
    </w:p>
    <w:p w14:paraId="612A253A" w14:textId="77777777" w:rsidR="004D776B" w:rsidRPr="0058047D" w:rsidRDefault="004D776B" w:rsidP="00A66BD2">
      <w:pPr>
        <w:ind w:left="720"/>
      </w:pPr>
      <w:r w:rsidRPr="0058047D">
        <w:rPr>
          <w:rFonts w:eastAsia="Calibri" w:cs="Tahoma"/>
          <w:szCs w:val="18"/>
        </w:rPr>
        <w:t>Le società che ricevono in licenza e utilizzano Core Infrastructure Server Suite Standard in base alla presente offerta non potranno più utilizzare il software ai sensi delle relative licenze qualificanti. Le licenze e</w:t>
      </w:r>
      <w:r w:rsidR="007153B4">
        <w:rPr>
          <w:rFonts w:eastAsia="Calibri" w:cs="Tahoma"/>
          <w:szCs w:val="18"/>
        </w:rPr>
        <w:t> </w:t>
      </w:r>
      <w:r w:rsidRPr="0058047D">
        <w:rPr>
          <w:rFonts w:eastAsia="Calibri" w:cs="Tahoma"/>
          <w:szCs w:val="18"/>
        </w:rPr>
        <w:t>Software Assurance acquistate nell</w:t>
      </w:r>
      <w:r w:rsidR="001C4212">
        <w:rPr>
          <w:rFonts w:eastAsia="Calibri" w:cs="Tahoma"/>
          <w:szCs w:val="18"/>
        </w:rPr>
        <w:t>’</w:t>
      </w:r>
      <w:r w:rsidRPr="0058047D">
        <w:rPr>
          <w:rFonts w:eastAsia="Calibri" w:cs="Tahoma"/>
          <w:szCs w:val="18"/>
        </w:rPr>
        <w:t>ambito di un contratto “subscription” non si qualificano ai fini di questa offerta.</w:t>
      </w:r>
    </w:p>
    <w:p w14:paraId="28E2FDA2" w14:textId="77777777" w:rsidR="00A66BD2" w:rsidRPr="0058047D" w:rsidRDefault="00A66BD2" w:rsidP="00A66BD2">
      <w:pPr>
        <w:ind w:left="720"/>
      </w:pPr>
    </w:p>
    <w:p w14:paraId="27290858" w14:textId="77777777" w:rsidR="00A66BD2" w:rsidRPr="0058047D" w:rsidRDefault="004D776B" w:rsidP="00A66BD2">
      <w:pPr>
        <w:spacing w:after="60"/>
        <w:ind w:left="720"/>
      </w:pPr>
      <w:r w:rsidRPr="0058047D">
        <w:rPr>
          <w:rFonts w:eastAsia="Calibri" w:cs="Tahoma"/>
          <w:b/>
          <w:szCs w:val="18"/>
        </w:rPr>
        <w:t>Step-Up da Windows Server Standard o da System Center Standard a Core Infrastructure Server Suite Standard</w:t>
      </w:r>
    </w:p>
    <w:p w14:paraId="6C31DF4C" w14:textId="77777777" w:rsidR="004D776B" w:rsidRPr="0058047D" w:rsidRDefault="004D776B" w:rsidP="00A66BD2">
      <w:pPr>
        <w:ind w:left="720"/>
      </w:pPr>
      <w:r w:rsidRPr="0058047D">
        <w:rPr>
          <w:rFonts w:eastAsia="Calibri" w:cs="Tahoma"/>
          <w:szCs w:val="18"/>
        </w:rPr>
        <w:t>Le società potranno eseguire lo step-up da Windows Server Standard o System Center Standard a Core Infrastructure Server Suite Standard acquistando la licenza di Step-Up appropriata per Core Infrastructure Server Suite Standard. Le società dovranno disporre di una copertura Software Assurance attiva per la loro licenza per Windows Server Standard o System Center Standard, al fine di acquistare tale licenza di Step-Up.</w:t>
      </w:r>
      <w:r w:rsidR="00E34ED3" w:rsidRPr="0058047D">
        <w:rPr>
          <w:rFonts w:eastAsia="Calibri" w:cs="Tahoma"/>
          <w:szCs w:val="18"/>
        </w:rPr>
        <w:t xml:space="preserve"> </w:t>
      </w:r>
    </w:p>
    <w:p w14:paraId="505063D0" w14:textId="77777777" w:rsidR="00A66BD2" w:rsidRPr="0058047D" w:rsidRDefault="00A66BD2" w:rsidP="00A66BD2">
      <w:pPr>
        <w:ind w:left="720"/>
      </w:pPr>
    </w:p>
    <w:p w14:paraId="3712107C" w14:textId="77777777" w:rsidR="004D776B" w:rsidRPr="0058047D" w:rsidRDefault="004D776B" w:rsidP="00A66BD2">
      <w:pPr>
        <w:ind w:left="720"/>
      </w:pPr>
      <w:r w:rsidRPr="0058047D">
        <w:rPr>
          <w:rFonts w:eastAsia="Calibri" w:cs="Tahoma"/>
          <w:szCs w:val="18"/>
        </w:rPr>
        <w:t>Per ogni licenza qualificante per Windows Server Standard in possesso della società, la società potrà acquistare una licenza Step-Up per Core Infrastructure Server Suite Standard.</w:t>
      </w:r>
    </w:p>
    <w:p w14:paraId="4B0F2A6E" w14:textId="77777777" w:rsidR="00A66BD2" w:rsidRPr="0058047D" w:rsidRDefault="00A66BD2" w:rsidP="00A66BD2">
      <w:pPr>
        <w:ind w:left="720"/>
      </w:pPr>
    </w:p>
    <w:p w14:paraId="1FDB9F72" w14:textId="77777777" w:rsidR="004D776B" w:rsidRPr="0058047D" w:rsidRDefault="004D776B" w:rsidP="00A66BD2">
      <w:pPr>
        <w:ind w:left="720"/>
      </w:pPr>
      <w:r w:rsidRPr="0058047D">
        <w:rPr>
          <w:rFonts w:eastAsia="Calibri" w:cs="Tahoma"/>
          <w:szCs w:val="18"/>
        </w:rPr>
        <w:t>Per ogni licenza qualificante per System Center Standard in possesso della società, la società potrà acquistare una licenza Step-Up per Core Infrastructure Server Suite Standard.</w:t>
      </w:r>
    </w:p>
    <w:p w14:paraId="478097F4" w14:textId="77777777" w:rsidR="00A66BD2" w:rsidRPr="0058047D" w:rsidRDefault="00A66BD2" w:rsidP="00A66BD2">
      <w:pPr>
        <w:ind w:left="720"/>
      </w:pPr>
    </w:p>
    <w:p w14:paraId="2B5246AE" w14:textId="77777777" w:rsidR="004D776B" w:rsidRPr="0058047D" w:rsidRDefault="004D776B" w:rsidP="00A66BD2">
      <w:pPr>
        <w:ind w:left="720"/>
      </w:pPr>
      <w:r w:rsidRPr="0058047D">
        <w:rPr>
          <w:rFonts w:eastAsia="Calibri" w:cs="Tahoma"/>
          <w:szCs w:val="18"/>
        </w:rPr>
        <w:t>Il diritto delle società di utilizzare il software ai sensi della licenza per Core Infrastructure Server Suite Standard è condizionato dall</w:t>
      </w:r>
      <w:r w:rsidR="001C4212">
        <w:rPr>
          <w:rFonts w:eastAsia="Calibri" w:cs="Tahoma"/>
          <w:szCs w:val="18"/>
        </w:rPr>
        <w:t>’</w:t>
      </w:r>
      <w:r w:rsidRPr="0058047D">
        <w:rPr>
          <w:rFonts w:eastAsia="Calibri" w:cs="Tahoma"/>
          <w:szCs w:val="18"/>
        </w:rPr>
        <w:t>adempimento da parte delle società delle obbligazioni di pagamento residue della licenza per il prodotto qualificante. La licenza per Core Infrastructure Server Suite Standard delle società prevalgono e sostituiscono la licenza sottostante per il prodotto qualificante.</w:t>
      </w:r>
    </w:p>
    <w:p w14:paraId="0E6E4F4A" w14:textId="77777777" w:rsidR="00A66BD2" w:rsidRPr="0058047D" w:rsidRDefault="00A66BD2" w:rsidP="007E466C"/>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58047D" w14:paraId="7760FB04" w14:textId="77777777" w:rsidTr="001051D1">
        <w:trPr>
          <w:tblHeader/>
        </w:trPr>
        <w:tc>
          <w:tcPr>
            <w:tcW w:w="4140" w:type="dxa"/>
            <w:shd w:val="clear" w:color="auto" w:fill="FABF8F"/>
            <w:tcMar>
              <w:top w:w="0" w:type="dxa"/>
              <w:left w:w="108" w:type="dxa"/>
              <w:bottom w:w="0" w:type="dxa"/>
              <w:right w:w="108" w:type="dxa"/>
            </w:tcMar>
            <w:hideMark/>
          </w:tcPr>
          <w:p w14:paraId="38E487B3" w14:textId="77777777" w:rsidR="004D776B" w:rsidRPr="0058047D" w:rsidRDefault="004D776B" w:rsidP="007E466C">
            <w:pPr>
              <w:spacing w:before="120" w:after="120" w:line="276" w:lineRule="auto"/>
              <w:jc w:val="center"/>
              <w:rPr>
                <w:rFonts w:eastAsia="Calibri" w:cs="Tahoma"/>
                <w:b/>
                <w:szCs w:val="18"/>
              </w:rPr>
            </w:pPr>
            <w:r w:rsidRPr="0058047D">
              <w:rPr>
                <w:rFonts w:eastAsia="Calibri" w:cs="Tahoma"/>
                <w:b/>
                <w:szCs w:val="18"/>
              </w:rPr>
              <w:t>Prodotto Qualificante</w:t>
            </w:r>
          </w:p>
        </w:tc>
        <w:tc>
          <w:tcPr>
            <w:tcW w:w="4050" w:type="dxa"/>
            <w:shd w:val="clear" w:color="auto" w:fill="FABF8F"/>
            <w:tcMar>
              <w:top w:w="0" w:type="dxa"/>
              <w:left w:w="108" w:type="dxa"/>
              <w:bottom w:w="0" w:type="dxa"/>
              <w:right w:w="108" w:type="dxa"/>
            </w:tcMar>
            <w:hideMark/>
          </w:tcPr>
          <w:p w14:paraId="3236B23F" w14:textId="77777777" w:rsidR="004D776B" w:rsidRPr="0058047D" w:rsidRDefault="004D776B" w:rsidP="007E466C">
            <w:pPr>
              <w:spacing w:before="120" w:after="120" w:line="276" w:lineRule="auto"/>
              <w:jc w:val="center"/>
              <w:rPr>
                <w:rFonts w:eastAsia="Calibri" w:cs="Tahoma"/>
                <w:b/>
                <w:szCs w:val="18"/>
              </w:rPr>
            </w:pPr>
            <w:r w:rsidRPr="0058047D">
              <w:rPr>
                <w:rFonts w:eastAsia="Calibri" w:cs="Tahoma"/>
                <w:b/>
                <w:szCs w:val="18"/>
              </w:rPr>
              <w:t>Step-Up A</w:t>
            </w:r>
          </w:p>
        </w:tc>
      </w:tr>
      <w:tr w:rsidR="004D776B" w:rsidRPr="0058047D" w14:paraId="6CA16401" w14:textId="77777777" w:rsidTr="001051D1">
        <w:tc>
          <w:tcPr>
            <w:tcW w:w="4140" w:type="dxa"/>
            <w:tcMar>
              <w:top w:w="0" w:type="dxa"/>
              <w:left w:w="108" w:type="dxa"/>
              <w:bottom w:w="0" w:type="dxa"/>
              <w:right w:w="108" w:type="dxa"/>
            </w:tcMar>
            <w:hideMark/>
          </w:tcPr>
          <w:p w14:paraId="5E8ACA61" w14:textId="77777777" w:rsidR="004D776B" w:rsidRPr="0058047D" w:rsidRDefault="004D776B" w:rsidP="007E466C">
            <w:pPr>
              <w:spacing w:before="120" w:after="120" w:line="276" w:lineRule="auto"/>
              <w:rPr>
                <w:rFonts w:eastAsia="Calibri" w:cs="Tahoma"/>
                <w:szCs w:val="18"/>
              </w:rPr>
            </w:pPr>
            <w:r w:rsidRPr="0058047D">
              <w:rPr>
                <w:rFonts w:eastAsia="Calibri" w:cs="Tahoma"/>
                <w:szCs w:val="18"/>
              </w:rPr>
              <w:t>Windows Server Standard</w:t>
            </w:r>
          </w:p>
        </w:tc>
        <w:tc>
          <w:tcPr>
            <w:tcW w:w="4050" w:type="dxa"/>
            <w:tcMar>
              <w:top w:w="0" w:type="dxa"/>
              <w:left w:w="108" w:type="dxa"/>
              <w:bottom w:w="0" w:type="dxa"/>
              <w:right w:w="108" w:type="dxa"/>
            </w:tcMar>
            <w:hideMark/>
          </w:tcPr>
          <w:p w14:paraId="0D82C3E2" w14:textId="77777777" w:rsidR="004D776B" w:rsidRPr="0058047D" w:rsidRDefault="004D776B" w:rsidP="007E466C">
            <w:pPr>
              <w:spacing w:before="120" w:after="120" w:line="276" w:lineRule="auto"/>
              <w:rPr>
                <w:rFonts w:eastAsia="Calibri" w:cs="Tahoma"/>
                <w:szCs w:val="18"/>
                <w:lang w:val="fr-FR"/>
              </w:rPr>
            </w:pPr>
            <w:r w:rsidRPr="0058047D">
              <w:rPr>
                <w:rFonts w:eastAsia="Calibri" w:cs="Tahoma"/>
                <w:szCs w:val="18"/>
              </w:rPr>
              <w:t>Core Infrastructure Server Suite Standard</w:t>
            </w:r>
          </w:p>
        </w:tc>
      </w:tr>
      <w:tr w:rsidR="004D776B" w:rsidRPr="0058047D" w14:paraId="67D7A9FE" w14:textId="77777777" w:rsidTr="001051D1">
        <w:tc>
          <w:tcPr>
            <w:tcW w:w="4140" w:type="dxa"/>
            <w:tcMar>
              <w:top w:w="0" w:type="dxa"/>
              <w:left w:w="108" w:type="dxa"/>
              <w:bottom w:w="0" w:type="dxa"/>
              <w:right w:w="108" w:type="dxa"/>
            </w:tcMar>
          </w:tcPr>
          <w:p w14:paraId="06866F55" w14:textId="77777777" w:rsidR="004D776B" w:rsidRPr="0058047D" w:rsidRDefault="004D776B" w:rsidP="00026546">
            <w:pPr>
              <w:spacing w:before="120" w:after="120" w:line="276" w:lineRule="auto"/>
              <w:rPr>
                <w:rFonts w:eastAsia="Calibri" w:cs="Tahoma"/>
                <w:szCs w:val="18"/>
              </w:rPr>
            </w:pPr>
            <w:r w:rsidRPr="0058047D">
              <w:rPr>
                <w:rFonts w:eastAsia="Calibri" w:cs="Tahoma"/>
                <w:szCs w:val="18"/>
              </w:rPr>
              <w:t>System Center Standard</w:t>
            </w:r>
          </w:p>
        </w:tc>
        <w:tc>
          <w:tcPr>
            <w:tcW w:w="4050" w:type="dxa"/>
            <w:tcMar>
              <w:top w:w="0" w:type="dxa"/>
              <w:left w:w="108" w:type="dxa"/>
              <w:bottom w:w="0" w:type="dxa"/>
              <w:right w:w="108" w:type="dxa"/>
            </w:tcMar>
          </w:tcPr>
          <w:p w14:paraId="6E69B1D2" w14:textId="77777777" w:rsidR="004D776B" w:rsidRPr="0058047D" w:rsidRDefault="004D776B" w:rsidP="00026546">
            <w:pPr>
              <w:spacing w:before="120" w:after="120" w:line="276" w:lineRule="auto"/>
              <w:rPr>
                <w:rFonts w:eastAsia="Calibri" w:cs="Tahoma"/>
                <w:szCs w:val="18"/>
                <w:lang w:val="fr-FR"/>
              </w:rPr>
            </w:pPr>
            <w:r w:rsidRPr="0058047D">
              <w:rPr>
                <w:rFonts w:eastAsia="Calibri" w:cs="Tahoma"/>
                <w:szCs w:val="18"/>
              </w:rPr>
              <w:t>Core Infrastructure Server Suite Standard</w:t>
            </w:r>
          </w:p>
        </w:tc>
      </w:tr>
    </w:tbl>
    <w:p w14:paraId="57A153E8" w14:textId="77777777" w:rsidR="004D776B" w:rsidRDefault="004D776B" w:rsidP="00A66BD2"/>
    <w:p w14:paraId="631CD4EE" w14:textId="77777777" w:rsidR="00834AC5" w:rsidRDefault="00834AC5" w:rsidP="00A66BD2"/>
    <w:p w14:paraId="64218CA5" w14:textId="77777777" w:rsidR="00834AC5" w:rsidRDefault="00834AC5" w:rsidP="00A66BD2"/>
    <w:p w14:paraId="761D7C24" w14:textId="77777777" w:rsidR="00834AC5" w:rsidRPr="0058047D" w:rsidRDefault="00834AC5" w:rsidP="00A66BD2"/>
    <w:p w14:paraId="643067FD" w14:textId="77777777" w:rsidR="00BF1889" w:rsidRDefault="00BF1889" w:rsidP="00A66BD2"/>
    <w:p w14:paraId="301238F1" w14:textId="77777777" w:rsidR="007153B4" w:rsidRDefault="007153B4" w:rsidP="00A66BD2"/>
    <w:p w14:paraId="461F3BD5" w14:textId="77777777" w:rsidR="007153B4" w:rsidRDefault="007153B4" w:rsidP="00A66BD2"/>
    <w:p w14:paraId="374742C1" w14:textId="77777777" w:rsidR="007153B4" w:rsidRDefault="007153B4" w:rsidP="00A66BD2"/>
    <w:p w14:paraId="43D8C0ED" w14:textId="77777777" w:rsidR="007153B4" w:rsidRPr="0058047D" w:rsidRDefault="007153B4" w:rsidP="00A66BD2"/>
    <w:p w14:paraId="6D6E23A1" w14:textId="77777777" w:rsidR="00B947E4" w:rsidRPr="0058047D" w:rsidRDefault="00A560B6" w:rsidP="00B947E4">
      <w:pPr>
        <w:pStyle w:val="Heading3"/>
      </w:pPr>
      <w:bookmarkStart w:id="1157" w:name="_38_Core_Infrastructure"/>
      <w:bookmarkStart w:id="1158" w:name="_42_Core_Infrastructure"/>
      <w:bookmarkStart w:id="1159" w:name="_Toc336338297"/>
      <w:bookmarkStart w:id="1160" w:name="_Toc371663695"/>
      <w:bookmarkStart w:id="1161" w:name="Srv_36CoreInfraServerSuiteEnt"/>
      <w:bookmarkStart w:id="1162" w:name="Srv_33CoreInfrastructureSvrSuiteEnt"/>
      <w:bookmarkEnd w:id="1157"/>
      <w:bookmarkEnd w:id="1158"/>
      <w:r w:rsidRPr="0058047D">
        <w:rPr>
          <w:rFonts w:ascii="Tahoma" w:hAnsi="Tahoma"/>
          <w:caps/>
          <w:color w:val="F66400"/>
          <w:sz w:val="22"/>
          <w:vertAlign w:val="superscript"/>
        </w:rPr>
        <w:t>42</w:t>
      </w:r>
      <w:r w:rsidRPr="0058047D">
        <w:rPr>
          <w:rFonts w:ascii="Tahoma" w:hAnsi="Tahoma"/>
          <w:color w:val="F66400"/>
          <w:sz w:val="22"/>
        </w:rPr>
        <w:t xml:space="preserve"> Core Infrastructure Server Suite Enterprise</w:t>
      </w:r>
      <w:bookmarkEnd w:id="1159"/>
      <w:bookmarkEnd w:id="1160"/>
    </w:p>
    <w:p w14:paraId="3559C808" w14:textId="77777777" w:rsidR="000A297A" w:rsidRPr="0058047D" w:rsidRDefault="000A297A" w:rsidP="00A66BD2"/>
    <w:bookmarkEnd w:id="1161"/>
    <w:bookmarkEnd w:id="1162"/>
    <w:p w14:paraId="505BAE27" w14:textId="77777777" w:rsidR="00B947E4" w:rsidRPr="00834AC5" w:rsidRDefault="001E68E2" w:rsidP="00A66BD2">
      <w:pPr>
        <w:ind w:left="720"/>
        <w:rPr>
          <w:rFonts w:eastAsia="Calibri" w:cs="Tahoma"/>
          <w:szCs w:val="18"/>
        </w:rPr>
      </w:pPr>
      <w:r w:rsidRPr="0058047D">
        <w:rPr>
          <w:rFonts w:eastAsia="Calibri" w:cs="Tahoma"/>
          <w:szCs w:val="18"/>
        </w:rPr>
        <w:t>A partire dal 1 aprile 2012 Microsoft interromperà l</w:t>
      </w:r>
      <w:r w:rsidR="001C4212">
        <w:rPr>
          <w:rFonts w:eastAsia="Calibri" w:cs="Tahoma"/>
          <w:szCs w:val="18"/>
        </w:rPr>
        <w:t>’</w:t>
      </w:r>
      <w:r w:rsidRPr="0058047D">
        <w:rPr>
          <w:rFonts w:eastAsia="Calibri" w:cs="Tahoma"/>
          <w:szCs w:val="18"/>
        </w:rPr>
        <w:t>offerta di Core Infrastructure Server Suite Enterprise. Le società titolari di licenze Core Infrastructure Server Suite Enterprise con copertura Software Assurance attiva a partire dal 1 aprile 2012 saranno idonee a ricevere una licenza per Core Infrastructure Server Standard per ciascuna licenza per Core Infrastructure Server Suite Enterprise con Software Assurance in loro possesso a partire da quella data.</w:t>
      </w:r>
      <w:r w:rsidR="00E34ED3" w:rsidRPr="0058047D">
        <w:rPr>
          <w:rFonts w:eastAsia="Calibri" w:cs="Tahoma"/>
          <w:szCs w:val="18"/>
        </w:rPr>
        <w:t xml:space="preserve"> </w:t>
      </w:r>
      <w:r w:rsidRPr="0058047D">
        <w:rPr>
          <w:rFonts w:eastAsia="Calibri" w:cs="Tahoma"/>
          <w:szCs w:val="18"/>
        </w:rPr>
        <w:t>Le licenze per Core Infrastructure Server Suite Standard concesse in base alla presente offerta includeranno la copertura Software Assurance che cesserà alla scadenza della copertura per</w:t>
      </w:r>
      <w:r w:rsidR="007153B4">
        <w:rPr>
          <w:rFonts w:eastAsia="Calibri" w:cs="Tahoma"/>
          <w:szCs w:val="18"/>
        </w:rPr>
        <w:t> </w:t>
      </w:r>
      <w:r w:rsidRPr="0058047D">
        <w:rPr>
          <w:rFonts w:eastAsia="Calibri" w:cs="Tahoma"/>
          <w:szCs w:val="18"/>
        </w:rPr>
        <w:t>le licenze qualificanti per Core Infrastructure Server Suite Enterprise. Le società che utilizzano Core Infrastructure Server Suite Standard in base alla presente offerta non potranno più utilizzare il software ai</w:t>
      </w:r>
      <w:r w:rsidR="007153B4">
        <w:rPr>
          <w:rFonts w:eastAsia="Calibri" w:cs="Tahoma"/>
          <w:szCs w:val="18"/>
        </w:rPr>
        <w:t> </w:t>
      </w:r>
      <w:r w:rsidRPr="0058047D">
        <w:rPr>
          <w:rFonts w:eastAsia="Calibri" w:cs="Tahoma"/>
          <w:szCs w:val="18"/>
        </w:rPr>
        <w:t>sensi delle relative licenze qualificanti.</w:t>
      </w:r>
      <w:r w:rsidR="00E34ED3" w:rsidRPr="0058047D">
        <w:rPr>
          <w:rFonts w:eastAsia="Calibri" w:cs="Tahoma"/>
          <w:szCs w:val="18"/>
        </w:rPr>
        <w:t xml:space="preserve"> </w:t>
      </w:r>
      <w:r w:rsidRPr="0058047D">
        <w:rPr>
          <w:rFonts w:eastAsia="Calibri" w:cs="Tahoma"/>
          <w:szCs w:val="18"/>
        </w:rPr>
        <w:t>La nota relativa al prodotto e la documentazione delle licenze qualificanti della società attestano il diritto della società di utilizzare Core Infrastructure Server Suite Standard in base alla presente offerta.</w:t>
      </w:r>
      <w:r w:rsidR="00E34ED3" w:rsidRPr="0058047D">
        <w:rPr>
          <w:rFonts w:eastAsia="Calibri" w:cs="Tahoma"/>
          <w:szCs w:val="18"/>
        </w:rPr>
        <w:t xml:space="preserve"> </w:t>
      </w:r>
      <w:r w:rsidRPr="0058047D">
        <w:rPr>
          <w:rFonts w:eastAsia="Calibri" w:cs="Tahoma"/>
          <w:szCs w:val="18"/>
        </w:rPr>
        <w:t xml:space="preserve">Tale diritto cesserà alla </w:t>
      </w:r>
      <w:bookmarkStart w:id="1163" w:name="Srv_34CoreInfraSvrSuiteDatacenter"/>
      <w:r w:rsidRPr="0058047D">
        <w:rPr>
          <w:rFonts w:eastAsia="Calibri" w:cs="Tahoma"/>
          <w:szCs w:val="18"/>
        </w:rPr>
        <w:t>scadenza delle licenze qualificanti.</w:t>
      </w:r>
    </w:p>
    <w:p w14:paraId="6834E070" w14:textId="77777777" w:rsidR="00285E3D" w:rsidRPr="0058047D" w:rsidRDefault="00285E3D" w:rsidP="00A66BD2"/>
    <w:p w14:paraId="4F931376" w14:textId="77777777" w:rsidR="00A66BD2" w:rsidRPr="0058047D" w:rsidRDefault="00A66BD2" w:rsidP="00A66BD2"/>
    <w:p w14:paraId="585E697C" w14:textId="77777777" w:rsidR="00B947E4" w:rsidRPr="0058047D" w:rsidRDefault="00A560B6" w:rsidP="00B947E4">
      <w:pPr>
        <w:pStyle w:val="Heading3"/>
      </w:pPr>
      <w:bookmarkStart w:id="1164" w:name="_39_Core_Infrastructure"/>
      <w:bookmarkStart w:id="1165" w:name="_43_Core_Infrastructure"/>
      <w:bookmarkStart w:id="1166" w:name="_Toc336338298"/>
      <w:bookmarkStart w:id="1167" w:name="_Toc371663696"/>
      <w:bookmarkStart w:id="1168" w:name="Srv_37CoreInfraServerSuiteData"/>
      <w:bookmarkEnd w:id="1164"/>
      <w:bookmarkEnd w:id="1165"/>
      <w:r w:rsidRPr="0058047D">
        <w:rPr>
          <w:rFonts w:ascii="Tahoma" w:hAnsi="Tahoma"/>
          <w:caps/>
          <w:color w:val="F66400"/>
          <w:sz w:val="22"/>
          <w:vertAlign w:val="superscript"/>
        </w:rPr>
        <w:t>43</w:t>
      </w:r>
      <w:r w:rsidRPr="0058047D">
        <w:rPr>
          <w:rFonts w:ascii="Tahoma" w:hAnsi="Tahoma"/>
          <w:color w:val="F66400"/>
          <w:sz w:val="22"/>
        </w:rPr>
        <w:t xml:space="preserve"> Core Infrastructure Server Suite Datacenter</w:t>
      </w:r>
      <w:bookmarkEnd w:id="1163"/>
      <w:bookmarkEnd w:id="1166"/>
      <w:bookmarkEnd w:id="1167"/>
    </w:p>
    <w:bookmarkEnd w:id="1168"/>
    <w:p w14:paraId="3901AF29" w14:textId="77777777" w:rsidR="00B947E4" w:rsidRPr="0058047D" w:rsidRDefault="00B947E4" w:rsidP="00B947E4"/>
    <w:p w14:paraId="10A98E11" w14:textId="77777777" w:rsidR="004D776B" w:rsidRPr="0058047D" w:rsidRDefault="004D776B" w:rsidP="00A66BD2">
      <w:pPr>
        <w:spacing w:after="60"/>
        <w:ind w:left="720"/>
      </w:pPr>
      <w:r w:rsidRPr="0058047D">
        <w:rPr>
          <w:rFonts w:eastAsia="Calibri" w:cs="Tahoma"/>
          <w:b/>
          <w:szCs w:val="18"/>
        </w:rPr>
        <w:t>Migrazione al Nuovo Modello di Licenza</w:t>
      </w:r>
    </w:p>
    <w:p w14:paraId="53BBD14E" w14:textId="77777777" w:rsidR="004D776B" w:rsidRPr="0058047D" w:rsidRDefault="004D776B" w:rsidP="00A66BD2">
      <w:pPr>
        <w:ind w:left="720"/>
      </w:pPr>
      <w:r w:rsidRPr="0058047D">
        <w:rPr>
          <w:rFonts w:eastAsia="Calibri" w:cs="Tahoma"/>
          <w:szCs w:val="18"/>
        </w:rPr>
        <w:t>In data 1 aprile 2012 il modello di licenza per CIS è cambiato. Le licenze acquistate ai sensi di nuove iscrizioni in vigore dopo il 1 aprile 2012 possono coprire fino a due processori fisici.</w:t>
      </w:r>
    </w:p>
    <w:p w14:paraId="675980D7" w14:textId="77777777" w:rsidR="00A66BD2" w:rsidRPr="0058047D" w:rsidRDefault="00A66BD2" w:rsidP="00A66BD2">
      <w:pPr>
        <w:ind w:left="720"/>
      </w:pPr>
    </w:p>
    <w:p w14:paraId="6FB09A55" w14:textId="77777777" w:rsidR="004D776B" w:rsidRPr="0058047D" w:rsidRDefault="004D776B" w:rsidP="00A66BD2">
      <w:pPr>
        <w:ind w:left="720"/>
      </w:pPr>
      <w:r w:rsidRPr="0058047D">
        <w:rPr>
          <w:rFonts w:eastAsia="Calibri" w:cs="Tahoma"/>
          <w:szCs w:val="18"/>
        </w:rPr>
        <w:t>Le società con iscrizioni esistenti in data 1 aprile 2012 (in vigore in data 1 aprile 2012 o antecedente) possono continuare a effettuare il true-up delle licenze acquistate ai sensi del modello precedente in base al</w:t>
      </w:r>
      <w:r w:rsidR="007153B4">
        <w:rPr>
          <w:rFonts w:eastAsia="Calibri" w:cs="Tahoma"/>
          <w:szCs w:val="18"/>
        </w:rPr>
        <w:t> </w:t>
      </w:r>
      <w:r w:rsidRPr="0058047D">
        <w:rPr>
          <w:rFonts w:eastAsia="Calibri" w:cs="Tahoma"/>
          <w:szCs w:val="18"/>
        </w:rPr>
        <w:t>quale ciascuna licenza può autorizzare un solo processore. I seguenti diritti di migrazione si applicano alle</w:t>
      </w:r>
      <w:r w:rsidR="007153B4">
        <w:rPr>
          <w:rFonts w:eastAsia="Calibri" w:cs="Tahoma"/>
          <w:szCs w:val="18"/>
        </w:rPr>
        <w:t> </w:t>
      </w:r>
      <w:r w:rsidRPr="0058047D">
        <w:rPr>
          <w:rFonts w:eastAsia="Calibri" w:cs="Tahoma"/>
          <w:szCs w:val="18"/>
        </w:rPr>
        <w:t>licenze di queste società:</w:t>
      </w:r>
    </w:p>
    <w:p w14:paraId="651DB419" w14:textId="77777777" w:rsidR="00A66BD2" w:rsidRPr="0058047D" w:rsidRDefault="00A66BD2" w:rsidP="00A66BD2">
      <w:pPr>
        <w:ind w:left="720"/>
      </w:pPr>
    </w:p>
    <w:p w14:paraId="3F9321C9" w14:textId="77777777" w:rsidR="004D776B" w:rsidRPr="0058047D" w:rsidRDefault="004D776B" w:rsidP="00A66BD2">
      <w:pPr>
        <w:pStyle w:val="ListParagraph"/>
        <w:contextualSpacing w:val="0"/>
      </w:pPr>
      <w:r w:rsidRPr="0058047D">
        <w:rPr>
          <w:rFonts w:ascii="Tahoma" w:eastAsia="Calibri" w:hAnsi="Tahoma" w:cs="Tahoma"/>
          <w:sz w:val="18"/>
          <w:szCs w:val="18"/>
        </w:rPr>
        <w:t>Per la durata dell</w:t>
      </w:r>
      <w:r w:rsidR="001C4212">
        <w:rPr>
          <w:rFonts w:ascii="Tahoma" w:eastAsia="Calibri" w:hAnsi="Tahoma" w:cs="Tahoma"/>
          <w:sz w:val="18"/>
          <w:szCs w:val="18"/>
        </w:rPr>
        <w:t>’</w:t>
      </w:r>
      <w:r w:rsidRPr="0058047D">
        <w:rPr>
          <w:rFonts w:ascii="Tahoma" w:eastAsia="Calibri" w:hAnsi="Tahoma" w:cs="Tahoma"/>
          <w:sz w:val="18"/>
          <w:szCs w:val="18"/>
        </w:rPr>
        <w:t>iscrizione in essere le licenze nuove ed esistenti delle società, acquistate ai sensi del modello precedente, saranno considerate equivalenti alle licenze previste dal nuovo modello in percentuale di 2:1, vale a dire due licenze ai sensi del modello precedente saranno equivalenti a una licenza ai sensi del nuovo modello. In occasione del rinnovo le società possono rinnovare la copertura Software Assurance per le licenze del nuovo modello.</w:t>
      </w:r>
    </w:p>
    <w:p w14:paraId="0A83FBC8" w14:textId="77777777" w:rsidR="00857EF7" w:rsidRPr="0058047D" w:rsidRDefault="00857EF7" w:rsidP="00A66BD2">
      <w:pPr>
        <w:ind w:left="720"/>
      </w:pPr>
    </w:p>
    <w:p w14:paraId="045EE062" w14:textId="77777777" w:rsidR="004D776B" w:rsidRPr="0058047D" w:rsidRDefault="004D776B" w:rsidP="007B35CE">
      <w:pPr>
        <w:keepNext/>
        <w:spacing w:after="60"/>
        <w:ind w:left="720"/>
      </w:pPr>
      <w:r w:rsidRPr="0058047D">
        <w:rPr>
          <w:rFonts w:eastAsia="Calibri" w:cs="Tahoma"/>
          <w:b/>
          <w:szCs w:val="18"/>
        </w:rPr>
        <w:t>Rilascio di una Nuova Versione di Windows Server</w:t>
      </w:r>
    </w:p>
    <w:p w14:paraId="46D2AFF8" w14:textId="77777777" w:rsidR="004D776B" w:rsidRPr="0058047D" w:rsidRDefault="004D776B" w:rsidP="00A66BD2">
      <w:pPr>
        <w:ind w:left="720"/>
      </w:pPr>
      <w:r w:rsidRPr="0058047D">
        <w:rPr>
          <w:rFonts w:eastAsia="Calibri" w:cs="Tahoma"/>
          <w:szCs w:val="18"/>
        </w:rPr>
        <w:t>Le società titolari di licenze per Core Infrastructure Server Suite Datacenter con copertura Software Assurance attiva il 1 settembre 2012 avranno il diritto di utilizzare i seguenti prodotti in conformità ai diritti di utilizzo del prodotto per Core Infrastructure Server Suite Datacenter:</w:t>
      </w:r>
    </w:p>
    <w:p w14:paraId="1BB5A8EB" w14:textId="77777777" w:rsidR="00857EF7" w:rsidRPr="0058047D" w:rsidRDefault="00857EF7" w:rsidP="00A66BD2">
      <w:pPr>
        <w:ind w:left="720"/>
      </w:pPr>
    </w:p>
    <w:p w14:paraId="231E0176" w14:textId="77777777" w:rsidR="004D776B" w:rsidRPr="0058047D" w:rsidRDefault="004D776B" w:rsidP="00346F4B">
      <w:pPr>
        <w:numPr>
          <w:ilvl w:val="0"/>
          <w:numId w:val="115"/>
        </w:numPr>
        <w:spacing w:after="60"/>
        <w:ind w:left="1440"/>
      </w:pPr>
      <w:r w:rsidRPr="0058047D">
        <w:rPr>
          <w:rFonts w:eastAsia="Calibri" w:cs="Tahoma"/>
          <w:szCs w:val="18"/>
        </w:rPr>
        <w:t>Windows Server 2012 Datacenter</w:t>
      </w:r>
    </w:p>
    <w:p w14:paraId="512AC749" w14:textId="77777777" w:rsidR="004D776B" w:rsidRPr="0058047D" w:rsidRDefault="004D776B" w:rsidP="00346F4B">
      <w:pPr>
        <w:numPr>
          <w:ilvl w:val="0"/>
          <w:numId w:val="115"/>
        </w:numPr>
        <w:spacing w:after="60"/>
        <w:ind w:left="1440"/>
      </w:pPr>
      <w:r w:rsidRPr="0058047D">
        <w:rPr>
          <w:rFonts w:eastAsia="Calibri" w:cs="Tahoma"/>
          <w:szCs w:val="18"/>
        </w:rPr>
        <w:t>System Center 2012 Datacenter</w:t>
      </w:r>
    </w:p>
    <w:p w14:paraId="712C16EE" w14:textId="77777777" w:rsidR="00D57009" w:rsidRPr="0058047D" w:rsidRDefault="00D57009"/>
    <w:p w14:paraId="43789961" w14:textId="77777777" w:rsidR="004D776B" w:rsidRPr="0058047D" w:rsidRDefault="004D776B" w:rsidP="00857EF7">
      <w:pPr>
        <w:spacing w:after="60"/>
        <w:ind w:left="720"/>
      </w:pPr>
      <w:r w:rsidRPr="0058047D">
        <w:rPr>
          <w:rFonts w:eastAsia="Calibri" w:cs="Tahoma"/>
          <w:b/>
          <w:szCs w:val="18"/>
        </w:rPr>
        <w:t>Offerta di Rinnovo di Software Assurance per le Società Titolari di Windows Server Datacenter e System Center Datacenter</w:t>
      </w:r>
    </w:p>
    <w:p w14:paraId="04A0EDE4" w14:textId="77777777" w:rsidR="004D776B" w:rsidRPr="0058047D" w:rsidRDefault="004D776B" w:rsidP="00A66BD2">
      <w:pPr>
        <w:ind w:left="720"/>
      </w:pPr>
      <w:r w:rsidRPr="0058047D">
        <w:rPr>
          <w:rFonts w:eastAsia="Calibri" w:cs="Tahoma"/>
          <w:szCs w:val="18"/>
        </w:rPr>
        <w:t>Le società titolari di licenze con copertura Software Assurance attiva per i tutti prodotti indicati nella Tabella C che segue potranno, all</w:t>
      </w:r>
      <w:r w:rsidR="001C4212">
        <w:rPr>
          <w:rFonts w:eastAsia="Calibri" w:cs="Tahoma"/>
          <w:szCs w:val="18"/>
        </w:rPr>
        <w:t>’</w:t>
      </w:r>
      <w:r w:rsidRPr="0058047D">
        <w:rPr>
          <w:rFonts w:eastAsia="Calibri" w:cs="Tahoma"/>
          <w:szCs w:val="18"/>
        </w:rPr>
        <w:t>atto della scadenza di tale copertura, acquistare Software Assurance per Core Infrastructure Server Suite Datacenter senza dover acquistare le sottostanti licenze per Core Infrastructure Server Suite Datacenter.</w:t>
      </w:r>
    </w:p>
    <w:p w14:paraId="2CD2FA87" w14:textId="77777777" w:rsidR="00857EF7" w:rsidRPr="0058047D" w:rsidRDefault="00857EF7" w:rsidP="00A66BD2">
      <w:pPr>
        <w:ind w:left="720"/>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58047D" w14:paraId="5713186A"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34E1D773" w14:textId="77777777" w:rsidR="004D776B" w:rsidRPr="0058047D" w:rsidRDefault="004D776B" w:rsidP="00026546">
            <w:pPr>
              <w:keepNext/>
              <w:tabs>
                <w:tab w:val="left" w:pos="3120"/>
                <w:tab w:val="center" w:pos="3591"/>
              </w:tabs>
              <w:spacing w:before="120" w:after="120" w:line="276" w:lineRule="auto"/>
              <w:jc w:val="center"/>
              <w:rPr>
                <w:rFonts w:eastAsia="Calibri" w:cs="Tahoma"/>
                <w:b/>
                <w:szCs w:val="18"/>
              </w:rPr>
            </w:pPr>
            <w:r w:rsidRPr="0058047D">
              <w:rPr>
                <w:rFonts w:eastAsia="Calibri" w:cs="Tahoma"/>
                <w:b/>
                <w:szCs w:val="18"/>
              </w:rPr>
              <w:t>Tabella C</w:t>
            </w:r>
          </w:p>
        </w:tc>
      </w:tr>
      <w:tr w:rsidR="004D776B" w:rsidRPr="0058047D" w14:paraId="17D4C43F"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129C78D8" w14:textId="77777777" w:rsidR="004D776B" w:rsidRPr="0058047D" w:rsidRDefault="004D776B" w:rsidP="00026546">
            <w:pPr>
              <w:keepNext/>
              <w:tabs>
                <w:tab w:val="left" w:pos="3120"/>
                <w:tab w:val="center" w:pos="3591"/>
              </w:tabs>
              <w:spacing w:before="120" w:after="120" w:line="276" w:lineRule="auto"/>
              <w:jc w:val="center"/>
              <w:rPr>
                <w:rFonts w:eastAsia="Calibri" w:cs="Tahoma"/>
                <w:b/>
                <w:szCs w:val="18"/>
              </w:rPr>
            </w:pPr>
            <w:r w:rsidRPr="0058047D">
              <w:rPr>
                <w:rFonts w:eastAsia="Calibri" w:cs="Tahoma"/>
                <w:b/>
                <w:szCs w:val="18"/>
              </w:rPr>
              <w:t>Windows Server Datacenter</w:t>
            </w:r>
          </w:p>
        </w:tc>
      </w:tr>
      <w:tr w:rsidR="004D776B" w:rsidRPr="0058047D" w14:paraId="455ED581"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58796D31" w14:textId="77777777" w:rsidR="004D776B" w:rsidRPr="0058047D" w:rsidRDefault="004D776B" w:rsidP="00026546">
            <w:pPr>
              <w:keepNext/>
              <w:tabs>
                <w:tab w:val="left" w:pos="3120"/>
                <w:tab w:val="center" w:pos="3591"/>
              </w:tabs>
              <w:spacing w:before="120" w:after="120" w:line="276" w:lineRule="auto"/>
              <w:jc w:val="center"/>
              <w:rPr>
                <w:rFonts w:eastAsia="Calibri" w:cs="Tahoma"/>
                <w:b/>
                <w:szCs w:val="18"/>
              </w:rPr>
            </w:pPr>
            <w:r w:rsidRPr="0058047D">
              <w:rPr>
                <w:rFonts w:eastAsia="Calibri" w:cs="Tahoma"/>
                <w:b/>
                <w:szCs w:val="18"/>
              </w:rPr>
              <w:t>System Center Datacenter</w:t>
            </w:r>
          </w:p>
        </w:tc>
      </w:tr>
    </w:tbl>
    <w:p w14:paraId="6231947F" w14:textId="77777777" w:rsidR="00416294" w:rsidRDefault="00416294" w:rsidP="00416294">
      <w:pPr>
        <w:ind w:left="547"/>
      </w:pPr>
    </w:p>
    <w:p w14:paraId="231AB5CA" w14:textId="77777777" w:rsidR="007153B4" w:rsidRDefault="007153B4" w:rsidP="00416294">
      <w:pPr>
        <w:ind w:left="547"/>
      </w:pPr>
    </w:p>
    <w:p w14:paraId="52BCBE34" w14:textId="77777777" w:rsidR="007153B4" w:rsidRPr="0058047D" w:rsidRDefault="007153B4" w:rsidP="00416294">
      <w:pPr>
        <w:ind w:left="547"/>
      </w:pPr>
    </w:p>
    <w:p w14:paraId="2DD9B718" w14:textId="77777777" w:rsidR="004D776B" w:rsidRPr="0058047D" w:rsidRDefault="004D776B" w:rsidP="001154B5">
      <w:pPr>
        <w:ind w:left="720"/>
      </w:pPr>
      <w:r w:rsidRPr="0058047D">
        <w:rPr>
          <w:rFonts w:eastAsia="Calibri" w:cs="Tahoma"/>
          <w:color w:val="000000"/>
          <w:szCs w:val="18"/>
        </w:rPr>
        <w:t>Per ogni gruppo composto da una licenza qualificante per Windows Server Datacenter e da una licenza qualificante per System Center Datacenter le società potranno acquistare Software Assurance per una licenza di Core Infrastructure Server Suite Datacenter. Le società che ricevono in licenza e utilizzano Core Infrastructure Server Suite Datacenter in base alla presente offerta non potranno più utilizzare il software ai sensi delle relative licenze qualificanti. Le licenze e Software Assurance acquistate nell</w:t>
      </w:r>
      <w:r w:rsidR="001C4212">
        <w:rPr>
          <w:rFonts w:eastAsia="Calibri" w:cs="Tahoma"/>
          <w:color w:val="000000"/>
          <w:szCs w:val="18"/>
        </w:rPr>
        <w:t>’</w:t>
      </w:r>
      <w:r w:rsidRPr="0058047D">
        <w:rPr>
          <w:rFonts w:eastAsia="Calibri" w:cs="Tahoma"/>
          <w:color w:val="000000"/>
          <w:szCs w:val="18"/>
        </w:rPr>
        <w:t>ambito di un contratto “subscription” non si qualificano ai fini di questa offerta.</w:t>
      </w:r>
    </w:p>
    <w:p w14:paraId="1451E445" w14:textId="77777777" w:rsidR="00973A93" w:rsidRPr="0058047D" w:rsidRDefault="00973A93" w:rsidP="0050116B">
      <w:pPr>
        <w:ind w:left="540"/>
      </w:pPr>
    </w:p>
    <w:p w14:paraId="24AEE8A9" w14:textId="77777777" w:rsidR="004D776B" w:rsidRPr="0058047D" w:rsidRDefault="004D776B" w:rsidP="00857EF7">
      <w:pPr>
        <w:spacing w:after="60"/>
        <w:ind w:left="720"/>
      </w:pPr>
      <w:r w:rsidRPr="0058047D">
        <w:rPr>
          <w:rFonts w:eastAsia="Calibri" w:cs="Tahoma"/>
          <w:b/>
          <w:szCs w:val="18"/>
        </w:rPr>
        <w:t>Step-Up da Windows Server Datacenter o System Center Datacenter a Core Infrastructure Server Suite Datacenter</w:t>
      </w:r>
    </w:p>
    <w:p w14:paraId="65205AB5" w14:textId="77777777" w:rsidR="004D776B" w:rsidRPr="0058047D" w:rsidRDefault="004D776B" w:rsidP="00857EF7">
      <w:pPr>
        <w:ind w:left="720"/>
      </w:pPr>
      <w:r w:rsidRPr="0058047D">
        <w:rPr>
          <w:rFonts w:eastAsia="Calibri" w:cs="Tahoma"/>
          <w:szCs w:val="18"/>
        </w:rPr>
        <w:t xml:space="preserve">Le società potranno eseguire lo step-up da Windows Server Datacenter o System Center Datacenter a Core Infrastructure Server Suite Datacenter acquistando la licenza di Step-Up appropriata per Core Infrastructure Server Suite Datacenter. Le società dovranno disporre di una copertura Software Assurance attiva per la loro licenza per Windows Server Datacenter o System Center Datacenter, al fine di acquistare tale licenza di Step-Up. </w:t>
      </w:r>
    </w:p>
    <w:p w14:paraId="2544BE41" w14:textId="77777777" w:rsidR="00857EF7" w:rsidRPr="0058047D" w:rsidRDefault="00857EF7" w:rsidP="00857EF7">
      <w:pPr>
        <w:ind w:left="720"/>
      </w:pPr>
    </w:p>
    <w:p w14:paraId="594377B0" w14:textId="77777777" w:rsidR="004D776B" w:rsidRPr="0058047D" w:rsidRDefault="004D776B" w:rsidP="00857EF7">
      <w:pPr>
        <w:ind w:left="720"/>
      </w:pPr>
      <w:r w:rsidRPr="0058047D">
        <w:rPr>
          <w:rFonts w:eastAsia="Calibri" w:cs="Tahoma"/>
          <w:szCs w:val="18"/>
        </w:rPr>
        <w:t>Per ogni licenza qualificante di Windows Server Datacenter in suo possesso, la società potrà acquistare una licenza Step-Up per Core Infrastructure Server Suite Datacenter.</w:t>
      </w:r>
      <w:r w:rsidR="00E34ED3" w:rsidRPr="0058047D">
        <w:rPr>
          <w:rFonts w:eastAsia="Calibri" w:cs="Tahoma"/>
          <w:szCs w:val="18"/>
        </w:rPr>
        <w:t xml:space="preserve"> </w:t>
      </w:r>
    </w:p>
    <w:p w14:paraId="0C537DFF" w14:textId="77777777" w:rsidR="00857EF7" w:rsidRPr="0058047D" w:rsidRDefault="00857EF7" w:rsidP="00857EF7">
      <w:pPr>
        <w:ind w:left="720"/>
      </w:pPr>
    </w:p>
    <w:p w14:paraId="7A15580E" w14:textId="77777777" w:rsidR="004D776B" w:rsidRPr="0058047D" w:rsidRDefault="004D776B" w:rsidP="00857EF7">
      <w:pPr>
        <w:ind w:left="720"/>
      </w:pPr>
      <w:r w:rsidRPr="0058047D">
        <w:rPr>
          <w:rFonts w:eastAsia="Calibri" w:cs="Tahoma"/>
          <w:szCs w:val="18"/>
        </w:rPr>
        <w:t>Per ogni licenza qualificante di Systems Center Datacenter in suo possesso, la società potrà acquistare una licenza Step-Up per Core Infrastructure Server Suite Datacenter.</w:t>
      </w:r>
      <w:r w:rsidR="00E34ED3" w:rsidRPr="0058047D">
        <w:rPr>
          <w:rFonts w:eastAsia="Calibri" w:cs="Tahoma"/>
          <w:szCs w:val="18"/>
        </w:rPr>
        <w:t xml:space="preserve"> </w:t>
      </w:r>
    </w:p>
    <w:p w14:paraId="1FE008AC" w14:textId="77777777" w:rsidR="00857EF7" w:rsidRPr="0058047D" w:rsidRDefault="00857EF7" w:rsidP="00857EF7">
      <w:pPr>
        <w:ind w:left="720"/>
      </w:pPr>
    </w:p>
    <w:p w14:paraId="70B9846D" w14:textId="77777777" w:rsidR="004D776B" w:rsidRPr="0058047D" w:rsidRDefault="004D776B" w:rsidP="00857EF7">
      <w:pPr>
        <w:ind w:left="720"/>
      </w:pPr>
      <w:r w:rsidRPr="0058047D">
        <w:rPr>
          <w:rFonts w:eastAsia="Calibri" w:cs="Tahoma"/>
          <w:szCs w:val="18"/>
        </w:rPr>
        <w:t>Il diritto delle società di utilizzare il software ai sensi della licenza per Core Infrastructure Server Suite Datacenter, è condizionato dall</w:t>
      </w:r>
      <w:r w:rsidR="001C4212">
        <w:rPr>
          <w:rFonts w:eastAsia="Calibri" w:cs="Tahoma"/>
          <w:szCs w:val="18"/>
        </w:rPr>
        <w:t>’</w:t>
      </w:r>
      <w:r w:rsidRPr="0058047D">
        <w:rPr>
          <w:rFonts w:eastAsia="Calibri" w:cs="Tahoma"/>
          <w:szCs w:val="18"/>
        </w:rPr>
        <w:t>adempimento da parte delle società delle obbligazioni di pagamento residue della licenza per il prodotto qualificante. La licenza per Core Infrastructure Server Suite Datacenter delle società prevalgono e sostituiscono la licenza sottostante per il prodotto qualificante.</w:t>
      </w:r>
    </w:p>
    <w:p w14:paraId="181A308D" w14:textId="77777777" w:rsidR="00857EF7" w:rsidRPr="0058047D" w:rsidRDefault="00857EF7" w:rsidP="00857EF7">
      <w:pPr>
        <w:ind w:left="720"/>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58047D" w14:paraId="4D67140D" w14:textId="77777777" w:rsidTr="00C066F9">
        <w:trPr>
          <w:tblHeader/>
        </w:trPr>
        <w:tc>
          <w:tcPr>
            <w:tcW w:w="3870" w:type="dxa"/>
            <w:shd w:val="clear" w:color="auto" w:fill="FABF8F"/>
            <w:tcMar>
              <w:top w:w="0" w:type="dxa"/>
              <w:left w:w="108" w:type="dxa"/>
              <w:bottom w:w="0" w:type="dxa"/>
              <w:right w:w="108" w:type="dxa"/>
            </w:tcMar>
            <w:vAlign w:val="center"/>
            <w:hideMark/>
          </w:tcPr>
          <w:p w14:paraId="3FC55AE1" w14:textId="77777777" w:rsidR="004D776B" w:rsidRPr="0058047D" w:rsidRDefault="004D776B" w:rsidP="007E466C">
            <w:pPr>
              <w:spacing w:before="120" w:after="120" w:line="276" w:lineRule="auto"/>
              <w:jc w:val="center"/>
              <w:rPr>
                <w:rFonts w:eastAsia="Calibri" w:cs="Tahoma"/>
                <w:b/>
                <w:szCs w:val="18"/>
              </w:rPr>
            </w:pPr>
            <w:r w:rsidRPr="0058047D">
              <w:rPr>
                <w:rFonts w:eastAsia="Calibri" w:cs="Tahoma"/>
                <w:b/>
                <w:szCs w:val="18"/>
              </w:rPr>
              <w:t>Prodotto Qualificante</w:t>
            </w:r>
          </w:p>
        </w:tc>
        <w:tc>
          <w:tcPr>
            <w:tcW w:w="3870" w:type="dxa"/>
            <w:shd w:val="clear" w:color="auto" w:fill="FABF8F"/>
            <w:tcMar>
              <w:top w:w="0" w:type="dxa"/>
              <w:left w:w="108" w:type="dxa"/>
              <w:bottom w:w="0" w:type="dxa"/>
              <w:right w:w="108" w:type="dxa"/>
            </w:tcMar>
            <w:vAlign w:val="center"/>
            <w:hideMark/>
          </w:tcPr>
          <w:p w14:paraId="113C326C" w14:textId="77777777" w:rsidR="004D776B" w:rsidRPr="0058047D" w:rsidRDefault="004D776B" w:rsidP="007E466C">
            <w:pPr>
              <w:spacing w:before="120" w:after="120" w:line="276" w:lineRule="auto"/>
              <w:jc w:val="center"/>
              <w:rPr>
                <w:rFonts w:eastAsia="Calibri" w:cs="Tahoma"/>
                <w:b/>
                <w:szCs w:val="18"/>
              </w:rPr>
            </w:pPr>
            <w:r w:rsidRPr="0058047D">
              <w:rPr>
                <w:rFonts w:eastAsia="Calibri" w:cs="Tahoma"/>
                <w:b/>
                <w:szCs w:val="18"/>
              </w:rPr>
              <w:t>Step-Up A</w:t>
            </w:r>
          </w:p>
        </w:tc>
      </w:tr>
      <w:tr w:rsidR="004D776B" w:rsidRPr="0058047D" w14:paraId="20575F07" w14:textId="77777777" w:rsidTr="001051D1">
        <w:tc>
          <w:tcPr>
            <w:tcW w:w="3870" w:type="dxa"/>
            <w:tcMar>
              <w:top w:w="0" w:type="dxa"/>
              <w:left w:w="108" w:type="dxa"/>
              <w:bottom w:w="0" w:type="dxa"/>
              <w:right w:w="108" w:type="dxa"/>
            </w:tcMar>
            <w:hideMark/>
          </w:tcPr>
          <w:p w14:paraId="0679271E" w14:textId="77777777" w:rsidR="004D776B" w:rsidRPr="0058047D" w:rsidRDefault="004D776B" w:rsidP="007E466C">
            <w:pPr>
              <w:spacing w:before="120" w:after="120" w:line="276" w:lineRule="auto"/>
              <w:rPr>
                <w:rFonts w:eastAsia="Calibri" w:cs="Tahoma"/>
                <w:szCs w:val="18"/>
              </w:rPr>
            </w:pPr>
            <w:r w:rsidRPr="0058047D">
              <w:rPr>
                <w:rFonts w:eastAsia="Calibri" w:cs="Tahoma"/>
                <w:szCs w:val="18"/>
              </w:rPr>
              <w:t>Windows Server Datacenter</w:t>
            </w:r>
          </w:p>
        </w:tc>
        <w:tc>
          <w:tcPr>
            <w:tcW w:w="3870" w:type="dxa"/>
            <w:tcMar>
              <w:top w:w="0" w:type="dxa"/>
              <w:left w:w="108" w:type="dxa"/>
              <w:bottom w:w="0" w:type="dxa"/>
              <w:right w:w="108" w:type="dxa"/>
            </w:tcMar>
            <w:hideMark/>
          </w:tcPr>
          <w:p w14:paraId="70DE6F0E" w14:textId="77777777" w:rsidR="004D776B" w:rsidRPr="0058047D" w:rsidRDefault="004D776B" w:rsidP="007E466C">
            <w:pPr>
              <w:spacing w:before="120" w:after="120" w:line="276" w:lineRule="auto"/>
              <w:rPr>
                <w:rFonts w:eastAsia="Calibri" w:cs="Tahoma"/>
                <w:szCs w:val="18"/>
                <w:lang w:val="fr-FR"/>
              </w:rPr>
            </w:pPr>
            <w:r w:rsidRPr="0058047D">
              <w:rPr>
                <w:rFonts w:eastAsia="Calibri" w:cs="Tahoma"/>
                <w:szCs w:val="18"/>
              </w:rPr>
              <w:t>Core Infrastructure Server Suite Datacenter</w:t>
            </w:r>
          </w:p>
        </w:tc>
      </w:tr>
      <w:tr w:rsidR="004D776B" w:rsidRPr="0058047D" w14:paraId="124388F1" w14:textId="77777777" w:rsidTr="001051D1">
        <w:tc>
          <w:tcPr>
            <w:tcW w:w="3870" w:type="dxa"/>
            <w:tcMar>
              <w:top w:w="0" w:type="dxa"/>
              <w:left w:w="108" w:type="dxa"/>
              <w:bottom w:w="0" w:type="dxa"/>
              <w:right w:w="108" w:type="dxa"/>
            </w:tcMar>
          </w:tcPr>
          <w:p w14:paraId="52E55B98" w14:textId="77777777" w:rsidR="004D776B" w:rsidRPr="0058047D" w:rsidRDefault="004D776B" w:rsidP="007E466C">
            <w:pPr>
              <w:spacing w:before="120" w:after="120" w:line="276" w:lineRule="auto"/>
              <w:rPr>
                <w:rFonts w:eastAsia="Calibri" w:cs="Tahoma"/>
                <w:szCs w:val="18"/>
              </w:rPr>
            </w:pPr>
            <w:r w:rsidRPr="0058047D">
              <w:rPr>
                <w:rFonts w:eastAsia="Calibri" w:cs="Tahoma"/>
                <w:szCs w:val="18"/>
              </w:rPr>
              <w:t>System Center Datacenter</w:t>
            </w:r>
          </w:p>
        </w:tc>
        <w:tc>
          <w:tcPr>
            <w:tcW w:w="3870" w:type="dxa"/>
            <w:tcMar>
              <w:top w:w="0" w:type="dxa"/>
              <w:left w:w="108" w:type="dxa"/>
              <w:bottom w:w="0" w:type="dxa"/>
              <w:right w:w="108" w:type="dxa"/>
            </w:tcMar>
          </w:tcPr>
          <w:p w14:paraId="43F7BE12" w14:textId="77777777" w:rsidR="004D776B" w:rsidRPr="0058047D" w:rsidRDefault="004D776B" w:rsidP="007E466C">
            <w:pPr>
              <w:spacing w:before="120" w:after="120" w:line="276" w:lineRule="auto"/>
              <w:rPr>
                <w:rFonts w:eastAsia="Calibri" w:cs="Tahoma"/>
                <w:szCs w:val="18"/>
                <w:lang w:val="fr-FR"/>
              </w:rPr>
            </w:pPr>
            <w:r w:rsidRPr="0058047D">
              <w:rPr>
                <w:rFonts w:eastAsia="Calibri" w:cs="Tahoma"/>
                <w:szCs w:val="18"/>
              </w:rPr>
              <w:t>Core Infrastructure Server Suite Datacenter</w:t>
            </w:r>
          </w:p>
        </w:tc>
      </w:tr>
    </w:tbl>
    <w:p w14:paraId="43E93535" w14:textId="77777777" w:rsidR="00BC62D4" w:rsidRPr="0058047D" w:rsidRDefault="00BC62D4" w:rsidP="00857EF7">
      <w:pPr>
        <w:ind w:left="907"/>
      </w:pPr>
      <w:bookmarkStart w:id="1169" w:name="Srv_38DynCRMWorkProEnt"/>
    </w:p>
    <w:p w14:paraId="64AAF9CF" w14:textId="77777777" w:rsidR="00E03856" w:rsidRPr="0058047D" w:rsidRDefault="00E03856" w:rsidP="00857EF7">
      <w:pPr>
        <w:ind w:left="907"/>
      </w:pPr>
    </w:p>
    <w:p w14:paraId="0E3E65F3" w14:textId="77777777" w:rsidR="00F66FB0" w:rsidRPr="0058047D" w:rsidRDefault="00A560B6" w:rsidP="007B35CE">
      <w:pPr>
        <w:pStyle w:val="Heading2"/>
        <w:keepNext/>
        <w:ind w:left="0"/>
      </w:pPr>
      <w:bookmarkStart w:id="1170" w:name="_44_Duet_Enterprise"/>
      <w:bookmarkStart w:id="1171" w:name="_Toc371663697"/>
      <w:bookmarkStart w:id="1172" w:name="Srv_38DynamicsCRMOnline"/>
      <w:bookmarkStart w:id="1173" w:name="Srv_37DynamicsCRMOnline"/>
      <w:bookmarkStart w:id="1174" w:name="Srv_37EntCALSuite"/>
      <w:bookmarkEnd w:id="1156"/>
      <w:bookmarkEnd w:id="1169"/>
      <w:bookmarkEnd w:id="1170"/>
      <w:r w:rsidRPr="0058047D">
        <w:rPr>
          <w:rFonts w:ascii="Tahoma" w:eastAsia="Times New Roman" w:hAnsi="Tahoma" w:cs="Tahoma"/>
          <w:caps/>
          <w:color w:val="FA6500"/>
          <w:sz w:val="22"/>
          <w:szCs w:val="22"/>
          <w:vertAlign w:val="superscript"/>
        </w:rPr>
        <w:t xml:space="preserve">44 </w:t>
      </w:r>
      <w:r w:rsidRPr="0058047D">
        <w:rPr>
          <w:rFonts w:ascii="Tahoma" w:eastAsia="Times New Roman" w:hAnsi="Tahoma" w:cs="Tahoma"/>
          <w:color w:val="FA6500"/>
          <w:sz w:val="22"/>
          <w:szCs w:val="22"/>
        </w:rPr>
        <w:t>Duet Enterprise 2.0</w:t>
      </w:r>
      <w:bookmarkEnd w:id="1171"/>
    </w:p>
    <w:p w14:paraId="0AD9D666" w14:textId="77777777" w:rsidR="00F66FB0" w:rsidRPr="0058047D" w:rsidRDefault="00F66FB0" w:rsidP="007B35CE">
      <w:pPr>
        <w:keepNext/>
        <w:ind w:left="720"/>
      </w:pPr>
      <w:r w:rsidRPr="0058047D">
        <w:rPr>
          <w:rFonts w:cs="Tahoma"/>
        </w:rPr>
        <w:t> </w:t>
      </w:r>
    </w:p>
    <w:p w14:paraId="6202C698" w14:textId="77777777" w:rsidR="00F66FB0" w:rsidRPr="0058047D" w:rsidRDefault="00F66FB0" w:rsidP="00F66FB0">
      <w:pPr>
        <w:ind w:left="720"/>
      </w:pPr>
      <w:r w:rsidRPr="0058047D">
        <w:rPr>
          <w:color w:val="000000"/>
        </w:rPr>
        <w:t>Duet Enterprise 2.0 è l</w:t>
      </w:r>
      <w:r w:rsidR="001C4212">
        <w:rPr>
          <w:color w:val="000000"/>
        </w:rPr>
        <w:t>’</w:t>
      </w:r>
      <w:r w:rsidRPr="0058047D">
        <w:rPr>
          <w:color w:val="000000"/>
        </w:rPr>
        <w:t>ultima versione di Duet Enterprise per Microsoft SharePoint e SAP 1.0. Le società con</w:t>
      </w:r>
      <w:r w:rsidR="007153B4">
        <w:rPr>
          <w:color w:val="000000"/>
        </w:rPr>
        <w:t> </w:t>
      </w:r>
      <w:r w:rsidRPr="0058047D">
        <w:rPr>
          <w:color w:val="000000"/>
        </w:rPr>
        <w:t>Software Assurance attiva per Duet Enterprise per Microsoft SharePoint e SAP 1.0 al 30 novembre 2012 potranno eseguire l</w:t>
      </w:r>
      <w:r w:rsidR="001C4212">
        <w:rPr>
          <w:color w:val="000000"/>
        </w:rPr>
        <w:t>’</w:t>
      </w:r>
      <w:r w:rsidRPr="0058047D">
        <w:rPr>
          <w:color w:val="000000"/>
        </w:rPr>
        <w:t>aggiornamento a Duet Enterprise 2.0 e utilizzare questo prodotto al posto delle corrispondenti copie con licenza di Duet Enterprise per SharePoint e SAP 1.0.</w:t>
      </w:r>
    </w:p>
    <w:p w14:paraId="1F899042" w14:textId="77777777" w:rsidR="00F66FB0" w:rsidRPr="0058047D" w:rsidRDefault="00F66FB0" w:rsidP="00F66FB0">
      <w:r w:rsidRPr="0058047D">
        <w:rPr>
          <w:color w:val="000000"/>
        </w:rPr>
        <w:t> </w:t>
      </w:r>
    </w:p>
    <w:p w14:paraId="7B70020C" w14:textId="77777777" w:rsidR="00F66FB0" w:rsidRPr="0058047D" w:rsidRDefault="00F66FB0" w:rsidP="00F66FB0">
      <w:pPr>
        <w:ind w:left="720"/>
      </w:pPr>
      <w:r w:rsidRPr="0058047D">
        <w:rPr>
          <w:color w:val="000000"/>
          <w:u w:val="single"/>
        </w:rPr>
        <w:t>Duet Enterprise 2.0</w:t>
      </w:r>
    </w:p>
    <w:p w14:paraId="130B90E8" w14:textId="77777777" w:rsidR="00F66FB0" w:rsidRPr="0058047D" w:rsidRDefault="00F66FB0" w:rsidP="00F66FB0">
      <w:pPr>
        <w:ind w:left="720"/>
      </w:pPr>
      <w:r w:rsidRPr="0058047D">
        <w:rPr>
          <w:color w:val="000000"/>
        </w:rPr>
        <w:t>Duet Enterprise 2.0 non sarà disponibile sul sito Volume Licensing Service Center. Alle società esistenti idonee a ricevere Duet Enterprise 2.0 verranno inviate comunicazione specifiche in cui verrà indicato come ottenere il software da Microsoft Connect.</w:t>
      </w:r>
    </w:p>
    <w:p w14:paraId="3DC2C236" w14:textId="77777777" w:rsidR="00857EF7" w:rsidRPr="0058047D" w:rsidRDefault="00857EF7" w:rsidP="00857EF7"/>
    <w:p w14:paraId="73A178B7" w14:textId="77777777" w:rsidR="0054609D" w:rsidRPr="0058047D" w:rsidRDefault="0054609D" w:rsidP="00101859">
      <w:bookmarkStart w:id="1175" w:name="_40_Dynamics_CRM"/>
      <w:bookmarkStart w:id="1176" w:name="_40_39_Dynamics"/>
      <w:bookmarkStart w:id="1177" w:name="_4240_Dynamics_CRM"/>
      <w:bookmarkStart w:id="1178" w:name="_45_Microsoft_Dynamics"/>
      <w:bookmarkStart w:id="1179" w:name="_41_Duet_Enterprise"/>
      <w:bookmarkStart w:id="1180" w:name="Srv_45EntCALBridgeWinIntune"/>
      <w:bookmarkStart w:id="1181" w:name="Srv_38EntCALSuite"/>
      <w:bookmarkEnd w:id="1172"/>
      <w:bookmarkEnd w:id="1173"/>
      <w:bookmarkEnd w:id="1175"/>
      <w:bookmarkEnd w:id="1176"/>
      <w:bookmarkEnd w:id="1177"/>
      <w:bookmarkEnd w:id="1178"/>
      <w:bookmarkEnd w:id="1179"/>
    </w:p>
    <w:p w14:paraId="14A1024A" w14:textId="77777777" w:rsidR="00162A93" w:rsidRPr="0058047D" w:rsidRDefault="00A560B6" w:rsidP="007153B4">
      <w:pPr>
        <w:pStyle w:val="Heading3"/>
        <w:ind w:left="245" w:hanging="245"/>
      </w:pPr>
      <w:bookmarkStart w:id="1182" w:name="_41_Enterprise_CAL"/>
      <w:bookmarkStart w:id="1183" w:name="_46_Enterprise_CAL"/>
      <w:bookmarkStart w:id="1184" w:name="_Toc336338303"/>
      <w:bookmarkStart w:id="1185" w:name="_Toc371663698"/>
      <w:bookmarkEnd w:id="1182"/>
      <w:bookmarkEnd w:id="1183"/>
      <w:r w:rsidRPr="0058047D">
        <w:rPr>
          <w:rFonts w:ascii="Tahoma" w:hAnsi="Tahoma" w:cs="Tahoma"/>
          <w:caps/>
          <w:color w:val="F66400"/>
          <w:sz w:val="22"/>
          <w:vertAlign w:val="superscript"/>
        </w:rPr>
        <w:t xml:space="preserve">45 </w:t>
      </w:r>
      <w:r w:rsidRPr="0058047D">
        <w:rPr>
          <w:rFonts w:ascii="Tahoma" w:hAnsi="Tahoma"/>
          <w:color w:val="F66400"/>
          <w:sz w:val="22"/>
        </w:rPr>
        <w:t>Enterprise CAL Suite Bridge per Office 365, Enterprise CAL Suite Bridge per Office 365 e Windows Intune e Enterprise CAL Suite Bridge per Windows Intune</w:t>
      </w:r>
      <w:bookmarkEnd w:id="1184"/>
      <w:bookmarkEnd w:id="1185"/>
      <w:r w:rsidRPr="0058047D">
        <w:rPr>
          <w:rFonts w:ascii="Tahoma" w:hAnsi="Tahoma"/>
          <w:color w:val="F66400"/>
          <w:sz w:val="22"/>
        </w:rPr>
        <w:t xml:space="preserve"> </w:t>
      </w:r>
    </w:p>
    <w:p w14:paraId="7FE18375" w14:textId="77777777" w:rsidR="00BD2BE7" w:rsidRPr="0058047D" w:rsidRDefault="00BD2BE7" w:rsidP="0084072C"/>
    <w:bookmarkEnd w:id="1180"/>
    <w:p w14:paraId="097D10A6" w14:textId="77777777" w:rsidR="0084072C" w:rsidRPr="0058047D" w:rsidRDefault="00162A93" w:rsidP="0084072C">
      <w:pPr>
        <w:spacing w:after="60"/>
        <w:ind w:left="720"/>
      </w:pPr>
      <w:r w:rsidRPr="0058047D">
        <w:rPr>
          <w:rFonts w:cs="Tahoma"/>
          <w:b/>
          <w:szCs w:val="18"/>
        </w:rPr>
        <w:t>Definizione</w:t>
      </w:r>
    </w:p>
    <w:p w14:paraId="1DF46E93" w14:textId="77777777" w:rsidR="00162A93" w:rsidRPr="0058047D" w:rsidRDefault="00162A93" w:rsidP="0084072C">
      <w:pPr>
        <w:ind w:left="720"/>
      </w:pPr>
      <w:r w:rsidRPr="0058047D">
        <w:rPr>
          <w:rFonts w:cs="Tahoma"/>
          <w:szCs w:val="18"/>
        </w:rPr>
        <w:t>“Transizione” indica la conversione di una Licenza con copertura Software Assurance attiva in una licenza “Subscription” o viceversa.</w:t>
      </w:r>
      <w:r w:rsidR="00E34ED3" w:rsidRPr="0058047D">
        <w:rPr>
          <w:rFonts w:cs="Tahoma"/>
          <w:szCs w:val="18"/>
        </w:rPr>
        <w:t xml:space="preserve"> </w:t>
      </w:r>
    </w:p>
    <w:p w14:paraId="4542AEB5" w14:textId="77777777" w:rsidR="00D57009" w:rsidRDefault="00D57009"/>
    <w:p w14:paraId="2A351D2A" w14:textId="77777777" w:rsidR="007153B4" w:rsidRDefault="007153B4"/>
    <w:p w14:paraId="52AC8BB4" w14:textId="77777777" w:rsidR="007153B4" w:rsidRDefault="007153B4"/>
    <w:p w14:paraId="4078621D" w14:textId="77777777" w:rsidR="007153B4" w:rsidRPr="0058047D" w:rsidRDefault="007153B4"/>
    <w:p w14:paraId="6558D7B0" w14:textId="77777777" w:rsidR="0084072C" w:rsidRPr="0058047D" w:rsidRDefault="0084072C" w:rsidP="0084072C">
      <w:pPr>
        <w:spacing w:after="60"/>
        <w:ind w:left="720"/>
      </w:pPr>
      <w:r w:rsidRPr="0058047D">
        <w:rPr>
          <w:rFonts w:cs="Tahoma"/>
          <w:b/>
          <w:szCs w:val="18"/>
        </w:rPr>
        <w:t>Diritti sull</w:t>
      </w:r>
      <w:r w:rsidR="001C4212">
        <w:rPr>
          <w:rFonts w:cs="Tahoma"/>
          <w:b/>
          <w:szCs w:val="18"/>
        </w:rPr>
        <w:t>’</w:t>
      </w:r>
      <w:r w:rsidRPr="0058047D">
        <w:rPr>
          <w:rFonts w:cs="Tahoma"/>
          <w:b/>
          <w:szCs w:val="18"/>
        </w:rPr>
        <w:t>Utilizzo Applicabili</w:t>
      </w:r>
    </w:p>
    <w:p w14:paraId="1C575D05" w14:textId="77777777" w:rsidR="00162A93" w:rsidRPr="0058047D" w:rsidRDefault="00162A93" w:rsidP="0084072C">
      <w:pPr>
        <w:ind w:left="720"/>
      </w:pPr>
      <w:r w:rsidRPr="0058047D">
        <w:rPr>
          <w:rFonts w:eastAsia="Calibri" w:cs="Tahoma"/>
          <w:szCs w:val="18"/>
        </w:rPr>
        <w:t>Una licenza CAL Suite Bridge non dispone di versioni e i Diritti di Utilizzo del Prodotto sono determinati dallo stato della copertura Software Assurance per tale licenza. Qualora la copertura Software Assurance sia scaduta, i diritti di accesso attribuiti da Licenze perpetue sono determinati sulla base dei Diritti di Utilizzo del Prodotto in vigore prima della scadenza della copertura. Una Licenza per una CAL Suite Bridge è una licenza singola che dovrà essere ceduta a un utente o dispositivo singolo.</w:t>
      </w:r>
    </w:p>
    <w:p w14:paraId="5E9859BD" w14:textId="77777777" w:rsidR="0084072C" w:rsidRPr="0058047D" w:rsidRDefault="0084072C" w:rsidP="0084072C">
      <w:pPr>
        <w:ind w:left="720"/>
      </w:pPr>
    </w:p>
    <w:p w14:paraId="15B78819" w14:textId="77777777" w:rsidR="0084072C" w:rsidRPr="0058047D" w:rsidRDefault="00162A93" w:rsidP="0084072C">
      <w:pPr>
        <w:spacing w:after="60"/>
        <w:ind w:left="720"/>
      </w:pPr>
      <w:r w:rsidRPr="0058047D">
        <w:rPr>
          <w:rFonts w:cs="Tahoma"/>
          <w:b/>
          <w:szCs w:val="18"/>
        </w:rPr>
        <w:t>Requisiti</w:t>
      </w:r>
    </w:p>
    <w:p w14:paraId="3CECD1CB" w14:textId="77777777" w:rsidR="00162A93" w:rsidRPr="0058047D" w:rsidRDefault="00162A93" w:rsidP="0084072C">
      <w:pPr>
        <w:ind w:left="720"/>
      </w:pPr>
      <w:r w:rsidRPr="0058047D">
        <w:rPr>
          <w:rFonts w:eastAsia="Calibri" w:cs="Tahoma"/>
          <w:szCs w:val="18"/>
        </w:rPr>
        <w:t>Una CAL Suite Bridge potrà essere richiesta durante la Transizione da una CAL Suite a una combinazione di</w:t>
      </w:r>
      <w:r w:rsidR="007153B4">
        <w:rPr>
          <w:rFonts w:eastAsia="Calibri" w:cs="Tahoma"/>
          <w:szCs w:val="18"/>
        </w:rPr>
        <w:t> </w:t>
      </w:r>
      <w:r w:rsidRPr="0058047D">
        <w:rPr>
          <w:rFonts w:eastAsia="Calibri" w:cs="Tahoma"/>
          <w:szCs w:val="18"/>
        </w:rPr>
        <w:t>Servizi Online e Prodotti paragonabili. Quando una Transizione richiede una CAL Suite Bridge e la Licenza qualificante è stata pagata totalmente dalla Società, l</w:t>
      </w:r>
      <w:r w:rsidR="001C4212">
        <w:rPr>
          <w:rFonts w:eastAsia="Calibri" w:cs="Tahoma"/>
          <w:szCs w:val="18"/>
        </w:rPr>
        <w:t>’</w:t>
      </w:r>
      <w:r w:rsidRPr="0058047D">
        <w:rPr>
          <w:rFonts w:eastAsia="Calibri" w:cs="Tahoma"/>
          <w:szCs w:val="18"/>
        </w:rPr>
        <w:t>acquisto di una Licenza per la CAL Suite Bridge non sarà necessario. La copertura Software Assurance potrà invece essere acquistata per la CAL Suite Bridge in</w:t>
      </w:r>
      <w:r w:rsidR="007153B4">
        <w:rPr>
          <w:rFonts w:eastAsia="Calibri" w:cs="Tahoma"/>
          <w:szCs w:val="18"/>
        </w:rPr>
        <w:t> </w:t>
      </w:r>
      <w:r w:rsidRPr="0058047D">
        <w:rPr>
          <w:rFonts w:eastAsia="Calibri" w:cs="Tahoma"/>
          <w:szCs w:val="18"/>
        </w:rPr>
        <w:t>occasione della ricorrenza dell</w:t>
      </w:r>
      <w:r w:rsidR="001C4212">
        <w:rPr>
          <w:rFonts w:eastAsia="Calibri" w:cs="Tahoma"/>
          <w:szCs w:val="18"/>
        </w:rPr>
        <w:t>’</w:t>
      </w:r>
      <w:r w:rsidRPr="0058047D">
        <w:rPr>
          <w:rFonts w:eastAsia="Calibri" w:cs="Tahoma"/>
          <w:szCs w:val="18"/>
        </w:rPr>
        <w:t>Iscrizione durante la quale la Transizione è in vigore. In tali circostanze il</w:t>
      </w:r>
      <w:r w:rsidR="007153B4">
        <w:rPr>
          <w:rFonts w:eastAsia="Calibri" w:cs="Tahoma"/>
          <w:szCs w:val="18"/>
        </w:rPr>
        <w:t> </w:t>
      </w:r>
      <w:r w:rsidRPr="0058047D">
        <w:rPr>
          <w:rFonts w:eastAsia="Calibri" w:cs="Tahoma"/>
          <w:szCs w:val="18"/>
        </w:rPr>
        <w:t>rapporto della Transizione potrà essere solo di una copertura Software Assurance per CAL Suite Bridge per una copertura Software Assurance per CAL Suite e per la stessa Licenza per utente o dispositivo della CAL Suite qualificante.</w:t>
      </w:r>
      <w:r w:rsidR="00E34ED3" w:rsidRPr="0058047D">
        <w:rPr>
          <w:rFonts w:eastAsia="Calibri" w:cs="Tahoma"/>
          <w:szCs w:val="18"/>
        </w:rPr>
        <w:t xml:space="preserve"> </w:t>
      </w:r>
    </w:p>
    <w:p w14:paraId="643920C0" w14:textId="77777777" w:rsidR="0084072C" w:rsidRPr="0058047D" w:rsidRDefault="0084072C" w:rsidP="0084072C">
      <w:pPr>
        <w:ind w:left="720"/>
      </w:pPr>
    </w:p>
    <w:p w14:paraId="7EAA54F1" w14:textId="77777777" w:rsidR="00162A93" w:rsidRPr="0058047D" w:rsidRDefault="00162A93" w:rsidP="0084072C">
      <w:pPr>
        <w:ind w:left="720"/>
      </w:pPr>
      <w:r w:rsidRPr="0058047D">
        <w:rPr>
          <w:rFonts w:eastAsia="Calibri" w:cs="Tahoma"/>
          <w:szCs w:val="18"/>
        </w:rPr>
        <w:t>Una CAL Suite Bridge è un Prodotto Enterprise e potrà essere ottenuto in licenza solo insieme al Servizio Online qualificante per soddisfare il requisito a livello aziendale sia della CAL Suite Bridge che della CAL Suite principale.</w:t>
      </w:r>
    </w:p>
    <w:p w14:paraId="678990AB" w14:textId="77777777" w:rsidR="0084072C" w:rsidRPr="0058047D" w:rsidRDefault="0084072C" w:rsidP="0084072C">
      <w:pPr>
        <w:ind w:left="720"/>
      </w:pPr>
    </w:p>
    <w:tbl>
      <w:tblPr>
        <w:tblW w:w="4394" w:type="pct"/>
        <w:jc w:val="center"/>
        <w:tblCellMar>
          <w:left w:w="0" w:type="dxa"/>
          <w:right w:w="0" w:type="dxa"/>
        </w:tblCellMar>
        <w:tblLook w:val="04A0" w:firstRow="1" w:lastRow="0" w:firstColumn="1" w:lastColumn="0" w:noHBand="0" w:noVBand="1"/>
      </w:tblPr>
      <w:tblGrid>
        <w:gridCol w:w="2736"/>
        <w:gridCol w:w="2737"/>
        <w:gridCol w:w="2735"/>
      </w:tblGrid>
      <w:tr w:rsidR="00162A93" w:rsidRPr="0058047D" w14:paraId="54728469" w14:textId="77777777" w:rsidTr="007153B4">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237FD859" w14:textId="77777777" w:rsidR="00162A93" w:rsidRPr="0058047D" w:rsidRDefault="00162A93" w:rsidP="007E466C">
            <w:pPr>
              <w:spacing w:before="120" w:after="120" w:line="276" w:lineRule="auto"/>
              <w:ind w:left="175"/>
              <w:jc w:val="center"/>
              <w:rPr>
                <w:rFonts w:eastAsia="Calibri" w:cs="Tahoma"/>
                <w:b/>
                <w:bCs/>
                <w:color w:val="000000"/>
                <w:szCs w:val="18"/>
                <w:lang w:eastAsia="ja-JP"/>
              </w:rPr>
            </w:pPr>
            <w:r w:rsidRPr="0058047D">
              <w:rPr>
                <w:rFonts w:eastAsia="Calibri"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7A9B9B35" w14:textId="77777777" w:rsidR="00162A93" w:rsidRPr="0058047D" w:rsidRDefault="00162A93" w:rsidP="007E466C">
            <w:pPr>
              <w:spacing w:before="120" w:after="120" w:line="276" w:lineRule="auto"/>
              <w:ind w:left="180"/>
              <w:jc w:val="center"/>
              <w:rPr>
                <w:rFonts w:eastAsia="Calibri" w:cs="Tahoma"/>
                <w:b/>
                <w:bCs/>
                <w:color w:val="000000"/>
                <w:szCs w:val="18"/>
                <w:lang w:eastAsia="ja-JP"/>
              </w:rPr>
            </w:pPr>
            <w:r w:rsidRPr="0058047D">
              <w:rPr>
                <w:rFonts w:eastAsia="Calibri" w:cs="Tahoma"/>
                <w:b/>
                <w:bCs/>
                <w:szCs w:val="18"/>
              </w:rPr>
              <w:t>CAL Suite Principale</w:t>
            </w:r>
          </w:p>
        </w:tc>
        <w:tc>
          <w:tcPr>
            <w:tcW w:w="1666" w:type="pct"/>
            <w:tcBorders>
              <w:top w:val="single" w:sz="8" w:space="0" w:color="auto"/>
              <w:left w:val="nil"/>
              <w:bottom w:val="single" w:sz="8" w:space="0" w:color="auto"/>
              <w:right w:val="single" w:sz="8" w:space="0" w:color="auto"/>
            </w:tcBorders>
            <w:shd w:val="clear" w:color="auto" w:fill="FABF8F"/>
            <w:vAlign w:val="center"/>
            <w:hideMark/>
          </w:tcPr>
          <w:p w14:paraId="3E9E2808" w14:textId="77777777" w:rsidR="00162A93" w:rsidRPr="0058047D" w:rsidRDefault="00162A93" w:rsidP="007E466C">
            <w:pPr>
              <w:spacing w:before="120" w:after="120" w:line="276" w:lineRule="auto"/>
              <w:ind w:left="180" w:right="247"/>
              <w:jc w:val="center"/>
              <w:rPr>
                <w:rFonts w:eastAsia="Calibri" w:cs="Tahoma"/>
                <w:b/>
                <w:bCs/>
                <w:color w:val="000000"/>
                <w:szCs w:val="18"/>
                <w:lang w:eastAsia="ja-JP"/>
              </w:rPr>
            </w:pPr>
            <w:r w:rsidRPr="0058047D">
              <w:rPr>
                <w:rFonts w:eastAsia="Calibri" w:cs="Tahoma"/>
                <w:b/>
                <w:bCs/>
                <w:szCs w:val="18"/>
              </w:rPr>
              <w:t>Servizi Online Qualificanti</w:t>
            </w:r>
          </w:p>
        </w:tc>
      </w:tr>
      <w:tr w:rsidR="00162A93" w:rsidRPr="0058047D" w14:paraId="2268F43A" w14:textId="77777777" w:rsidTr="007153B4">
        <w:trPr>
          <w:trHeight w:val="576"/>
          <w:jc w:val="center"/>
        </w:trPr>
        <w:tc>
          <w:tcPr>
            <w:tcW w:w="1667" w:type="pct"/>
            <w:tcBorders>
              <w:top w:val="nil"/>
              <w:left w:val="single" w:sz="8" w:space="0" w:color="auto"/>
              <w:bottom w:val="single" w:sz="8" w:space="0" w:color="auto"/>
              <w:right w:val="single" w:sz="8" w:space="0" w:color="auto"/>
            </w:tcBorders>
          </w:tcPr>
          <w:p w14:paraId="484E9140" w14:textId="77777777" w:rsidR="00162A93" w:rsidRPr="0058047D" w:rsidRDefault="00162A93" w:rsidP="00346F4B">
            <w:pPr>
              <w:numPr>
                <w:ilvl w:val="0"/>
                <w:numId w:val="43"/>
              </w:numPr>
              <w:spacing w:before="60" w:after="60" w:line="276" w:lineRule="auto"/>
              <w:ind w:left="535" w:right="180"/>
              <w:rPr>
                <w:rFonts w:eastAsia="Calibri" w:cs="Tahoma"/>
                <w:szCs w:val="18"/>
              </w:rPr>
            </w:pPr>
            <w:r w:rsidRPr="0058047D">
              <w:rPr>
                <w:rFonts w:eastAsia="Calibri" w:cs="Tahoma"/>
                <w:color w:val="000000"/>
                <w:szCs w:val="18"/>
              </w:rPr>
              <w:t>Enterprise CAL Suite Bridge per Office 365</w:t>
            </w:r>
          </w:p>
        </w:tc>
        <w:tc>
          <w:tcPr>
            <w:tcW w:w="1667" w:type="pct"/>
            <w:tcBorders>
              <w:top w:val="nil"/>
              <w:left w:val="nil"/>
              <w:bottom w:val="single" w:sz="8" w:space="0" w:color="auto"/>
              <w:right w:val="single" w:sz="8" w:space="0" w:color="auto"/>
            </w:tcBorders>
          </w:tcPr>
          <w:p w14:paraId="09272DAE" w14:textId="77777777" w:rsidR="00162A93" w:rsidRPr="0058047D" w:rsidRDefault="00162A93" w:rsidP="00346F4B">
            <w:pPr>
              <w:numPr>
                <w:ilvl w:val="0"/>
                <w:numId w:val="44"/>
              </w:numPr>
              <w:spacing w:before="80" w:after="200" w:line="276" w:lineRule="auto"/>
              <w:ind w:left="449" w:hanging="270"/>
              <w:jc w:val="both"/>
              <w:rPr>
                <w:rFonts w:eastAsia="Calibri" w:cs="Tahoma"/>
                <w:szCs w:val="18"/>
              </w:rPr>
            </w:pPr>
            <w:r w:rsidRPr="0058047D">
              <w:rPr>
                <w:rFonts w:eastAsia="Calibri" w:cs="Tahoma"/>
                <w:color w:val="000000"/>
                <w:szCs w:val="18"/>
              </w:rPr>
              <w:t>Enterprise CAL Suite</w:t>
            </w:r>
          </w:p>
        </w:tc>
        <w:tc>
          <w:tcPr>
            <w:tcW w:w="1666" w:type="pct"/>
            <w:tcBorders>
              <w:top w:val="nil"/>
              <w:left w:val="nil"/>
              <w:bottom w:val="single" w:sz="8" w:space="0" w:color="auto"/>
              <w:right w:val="single" w:sz="8" w:space="0" w:color="auto"/>
            </w:tcBorders>
          </w:tcPr>
          <w:p w14:paraId="3F100F21" w14:textId="77777777" w:rsidR="00162A93" w:rsidRPr="0058047D" w:rsidRDefault="00162A93" w:rsidP="00346F4B">
            <w:pPr>
              <w:numPr>
                <w:ilvl w:val="0"/>
                <w:numId w:val="45"/>
              </w:numPr>
              <w:spacing w:before="80" w:after="200" w:line="276" w:lineRule="auto"/>
              <w:ind w:left="630"/>
            </w:pPr>
            <w:r w:rsidRPr="0058047D">
              <w:rPr>
                <w:rFonts w:eastAsia="Calibri" w:cs="Tahoma"/>
                <w:color w:val="000000"/>
                <w:szCs w:val="18"/>
              </w:rPr>
              <w:t>Office 365 Enterprise E3 o</w:t>
            </w:r>
          </w:p>
          <w:p w14:paraId="66213130" w14:textId="77777777" w:rsidR="00162A93" w:rsidRPr="0058047D" w:rsidRDefault="00162A93" w:rsidP="00346F4B">
            <w:pPr>
              <w:numPr>
                <w:ilvl w:val="0"/>
                <w:numId w:val="45"/>
              </w:numPr>
              <w:spacing w:before="80" w:after="200" w:line="276" w:lineRule="auto"/>
              <w:ind w:left="630"/>
              <w:rPr>
                <w:rFonts w:eastAsia="Calibri" w:cs="Tahoma"/>
                <w:color w:val="000000"/>
                <w:szCs w:val="18"/>
              </w:rPr>
            </w:pPr>
            <w:r w:rsidRPr="0058047D">
              <w:rPr>
                <w:rFonts w:eastAsia="Calibri" w:cs="Tahoma"/>
                <w:color w:val="000000"/>
                <w:szCs w:val="18"/>
              </w:rPr>
              <w:t>Office 365 Enterprise E4</w:t>
            </w:r>
          </w:p>
        </w:tc>
      </w:tr>
      <w:tr w:rsidR="00162A93" w:rsidRPr="0058047D" w14:paraId="3B81CED7" w14:textId="77777777" w:rsidTr="007153B4">
        <w:trPr>
          <w:trHeight w:val="576"/>
          <w:jc w:val="center"/>
        </w:trPr>
        <w:tc>
          <w:tcPr>
            <w:tcW w:w="1667" w:type="pct"/>
            <w:tcBorders>
              <w:top w:val="nil"/>
              <w:left w:val="single" w:sz="8" w:space="0" w:color="auto"/>
              <w:bottom w:val="single" w:sz="8" w:space="0" w:color="auto"/>
              <w:right w:val="single" w:sz="8" w:space="0" w:color="auto"/>
            </w:tcBorders>
          </w:tcPr>
          <w:p w14:paraId="2F6E1D3A" w14:textId="77777777" w:rsidR="00162A93" w:rsidRPr="0058047D" w:rsidRDefault="00162A93" w:rsidP="007153B4">
            <w:pPr>
              <w:numPr>
                <w:ilvl w:val="0"/>
                <w:numId w:val="43"/>
              </w:numPr>
              <w:spacing w:before="60" w:after="60" w:line="276" w:lineRule="auto"/>
              <w:ind w:left="535" w:right="180"/>
              <w:rPr>
                <w:rFonts w:eastAsia="Calibri" w:cs="Tahoma"/>
                <w:szCs w:val="18"/>
              </w:rPr>
            </w:pPr>
            <w:r w:rsidRPr="0058047D">
              <w:rPr>
                <w:rFonts w:eastAsia="Calibri" w:cs="Tahoma"/>
                <w:color w:val="000000"/>
                <w:szCs w:val="18"/>
              </w:rPr>
              <w:t>Enterprise CAL Suite Bridge per Office 365 e</w:t>
            </w:r>
            <w:r w:rsidR="007153B4">
              <w:rPr>
                <w:rFonts w:eastAsia="Calibri" w:cs="Tahoma"/>
                <w:color w:val="000000"/>
                <w:szCs w:val="18"/>
              </w:rPr>
              <w:t> </w:t>
            </w:r>
            <w:r w:rsidRPr="0058047D">
              <w:rPr>
                <w:rFonts w:eastAsia="Calibri" w:cs="Tahoma"/>
                <w:color w:val="000000"/>
                <w:szCs w:val="18"/>
              </w:rPr>
              <w:t>Windows Intune</w:t>
            </w:r>
          </w:p>
        </w:tc>
        <w:tc>
          <w:tcPr>
            <w:tcW w:w="1667" w:type="pct"/>
            <w:tcBorders>
              <w:top w:val="nil"/>
              <w:left w:val="nil"/>
              <w:bottom w:val="single" w:sz="8" w:space="0" w:color="auto"/>
              <w:right w:val="single" w:sz="8" w:space="0" w:color="auto"/>
            </w:tcBorders>
          </w:tcPr>
          <w:p w14:paraId="2E6410D7" w14:textId="77777777" w:rsidR="00162A93" w:rsidRPr="0058047D" w:rsidRDefault="00162A93" w:rsidP="00346F4B">
            <w:pPr>
              <w:numPr>
                <w:ilvl w:val="0"/>
                <w:numId w:val="44"/>
              </w:numPr>
              <w:spacing w:before="80" w:after="200" w:line="276" w:lineRule="auto"/>
              <w:ind w:left="449" w:hanging="270"/>
              <w:jc w:val="both"/>
              <w:rPr>
                <w:rFonts w:eastAsia="Calibri" w:cs="Tahoma"/>
                <w:szCs w:val="18"/>
              </w:rPr>
            </w:pPr>
            <w:r w:rsidRPr="0058047D">
              <w:rPr>
                <w:rFonts w:eastAsia="Calibri" w:cs="Tahoma"/>
                <w:color w:val="000000"/>
                <w:szCs w:val="18"/>
              </w:rPr>
              <w:t>Enterprise CAL Suite</w:t>
            </w:r>
          </w:p>
        </w:tc>
        <w:tc>
          <w:tcPr>
            <w:tcW w:w="1666" w:type="pct"/>
            <w:tcBorders>
              <w:top w:val="nil"/>
              <w:left w:val="nil"/>
              <w:bottom w:val="single" w:sz="8" w:space="0" w:color="auto"/>
              <w:right w:val="single" w:sz="8" w:space="0" w:color="auto"/>
            </w:tcBorders>
          </w:tcPr>
          <w:p w14:paraId="4FE6C89E" w14:textId="77777777" w:rsidR="00162A93" w:rsidRPr="0058047D" w:rsidRDefault="00162A93" w:rsidP="00346F4B">
            <w:pPr>
              <w:numPr>
                <w:ilvl w:val="0"/>
                <w:numId w:val="45"/>
              </w:numPr>
              <w:spacing w:before="80" w:after="200" w:line="276" w:lineRule="auto"/>
              <w:ind w:left="630"/>
            </w:pPr>
            <w:r w:rsidRPr="0058047D">
              <w:rPr>
                <w:rFonts w:eastAsia="Calibri" w:cs="Tahoma"/>
                <w:color w:val="000000"/>
                <w:szCs w:val="18"/>
              </w:rPr>
              <w:t>Office 365 Enterprise E3 e Windows Intune o</w:t>
            </w:r>
          </w:p>
          <w:p w14:paraId="63AB3E4C" w14:textId="77777777" w:rsidR="00162A93" w:rsidRPr="0058047D" w:rsidRDefault="00162A93" w:rsidP="00346F4B">
            <w:pPr>
              <w:numPr>
                <w:ilvl w:val="0"/>
                <w:numId w:val="45"/>
              </w:numPr>
              <w:spacing w:before="80" w:after="200" w:line="276" w:lineRule="auto"/>
              <w:ind w:left="630"/>
              <w:rPr>
                <w:rFonts w:eastAsia="Calibri" w:cs="Tahoma"/>
                <w:color w:val="000000"/>
                <w:szCs w:val="18"/>
              </w:rPr>
            </w:pPr>
            <w:r w:rsidRPr="0058047D">
              <w:rPr>
                <w:rFonts w:eastAsia="Calibri" w:cs="Tahoma"/>
                <w:color w:val="000000"/>
                <w:szCs w:val="18"/>
              </w:rPr>
              <w:t>Office 365 Enterprise E4 e Windows Intune</w:t>
            </w:r>
          </w:p>
        </w:tc>
      </w:tr>
      <w:tr w:rsidR="00162A93" w:rsidRPr="0058047D" w14:paraId="4A4AE48B" w14:textId="77777777" w:rsidTr="007153B4">
        <w:trPr>
          <w:trHeight w:val="576"/>
          <w:jc w:val="center"/>
        </w:trPr>
        <w:tc>
          <w:tcPr>
            <w:tcW w:w="1667" w:type="pct"/>
            <w:tcBorders>
              <w:top w:val="nil"/>
              <w:left w:val="single" w:sz="8" w:space="0" w:color="auto"/>
              <w:bottom w:val="single" w:sz="8" w:space="0" w:color="auto"/>
              <w:right w:val="single" w:sz="8" w:space="0" w:color="auto"/>
            </w:tcBorders>
            <w:hideMark/>
          </w:tcPr>
          <w:p w14:paraId="7DE8D0CA" w14:textId="77777777" w:rsidR="00162A93" w:rsidRPr="0058047D" w:rsidRDefault="00162A93" w:rsidP="00346F4B">
            <w:pPr>
              <w:numPr>
                <w:ilvl w:val="0"/>
                <w:numId w:val="43"/>
              </w:numPr>
              <w:spacing w:before="60" w:after="60" w:line="276" w:lineRule="auto"/>
              <w:ind w:left="535" w:right="180"/>
              <w:rPr>
                <w:rFonts w:eastAsia="Calibri" w:cs="Tahoma"/>
                <w:color w:val="000000"/>
                <w:szCs w:val="18"/>
                <w:lang w:eastAsia="ja-JP"/>
              </w:rPr>
            </w:pPr>
            <w:r w:rsidRPr="0058047D">
              <w:rPr>
                <w:rFonts w:eastAsia="Calibri" w:cs="Tahoma"/>
                <w:szCs w:val="18"/>
              </w:rPr>
              <w:t>Enterprise CAL Suite Bridge per Windows Intune</w:t>
            </w:r>
          </w:p>
        </w:tc>
        <w:tc>
          <w:tcPr>
            <w:tcW w:w="1667" w:type="pct"/>
            <w:tcBorders>
              <w:top w:val="nil"/>
              <w:left w:val="nil"/>
              <w:bottom w:val="single" w:sz="8" w:space="0" w:color="auto"/>
              <w:right w:val="single" w:sz="8" w:space="0" w:color="auto"/>
            </w:tcBorders>
            <w:hideMark/>
          </w:tcPr>
          <w:p w14:paraId="679EC88C" w14:textId="77777777" w:rsidR="00162A93" w:rsidRPr="0058047D"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58047D">
              <w:rPr>
                <w:rFonts w:eastAsia="Calibri" w:cs="Tahoma"/>
                <w:szCs w:val="18"/>
              </w:rPr>
              <w:t>Enterprise CAL Suite</w:t>
            </w:r>
          </w:p>
        </w:tc>
        <w:tc>
          <w:tcPr>
            <w:tcW w:w="1666" w:type="pct"/>
            <w:tcBorders>
              <w:top w:val="nil"/>
              <w:left w:val="nil"/>
              <w:bottom w:val="single" w:sz="8" w:space="0" w:color="auto"/>
              <w:right w:val="single" w:sz="8" w:space="0" w:color="auto"/>
            </w:tcBorders>
            <w:hideMark/>
          </w:tcPr>
          <w:p w14:paraId="518083BE" w14:textId="77777777" w:rsidR="00162A93" w:rsidRPr="0058047D" w:rsidRDefault="00162A93" w:rsidP="00346F4B">
            <w:pPr>
              <w:numPr>
                <w:ilvl w:val="0"/>
                <w:numId w:val="45"/>
              </w:numPr>
              <w:spacing w:before="80" w:after="200" w:line="276" w:lineRule="auto"/>
              <w:ind w:left="630"/>
              <w:rPr>
                <w:rFonts w:cs="Tahoma"/>
                <w:color w:val="000000"/>
                <w:szCs w:val="18"/>
              </w:rPr>
            </w:pPr>
            <w:r w:rsidRPr="0058047D">
              <w:rPr>
                <w:rFonts w:eastAsia="Calibri" w:cs="Tahoma"/>
                <w:color w:val="000000"/>
                <w:szCs w:val="18"/>
              </w:rPr>
              <w:t>Windows Intune</w:t>
            </w:r>
          </w:p>
        </w:tc>
      </w:tr>
    </w:tbl>
    <w:p w14:paraId="362E7E24" w14:textId="77777777" w:rsidR="005614CA" w:rsidRPr="0058047D" w:rsidRDefault="005614CA" w:rsidP="00E03856">
      <w:pPr>
        <w:pStyle w:val="Heading3"/>
      </w:pPr>
      <w:bookmarkStart w:id="1186" w:name="_Toc336338304"/>
      <w:bookmarkStart w:id="1187" w:name="Srv_43EnterpriseCALSuite"/>
      <w:bookmarkEnd w:id="1174"/>
      <w:bookmarkEnd w:id="1181"/>
    </w:p>
    <w:p w14:paraId="30A9F628" w14:textId="77777777" w:rsidR="00676723" w:rsidRPr="0058047D" w:rsidRDefault="00676723" w:rsidP="00676723"/>
    <w:p w14:paraId="03553686" w14:textId="77777777" w:rsidR="00652053" w:rsidRPr="0058047D" w:rsidRDefault="00A560B6" w:rsidP="001760D6">
      <w:pPr>
        <w:pStyle w:val="Heading3"/>
        <w:keepNext/>
      </w:pPr>
      <w:bookmarkStart w:id="1188" w:name="_42_Enterprise_CAL"/>
      <w:bookmarkStart w:id="1189" w:name="_47_Enterprise_CAL"/>
      <w:bookmarkStart w:id="1190" w:name="_Toc371663699"/>
      <w:bookmarkEnd w:id="1188"/>
      <w:bookmarkEnd w:id="1189"/>
      <w:r w:rsidRPr="0058047D">
        <w:rPr>
          <w:rFonts w:ascii="Tahoma" w:hAnsi="Tahoma"/>
          <w:caps/>
          <w:color w:val="F66400"/>
          <w:sz w:val="22"/>
          <w:vertAlign w:val="superscript"/>
        </w:rPr>
        <w:t>46</w:t>
      </w:r>
      <w:r w:rsidRPr="0058047D">
        <w:rPr>
          <w:rFonts w:ascii="Tahoma" w:hAnsi="Tahoma"/>
          <w:color w:val="F66400"/>
          <w:sz w:val="22"/>
        </w:rPr>
        <w:t xml:space="preserve"> Enterprise CAL Suite</w:t>
      </w:r>
      <w:bookmarkEnd w:id="1186"/>
      <w:bookmarkEnd w:id="1190"/>
      <w:r w:rsidRPr="0058047D">
        <w:rPr>
          <w:rFonts w:ascii="Tahoma" w:hAnsi="Tahoma"/>
          <w:color w:val="F66400"/>
          <w:sz w:val="22"/>
        </w:rPr>
        <w:t xml:space="preserve"> </w:t>
      </w:r>
    </w:p>
    <w:bookmarkEnd w:id="1187"/>
    <w:p w14:paraId="77196BEC" w14:textId="77777777" w:rsidR="00023FE7" w:rsidRPr="0058047D" w:rsidRDefault="00023FE7" w:rsidP="0084072C"/>
    <w:p w14:paraId="254E3440" w14:textId="77777777" w:rsidR="009A727E" w:rsidRPr="0058047D" w:rsidRDefault="008446D1" w:rsidP="0084072C">
      <w:pPr>
        <w:ind w:left="720"/>
      </w:pPr>
      <w:r w:rsidRPr="0058047D">
        <w:rPr>
          <w:rFonts w:cs="Tahoma"/>
          <w:szCs w:val="20"/>
        </w:rPr>
        <w:t>Enterprise CAL Suite non dispone di versioni e i diritti di utilizzo del prodotto sono determinati dallo stato della copertura Software Assurance per Enterprise CAL Suite.</w:t>
      </w:r>
      <w:r w:rsidR="00E34ED3" w:rsidRPr="0058047D">
        <w:rPr>
          <w:rFonts w:cs="Tahoma"/>
          <w:szCs w:val="20"/>
        </w:rPr>
        <w:t xml:space="preserve"> </w:t>
      </w:r>
      <w:r w:rsidRPr="0058047D">
        <w:rPr>
          <w:rFonts w:cs="Tahoma"/>
          <w:szCs w:val="20"/>
        </w:rPr>
        <w:t>Qualora la copertura sia scaduta, i diritti di accesso attribuiti da licenze perpetue sono determinati sulla base dei diritti di utilizzo del prodotto in vigore prima della scadenza della copertura.</w:t>
      </w:r>
      <w:r w:rsidR="00E34ED3" w:rsidRPr="0058047D">
        <w:rPr>
          <w:rFonts w:cs="Tahoma"/>
          <w:szCs w:val="20"/>
        </w:rPr>
        <w:t xml:space="preserve"> </w:t>
      </w:r>
      <w:r w:rsidRPr="0058047D">
        <w:rPr>
          <w:rFonts w:cs="Tahoma"/>
          <w:szCs w:val="20"/>
        </w:rPr>
        <w:t>I diritti associati alle offerte dei Servizi Online cesseranno alla scadenza della copertura Software Assurance, indipendentemente dal fatto che l</w:t>
      </w:r>
      <w:r w:rsidR="001C4212">
        <w:rPr>
          <w:rFonts w:cs="Tahoma"/>
          <w:szCs w:val="20"/>
        </w:rPr>
        <w:t>’</w:t>
      </w:r>
      <w:r w:rsidRPr="0058047D">
        <w:rPr>
          <w:rFonts w:cs="Tahoma"/>
          <w:szCs w:val="20"/>
        </w:rPr>
        <w:t>Enterprise CAL suite sia perpetua o meno.</w:t>
      </w:r>
      <w:r w:rsidR="00E34ED3" w:rsidRPr="0058047D">
        <w:rPr>
          <w:rFonts w:cs="Tahoma"/>
          <w:szCs w:val="20"/>
        </w:rPr>
        <w:t xml:space="preserve"> </w:t>
      </w:r>
      <w:r w:rsidRPr="0058047D">
        <w:rPr>
          <w:rFonts w:cs="Tahoma"/>
          <w:szCs w:val="20"/>
        </w:rPr>
        <w:t>A decorrere dal 1 aprile 2013 una licenza per Enterprise CAL Suite con copertura Software Assurance attiva concede diritti equivalenti ai seguenti prodotti: tutti i componenti attuali di Core CAL Suite, Exchange Enterprise CAL con Services 2013, Archiviazione Exchange Online per Exchange Server, SharePoint Server Enterprise CAL 2013, Lync Server Enterprise CAL 2013, CAL per Windows Server 2012 Active Directory Rights Management Services e tutti i componenti attuali di System Center 2012 Client Management Suite.</w:t>
      </w:r>
      <w:r w:rsidR="00E34ED3" w:rsidRPr="0058047D">
        <w:rPr>
          <w:rFonts w:cs="Tahoma"/>
          <w:szCs w:val="20"/>
        </w:rPr>
        <w:t xml:space="preserve"> </w:t>
      </w:r>
      <w:r w:rsidRPr="0058047D">
        <w:rPr>
          <w:rFonts w:cs="Tahoma"/>
          <w:szCs w:val="20"/>
        </w:rPr>
        <w:t>Una licenza per Enterprise CAL Suite è una licenza singola che deve essere assegnata a un singolo utente o dispositivo.</w:t>
      </w:r>
      <w:r w:rsidR="00E34ED3" w:rsidRPr="0058047D">
        <w:rPr>
          <w:rFonts w:cs="Tahoma"/>
          <w:szCs w:val="20"/>
        </w:rPr>
        <w:t xml:space="preserve"> </w:t>
      </w:r>
      <w:r w:rsidRPr="0058047D">
        <w:rPr>
          <w:rFonts w:cs="Tahoma"/>
          <w:szCs w:val="20"/>
        </w:rPr>
        <w:t>Secondo quanto previsto nel relativo contratto multilicenza, la società non può separare i diritti di Enterprise CAL Suite per consentire a due o più utenti o dispositivi di accedere contemporaneamente ai diversi componenti.</w:t>
      </w:r>
      <w:r w:rsidR="00E34ED3" w:rsidRPr="0058047D">
        <w:rPr>
          <w:rFonts w:cs="Tahoma"/>
          <w:szCs w:val="20"/>
        </w:rPr>
        <w:t xml:space="preserve"> </w:t>
      </w:r>
    </w:p>
    <w:p w14:paraId="44373ADD" w14:textId="77777777" w:rsidR="00163658" w:rsidRPr="0058047D" w:rsidRDefault="00163658" w:rsidP="0084072C">
      <w:pPr>
        <w:ind w:left="720"/>
      </w:pPr>
      <w:r w:rsidRPr="0058047D">
        <w:rPr>
          <w:rFonts w:cs="Tahoma"/>
          <w:b/>
          <w:szCs w:val="20"/>
        </w:rPr>
        <w:t>Servizi Online inclusi nell</w:t>
      </w:r>
      <w:r w:rsidR="001C4212">
        <w:rPr>
          <w:rFonts w:cs="Tahoma"/>
          <w:b/>
          <w:szCs w:val="20"/>
        </w:rPr>
        <w:t>’</w:t>
      </w:r>
      <w:r w:rsidRPr="0058047D">
        <w:rPr>
          <w:rFonts w:cs="Tahoma"/>
          <w:b/>
          <w:szCs w:val="20"/>
        </w:rPr>
        <w:t>Enterprise CAL Suite</w:t>
      </w:r>
    </w:p>
    <w:p w14:paraId="15DA124B" w14:textId="77777777" w:rsidR="00391D38" w:rsidRPr="0058047D" w:rsidRDefault="00391D38" w:rsidP="0084072C">
      <w:pPr>
        <w:ind w:left="720"/>
      </w:pPr>
    </w:p>
    <w:p w14:paraId="69FC9133" w14:textId="77777777" w:rsidR="00163658" w:rsidRPr="0058047D" w:rsidRDefault="00163658" w:rsidP="009A5D6F">
      <w:pPr>
        <w:ind w:left="720"/>
      </w:pPr>
      <w:r w:rsidRPr="0058047D">
        <w:rPr>
          <w:rFonts w:cs="Tahoma"/>
          <w:szCs w:val="20"/>
        </w:rPr>
        <w:t>A decorrere dal 1 aprile 2013 una licenza per Enterprise CAL Suite con copertura Software Assurance attiva include i diritti per Archiviazione Exchange Online per Exchange Server, Prevenzione della Perdita dei Dati ed Exchange Online Protection.</w:t>
      </w:r>
    </w:p>
    <w:p w14:paraId="195B3615" w14:textId="77777777" w:rsidR="00855B26" w:rsidRPr="0058047D" w:rsidRDefault="00855B26" w:rsidP="00855B26">
      <w:pPr>
        <w:ind w:left="720"/>
      </w:pPr>
    </w:p>
    <w:p w14:paraId="5B369453" w14:textId="77777777" w:rsidR="00855B26" w:rsidRPr="0058047D" w:rsidRDefault="00855B26" w:rsidP="00855B26">
      <w:pPr>
        <w:ind w:left="720"/>
      </w:pPr>
      <w:r w:rsidRPr="0058047D">
        <w:rPr>
          <w:rFonts w:cs="Tahoma"/>
          <w:szCs w:val="20"/>
          <w:u w:val="single"/>
        </w:rPr>
        <w:t>Disponibilità Internazionale</w:t>
      </w:r>
      <w:r w:rsidRPr="0058047D">
        <w:rPr>
          <w:rFonts w:cs="Tahoma"/>
          <w:szCs w:val="20"/>
        </w:rPr>
        <w:t>. I Servizi Online sono erogabili solo nei paesi in cui è disponibile Office 365:</w:t>
      </w:r>
      <w:r w:rsidRPr="0058047D">
        <w:rPr>
          <w:rFonts w:cs="Tahoma"/>
          <w:color w:val="5B9BD5"/>
          <w:szCs w:val="20"/>
        </w:rPr>
        <w:t xml:space="preserve"> </w:t>
      </w:r>
      <w:hyperlink r:id="rId46" w:anchor="international" w:history="1">
        <w:r w:rsidR="007153B4" w:rsidRPr="00A57AE3">
          <w:rPr>
            <w:rStyle w:val="Hyperlink"/>
            <w:color w:val="5B9BD5"/>
          </w:rPr>
          <w:t>http://www.microsoft.com/online/faq.aspx#international</w:t>
        </w:r>
      </w:hyperlink>
      <w:r w:rsidRPr="0058047D">
        <w:rPr>
          <w:color w:val="5B9BD5"/>
        </w:rPr>
        <w:br/>
      </w:r>
    </w:p>
    <w:p w14:paraId="57E5260B" w14:textId="77777777" w:rsidR="00163658" w:rsidRPr="0058047D" w:rsidRDefault="000150D5" w:rsidP="000150D5">
      <w:pPr>
        <w:ind w:left="720"/>
      </w:pPr>
      <w:r w:rsidRPr="0058047D">
        <w:rPr>
          <w:rFonts w:cs="Tahoma"/>
          <w:szCs w:val="20"/>
          <w:u w:val="single"/>
        </w:rPr>
        <w:t>Erogazione</w:t>
      </w:r>
      <w:r w:rsidRPr="007153B4">
        <w:rPr>
          <w:rFonts w:cs="Tahoma"/>
          <w:szCs w:val="20"/>
        </w:rPr>
        <w:t>. P</w:t>
      </w:r>
      <w:r w:rsidRPr="0058047D">
        <w:rPr>
          <w:rFonts w:cs="Tahoma"/>
          <w:szCs w:val="20"/>
        </w:rPr>
        <w:t>er iniziare a utilizzare questi servizi, la società dovrà contattare il proprio Microsoft Partner, che potrà avviare il processo di erogazione necessario per l</w:t>
      </w:r>
      <w:r w:rsidR="001C4212">
        <w:rPr>
          <w:rFonts w:cs="Tahoma"/>
          <w:szCs w:val="20"/>
        </w:rPr>
        <w:t>’</w:t>
      </w:r>
      <w:r w:rsidRPr="0058047D">
        <w:rPr>
          <w:rFonts w:cs="Tahoma"/>
          <w:szCs w:val="20"/>
        </w:rPr>
        <w:t>attivazione di ciascun servizio.</w:t>
      </w:r>
    </w:p>
    <w:p w14:paraId="0CF1516F" w14:textId="77777777" w:rsidR="00855B26" w:rsidRPr="0058047D" w:rsidRDefault="00855B26" w:rsidP="000150D5">
      <w:pPr>
        <w:ind w:left="720"/>
      </w:pPr>
    </w:p>
    <w:p w14:paraId="20CDD635" w14:textId="77777777" w:rsidR="00391D38" w:rsidRPr="0058047D" w:rsidRDefault="000150D5" w:rsidP="000150D5">
      <w:pPr>
        <w:ind w:left="720"/>
      </w:pPr>
      <w:r w:rsidRPr="0058047D">
        <w:rPr>
          <w:snapToGrid w:val="0"/>
          <w:u w:val="single"/>
        </w:rPr>
        <w:t>Condizioni Supplementari</w:t>
      </w:r>
      <w:r w:rsidRPr="007153B4">
        <w:rPr>
          <w:snapToGrid w:val="0"/>
        </w:rPr>
        <w:t xml:space="preserve">. </w:t>
      </w:r>
      <w:r w:rsidRPr="0058047D">
        <w:rPr>
          <w:rFonts w:cs="Tahoma"/>
          <w:szCs w:val="20"/>
        </w:rPr>
        <w:t>Le Condizioni Supplementari (“Condizioni Supplementari”) definite nell</w:t>
      </w:r>
      <w:r w:rsidR="001C4212">
        <w:rPr>
          <w:rFonts w:cs="Tahoma"/>
          <w:szCs w:val="20"/>
        </w:rPr>
        <w:t>’</w:t>
      </w:r>
      <w:hyperlink w:anchor="_ARTICOLO_10_-" w:history="1">
        <w:r w:rsidRPr="0058047D">
          <w:rPr>
            <w:rStyle w:val="Hyperlink"/>
            <w:rFonts w:cs="Tahoma"/>
            <w:szCs w:val="20"/>
          </w:rPr>
          <w:t>Articolo 10</w:t>
        </w:r>
      </w:hyperlink>
      <w:r w:rsidRPr="0058047D">
        <w:rPr>
          <w:rFonts w:cs="Tahoma"/>
          <w:szCs w:val="20"/>
        </w:rPr>
        <w:t xml:space="preserve"> si applicano all</w:t>
      </w:r>
      <w:r w:rsidR="001C4212">
        <w:rPr>
          <w:rFonts w:cs="Tahoma"/>
          <w:szCs w:val="20"/>
        </w:rPr>
        <w:t>’</w:t>
      </w:r>
      <w:r w:rsidRPr="0058047D">
        <w:rPr>
          <w:snapToGrid w:val="0"/>
        </w:rPr>
        <w:t>acquisto e all</w:t>
      </w:r>
      <w:r w:rsidR="001C4212">
        <w:rPr>
          <w:snapToGrid w:val="0"/>
        </w:rPr>
        <w:t>’</w:t>
      </w:r>
      <w:r w:rsidRPr="0058047D">
        <w:rPr>
          <w:snapToGrid w:val="0"/>
        </w:rPr>
        <w:t>utilizzo, da parte delle società, dei Servizi Online inclusi nell</w:t>
      </w:r>
      <w:r w:rsidR="001C4212">
        <w:rPr>
          <w:snapToGrid w:val="0"/>
        </w:rPr>
        <w:t>’</w:t>
      </w:r>
      <w:r w:rsidRPr="0058047D">
        <w:rPr>
          <w:snapToGrid w:val="0"/>
        </w:rPr>
        <w:t>Enterprise CAL Suite.</w:t>
      </w:r>
      <w:r w:rsidR="00E34ED3" w:rsidRPr="0058047D">
        <w:rPr>
          <w:rFonts w:cs="Tahoma"/>
          <w:szCs w:val="20"/>
        </w:rPr>
        <w:t xml:space="preserve"> </w:t>
      </w:r>
    </w:p>
    <w:p w14:paraId="139F82A7" w14:textId="77777777" w:rsidR="00391D38" w:rsidRPr="0058047D" w:rsidRDefault="00391D38" w:rsidP="0084072C">
      <w:pPr>
        <w:ind w:left="720"/>
      </w:pPr>
    </w:p>
    <w:p w14:paraId="6963FA83" w14:textId="77777777" w:rsidR="00112BE6" w:rsidRPr="0058047D" w:rsidRDefault="00112BE6" w:rsidP="005D1A15">
      <w:pPr>
        <w:spacing w:after="60"/>
        <w:ind w:left="720"/>
      </w:pPr>
      <w:r w:rsidRPr="0058047D">
        <w:rPr>
          <w:rFonts w:cs="Tahoma"/>
          <w:b/>
          <w:color w:val="000000"/>
          <w:szCs w:val="20"/>
        </w:rPr>
        <w:t>Forefront Unified Access Gateway 2010</w:t>
      </w:r>
    </w:p>
    <w:p w14:paraId="3B8E561F" w14:textId="77777777" w:rsidR="005D1A15" w:rsidRPr="0058047D" w:rsidRDefault="005D1A15" w:rsidP="00112BE6">
      <w:pPr>
        <w:spacing w:after="60"/>
        <w:ind w:left="720"/>
      </w:pPr>
      <w:r w:rsidRPr="0058047D">
        <w:rPr>
          <w:rFonts w:cs="Tahoma"/>
          <w:color w:val="000000"/>
          <w:szCs w:val="20"/>
          <w:u w:val="single"/>
        </w:rPr>
        <w:t>Diritti di True-Up</w:t>
      </w:r>
      <w:r w:rsidRPr="007153B4">
        <w:rPr>
          <w:rFonts w:cs="Tahoma"/>
          <w:color w:val="000000"/>
          <w:szCs w:val="20"/>
        </w:rPr>
        <w:t>.</w:t>
      </w:r>
      <w:r w:rsidR="007153B4" w:rsidRPr="007153B4">
        <w:rPr>
          <w:rFonts w:cs="Tahoma"/>
          <w:color w:val="000000"/>
          <w:szCs w:val="20"/>
        </w:rPr>
        <w:t xml:space="preserve"> </w:t>
      </w:r>
      <w:r w:rsidRPr="0058047D">
        <w:rPr>
          <w:rFonts w:cs="Tahoma"/>
          <w:color w:val="000000"/>
          <w:szCs w:val="20"/>
        </w:rPr>
        <w:t>Nonostante eventuali disposizioni contrarie dei Diritti di Utilizzo del Prodotto per Forefront Unified Access Gateway 2010 a decorrere dal 1 dicembre 2012, per le Società Qualificanti, le licenze Enterprise CAL Suite acquistate ai sensi dei diritti di true-up dopo il 1 dicembre 2012 consentono l</w:t>
      </w:r>
      <w:r w:rsidR="001C4212">
        <w:rPr>
          <w:rFonts w:cs="Tahoma"/>
          <w:color w:val="000000"/>
          <w:szCs w:val="20"/>
        </w:rPr>
        <w:t>’</w:t>
      </w:r>
      <w:r w:rsidRPr="0058047D">
        <w:rPr>
          <w:rFonts w:cs="Tahoma"/>
          <w:color w:val="000000"/>
          <w:szCs w:val="20"/>
        </w:rPr>
        <w:t>accesso a Forefront Unified Access Gateway 2010. Le “Società Qualificanti” sono società titolari di Iscrizioni Enterprise o Enterprise Subscription, società titolari di contratti Open Value Subscription (OVS) o società titolari di contratti Enrollment for Education Solutions che hanno acquistato Enterprise CAL Suite per la prima volta in data precedente al 1 dicembre 2012 e godono del diritto, attribuito dalla medesima iscrizione o dal medesimo contratto OVS, di acquistare licenze aggiuntive dopo il 1 dicembre 2012 ai sensi della procedura di true-up.</w:t>
      </w:r>
      <w:r w:rsidR="00E34ED3" w:rsidRPr="0058047D">
        <w:rPr>
          <w:rFonts w:cs="Tahoma"/>
          <w:color w:val="000000"/>
          <w:szCs w:val="20"/>
        </w:rPr>
        <w:t xml:space="preserve"> </w:t>
      </w:r>
      <w:r w:rsidRPr="0058047D">
        <w:rPr>
          <w:rFonts w:cs="Tahoma"/>
          <w:color w:val="000000"/>
          <w:szCs w:val="20"/>
        </w:rPr>
        <w:t>Tale eccezione si applica solo alle licenze acquistate ai sensi di diritti di true-up prima del primo rinnovo effettuato dalla Società Qualificante successivamente al 1 dicembre 2012. Vedere l</w:t>
      </w:r>
      <w:r w:rsidR="001C4212">
        <w:rPr>
          <w:rFonts w:cs="Tahoma"/>
          <w:color w:val="000000"/>
          <w:szCs w:val="20"/>
        </w:rPr>
        <w:t>’</w:t>
      </w:r>
      <w:r w:rsidRPr="0058047D">
        <w:rPr>
          <w:rFonts w:cs="Tahoma"/>
          <w:color w:val="000000"/>
          <w:szCs w:val="20"/>
        </w:rPr>
        <w:t>Articolo “Diritti sull</w:t>
      </w:r>
      <w:r w:rsidR="001C4212">
        <w:rPr>
          <w:rFonts w:cs="Tahoma"/>
          <w:color w:val="000000"/>
          <w:szCs w:val="20"/>
        </w:rPr>
        <w:t>’</w:t>
      </w:r>
      <w:r w:rsidRPr="0058047D">
        <w:rPr>
          <w:rFonts w:cs="Tahoma"/>
          <w:color w:val="000000"/>
          <w:szCs w:val="20"/>
        </w:rPr>
        <w:t>Utilizzo Estesi per i prodotti Forefront” di seguito per informazioni sui diritti sull</w:t>
      </w:r>
      <w:r w:rsidR="001C4212">
        <w:rPr>
          <w:rFonts w:cs="Tahoma"/>
          <w:color w:val="000000"/>
          <w:szCs w:val="20"/>
        </w:rPr>
        <w:t>’</w:t>
      </w:r>
      <w:r w:rsidRPr="0058047D">
        <w:rPr>
          <w:rFonts w:cs="Tahoma"/>
          <w:color w:val="000000"/>
          <w:szCs w:val="20"/>
        </w:rPr>
        <w:t>utilizzo estesi ai sensi dell</w:t>
      </w:r>
      <w:r w:rsidR="001C4212">
        <w:rPr>
          <w:rFonts w:cs="Tahoma"/>
          <w:color w:val="000000"/>
          <w:szCs w:val="20"/>
        </w:rPr>
        <w:t>’</w:t>
      </w:r>
      <w:r w:rsidRPr="0058047D">
        <w:rPr>
          <w:rFonts w:cs="Tahoma"/>
          <w:color w:val="000000"/>
          <w:szCs w:val="20"/>
        </w:rPr>
        <w:t>Enterprise CAL Suite per i componenti della Forefront Protection Suite (parte dell</w:t>
      </w:r>
      <w:r w:rsidR="001C4212">
        <w:rPr>
          <w:rFonts w:cs="Tahoma"/>
          <w:color w:val="000000"/>
          <w:szCs w:val="20"/>
        </w:rPr>
        <w:t>’</w:t>
      </w:r>
      <w:r w:rsidRPr="0058047D">
        <w:rPr>
          <w:rFonts w:cs="Tahoma"/>
          <w:color w:val="000000"/>
          <w:szCs w:val="20"/>
        </w:rPr>
        <w:t>Enterprise CAL Suite fino al 30 novembre 2012).</w:t>
      </w:r>
    </w:p>
    <w:p w14:paraId="5E8AB7A1" w14:textId="77777777" w:rsidR="005D1A15" w:rsidRPr="0058047D" w:rsidRDefault="00112BE6" w:rsidP="005D1A15">
      <w:pPr>
        <w:spacing w:before="120" w:after="60"/>
        <w:ind w:left="720"/>
      </w:pPr>
      <w:r w:rsidRPr="0058047D">
        <w:rPr>
          <w:rFonts w:cs="Tahoma"/>
          <w:color w:val="000000"/>
          <w:szCs w:val="20"/>
        </w:rPr>
        <w:t>Software Assurance. Rinnovo della copertura Software Assurance per Forefront Unified Access Gateway al di</w:t>
      </w:r>
      <w:r w:rsidR="007153B4">
        <w:rPr>
          <w:rFonts w:cs="Tahoma"/>
          <w:color w:val="000000"/>
          <w:szCs w:val="20"/>
        </w:rPr>
        <w:t> </w:t>
      </w:r>
      <w:r w:rsidRPr="0058047D">
        <w:rPr>
          <w:rFonts w:cs="Tahoma"/>
          <w:color w:val="000000"/>
          <w:szCs w:val="20"/>
        </w:rPr>
        <w:t>fuori della Enterprise CAL Suite. Le società autorizzate all</w:t>
      </w:r>
      <w:r w:rsidR="001C4212">
        <w:rPr>
          <w:rFonts w:cs="Tahoma"/>
          <w:color w:val="000000"/>
          <w:szCs w:val="20"/>
        </w:rPr>
        <w:t>’</w:t>
      </w:r>
      <w:r w:rsidRPr="0058047D">
        <w:rPr>
          <w:rFonts w:cs="Tahoma"/>
          <w:color w:val="000000"/>
          <w:szCs w:val="20"/>
        </w:rPr>
        <w:t>utilizzo di Forefront Unified Access Gateway ai sensi di licenze Enterprise CAL Suite con copertura Software Assurance (con licenze acquistate prima del 1 dicembre 2012 o con diritti di true-up, come descritto in precedenza), al primo rinnovo di tale copertura a partire dal 1 dicembre 2012 dispongono dell</w:t>
      </w:r>
      <w:r w:rsidR="001C4212">
        <w:rPr>
          <w:rFonts w:cs="Tahoma"/>
          <w:color w:val="000000"/>
          <w:szCs w:val="20"/>
        </w:rPr>
        <w:t>’</w:t>
      </w:r>
      <w:r w:rsidRPr="0058047D">
        <w:rPr>
          <w:rFonts w:cs="Tahoma"/>
          <w:color w:val="000000"/>
          <w:szCs w:val="20"/>
        </w:rPr>
        <w:t>opzione di acquistare la copertura Software Assurance per Forefront Unified Access Gateway al di fuori della Enterprise CAL Suite senza prima acquistare una licenza separata per Forefront Unified Access Gateway. Tale offerta di acquisto di Forefront Unified Access Gateway è valida per un numero massimo di licenze pari al numero totale di licenze Enterprise CAL Suite con copertura Software Assurance in possesso della società immediatamente prima del rinnovo.</w:t>
      </w:r>
    </w:p>
    <w:p w14:paraId="0AB38990" w14:textId="77777777" w:rsidR="005D1A15" w:rsidRPr="0058047D" w:rsidRDefault="005D1A15" w:rsidP="00630ED6">
      <w:pPr>
        <w:ind w:left="720"/>
      </w:pPr>
    </w:p>
    <w:p w14:paraId="24B10645" w14:textId="77777777" w:rsidR="004E3869" w:rsidRPr="0058047D" w:rsidRDefault="00A2724A" w:rsidP="0084072C">
      <w:pPr>
        <w:spacing w:after="60"/>
        <w:ind w:left="720"/>
      </w:pPr>
      <w:r w:rsidRPr="0058047D">
        <w:rPr>
          <w:rFonts w:cs="Tahoma"/>
          <w:b/>
          <w:color w:val="000000"/>
          <w:szCs w:val="20"/>
        </w:rPr>
        <w:t>Diritti sull</w:t>
      </w:r>
      <w:r w:rsidR="001C4212">
        <w:rPr>
          <w:rFonts w:cs="Tahoma"/>
          <w:b/>
          <w:color w:val="000000"/>
          <w:szCs w:val="20"/>
        </w:rPr>
        <w:t>’</w:t>
      </w:r>
      <w:r w:rsidRPr="0058047D">
        <w:rPr>
          <w:rFonts w:cs="Tahoma"/>
          <w:b/>
          <w:color w:val="000000"/>
          <w:szCs w:val="20"/>
        </w:rPr>
        <w:t>Utilizzo Estesi per i prodotti Forefront</w:t>
      </w:r>
    </w:p>
    <w:p w14:paraId="364A5E4F" w14:textId="77777777" w:rsidR="00C349AE" w:rsidRPr="0058047D" w:rsidRDefault="00793CBD" w:rsidP="0084072C">
      <w:pPr>
        <w:ind w:left="720"/>
      </w:pPr>
      <w:r w:rsidRPr="0058047D">
        <w:rPr>
          <w:rFonts w:cs="Tahoma"/>
          <w:bCs/>
          <w:color w:val="000000"/>
          <w:szCs w:val="18"/>
        </w:rPr>
        <w:t>Le società con copertura Software Assurance attiva per Enterprise CAL Suite a partire dal 30 novembre 2012 potranno continuare a utilizzare i servizi componenti di Forefront Protection Suite (che in precedenza appartenevano a Enterprise CAL Suite) fino alla scadenza e/o al rinnovo di tale copertura.</w:t>
      </w:r>
      <w:r w:rsidR="00E34ED3" w:rsidRPr="0058047D">
        <w:rPr>
          <w:rFonts w:cs="Tahoma"/>
          <w:bCs/>
          <w:color w:val="000000"/>
          <w:szCs w:val="18"/>
        </w:rPr>
        <w:t xml:space="preserve"> </w:t>
      </w:r>
      <w:r w:rsidRPr="0058047D">
        <w:rPr>
          <w:rFonts w:cs="Tahoma"/>
          <w:bCs/>
          <w:color w:val="000000"/>
          <w:szCs w:val="18"/>
        </w:rPr>
        <w:t xml:space="preserve">Tali società potranno inoltre continuare a utilizzare i componenti </w:t>
      </w:r>
      <w:r w:rsidRPr="0058047D">
        <w:rPr>
          <w:rFonts w:cs="Tahoma"/>
          <w:color w:val="000000"/>
          <w:szCs w:val="20"/>
        </w:rPr>
        <w:t xml:space="preserve">Forefront for Office Communications Server, Forefront Protection 2010 for Exchange Server, Forefront Threat Management Gateway Web Protection Service e Forefront Protection 2010 for SharePoint Server </w:t>
      </w:r>
      <w:r w:rsidRPr="0058047D">
        <w:rPr>
          <w:rFonts w:cs="Tahoma"/>
          <w:bCs/>
          <w:color w:val="000000"/>
          <w:szCs w:val="18"/>
        </w:rPr>
        <w:t>della famiglia di prodotti fino al 31 dicembre 2015. Tali condizioni si applicano anche alle licenze Enterprise CAL Suite successive acquistate da tali società prima del 31 dicembre 2015. L</w:t>
      </w:r>
      <w:r w:rsidR="001C4212">
        <w:rPr>
          <w:rFonts w:cs="Tahoma"/>
          <w:bCs/>
          <w:color w:val="000000"/>
          <w:szCs w:val="18"/>
        </w:rPr>
        <w:t>’</w:t>
      </w:r>
      <w:r w:rsidRPr="0058047D">
        <w:rPr>
          <w:rFonts w:cs="Tahoma"/>
          <w:bCs/>
          <w:color w:val="000000"/>
          <w:szCs w:val="18"/>
        </w:rPr>
        <w:t>utilizzo continuato dei servizi online dei componenti rimane soggetto alle condizioni del Contratto Multilicenza della società, ai diritti di utilizzo del prodotto per i servizi online e alle presenti condizioni.</w:t>
      </w:r>
    </w:p>
    <w:p w14:paraId="5E10BCFC" w14:textId="77777777" w:rsidR="00C349AE" w:rsidRDefault="00C349AE" w:rsidP="0084072C">
      <w:pPr>
        <w:ind w:left="720"/>
      </w:pPr>
    </w:p>
    <w:p w14:paraId="432F09E8" w14:textId="77777777" w:rsidR="007153B4" w:rsidRDefault="007153B4" w:rsidP="0084072C">
      <w:pPr>
        <w:ind w:left="720"/>
      </w:pPr>
    </w:p>
    <w:p w14:paraId="7E9BD481" w14:textId="77777777" w:rsidR="007153B4" w:rsidRDefault="007153B4" w:rsidP="0084072C">
      <w:pPr>
        <w:ind w:left="720"/>
      </w:pPr>
    </w:p>
    <w:p w14:paraId="3B346727" w14:textId="77777777" w:rsidR="007153B4" w:rsidRDefault="007153B4" w:rsidP="0084072C">
      <w:pPr>
        <w:ind w:left="720"/>
      </w:pPr>
    </w:p>
    <w:p w14:paraId="64661A9B" w14:textId="77777777" w:rsidR="007153B4" w:rsidRDefault="007153B4" w:rsidP="0084072C">
      <w:pPr>
        <w:ind w:left="720"/>
      </w:pPr>
    </w:p>
    <w:p w14:paraId="3C17AB8A" w14:textId="77777777" w:rsidR="007153B4" w:rsidRDefault="007153B4" w:rsidP="0084072C">
      <w:pPr>
        <w:ind w:left="720"/>
      </w:pPr>
    </w:p>
    <w:p w14:paraId="731C90F1" w14:textId="77777777" w:rsidR="007153B4" w:rsidRPr="0058047D" w:rsidRDefault="007153B4" w:rsidP="0084072C">
      <w:pPr>
        <w:ind w:left="720"/>
      </w:pPr>
    </w:p>
    <w:p w14:paraId="29F15627" w14:textId="77777777" w:rsidR="004E3869" w:rsidRPr="0058047D" w:rsidRDefault="004E3869" w:rsidP="0084072C">
      <w:pPr>
        <w:spacing w:after="60"/>
        <w:ind w:left="720"/>
      </w:pPr>
      <w:r w:rsidRPr="0058047D">
        <w:rPr>
          <w:rFonts w:cs="Tahoma"/>
          <w:b/>
          <w:color w:val="000000"/>
          <w:szCs w:val="20"/>
        </w:rPr>
        <w:t xml:space="preserve">Forefront Protection Suite </w:t>
      </w:r>
    </w:p>
    <w:p w14:paraId="2A82DF86" w14:textId="77777777" w:rsidR="004E3869" w:rsidRPr="0058047D" w:rsidRDefault="004E3869" w:rsidP="0084072C">
      <w:pPr>
        <w:ind w:left="720"/>
      </w:pPr>
      <w:r w:rsidRPr="0058047D">
        <w:rPr>
          <w:rFonts w:cs="Tahoma"/>
          <w:color w:val="000000"/>
          <w:szCs w:val="20"/>
        </w:rPr>
        <w:t>Un abbonamento a Forefront Protection Suite è costituito dai seguenti servizi online:</w:t>
      </w:r>
      <w:r w:rsidR="00E34ED3" w:rsidRPr="0058047D">
        <w:rPr>
          <w:rFonts w:cs="Tahoma"/>
          <w:color w:val="000000"/>
          <w:szCs w:val="20"/>
        </w:rPr>
        <w:t xml:space="preserve"> </w:t>
      </w:r>
      <w:r w:rsidRPr="0058047D">
        <w:rPr>
          <w:rFonts w:cs="Tahoma"/>
          <w:color w:val="000000"/>
          <w:szCs w:val="20"/>
        </w:rPr>
        <w:t xml:space="preserve">System Center 2012 Endpoint Protection, Forefront for Office Communications Server (ex Antigen for Instant Messaging), Forefront Online Protection for Exchange (ex Exchange Hosted Filtering), Forefront Protection 2010 for Exchange Server, Forefront Threat Management Gateway Web Protection Service e Forefront Protection 2010 for SharePoint Server. </w:t>
      </w:r>
    </w:p>
    <w:p w14:paraId="79C5EAD9" w14:textId="77777777" w:rsidR="00B2460D" w:rsidRPr="0058047D" w:rsidRDefault="00B2460D" w:rsidP="0084072C">
      <w:pPr>
        <w:ind w:left="720"/>
      </w:pPr>
    </w:p>
    <w:p w14:paraId="38CF7880" w14:textId="77777777" w:rsidR="00023FE7" w:rsidRPr="0058047D" w:rsidRDefault="00023FE7" w:rsidP="0084072C">
      <w:pPr>
        <w:spacing w:after="60"/>
        <w:ind w:left="720"/>
      </w:pPr>
      <w:r w:rsidRPr="0058047D">
        <w:rPr>
          <w:rFonts w:cs="Tahoma"/>
          <w:b/>
          <w:color w:val="000000"/>
          <w:szCs w:val="20"/>
        </w:rPr>
        <w:t>CAL Solo per Studenti (Academic Open License e Academic Select)</w:t>
      </w:r>
    </w:p>
    <w:p w14:paraId="0A4E8F1C" w14:textId="77777777" w:rsidR="00023FE7" w:rsidRPr="007153B4" w:rsidRDefault="00023FE7" w:rsidP="0084072C">
      <w:pPr>
        <w:ind w:left="720"/>
        <w:rPr>
          <w:spacing w:val="-2"/>
        </w:rPr>
      </w:pPr>
      <w:r w:rsidRPr="007153B4">
        <w:rPr>
          <w:rFonts w:cs="Tahoma"/>
          <w:spacing w:val="-2"/>
          <w:szCs w:val="20"/>
        </w:rPr>
        <w:t>Le CAL Solo per Studenti sono limitate ai PC di proprietà dello studente titolare della licenza o ai PC di</w:t>
      </w:r>
      <w:r w:rsidR="007153B4" w:rsidRPr="007153B4">
        <w:rPr>
          <w:rFonts w:cs="Tahoma"/>
          <w:spacing w:val="-2"/>
          <w:szCs w:val="20"/>
        </w:rPr>
        <w:t> </w:t>
      </w:r>
      <w:r w:rsidRPr="007153B4">
        <w:rPr>
          <w:rFonts w:cs="Tahoma"/>
          <w:spacing w:val="-2"/>
          <w:szCs w:val="20"/>
        </w:rPr>
        <w:t>proprietà dell</w:t>
      </w:r>
      <w:r w:rsidR="001C4212">
        <w:rPr>
          <w:rFonts w:cs="Tahoma"/>
          <w:spacing w:val="-2"/>
          <w:szCs w:val="20"/>
        </w:rPr>
        <w:t>’</w:t>
      </w:r>
      <w:r w:rsidRPr="007153B4">
        <w:rPr>
          <w:rFonts w:cs="Tahoma"/>
          <w:spacing w:val="-2"/>
          <w:szCs w:val="20"/>
        </w:rPr>
        <w:t>Istituto che siano assegnati a un singolo studente e NON siano utilizzati nei laboratori o</w:t>
      </w:r>
      <w:r w:rsidR="007153B4" w:rsidRPr="007153B4">
        <w:rPr>
          <w:rFonts w:cs="Tahoma"/>
          <w:spacing w:val="-2"/>
          <w:szCs w:val="20"/>
        </w:rPr>
        <w:t> </w:t>
      </w:r>
      <w:r w:rsidRPr="007153B4">
        <w:rPr>
          <w:rFonts w:cs="Tahoma"/>
          <w:spacing w:val="-2"/>
          <w:szCs w:val="20"/>
        </w:rPr>
        <w:t>in</w:t>
      </w:r>
      <w:r w:rsidR="007153B4" w:rsidRPr="007153B4">
        <w:rPr>
          <w:rFonts w:cs="Tahoma"/>
          <w:spacing w:val="-2"/>
          <w:szCs w:val="20"/>
        </w:rPr>
        <w:t> </w:t>
      </w:r>
      <w:r w:rsidRPr="007153B4">
        <w:rPr>
          <w:rFonts w:cs="Tahoma"/>
          <w:spacing w:val="-2"/>
          <w:szCs w:val="20"/>
        </w:rPr>
        <w:t>classe.</w:t>
      </w:r>
    </w:p>
    <w:p w14:paraId="02D4D907" w14:textId="77777777" w:rsidR="00026546" w:rsidRPr="0058047D" w:rsidRDefault="00026546" w:rsidP="0084072C">
      <w:pPr>
        <w:ind w:left="720"/>
      </w:pPr>
    </w:p>
    <w:p w14:paraId="3A968955" w14:textId="77777777" w:rsidR="007B35CE" w:rsidRPr="0058047D" w:rsidRDefault="007B35CE" w:rsidP="0084072C">
      <w:pPr>
        <w:ind w:left="720"/>
      </w:pPr>
    </w:p>
    <w:p w14:paraId="3C1F46AA" w14:textId="77777777" w:rsidR="00112BE6" w:rsidRPr="0058047D" w:rsidRDefault="00A560B6" w:rsidP="00112BE6">
      <w:pPr>
        <w:pStyle w:val="Heading3"/>
      </w:pPr>
      <w:bookmarkStart w:id="1191" w:name="_45_Exchange_Enterprise"/>
      <w:bookmarkStart w:id="1192" w:name="_48_Exchange_Enterprise"/>
      <w:bookmarkStart w:id="1193" w:name="_Toc371663700"/>
      <w:bookmarkEnd w:id="1191"/>
      <w:bookmarkEnd w:id="1192"/>
      <w:r w:rsidRPr="0058047D">
        <w:rPr>
          <w:rFonts w:ascii="Tahoma" w:hAnsi="Tahoma"/>
          <w:caps/>
          <w:color w:val="F66400"/>
          <w:sz w:val="22"/>
          <w:vertAlign w:val="superscript"/>
        </w:rPr>
        <w:t>47</w:t>
      </w:r>
      <w:r w:rsidRPr="0058047D">
        <w:rPr>
          <w:rFonts w:ascii="Tahoma" w:hAnsi="Tahoma"/>
          <w:color w:val="F66400"/>
          <w:sz w:val="22"/>
        </w:rPr>
        <w:t xml:space="preserve"> Enterprise CAL per Exchange 2013 con Servizi</w:t>
      </w:r>
      <w:bookmarkEnd w:id="1193"/>
      <w:r w:rsidRPr="0058047D">
        <w:rPr>
          <w:rFonts w:ascii="Tahoma" w:hAnsi="Tahoma"/>
          <w:color w:val="F66400"/>
          <w:sz w:val="22"/>
        </w:rPr>
        <w:t xml:space="preserve"> </w:t>
      </w:r>
    </w:p>
    <w:p w14:paraId="16E6CEDD" w14:textId="77777777" w:rsidR="00112BE6" w:rsidRPr="0058047D" w:rsidRDefault="00112BE6" w:rsidP="00112BE6"/>
    <w:p w14:paraId="2F9AA55D" w14:textId="77777777" w:rsidR="00112BE6" w:rsidRPr="0058047D" w:rsidRDefault="00112BE6" w:rsidP="00112BE6">
      <w:pPr>
        <w:ind w:left="720"/>
      </w:pPr>
      <w:r w:rsidRPr="0058047D">
        <w:rPr>
          <w:rFonts w:cs="Tahoma"/>
          <w:b/>
          <w:szCs w:val="20"/>
        </w:rPr>
        <w:t>Servizi Online Inclusi in Exchange Enterprise CAL with Services 2013</w:t>
      </w:r>
    </w:p>
    <w:p w14:paraId="5AC6B9A6" w14:textId="77777777" w:rsidR="00112BE6" w:rsidRPr="0058047D" w:rsidRDefault="00112BE6" w:rsidP="00112BE6">
      <w:pPr>
        <w:ind w:left="720"/>
      </w:pPr>
      <w:r w:rsidRPr="0058047D">
        <w:rPr>
          <w:rFonts w:cs="Tahoma"/>
          <w:szCs w:val="20"/>
        </w:rPr>
        <w:t>A decorrere dal 1 aprile 2013 una licenza per Exchange Enterprise CAL con Servizi 2013 con copertura Software Assurance attiva include i diritti per Prevenzione della Perdita dei Dati ed Exchange Online Protection.</w:t>
      </w:r>
    </w:p>
    <w:p w14:paraId="14CCFF7B" w14:textId="77777777" w:rsidR="00112BE6" w:rsidRPr="0058047D" w:rsidRDefault="00112BE6" w:rsidP="00112BE6">
      <w:pPr>
        <w:ind w:left="720"/>
      </w:pPr>
    </w:p>
    <w:p w14:paraId="1771D3EC" w14:textId="77777777" w:rsidR="00855B26" w:rsidRPr="0058047D" w:rsidRDefault="00855B26" w:rsidP="00855B26">
      <w:pPr>
        <w:ind w:left="720"/>
      </w:pPr>
      <w:r w:rsidRPr="0058047D">
        <w:rPr>
          <w:rFonts w:cs="Tahoma"/>
          <w:szCs w:val="20"/>
          <w:u w:val="single"/>
        </w:rPr>
        <w:t>Disponibilità Internazionale</w:t>
      </w:r>
      <w:r w:rsidRPr="0058047D">
        <w:rPr>
          <w:rFonts w:cs="Tahoma"/>
          <w:szCs w:val="20"/>
        </w:rPr>
        <w:t>. I Servizi Online sono erogabili solo nei paesi in cui è disponibile Office 365:</w:t>
      </w:r>
      <w:r w:rsidRPr="0058047D">
        <w:rPr>
          <w:rFonts w:cs="Tahoma"/>
          <w:color w:val="5B9BD5"/>
          <w:szCs w:val="20"/>
        </w:rPr>
        <w:t xml:space="preserve"> </w:t>
      </w:r>
      <w:hyperlink r:id="rId47" w:anchor="international" w:history="1">
        <w:r w:rsidR="007153B4" w:rsidRPr="00A57AE3">
          <w:rPr>
            <w:rStyle w:val="Hyperlink"/>
            <w:color w:val="5B9BD5"/>
          </w:rPr>
          <w:t>http://www.microsoft.com/online/faq.aspx#international</w:t>
        </w:r>
      </w:hyperlink>
      <w:r w:rsidRPr="0058047D">
        <w:rPr>
          <w:color w:val="5B9BD5"/>
        </w:rPr>
        <w:br/>
      </w:r>
    </w:p>
    <w:p w14:paraId="04DBCE18" w14:textId="77777777" w:rsidR="00112BE6" w:rsidRPr="0058047D" w:rsidRDefault="00112BE6" w:rsidP="00112BE6">
      <w:pPr>
        <w:ind w:left="720"/>
      </w:pPr>
      <w:r w:rsidRPr="0058047D">
        <w:rPr>
          <w:rFonts w:cs="Tahoma"/>
          <w:szCs w:val="20"/>
          <w:u w:val="single"/>
        </w:rPr>
        <w:t>Erogazione</w:t>
      </w:r>
      <w:r w:rsidRPr="0058047D">
        <w:rPr>
          <w:rFonts w:cs="Tahoma"/>
          <w:szCs w:val="20"/>
        </w:rPr>
        <w:t>. Per iniziare a utilizzare questi servizi, la società dovrà contattare il proprio Microsoft Partner, che</w:t>
      </w:r>
      <w:r w:rsidR="007153B4">
        <w:rPr>
          <w:rFonts w:cs="Tahoma"/>
          <w:szCs w:val="20"/>
        </w:rPr>
        <w:t> </w:t>
      </w:r>
      <w:r w:rsidRPr="0058047D">
        <w:rPr>
          <w:rFonts w:cs="Tahoma"/>
          <w:szCs w:val="20"/>
        </w:rPr>
        <w:t>potrà avviare il processo di erogazione necessario per l</w:t>
      </w:r>
      <w:r w:rsidR="001C4212">
        <w:rPr>
          <w:rFonts w:cs="Tahoma"/>
          <w:szCs w:val="20"/>
        </w:rPr>
        <w:t>’</w:t>
      </w:r>
      <w:r w:rsidRPr="0058047D">
        <w:rPr>
          <w:rFonts w:cs="Tahoma"/>
          <w:szCs w:val="20"/>
        </w:rPr>
        <w:t>attivazione di ciascun servizio.</w:t>
      </w:r>
    </w:p>
    <w:p w14:paraId="7F7E1B86" w14:textId="77777777" w:rsidR="00112BE6" w:rsidRPr="0058047D" w:rsidRDefault="00112BE6" w:rsidP="00112BE6">
      <w:pPr>
        <w:ind w:left="720"/>
      </w:pPr>
    </w:p>
    <w:p w14:paraId="23F2D559" w14:textId="77777777" w:rsidR="00112BE6" w:rsidRPr="0058047D" w:rsidRDefault="00112BE6" w:rsidP="00112BE6">
      <w:pPr>
        <w:ind w:left="720"/>
      </w:pPr>
      <w:r w:rsidRPr="0058047D">
        <w:rPr>
          <w:rFonts w:cs="Tahoma"/>
          <w:szCs w:val="20"/>
          <w:u w:val="single"/>
        </w:rPr>
        <w:t>Condizioni Supplementari</w:t>
      </w:r>
      <w:r w:rsidRPr="0058047D">
        <w:rPr>
          <w:rFonts w:cs="Tahoma"/>
          <w:szCs w:val="20"/>
        </w:rPr>
        <w:t>. Le Condizioni Supplementari (“Condizioni Supplementari”) definite nell</w:t>
      </w:r>
      <w:r w:rsidR="001C4212">
        <w:rPr>
          <w:rFonts w:cs="Tahoma"/>
          <w:szCs w:val="20"/>
        </w:rPr>
        <w:t>’</w:t>
      </w:r>
      <w:hyperlink w:anchor="_Section_10_–" w:history="1">
        <w:r w:rsidRPr="0058047D">
          <w:rPr>
            <w:rStyle w:val="Hyperlink"/>
            <w:rFonts w:cs="Tahoma"/>
            <w:szCs w:val="20"/>
          </w:rPr>
          <w:t>Articolo 10</w:t>
        </w:r>
      </w:hyperlink>
      <w:r w:rsidRPr="0058047D">
        <w:rPr>
          <w:rFonts w:cs="Tahoma"/>
          <w:szCs w:val="20"/>
        </w:rPr>
        <w:t xml:space="preserve"> si applicano all</w:t>
      </w:r>
      <w:r w:rsidR="001C4212">
        <w:rPr>
          <w:rFonts w:cs="Tahoma"/>
          <w:szCs w:val="20"/>
        </w:rPr>
        <w:t>’</w:t>
      </w:r>
      <w:r w:rsidRPr="0058047D">
        <w:rPr>
          <w:snapToGrid w:val="0"/>
        </w:rPr>
        <w:t>acquisto e all</w:t>
      </w:r>
      <w:r w:rsidR="001C4212">
        <w:rPr>
          <w:snapToGrid w:val="0"/>
        </w:rPr>
        <w:t>’</w:t>
      </w:r>
      <w:r w:rsidRPr="0058047D">
        <w:rPr>
          <w:snapToGrid w:val="0"/>
        </w:rPr>
        <w:t>utilizzo, da parte delle società, dei Servizi Online inclusi in Exchange Enterprise CAL with Services 2013.</w:t>
      </w:r>
    </w:p>
    <w:p w14:paraId="35EF7FF0" w14:textId="77777777" w:rsidR="00D70D2C" w:rsidRPr="0058047D" w:rsidRDefault="00D70D2C" w:rsidP="0084072C">
      <w:pPr>
        <w:ind w:left="540"/>
      </w:pPr>
    </w:p>
    <w:p w14:paraId="400BF467" w14:textId="77777777" w:rsidR="007B35CE" w:rsidRPr="0058047D" w:rsidRDefault="007B35CE" w:rsidP="0084072C">
      <w:pPr>
        <w:ind w:left="540"/>
      </w:pPr>
    </w:p>
    <w:p w14:paraId="25ABE192" w14:textId="77777777" w:rsidR="00D70D2C" w:rsidRPr="0058047D" w:rsidRDefault="0085774C" w:rsidP="00D70D2C">
      <w:pPr>
        <w:pStyle w:val="Heading2"/>
        <w:ind w:left="270" w:hanging="270"/>
      </w:pPr>
      <w:bookmarkStart w:id="1194" w:name="_43_Exchange_Enterprise"/>
      <w:bookmarkStart w:id="1195" w:name="_44_Exchange_Online"/>
      <w:bookmarkStart w:id="1196" w:name="_Toc336338305"/>
      <w:bookmarkStart w:id="1197" w:name="_Toc371663701"/>
      <w:bookmarkStart w:id="1198" w:name="Srv_45ExchOnlineArchivingUserSL"/>
      <w:bookmarkEnd w:id="1194"/>
      <w:bookmarkEnd w:id="1195"/>
      <w:r w:rsidRPr="0058047D">
        <w:rPr>
          <w:rFonts w:ascii="Tahoma" w:hAnsi="Tahoma" w:cs="Tahoma"/>
          <w:color w:val="F26200"/>
          <w:sz w:val="20"/>
          <w:vertAlign w:val="superscript"/>
        </w:rPr>
        <w:t>48</w:t>
      </w:r>
      <w:r w:rsidRPr="0058047D">
        <w:rPr>
          <w:rFonts w:ascii="Tahoma" w:hAnsi="Tahoma" w:cs="Tahoma"/>
          <w:color w:val="F26200"/>
        </w:rPr>
        <w:t xml:space="preserve"> </w:t>
      </w:r>
      <w:r w:rsidRPr="0058047D">
        <w:rPr>
          <w:rFonts w:ascii="Tahoma" w:hAnsi="Tahoma" w:cs="Tahoma"/>
          <w:color w:val="F26200"/>
          <w:sz w:val="22"/>
        </w:rPr>
        <w:t>Archiviazione Exchange Online per Exchange Server (SL per Utente)</w:t>
      </w:r>
      <w:bookmarkEnd w:id="1196"/>
      <w:bookmarkEnd w:id="1197"/>
    </w:p>
    <w:bookmarkEnd w:id="1198"/>
    <w:p w14:paraId="4DF962D3" w14:textId="77777777" w:rsidR="00D70D2C" w:rsidRPr="0058047D" w:rsidRDefault="00D70D2C" w:rsidP="00D70D2C">
      <w:pPr>
        <w:ind w:left="900"/>
      </w:pPr>
    </w:p>
    <w:p w14:paraId="735108BF" w14:textId="77777777" w:rsidR="00D70D2C" w:rsidRPr="007153B4" w:rsidRDefault="00D70D2C" w:rsidP="00E62BC4">
      <w:pPr>
        <w:pStyle w:val="ListParagraph"/>
        <w:rPr>
          <w:sz w:val="18"/>
          <w:szCs w:val="18"/>
        </w:rPr>
      </w:pPr>
      <w:r w:rsidRPr="007153B4">
        <w:rPr>
          <w:rFonts w:ascii="Tahoma" w:hAnsi="Tahoma" w:cs="Tahoma"/>
          <w:color w:val="000000"/>
          <w:sz w:val="18"/>
          <w:szCs w:val="18"/>
        </w:rPr>
        <w:t>Archiviazione Exchange Online per Exchange Server è un servizio online che succede a Exchange Hosted Archive.</w:t>
      </w:r>
    </w:p>
    <w:p w14:paraId="06C98E43" w14:textId="77777777" w:rsidR="00D70D2C" w:rsidRPr="007153B4" w:rsidRDefault="00D70D2C" w:rsidP="00E62BC4">
      <w:pPr>
        <w:pStyle w:val="ListParagraph"/>
        <w:rPr>
          <w:rFonts w:ascii="Tahoma" w:hAnsi="Tahoma" w:cs="Tahoma"/>
          <w:sz w:val="18"/>
          <w:szCs w:val="18"/>
        </w:rPr>
      </w:pPr>
    </w:p>
    <w:p w14:paraId="7D635204" w14:textId="77777777" w:rsidR="00D70D2C" w:rsidRPr="0058047D" w:rsidRDefault="00D70D2C" w:rsidP="00E62BC4">
      <w:pPr>
        <w:ind w:left="720"/>
      </w:pPr>
      <w:r w:rsidRPr="0058047D">
        <w:rPr>
          <w:rFonts w:cs="Tahoma"/>
          <w:color w:val="000000"/>
          <w:szCs w:val="18"/>
        </w:rPr>
        <w:t>Qualora la società effettui il rinnovo passando da Exchange Hosted Archive ad Archiviazione Exchange Online per Exchange Server e non abbia ancora eseguito la migrazione ad Archiviazione Exchange</w:t>
      </w:r>
      <w:r w:rsidRPr="0058047D">
        <w:rPr>
          <w:color w:val="000000"/>
        </w:rPr>
        <w:t xml:space="preserve"> Online per Exchange Server, gli utenti in possesso di licenza potranno continuare a utilizzare il servizio Exchange Hosted Archive in conformità alle condizioni del PUR di marzo 2011 fino alla migrazione ad Archiviazione Exchange Online per Exchange Server e alla scadenza della sottoscrizione di Archiviazione Exchange Online per Exchange Server, a seconda di quale dei due eventi si verificherà per primo.</w:t>
      </w:r>
    </w:p>
    <w:p w14:paraId="664E4DB3" w14:textId="77777777" w:rsidR="00B23BE6" w:rsidRPr="0058047D" w:rsidRDefault="00B23BE6" w:rsidP="00E62BC4">
      <w:pPr>
        <w:ind w:left="720"/>
      </w:pPr>
    </w:p>
    <w:p w14:paraId="6507BBBE" w14:textId="77777777" w:rsidR="00B23BE6" w:rsidRPr="0058047D" w:rsidRDefault="00B23BE6" w:rsidP="0084072C">
      <w:pPr>
        <w:spacing w:after="60"/>
        <w:ind w:left="720"/>
      </w:pPr>
      <w:r w:rsidRPr="0058047D">
        <w:rPr>
          <w:rFonts w:eastAsia="Calibri" w:cs="Tahoma"/>
          <w:b/>
          <w:color w:val="000000"/>
          <w:szCs w:val="18"/>
        </w:rPr>
        <w:t>Community Cloud per Enti Pubblici (solo Stati Uniti)</w:t>
      </w:r>
    </w:p>
    <w:p w14:paraId="74BA618E" w14:textId="77777777" w:rsidR="00B23BE6" w:rsidRPr="0058047D" w:rsidRDefault="00B23BE6" w:rsidP="00E62BC4">
      <w:pPr>
        <w:ind w:left="720"/>
      </w:pPr>
      <w:r w:rsidRPr="0058047D">
        <w:rPr>
          <w:rFonts w:eastAsia="Calibri" w:cs="Tahoma"/>
          <w:color w:val="000000"/>
          <w:szCs w:val="18"/>
        </w:rPr>
        <w:t>Alcuni servizi online della famiglia di prodotti Office 365 (incluso Archiviazione Exchange Online per Exchange Server) sono offerti come servizi di community cloud per enti pubblici e come servizi di community cloud per enti non pubblici.</w:t>
      </w:r>
      <w:r w:rsidR="00E34ED3" w:rsidRPr="0058047D">
        <w:rPr>
          <w:rFonts w:eastAsia="Calibri" w:cs="Tahoma"/>
          <w:color w:val="000000"/>
          <w:szCs w:val="18"/>
        </w:rPr>
        <w:t xml:space="preserve"> </w:t>
      </w:r>
      <w:r w:rsidRPr="0058047D">
        <w:rPr>
          <w:rFonts w:eastAsia="Calibri" w:cs="Tahoma"/>
          <w:color w:val="000000"/>
          <w:szCs w:val="18"/>
        </w:rPr>
        <w:t>Alle società potrà essere effettuato il provisioning come ente pubblico o non pubblico, ma non come una combinazione di entrambi.</w:t>
      </w:r>
      <w:r w:rsidR="00E34ED3" w:rsidRPr="0058047D">
        <w:rPr>
          <w:rFonts w:eastAsia="Calibri" w:cs="Tahoma"/>
          <w:color w:val="000000"/>
          <w:szCs w:val="18"/>
        </w:rPr>
        <w:t xml:space="preserve"> </w:t>
      </w:r>
      <w:r w:rsidRPr="0058047D">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E34ED3" w:rsidRPr="0058047D">
        <w:rPr>
          <w:rFonts w:eastAsia="Calibri" w:cs="Tahoma"/>
          <w:color w:val="000000"/>
          <w:szCs w:val="18"/>
        </w:rPr>
        <w:t xml:space="preserve"> </w:t>
      </w:r>
    </w:p>
    <w:p w14:paraId="2D3D7641" w14:textId="77777777" w:rsidR="00B23BE6" w:rsidRPr="0058047D" w:rsidRDefault="00B23BE6" w:rsidP="00E62BC4">
      <w:pPr>
        <w:ind w:left="720"/>
      </w:pPr>
    </w:p>
    <w:p w14:paraId="29EE6438" w14:textId="77777777" w:rsidR="00B23BE6" w:rsidRPr="007153B4" w:rsidRDefault="00B23BE6" w:rsidP="00E62BC4">
      <w:pPr>
        <w:ind w:left="720"/>
      </w:pPr>
      <w:r w:rsidRPr="007153B4">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1C4212">
        <w:rPr>
          <w:rFonts w:eastAsia="Calibri" w:cs="Tahoma"/>
          <w:color w:val="000000"/>
          <w:szCs w:val="18"/>
        </w:rPr>
        <w:t>’</w:t>
      </w:r>
      <w:r w:rsidRPr="007153B4">
        <w:rPr>
          <w:rFonts w:eastAsia="Calibri" w:cs="Tahoma"/>
          <w:color w:val="000000"/>
          <w:szCs w:val="18"/>
        </w:rPr>
        <w:t>Iscrizione Enterprise o Enterprise Subscription per Enti Pubblici Statunitensi per essere idonei all</w:t>
      </w:r>
      <w:r w:rsidR="001C4212">
        <w:rPr>
          <w:rFonts w:eastAsia="Calibri" w:cs="Tahoma"/>
          <w:color w:val="000000"/>
          <w:szCs w:val="18"/>
        </w:rPr>
        <w:t>’</w:t>
      </w:r>
      <w:r w:rsidRPr="007153B4">
        <w:rPr>
          <w:rFonts w:eastAsia="Calibri" w:cs="Tahoma"/>
          <w:color w:val="000000"/>
          <w:szCs w:val="18"/>
        </w:rPr>
        <w:t>acquisto di servizi online designati come community cloud per enti pubblici.</w:t>
      </w:r>
      <w:r w:rsidR="00E34ED3" w:rsidRPr="007153B4">
        <w:rPr>
          <w:rFonts w:eastAsia="Calibri" w:cs="Tahoma"/>
          <w:color w:val="000000"/>
          <w:szCs w:val="18"/>
        </w:rPr>
        <w:t xml:space="preserve"> </w:t>
      </w:r>
      <w:r w:rsidRPr="007153B4">
        <w:rPr>
          <w:rFonts w:eastAsia="Calibri" w:cs="Tahoma"/>
          <w:color w:val="000000"/>
          <w:szCs w:val="18"/>
        </w:rPr>
        <w:t>I Diritti sull</w:t>
      </w:r>
      <w:r w:rsidR="001C4212">
        <w:rPr>
          <w:rFonts w:eastAsia="Calibri" w:cs="Tahoma"/>
          <w:color w:val="000000"/>
          <w:szCs w:val="18"/>
        </w:rPr>
        <w:t>’</w:t>
      </w:r>
      <w:r w:rsidRPr="007153B4">
        <w:rPr>
          <w:rFonts w:eastAsia="Calibri" w:cs="Tahoma"/>
          <w:color w:val="000000"/>
          <w:szCs w:val="18"/>
        </w:rPr>
        <w:t>Utilizzo relativi ai servizi di community cloud per enti pubblici sono simili a quelli dei loro equivalenti multi-tenant standard.</w:t>
      </w:r>
      <w:r w:rsidR="00E34ED3" w:rsidRPr="007153B4">
        <w:rPr>
          <w:rFonts w:eastAsia="Calibri" w:cs="Tahoma"/>
          <w:color w:val="000000"/>
          <w:szCs w:val="18"/>
        </w:rPr>
        <w:t xml:space="preserve"> </w:t>
      </w:r>
      <w:r w:rsidRPr="007153B4">
        <w:rPr>
          <w:rFonts w:eastAsia="Calibri" w:cs="Tahoma"/>
          <w:color w:val="000000"/>
          <w:szCs w:val="18"/>
        </w:rPr>
        <w:t>I servizi di community cloud per enti pubblici non sono in questa fase idonei alla Prenotazione di Licenze e alle Transizioni.</w:t>
      </w:r>
    </w:p>
    <w:p w14:paraId="3987928F" w14:textId="77777777" w:rsidR="005D484B" w:rsidRPr="0058047D" w:rsidRDefault="00D629A3" w:rsidP="001760D6">
      <w:pPr>
        <w:pStyle w:val="Heading2"/>
        <w:keepNext/>
        <w:ind w:left="270" w:hanging="270"/>
      </w:pPr>
      <w:bookmarkStart w:id="1199" w:name="_47__Exchange"/>
      <w:bookmarkStart w:id="1200" w:name="_50__Exchange"/>
      <w:bookmarkStart w:id="1201" w:name="_Toc371663702"/>
      <w:bookmarkEnd w:id="1199"/>
      <w:bookmarkEnd w:id="1200"/>
      <w:r w:rsidRPr="0058047D">
        <w:rPr>
          <w:rFonts w:ascii="Tahoma" w:hAnsi="Tahoma" w:cs="Tahoma"/>
          <w:color w:val="F26200"/>
          <w:sz w:val="20"/>
          <w:vertAlign w:val="superscript"/>
        </w:rPr>
        <w:t>49</w:t>
      </w:r>
      <w:r w:rsidRPr="0058047D">
        <w:rPr>
          <w:rFonts w:ascii="Tahoma" w:hAnsi="Tahoma" w:cs="Tahoma"/>
          <w:color w:val="F26200"/>
        </w:rPr>
        <w:t xml:space="preserve"> </w:t>
      </w:r>
      <w:r w:rsidRPr="0058047D">
        <w:rPr>
          <w:rFonts w:ascii="Tahoma" w:hAnsi="Tahoma" w:cs="Tahoma"/>
          <w:color w:val="F26200"/>
          <w:sz w:val="22"/>
        </w:rPr>
        <w:t>Archiviazione Exchange Online per Exchange Server A (SL per Utente)</w:t>
      </w:r>
      <w:bookmarkEnd w:id="1201"/>
    </w:p>
    <w:p w14:paraId="210E461A" w14:textId="77777777" w:rsidR="005D484B" w:rsidRPr="007153B4" w:rsidRDefault="005D484B" w:rsidP="001760D6">
      <w:pPr>
        <w:keepNext/>
        <w:ind w:left="900"/>
        <w:rPr>
          <w:sz w:val="14"/>
          <w:szCs w:val="14"/>
        </w:rPr>
      </w:pPr>
    </w:p>
    <w:p w14:paraId="3BA4183B" w14:textId="77777777" w:rsidR="005D484B" w:rsidRPr="0058047D" w:rsidRDefault="005D484B" w:rsidP="005D484B">
      <w:pPr>
        <w:ind w:left="720"/>
      </w:pPr>
      <w:r w:rsidRPr="0058047D">
        <w:rPr>
          <w:rFonts w:cs="Tahoma"/>
          <w:szCs w:val="18"/>
        </w:rPr>
        <w:t>Gli Istituti Didattici ai sensi dei contratti Enrollment for Education Solutions e Open Value Subscription per</w:t>
      </w:r>
      <w:r w:rsidR="007153B4">
        <w:rPr>
          <w:rFonts w:cs="Tahoma"/>
          <w:szCs w:val="18"/>
        </w:rPr>
        <w:t> </w:t>
      </w:r>
      <w:r w:rsidRPr="0058047D">
        <w:rPr>
          <w:rFonts w:cs="Tahoma"/>
          <w:szCs w:val="18"/>
        </w:rPr>
        <w:t>Education Solutions, autorizzati a ricevere l</w:t>
      </w:r>
      <w:r w:rsidR="001C4212">
        <w:rPr>
          <w:rFonts w:cs="Tahoma"/>
          <w:szCs w:val="18"/>
        </w:rPr>
        <w:t>’</w:t>
      </w:r>
      <w:r w:rsidRPr="0058047D">
        <w:rPr>
          <w:rFonts w:cs="Tahoma"/>
          <w:szCs w:val="18"/>
        </w:rPr>
        <w:t>Enterprise CAL Suite sulla base del numero dell</w:t>
      </w:r>
      <w:r w:rsidR="001C4212">
        <w:rPr>
          <w:rFonts w:cs="Tahoma"/>
          <w:szCs w:val="18"/>
        </w:rPr>
        <w:t>’</w:t>
      </w:r>
      <w:r w:rsidRPr="0058047D">
        <w:rPr>
          <w:rFonts w:cs="Tahoma"/>
          <w:szCs w:val="18"/>
        </w:rPr>
        <w:t>intera Organizzazione e del numero di Studenti, possono ottenere un numero corrispondente di SL per Utente per Archiviazione Exchange Online per Exchange Server A per tutti gli utenti che rientrano nel numero dell</w:t>
      </w:r>
      <w:r w:rsidR="001C4212">
        <w:rPr>
          <w:rFonts w:cs="Tahoma"/>
          <w:szCs w:val="18"/>
        </w:rPr>
        <w:t>’</w:t>
      </w:r>
      <w:r w:rsidRPr="0058047D">
        <w:rPr>
          <w:rFonts w:cs="Tahoma"/>
          <w:szCs w:val="18"/>
        </w:rPr>
        <w:t>intera Organizzazione e nel numero di Studenti. Le società dovranno fare riferimento alle note del prodotto nell</w:t>
      </w:r>
      <w:r w:rsidR="001C4212">
        <w:rPr>
          <w:rFonts w:cs="Tahoma"/>
          <w:szCs w:val="18"/>
        </w:rPr>
        <w:t>’</w:t>
      </w:r>
      <w:r w:rsidRPr="0058047D">
        <w:rPr>
          <w:rFonts w:cs="Tahoma"/>
          <w:szCs w:val="18"/>
        </w:rPr>
        <w:t>Enterprise CAL Suite per la modalità di erogazione.</w:t>
      </w:r>
    </w:p>
    <w:p w14:paraId="21425F89" w14:textId="77777777" w:rsidR="00B23BE6" w:rsidRPr="007153B4" w:rsidRDefault="00B23BE6" w:rsidP="00D70D2C">
      <w:pPr>
        <w:ind w:left="540"/>
        <w:rPr>
          <w:sz w:val="14"/>
          <w:szCs w:val="14"/>
        </w:rPr>
      </w:pPr>
    </w:p>
    <w:p w14:paraId="0A57C4EB" w14:textId="77777777" w:rsidR="00EC1F23" w:rsidRPr="007153B4" w:rsidRDefault="00EC1F23" w:rsidP="0084072C">
      <w:pPr>
        <w:pStyle w:val="Heading2"/>
        <w:ind w:left="0"/>
        <w:rPr>
          <w:rFonts w:ascii="Tahoma" w:hAnsi="Tahoma" w:cs="Tahoma"/>
          <w:b w:val="0"/>
          <w:sz w:val="14"/>
          <w:szCs w:val="14"/>
        </w:rPr>
      </w:pPr>
    </w:p>
    <w:p w14:paraId="642A1D0C" w14:textId="77777777" w:rsidR="00EC1F23" w:rsidRPr="0058047D" w:rsidRDefault="00A560B6" w:rsidP="00465757">
      <w:pPr>
        <w:pStyle w:val="Heading2"/>
        <w:ind w:left="270" w:hanging="270"/>
      </w:pPr>
      <w:bookmarkStart w:id="1202" w:name="_45_Exchange_Hosted"/>
      <w:bookmarkStart w:id="1203" w:name="_51_Exchange_Hosted"/>
      <w:bookmarkStart w:id="1204" w:name="_Toc336338306"/>
      <w:bookmarkStart w:id="1205" w:name="_Toc371663703"/>
      <w:bookmarkStart w:id="1206" w:name="Srv_44ExchHostArchiveandStorage"/>
      <w:bookmarkEnd w:id="1202"/>
      <w:bookmarkEnd w:id="1203"/>
      <w:r w:rsidRPr="0058047D">
        <w:rPr>
          <w:rFonts w:ascii="Tahoma" w:hAnsi="Tahoma" w:cs="Tahoma"/>
          <w:color w:val="F26200"/>
          <w:sz w:val="20"/>
          <w:vertAlign w:val="superscript"/>
        </w:rPr>
        <w:t>50</w:t>
      </w:r>
      <w:r w:rsidRPr="0058047D">
        <w:rPr>
          <w:rFonts w:ascii="Tahoma" w:hAnsi="Tahoma" w:cs="Tahoma"/>
          <w:color w:val="F26200"/>
        </w:rPr>
        <w:t xml:space="preserve"> </w:t>
      </w:r>
      <w:r w:rsidRPr="0058047D">
        <w:rPr>
          <w:rFonts w:ascii="Tahoma" w:hAnsi="Tahoma" w:cs="Tahoma"/>
          <w:color w:val="F26200"/>
          <w:sz w:val="22"/>
        </w:rPr>
        <w:t>Exchange Hosted Archive (SL per Utente), Exchange Hosted Archive Extra Storage (SL Add-on)</w:t>
      </w:r>
      <w:bookmarkEnd w:id="1204"/>
      <w:bookmarkEnd w:id="1205"/>
      <w:r w:rsidRPr="0058047D">
        <w:rPr>
          <w:rFonts w:ascii="Tahoma" w:hAnsi="Tahoma" w:cs="Tahoma"/>
          <w:color w:val="F26200"/>
          <w:sz w:val="22"/>
        </w:rPr>
        <w:t xml:space="preserve"> </w:t>
      </w:r>
      <w:bookmarkEnd w:id="1206"/>
    </w:p>
    <w:p w14:paraId="3EA93F9C" w14:textId="77777777" w:rsidR="00EC1F23" w:rsidRPr="007153B4" w:rsidRDefault="00EC1F23" w:rsidP="00EC1F23">
      <w:pPr>
        <w:ind w:left="900"/>
        <w:rPr>
          <w:sz w:val="16"/>
          <w:szCs w:val="16"/>
        </w:rPr>
      </w:pPr>
    </w:p>
    <w:p w14:paraId="7DFA0CE0" w14:textId="77777777" w:rsidR="00EC1F23" w:rsidRPr="0058047D" w:rsidRDefault="00EC1F23" w:rsidP="0084072C">
      <w:pPr>
        <w:spacing w:after="60"/>
        <w:ind w:left="720"/>
      </w:pPr>
      <w:r w:rsidRPr="0058047D">
        <w:rPr>
          <w:rFonts w:eastAsia="Calibri" w:cs="Tahoma"/>
          <w:b/>
          <w:bCs/>
          <w:iCs/>
          <w:color w:val="000000"/>
        </w:rPr>
        <w:t>Concessione di Licenza del 1 Maggio 2011 per Società Exchange Hosted Archive</w:t>
      </w:r>
      <w:r w:rsidRPr="0058047D">
        <w:rPr>
          <w:rFonts w:eastAsia="Calibri" w:cs="Tahoma"/>
          <w:b/>
          <w:iCs/>
          <w:color w:val="000000"/>
        </w:rPr>
        <w:t xml:space="preserve"> </w:t>
      </w:r>
    </w:p>
    <w:p w14:paraId="7CCCD8F8" w14:textId="77777777" w:rsidR="00EC1F23" w:rsidRPr="0058047D" w:rsidRDefault="00EC1F23" w:rsidP="00E62BC4">
      <w:pPr>
        <w:ind w:left="720"/>
      </w:pPr>
      <w:r w:rsidRPr="0058047D">
        <w:rPr>
          <w:rFonts w:eastAsia="Calibri" w:cs="Tahoma"/>
          <w:iCs/>
          <w:color w:val="000000"/>
        </w:rPr>
        <w:t>Alle società viene concessa un</w:t>
      </w:r>
      <w:r w:rsidR="001C4212">
        <w:rPr>
          <w:rFonts w:eastAsia="Calibri" w:cs="Tahoma"/>
          <w:iCs/>
          <w:color w:val="000000"/>
        </w:rPr>
        <w:t>’</w:t>
      </w:r>
      <w:r w:rsidRPr="0058047D">
        <w:rPr>
          <w:rFonts w:eastAsia="Calibri" w:cs="Tahoma"/>
          <w:iCs/>
          <w:color w:val="000000"/>
        </w:rPr>
        <w:t>ulteriore quantità di licenze (“licenze gratuite”) pari al 15% del numero delle</w:t>
      </w:r>
      <w:r w:rsidR="007153B4">
        <w:rPr>
          <w:rFonts w:eastAsia="Calibri" w:cs="Tahoma"/>
          <w:iCs/>
          <w:color w:val="000000"/>
        </w:rPr>
        <w:t> </w:t>
      </w:r>
      <w:r w:rsidRPr="0058047D">
        <w:rPr>
          <w:rFonts w:eastAsia="Calibri" w:cs="Tahoma"/>
          <w:iCs/>
          <w:color w:val="000000"/>
        </w:rPr>
        <w:t>licenze Exchange Hosted Archive (EHA) acquistate e attive in data 1 maggio 2011 (“licenze qualificanti”). Fintantoché le licenze qualificanti della società rimangono attive, le licenze gratuite rimarranno valide fino al termine della sottoscrizione che coinciderà con la migrazione della società da EHA a un Servizio Online successivo come specificato nella tabella di migrazione qui sotto. Alle società che desiderano continuare a utilizzare il Servizio Online successivo dopo la scadenza delle loro licenze gratuite verrà richiesto di ordinare un numero di licenze uguale al numero totale degli utenti che eseguiranno l</w:t>
      </w:r>
      <w:r w:rsidR="001C4212">
        <w:rPr>
          <w:rFonts w:eastAsia="Calibri" w:cs="Tahoma"/>
          <w:iCs/>
          <w:color w:val="000000"/>
        </w:rPr>
        <w:t>’</w:t>
      </w:r>
      <w:r w:rsidRPr="0058047D">
        <w:rPr>
          <w:rFonts w:eastAsia="Calibri" w:cs="Tahoma"/>
          <w:iCs/>
          <w:color w:val="000000"/>
        </w:rPr>
        <w:t>accesso a</w:t>
      </w:r>
      <w:r w:rsidR="007153B4">
        <w:rPr>
          <w:rFonts w:eastAsia="Calibri" w:cs="Tahoma"/>
          <w:iCs/>
          <w:color w:val="000000"/>
        </w:rPr>
        <w:t> </w:t>
      </w:r>
      <w:r w:rsidRPr="0058047D">
        <w:rPr>
          <w:rFonts w:eastAsia="Calibri" w:cs="Tahoma"/>
          <w:iCs/>
          <w:color w:val="000000"/>
        </w:rPr>
        <w:t xml:space="preserve">tale Servizio Online o che lo utilizzeranno. </w:t>
      </w:r>
    </w:p>
    <w:p w14:paraId="59AC9C00" w14:textId="77777777" w:rsidR="00BA1490" w:rsidRPr="007153B4" w:rsidRDefault="00BA1490" w:rsidP="0084072C">
      <w:pPr>
        <w:rPr>
          <w:sz w:val="14"/>
          <w:szCs w:val="14"/>
        </w:rPr>
      </w:pPr>
    </w:p>
    <w:p w14:paraId="4DE99A38" w14:textId="77777777" w:rsidR="00EA6918" w:rsidRPr="0058047D" w:rsidRDefault="00EC1F23" w:rsidP="0084072C">
      <w:pPr>
        <w:spacing w:after="60"/>
        <w:ind w:left="720"/>
      </w:pPr>
      <w:r w:rsidRPr="0058047D">
        <w:rPr>
          <w:rFonts w:eastAsia="Calibri" w:cs="Tahoma"/>
          <w:b/>
          <w:bCs/>
          <w:iCs/>
          <w:color w:val="000000"/>
        </w:rPr>
        <w:t>Concessione di Licenza di Migrazione per Società Exchange Hosted Archive</w:t>
      </w:r>
    </w:p>
    <w:p w14:paraId="15CE379B" w14:textId="77777777" w:rsidR="00EC1F23" w:rsidRPr="0058047D" w:rsidRDefault="00EC1F23" w:rsidP="00E62BC4">
      <w:pPr>
        <w:ind w:left="720"/>
      </w:pPr>
      <w:r w:rsidRPr="0058047D">
        <w:rPr>
          <w:rFonts w:eastAsia="Calibri" w:cs="Tahoma"/>
          <w:iCs/>
          <w:color w:val="000000"/>
        </w:rPr>
        <w:t xml:space="preserve">Alle società EHA che eseguono la migrazione ai Servizi Online successivi verrà concesso un numero totale di licenze sostitutive per i Servizi Online successivi uguale al numero totale di licenze EHA qualificanti e gratuite di cui dispongono, mostrate nella tabella seguente. Tali licenze sostitutive scadranno al termine del periodo di validità della sottoscrizione coincidente con la migrazione della società da EHA ai Servizi Online successivi. </w:t>
      </w:r>
    </w:p>
    <w:p w14:paraId="2337DFF2" w14:textId="77777777" w:rsidR="00EC1F23" w:rsidRPr="007153B4" w:rsidRDefault="00EC1F23" w:rsidP="00E62BC4">
      <w:pPr>
        <w:ind w:left="720"/>
        <w:rPr>
          <w:sz w:val="14"/>
          <w:szCs w:val="14"/>
        </w:rPr>
      </w:pPr>
    </w:p>
    <w:p w14:paraId="319707F4" w14:textId="77777777" w:rsidR="002512D3" w:rsidRPr="0058047D" w:rsidRDefault="00EC1F23" w:rsidP="003165D6">
      <w:pPr>
        <w:ind w:left="720"/>
      </w:pPr>
      <w:r w:rsidRPr="0058047D">
        <w:rPr>
          <w:rFonts w:eastAsia="Calibri" w:cs="Tahoma"/>
          <w:iCs/>
          <w:color w:val="000000"/>
        </w:rPr>
        <w:t>Le SL per Utente per Exchange Online Piano 2 concesse ai sensi di questa offerta di migrazione devono essere cedute all</w:t>
      </w:r>
      <w:r w:rsidR="001C4212">
        <w:rPr>
          <w:rFonts w:eastAsia="Calibri" w:cs="Tahoma"/>
          <w:iCs/>
          <w:color w:val="000000"/>
        </w:rPr>
        <w:t>’</w:t>
      </w:r>
      <w:r w:rsidRPr="0058047D">
        <w:rPr>
          <w:rFonts w:eastAsia="Calibri" w:cs="Tahoma"/>
          <w:iCs/>
          <w:color w:val="000000"/>
        </w:rPr>
        <w:t>utente al quale è ceduta la corrispondente SL per Utente per Exchange Online Standard, Exchange Online Piano 2, BPOS Standard, Office 365 Enterprise E1, BPOS Deskless, Exchange Online Deskless o Chiosco Exchange Online. Se la SL per Utente corrispondente viene riassegnata a un nuovo utente, anche Exchange Online Piano 2 dovrà essere riassegnata allo stesso nuovo utente. </w:t>
      </w:r>
    </w:p>
    <w:p w14:paraId="0A18E898" w14:textId="77777777" w:rsidR="00EC1F23" w:rsidRPr="007153B4" w:rsidRDefault="00EC1F23" w:rsidP="00EC1F23">
      <w:pPr>
        <w:rPr>
          <w:sz w:val="14"/>
          <w:szCs w:val="1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3420"/>
      </w:tblGrid>
      <w:tr w:rsidR="00EC1F23" w:rsidRPr="0058047D" w14:paraId="271EF441" w14:textId="77777777" w:rsidTr="00C066F9">
        <w:trPr>
          <w:jc w:val="center"/>
        </w:trPr>
        <w:tc>
          <w:tcPr>
            <w:tcW w:w="7740" w:type="dxa"/>
            <w:gridSpan w:val="2"/>
            <w:shd w:val="clear" w:color="auto" w:fill="FABF8F"/>
          </w:tcPr>
          <w:p w14:paraId="789FD799" w14:textId="77777777" w:rsidR="00EC1F23" w:rsidRPr="0058047D" w:rsidRDefault="00EC1F23" w:rsidP="00022FBE">
            <w:pPr>
              <w:jc w:val="center"/>
              <w:rPr>
                <w:rFonts w:eastAsia="Calibri" w:cs="Tahoma"/>
                <w:b/>
                <w:iCs/>
                <w:color w:val="000000"/>
              </w:rPr>
            </w:pPr>
            <w:r w:rsidRPr="0058047D">
              <w:rPr>
                <w:rFonts w:eastAsia="Calibri" w:cs="Tahoma"/>
                <w:b/>
                <w:iCs/>
                <w:color w:val="000000"/>
              </w:rPr>
              <w:t>Concessione della Licenza di Migrazione</w:t>
            </w:r>
          </w:p>
        </w:tc>
      </w:tr>
      <w:tr w:rsidR="00EC1F23" w:rsidRPr="0058047D" w14:paraId="68E901DB" w14:textId="77777777" w:rsidTr="007153B4">
        <w:trPr>
          <w:jc w:val="center"/>
        </w:trPr>
        <w:tc>
          <w:tcPr>
            <w:tcW w:w="4320" w:type="dxa"/>
            <w:shd w:val="clear" w:color="auto" w:fill="auto"/>
          </w:tcPr>
          <w:p w14:paraId="698D3C33" w14:textId="77777777" w:rsidR="00EC1F23" w:rsidRPr="0058047D" w:rsidRDefault="00EC1F23" w:rsidP="00022FBE">
            <w:pPr>
              <w:jc w:val="center"/>
              <w:rPr>
                <w:rFonts w:eastAsia="Calibri" w:cs="Tahoma"/>
                <w:iCs/>
                <w:color w:val="000000"/>
              </w:rPr>
            </w:pPr>
            <w:r w:rsidRPr="0058047D">
              <w:rPr>
                <w:rFonts w:eastAsia="Calibri" w:cs="Tahoma"/>
                <w:iCs/>
                <w:color w:val="000000"/>
              </w:rPr>
              <w:t>Posizione della licenza qualificante</w:t>
            </w:r>
          </w:p>
        </w:tc>
        <w:tc>
          <w:tcPr>
            <w:tcW w:w="3420" w:type="dxa"/>
            <w:shd w:val="clear" w:color="auto" w:fill="auto"/>
          </w:tcPr>
          <w:p w14:paraId="6A4B6184" w14:textId="77777777" w:rsidR="00EC1F23" w:rsidRPr="0058047D" w:rsidRDefault="00EC1F23" w:rsidP="00022FBE">
            <w:pPr>
              <w:jc w:val="center"/>
              <w:rPr>
                <w:rFonts w:eastAsia="Calibri" w:cs="Tahoma"/>
                <w:iCs/>
                <w:color w:val="000000"/>
              </w:rPr>
            </w:pPr>
            <w:r w:rsidRPr="0058047D">
              <w:rPr>
                <w:rFonts w:eastAsia="Calibri" w:cs="Tahoma"/>
                <w:iCs/>
                <w:color w:val="000000"/>
              </w:rPr>
              <w:t>Concessione di Licenza</w:t>
            </w:r>
          </w:p>
        </w:tc>
      </w:tr>
      <w:tr w:rsidR="00EC1F23" w:rsidRPr="0058047D" w14:paraId="547B9B3A" w14:textId="77777777" w:rsidTr="007153B4">
        <w:trPr>
          <w:jc w:val="center"/>
        </w:trPr>
        <w:tc>
          <w:tcPr>
            <w:tcW w:w="4320" w:type="dxa"/>
            <w:shd w:val="clear" w:color="auto" w:fill="auto"/>
          </w:tcPr>
          <w:p w14:paraId="4DF926E5" w14:textId="77777777" w:rsidR="00EE53FF" w:rsidRPr="0058047D" w:rsidRDefault="00EE53FF" w:rsidP="001051D1">
            <w:pPr>
              <w:spacing w:before="60" w:after="60"/>
              <w:ind w:left="158" w:right="346"/>
            </w:pPr>
            <w:r w:rsidRPr="0058047D">
              <w:rPr>
                <w:rFonts w:eastAsia="Calibri" w:cs="Tahoma"/>
                <w:iCs/>
                <w:color w:val="000000"/>
              </w:rPr>
              <w:t>SL per Utente per EHA (utilizzato insieme a una CAL per Exchange on-premise)</w:t>
            </w:r>
          </w:p>
          <w:p w14:paraId="6A55EE17" w14:textId="77777777" w:rsidR="00EC1F23" w:rsidRPr="0058047D" w:rsidRDefault="00EC1F23" w:rsidP="001051D1">
            <w:pPr>
              <w:spacing w:before="60" w:after="60"/>
              <w:ind w:left="158" w:right="346"/>
            </w:pPr>
            <w:r w:rsidRPr="0058047D">
              <w:rPr>
                <w:rFonts w:eastAsia="Calibri" w:cs="Tahoma"/>
                <w:iCs/>
                <w:color w:val="000000"/>
              </w:rPr>
              <w:t>SL per Utente per EHA (utilizzata insieme a SL per Utente per Exchange Online Standard, Exchange Online Plan</w:t>
            </w:r>
          </w:p>
          <w:p w14:paraId="7D9BCC75" w14:textId="77777777" w:rsidR="00EC1F23" w:rsidRPr="0058047D" w:rsidRDefault="00EC1F23" w:rsidP="007153B4">
            <w:pPr>
              <w:spacing w:before="60" w:after="60"/>
              <w:ind w:left="158" w:right="346"/>
              <w:rPr>
                <w:rFonts w:eastAsia="Calibri" w:cs="Tahoma"/>
                <w:iCs/>
                <w:color w:val="000000"/>
              </w:rPr>
            </w:pPr>
            <w:r w:rsidRPr="0058047D">
              <w:rPr>
                <w:rFonts w:eastAsia="Calibri" w:cs="Tahoma"/>
                <w:iCs/>
                <w:color w:val="000000"/>
              </w:rPr>
              <w:t>2, BPOS Standard, Office 365 E1, BPOS Deskless, Exchange Online Deskless o</w:t>
            </w:r>
            <w:r w:rsidR="007153B4">
              <w:rPr>
                <w:rFonts w:eastAsia="Calibri" w:cs="Tahoma"/>
                <w:iCs/>
                <w:color w:val="000000"/>
              </w:rPr>
              <w:t> </w:t>
            </w:r>
            <w:r w:rsidRPr="0058047D">
              <w:rPr>
                <w:rFonts w:eastAsia="Calibri" w:cs="Tahoma"/>
                <w:iCs/>
                <w:color w:val="000000"/>
              </w:rPr>
              <w:t>Chiosco Exchange Online)</w:t>
            </w:r>
          </w:p>
        </w:tc>
        <w:tc>
          <w:tcPr>
            <w:tcW w:w="3420" w:type="dxa"/>
            <w:shd w:val="clear" w:color="auto" w:fill="auto"/>
          </w:tcPr>
          <w:p w14:paraId="5CFF981E" w14:textId="77777777" w:rsidR="00EC1F23" w:rsidRPr="0058047D" w:rsidRDefault="00EC1F23" w:rsidP="00346F4B">
            <w:pPr>
              <w:numPr>
                <w:ilvl w:val="0"/>
                <w:numId w:val="46"/>
              </w:numPr>
              <w:spacing w:before="60" w:after="60"/>
              <w:ind w:right="342"/>
              <w:rPr>
                <w:rFonts w:eastAsia="Calibri" w:cs="Tahoma"/>
                <w:iCs/>
                <w:color w:val="000000"/>
              </w:rPr>
            </w:pPr>
            <w:r w:rsidRPr="0058047D">
              <w:rPr>
                <w:rFonts w:eastAsia="Calibri" w:cs="Tahoma"/>
                <w:iCs/>
                <w:color w:val="000000"/>
              </w:rPr>
              <w:t>SL per Utente per Exchange Online Piano 2</w:t>
            </w:r>
          </w:p>
        </w:tc>
      </w:tr>
    </w:tbl>
    <w:p w14:paraId="24FEE23A" w14:textId="77777777" w:rsidR="00D57009" w:rsidRPr="007153B4" w:rsidRDefault="00D57009">
      <w:pPr>
        <w:rPr>
          <w:sz w:val="14"/>
          <w:szCs w:val="14"/>
        </w:rPr>
      </w:pPr>
    </w:p>
    <w:p w14:paraId="6139A2F6" w14:textId="77777777" w:rsidR="00DD39C7" w:rsidRPr="0058047D" w:rsidRDefault="00DD39C7" w:rsidP="0084072C">
      <w:pPr>
        <w:spacing w:after="60"/>
        <w:ind w:left="720"/>
      </w:pPr>
      <w:r w:rsidRPr="0058047D">
        <w:rPr>
          <w:b/>
          <w:color w:val="000000"/>
        </w:rPr>
        <w:t>L</w:t>
      </w:r>
      <w:r w:rsidR="001C4212">
        <w:rPr>
          <w:b/>
          <w:color w:val="000000"/>
        </w:rPr>
        <w:t>’</w:t>
      </w:r>
      <w:r w:rsidRPr="0058047D">
        <w:rPr>
          <w:b/>
          <w:color w:val="000000"/>
        </w:rPr>
        <w:t>Utilizzo Continuativo di Exchange Hosted Archive (EHA) con Sottoscrizioni Attive di Business Productivity Online Subscription (BPOS) e di Exchange Online Standard</w:t>
      </w:r>
    </w:p>
    <w:p w14:paraId="7B2D93AD" w14:textId="77777777" w:rsidR="00DD39C7" w:rsidRPr="007153B4" w:rsidRDefault="00DD39C7" w:rsidP="00DD39C7">
      <w:pPr>
        <w:ind w:left="720"/>
      </w:pPr>
      <w:r w:rsidRPr="007153B4">
        <w:rPr>
          <w:iCs/>
          <w:color w:val="000000"/>
        </w:rPr>
        <w:t>Le società con sottoscrizioni EHA in scadenza che non hanno ancora effettuato la migrazione a Office 365 e sono attualmente implementate su BPOS o Exchange Online Standard potranno continuare a utilizzare EHA dopo la scadenza della loro sottoscrizione e fino (i) alla migrazione a Office 365 o (ii) alla scadenza della loro sottoscrizione di BPOS o Exchange Online Standard.</w:t>
      </w:r>
      <w:r w:rsidR="00E34ED3" w:rsidRPr="007153B4">
        <w:rPr>
          <w:iCs/>
          <w:color w:val="000000"/>
        </w:rPr>
        <w:t xml:space="preserve"> </w:t>
      </w:r>
      <w:r w:rsidRPr="007153B4">
        <w:rPr>
          <w:iCs/>
          <w:color w:val="000000"/>
        </w:rPr>
        <w:t>L</w:t>
      </w:r>
      <w:r w:rsidR="001C4212">
        <w:rPr>
          <w:iCs/>
          <w:color w:val="000000"/>
        </w:rPr>
        <w:t>’</w:t>
      </w:r>
      <w:r w:rsidRPr="007153B4">
        <w:rPr>
          <w:iCs/>
          <w:color w:val="000000"/>
        </w:rPr>
        <w:t>utilizzo di EHA da parte delle società ai sensi della presente offerta è soggetto alle condizioni del Contratto Multilicenza e alle condizioni di licenza EHA presenti nei Diritti di Utilizzo del Prodotto del mese di gennaio 2011. Le società saranno ritenute titolari di una licenza “Subscription” per utente o dispositivo EHA temporanea per ciascuna delle loro licenze “Subscription” per utente o dispositivo EHA in scadenza. Tali licenze “Subscription” per utente o dispositivo EHA temporanee potranno essere cedute solo agli utenti e ai dispositivi ai quali vengono cedute licenze per BPOS o Exchange Online Standard.</w:t>
      </w:r>
      <w:r w:rsidR="00E34ED3" w:rsidRPr="007153B4">
        <w:rPr>
          <w:iCs/>
          <w:color w:val="000000"/>
        </w:rPr>
        <w:t xml:space="preserve"> </w:t>
      </w:r>
      <w:r w:rsidRPr="007153B4">
        <w:rPr>
          <w:iCs/>
          <w:color w:val="000000"/>
        </w:rPr>
        <w:t>EHA viene concesso in licenza com</w:t>
      </w:r>
      <w:r w:rsidR="001C4212">
        <w:rPr>
          <w:iCs/>
          <w:color w:val="000000"/>
        </w:rPr>
        <w:t>’</w:t>
      </w:r>
      <w:r w:rsidRPr="007153B4">
        <w:rPr>
          <w:iCs/>
          <w:color w:val="000000"/>
        </w:rPr>
        <w:t>è, senza alcun tipo di garanzia.</w:t>
      </w:r>
      <w:r w:rsidR="00E34ED3" w:rsidRPr="007153B4">
        <w:rPr>
          <w:iCs/>
          <w:color w:val="000000"/>
        </w:rPr>
        <w:t xml:space="preserve"> </w:t>
      </w:r>
    </w:p>
    <w:p w14:paraId="1E874BA9" w14:textId="77777777" w:rsidR="00827D38" w:rsidRPr="0058047D" w:rsidRDefault="00A560B6" w:rsidP="00B52F10">
      <w:pPr>
        <w:pStyle w:val="Heading2"/>
        <w:ind w:left="0"/>
      </w:pPr>
      <w:bookmarkStart w:id="1207" w:name="_46_Exchange_Hosted"/>
      <w:bookmarkStart w:id="1208" w:name="_52_Exchange_Hosted"/>
      <w:bookmarkStart w:id="1209" w:name="_Toc336338307"/>
      <w:bookmarkStart w:id="1210" w:name="_Toc371663704"/>
      <w:bookmarkStart w:id="1211" w:name="Srv_39ExchangeOnDeskWork"/>
      <w:bookmarkEnd w:id="1207"/>
      <w:bookmarkEnd w:id="1208"/>
      <w:r w:rsidRPr="0058047D">
        <w:rPr>
          <w:rFonts w:ascii="Tahoma" w:hAnsi="Tahoma" w:cs="Tahoma"/>
          <w:color w:val="E25B00"/>
          <w:sz w:val="22"/>
          <w:szCs w:val="22"/>
          <w:vertAlign w:val="superscript"/>
        </w:rPr>
        <w:t>51</w:t>
      </w:r>
      <w:r w:rsidRPr="0058047D">
        <w:rPr>
          <w:rFonts w:ascii="Tahoma" w:hAnsi="Tahoma" w:cs="Tahoma"/>
          <w:sz w:val="22"/>
          <w:szCs w:val="22"/>
        </w:rPr>
        <w:t xml:space="preserve"> </w:t>
      </w:r>
      <w:r w:rsidRPr="0058047D">
        <w:rPr>
          <w:rFonts w:ascii="Tahoma" w:hAnsi="Tahoma" w:cs="Tahoma"/>
          <w:color w:val="F66400"/>
          <w:sz w:val="22"/>
          <w:szCs w:val="22"/>
        </w:rPr>
        <w:t>Exchange Hosted Encryption (SL per Utente)</w:t>
      </w:r>
      <w:bookmarkEnd w:id="1209"/>
      <w:bookmarkEnd w:id="1210"/>
    </w:p>
    <w:p w14:paraId="476E56F4" w14:textId="77777777" w:rsidR="00827D38" w:rsidRPr="0058047D" w:rsidRDefault="00827D38" w:rsidP="00827D38">
      <w:pPr>
        <w:ind w:left="900"/>
      </w:pPr>
    </w:p>
    <w:p w14:paraId="6F0AB032" w14:textId="77777777" w:rsidR="00827D38" w:rsidRPr="0058047D" w:rsidRDefault="00827D38" w:rsidP="00E62BC4">
      <w:pPr>
        <w:ind w:left="720"/>
      </w:pPr>
      <w:r w:rsidRPr="0058047D">
        <w:t>Le società dovrebbero utilizzare la stessa iscrizione del contratto Select attivo, l</w:t>
      </w:r>
      <w:r w:rsidR="001C4212">
        <w:t>’</w:t>
      </w:r>
      <w:r w:rsidRPr="0058047D">
        <w:t>iscrizione del contratto Enterprise o il contratto Open Value per effettuare ordini successivamente all</w:t>
      </w:r>
      <w:r w:rsidR="001C4212">
        <w:t>’</w:t>
      </w:r>
      <w:r w:rsidRPr="0058047D">
        <w:t>ordine iniziale.</w:t>
      </w:r>
    </w:p>
    <w:p w14:paraId="08165B0A" w14:textId="77777777" w:rsidR="00827D38" w:rsidRPr="0058047D" w:rsidRDefault="00827D38" w:rsidP="00E62BC4">
      <w:pPr>
        <w:ind w:left="720"/>
      </w:pPr>
    </w:p>
    <w:p w14:paraId="5CAF3F43" w14:textId="77777777" w:rsidR="00023FE7" w:rsidRPr="0058047D" w:rsidRDefault="00827D38" w:rsidP="00E62BC4">
      <w:pPr>
        <w:ind w:left="720"/>
      </w:pPr>
      <w:r w:rsidRPr="0058047D">
        <w:t>Fare riferimento all</w:t>
      </w:r>
      <w:r w:rsidR="001C4212">
        <w:t>’</w:t>
      </w:r>
      <w:hyperlink w:anchor="_Section_10_–" w:history="1">
        <w:r w:rsidRPr="0058047D">
          <w:rPr>
            <w:rStyle w:val="Hyperlink"/>
          </w:rPr>
          <w:t>Articolo 10</w:t>
        </w:r>
      </w:hyperlink>
      <w:r w:rsidRPr="0058047D">
        <w:t xml:space="preserve"> per i prezzi dei servizi online e le condizioni di pagamento.</w:t>
      </w:r>
    </w:p>
    <w:p w14:paraId="4A1AC2C2" w14:textId="77777777" w:rsidR="00827D38" w:rsidRPr="0058047D" w:rsidRDefault="00827D38" w:rsidP="00827D38">
      <w:pPr>
        <w:ind w:left="900"/>
      </w:pPr>
    </w:p>
    <w:p w14:paraId="7FAE6902" w14:textId="77777777" w:rsidR="00827D38" w:rsidRPr="0058047D" w:rsidRDefault="00827D38" w:rsidP="00827D38">
      <w:pPr>
        <w:ind w:left="900"/>
      </w:pPr>
    </w:p>
    <w:p w14:paraId="60FF7E71" w14:textId="77777777" w:rsidR="00023FE7" w:rsidRPr="0058047D" w:rsidRDefault="00A560B6">
      <w:pPr>
        <w:pStyle w:val="Heading3"/>
      </w:pPr>
      <w:bookmarkStart w:id="1212" w:name="_50_Exchange_Online"/>
      <w:bookmarkStart w:id="1213" w:name="_53_Exchange_Online"/>
      <w:bookmarkStart w:id="1214" w:name="_Toc336338308"/>
      <w:bookmarkStart w:id="1215" w:name="_Toc371663705"/>
      <w:bookmarkStart w:id="1216" w:name="Srv_40ExchangeOnDeskWork"/>
      <w:bookmarkStart w:id="1217" w:name="Srv_45ExchangeOnDeskWork"/>
      <w:bookmarkEnd w:id="1212"/>
      <w:bookmarkEnd w:id="1213"/>
      <w:r w:rsidRPr="0058047D">
        <w:rPr>
          <w:rFonts w:ascii="Tahoma" w:hAnsi="Tahoma"/>
          <w:caps/>
          <w:color w:val="F66400"/>
          <w:sz w:val="22"/>
          <w:vertAlign w:val="superscript"/>
        </w:rPr>
        <w:t>52</w:t>
      </w:r>
      <w:r w:rsidRPr="0058047D">
        <w:rPr>
          <w:rFonts w:ascii="Tahoma" w:hAnsi="Tahoma"/>
          <w:color w:val="F66400"/>
          <w:sz w:val="22"/>
        </w:rPr>
        <w:t xml:space="preserve"> Chiosco Exchange Online (SL per Utente)</w:t>
      </w:r>
      <w:bookmarkEnd w:id="1214"/>
      <w:bookmarkEnd w:id="1215"/>
    </w:p>
    <w:bookmarkEnd w:id="1211"/>
    <w:bookmarkEnd w:id="1216"/>
    <w:bookmarkEnd w:id="1217"/>
    <w:p w14:paraId="44A293AF" w14:textId="77777777" w:rsidR="00023FE7" w:rsidRPr="0058047D" w:rsidRDefault="00023FE7">
      <w:pPr>
        <w:pStyle w:val="EndnoteText"/>
      </w:pPr>
    </w:p>
    <w:p w14:paraId="2C088A3A" w14:textId="77777777" w:rsidR="00040ADC" w:rsidRPr="0058047D" w:rsidRDefault="00040ADC" w:rsidP="00E62BC4">
      <w:pPr>
        <w:ind w:left="720"/>
      </w:pPr>
      <w:r w:rsidRPr="0058047D">
        <w:rPr>
          <w:rFonts w:cs="Tahoma"/>
          <w:color w:val="000000"/>
          <w:szCs w:val="18"/>
        </w:rPr>
        <w:t>Nonostante quanto diversamente stabilito nei contratti di licenza delle società, gli utenti qualificati non includono gli utenti titolari di licenza Chiosco Exchange Online.</w:t>
      </w:r>
    </w:p>
    <w:p w14:paraId="5EAB8AE4" w14:textId="77777777" w:rsidR="00040ADC" w:rsidRPr="0058047D" w:rsidRDefault="00040ADC" w:rsidP="00E62BC4">
      <w:pPr>
        <w:ind w:left="720"/>
      </w:pPr>
    </w:p>
    <w:p w14:paraId="75FC3307" w14:textId="77777777" w:rsidR="00040ADC" w:rsidRPr="0058047D" w:rsidRDefault="00040ADC" w:rsidP="00E62BC4">
      <w:pPr>
        <w:ind w:left="720"/>
      </w:pPr>
      <w:r w:rsidRPr="0058047D">
        <w:rPr>
          <w:rFonts w:cs="Tahoma"/>
          <w:color w:val="000000"/>
          <w:szCs w:val="18"/>
        </w:rPr>
        <w:t>Il Chiosco Exchange Online era precedentemente noto come Exchange Online Deskless Worker.</w:t>
      </w:r>
    </w:p>
    <w:p w14:paraId="673E8A74" w14:textId="77777777" w:rsidR="00352135" w:rsidRPr="0058047D" w:rsidRDefault="00352135" w:rsidP="00E62BC4">
      <w:pPr>
        <w:ind w:left="720"/>
      </w:pPr>
    </w:p>
    <w:p w14:paraId="6552682B" w14:textId="77777777" w:rsidR="00702931" w:rsidRPr="0058047D" w:rsidRDefault="00702931" w:rsidP="00AF3B19">
      <w:pPr>
        <w:spacing w:after="60"/>
        <w:ind w:left="720"/>
      </w:pPr>
      <w:r w:rsidRPr="0058047D">
        <w:rPr>
          <w:rFonts w:eastAsia="Calibri" w:cs="Tahoma"/>
          <w:b/>
          <w:color w:val="000000"/>
          <w:szCs w:val="18"/>
        </w:rPr>
        <w:t>Community Cloud per Enti Pubblici (solo Stati Uniti)</w:t>
      </w:r>
    </w:p>
    <w:p w14:paraId="25732645" w14:textId="77777777" w:rsidR="00702931" w:rsidRPr="0058047D" w:rsidRDefault="00702931" w:rsidP="00E62BC4">
      <w:pPr>
        <w:ind w:left="720"/>
      </w:pPr>
      <w:r w:rsidRPr="0058047D">
        <w:rPr>
          <w:rFonts w:eastAsia="Calibri" w:cs="Tahoma"/>
          <w:color w:val="000000"/>
          <w:szCs w:val="18"/>
        </w:rPr>
        <w:t>Alcuni servizi online della famiglia di prodotti Office 365 (incluso Chiosco Exchange Online) sono offerti come servizi di community cloud per enti pubblici e come servizi di community cloud per enti non pubblici.</w:t>
      </w:r>
      <w:r w:rsidR="00E34ED3" w:rsidRPr="0058047D">
        <w:rPr>
          <w:rFonts w:eastAsia="Calibri" w:cs="Tahoma"/>
          <w:color w:val="000000"/>
          <w:szCs w:val="18"/>
        </w:rPr>
        <w:t xml:space="preserve"> </w:t>
      </w:r>
      <w:r w:rsidRPr="0058047D">
        <w:rPr>
          <w:rFonts w:eastAsia="Calibri" w:cs="Tahoma"/>
          <w:color w:val="000000"/>
          <w:szCs w:val="18"/>
        </w:rPr>
        <w:t>Alle società potrà essere effettuato il provisioning come ente pubblico o non pubblico, ma non come una combinazione di entrambi.</w:t>
      </w:r>
      <w:r w:rsidR="00E34ED3" w:rsidRPr="0058047D">
        <w:rPr>
          <w:rFonts w:eastAsia="Calibri" w:cs="Tahoma"/>
          <w:color w:val="000000"/>
          <w:szCs w:val="18"/>
        </w:rPr>
        <w:t xml:space="preserve"> </w:t>
      </w:r>
      <w:r w:rsidRPr="0058047D">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E34ED3" w:rsidRPr="0058047D">
        <w:rPr>
          <w:rFonts w:eastAsia="Calibri" w:cs="Tahoma"/>
          <w:color w:val="000000"/>
          <w:szCs w:val="18"/>
        </w:rPr>
        <w:t xml:space="preserve"> </w:t>
      </w:r>
    </w:p>
    <w:p w14:paraId="4D8FE714" w14:textId="77777777" w:rsidR="00702931" w:rsidRPr="0058047D" w:rsidRDefault="00702931" w:rsidP="00E62BC4">
      <w:pPr>
        <w:ind w:left="720"/>
      </w:pPr>
    </w:p>
    <w:p w14:paraId="24A0C515" w14:textId="77777777" w:rsidR="00702931" w:rsidRPr="0058047D" w:rsidRDefault="00702931" w:rsidP="00E62BC4">
      <w:pPr>
        <w:ind w:left="720"/>
      </w:pPr>
      <w:r w:rsidRPr="0058047D">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1C4212">
        <w:rPr>
          <w:rFonts w:eastAsia="Calibri" w:cs="Tahoma"/>
          <w:color w:val="000000"/>
          <w:szCs w:val="18"/>
        </w:rPr>
        <w:t>’</w:t>
      </w:r>
      <w:r w:rsidRPr="0058047D">
        <w:rPr>
          <w:rFonts w:eastAsia="Calibri" w:cs="Tahoma"/>
          <w:color w:val="000000"/>
          <w:szCs w:val="18"/>
        </w:rPr>
        <w:t>Iscrizione Enterprise o Enterprise Subscription per Enti Pubblici Statunitensi per essere idonei all</w:t>
      </w:r>
      <w:r w:rsidR="001C4212">
        <w:rPr>
          <w:rFonts w:eastAsia="Calibri" w:cs="Tahoma"/>
          <w:color w:val="000000"/>
          <w:szCs w:val="18"/>
        </w:rPr>
        <w:t>’</w:t>
      </w:r>
      <w:r w:rsidRPr="0058047D">
        <w:rPr>
          <w:rFonts w:eastAsia="Calibri" w:cs="Tahoma"/>
          <w:color w:val="000000"/>
          <w:szCs w:val="18"/>
        </w:rPr>
        <w:t>acquisto di servizi online designati come community cloud per enti pubblici.</w:t>
      </w:r>
      <w:r w:rsidR="00E34ED3" w:rsidRPr="0058047D">
        <w:rPr>
          <w:rFonts w:eastAsia="Calibri" w:cs="Tahoma"/>
          <w:color w:val="000000"/>
          <w:szCs w:val="18"/>
        </w:rPr>
        <w:t xml:space="preserve"> </w:t>
      </w:r>
      <w:r w:rsidRPr="0058047D">
        <w:rPr>
          <w:rFonts w:eastAsia="Calibri" w:cs="Tahoma"/>
          <w:color w:val="000000"/>
          <w:szCs w:val="18"/>
        </w:rPr>
        <w:t>I Diritti sull</w:t>
      </w:r>
      <w:r w:rsidR="001C4212">
        <w:rPr>
          <w:rFonts w:eastAsia="Calibri" w:cs="Tahoma"/>
          <w:color w:val="000000"/>
          <w:szCs w:val="18"/>
        </w:rPr>
        <w:t>’</w:t>
      </w:r>
      <w:r w:rsidRPr="0058047D">
        <w:rPr>
          <w:rFonts w:eastAsia="Calibri" w:cs="Tahoma"/>
          <w:color w:val="000000"/>
          <w:szCs w:val="18"/>
        </w:rPr>
        <w:t>Utilizzo relativi ai servizi di community cloud per enti pubblici sono simili a quelli dei loro equivalenti multi-tenant standard.</w:t>
      </w:r>
      <w:r w:rsidR="00E34ED3" w:rsidRPr="0058047D">
        <w:rPr>
          <w:rFonts w:eastAsia="Calibri" w:cs="Tahoma"/>
          <w:color w:val="000000"/>
          <w:szCs w:val="18"/>
        </w:rPr>
        <w:t xml:space="preserve"> </w:t>
      </w:r>
    </w:p>
    <w:p w14:paraId="46B56FCD" w14:textId="77777777" w:rsidR="00023FE7" w:rsidRPr="0058047D" w:rsidRDefault="00023FE7" w:rsidP="00E62BC4">
      <w:pPr>
        <w:pStyle w:val="Heading2"/>
      </w:pPr>
      <w:bookmarkStart w:id="1218" w:name="Srv_41ExchangeSvr07EntCAL"/>
    </w:p>
    <w:p w14:paraId="398ED5A7" w14:textId="77777777" w:rsidR="00C066F9" w:rsidRPr="0058047D" w:rsidRDefault="00C066F9" w:rsidP="00C066F9">
      <w:pPr>
        <w:ind w:left="720"/>
      </w:pPr>
    </w:p>
    <w:p w14:paraId="37A73AC4" w14:textId="77777777" w:rsidR="00371299" w:rsidRPr="0058047D" w:rsidRDefault="00A560B6" w:rsidP="00B17EFB">
      <w:pPr>
        <w:pStyle w:val="Heading3"/>
      </w:pPr>
      <w:bookmarkStart w:id="1219" w:name="_48_Exchange_Online"/>
      <w:bookmarkStart w:id="1220" w:name="_54_Exchange_Online"/>
      <w:bookmarkStart w:id="1221" w:name="_55Exchange_Online_Plan"/>
      <w:bookmarkStart w:id="1222" w:name="_Toc336338309"/>
      <w:bookmarkStart w:id="1223" w:name="_Toc371663706"/>
      <w:bookmarkStart w:id="1224" w:name="Srv_46ExhangeOnlinePlan1"/>
      <w:bookmarkStart w:id="1225" w:name="Srv_42ExchangeSvr2010EntCAL"/>
      <w:bookmarkStart w:id="1226" w:name="Srv_47ExchangeSvr2010EntCAL"/>
      <w:bookmarkEnd w:id="1219"/>
      <w:bookmarkEnd w:id="1220"/>
      <w:bookmarkEnd w:id="1221"/>
      <w:r w:rsidRPr="0058047D">
        <w:rPr>
          <w:rFonts w:ascii="Tahoma" w:hAnsi="Tahoma" w:cs="Tahoma"/>
          <w:caps/>
          <w:color w:val="F66400"/>
          <w:sz w:val="22"/>
          <w:szCs w:val="22"/>
          <w:vertAlign w:val="superscript"/>
        </w:rPr>
        <w:t xml:space="preserve">53 </w:t>
      </w:r>
      <w:r w:rsidRPr="0058047D">
        <w:rPr>
          <w:rFonts w:ascii="Tahoma" w:hAnsi="Tahoma" w:cs="Tahoma"/>
          <w:color w:val="F66400"/>
          <w:sz w:val="22"/>
          <w:szCs w:val="22"/>
        </w:rPr>
        <w:t>Exchange Online Piano 1</w:t>
      </w:r>
      <w:bookmarkEnd w:id="1222"/>
      <w:bookmarkEnd w:id="1223"/>
    </w:p>
    <w:bookmarkEnd w:id="1224"/>
    <w:p w14:paraId="2586358A" w14:textId="77777777" w:rsidR="00371299" w:rsidRPr="0058047D" w:rsidRDefault="00371299" w:rsidP="00371299">
      <w:pPr>
        <w:outlineLvl w:val="2"/>
      </w:pPr>
    </w:p>
    <w:p w14:paraId="28C0BBC9" w14:textId="77777777" w:rsidR="00371299" w:rsidRPr="0058047D" w:rsidRDefault="00371299" w:rsidP="00371299">
      <w:pPr>
        <w:ind w:left="720"/>
        <w:contextualSpacing/>
      </w:pPr>
      <w:r w:rsidRPr="0058047D">
        <w:rPr>
          <w:rFonts w:cs="Tahoma"/>
          <w:szCs w:val="20"/>
        </w:rPr>
        <w:t>Exchange Online Piano 1 era precedentemente noto come Exchange Online Standard.</w:t>
      </w:r>
    </w:p>
    <w:p w14:paraId="04F0E0E5" w14:textId="77777777" w:rsidR="00A61080" w:rsidRPr="0058047D" w:rsidRDefault="00A61080" w:rsidP="00C066F9">
      <w:pPr>
        <w:ind w:left="720"/>
        <w:contextualSpacing/>
      </w:pPr>
    </w:p>
    <w:p w14:paraId="27F0609F" w14:textId="77777777" w:rsidR="00A61080" w:rsidRPr="0058047D" w:rsidRDefault="00A61080" w:rsidP="00A61080">
      <w:pPr>
        <w:ind w:left="720"/>
      </w:pPr>
      <w:r w:rsidRPr="0058047D">
        <w:rPr>
          <w:rFonts w:ascii="Arial" w:eastAsia="Calibri" w:hAnsi="Arial" w:cs="Arial"/>
          <w:color w:val="000000"/>
          <w:szCs w:val="18"/>
        </w:rPr>
        <w:t>Nonostante eventuali disposizioni contrarie dei diritti di utilizzo del prodotto, un Exchange Online Piano 1 (SL per Utente) acquistato ai sensi di un contratto Campus e School, non consente l</w:t>
      </w:r>
      <w:r w:rsidR="001C4212">
        <w:rPr>
          <w:rFonts w:ascii="Arial" w:eastAsia="Calibri" w:hAnsi="Arial" w:cs="Arial"/>
          <w:color w:val="000000"/>
          <w:szCs w:val="18"/>
        </w:rPr>
        <w:t>’</w:t>
      </w:r>
      <w:r w:rsidRPr="0058047D">
        <w:rPr>
          <w:rFonts w:ascii="Arial" w:eastAsia="Calibri" w:hAnsi="Arial" w:cs="Arial"/>
          <w:color w:val="000000"/>
          <w:szCs w:val="18"/>
        </w:rPr>
        <w:t>accesso all</w:t>
      </w:r>
      <w:r w:rsidR="001C4212">
        <w:rPr>
          <w:rFonts w:ascii="Arial" w:eastAsia="Calibri" w:hAnsi="Arial" w:cs="Arial"/>
          <w:color w:val="000000"/>
          <w:szCs w:val="18"/>
        </w:rPr>
        <w:t>’</w:t>
      </w:r>
      <w:r w:rsidRPr="0058047D">
        <w:rPr>
          <w:rFonts w:ascii="Arial" w:eastAsia="Calibri" w:hAnsi="Arial" w:cs="Arial"/>
          <w:color w:val="000000"/>
          <w:szCs w:val="18"/>
        </w:rPr>
        <w:t>Exchange Server.</w:t>
      </w:r>
    </w:p>
    <w:p w14:paraId="4BB78CC7" w14:textId="77777777" w:rsidR="00B23BE6" w:rsidRPr="0058047D" w:rsidRDefault="00B23BE6" w:rsidP="00A61080">
      <w:pPr>
        <w:ind w:left="720"/>
      </w:pPr>
    </w:p>
    <w:p w14:paraId="5BA0800A" w14:textId="77777777" w:rsidR="00702931" w:rsidRPr="0058047D" w:rsidRDefault="00702931" w:rsidP="0067725A">
      <w:pPr>
        <w:spacing w:after="60"/>
        <w:ind w:left="720"/>
      </w:pPr>
      <w:r w:rsidRPr="0058047D">
        <w:rPr>
          <w:rFonts w:eastAsia="Calibri" w:cs="Tahoma"/>
          <w:b/>
          <w:color w:val="000000"/>
          <w:szCs w:val="18"/>
        </w:rPr>
        <w:t>Community Cloud per Enti Pubblici (solo Stati Uniti)</w:t>
      </w:r>
    </w:p>
    <w:p w14:paraId="375CDFFE" w14:textId="77777777" w:rsidR="00702931" w:rsidRPr="0058047D" w:rsidRDefault="00702931" w:rsidP="00702931">
      <w:pPr>
        <w:ind w:left="720"/>
      </w:pPr>
      <w:r w:rsidRPr="0058047D">
        <w:rPr>
          <w:rFonts w:eastAsia="Calibri" w:cs="Tahoma"/>
          <w:color w:val="000000"/>
          <w:szCs w:val="18"/>
        </w:rPr>
        <w:t>Alcuni servizi online della famiglia di prodotti Office 365 (incluso Exchange Online Piano 1) sono offerti come</w:t>
      </w:r>
      <w:r w:rsidR="007153B4">
        <w:rPr>
          <w:rFonts w:eastAsia="Calibri" w:cs="Tahoma"/>
          <w:color w:val="000000"/>
          <w:szCs w:val="18"/>
        </w:rPr>
        <w:t> </w:t>
      </w:r>
      <w:r w:rsidRPr="0058047D">
        <w:rPr>
          <w:rFonts w:eastAsia="Calibri" w:cs="Tahoma"/>
          <w:color w:val="000000"/>
          <w:szCs w:val="18"/>
        </w:rPr>
        <w:t>servizi di community cloud per enti pubblici e come servizi di community cloud per enti non pubblici.</w:t>
      </w:r>
      <w:r w:rsidR="00E34ED3" w:rsidRPr="0058047D">
        <w:rPr>
          <w:rFonts w:eastAsia="Calibri" w:cs="Tahoma"/>
          <w:color w:val="000000"/>
          <w:szCs w:val="18"/>
        </w:rPr>
        <w:t xml:space="preserve"> </w:t>
      </w:r>
      <w:r w:rsidRPr="0058047D">
        <w:rPr>
          <w:rFonts w:eastAsia="Calibri" w:cs="Tahoma"/>
          <w:color w:val="000000"/>
          <w:szCs w:val="18"/>
        </w:rPr>
        <w:t>Alle</w:t>
      </w:r>
      <w:r w:rsidR="007153B4">
        <w:rPr>
          <w:rFonts w:eastAsia="Calibri" w:cs="Tahoma"/>
          <w:color w:val="000000"/>
          <w:szCs w:val="18"/>
        </w:rPr>
        <w:t> </w:t>
      </w:r>
      <w:r w:rsidRPr="0058047D">
        <w:rPr>
          <w:rFonts w:eastAsia="Calibri" w:cs="Tahoma"/>
          <w:color w:val="000000"/>
          <w:szCs w:val="18"/>
        </w:rPr>
        <w:t>società potrà essere effettuato il provisioning come ente pubblico o non pubblico, ma non come una combinazione di entrambi.</w:t>
      </w:r>
      <w:r w:rsidR="00E34ED3" w:rsidRPr="0058047D">
        <w:rPr>
          <w:rFonts w:eastAsia="Calibri" w:cs="Tahoma"/>
          <w:color w:val="000000"/>
          <w:szCs w:val="18"/>
        </w:rPr>
        <w:t xml:space="preserve"> </w:t>
      </w:r>
      <w:r w:rsidRPr="0058047D">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E34ED3" w:rsidRPr="0058047D">
        <w:rPr>
          <w:rFonts w:eastAsia="Calibri" w:cs="Tahoma"/>
          <w:color w:val="000000"/>
          <w:szCs w:val="18"/>
        </w:rPr>
        <w:t xml:space="preserve"> </w:t>
      </w:r>
    </w:p>
    <w:p w14:paraId="0109DD62" w14:textId="77777777" w:rsidR="00702931" w:rsidRPr="0058047D" w:rsidRDefault="00702931" w:rsidP="00702931">
      <w:pPr>
        <w:ind w:left="720"/>
      </w:pPr>
    </w:p>
    <w:p w14:paraId="727E9E5D" w14:textId="77777777" w:rsidR="00702931" w:rsidRPr="0058047D" w:rsidRDefault="00702931" w:rsidP="00702931">
      <w:pPr>
        <w:ind w:left="720"/>
      </w:pPr>
      <w:r w:rsidRPr="0058047D">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1C4212">
        <w:rPr>
          <w:rFonts w:eastAsia="Calibri" w:cs="Tahoma"/>
          <w:color w:val="000000"/>
          <w:szCs w:val="18"/>
        </w:rPr>
        <w:t>’</w:t>
      </w:r>
      <w:r w:rsidRPr="0058047D">
        <w:rPr>
          <w:rFonts w:eastAsia="Calibri" w:cs="Tahoma"/>
          <w:color w:val="000000"/>
          <w:szCs w:val="18"/>
        </w:rPr>
        <w:t>Iscrizione Enterprise o Enterprise Subscription per Enti Pubblici Statunitensi per essere idonei all</w:t>
      </w:r>
      <w:r w:rsidR="001C4212">
        <w:rPr>
          <w:rFonts w:eastAsia="Calibri" w:cs="Tahoma"/>
          <w:color w:val="000000"/>
          <w:szCs w:val="18"/>
        </w:rPr>
        <w:t>’</w:t>
      </w:r>
      <w:r w:rsidRPr="0058047D">
        <w:rPr>
          <w:rFonts w:eastAsia="Calibri" w:cs="Tahoma"/>
          <w:color w:val="000000"/>
          <w:szCs w:val="18"/>
        </w:rPr>
        <w:t>acquisto di servizi online designati come community cloud per enti pubblici.</w:t>
      </w:r>
      <w:r w:rsidR="00E34ED3" w:rsidRPr="0058047D">
        <w:rPr>
          <w:rFonts w:eastAsia="Calibri" w:cs="Tahoma"/>
          <w:color w:val="000000"/>
          <w:szCs w:val="18"/>
        </w:rPr>
        <w:t xml:space="preserve"> </w:t>
      </w:r>
      <w:r w:rsidRPr="0058047D">
        <w:rPr>
          <w:rFonts w:eastAsia="Calibri" w:cs="Tahoma"/>
          <w:color w:val="000000"/>
          <w:szCs w:val="18"/>
        </w:rPr>
        <w:t>I Diritti sull</w:t>
      </w:r>
      <w:r w:rsidR="001C4212">
        <w:rPr>
          <w:rFonts w:eastAsia="Calibri" w:cs="Tahoma"/>
          <w:color w:val="000000"/>
          <w:szCs w:val="18"/>
        </w:rPr>
        <w:t>’</w:t>
      </w:r>
      <w:r w:rsidRPr="0058047D">
        <w:rPr>
          <w:rFonts w:eastAsia="Calibri" w:cs="Tahoma"/>
          <w:color w:val="000000"/>
          <w:szCs w:val="18"/>
        </w:rPr>
        <w:t>Utilizzo relativi ai servizi di community cloud per enti pubblici sono simili a quelli dei loro equivalenti multi-tenant standard.</w:t>
      </w:r>
      <w:r w:rsidR="00E34ED3" w:rsidRPr="0058047D">
        <w:rPr>
          <w:rFonts w:eastAsia="Calibri" w:cs="Tahoma"/>
          <w:color w:val="000000"/>
          <w:szCs w:val="18"/>
        </w:rPr>
        <w:t xml:space="preserve"> </w:t>
      </w:r>
    </w:p>
    <w:p w14:paraId="7E8E449A" w14:textId="77777777" w:rsidR="00B23BE6" w:rsidRPr="0058047D" w:rsidRDefault="00B23BE6" w:rsidP="00A61080">
      <w:pPr>
        <w:ind w:left="720"/>
      </w:pPr>
    </w:p>
    <w:p w14:paraId="32EAC633" w14:textId="77777777" w:rsidR="00D70D2C" w:rsidRPr="0058047D" w:rsidRDefault="00D70D2C" w:rsidP="00A61080">
      <w:pPr>
        <w:ind w:left="720"/>
      </w:pPr>
    </w:p>
    <w:p w14:paraId="73C26EE9" w14:textId="77777777" w:rsidR="00D70D2C" w:rsidRPr="0058047D" w:rsidRDefault="00A560B6" w:rsidP="001760D6">
      <w:pPr>
        <w:pStyle w:val="Heading2"/>
        <w:keepNext/>
        <w:ind w:left="0"/>
      </w:pPr>
      <w:bookmarkStart w:id="1227" w:name="_49_Exchange_Online"/>
      <w:bookmarkStart w:id="1228" w:name="_55_Exchange_Online"/>
      <w:bookmarkStart w:id="1229" w:name="_Toc371663707"/>
      <w:bookmarkStart w:id="1230" w:name="Srv_50ExchangeOnlinePlan2"/>
      <w:bookmarkEnd w:id="1227"/>
      <w:bookmarkEnd w:id="1228"/>
      <w:r w:rsidRPr="0058047D">
        <w:rPr>
          <w:rFonts w:ascii="Tahoma" w:hAnsi="Tahoma" w:cs="Tahoma"/>
          <w:caps/>
          <w:color w:val="F66400"/>
          <w:sz w:val="22"/>
          <w:szCs w:val="20"/>
          <w:vertAlign w:val="superscript"/>
        </w:rPr>
        <w:t>54</w:t>
      </w:r>
      <w:r w:rsidRPr="0058047D">
        <w:rPr>
          <w:rFonts w:ascii="Tahoma" w:hAnsi="Tahoma" w:cs="Tahoma"/>
          <w:color w:val="F66400"/>
          <w:sz w:val="22"/>
          <w:szCs w:val="20"/>
        </w:rPr>
        <w:t xml:space="preserve"> Exchange Online Piano 2</w:t>
      </w:r>
      <w:bookmarkEnd w:id="1229"/>
    </w:p>
    <w:bookmarkEnd w:id="1230"/>
    <w:p w14:paraId="0525DF6D" w14:textId="77777777" w:rsidR="00D70D2C" w:rsidRPr="0058047D" w:rsidRDefault="00D70D2C" w:rsidP="001760D6">
      <w:pPr>
        <w:keepNext/>
        <w:outlineLvl w:val="2"/>
      </w:pPr>
    </w:p>
    <w:p w14:paraId="18F918F7" w14:textId="77777777" w:rsidR="00D70D2C" w:rsidRPr="0058047D" w:rsidRDefault="00D70D2C" w:rsidP="001760D6">
      <w:pPr>
        <w:pStyle w:val="ListParagraph"/>
        <w:keepNext/>
      </w:pPr>
      <w:r w:rsidRPr="0058047D">
        <w:rPr>
          <w:rFonts w:ascii="Tahoma" w:hAnsi="Tahoma" w:cs="Tahoma"/>
          <w:color w:val="000000"/>
          <w:sz w:val="18"/>
          <w:szCs w:val="18"/>
        </w:rPr>
        <w:t>Exchange Online Piano 2 è un servizio online che succede a Exchange Hosted Archive.</w:t>
      </w:r>
    </w:p>
    <w:p w14:paraId="273F7055" w14:textId="77777777" w:rsidR="00D70D2C" w:rsidRPr="007153B4" w:rsidRDefault="00D70D2C" w:rsidP="00D70D2C">
      <w:pPr>
        <w:pStyle w:val="ListParagraph"/>
        <w:rPr>
          <w:rFonts w:ascii="Tahoma" w:hAnsi="Tahoma" w:cs="Tahoma"/>
          <w:sz w:val="18"/>
          <w:szCs w:val="18"/>
        </w:rPr>
      </w:pPr>
    </w:p>
    <w:p w14:paraId="47C533FC" w14:textId="77777777" w:rsidR="00D70D2C" w:rsidRPr="0058047D" w:rsidRDefault="00D70D2C" w:rsidP="00D70D2C">
      <w:pPr>
        <w:ind w:left="720"/>
      </w:pPr>
      <w:r w:rsidRPr="0058047D">
        <w:rPr>
          <w:rFonts w:cs="Tahoma"/>
          <w:color w:val="000000"/>
          <w:szCs w:val="18"/>
        </w:rPr>
        <w:t>Qualora la società effettui il rinnovo passando da Exchange Hosted Archive ad Exchange Online Piano 2 e</w:t>
      </w:r>
      <w:r w:rsidR="007153B4">
        <w:rPr>
          <w:rFonts w:cs="Tahoma"/>
          <w:color w:val="000000"/>
          <w:szCs w:val="18"/>
        </w:rPr>
        <w:t> </w:t>
      </w:r>
      <w:r w:rsidRPr="0058047D">
        <w:rPr>
          <w:rFonts w:cs="Tahoma"/>
          <w:color w:val="000000"/>
          <w:szCs w:val="18"/>
        </w:rPr>
        <w:t>non abbia ancora eseguito la migrazione a Exchange Online Piano 2,</w:t>
      </w:r>
      <w:r w:rsidRPr="0058047D">
        <w:rPr>
          <w:color w:val="000000"/>
        </w:rPr>
        <w:t xml:space="preserve"> gli utenti in possesso di licenza potranno continuare a utilizzare il servizio Exchange Hosted Archive in conformità alle condizioni dei Diritti di</w:t>
      </w:r>
      <w:r w:rsidR="007153B4">
        <w:rPr>
          <w:color w:val="000000"/>
        </w:rPr>
        <w:t> </w:t>
      </w:r>
      <w:r w:rsidRPr="0058047D">
        <w:rPr>
          <w:color w:val="000000"/>
        </w:rPr>
        <w:t>Utilizzo del Prodotto di marzo 2011 fino alla migrazione a Exchange Online Piano 2 e alla scadenza della sottoscrizione di Exchange Online Piano 2, a seconda di quale dei due eventi si verificherà per primo.</w:t>
      </w:r>
    </w:p>
    <w:p w14:paraId="736832D8" w14:textId="77777777" w:rsidR="00702931" w:rsidRPr="0058047D" w:rsidRDefault="00702931" w:rsidP="00D70D2C">
      <w:pPr>
        <w:ind w:left="720"/>
      </w:pPr>
    </w:p>
    <w:p w14:paraId="7F7382AC" w14:textId="77777777" w:rsidR="00702931" w:rsidRPr="0058047D" w:rsidRDefault="00702931" w:rsidP="0067725A">
      <w:pPr>
        <w:spacing w:after="60"/>
        <w:ind w:left="720"/>
      </w:pPr>
      <w:r w:rsidRPr="0058047D">
        <w:rPr>
          <w:rFonts w:eastAsia="Calibri" w:cs="Tahoma"/>
          <w:b/>
          <w:color w:val="000000"/>
          <w:szCs w:val="18"/>
        </w:rPr>
        <w:t>Community Cloud per Enti Pubblici (solo Stati Uniti)</w:t>
      </w:r>
    </w:p>
    <w:p w14:paraId="0D690A95" w14:textId="77777777" w:rsidR="00702931" w:rsidRPr="0058047D" w:rsidRDefault="00702931" w:rsidP="00702931">
      <w:pPr>
        <w:ind w:left="720"/>
      </w:pPr>
      <w:r w:rsidRPr="0058047D">
        <w:rPr>
          <w:rFonts w:eastAsia="Calibri" w:cs="Tahoma"/>
          <w:color w:val="000000"/>
          <w:szCs w:val="18"/>
        </w:rPr>
        <w:t>Alcuni servizi online della famiglia di prodotti Office 365 (incluso Exchange Online Piano 2) sono offerti come servizi di community cloud per enti pubblici e come servizi di community cloud per enti non pubblici.</w:t>
      </w:r>
      <w:r w:rsidR="00E34ED3" w:rsidRPr="0058047D">
        <w:rPr>
          <w:rFonts w:eastAsia="Calibri" w:cs="Tahoma"/>
          <w:color w:val="000000"/>
          <w:szCs w:val="18"/>
        </w:rPr>
        <w:t xml:space="preserve"> </w:t>
      </w:r>
      <w:r w:rsidRPr="0058047D">
        <w:rPr>
          <w:rFonts w:eastAsia="Calibri" w:cs="Tahoma"/>
          <w:color w:val="000000"/>
          <w:szCs w:val="18"/>
        </w:rPr>
        <w:t>Alle società potrà essere effettuato il provisioning come ente pubblico o non pubblico, ma non come una combinazione di entrambi.</w:t>
      </w:r>
      <w:r w:rsidR="00E34ED3" w:rsidRPr="0058047D">
        <w:rPr>
          <w:rFonts w:eastAsia="Calibri" w:cs="Tahoma"/>
          <w:color w:val="000000"/>
          <w:szCs w:val="18"/>
        </w:rPr>
        <w:t xml:space="preserve"> </w:t>
      </w:r>
      <w:r w:rsidRPr="0058047D">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E34ED3" w:rsidRPr="0058047D">
        <w:rPr>
          <w:rFonts w:eastAsia="Calibri" w:cs="Tahoma"/>
          <w:color w:val="000000"/>
          <w:szCs w:val="18"/>
        </w:rPr>
        <w:t xml:space="preserve"> </w:t>
      </w:r>
    </w:p>
    <w:p w14:paraId="11C7A09E" w14:textId="77777777" w:rsidR="00702931" w:rsidRPr="0058047D" w:rsidRDefault="00702931" w:rsidP="00702931">
      <w:pPr>
        <w:ind w:left="720"/>
      </w:pPr>
    </w:p>
    <w:p w14:paraId="32698080" w14:textId="77777777" w:rsidR="00B2460D" w:rsidRPr="0058047D" w:rsidRDefault="00702931" w:rsidP="00697E59">
      <w:pPr>
        <w:ind w:left="720"/>
      </w:pPr>
      <w:r w:rsidRPr="0058047D">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1C4212">
        <w:rPr>
          <w:rFonts w:eastAsia="Calibri" w:cs="Tahoma"/>
          <w:color w:val="000000"/>
          <w:szCs w:val="18"/>
        </w:rPr>
        <w:t>’</w:t>
      </w:r>
      <w:r w:rsidRPr="0058047D">
        <w:rPr>
          <w:rFonts w:eastAsia="Calibri" w:cs="Tahoma"/>
          <w:color w:val="000000"/>
          <w:szCs w:val="18"/>
        </w:rPr>
        <w:t>Iscrizione Enterprise o Enterprise Subscription per Enti Pubblici Statunitensi per essere idonei all</w:t>
      </w:r>
      <w:r w:rsidR="001C4212">
        <w:rPr>
          <w:rFonts w:eastAsia="Calibri" w:cs="Tahoma"/>
          <w:color w:val="000000"/>
          <w:szCs w:val="18"/>
        </w:rPr>
        <w:t>’</w:t>
      </w:r>
      <w:r w:rsidRPr="0058047D">
        <w:rPr>
          <w:rFonts w:eastAsia="Calibri" w:cs="Tahoma"/>
          <w:color w:val="000000"/>
          <w:szCs w:val="18"/>
        </w:rPr>
        <w:t>acquisto di servizi online designati come community cloud per enti pubblici.</w:t>
      </w:r>
      <w:r w:rsidR="00E34ED3" w:rsidRPr="0058047D">
        <w:rPr>
          <w:rFonts w:eastAsia="Calibri" w:cs="Tahoma"/>
          <w:color w:val="000000"/>
          <w:szCs w:val="18"/>
        </w:rPr>
        <w:t xml:space="preserve"> </w:t>
      </w:r>
      <w:r w:rsidRPr="0058047D">
        <w:rPr>
          <w:rFonts w:eastAsia="Calibri" w:cs="Tahoma"/>
          <w:color w:val="000000"/>
          <w:szCs w:val="18"/>
        </w:rPr>
        <w:t>I Diritti sull</w:t>
      </w:r>
      <w:r w:rsidR="001C4212">
        <w:rPr>
          <w:rFonts w:eastAsia="Calibri" w:cs="Tahoma"/>
          <w:color w:val="000000"/>
          <w:szCs w:val="18"/>
        </w:rPr>
        <w:t>’</w:t>
      </w:r>
      <w:r w:rsidRPr="0058047D">
        <w:rPr>
          <w:rFonts w:eastAsia="Calibri" w:cs="Tahoma"/>
          <w:color w:val="000000"/>
          <w:szCs w:val="18"/>
        </w:rPr>
        <w:t>Utilizzo relativi ai servizi di community cloud per enti pubblici sono simili a quelli dei loro equivalenti multi-tenant standard.</w:t>
      </w:r>
      <w:r w:rsidR="00E34ED3" w:rsidRPr="0058047D">
        <w:rPr>
          <w:rFonts w:eastAsia="Calibri" w:cs="Tahoma"/>
          <w:color w:val="000000"/>
          <w:szCs w:val="18"/>
        </w:rPr>
        <w:t xml:space="preserve"> </w:t>
      </w:r>
      <w:bookmarkStart w:id="1231" w:name="_51_Exchange_Server"/>
      <w:bookmarkEnd w:id="1218"/>
      <w:bookmarkEnd w:id="1225"/>
      <w:bookmarkEnd w:id="1226"/>
      <w:bookmarkEnd w:id="1231"/>
    </w:p>
    <w:p w14:paraId="147383B2" w14:textId="77777777" w:rsidR="00023FE7" w:rsidRPr="0058047D" w:rsidRDefault="00023FE7" w:rsidP="00C066F9">
      <w:pPr>
        <w:pStyle w:val="EndnoteText"/>
        <w:ind w:left="1620" w:hanging="900"/>
      </w:pPr>
      <w:bookmarkStart w:id="1232" w:name="Srv_43ExchangeSvr2010"/>
    </w:p>
    <w:p w14:paraId="2E900B4C" w14:textId="77777777" w:rsidR="00C066F9" w:rsidRPr="0058047D" w:rsidRDefault="00C066F9" w:rsidP="00C066F9">
      <w:pPr>
        <w:pStyle w:val="EndnoteText"/>
        <w:ind w:left="1620" w:hanging="900"/>
      </w:pPr>
    </w:p>
    <w:p w14:paraId="670E2EF6" w14:textId="77777777" w:rsidR="00453CAC" w:rsidRPr="0058047D" w:rsidRDefault="00A560B6" w:rsidP="009D3013">
      <w:pPr>
        <w:pStyle w:val="Heading2"/>
        <w:ind w:left="0"/>
      </w:pPr>
      <w:bookmarkStart w:id="1233" w:name="_49_Exchange_Server"/>
      <w:bookmarkStart w:id="1234" w:name="_51_50_Exchange"/>
      <w:bookmarkStart w:id="1235" w:name="_56_Exchange_Online"/>
      <w:bookmarkStart w:id="1236" w:name="_Toc371663708"/>
      <w:bookmarkStart w:id="1237" w:name="_Toc336338311"/>
      <w:bookmarkStart w:id="1238" w:name="Srv_50ExchangeServer2010StdCAL"/>
      <w:bookmarkEnd w:id="1232"/>
      <w:bookmarkEnd w:id="1233"/>
      <w:bookmarkEnd w:id="1234"/>
      <w:bookmarkEnd w:id="1235"/>
      <w:r w:rsidRPr="0058047D">
        <w:rPr>
          <w:rFonts w:ascii="Tahoma" w:hAnsi="Tahoma" w:cs="Tahoma"/>
          <w:caps/>
          <w:color w:val="FA6500"/>
          <w:sz w:val="22"/>
          <w:vertAlign w:val="superscript"/>
        </w:rPr>
        <w:t xml:space="preserve">55 </w:t>
      </w:r>
      <w:r w:rsidRPr="0058047D">
        <w:rPr>
          <w:rFonts w:ascii="Tahoma" w:hAnsi="Tahoma" w:cs="Tahoma"/>
          <w:color w:val="F66400"/>
          <w:sz w:val="22"/>
          <w:szCs w:val="20"/>
        </w:rPr>
        <w:t>Exchange Online Protection (SL per Utente)</w:t>
      </w:r>
      <w:bookmarkEnd w:id="1236"/>
    </w:p>
    <w:p w14:paraId="262C70BB" w14:textId="77777777" w:rsidR="00453CAC" w:rsidRPr="0058047D" w:rsidRDefault="00453CAC" w:rsidP="00453CAC">
      <w:pPr>
        <w:ind w:left="720"/>
      </w:pPr>
    </w:p>
    <w:p w14:paraId="11ED75DA" w14:textId="77777777" w:rsidR="007D4770" w:rsidRPr="00834AC5" w:rsidRDefault="007D4770" w:rsidP="00453CAC">
      <w:pPr>
        <w:ind w:left="720"/>
        <w:rPr>
          <w:rFonts w:cs="Tahoma"/>
          <w:szCs w:val="18"/>
        </w:rPr>
      </w:pPr>
      <w:r w:rsidRPr="00834AC5">
        <w:rPr>
          <w:rFonts w:cs="Tahoma"/>
          <w:szCs w:val="18"/>
        </w:rPr>
        <w:t>Poiché questo servizio online viene erogato in base al dominio, tutti gli utenti di qualunque dominio interessato devono disporre di SL per Utente.</w:t>
      </w:r>
      <w:r w:rsidR="00E34ED3" w:rsidRPr="00834AC5">
        <w:rPr>
          <w:rFonts w:cs="Tahoma"/>
          <w:szCs w:val="18"/>
        </w:rPr>
        <w:t xml:space="preserve"> </w:t>
      </w:r>
      <w:r w:rsidRPr="00834AC5">
        <w:rPr>
          <w:rFonts w:cs="Tahoma"/>
          <w:szCs w:val="18"/>
        </w:rPr>
        <w:t>Le società che desiderano che il servizio sia erogato a un sottoinsieme dei loro utenti possono creare sottodomini per un</w:t>
      </w:r>
      <w:r w:rsidR="001C4212" w:rsidRPr="00834AC5">
        <w:rPr>
          <w:rFonts w:cs="Tahoma"/>
          <w:szCs w:val="18"/>
        </w:rPr>
        <w:t>’</w:t>
      </w:r>
      <w:r w:rsidRPr="00834AC5">
        <w:rPr>
          <w:rFonts w:cs="Tahoma"/>
          <w:szCs w:val="18"/>
        </w:rPr>
        <w:t>erogazione del servizio più mirata. Solo gli utenti che rientrano nel sottodominio incluso devono disporre di SL per Utente.</w:t>
      </w:r>
    </w:p>
    <w:p w14:paraId="5DCEDD59" w14:textId="77777777" w:rsidR="005D484B" w:rsidRPr="0058047D" w:rsidRDefault="005D484B" w:rsidP="00453CAC">
      <w:pPr>
        <w:ind w:left="720"/>
      </w:pPr>
    </w:p>
    <w:p w14:paraId="640E7F2A" w14:textId="77777777" w:rsidR="005D484B" w:rsidRPr="0058047D" w:rsidRDefault="005D484B" w:rsidP="005D484B">
      <w:pPr>
        <w:ind w:left="720"/>
      </w:pPr>
      <w:r w:rsidRPr="0058047D">
        <w:rPr>
          <w:rFonts w:cs="Tahoma"/>
          <w:szCs w:val="18"/>
        </w:rPr>
        <w:t>Gli Istituti Didattici ai sensi dei contratti Enrollment for Education Solutions e Open Value Subscription per Education Solutions, autorizzati a ricevere l</w:t>
      </w:r>
      <w:r w:rsidR="001C4212">
        <w:rPr>
          <w:rFonts w:cs="Tahoma"/>
          <w:szCs w:val="18"/>
        </w:rPr>
        <w:t>’</w:t>
      </w:r>
      <w:r w:rsidRPr="0058047D">
        <w:rPr>
          <w:rFonts w:cs="Tahoma"/>
          <w:szCs w:val="18"/>
        </w:rPr>
        <w:t>Enterprise CAL Suite o l</w:t>
      </w:r>
      <w:r w:rsidR="001C4212">
        <w:rPr>
          <w:rFonts w:cs="Tahoma"/>
          <w:szCs w:val="18"/>
        </w:rPr>
        <w:t>’</w:t>
      </w:r>
      <w:r w:rsidRPr="0058047D">
        <w:rPr>
          <w:rFonts w:cs="Tahoma"/>
          <w:szCs w:val="18"/>
        </w:rPr>
        <w:t>Exchange Enterprise CAL with Services, con la copertura Software Assurance attiva, sono pienamente idonei a ricevere Exchange Online Protection indipendentemente dal loro numero di licenze per Enterprise CAL Suite o Exchange Enterprise CAL with Services. Le società dovranno fare riferimento alle note del prodotto nell</w:t>
      </w:r>
      <w:r w:rsidR="001C4212">
        <w:rPr>
          <w:rFonts w:cs="Tahoma"/>
          <w:szCs w:val="18"/>
        </w:rPr>
        <w:t>’</w:t>
      </w:r>
      <w:r w:rsidRPr="0058047D">
        <w:rPr>
          <w:rFonts w:cs="Tahoma"/>
          <w:szCs w:val="18"/>
        </w:rPr>
        <w:t>Enterprise CAL Suite o nell</w:t>
      </w:r>
      <w:r w:rsidR="001C4212">
        <w:rPr>
          <w:rFonts w:cs="Tahoma"/>
          <w:szCs w:val="18"/>
        </w:rPr>
        <w:t>’</w:t>
      </w:r>
      <w:r w:rsidRPr="0058047D">
        <w:rPr>
          <w:rFonts w:cs="Tahoma"/>
          <w:szCs w:val="18"/>
        </w:rPr>
        <w:t>Exchange Enterprise CAL per la modalità di erogazione.</w:t>
      </w:r>
    </w:p>
    <w:p w14:paraId="1B315450" w14:textId="77777777" w:rsidR="00453CAC" w:rsidRPr="0058047D" w:rsidRDefault="00453CAC" w:rsidP="00453CAC">
      <w:pPr>
        <w:pStyle w:val="EndnoteText"/>
        <w:ind w:hanging="900"/>
      </w:pPr>
    </w:p>
    <w:p w14:paraId="4E7C43AC" w14:textId="77777777" w:rsidR="0004051B" w:rsidRPr="0058047D" w:rsidRDefault="0004051B"/>
    <w:p w14:paraId="103D09AF" w14:textId="77777777" w:rsidR="009D3013" w:rsidRPr="0058047D" w:rsidRDefault="00A560B6" w:rsidP="009D3013">
      <w:pPr>
        <w:pStyle w:val="Heading2"/>
        <w:ind w:left="0"/>
      </w:pPr>
      <w:bookmarkStart w:id="1239" w:name="_52_51_Exchange"/>
      <w:bookmarkStart w:id="1240" w:name="_57_Exchange_Server"/>
      <w:bookmarkStart w:id="1241" w:name="_Toc371663709"/>
      <w:bookmarkEnd w:id="1239"/>
      <w:bookmarkEnd w:id="1240"/>
      <w:r w:rsidRPr="0058047D">
        <w:rPr>
          <w:rFonts w:ascii="Tahoma" w:hAnsi="Tahoma" w:cs="Tahoma"/>
          <w:caps/>
          <w:color w:val="FA6500"/>
          <w:sz w:val="22"/>
          <w:vertAlign w:val="superscript"/>
        </w:rPr>
        <w:t xml:space="preserve">56 </w:t>
      </w:r>
      <w:r w:rsidRPr="0058047D">
        <w:rPr>
          <w:rFonts w:ascii="Tahoma" w:hAnsi="Tahoma" w:cs="Tahoma"/>
          <w:color w:val="FA6500"/>
          <w:sz w:val="22"/>
        </w:rPr>
        <w:t xml:space="preserve">Exchange Server 2013, Edizioni Enterprise e </w:t>
      </w:r>
      <w:bookmarkEnd w:id="1237"/>
      <w:r w:rsidRPr="0058047D">
        <w:rPr>
          <w:rFonts w:ascii="Tahoma" w:hAnsi="Tahoma" w:cs="Tahoma"/>
          <w:color w:val="FA6500"/>
          <w:sz w:val="22"/>
        </w:rPr>
        <w:t>Standard</w:t>
      </w:r>
      <w:bookmarkEnd w:id="1241"/>
    </w:p>
    <w:p w14:paraId="10A93D24" w14:textId="77777777" w:rsidR="009D3013" w:rsidRPr="0058047D" w:rsidRDefault="009D3013" w:rsidP="009D3013">
      <w:pPr>
        <w:ind w:left="720"/>
      </w:pPr>
    </w:p>
    <w:p w14:paraId="479B5B41" w14:textId="77777777" w:rsidR="009D3013" w:rsidRPr="0058047D" w:rsidRDefault="009D3013" w:rsidP="009D3013">
      <w:pPr>
        <w:ind w:left="720"/>
      </w:pPr>
      <w:r w:rsidRPr="0058047D">
        <w:rPr>
          <w:rFonts w:cs="Tahoma"/>
          <w:color w:val="000000"/>
          <w:szCs w:val="18"/>
        </w:rPr>
        <w:t>Exchange Server 2013 è l</w:t>
      </w:r>
      <w:r w:rsidR="001C4212">
        <w:rPr>
          <w:rFonts w:cs="Tahoma"/>
          <w:color w:val="000000"/>
          <w:szCs w:val="18"/>
        </w:rPr>
        <w:t>’</w:t>
      </w:r>
      <w:r w:rsidRPr="0058047D">
        <w:rPr>
          <w:rFonts w:cs="Tahoma"/>
          <w:color w:val="000000"/>
          <w:szCs w:val="18"/>
        </w:rPr>
        <w:t>ultima versione di Exchange Server.</w:t>
      </w:r>
    </w:p>
    <w:p w14:paraId="2E08A9E7" w14:textId="77777777" w:rsidR="009D3013" w:rsidRPr="0058047D" w:rsidRDefault="009D3013" w:rsidP="0067725A"/>
    <w:p w14:paraId="1D6ABBDE" w14:textId="77777777" w:rsidR="009D3013" w:rsidRPr="0058047D" w:rsidRDefault="009D3013" w:rsidP="0067725A">
      <w:pPr>
        <w:spacing w:after="60"/>
        <w:ind w:left="720"/>
      </w:pPr>
      <w:r w:rsidRPr="0058047D">
        <w:rPr>
          <w:rFonts w:cs="Tahoma"/>
          <w:b/>
          <w:color w:val="000000"/>
          <w:szCs w:val="18"/>
        </w:rPr>
        <w:t>Concessione di Licenza per le Società Titolari di Licenza External Connector per Exchange Server 2010</w:t>
      </w:r>
    </w:p>
    <w:p w14:paraId="22B5E8ED" w14:textId="77777777" w:rsidR="009D3013" w:rsidRPr="0058047D" w:rsidRDefault="009D3013" w:rsidP="0067725A">
      <w:pPr>
        <w:ind w:left="720"/>
      </w:pPr>
      <w:r w:rsidRPr="0058047D">
        <w:rPr>
          <w:rFonts w:cs="Tahoma"/>
          <w:color w:val="000000"/>
          <w:szCs w:val="18"/>
        </w:rPr>
        <w:t xml:space="preserve">La versione 2010 della Licenza </w:t>
      </w:r>
      <w:bookmarkStart w:id="1242" w:name="Srv_42ExchangeSvr07"/>
      <w:bookmarkStart w:id="1243" w:name="Srv_48ExchangeSvr2010"/>
      <w:r w:rsidRPr="0058047D">
        <w:rPr>
          <w:rFonts w:cs="Tahoma"/>
          <w:color w:val="000000"/>
          <w:szCs w:val="18"/>
        </w:rPr>
        <w:t>External Connector</w:t>
      </w:r>
      <w:bookmarkEnd w:id="1242"/>
      <w:bookmarkEnd w:id="1243"/>
      <w:r w:rsidRPr="0058047D">
        <w:rPr>
          <w:rFonts w:cs="Tahoma"/>
          <w:color w:val="000000"/>
          <w:szCs w:val="18"/>
        </w:rPr>
        <w:t xml:space="preserve"> per Exchange Server 2010 è la versione finale di tale licenza.</w:t>
      </w:r>
      <w:r w:rsidR="00E34ED3" w:rsidRPr="0058047D">
        <w:rPr>
          <w:rFonts w:cs="Tahoma"/>
          <w:color w:val="000000"/>
          <w:szCs w:val="18"/>
        </w:rPr>
        <w:t xml:space="preserve"> </w:t>
      </w:r>
      <w:r w:rsidRPr="0058047D">
        <w:rPr>
          <w:rFonts w:cs="Tahoma"/>
          <w:color w:val="000000"/>
          <w:szCs w:val="18"/>
        </w:rPr>
        <w:t>Alla luce di ciò, le società titolari di Licenze External Connector per Exchange Server 2010 con copertura Software Assurance attiva al 1 ottobre 2012 sono idonee a ricevere la concessione di licenza che</w:t>
      </w:r>
      <w:r w:rsidR="007153B4">
        <w:rPr>
          <w:rFonts w:cs="Tahoma"/>
          <w:color w:val="000000"/>
          <w:szCs w:val="18"/>
        </w:rPr>
        <w:t> </w:t>
      </w:r>
      <w:r w:rsidRPr="0058047D">
        <w:rPr>
          <w:rFonts w:cs="Tahoma"/>
          <w:color w:val="000000"/>
          <w:szCs w:val="18"/>
        </w:rPr>
        <w:t>segue.</w:t>
      </w:r>
    </w:p>
    <w:p w14:paraId="37B58532" w14:textId="77777777" w:rsidR="009D3013" w:rsidRPr="0058047D" w:rsidRDefault="009D3013" w:rsidP="009D3013">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58047D" w14:paraId="39E810AE" w14:textId="77777777" w:rsidTr="002C3AB1">
        <w:trPr>
          <w:trHeight w:val="332"/>
        </w:trPr>
        <w:tc>
          <w:tcPr>
            <w:tcW w:w="4500" w:type="dxa"/>
            <w:shd w:val="clear" w:color="auto" w:fill="FABF8F"/>
          </w:tcPr>
          <w:p w14:paraId="49C39260" w14:textId="77777777" w:rsidR="009D3013" w:rsidRPr="0058047D" w:rsidRDefault="009D3013" w:rsidP="002C3AB1">
            <w:pPr>
              <w:rPr>
                <w:rFonts w:cs="Tahoma"/>
                <w:b/>
                <w:color w:val="000000"/>
                <w:szCs w:val="18"/>
              </w:rPr>
            </w:pPr>
            <w:r w:rsidRPr="0058047D">
              <w:rPr>
                <w:rFonts w:cs="Tahoma"/>
                <w:b/>
                <w:color w:val="000000"/>
                <w:szCs w:val="18"/>
              </w:rPr>
              <w:t>Licenza Qualificante</w:t>
            </w:r>
          </w:p>
        </w:tc>
        <w:tc>
          <w:tcPr>
            <w:tcW w:w="3600" w:type="dxa"/>
            <w:shd w:val="clear" w:color="auto" w:fill="FABF8F"/>
          </w:tcPr>
          <w:p w14:paraId="6ED34417" w14:textId="77777777" w:rsidR="009D3013" w:rsidRPr="0058047D" w:rsidRDefault="009D3013" w:rsidP="002C3AB1">
            <w:pPr>
              <w:rPr>
                <w:rFonts w:cs="Tahoma"/>
                <w:b/>
                <w:color w:val="000000"/>
                <w:szCs w:val="18"/>
              </w:rPr>
            </w:pPr>
            <w:r w:rsidRPr="0058047D">
              <w:rPr>
                <w:rFonts w:cs="Tahoma"/>
                <w:b/>
                <w:color w:val="000000"/>
                <w:szCs w:val="18"/>
              </w:rPr>
              <w:t>Licenza Gratuita e Vantaggi</w:t>
            </w:r>
          </w:p>
        </w:tc>
      </w:tr>
      <w:tr w:rsidR="009D3013" w:rsidRPr="0058047D" w14:paraId="7CEDA313" w14:textId="77777777" w:rsidTr="002C3AB1">
        <w:trPr>
          <w:trHeight w:val="70"/>
        </w:trPr>
        <w:tc>
          <w:tcPr>
            <w:tcW w:w="4500" w:type="dxa"/>
            <w:shd w:val="clear" w:color="auto" w:fill="auto"/>
          </w:tcPr>
          <w:p w14:paraId="16D4B376" w14:textId="77777777" w:rsidR="009D3013" w:rsidRPr="0058047D" w:rsidRDefault="009D3013" w:rsidP="003678D7">
            <w:pPr>
              <w:rPr>
                <w:rFonts w:cs="Tahoma"/>
                <w:color w:val="000000"/>
                <w:szCs w:val="18"/>
              </w:rPr>
            </w:pPr>
            <w:r w:rsidRPr="0058047D">
              <w:rPr>
                <w:rFonts w:cs="Tahoma"/>
                <w:color w:val="000000"/>
                <w:szCs w:val="18"/>
              </w:rPr>
              <w:t>Licenza External Connector per Exchange Server 2010 con Software Assurance attiva a partire dal 1 ottobre 2012</w:t>
            </w:r>
          </w:p>
        </w:tc>
        <w:tc>
          <w:tcPr>
            <w:tcW w:w="3600" w:type="dxa"/>
            <w:shd w:val="clear" w:color="auto" w:fill="auto"/>
          </w:tcPr>
          <w:p w14:paraId="78F57DF2" w14:textId="77777777" w:rsidR="009D3013" w:rsidRPr="0058047D" w:rsidRDefault="009D3013" w:rsidP="002C3AB1">
            <w:pPr>
              <w:rPr>
                <w:rFonts w:cs="Tahoma"/>
                <w:color w:val="000000"/>
                <w:szCs w:val="18"/>
              </w:rPr>
            </w:pPr>
            <w:r w:rsidRPr="0058047D">
              <w:rPr>
                <w:rFonts w:cs="Tahoma"/>
                <w:color w:val="000000"/>
                <w:szCs w:val="18"/>
              </w:rPr>
              <w:t>Licenza Enterprise per Exchange Server 2013</w:t>
            </w:r>
          </w:p>
        </w:tc>
      </w:tr>
    </w:tbl>
    <w:p w14:paraId="4395FAFA" w14:textId="77777777" w:rsidR="009D3013" w:rsidRPr="0058047D" w:rsidRDefault="009D3013" w:rsidP="009D3013">
      <w:pPr>
        <w:ind w:left="720"/>
      </w:pPr>
      <w:r w:rsidRPr="0058047D">
        <w:rPr>
          <w:rFonts w:cs="Tahoma"/>
          <w:color w:val="000000"/>
          <w:szCs w:val="18"/>
        </w:rPr>
        <w:t>Le condizioni che seguono si applicano alle concessioni di licenze riportate sopra:</w:t>
      </w:r>
    </w:p>
    <w:p w14:paraId="6BCA1206" w14:textId="77777777" w:rsidR="009D3013" w:rsidRPr="0058047D" w:rsidRDefault="009D3013" w:rsidP="009D3013">
      <w:pPr>
        <w:ind w:left="720"/>
      </w:pPr>
    </w:p>
    <w:p w14:paraId="42225BC7" w14:textId="77777777" w:rsidR="009D3013" w:rsidRPr="0058047D" w:rsidRDefault="009D3013" w:rsidP="00346F4B">
      <w:pPr>
        <w:numPr>
          <w:ilvl w:val="0"/>
          <w:numId w:val="101"/>
        </w:numPr>
        <w:spacing w:after="60"/>
        <w:ind w:left="1440"/>
      </w:pPr>
      <w:r w:rsidRPr="0058047D">
        <w:rPr>
          <w:rFonts w:cs="Tahoma"/>
          <w:bCs/>
          <w:color w:val="000000"/>
          <w:szCs w:val="18"/>
        </w:rPr>
        <w:t>Percorso di Migrazione</w:t>
      </w:r>
      <w:r w:rsidRPr="0058047D">
        <w:rPr>
          <w:rFonts w:cs="Tahoma"/>
          <w:color w:val="000000"/>
          <w:szCs w:val="18"/>
        </w:rPr>
        <w:t>: Le società con copertura Software Assurance attiva per una determinata Licenza Qualificante a partire dal 1 ottobre 2012 e in occasione del rilascio della versione commerciale di Exchange Server 2013 sono idonee a effettuare l</w:t>
      </w:r>
      <w:r w:rsidR="001C4212">
        <w:rPr>
          <w:rFonts w:cs="Tahoma"/>
          <w:color w:val="000000"/>
          <w:szCs w:val="18"/>
        </w:rPr>
        <w:t>’</w:t>
      </w:r>
      <w:r w:rsidRPr="0058047D">
        <w:rPr>
          <w:rFonts w:cs="Tahoma"/>
          <w:color w:val="000000"/>
          <w:szCs w:val="18"/>
        </w:rPr>
        <w:t>aggiornamento al software Exchange Server 2013 e a utilizzarlo ai sensi della Licenza Gratuita al posto del software Exchange Server 2010 ai sensi della corrispondente licenza External Connector qualificante.</w:t>
      </w:r>
      <w:r w:rsidR="00E34ED3" w:rsidRPr="0058047D">
        <w:rPr>
          <w:rFonts w:cs="Tahoma"/>
          <w:color w:val="000000"/>
          <w:szCs w:val="18"/>
        </w:rPr>
        <w:t xml:space="preserve"> </w:t>
      </w:r>
    </w:p>
    <w:p w14:paraId="3B27B4D7" w14:textId="77777777" w:rsidR="009D3013" w:rsidRPr="0058047D" w:rsidRDefault="009D3013" w:rsidP="00346F4B">
      <w:pPr>
        <w:numPr>
          <w:ilvl w:val="0"/>
          <w:numId w:val="101"/>
        </w:numPr>
        <w:spacing w:after="60"/>
        <w:ind w:left="1440"/>
      </w:pPr>
      <w:r w:rsidRPr="0058047D">
        <w:rPr>
          <w:rFonts w:cs="Tahoma"/>
          <w:color w:val="000000"/>
          <w:szCs w:val="18"/>
        </w:rPr>
        <w:t>Diritti sull</w:t>
      </w:r>
      <w:r w:rsidR="001C4212">
        <w:rPr>
          <w:rFonts w:cs="Tahoma"/>
          <w:color w:val="000000"/>
          <w:szCs w:val="18"/>
        </w:rPr>
        <w:t>’</w:t>
      </w:r>
      <w:r w:rsidRPr="0058047D">
        <w:rPr>
          <w:rFonts w:cs="Tahoma"/>
          <w:color w:val="000000"/>
          <w:szCs w:val="18"/>
        </w:rPr>
        <w:t>utilizzo: il diritto di utilizzo del software ai sensi della Licenza Gratuita della presente offerta scadrà alla scadenza del diritto di utilizzo del software ai sensi della Licenza Qualificante.</w:t>
      </w:r>
      <w:r w:rsidR="00E34ED3" w:rsidRPr="0058047D">
        <w:rPr>
          <w:rFonts w:cs="Tahoma"/>
          <w:color w:val="000000"/>
          <w:szCs w:val="18"/>
        </w:rPr>
        <w:t xml:space="preserve"> </w:t>
      </w:r>
      <w:r w:rsidRPr="0058047D">
        <w:rPr>
          <w:rFonts w:cs="Tahoma"/>
          <w:color w:val="000000"/>
          <w:szCs w:val="18"/>
        </w:rPr>
        <w:t>L</w:t>
      </w:r>
      <w:r w:rsidR="001C4212">
        <w:rPr>
          <w:rFonts w:cs="Tahoma"/>
          <w:color w:val="000000"/>
          <w:szCs w:val="18"/>
        </w:rPr>
        <w:t>’</w:t>
      </w:r>
      <w:r w:rsidRPr="0058047D">
        <w:rPr>
          <w:rFonts w:cs="Tahoma"/>
          <w:color w:val="000000"/>
          <w:szCs w:val="18"/>
        </w:rPr>
        <w:t>utilizzo di tale software è disciplinato dai diritti sull</w:t>
      </w:r>
      <w:r w:rsidR="001C4212">
        <w:rPr>
          <w:rFonts w:cs="Tahoma"/>
          <w:color w:val="000000"/>
          <w:szCs w:val="18"/>
        </w:rPr>
        <w:t>’</w:t>
      </w:r>
      <w:r w:rsidRPr="0058047D">
        <w:rPr>
          <w:rFonts w:cs="Tahoma"/>
          <w:color w:val="000000"/>
          <w:szCs w:val="18"/>
        </w:rPr>
        <w:t>utilizzo del software e dalle condizioni del Contratto Multilicenza della società.</w:t>
      </w:r>
      <w:r w:rsidR="00E34ED3" w:rsidRPr="0058047D">
        <w:rPr>
          <w:rFonts w:cs="Tahoma"/>
          <w:color w:val="000000"/>
          <w:szCs w:val="18"/>
        </w:rPr>
        <w:t xml:space="preserve"> </w:t>
      </w:r>
      <w:r w:rsidRPr="0058047D">
        <w:rPr>
          <w:rFonts w:cs="Tahoma"/>
          <w:color w:val="000000"/>
          <w:szCs w:val="18"/>
        </w:rPr>
        <w:t>Questa nota relativa alle condizioni del prodotto e la prova da parte della società della corrispondente Licenza e Software Assurance (L&amp;SA) Qualificante costituiscono insieme la prova del diritto di utilizzo del software ai sensi della Licenza Gratuita della presente offerta.</w:t>
      </w:r>
      <w:r w:rsidR="00E34ED3" w:rsidRPr="0058047D">
        <w:rPr>
          <w:rFonts w:cs="Tahoma"/>
          <w:color w:val="000000"/>
          <w:szCs w:val="18"/>
        </w:rPr>
        <w:t xml:space="preserve"> </w:t>
      </w:r>
    </w:p>
    <w:p w14:paraId="7D5163E2" w14:textId="77777777" w:rsidR="009D3013" w:rsidRPr="0058047D" w:rsidRDefault="009D3013" w:rsidP="005427B6">
      <w:pPr>
        <w:numPr>
          <w:ilvl w:val="0"/>
          <w:numId w:val="8"/>
        </w:numPr>
        <w:spacing w:after="60"/>
        <w:ind w:left="1440"/>
      </w:pPr>
      <w:r w:rsidRPr="0058047D">
        <w:rPr>
          <w:rFonts w:cs="Tahoma"/>
          <w:color w:val="000000"/>
          <w:szCs w:val="18"/>
        </w:rPr>
        <w:t>Licenza e Software Assurance (L&amp;SA): la Licenza Gratuita include la copertura Software Assurance.</w:t>
      </w:r>
      <w:r w:rsidR="00E34ED3" w:rsidRPr="0058047D">
        <w:rPr>
          <w:rFonts w:cs="Tahoma"/>
          <w:color w:val="000000"/>
          <w:szCs w:val="18"/>
        </w:rPr>
        <w:t xml:space="preserve"> </w:t>
      </w:r>
      <w:r w:rsidRPr="0058047D">
        <w:rPr>
          <w:rFonts w:cs="Tahoma"/>
          <w:color w:val="000000"/>
          <w:szCs w:val="18"/>
        </w:rPr>
        <w:t>La copertura Software Assurance per la Licenza Gratuita scadrà alla scadenza della copertura per la Licenza Qualificante.</w:t>
      </w:r>
      <w:r w:rsidR="00E34ED3" w:rsidRPr="0058047D">
        <w:rPr>
          <w:rFonts w:cs="Tahoma"/>
          <w:color w:val="000000"/>
          <w:szCs w:val="18"/>
        </w:rPr>
        <w:t xml:space="preserve"> </w:t>
      </w:r>
      <w:r w:rsidRPr="0058047D">
        <w:rPr>
          <w:rFonts w:cs="Tahoma"/>
          <w:color w:val="000000"/>
          <w:szCs w:val="18"/>
        </w:rPr>
        <w:t>Alla scadenza della copertura Software Assurance per la Licenza Qualificante, la società potrà rinnovare Software Assurance per la Licenza Gratuita senza dover acquistare una nuova licenza specifica.</w:t>
      </w:r>
    </w:p>
    <w:p w14:paraId="3671D5C1" w14:textId="77777777" w:rsidR="009D3013" w:rsidRPr="0058047D" w:rsidRDefault="009D3013" w:rsidP="00346F4B">
      <w:pPr>
        <w:numPr>
          <w:ilvl w:val="0"/>
          <w:numId w:val="102"/>
        </w:numPr>
        <w:spacing w:after="60"/>
        <w:ind w:left="1440"/>
      </w:pPr>
      <w:r w:rsidRPr="0058047D">
        <w:rPr>
          <w:rFonts w:eastAsia="Calibri" w:cs="Tahoma"/>
          <w:color w:val="000000"/>
          <w:szCs w:val="18"/>
        </w:rPr>
        <w:t>True-up</w:t>
      </w:r>
      <w:r w:rsidRPr="0058047D">
        <w:rPr>
          <w:rFonts w:eastAsia="Calibri" w:cs="Tahoma"/>
          <w:b/>
          <w:color w:val="000000"/>
          <w:szCs w:val="18"/>
        </w:rPr>
        <w:t>:</w:t>
      </w:r>
      <w:r w:rsidR="00E34ED3" w:rsidRPr="0058047D">
        <w:rPr>
          <w:rFonts w:eastAsia="Calibri" w:cs="Tahoma"/>
          <w:color w:val="000000"/>
          <w:szCs w:val="18"/>
        </w:rPr>
        <w:t xml:space="preserve"> </w:t>
      </w:r>
      <w:r w:rsidRPr="0058047D">
        <w:rPr>
          <w:rFonts w:eastAsia="Calibri" w:cs="Tahoma"/>
          <w:color w:val="000000"/>
          <w:szCs w:val="18"/>
        </w:rPr>
        <w:t>Per le società titolari di un Contratto Enterprise idonee a ricevere tali licenze gratuite e i diritti descritti in precedenza, le licenze External Connector per Exchange Server 2010 acquistate nell</w:t>
      </w:r>
      <w:r w:rsidR="001C4212">
        <w:rPr>
          <w:rFonts w:eastAsia="Calibri" w:cs="Tahoma"/>
          <w:color w:val="000000"/>
          <w:szCs w:val="18"/>
        </w:rPr>
        <w:t>’</w:t>
      </w:r>
      <w:r w:rsidRPr="0058047D">
        <w:rPr>
          <w:rFonts w:eastAsia="Calibri" w:cs="Tahoma"/>
          <w:color w:val="000000"/>
          <w:szCs w:val="18"/>
        </w:rPr>
        <w:t xml:space="preserve">ambito di una procedura </w:t>
      </w:r>
      <w:r w:rsidRPr="0058047D">
        <w:rPr>
          <w:rFonts w:cs="Tahoma"/>
          <w:color w:val="000000"/>
          <w:szCs w:val="18"/>
        </w:rPr>
        <w:t>annuale di true-up sono, anch</w:t>
      </w:r>
      <w:r w:rsidR="001C4212">
        <w:rPr>
          <w:rFonts w:cs="Tahoma"/>
          <w:color w:val="000000"/>
          <w:szCs w:val="18"/>
        </w:rPr>
        <w:t>’</w:t>
      </w:r>
      <w:r w:rsidRPr="0058047D">
        <w:rPr>
          <w:rFonts w:cs="Tahoma"/>
          <w:color w:val="000000"/>
          <w:szCs w:val="18"/>
        </w:rPr>
        <w:t>esse, Licenze Qualificanti.</w:t>
      </w:r>
    </w:p>
    <w:p w14:paraId="4822224E" w14:textId="77777777" w:rsidR="009D3013" w:rsidRPr="0058047D" w:rsidRDefault="009D3013" w:rsidP="00346F4B">
      <w:pPr>
        <w:numPr>
          <w:ilvl w:val="0"/>
          <w:numId w:val="102"/>
        </w:numPr>
        <w:spacing w:after="60"/>
        <w:ind w:left="1440"/>
      </w:pPr>
      <w:r w:rsidRPr="0058047D">
        <w:rPr>
          <w:rFonts w:cs="Tahoma"/>
          <w:color w:val="000000"/>
          <w:szCs w:val="18"/>
        </w:rPr>
        <w:t>Contratti “Subscription”:</w:t>
      </w:r>
      <w:r w:rsidR="00E34ED3" w:rsidRPr="0058047D">
        <w:rPr>
          <w:rFonts w:cs="Tahoma"/>
          <w:color w:val="000000"/>
          <w:szCs w:val="18"/>
        </w:rPr>
        <w:t xml:space="preserve"> </w:t>
      </w:r>
      <w:r w:rsidRPr="0058047D">
        <w:rPr>
          <w:rFonts w:cs="Tahoma"/>
          <w:color w:val="000000"/>
          <w:szCs w:val="18"/>
        </w:rPr>
        <w:t xml:space="preserve">per quanto riguarda i Contratti Enterprise Subscription, </w:t>
      </w:r>
      <w:r w:rsidRPr="0058047D">
        <w:rPr>
          <w:rFonts w:cs="Tahoma"/>
          <w:szCs w:val="18"/>
        </w:rPr>
        <w:t>Open Value Subscription, Campus e School, Enrollment for Education Solutions e Open Value Subscription-Education Solutions, gli stessi diritti verranno concessi temporaneamente, in base alle medesime condizioni,</w:t>
      </w:r>
      <w:r w:rsidRPr="0058047D">
        <w:rPr>
          <w:rFonts w:cs="Tahoma"/>
          <w:color w:val="000000"/>
          <w:szCs w:val="18"/>
        </w:rPr>
        <w:t xml:space="preserve"> fino al termine del periodo di validità corrente dell</w:t>
      </w:r>
      <w:r w:rsidR="001C4212">
        <w:rPr>
          <w:rFonts w:cs="Tahoma"/>
          <w:color w:val="000000"/>
          <w:szCs w:val="18"/>
        </w:rPr>
        <w:t>’</w:t>
      </w:r>
      <w:r w:rsidRPr="0058047D">
        <w:rPr>
          <w:rFonts w:cs="Tahoma"/>
          <w:color w:val="000000"/>
          <w:szCs w:val="18"/>
        </w:rPr>
        <w:t>iscrizione (o del periodo di validità del contratto nel caso di Open Value).</w:t>
      </w:r>
      <w:r w:rsidR="00E34ED3" w:rsidRPr="0058047D">
        <w:rPr>
          <w:rFonts w:cs="Tahoma"/>
          <w:color w:val="000000"/>
          <w:szCs w:val="18"/>
        </w:rPr>
        <w:t xml:space="preserve"> </w:t>
      </w:r>
      <w:r w:rsidRPr="0058047D">
        <w:rPr>
          <w:rFonts w:cs="Tahoma"/>
          <w:color w:val="000000"/>
          <w:szCs w:val="18"/>
        </w:rPr>
        <w:t>La società dovrà mantenere la copertura dell</w:t>
      </w:r>
      <w:r w:rsidR="001C4212">
        <w:rPr>
          <w:rFonts w:cs="Tahoma"/>
          <w:color w:val="000000"/>
          <w:szCs w:val="18"/>
        </w:rPr>
        <w:t>’</w:t>
      </w:r>
      <w:r w:rsidRPr="0058047D">
        <w:rPr>
          <w:rFonts w:cs="Tahoma"/>
          <w:color w:val="000000"/>
          <w:szCs w:val="18"/>
        </w:rPr>
        <w:t>abbonamento in via continuativa.</w:t>
      </w:r>
      <w:r w:rsidR="00E34ED3" w:rsidRPr="0058047D">
        <w:rPr>
          <w:rFonts w:cs="Tahoma"/>
          <w:color w:val="000000"/>
          <w:szCs w:val="18"/>
        </w:rPr>
        <w:t xml:space="preserve"> </w:t>
      </w:r>
      <w:bookmarkStart w:id="1244" w:name="_Toc336338313"/>
      <w:r w:rsidRPr="0058047D">
        <w:rPr>
          <w:rFonts w:cs="Tahoma"/>
          <w:color w:val="000000"/>
          <w:szCs w:val="18"/>
        </w:rPr>
        <w:t>Tali diritti diventeranno permanenti soltanto all</w:t>
      </w:r>
      <w:r w:rsidR="001C4212">
        <w:rPr>
          <w:rFonts w:cs="Tahoma"/>
          <w:color w:val="000000"/>
          <w:szCs w:val="18"/>
        </w:rPr>
        <w:t>’</w:t>
      </w:r>
      <w:r w:rsidRPr="0058047D">
        <w:rPr>
          <w:rFonts w:cs="Tahoma"/>
          <w:color w:val="000000"/>
          <w:szCs w:val="18"/>
        </w:rPr>
        <w:t>esercizio dell</w:t>
      </w:r>
      <w:r w:rsidR="001C4212">
        <w:rPr>
          <w:rFonts w:cs="Tahoma"/>
          <w:color w:val="000000"/>
          <w:szCs w:val="18"/>
        </w:rPr>
        <w:t>’</w:t>
      </w:r>
      <w:r w:rsidRPr="0058047D">
        <w:rPr>
          <w:rFonts w:cs="Tahoma"/>
          <w:color w:val="000000"/>
          <w:szCs w:val="18"/>
        </w:rPr>
        <w:t>opzione buy-out e</w:t>
      </w:r>
      <w:r w:rsidR="007153B4">
        <w:rPr>
          <w:rFonts w:cs="Tahoma"/>
          <w:color w:val="000000"/>
          <w:szCs w:val="18"/>
        </w:rPr>
        <w:t> </w:t>
      </w:r>
      <w:r w:rsidRPr="0058047D">
        <w:rPr>
          <w:rFonts w:cs="Tahoma"/>
          <w:color w:val="000000"/>
          <w:szCs w:val="18"/>
        </w:rPr>
        <w:t>resteranno soggetti a tutte le condizioni del contratto di licenza della società.</w:t>
      </w:r>
    </w:p>
    <w:p w14:paraId="608AF854" w14:textId="77777777" w:rsidR="009D3013" w:rsidRPr="0058047D" w:rsidRDefault="009D3013" w:rsidP="00346F4B">
      <w:pPr>
        <w:numPr>
          <w:ilvl w:val="0"/>
          <w:numId w:val="103"/>
        </w:numPr>
        <w:spacing w:after="60"/>
        <w:ind w:left="1440"/>
      </w:pPr>
      <w:r w:rsidRPr="0058047D">
        <w:rPr>
          <w:rFonts w:cs="Tahoma"/>
          <w:szCs w:val="18"/>
        </w:rPr>
        <w:t>Transizioni ai Contratti Campus e School: Per quanto riguarda le società che a metà del periodo di</w:t>
      </w:r>
      <w:r w:rsidR="007153B4">
        <w:rPr>
          <w:rFonts w:cs="Tahoma"/>
          <w:szCs w:val="18"/>
        </w:rPr>
        <w:t> </w:t>
      </w:r>
      <w:r w:rsidRPr="0058047D">
        <w:rPr>
          <w:rFonts w:cs="Tahoma"/>
          <w:szCs w:val="18"/>
        </w:rPr>
        <w:t>validità effettuano la transizione dai contratti Campus e School al contratto Enrollment for Education Solutions o Open Value Subscription-Education Solutions mantenendo la copertura della sottoscrizione in via continuativa:</w:t>
      </w:r>
    </w:p>
    <w:p w14:paraId="4E65A13B" w14:textId="77777777" w:rsidR="009D3013" w:rsidRPr="00DA0170" w:rsidRDefault="009D3013" w:rsidP="00346F4B">
      <w:pPr>
        <w:pStyle w:val="ListParagraph"/>
        <w:numPr>
          <w:ilvl w:val="0"/>
          <w:numId w:val="87"/>
        </w:numPr>
        <w:spacing w:after="60"/>
        <w:ind w:left="1980"/>
        <w:contextualSpacing w:val="0"/>
        <w:rPr>
          <w:sz w:val="18"/>
          <w:szCs w:val="18"/>
        </w:rPr>
      </w:pPr>
      <w:r w:rsidRPr="00DA0170">
        <w:rPr>
          <w:rFonts w:ascii="Tahoma" w:hAnsi="Tahoma" w:cs="Tahoma"/>
          <w:sz w:val="18"/>
          <w:szCs w:val="18"/>
        </w:rPr>
        <w:t xml:space="preserve">Vengono concessi gli stessi diritti su base temporanea, ai sensi delle medesime condizioni, fino al termine, rispettivamente, del loro contratto Enrollment for Education Solutions o Open Value Subscription-Education Solutions. </w:t>
      </w:r>
    </w:p>
    <w:p w14:paraId="2BE731CC" w14:textId="77777777" w:rsidR="0073424F" w:rsidRPr="00DA0170" w:rsidRDefault="0073424F" w:rsidP="00346F4B">
      <w:pPr>
        <w:pStyle w:val="ListParagraph"/>
        <w:numPr>
          <w:ilvl w:val="0"/>
          <w:numId w:val="87"/>
        </w:numPr>
        <w:spacing w:after="60"/>
        <w:ind w:left="1980"/>
        <w:contextualSpacing w:val="0"/>
        <w:rPr>
          <w:sz w:val="18"/>
          <w:szCs w:val="18"/>
        </w:rPr>
      </w:pPr>
      <w:r w:rsidRPr="00DA0170">
        <w:rPr>
          <w:rFonts w:ascii="Tahoma" w:hAnsi="Tahoma" w:cs="Tahoma"/>
          <w:sz w:val="18"/>
          <w:szCs w:val="18"/>
        </w:rPr>
        <w:t>Tali diritti diventeranno permanenti soltanto all</w:t>
      </w:r>
      <w:r w:rsidR="001C4212">
        <w:rPr>
          <w:rFonts w:ascii="Tahoma" w:hAnsi="Tahoma" w:cs="Tahoma"/>
          <w:sz w:val="18"/>
          <w:szCs w:val="18"/>
        </w:rPr>
        <w:t>’</w:t>
      </w:r>
      <w:r w:rsidRPr="00DA0170">
        <w:rPr>
          <w:rFonts w:ascii="Tahoma" w:hAnsi="Tahoma" w:cs="Tahoma"/>
          <w:sz w:val="18"/>
          <w:szCs w:val="18"/>
        </w:rPr>
        <w:t>esercizio dell</w:t>
      </w:r>
      <w:r w:rsidR="001C4212">
        <w:rPr>
          <w:rFonts w:ascii="Tahoma" w:hAnsi="Tahoma" w:cs="Tahoma"/>
          <w:sz w:val="18"/>
          <w:szCs w:val="18"/>
        </w:rPr>
        <w:t>’</w:t>
      </w:r>
      <w:r w:rsidRPr="00DA0170">
        <w:rPr>
          <w:rFonts w:ascii="Tahoma" w:hAnsi="Tahoma" w:cs="Tahoma"/>
          <w:sz w:val="18"/>
          <w:szCs w:val="18"/>
        </w:rPr>
        <w:t>opzione buy-out e resteranno soggetti a tutte le condizioni del contratto di licenza della società.</w:t>
      </w:r>
    </w:p>
    <w:p w14:paraId="5F6E1F06" w14:textId="77777777" w:rsidR="004069A4" w:rsidRPr="0058047D" w:rsidRDefault="004069A4" w:rsidP="009D3013">
      <w:pPr>
        <w:pStyle w:val="EndnoteText"/>
        <w:ind w:left="540"/>
      </w:pPr>
    </w:p>
    <w:p w14:paraId="1EA900B3" w14:textId="77777777" w:rsidR="009D3013" w:rsidRPr="0058047D" w:rsidRDefault="009D3013" w:rsidP="009D3013">
      <w:pPr>
        <w:pStyle w:val="EndnoteText"/>
        <w:ind w:left="540"/>
      </w:pPr>
    </w:p>
    <w:p w14:paraId="548C8C7F" w14:textId="77777777" w:rsidR="004069A4" w:rsidRPr="0058047D" w:rsidRDefault="00A560B6" w:rsidP="004069A4">
      <w:pPr>
        <w:pStyle w:val="Heading3"/>
      </w:pPr>
      <w:bookmarkStart w:id="1245" w:name="_50_Exchange_Server"/>
      <w:bookmarkStart w:id="1246" w:name="_53_52_Exchange"/>
      <w:bookmarkStart w:id="1247" w:name="_58_Exchange_Server"/>
      <w:bookmarkStart w:id="1248" w:name="_Toc371663710"/>
      <w:bookmarkEnd w:id="1245"/>
      <w:bookmarkEnd w:id="1246"/>
      <w:bookmarkEnd w:id="1247"/>
      <w:r w:rsidRPr="0058047D">
        <w:rPr>
          <w:rFonts w:ascii="Tahoma" w:hAnsi="Tahoma"/>
          <w:caps/>
          <w:color w:val="F66400"/>
          <w:sz w:val="22"/>
          <w:vertAlign w:val="superscript"/>
        </w:rPr>
        <w:t>57</w:t>
      </w:r>
      <w:r w:rsidRPr="0058047D">
        <w:rPr>
          <w:rFonts w:ascii="Tahoma" w:hAnsi="Tahoma"/>
          <w:color w:val="F66400"/>
          <w:sz w:val="22"/>
        </w:rPr>
        <w:t xml:space="preserve"> Standard CAL per Exchange Server 2010</w:t>
      </w:r>
      <w:bookmarkEnd w:id="1244"/>
      <w:bookmarkEnd w:id="1248"/>
    </w:p>
    <w:bookmarkEnd w:id="1238"/>
    <w:p w14:paraId="2EF6CA31" w14:textId="77777777" w:rsidR="004069A4" w:rsidRPr="0058047D" w:rsidRDefault="004069A4" w:rsidP="004069A4"/>
    <w:p w14:paraId="4CB77C69" w14:textId="77777777" w:rsidR="004069A4" w:rsidRPr="0058047D" w:rsidRDefault="004069A4" w:rsidP="005427B6">
      <w:pPr>
        <w:spacing w:after="60"/>
        <w:ind w:left="720"/>
      </w:pPr>
      <w:r w:rsidRPr="0058047D">
        <w:rPr>
          <w:rFonts w:cs="Tahoma"/>
          <w:b/>
          <w:color w:val="000000"/>
          <w:szCs w:val="18"/>
        </w:rPr>
        <w:t>Managed Default Folders Concesso in Licenza con Exchange Server 2010 Standard CAL</w:t>
      </w:r>
    </w:p>
    <w:p w14:paraId="362CB458" w14:textId="77777777" w:rsidR="004069A4" w:rsidRPr="0058047D" w:rsidRDefault="004069A4" w:rsidP="00E62BC4">
      <w:pPr>
        <w:ind w:left="720"/>
      </w:pPr>
      <w:r w:rsidRPr="0058047D">
        <w:rPr>
          <w:rFonts w:cs="Tahoma"/>
          <w:color w:val="000000"/>
          <w:szCs w:val="18"/>
        </w:rPr>
        <w:t>Il diritto di accedere alla funzionalità Cartella Predefinita Gestita di Exchange Server 2010 è concesso ai sensi della licenza Standard CAL per Exchange Server 2010 o di licenze CAL equivalenti.</w:t>
      </w:r>
      <w:r w:rsidR="00E34ED3" w:rsidRPr="0058047D">
        <w:rPr>
          <w:rFonts w:cs="Tahoma"/>
          <w:color w:val="000000"/>
          <w:szCs w:val="18"/>
        </w:rPr>
        <w:t xml:space="preserve"> </w:t>
      </w:r>
      <w:r w:rsidRPr="0058047D">
        <w:rPr>
          <w:rFonts w:cs="Tahoma"/>
          <w:color w:val="000000"/>
          <w:szCs w:val="18"/>
        </w:rPr>
        <w:t xml:space="preserve">Per accedere alla funzionalità Managed Custom Folder occorre essere titolari di una licenza Exchange Server 2010 Enterprise CAL o CAL equivalente, ma tale condizione non deve essere soddisfatta per accedere alla funzionalità Managed Default Folder. </w:t>
      </w:r>
    </w:p>
    <w:p w14:paraId="6C0F5288" w14:textId="77777777" w:rsidR="004069A4" w:rsidRPr="0058047D" w:rsidRDefault="004069A4" w:rsidP="00E62BC4">
      <w:pPr>
        <w:ind w:left="720"/>
      </w:pPr>
    </w:p>
    <w:p w14:paraId="22DE1EF3" w14:textId="77777777" w:rsidR="00031547" w:rsidRPr="0058047D" w:rsidRDefault="00031547" w:rsidP="005427B6">
      <w:pPr>
        <w:spacing w:after="60"/>
        <w:ind w:left="720"/>
      </w:pPr>
      <w:r w:rsidRPr="0058047D">
        <w:rPr>
          <w:rFonts w:cs="Tahoma"/>
          <w:b/>
          <w:color w:val="000000"/>
          <w:szCs w:val="18"/>
        </w:rPr>
        <w:t>Funzionalità Ricerca in più cassette postali Concessa in Licenza con Exchange Server 2010 Standard CAL</w:t>
      </w:r>
    </w:p>
    <w:p w14:paraId="3E56075A" w14:textId="77777777" w:rsidR="00031547" w:rsidRPr="0058047D" w:rsidRDefault="00031547" w:rsidP="00BA1490">
      <w:pPr>
        <w:ind w:left="720"/>
      </w:pPr>
      <w:r w:rsidRPr="0058047D">
        <w:rPr>
          <w:rFonts w:cs="Tahoma"/>
          <w:bCs/>
          <w:szCs w:val="20"/>
        </w:rPr>
        <w:t>Microsoft sta aggiornando i diritti sull</w:t>
      </w:r>
      <w:r w:rsidR="001C4212">
        <w:rPr>
          <w:rFonts w:cs="Tahoma"/>
          <w:bCs/>
          <w:szCs w:val="20"/>
        </w:rPr>
        <w:t>’</w:t>
      </w:r>
      <w:r w:rsidRPr="0058047D">
        <w:rPr>
          <w:rFonts w:cs="Tahoma"/>
          <w:bCs/>
          <w:szCs w:val="20"/>
        </w:rPr>
        <w:t>utilizzo di Exchange Server 2010 per evidenziare che il diritto di accedere alla funzionalità di ricerca in più cassette postali di Exchange Server 2010 è concesso ai sensi della</w:t>
      </w:r>
      <w:r w:rsidR="00DA0170">
        <w:rPr>
          <w:rFonts w:cs="Tahoma"/>
          <w:bCs/>
          <w:szCs w:val="20"/>
        </w:rPr>
        <w:t> </w:t>
      </w:r>
      <w:r w:rsidRPr="0058047D">
        <w:rPr>
          <w:rFonts w:cs="Tahoma"/>
          <w:bCs/>
          <w:szCs w:val="20"/>
        </w:rPr>
        <w:t>licenza Standard CAL per Exchange Server 2010 e di licenze CAL equivalenti. Tale aggiornamento è</w:t>
      </w:r>
      <w:r w:rsidR="00DA0170">
        <w:rPr>
          <w:rFonts w:cs="Tahoma"/>
          <w:bCs/>
          <w:szCs w:val="20"/>
        </w:rPr>
        <w:t> </w:t>
      </w:r>
      <w:r w:rsidRPr="0058047D">
        <w:rPr>
          <w:rFonts w:cs="Tahoma"/>
          <w:bCs/>
          <w:szCs w:val="20"/>
        </w:rPr>
        <w:t>applicabile a tutte le licenze per Exchange Server 2010.</w:t>
      </w:r>
    </w:p>
    <w:p w14:paraId="0564CE95" w14:textId="77777777" w:rsidR="004D0019" w:rsidRPr="0058047D" w:rsidRDefault="004D0019" w:rsidP="00E62BC4">
      <w:pPr>
        <w:ind w:left="720"/>
      </w:pPr>
    </w:p>
    <w:p w14:paraId="0755D72A" w14:textId="77777777" w:rsidR="004069A4" w:rsidRPr="0058047D" w:rsidRDefault="004069A4" w:rsidP="005427B6">
      <w:pPr>
        <w:spacing w:after="60"/>
        <w:ind w:left="720"/>
      </w:pPr>
      <w:r w:rsidRPr="0058047D">
        <w:rPr>
          <w:rFonts w:cs="Tahoma"/>
          <w:b/>
          <w:color w:val="000000"/>
          <w:szCs w:val="18"/>
        </w:rPr>
        <w:t>CAL Solo per Studenti (Academic Open License e Academic Select)</w:t>
      </w:r>
    </w:p>
    <w:p w14:paraId="032C201B" w14:textId="77777777" w:rsidR="004069A4" w:rsidRPr="00DA0170" w:rsidRDefault="004069A4" w:rsidP="00E62BC4">
      <w:pPr>
        <w:ind w:left="720"/>
        <w:rPr>
          <w:spacing w:val="-2"/>
        </w:rPr>
      </w:pPr>
      <w:r w:rsidRPr="00DA0170">
        <w:rPr>
          <w:rFonts w:cs="Tahoma"/>
          <w:spacing w:val="-2"/>
          <w:szCs w:val="20"/>
        </w:rPr>
        <w:t>Le CAL Solo per Studenti sono limitate ai PC di proprietà dello studente titolare della licenza o ai PC di proprietà dell</w:t>
      </w:r>
      <w:r w:rsidR="001C4212">
        <w:rPr>
          <w:rFonts w:cs="Tahoma"/>
          <w:spacing w:val="-2"/>
          <w:szCs w:val="20"/>
        </w:rPr>
        <w:t>’</w:t>
      </w:r>
      <w:r w:rsidRPr="00DA0170">
        <w:rPr>
          <w:rFonts w:cs="Tahoma"/>
          <w:spacing w:val="-2"/>
          <w:szCs w:val="20"/>
        </w:rPr>
        <w:t>Istituto che siano assegnati a un singolo studente e NON siano utilizzati nei laboratori o in classe.</w:t>
      </w:r>
    </w:p>
    <w:p w14:paraId="4ED867FA" w14:textId="77777777" w:rsidR="00DD14E6" w:rsidRPr="00DA0170" w:rsidRDefault="00DD14E6" w:rsidP="005427B6">
      <w:pPr>
        <w:rPr>
          <w:sz w:val="16"/>
          <w:szCs w:val="16"/>
        </w:rPr>
      </w:pPr>
      <w:bookmarkStart w:id="1249" w:name="Srv_43ExchangeSvr07StdCAL"/>
      <w:bookmarkStart w:id="1250" w:name="Srv_44ExchangeSvr2010StdCAL"/>
    </w:p>
    <w:p w14:paraId="5F19B631" w14:textId="77777777" w:rsidR="005427B6" w:rsidRPr="00DA0170" w:rsidRDefault="005427B6" w:rsidP="005427B6">
      <w:pPr>
        <w:rPr>
          <w:sz w:val="16"/>
          <w:szCs w:val="16"/>
        </w:rPr>
      </w:pPr>
    </w:p>
    <w:p w14:paraId="786F5482" w14:textId="77777777" w:rsidR="00CC1B99" w:rsidRPr="0058047D" w:rsidRDefault="0085774C" w:rsidP="00CC1B99">
      <w:pPr>
        <w:pStyle w:val="Heading3"/>
      </w:pPr>
      <w:bookmarkStart w:id="1251" w:name="_53_Forefront_Endpoint"/>
      <w:bookmarkStart w:id="1252" w:name="_59_Forefront_Endpoint"/>
      <w:bookmarkStart w:id="1253" w:name="_Toc336338314"/>
      <w:bookmarkStart w:id="1254" w:name="_Toc371663711"/>
      <w:bookmarkStart w:id="1255" w:name="Srv_51ForfrontEndpointProtection"/>
      <w:bookmarkStart w:id="1256" w:name="Srv_50ForfrontEndpointProtection"/>
      <w:bookmarkStart w:id="1257" w:name="Srv_42ExchangeSvr07StdCAL"/>
      <w:bookmarkEnd w:id="1251"/>
      <w:bookmarkEnd w:id="1252"/>
      <w:r w:rsidRPr="0058047D">
        <w:rPr>
          <w:rFonts w:ascii="Tahoma" w:hAnsi="Tahoma"/>
          <w:caps/>
          <w:color w:val="F66400"/>
          <w:sz w:val="22"/>
          <w:vertAlign w:val="superscript"/>
        </w:rPr>
        <w:t>58</w:t>
      </w:r>
      <w:r w:rsidRPr="0058047D">
        <w:rPr>
          <w:rFonts w:ascii="Tahoma" w:hAnsi="Tahoma"/>
          <w:color w:val="F66400"/>
          <w:sz w:val="22"/>
        </w:rPr>
        <w:t xml:space="preserve"> Forefront Endpoint Protection</w:t>
      </w:r>
      <w:bookmarkEnd w:id="1253"/>
      <w:bookmarkEnd w:id="1254"/>
    </w:p>
    <w:bookmarkEnd w:id="1255"/>
    <w:bookmarkEnd w:id="1256"/>
    <w:p w14:paraId="6209EFD8" w14:textId="77777777" w:rsidR="00CC1B99" w:rsidRPr="00DA0170" w:rsidRDefault="00CC1B99" w:rsidP="00E62BC4">
      <w:pPr>
        <w:ind w:left="720"/>
        <w:rPr>
          <w:sz w:val="16"/>
          <w:szCs w:val="16"/>
        </w:rPr>
      </w:pPr>
    </w:p>
    <w:p w14:paraId="32430B9C" w14:textId="77777777" w:rsidR="008A1A57" w:rsidRPr="0058047D" w:rsidRDefault="008A1A57" w:rsidP="00E62BC4">
      <w:pPr>
        <w:tabs>
          <w:tab w:val="left" w:pos="1920"/>
        </w:tabs>
        <w:ind w:left="720"/>
      </w:pPr>
      <w:r w:rsidRPr="0058047D">
        <w:t xml:space="preserve">A partire dal 1 aprile 2012 </w:t>
      </w:r>
      <w:r w:rsidRPr="0058047D">
        <w:rPr>
          <w:rFonts w:eastAsia="Calibri" w:cs="Tahoma"/>
          <w:szCs w:val="18"/>
        </w:rPr>
        <w:t>Forefront Endpoint Protection, trattandosi di un</w:t>
      </w:r>
      <w:r w:rsidR="001C4212">
        <w:rPr>
          <w:rFonts w:eastAsia="Calibri" w:cs="Tahoma"/>
          <w:szCs w:val="18"/>
        </w:rPr>
        <w:t>’</w:t>
      </w:r>
      <w:r w:rsidRPr="0058047D">
        <w:rPr>
          <w:rFonts w:eastAsia="Calibri" w:cs="Tahoma"/>
          <w:szCs w:val="18"/>
        </w:rPr>
        <w:t xml:space="preserve">offerta per la protezione client, sarà sostituita da </w:t>
      </w:r>
      <w:r w:rsidRPr="0058047D">
        <w:t>System Center 2012 Endpoint Protection. System Center 2012 Endpoint Protection, trattandosi di un</w:t>
      </w:r>
      <w:r w:rsidR="001C4212">
        <w:t>’</w:t>
      </w:r>
      <w:r w:rsidRPr="0058047D">
        <w:t>offerta standalone, conferisce diritti sull</w:t>
      </w:r>
      <w:r w:rsidR="001C4212">
        <w:t>’</w:t>
      </w:r>
      <w:r w:rsidRPr="0058047D">
        <w:t>utilizzo solo per proteggere i dispositivi client. I</w:t>
      </w:r>
      <w:r w:rsidR="00DA0170">
        <w:t> </w:t>
      </w:r>
      <w:r w:rsidRPr="0058047D">
        <w:t>diritti sull</w:t>
      </w:r>
      <w:r w:rsidR="001C4212">
        <w:t>’</w:t>
      </w:r>
      <w:r w:rsidRPr="0058047D">
        <w:t>utilizzo per la protezione dei dispositivi server possono essere acquistati solo tramite l</w:t>
      </w:r>
      <w:r w:rsidR="001C4212">
        <w:t>’</w:t>
      </w:r>
      <w:r w:rsidRPr="0058047D">
        <w:t>acquisto di</w:t>
      </w:r>
      <w:r w:rsidR="00DA0170">
        <w:t> </w:t>
      </w:r>
      <w:r w:rsidRPr="0058047D">
        <w:t>licenze di gestione per System Center 2012 Standard o Datacenter.</w:t>
      </w:r>
    </w:p>
    <w:p w14:paraId="512126DA" w14:textId="77777777" w:rsidR="008A1A57" w:rsidRPr="00DA0170" w:rsidRDefault="008A1A57" w:rsidP="00E62BC4">
      <w:pPr>
        <w:tabs>
          <w:tab w:val="left" w:pos="1920"/>
        </w:tabs>
        <w:ind w:left="720"/>
        <w:rPr>
          <w:sz w:val="16"/>
          <w:szCs w:val="16"/>
        </w:rPr>
      </w:pPr>
    </w:p>
    <w:p w14:paraId="7FDC6876" w14:textId="77777777" w:rsidR="008A1A57" w:rsidRPr="0058047D" w:rsidRDefault="008A1A57" w:rsidP="00E62BC4">
      <w:pPr>
        <w:tabs>
          <w:tab w:val="left" w:pos="1920"/>
        </w:tabs>
        <w:ind w:left="720"/>
      </w:pPr>
      <w:r w:rsidRPr="0058047D">
        <w:rPr>
          <w:rFonts w:eastAsia="Calibri" w:cs="Tahoma"/>
          <w:szCs w:val="18"/>
        </w:rPr>
        <w:t>Gli utenti con sottoscrizioni di Forefront Endpoint Protection attive</w:t>
      </w:r>
      <w:r w:rsidRPr="0058047D">
        <w:t xml:space="preserve"> che utilizzano il servizio per proteggere </w:t>
      </w:r>
      <w:r w:rsidR="00DA0170">
        <w:t>I </w:t>
      </w:r>
      <w:r w:rsidRPr="0058047D">
        <w:t>dispositivi client possono effettuare l</w:t>
      </w:r>
      <w:r w:rsidR="001C4212">
        <w:t>’</w:t>
      </w:r>
      <w:r w:rsidRPr="0058047D">
        <w:t>aggiornamento a System Center 2012 Endpoint Protection per lo stesso scopo.</w:t>
      </w:r>
    </w:p>
    <w:p w14:paraId="45A06CF4" w14:textId="77777777" w:rsidR="008A1A57" w:rsidRPr="00DA0170" w:rsidRDefault="008A1A57" w:rsidP="00E62BC4">
      <w:pPr>
        <w:tabs>
          <w:tab w:val="left" w:pos="1920"/>
        </w:tabs>
        <w:ind w:left="720"/>
        <w:rPr>
          <w:sz w:val="16"/>
          <w:szCs w:val="16"/>
        </w:rPr>
      </w:pPr>
    </w:p>
    <w:p w14:paraId="3680B0AC" w14:textId="77777777" w:rsidR="008A1A57" w:rsidRPr="0058047D" w:rsidRDefault="008A1A57" w:rsidP="00E62BC4">
      <w:pPr>
        <w:tabs>
          <w:tab w:val="left" w:pos="1920"/>
        </w:tabs>
        <w:ind w:left="720"/>
      </w:pPr>
      <w:r w:rsidRPr="0058047D">
        <w:rPr>
          <w:rFonts w:eastAsia="Calibri" w:cs="Tahoma"/>
          <w:szCs w:val="18"/>
        </w:rPr>
        <w:t>Gli utenti con sottoscrizioni di Forefront Endpoint Protection attive</w:t>
      </w:r>
      <w:r w:rsidRPr="0058047D">
        <w:t xml:space="preserve"> che si servono del servizio per proteggere i dispositivi server potranno continuare a utilizzare il servizio Forefront Endpoint Protection.</w:t>
      </w:r>
    </w:p>
    <w:p w14:paraId="02067CC5" w14:textId="77777777" w:rsidR="008A1A57" w:rsidRPr="00DA0170" w:rsidRDefault="008A1A57" w:rsidP="00E62BC4">
      <w:pPr>
        <w:ind w:left="720"/>
        <w:rPr>
          <w:sz w:val="16"/>
          <w:szCs w:val="16"/>
        </w:rPr>
      </w:pPr>
    </w:p>
    <w:p w14:paraId="4DED5394" w14:textId="77777777" w:rsidR="008A1A57" w:rsidRPr="0058047D" w:rsidRDefault="008A1A57" w:rsidP="00E62BC4">
      <w:pPr>
        <w:ind w:left="720"/>
      </w:pPr>
      <w:r w:rsidRPr="0058047D">
        <w:rPr>
          <w:rFonts w:eastAsia="Calibri" w:cs="Tahoma"/>
          <w:szCs w:val="18"/>
        </w:rPr>
        <w:t>System Center Configuration Manager 2007 R2 o R3 è la console di gestione di Forefront Endpoint Protection 2010. Le società dovranno disporre della licenza per System Center Configuration Manager 2007 R2 o R3 per fornire funzionalità di gestione a Forefront Endpoint Protection 2010. Forefront Endpoint Protection 2010 può essere utilizzato senza funzionalità di gestione e senza dovere acquistare la licenza per System Center Configuration Manager.</w:t>
      </w:r>
      <w:r w:rsidR="00E34ED3" w:rsidRPr="0058047D">
        <w:rPr>
          <w:rFonts w:eastAsia="Calibri" w:cs="Tahoma"/>
          <w:szCs w:val="18"/>
        </w:rPr>
        <w:t xml:space="preserve"> </w:t>
      </w:r>
    </w:p>
    <w:p w14:paraId="24AC2F95" w14:textId="77777777" w:rsidR="008A1A57" w:rsidRPr="00DA0170" w:rsidRDefault="008A1A57" w:rsidP="00E62BC4">
      <w:pPr>
        <w:ind w:left="720"/>
        <w:rPr>
          <w:sz w:val="16"/>
          <w:szCs w:val="16"/>
        </w:rPr>
      </w:pPr>
    </w:p>
    <w:p w14:paraId="7CAA374C" w14:textId="77777777" w:rsidR="008A1A57" w:rsidRPr="0058047D" w:rsidRDefault="005427B6" w:rsidP="005427B6">
      <w:pPr>
        <w:spacing w:after="60"/>
        <w:ind w:left="720"/>
      </w:pPr>
      <w:r w:rsidRPr="0058047D">
        <w:rPr>
          <w:rFonts w:eastAsia="Calibri" w:cs="Tahoma"/>
          <w:b/>
          <w:szCs w:val="18"/>
        </w:rPr>
        <w:t>Home Use Program</w:t>
      </w:r>
    </w:p>
    <w:p w14:paraId="29186C73" w14:textId="77777777" w:rsidR="008A1A57" w:rsidRPr="0058047D" w:rsidRDefault="008A1A57" w:rsidP="00E62BC4">
      <w:pPr>
        <w:ind w:left="720"/>
      </w:pPr>
      <w:r w:rsidRPr="0058047D">
        <w:rPr>
          <w:rFonts w:eastAsia="Calibri" w:cs="Tahoma"/>
          <w:szCs w:val="18"/>
        </w:rPr>
        <w:t>Le società in possesso di Licenze “Subscription” per Utente attive per Forefront Endpoint Protection 2010 si qualificano per il programma Home Use Program.</w:t>
      </w:r>
    </w:p>
    <w:p w14:paraId="29054BC6" w14:textId="77777777" w:rsidR="00BA1490" w:rsidRPr="00DA0170" w:rsidRDefault="00BA1490" w:rsidP="00BA1490">
      <w:pPr>
        <w:rPr>
          <w:sz w:val="16"/>
          <w:szCs w:val="16"/>
        </w:rPr>
      </w:pPr>
      <w:bookmarkStart w:id="1258" w:name="_Toc254758297"/>
      <w:bookmarkStart w:id="1259" w:name="Srv_44ForefrontOnSecforExch"/>
      <w:bookmarkStart w:id="1260" w:name="Srv_43ForefrontOnSecforExch"/>
      <w:bookmarkEnd w:id="1249"/>
      <w:bookmarkEnd w:id="1250"/>
      <w:bookmarkEnd w:id="1257"/>
    </w:p>
    <w:p w14:paraId="4B38B628" w14:textId="77777777" w:rsidR="00BA1490" w:rsidRPr="00DA0170" w:rsidRDefault="00BA1490" w:rsidP="00BA1490">
      <w:pPr>
        <w:rPr>
          <w:sz w:val="16"/>
          <w:szCs w:val="16"/>
        </w:rPr>
      </w:pPr>
    </w:p>
    <w:p w14:paraId="59B10475" w14:textId="77777777" w:rsidR="009E4FDD" w:rsidRPr="0058047D" w:rsidRDefault="00D629A3" w:rsidP="009E4FDD">
      <w:pPr>
        <w:pStyle w:val="Heading3"/>
      </w:pPr>
      <w:bookmarkStart w:id="1261" w:name="_54_Forefront_Identity"/>
      <w:bookmarkStart w:id="1262" w:name="_60_Forefront_Identity"/>
      <w:bookmarkStart w:id="1263" w:name="_Toc336338315"/>
      <w:bookmarkStart w:id="1264" w:name="_Toc371663712"/>
      <w:bookmarkStart w:id="1265" w:name="Srv_43ForefrontIdMgr2010"/>
      <w:bookmarkStart w:id="1266" w:name="Srv_48ForefrontIdMgr2010"/>
      <w:bookmarkStart w:id="1267" w:name="Srv_45ForefrontIdMgr2010"/>
      <w:bookmarkEnd w:id="1261"/>
      <w:bookmarkEnd w:id="1262"/>
      <w:r w:rsidRPr="0058047D">
        <w:rPr>
          <w:rFonts w:ascii="Tahoma" w:hAnsi="Tahoma"/>
          <w:caps/>
          <w:color w:val="F66400"/>
          <w:sz w:val="22"/>
          <w:vertAlign w:val="superscript"/>
        </w:rPr>
        <w:t xml:space="preserve">59 </w:t>
      </w:r>
      <w:r w:rsidRPr="0058047D">
        <w:rPr>
          <w:rFonts w:ascii="Tahoma" w:hAnsi="Tahoma"/>
          <w:color w:val="F66400"/>
          <w:sz w:val="22"/>
        </w:rPr>
        <w:t>Forefront Identity Manager 2010</w:t>
      </w:r>
      <w:bookmarkEnd w:id="1258"/>
      <w:r w:rsidRPr="0058047D">
        <w:rPr>
          <w:rFonts w:ascii="Tahoma" w:hAnsi="Tahoma"/>
          <w:color w:val="F66400"/>
          <w:sz w:val="22"/>
        </w:rPr>
        <w:t xml:space="preserve"> R2</w:t>
      </w:r>
      <w:bookmarkEnd w:id="1263"/>
      <w:bookmarkEnd w:id="1264"/>
    </w:p>
    <w:bookmarkEnd w:id="1265"/>
    <w:bookmarkEnd w:id="1266"/>
    <w:bookmarkEnd w:id="1267"/>
    <w:p w14:paraId="7704D3DE" w14:textId="77777777" w:rsidR="009E4FDD" w:rsidRPr="00DA0170" w:rsidRDefault="009E4FDD" w:rsidP="009E4FDD">
      <w:pPr>
        <w:ind w:left="720"/>
        <w:rPr>
          <w:sz w:val="16"/>
          <w:szCs w:val="16"/>
        </w:rPr>
      </w:pPr>
    </w:p>
    <w:p w14:paraId="0F40E3E9" w14:textId="77777777" w:rsidR="009E4FDD" w:rsidRPr="0058047D" w:rsidRDefault="009E4FDD" w:rsidP="005427B6">
      <w:pPr>
        <w:spacing w:after="60"/>
        <w:ind w:left="720"/>
      </w:pPr>
      <w:r w:rsidRPr="0058047D">
        <w:rPr>
          <w:rFonts w:cs="Tahoma"/>
          <w:b/>
          <w:color w:val="000000"/>
          <w:szCs w:val="18"/>
        </w:rPr>
        <w:t>Versione</w:t>
      </w:r>
    </w:p>
    <w:p w14:paraId="477429A7" w14:textId="77777777" w:rsidR="009E4FDD" w:rsidRPr="0058047D" w:rsidRDefault="009E4FDD" w:rsidP="005427B6">
      <w:pPr>
        <w:ind w:left="720"/>
      </w:pPr>
      <w:r w:rsidRPr="0058047D">
        <w:rPr>
          <w:rFonts w:cs="Tahoma"/>
          <w:color w:val="000000"/>
          <w:szCs w:val="18"/>
        </w:rPr>
        <w:t>Forefront Identity Manager 2010 R2 è la versione successiva di Forefront Identity Manager 2010.</w:t>
      </w:r>
    </w:p>
    <w:p w14:paraId="4E6EB47F" w14:textId="77777777" w:rsidR="005427B6" w:rsidRPr="00DA0170" w:rsidRDefault="005427B6" w:rsidP="005427B6">
      <w:pPr>
        <w:rPr>
          <w:sz w:val="16"/>
          <w:szCs w:val="16"/>
        </w:rPr>
      </w:pPr>
    </w:p>
    <w:p w14:paraId="080F5B42" w14:textId="77777777" w:rsidR="005427B6" w:rsidRPr="00DA0170" w:rsidRDefault="005427B6" w:rsidP="005427B6">
      <w:pPr>
        <w:rPr>
          <w:sz w:val="16"/>
          <w:szCs w:val="16"/>
        </w:rPr>
      </w:pPr>
    </w:p>
    <w:p w14:paraId="502CB4C3" w14:textId="77777777" w:rsidR="00936C19" w:rsidRPr="0058047D" w:rsidRDefault="00A560B6" w:rsidP="005427B6">
      <w:pPr>
        <w:pStyle w:val="Heading2"/>
        <w:ind w:left="0"/>
      </w:pPr>
      <w:bookmarkStart w:id="1268" w:name="_55_Forefront_Identity"/>
      <w:bookmarkStart w:id="1269" w:name="_61_Forefront_Identity"/>
      <w:bookmarkStart w:id="1270" w:name="_Toc336338316"/>
      <w:bookmarkStart w:id="1271" w:name="Srv_54ForefrontIDMgrWinLiveEd"/>
      <w:bookmarkStart w:id="1272" w:name="_Toc371663713"/>
      <w:bookmarkStart w:id="1273" w:name="Srv_46ForefrontOnlineProforExch"/>
      <w:bookmarkEnd w:id="1268"/>
      <w:bookmarkEnd w:id="1269"/>
      <w:r w:rsidRPr="0058047D">
        <w:rPr>
          <w:rFonts w:ascii="Tahoma" w:hAnsi="Tahoma" w:cs="Tahoma"/>
          <w:caps/>
          <w:color w:val="F26200"/>
          <w:sz w:val="20"/>
          <w:vertAlign w:val="superscript"/>
        </w:rPr>
        <w:t>60</w:t>
      </w:r>
      <w:r w:rsidRPr="0058047D">
        <w:rPr>
          <w:rFonts w:ascii="Tahoma" w:hAnsi="Tahoma" w:cs="Tahoma"/>
          <w:color w:val="F26200"/>
        </w:rPr>
        <w:t xml:space="preserve"> </w:t>
      </w:r>
      <w:r w:rsidRPr="0058047D">
        <w:rPr>
          <w:rFonts w:ascii="Tahoma" w:hAnsi="Tahoma" w:cs="Tahoma"/>
          <w:color w:val="F26200"/>
          <w:sz w:val="22"/>
        </w:rPr>
        <w:t>Forefront Identity Manager 2010 – Windows Live Edition</w:t>
      </w:r>
      <w:bookmarkEnd w:id="1270"/>
      <w:bookmarkEnd w:id="1271"/>
      <w:bookmarkEnd w:id="1272"/>
    </w:p>
    <w:p w14:paraId="5E1F891C" w14:textId="77777777" w:rsidR="005427B6" w:rsidRPr="00DA0170" w:rsidRDefault="005427B6" w:rsidP="005427B6">
      <w:pPr>
        <w:rPr>
          <w:sz w:val="16"/>
          <w:szCs w:val="16"/>
        </w:rPr>
      </w:pPr>
    </w:p>
    <w:p w14:paraId="7ADBE311" w14:textId="77777777" w:rsidR="005D346C" w:rsidRPr="0058047D" w:rsidRDefault="005D346C" w:rsidP="005427B6">
      <w:pPr>
        <w:spacing w:after="60"/>
        <w:ind w:left="720"/>
      </w:pPr>
      <w:r w:rsidRPr="0058047D">
        <w:rPr>
          <w:rFonts w:cs="Tahoma"/>
          <w:b/>
          <w:color w:val="000000"/>
          <w:szCs w:val="18"/>
        </w:rPr>
        <w:t>Versione</w:t>
      </w:r>
    </w:p>
    <w:p w14:paraId="60A2F298" w14:textId="77777777" w:rsidR="005D346C" w:rsidRPr="0058047D" w:rsidRDefault="005D346C" w:rsidP="00E62BC4">
      <w:pPr>
        <w:ind w:left="720"/>
      </w:pPr>
      <w:r w:rsidRPr="0058047D">
        <w:rPr>
          <w:color w:val="000000"/>
        </w:rPr>
        <w:t>Forefront Identity Manager 2010 – Windows Live Edition è la versione successiva di Identity Lifecycle Manager 2007 – Windows Live Edition</w:t>
      </w:r>
    </w:p>
    <w:p w14:paraId="66418EF4" w14:textId="77777777" w:rsidR="005D484B" w:rsidRPr="00DA0170" w:rsidRDefault="005D484B" w:rsidP="003C3A72">
      <w:pPr>
        <w:rPr>
          <w:sz w:val="16"/>
          <w:szCs w:val="16"/>
        </w:rPr>
      </w:pPr>
    </w:p>
    <w:p w14:paraId="7C160965" w14:textId="77777777" w:rsidR="007B35CE" w:rsidRPr="00DA0170" w:rsidRDefault="007B35CE" w:rsidP="003C3A72">
      <w:pPr>
        <w:rPr>
          <w:sz w:val="16"/>
          <w:szCs w:val="16"/>
        </w:rPr>
      </w:pPr>
    </w:p>
    <w:p w14:paraId="747350F6" w14:textId="77777777" w:rsidR="005D484B" w:rsidRPr="0058047D" w:rsidRDefault="00A560B6" w:rsidP="005D484B">
      <w:pPr>
        <w:pStyle w:val="Heading3"/>
      </w:pPr>
      <w:bookmarkStart w:id="1274" w:name="_59_Forefront_Online"/>
      <w:bookmarkStart w:id="1275" w:name="_62_Forefront_Online"/>
      <w:bookmarkStart w:id="1276" w:name="_Toc336338317"/>
      <w:bookmarkStart w:id="1277" w:name="_Toc343596542"/>
      <w:bookmarkStart w:id="1278" w:name="_Toc371663714"/>
      <w:bookmarkEnd w:id="1274"/>
      <w:bookmarkEnd w:id="1275"/>
      <w:r w:rsidRPr="0058047D">
        <w:rPr>
          <w:rFonts w:ascii="Tahoma" w:hAnsi="Tahoma"/>
          <w:caps/>
          <w:color w:val="F66400"/>
          <w:sz w:val="22"/>
          <w:vertAlign w:val="superscript"/>
        </w:rPr>
        <w:t>61</w:t>
      </w:r>
      <w:r w:rsidRPr="0058047D">
        <w:rPr>
          <w:rFonts w:ascii="Tahoma" w:hAnsi="Tahoma"/>
          <w:color w:val="F66400"/>
          <w:sz w:val="22"/>
        </w:rPr>
        <w:t xml:space="preserve"> Forefront Online Protection for Exchange (SL per Dispositivo e Utente)</w:t>
      </w:r>
      <w:bookmarkEnd w:id="1276"/>
      <w:bookmarkEnd w:id="1277"/>
      <w:bookmarkEnd w:id="1278"/>
    </w:p>
    <w:p w14:paraId="06F5F584" w14:textId="77777777" w:rsidR="005D484B" w:rsidRPr="00DA0170" w:rsidRDefault="005D484B" w:rsidP="005D484B">
      <w:pPr>
        <w:pStyle w:val="EndnoteText"/>
        <w:tabs>
          <w:tab w:val="center" w:pos="5306"/>
        </w:tabs>
        <w:ind w:left="0"/>
        <w:rPr>
          <w:sz w:val="16"/>
          <w:szCs w:val="16"/>
        </w:rPr>
      </w:pPr>
    </w:p>
    <w:p w14:paraId="24D87E14" w14:textId="77777777" w:rsidR="005D484B" w:rsidRPr="0058047D" w:rsidRDefault="005D484B" w:rsidP="005D484B">
      <w:pPr>
        <w:spacing w:after="200" w:line="276" w:lineRule="auto"/>
        <w:ind w:left="720"/>
      </w:pPr>
      <w:r w:rsidRPr="0058047D">
        <w:rPr>
          <w:rFonts w:eastAsia="Calibri" w:cs="Tahoma"/>
          <w:bCs/>
          <w:color w:val="000000"/>
          <w:szCs w:val="18"/>
        </w:rPr>
        <w:t>Le società che dispongono di Forefront Online Security for Exchange (ex Exchange Hosted Filtering)</w:t>
      </w:r>
      <w:r w:rsidRPr="0058047D">
        <w:rPr>
          <w:rFonts w:eastAsia="Calibri" w:cs="Tahoma"/>
          <w:bCs/>
          <w:color w:val="FF0000"/>
          <w:szCs w:val="18"/>
        </w:rPr>
        <w:t xml:space="preserve"> </w:t>
      </w:r>
      <w:r w:rsidRPr="0058047D">
        <w:rPr>
          <w:rFonts w:eastAsia="Calibri" w:cs="Tahoma"/>
          <w:bCs/>
          <w:color w:val="000000"/>
          <w:szCs w:val="18"/>
        </w:rPr>
        <w:t>dovrebbero utilizzare la stessa iscrizione del contratto Select attivo, l</w:t>
      </w:r>
      <w:r w:rsidR="001C4212">
        <w:rPr>
          <w:rFonts w:eastAsia="Calibri" w:cs="Tahoma"/>
          <w:bCs/>
          <w:color w:val="000000"/>
          <w:szCs w:val="18"/>
        </w:rPr>
        <w:t>’</w:t>
      </w:r>
      <w:r w:rsidRPr="0058047D">
        <w:rPr>
          <w:rFonts w:eastAsia="Calibri" w:cs="Tahoma"/>
          <w:bCs/>
          <w:color w:val="000000"/>
          <w:szCs w:val="18"/>
        </w:rPr>
        <w:t>iscrizione del contratto Enterprise o</w:t>
      </w:r>
      <w:r w:rsidR="00DA0170">
        <w:rPr>
          <w:rFonts w:eastAsia="Calibri" w:cs="Tahoma"/>
          <w:bCs/>
          <w:color w:val="000000"/>
          <w:szCs w:val="18"/>
        </w:rPr>
        <w:t> </w:t>
      </w:r>
      <w:r w:rsidRPr="0058047D">
        <w:rPr>
          <w:rFonts w:eastAsia="Calibri" w:cs="Tahoma"/>
          <w:bCs/>
          <w:color w:val="000000"/>
          <w:szCs w:val="18"/>
        </w:rPr>
        <w:t>il</w:t>
      </w:r>
      <w:r w:rsidR="00DA0170">
        <w:rPr>
          <w:rFonts w:eastAsia="Calibri" w:cs="Tahoma"/>
          <w:bCs/>
          <w:color w:val="000000"/>
          <w:szCs w:val="18"/>
        </w:rPr>
        <w:t> </w:t>
      </w:r>
      <w:r w:rsidRPr="0058047D">
        <w:rPr>
          <w:rFonts w:eastAsia="Calibri" w:cs="Tahoma"/>
          <w:bCs/>
          <w:color w:val="000000"/>
          <w:szCs w:val="18"/>
        </w:rPr>
        <w:t>contratto Open Value per effettuare ordini successivamente all</w:t>
      </w:r>
      <w:r w:rsidR="001C4212">
        <w:rPr>
          <w:rFonts w:eastAsia="Calibri" w:cs="Tahoma"/>
          <w:bCs/>
          <w:color w:val="000000"/>
          <w:szCs w:val="18"/>
        </w:rPr>
        <w:t>’</w:t>
      </w:r>
      <w:r w:rsidRPr="0058047D">
        <w:rPr>
          <w:rFonts w:eastAsia="Calibri" w:cs="Tahoma"/>
          <w:bCs/>
          <w:color w:val="000000"/>
          <w:szCs w:val="18"/>
        </w:rPr>
        <w:t>ordine iniziale.</w:t>
      </w:r>
    </w:p>
    <w:p w14:paraId="206996CA" w14:textId="77777777" w:rsidR="005D484B" w:rsidRPr="0058047D" w:rsidRDefault="005D484B" w:rsidP="005D484B">
      <w:pPr>
        <w:ind w:left="720"/>
      </w:pPr>
      <w:r w:rsidRPr="0058047D">
        <w:rPr>
          <w:rFonts w:cs="Tahoma"/>
          <w:bCs/>
          <w:color w:val="000000"/>
          <w:szCs w:val="18"/>
        </w:rPr>
        <w:t>Poiché questo servizio online viene erogato in base al dominio, tutti gli utenti (o i dispositivi) di qualunque dominio interessato devono disporre di SL per Utente (o Dispositivo).</w:t>
      </w:r>
      <w:r w:rsidR="00E34ED3" w:rsidRPr="0058047D">
        <w:rPr>
          <w:rFonts w:cs="Tahoma"/>
          <w:bCs/>
          <w:color w:val="000000"/>
          <w:szCs w:val="18"/>
        </w:rPr>
        <w:t xml:space="preserve"> </w:t>
      </w:r>
      <w:r w:rsidRPr="0058047D">
        <w:rPr>
          <w:rFonts w:cs="Tahoma"/>
          <w:bCs/>
          <w:color w:val="000000"/>
          <w:szCs w:val="18"/>
        </w:rPr>
        <w:t>Le società che desiderano che il servizio sia erogato a un sottoinsieme dei loro utenti (o dei loro dispositivi) possono creare sottodomini per un</w:t>
      </w:r>
      <w:r w:rsidR="001C4212">
        <w:rPr>
          <w:rFonts w:cs="Tahoma"/>
          <w:bCs/>
          <w:color w:val="000000"/>
          <w:szCs w:val="18"/>
        </w:rPr>
        <w:t>’</w:t>
      </w:r>
      <w:r w:rsidRPr="0058047D">
        <w:rPr>
          <w:rFonts w:cs="Tahoma"/>
          <w:bCs/>
          <w:color w:val="000000"/>
          <w:szCs w:val="18"/>
        </w:rPr>
        <w:t>erogazione del servizio più mirata. Solo gli utenti (o i dispositivi) che rientrano nel sottodominio incluso devono disporre di SL per Utente (o Dispositivo).</w:t>
      </w:r>
    </w:p>
    <w:p w14:paraId="0DCA8ED7" w14:textId="77777777" w:rsidR="005D484B" w:rsidRPr="00DA0170" w:rsidRDefault="005D484B" w:rsidP="005D484B">
      <w:pPr>
        <w:pStyle w:val="EndnoteText"/>
        <w:ind w:left="720"/>
        <w:rPr>
          <w:sz w:val="16"/>
          <w:szCs w:val="16"/>
        </w:rPr>
      </w:pPr>
    </w:p>
    <w:p w14:paraId="2ED67E36" w14:textId="77777777" w:rsidR="005D484B" w:rsidRPr="0058047D" w:rsidRDefault="005D484B" w:rsidP="003C3A72">
      <w:pPr>
        <w:pStyle w:val="PlainText"/>
        <w:ind w:left="720"/>
      </w:pPr>
      <w:r w:rsidRPr="0058047D">
        <w:rPr>
          <w:rFonts w:ascii="Tahoma" w:hAnsi="Tahoma" w:cs="Tahoma"/>
          <w:bCs/>
          <w:color w:val="000000"/>
          <w:sz w:val="18"/>
          <w:szCs w:val="20"/>
        </w:rPr>
        <w:t>Le società dovranno fare riferimento all</w:t>
      </w:r>
      <w:r w:rsidR="001C4212">
        <w:rPr>
          <w:rFonts w:ascii="Tahoma" w:hAnsi="Tahoma" w:cs="Tahoma"/>
          <w:bCs/>
          <w:color w:val="000000"/>
          <w:sz w:val="18"/>
          <w:szCs w:val="20"/>
        </w:rPr>
        <w:t>’</w:t>
      </w:r>
      <w:hyperlink w:anchor="_Section_10_–" w:history="1">
        <w:r w:rsidRPr="0058047D">
          <w:rPr>
            <w:rStyle w:val="Hyperlink"/>
            <w:rFonts w:ascii="Tahoma" w:hAnsi="Tahoma" w:cs="Tahoma"/>
            <w:sz w:val="18"/>
          </w:rPr>
          <w:t>Articolo 10</w:t>
        </w:r>
      </w:hyperlink>
      <w:r w:rsidRPr="0058047D">
        <w:rPr>
          <w:rFonts w:ascii="Tahoma" w:hAnsi="Tahoma" w:cs="Tahoma"/>
          <w:bCs/>
          <w:color w:val="000000"/>
          <w:sz w:val="18"/>
          <w:szCs w:val="20"/>
        </w:rPr>
        <w:t xml:space="preserve"> per i prezzi dei servizi online e le condizioni di pagamento. </w:t>
      </w:r>
    </w:p>
    <w:p w14:paraId="75B4A89E" w14:textId="77777777" w:rsidR="005D346C" w:rsidRPr="0058047D" w:rsidRDefault="005D346C" w:rsidP="005D346C"/>
    <w:p w14:paraId="2EB5AEC9" w14:textId="77777777" w:rsidR="00273685" w:rsidRPr="0058047D" w:rsidRDefault="00A560B6" w:rsidP="00273685">
      <w:pPr>
        <w:pStyle w:val="Heading3"/>
        <w:ind w:left="270" w:hanging="270"/>
      </w:pPr>
      <w:bookmarkStart w:id="1279" w:name="_54_Forefront_Protection"/>
      <w:bookmarkStart w:id="1280" w:name="_55_Forefront_Protection"/>
      <w:bookmarkStart w:id="1281" w:name="_60_Forefront_Protection"/>
      <w:bookmarkStart w:id="1282" w:name="_63_Forefront_Protection"/>
      <w:bookmarkStart w:id="1283" w:name="_Toc336338318"/>
      <w:bookmarkStart w:id="1284" w:name="_Toc371663715"/>
      <w:bookmarkStart w:id="1285" w:name="Srv_44ForefrontSecforExcSharep"/>
      <w:bookmarkStart w:id="1286" w:name="Srv_45ForefrontSecforExcSharep"/>
      <w:bookmarkStart w:id="1287" w:name="Srv_48ForefrontProtectionSuite"/>
      <w:bookmarkEnd w:id="1259"/>
      <w:bookmarkEnd w:id="1260"/>
      <w:bookmarkEnd w:id="1273"/>
      <w:bookmarkEnd w:id="1279"/>
      <w:bookmarkEnd w:id="1280"/>
      <w:bookmarkEnd w:id="1281"/>
      <w:bookmarkEnd w:id="1282"/>
      <w:r w:rsidRPr="0058047D">
        <w:rPr>
          <w:rFonts w:ascii="Tahoma" w:hAnsi="Tahoma"/>
          <w:caps/>
          <w:color w:val="F66400"/>
          <w:sz w:val="22"/>
          <w:vertAlign w:val="superscript"/>
        </w:rPr>
        <w:t>62</w:t>
      </w:r>
      <w:r w:rsidRPr="0058047D">
        <w:rPr>
          <w:rFonts w:ascii="Tahoma" w:hAnsi="Tahoma"/>
          <w:color w:val="F66400"/>
          <w:sz w:val="22"/>
        </w:rPr>
        <w:t xml:space="preserve"> Forefront Protection 2010 for Exchange Server (SL per Dispositivo e Utente), Forefront Protection 2010 for SharePoint (SL per Dispositivo e Utente)</w:t>
      </w:r>
      <w:bookmarkEnd w:id="1283"/>
      <w:r w:rsidRPr="0058047D">
        <w:rPr>
          <w:rFonts w:ascii="Tahoma" w:hAnsi="Tahoma"/>
          <w:color w:val="F66400"/>
          <w:sz w:val="22"/>
        </w:rPr>
        <w:t xml:space="preserve"> e</w:t>
      </w:r>
      <w:r w:rsidR="00DA0170">
        <w:rPr>
          <w:rFonts w:ascii="Tahoma" w:hAnsi="Tahoma"/>
          <w:color w:val="F66400"/>
          <w:sz w:val="22"/>
        </w:rPr>
        <w:t> </w:t>
      </w:r>
      <w:r w:rsidRPr="0058047D">
        <w:rPr>
          <w:rFonts w:ascii="Tahoma" w:hAnsi="Tahoma"/>
          <w:color w:val="F66400"/>
          <w:sz w:val="22"/>
        </w:rPr>
        <w:t>Forefront</w:t>
      </w:r>
      <w:r w:rsidR="00DA0170">
        <w:rPr>
          <w:rFonts w:ascii="Tahoma" w:hAnsi="Tahoma"/>
          <w:color w:val="F66400"/>
          <w:sz w:val="22"/>
        </w:rPr>
        <w:t> </w:t>
      </w:r>
      <w:r w:rsidRPr="0058047D">
        <w:rPr>
          <w:rFonts w:ascii="Tahoma" w:hAnsi="Tahoma"/>
          <w:color w:val="F66400"/>
          <w:sz w:val="22"/>
        </w:rPr>
        <w:t>Protection 2010 per siti Internet (SL Add-on SL)</w:t>
      </w:r>
      <w:bookmarkEnd w:id="1284"/>
    </w:p>
    <w:bookmarkEnd w:id="1285"/>
    <w:bookmarkEnd w:id="1286"/>
    <w:p w14:paraId="0AFF1264" w14:textId="77777777" w:rsidR="00273685" w:rsidRPr="0058047D" w:rsidRDefault="00273685" w:rsidP="00273685">
      <w:pPr>
        <w:ind w:left="720"/>
      </w:pPr>
    </w:p>
    <w:p w14:paraId="767130BC" w14:textId="77777777" w:rsidR="00273685" w:rsidRPr="0058047D" w:rsidRDefault="00273685" w:rsidP="00273685">
      <w:pPr>
        <w:ind w:left="720"/>
      </w:pPr>
      <w:r w:rsidRPr="0058047D">
        <w:rPr>
          <w:rFonts w:cs="Tahoma"/>
          <w:bCs/>
          <w:color w:val="000000"/>
          <w:szCs w:val="18"/>
        </w:rPr>
        <w:t>Forefront Protection 2010 for SharePoint, Forefront Protection 2010 for Exchange Server e Forefront Protection 2010 per Siti Internet non saranno più disponibili a partire dal 1 dicembre 2012. Le società che disporranno di sottoscrizioni attive dei servizi online alla data del 30 novembre 2012 potranno continuare a</w:t>
      </w:r>
      <w:r w:rsidR="00DA0170">
        <w:rPr>
          <w:rFonts w:cs="Tahoma"/>
          <w:bCs/>
          <w:color w:val="000000"/>
          <w:szCs w:val="18"/>
        </w:rPr>
        <w:t> </w:t>
      </w:r>
      <w:r w:rsidRPr="0058047D">
        <w:rPr>
          <w:rFonts w:cs="Tahoma"/>
          <w:bCs/>
          <w:color w:val="000000"/>
          <w:szCs w:val="18"/>
        </w:rPr>
        <w:t xml:space="preserve">utilizzare i servizi online fino al 31 dicembre 2015. </w:t>
      </w:r>
      <w:r w:rsidRPr="0058047D">
        <w:t>Le società esistenti potranno inoltre aggiungere nuovi utenti in base alle proprie esigenze senza dovere ordinare Licenze “Subscription” per Utente aggiuntive.</w:t>
      </w:r>
      <w:r w:rsidR="00E34ED3" w:rsidRPr="0058047D">
        <w:t xml:space="preserve"> </w:t>
      </w:r>
      <w:r w:rsidRPr="0058047D">
        <w:rPr>
          <w:rFonts w:cs="Tahoma"/>
          <w:bCs/>
          <w:color w:val="000000"/>
          <w:szCs w:val="18"/>
        </w:rPr>
        <w:t>L</w:t>
      </w:r>
      <w:r w:rsidR="001C4212">
        <w:rPr>
          <w:rFonts w:cs="Tahoma"/>
          <w:bCs/>
          <w:color w:val="000000"/>
          <w:szCs w:val="18"/>
        </w:rPr>
        <w:t>’</w:t>
      </w:r>
      <w:r w:rsidRPr="0058047D">
        <w:rPr>
          <w:rFonts w:cs="Tahoma"/>
          <w:bCs/>
          <w:color w:val="000000"/>
          <w:szCs w:val="18"/>
        </w:rPr>
        <w:t xml:space="preserve">utilizzo continuato dei servizi online rimane soggetto alle condizioni del Contratto Multilicenza della società, ai diritti di utilizzo del prodotto relativi al servizio online e alle presenti condizioni. </w:t>
      </w:r>
    </w:p>
    <w:p w14:paraId="6F679527" w14:textId="77777777" w:rsidR="00273685" w:rsidRPr="0058047D" w:rsidRDefault="00273685" w:rsidP="00273685">
      <w:pPr>
        <w:ind w:left="720"/>
      </w:pPr>
    </w:p>
    <w:p w14:paraId="73D1F8EB" w14:textId="77777777" w:rsidR="00273685" w:rsidRPr="0058047D" w:rsidRDefault="00273685" w:rsidP="001760D6">
      <w:pPr>
        <w:keepNext/>
        <w:spacing w:after="60"/>
        <w:ind w:left="720"/>
      </w:pPr>
      <w:r w:rsidRPr="0058047D">
        <w:rPr>
          <w:rFonts w:cs="Tahoma"/>
          <w:b/>
          <w:szCs w:val="20"/>
        </w:rPr>
        <w:t>Diritto di Migrazione per Forefront Protection 2010 for Exchange Server</w:t>
      </w:r>
    </w:p>
    <w:p w14:paraId="59474409" w14:textId="77777777" w:rsidR="00273685" w:rsidRPr="0058047D" w:rsidRDefault="00273685" w:rsidP="00221A57">
      <w:pPr>
        <w:ind w:left="720"/>
      </w:pPr>
      <w:r w:rsidRPr="0058047D">
        <w:rPr>
          <w:rFonts w:cs="Tahoma"/>
          <w:color w:val="000000"/>
          <w:szCs w:val="20"/>
        </w:rPr>
        <w:t>Le società che hanno stipulato un Contratto Multilicenza e che hanno acquistato una licenza per Forefront Protection 2010 for Exchange Server sono idonee a utilizzare Antigen for Exchange, Antigen for SMTP Gateways e Antigen Spam Manager al posto di Forefront Protection 2010 for Exchange Server. L</w:t>
      </w:r>
      <w:r w:rsidR="001C4212">
        <w:rPr>
          <w:rFonts w:cs="Tahoma"/>
          <w:color w:val="000000"/>
          <w:szCs w:val="20"/>
        </w:rPr>
        <w:t>’</w:t>
      </w:r>
      <w:r w:rsidRPr="0058047D">
        <w:rPr>
          <w:rFonts w:cs="Tahoma"/>
          <w:color w:val="000000"/>
          <w:szCs w:val="20"/>
        </w:rPr>
        <w:t>utilizzo di Antigen for Exchange, Antigen for SMTP Gateways e Antigen Spam Manager è soggetto al relativo contratto di licenza e ai diritti sull</w:t>
      </w:r>
      <w:r w:rsidR="001C4212">
        <w:rPr>
          <w:rFonts w:cs="Tahoma"/>
          <w:color w:val="000000"/>
          <w:szCs w:val="20"/>
        </w:rPr>
        <w:t>’</w:t>
      </w:r>
      <w:r w:rsidRPr="0058047D">
        <w:rPr>
          <w:rFonts w:cs="Tahoma"/>
          <w:color w:val="000000"/>
          <w:szCs w:val="20"/>
        </w:rPr>
        <w:t>utilizzo di Forefront Protection 2010 for Exchange Server.* I diritti delle società di utilizzare Antigen for Exchange, Antigen for SMTP Gateways e Antigen Spam Manager cesseranno alla scadenza dei diritti concessi dalla loro licenza per Forefront Protection 2010 for Exchange Server.</w:t>
      </w:r>
    </w:p>
    <w:p w14:paraId="1E09E011" w14:textId="77777777" w:rsidR="00273685" w:rsidRPr="0058047D" w:rsidRDefault="00273685" w:rsidP="00221A57">
      <w:pPr>
        <w:ind w:left="720"/>
      </w:pPr>
    </w:p>
    <w:p w14:paraId="7BE5BAFF" w14:textId="77777777" w:rsidR="00273685" w:rsidRPr="0058047D" w:rsidRDefault="00273685" w:rsidP="00221A57">
      <w:pPr>
        <w:ind w:left="720"/>
      </w:pPr>
      <w:r w:rsidRPr="0058047D">
        <w:rPr>
          <w:rFonts w:cs="Tahoma"/>
          <w:color w:val="000000"/>
          <w:szCs w:val="20"/>
        </w:rPr>
        <w:t>*Il diritto di utilizzo di Antigen al posto di Forefront Security non si applica alle società che hanno inizialmente acquistato licenze per uno o più servizi Antigen e che successivamente migrano a Forefront Protection 2010 for Exchange Server. Ad esempio, le società titolari di una licenza Antigen for Exchange non</w:t>
      </w:r>
      <w:r w:rsidR="00DA0170">
        <w:rPr>
          <w:rFonts w:cs="Tahoma"/>
          <w:color w:val="000000"/>
          <w:szCs w:val="20"/>
        </w:rPr>
        <w:t> </w:t>
      </w:r>
      <w:r w:rsidRPr="0058047D">
        <w:rPr>
          <w:rFonts w:cs="Tahoma"/>
          <w:color w:val="000000"/>
          <w:szCs w:val="20"/>
        </w:rPr>
        <w:t>sono autorizzate a utilizzare Antigen for SMTP Gateways o Antigen Spam Manager nell</w:t>
      </w:r>
      <w:r w:rsidR="001C4212">
        <w:rPr>
          <w:rFonts w:cs="Tahoma"/>
          <w:color w:val="000000"/>
          <w:szCs w:val="20"/>
        </w:rPr>
        <w:t>’</w:t>
      </w:r>
      <w:r w:rsidRPr="0058047D">
        <w:rPr>
          <w:rFonts w:cs="Tahoma"/>
          <w:color w:val="000000"/>
          <w:szCs w:val="20"/>
        </w:rPr>
        <w:t>ambito delle rispettive licenze Antigen for Exchange ai sensi dei diritti di migrazione a Forefront Protection 2010 for Exchange Server previsti da tale licenza.</w:t>
      </w:r>
      <w:r w:rsidR="00E34ED3" w:rsidRPr="0058047D">
        <w:rPr>
          <w:rFonts w:cs="Tahoma"/>
          <w:color w:val="000000"/>
          <w:szCs w:val="20"/>
        </w:rPr>
        <w:t xml:space="preserve"> </w:t>
      </w:r>
    </w:p>
    <w:p w14:paraId="3743CC23" w14:textId="77777777" w:rsidR="00D57009" w:rsidRPr="0058047D" w:rsidRDefault="00D57009"/>
    <w:p w14:paraId="3EFB2C2A" w14:textId="77777777" w:rsidR="00273685" w:rsidRPr="0058047D" w:rsidRDefault="00273685" w:rsidP="007B35CE">
      <w:pPr>
        <w:keepNext/>
        <w:spacing w:after="60"/>
        <w:ind w:left="720"/>
      </w:pPr>
      <w:r w:rsidRPr="0058047D">
        <w:rPr>
          <w:rFonts w:cs="Tahoma"/>
          <w:b/>
          <w:szCs w:val="20"/>
        </w:rPr>
        <w:t>Diritto di Downgrade per Forefront Security for SharePoint</w:t>
      </w:r>
    </w:p>
    <w:p w14:paraId="44DA0BBE" w14:textId="77777777" w:rsidR="00273685" w:rsidRPr="0058047D" w:rsidRDefault="00273685" w:rsidP="00221A57">
      <w:pPr>
        <w:ind w:left="720"/>
      </w:pPr>
      <w:r w:rsidRPr="0058047D">
        <w:rPr>
          <w:rFonts w:cs="Tahoma"/>
          <w:szCs w:val="20"/>
        </w:rPr>
        <w:t>Le società che hanno stipulato Contratti Multilicenza e che hanno acquistato una licenza per Forefront Protection 2010 for SharePoint sono idonee a effettuare il downgrade a e utilizzare Antigen for SharePoint al</w:t>
      </w:r>
      <w:r w:rsidR="00DA0170">
        <w:rPr>
          <w:rFonts w:cs="Tahoma"/>
          <w:szCs w:val="20"/>
        </w:rPr>
        <w:t> </w:t>
      </w:r>
      <w:r w:rsidRPr="0058047D">
        <w:rPr>
          <w:rFonts w:cs="Tahoma"/>
          <w:szCs w:val="20"/>
        </w:rPr>
        <w:t>posto delle licenze per Forefront Protection 2010 for SharePoint. L</w:t>
      </w:r>
      <w:r w:rsidR="001C4212">
        <w:rPr>
          <w:rFonts w:cs="Tahoma"/>
          <w:szCs w:val="20"/>
        </w:rPr>
        <w:t>’</w:t>
      </w:r>
      <w:r w:rsidRPr="0058047D">
        <w:rPr>
          <w:rFonts w:cs="Tahoma"/>
          <w:szCs w:val="20"/>
        </w:rPr>
        <w:t>utilizzo di Antigen for SharePoint è</w:t>
      </w:r>
      <w:r w:rsidR="00DA0170">
        <w:rPr>
          <w:rFonts w:cs="Tahoma"/>
          <w:szCs w:val="20"/>
        </w:rPr>
        <w:t> </w:t>
      </w:r>
      <w:r w:rsidRPr="0058047D">
        <w:rPr>
          <w:rFonts w:cs="Tahoma"/>
          <w:szCs w:val="20"/>
        </w:rPr>
        <w:t>soggetto alle condizioni del contratto di licenza e ai diritti di utilizzo di Forefront Protection 2010 for SharePoint. I diritti delle società di utilizzare Antigen for SharePoint cesseranno alla scadenza dei diritti della</w:t>
      </w:r>
      <w:r w:rsidR="00DA0170">
        <w:rPr>
          <w:rFonts w:cs="Tahoma"/>
          <w:szCs w:val="20"/>
        </w:rPr>
        <w:t> </w:t>
      </w:r>
      <w:r w:rsidRPr="0058047D">
        <w:rPr>
          <w:rFonts w:cs="Tahoma"/>
          <w:szCs w:val="20"/>
        </w:rPr>
        <w:t>licenza Forefront Protection 2010 for SharePoint.</w:t>
      </w:r>
    </w:p>
    <w:p w14:paraId="7C01529C" w14:textId="77777777" w:rsidR="00273685" w:rsidRPr="0058047D" w:rsidRDefault="00273685" w:rsidP="00221A57">
      <w:pPr>
        <w:ind w:left="720"/>
      </w:pPr>
    </w:p>
    <w:p w14:paraId="59CB1BAA" w14:textId="77777777" w:rsidR="00273685" w:rsidRPr="0058047D" w:rsidRDefault="00273685" w:rsidP="00221A57">
      <w:pPr>
        <w:ind w:left="720"/>
      </w:pPr>
      <w:r w:rsidRPr="0058047D">
        <w:rPr>
          <w:rFonts w:cs="Tahoma"/>
          <w:bCs/>
          <w:color w:val="000000"/>
          <w:szCs w:val="20"/>
        </w:rPr>
        <w:t>Tutti gli utenti (o i dispositivi) che accedono a un server protetto devono disporre di licenze SL per Utente (o</w:t>
      </w:r>
      <w:r w:rsidR="00DA0170">
        <w:rPr>
          <w:rFonts w:cs="Tahoma"/>
          <w:bCs/>
          <w:color w:val="000000"/>
          <w:szCs w:val="20"/>
        </w:rPr>
        <w:t> </w:t>
      </w:r>
      <w:r w:rsidRPr="0058047D">
        <w:rPr>
          <w:rFonts w:cs="Tahoma"/>
          <w:bCs/>
          <w:color w:val="000000"/>
          <w:szCs w:val="20"/>
        </w:rPr>
        <w:t>Dispositivo), a meno che non siano in possesso di una licenza External Connector per Forefront for Exchange o di una licenza SL Add-on per Forefront Security for SharePoint per Siti Internet.</w:t>
      </w:r>
    </w:p>
    <w:p w14:paraId="5FF11F4C" w14:textId="77777777" w:rsidR="00273685" w:rsidRPr="0058047D" w:rsidRDefault="00273685" w:rsidP="00221A57">
      <w:pPr>
        <w:pStyle w:val="EndnoteText"/>
        <w:ind w:left="720"/>
      </w:pPr>
    </w:p>
    <w:p w14:paraId="404A9EF2" w14:textId="77777777" w:rsidR="00023FE7" w:rsidRPr="0058047D" w:rsidRDefault="00273685" w:rsidP="00221A57">
      <w:pPr>
        <w:pStyle w:val="EndnoteText"/>
        <w:ind w:left="720"/>
      </w:pPr>
      <w:r w:rsidRPr="0058047D">
        <w:rPr>
          <w:rFonts w:ascii="Tahoma" w:hAnsi="Tahoma" w:cs="Tahoma"/>
          <w:bCs/>
          <w:color w:val="000000"/>
          <w:sz w:val="18"/>
          <w:szCs w:val="20"/>
        </w:rPr>
        <w:t>Le società dovranno fare riferimento all</w:t>
      </w:r>
      <w:r w:rsidR="001C4212">
        <w:rPr>
          <w:rFonts w:ascii="Tahoma" w:hAnsi="Tahoma" w:cs="Tahoma"/>
          <w:bCs/>
          <w:color w:val="000000"/>
          <w:sz w:val="18"/>
          <w:szCs w:val="20"/>
        </w:rPr>
        <w:t>’</w:t>
      </w:r>
      <w:hyperlink w:anchor="_Section_10_–" w:history="1">
        <w:r w:rsidRPr="0058047D">
          <w:rPr>
            <w:rStyle w:val="Hyperlink"/>
            <w:rFonts w:ascii="Tahoma" w:hAnsi="Tahoma" w:cs="Tahoma"/>
            <w:sz w:val="18"/>
          </w:rPr>
          <w:t>Articolo 10</w:t>
        </w:r>
      </w:hyperlink>
      <w:r w:rsidRPr="0058047D">
        <w:rPr>
          <w:rFonts w:ascii="Tahoma" w:hAnsi="Tahoma" w:cs="Tahoma"/>
          <w:bCs/>
          <w:color w:val="000000"/>
          <w:sz w:val="18"/>
          <w:szCs w:val="20"/>
        </w:rPr>
        <w:t xml:space="preserve"> per i prezzi dei servizi online e le condizioni di pagamento.</w:t>
      </w:r>
    </w:p>
    <w:p w14:paraId="09C078D1" w14:textId="77777777" w:rsidR="00273685" w:rsidRPr="0058047D" w:rsidRDefault="00273685" w:rsidP="00273685">
      <w:pPr>
        <w:pStyle w:val="EndnoteText"/>
      </w:pPr>
    </w:p>
    <w:p w14:paraId="37E7A7AB" w14:textId="77777777" w:rsidR="00586FCE" w:rsidRPr="0058047D" w:rsidRDefault="00586FCE" w:rsidP="00273685">
      <w:pPr>
        <w:pStyle w:val="EndnoteText"/>
      </w:pPr>
    </w:p>
    <w:p w14:paraId="4D18185F" w14:textId="77777777" w:rsidR="00796FF5" w:rsidRPr="0058047D" w:rsidRDefault="00A560B6" w:rsidP="00796FF5">
      <w:pPr>
        <w:pStyle w:val="Heading3"/>
      </w:pPr>
      <w:bookmarkStart w:id="1288" w:name="_61_Forefront_Protection"/>
      <w:bookmarkStart w:id="1289" w:name="_64_Forefront_Protection"/>
      <w:bookmarkStart w:id="1290" w:name="_Toc336338319"/>
      <w:bookmarkStart w:id="1291" w:name="_Toc371663716"/>
      <w:bookmarkStart w:id="1292" w:name="Srv_45ForefrontSecfoOffComm"/>
      <w:bookmarkStart w:id="1293" w:name="Srv_46ForefrontSecfoOffComm"/>
      <w:bookmarkEnd w:id="1288"/>
      <w:bookmarkEnd w:id="1289"/>
      <w:r w:rsidRPr="0058047D">
        <w:rPr>
          <w:rFonts w:ascii="Tahoma" w:hAnsi="Tahoma"/>
          <w:caps/>
          <w:color w:val="F66400"/>
          <w:sz w:val="22"/>
          <w:vertAlign w:val="superscript"/>
        </w:rPr>
        <w:t>63</w:t>
      </w:r>
      <w:r w:rsidRPr="0058047D">
        <w:rPr>
          <w:rFonts w:ascii="Tahoma" w:hAnsi="Tahoma"/>
          <w:color w:val="F66400"/>
          <w:sz w:val="22"/>
        </w:rPr>
        <w:t xml:space="preserve"> Forefront Protection Suite (Dispositivo e Utente)</w:t>
      </w:r>
      <w:bookmarkEnd w:id="1290"/>
      <w:bookmarkEnd w:id="1291"/>
    </w:p>
    <w:bookmarkEnd w:id="1287"/>
    <w:p w14:paraId="306BD8C4" w14:textId="77777777" w:rsidR="00796FF5" w:rsidRPr="0058047D" w:rsidRDefault="00796FF5" w:rsidP="00796FF5"/>
    <w:p w14:paraId="3467B264" w14:textId="77777777" w:rsidR="009115D6" w:rsidRPr="00DA0170" w:rsidRDefault="009115D6" w:rsidP="00796FF5">
      <w:pPr>
        <w:ind w:left="720"/>
        <w:rPr>
          <w:spacing w:val="-2"/>
        </w:rPr>
      </w:pPr>
      <w:r w:rsidRPr="00DA0170">
        <w:rPr>
          <w:rFonts w:cs="Tahoma"/>
          <w:bCs/>
          <w:color w:val="000000"/>
          <w:spacing w:val="-2"/>
          <w:szCs w:val="18"/>
        </w:rPr>
        <w:t>Forefront Protection Suite non sarà più disponibile a partire dal 1 dicembre 2012. Le società con abbonamenti attivi al servizio online in data 30 novembre 2012 potranno continuare a utilizzare i servizi online dei componenti fino alla scadenza dell</w:t>
      </w:r>
      <w:r w:rsidR="001C4212">
        <w:rPr>
          <w:rFonts w:cs="Tahoma"/>
          <w:bCs/>
          <w:color w:val="000000"/>
          <w:spacing w:val="-2"/>
          <w:szCs w:val="18"/>
        </w:rPr>
        <w:t>’</w:t>
      </w:r>
      <w:r w:rsidRPr="00DA0170">
        <w:rPr>
          <w:rFonts w:cs="Tahoma"/>
          <w:bCs/>
          <w:color w:val="000000"/>
          <w:spacing w:val="-2"/>
          <w:szCs w:val="18"/>
        </w:rPr>
        <w:t>abbonamento.</w:t>
      </w:r>
      <w:r w:rsidR="00E34ED3" w:rsidRPr="00DA0170">
        <w:rPr>
          <w:rFonts w:cs="Tahoma"/>
          <w:bCs/>
          <w:color w:val="000000"/>
          <w:spacing w:val="-2"/>
          <w:szCs w:val="18"/>
        </w:rPr>
        <w:t xml:space="preserve"> </w:t>
      </w:r>
      <w:r w:rsidRPr="00DA0170">
        <w:rPr>
          <w:rFonts w:cs="Tahoma"/>
          <w:bCs/>
          <w:color w:val="000000"/>
          <w:spacing w:val="-2"/>
          <w:szCs w:val="18"/>
        </w:rPr>
        <w:t xml:space="preserve">Tali società potranno inoltre continuare a utilizzare i componenti </w:t>
      </w:r>
      <w:r w:rsidRPr="00DA0170">
        <w:rPr>
          <w:rFonts w:cs="Tahoma"/>
          <w:color w:val="000000"/>
          <w:spacing w:val="-2"/>
          <w:szCs w:val="20"/>
        </w:rPr>
        <w:t xml:space="preserve">Forefront Security for Office Communications Server, Forefront Protection 2010 for Exchange Server, Forefront Threat Management Gateway Web Protection Service e Forefront Protection 2010 for SharePoint Server </w:t>
      </w:r>
      <w:r w:rsidRPr="00DA0170">
        <w:rPr>
          <w:rFonts w:cs="Tahoma"/>
          <w:bCs/>
          <w:color w:val="000000"/>
          <w:spacing w:val="-2"/>
          <w:szCs w:val="18"/>
        </w:rPr>
        <w:t xml:space="preserve">della famiglia di prodotti fino al 31 dicembre 2015. </w:t>
      </w:r>
      <w:r w:rsidRPr="00DA0170">
        <w:rPr>
          <w:spacing w:val="-2"/>
        </w:rPr>
        <w:t>Le società esistenti potranno inoltre aggiungere nuovi utenti in base alle proprie esigenze per Forefront Security for Office Communications Server, Forefront Protection 2010 for Exchange Server, Forefront Threat Management Gateway Web Protection Service e Forefront Protection for SharePoint Server senza dovere ordinare Licenze “Subscription” per Utente aggiuntive.</w:t>
      </w:r>
      <w:r w:rsidRPr="00DA0170">
        <w:rPr>
          <w:rFonts w:cs="Tahoma"/>
          <w:bCs/>
          <w:spacing w:val="-2"/>
          <w:szCs w:val="18"/>
        </w:rPr>
        <w:t xml:space="preserve"> </w:t>
      </w:r>
      <w:r w:rsidRPr="00DA0170">
        <w:rPr>
          <w:rFonts w:cs="Tahoma"/>
          <w:bCs/>
          <w:color w:val="000000"/>
          <w:spacing w:val="-2"/>
          <w:szCs w:val="18"/>
        </w:rPr>
        <w:t>L</w:t>
      </w:r>
      <w:r w:rsidR="001C4212">
        <w:rPr>
          <w:rFonts w:cs="Tahoma"/>
          <w:bCs/>
          <w:color w:val="000000"/>
          <w:spacing w:val="-2"/>
          <w:szCs w:val="18"/>
        </w:rPr>
        <w:t>’</w:t>
      </w:r>
      <w:r w:rsidRPr="00DA0170">
        <w:rPr>
          <w:rFonts w:cs="Tahoma"/>
          <w:bCs/>
          <w:color w:val="000000"/>
          <w:spacing w:val="-2"/>
          <w:szCs w:val="18"/>
        </w:rPr>
        <w:t>utilizzo continuato dei servizi online dei componenti rimane soggetto alle condizioni del Contratto Multilicenza della società, ai diritti di utilizzo del prodotto relativi ai servizi online e alle presenti condizioni.</w:t>
      </w:r>
    </w:p>
    <w:p w14:paraId="09338258" w14:textId="77777777" w:rsidR="00796FF5" w:rsidRPr="00DA0170" w:rsidRDefault="00796FF5" w:rsidP="00796FF5">
      <w:pPr>
        <w:ind w:left="720"/>
        <w:rPr>
          <w:spacing w:val="-4"/>
        </w:rPr>
      </w:pPr>
      <w:r w:rsidRPr="00DA0170">
        <w:rPr>
          <w:rFonts w:cs="Tahoma"/>
          <w:color w:val="000000"/>
          <w:spacing w:val="-4"/>
          <w:szCs w:val="20"/>
        </w:rPr>
        <w:t xml:space="preserve">Un abbonamento a Forefront Protection Suite è costituito dai seguenti servizi online: Forefront Endpoint Protection, Forefront for Office Communications Server (ex Antigen for Instant Messaging), Forefront Online Protection for Exchange (ex Exchange Hosted Filtering), Forefront Protection 2010 for Exchange Server, Forefront Threat Management Gateway Web Protection Service e Forefront Protection 2010 for SharePoint Server. </w:t>
      </w:r>
    </w:p>
    <w:p w14:paraId="181C1F8C" w14:textId="77777777" w:rsidR="00796FF5" w:rsidRPr="0058047D" w:rsidRDefault="00796FF5" w:rsidP="00796FF5">
      <w:pPr>
        <w:ind w:left="720"/>
      </w:pPr>
    </w:p>
    <w:p w14:paraId="09F2EC78" w14:textId="77777777" w:rsidR="006E5A58" w:rsidRPr="0058047D" w:rsidRDefault="00796FF5" w:rsidP="00221A57">
      <w:pPr>
        <w:ind w:left="720"/>
      </w:pPr>
      <w:r w:rsidRPr="0058047D">
        <w:rPr>
          <w:rFonts w:cs="Tahoma"/>
          <w:bCs/>
          <w:color w:val="000000"/>
          <w:szCs w:val="20"/>
        </w:rPr>
        <w:t>Le società dovranno fare riferimento all</w:t>
      </w:r>
      <w:r w:rsidR="001C4212">
        <w:rPr>
          <w:rFonts w:cs="Tahoma"/>
          <w:bCs/>
          <w:color w:val="000000"/>
          <w:szCs w:val="20"/>
        </w:rPr>
        <w:t>’</w:t>
      </w:r>
      <w:r w:rsidRPr="0058047D">
        <w:t>Articolo 5</w:t>
      </w:r>
      <w:r w:rsidRPr="0058047D">
        <w:rPr>
          <w:rFonts w:cs="Tahoma"/>
          <w:bCs/>
          <w:color w:val="000000"/>
          <w:szCs w:val="20"/>
        </w:rPr>
        <w:t xml:space="preserve"> per i prezzi dei servizi online e le condizioni di pagamento. </w:t>
      </w:r>
    </w:p>
    <w:p w14:paraId="47666A52" w14:textId="77777777" w:rsidR="00796FF5" w:rsidRPr="0058047D" w:rsidRDefault="00796FF5" w:rsidP="00221A57"/>
    <w:p w14:paraId="3F09A481" w14:textId="77777777" w:rsidR="009C2B6B" w:rsidRPr="0058047D" w:rsidRDefault="009C2B6B" w:rsidP="00221A57"/>
    <w:p w14:paraId="6FF8C519" w14:textId="77777777" w:rsidR="00023FE7" w:rsidRPr="0058047D" w:rsidRDefault="00A560B6">
      <w:pPr>
        <w:pStyle w:val="Heading3"/>
      </w:pPr>
      <w:bookmarkStart w:id="1294" w:name="_65_Forefront_Security"/>
      <w:bookmarkStart w:id="1295" w:name="_64_Forefront_Security"/>
      <w:bookmarkStart w:id="1296" w:name="_Toc336338320"/>
      <w:bookmarkStart w:id="1297" w:name="_Toc371663717"/>
      <w:bookmarkStart w:id="1298" w:name="Srv_49ForefrontSecfoOffComm"/>
      <w:bookmarkEnd w:id="1294"/>
      <w:bookmarkEnd w:id="1295"/>
      <w:r w:rsidRPr="0058047D">
        <w:rPr>
          <w:rFonts w:ascii="Tahoma" w:hAnsi="Tahoma"/>
          <w:caps/>
          <w:color w:val="F66400"/>
          <w:sz w:val="22"/>
          <w:vertAlign w:val="superscript"/>
        </w:rPr>
        <w:t xml:space="preserve">64 </w:t>
      </w:r>
      <w:r w:rsidRPr="0058047D">
        <w:rPr>
          <w:rFonts w:ascii="Tahoma" w:hAnsi="Tahoma"/>
          <w:color w:val="F66400"/>
          <w:sz w:val="22"/>
        </w:rPr>
        <w:t>Forefront Security for Office Communications Server (SL per Utente e Dispositivo)</w:t>
      </w:r>
      <w:bookmarkEnd w:id="1296"/>
      <w:bookmarkEnd w:id="1297"/>
    </w:p>
    <w:bookmarkEnd w:id="1298"/>
    <w:p w14:paraId="35AE40ED" w14:textId="77777777" w:rsidR="00023FE7" w:rsidRPr="0058047D" w:rsidRDefault="00023FE7">
      <w:pPr>
        <w:pStyle w:val="EndnoteText"/>
        <w:ind w:left="0"/>
      </w:pPr>
    </w:p>
    <w:bookmarkEnd w:id="1292"/>
    <w:bookmarkEnd w:id="1293"/>
    <w:p w14:paraId="78FD8CDA" w14:textId="77777777" w:rsidR="009115D6" w:rsidRPr="0058047D" w:rsidRDefault="009115D6" w:rsidP="009115D6">
      <w:pPr>
        <w:ind w:left="720"/>
      </w:pPr>
      <w:r w:rsidRPr="0058047D">
        <w:rPr>
          <w:rFonts w:cs="Tahoma"/>
          <w:bCs/>
          <w:color w:val="000000"/>
          <w:szCs w:val="18"/>
        </w:rPr>
        <w:t xml:space="preserve">Forefront Security for Office Communications Server non sarà più disponibile a partire dal 1 dicembre 2012. Le società che disporranno di sottoscrizioni attive del servizio online alla data del 30 novembre 2012 potranno continuare a utilizzare il servizio online fino al 31 dicembre 2015. </w:t>
      </w:r>
      <w:r w:rsidRPr="0058047D">
        <w:t>Le società esistenti potranno inoltre aggiungere nuovi utenti in base alle proprie esigenze senza dovere ordinare Licenze “Subscription” per Utente aggiuntive.</w:t>
      </w:r>
      <w:r w:rsidR="00E34ED3" w:rsidRPr="0058047D">
        <w:t xml:space="preserve"> </w:t>
      </w:r>
      <w:r w:rsidRPr="0058047D">
        <w:rPr>
          <w:rFonts w:cs="Tahoma"/>
          <w:bCs/>
          <w:color w:val="000000"/>
          <w:szCs w:val="18"/>
        </w:rPr>
        <w:t>L</w:t>
      </w:r>
      <w:r w:rsidR="001C4212">
        <w:rPr>
          <w:rFonts w:cs="Tahoma"/>
          <w:bCs/>
          <w:color w:val="000000"/>
          <w:szCs w:val="18"/>
        </w:rPr>
        <w:t>’</w:t>
      </w:r>
      <w:r w:rsidRPr="0058047D">
        <w:rPr>
          <w:rFonts w:cs="Tahoma"/>
          <w:bCs/>
          <w:color w:val="000000"/>
          <w:szCs w:val="18"/>
        </w:rPr>
        <w:t xml:space="preserve">utilizzo continuato del servizio online rimane soggetto alle condizioni del Contratto Multilicenza della società, ai diritti di utilizzo del prodotto relativi al servizio online e alle presenti condizioni. </w:t>
      </w:r>
    </w:p>
    <w:p w14:paraId="32116F59" w14:textId="77777777" w:rsidR="009115D6" w:rsidRPr="0058047D" w:rsidRDefault="009115D6" w:rsidP="009115D6">
      <w:pPr>
        <w:ind w:left="720"/>
      </w:pPr>
    </w:p>
    <w:p w14:paraId="61E96F63" w14:textId="77777777" w:rsidR="00023FE7" w:rsidRPr="0058047D" w:rsidRDefault="00023FE7" w:rsidP="00E62BC4">
      <w:pPr>
        <w:pStyle w:val="EndnoteText"/>
        <w:ind w:left="720"/>
      </w:pPr>
      <w:r w:rsidRPr="0058047D">
        <w:rPr>
          <w:rFonts w:ascii="Tahoma" w:hAnsi="Tahoma" w:cs="Tahoma"/>
          <w:bCs/>
          <w:color w:val="000000"/>
          <w:sz w:val="18"/>
          <w:szCs w:val="20"/>
        </w:rPr>
        <w:t>Tutti gli utenti (o dispositivi) che accedono a un server protetto hanno bisogno di SL Utente (o Dispositivo).</w:t>
      </w:r>
      <w:r w:rsidR="00E34ED3" w:rsidRPr="0058047D">
        <w:rPr>
          <w:rFonts w:ascii="Tahoma" w:hAnsi="Tahoma" w:cs="Tahoma"/>
          <w:bCs/>
          <w:color w:val="000000"/>
          <w:sz w:val="18"/>
          <w:szCs w:val="20"/>
        </w:rPr>
        <w:t xml:space="preserve"> </w:t>
      </w:r>
      <w:r w:rsidRPr="0058047D">
        <w:rPr>
          <w:rFonts w:ascii="Tahoma" w:hAnsi="Tahoma" w:cs="Tahoma"/>
          <w:bCs/>
          <w:color w:val="000000"/>
          <w:sz w:val="18"/>
          <w:szCs w:val="20"/>
        </w:rPr>
        <w:t>Questo servizio online era precedentemente noto come Antigen for Instant Messaging.</w:t>
      </w:r>
      <w:r w:rsidR="00E34ED3" w:rsidRPr="0058047D">
        <w:rPr>
          <w:rFonts w:ascii="Tahoma" w:hAnsi="Tahoma" w:cs="Tahoma"/>
          <w:bCs/>
          <w:color w:val="000000"/>
          <w:sz w:val="18"/>
          <w:szCs w:val="20"/>
        </w:rPr>
        <w:t xml:space="preserve"> </w:t>
      </w:r>
    </w:p>
    <w:p w14:paraId="536322CC" w14:textId="77777777" w:rsidR="00023FE7" w:rsidRPr="0058047D" w:rsidRDefault="00023FE7" w:rsidP="00697E59">
      <w:bookmarkStart w:id="1299" w:name="Srv_48ForefrontSvrSecMgmtConsole"/>
    </w:p>
    <w:p w14:paraId="1D3AD34A" w14:textId="77777777" w:rsidR="00EE30F1" w:rsidRPr="0058047D" w:rsidRDefault="00EE30F1" w:rsidP="00221A57">
      <w:bookmarkStart w:id="1300" w:name="_49_Forefront_Threat"/>
      <w:bookmarkStart w:id="1301" w:name="Srv_52ForefrontUnifiedAccessGtwy2010"/>
      <w:bookmarkStart w:id="1302" w:name="Srv_56ForefrontUnifiedAccessGtwy2010"/>
      <w:bookmarkEnd w:id="1299"/>
      <w:bookmarkEnd w:id="1300"/>
    </w:p>
    <w:p w14:paraId="74C875ED" w14:textId="77777777" w:rsidR="0079439D" w:rsidRPr="0058047D" w:rsidRDefault="00A560B6" w:rsidP="00221A57">
      <w:pPr>
        <w:pStyle w:val="Heading3"/>
      </w:pPr>
      <w:bookmarkStart w:id="1303" w:name="_50__Forefront"/>
      <w:bookmarkStart w:id="1304" w:name="_57_Forefront_Threat"/>
      <w:bookmarkStart w:id="1305" w:name="_66_Forefront_Threat"/>
      <w:bookmarkStart w:id="1306" w:name="_Toc336338321"/>
      <w:bookmarkStart w:id="1307" w:name="Srv_51ForefrontThreatMgmtGtwy2010"/>
      <w:bookmarkStart w:id="1308" w:name="_Toc371663718"/>
      <w:bookmarkEnd w:id="1303"/>
      <w:bookmarkEnd w:id="1304"/>
      <w:bookmarkEnd w:id="1305"/>
      <w:r w:rsidRPr="0058047D">
        <w:rPr>
          <w:rFonts w:ascii="Tahoma" w:hAnsi="Tahoma"/>
          <w:caps/>
          <w:color w:val="F66400"/>
          <w:sz w:val="22"/>
          <w:vertAlign w:val="superscript"/>
        </w:rPr>
        <w:t xml:space="preserve">65 </w:t>
      </w:r>
      <w:r w:rsidRPr="0058047D">
        <w:rPr>
          <w:rFonts w:ascii="Tahoma" w:hAnsi="Tahoma"/>
          <w:color w:val="F66400"/>
          <w:sz w:val="22"/>
        </w:rPr>
        <w:t xml:space="preserve">Forefront Threat Management Gateway </w:t>
      </w:r>
      <w:bookmarkEnd w:id="1306"/>
      <w:r w:rsidRPr="0058047D">
        <w:rPr>
          <w:rFonts w:ascii="Tahoma" w:hAnsi="Tahoma"/>
          <w:color w:val="F66400"/>
          <w:sz w:val="22"/>
        </w:rPr>
        <w:t>Web Protection Service</w:t>
      </w:r>
      <w:bookmarkEnd w:id="1307"/>
      <w:bookmarkEnd w:id="1308"/>
    </w:p>
    <w:p w14:paraId="49610034" w14:textId="77777777" w:rsidR="00221A57" w:rsidRPr="0058047D" w:rsidRDefault="00221A57" w:rsidP="00221A57"/>
    <w:p w14:paraId="2951B584" w14:textId="77777777" w:rsidR="00586FCE" w:rsidRPr="0058047D" w:rsidRDefault="0079439D" w:rsidP="00221A57">
      <w:pPr>
        <w:ind w:left="720"/>
      </w:pPr>
      <w:bookmarkStart w:id="1309" w:name="_Toc336338322"/>
      <w:r w:rsidRPr="0058047D">
        <w:rPr>
          <w:rFonts w:cs="Tahoma"/>
          <w:bCs/>
          <w:color w:val="000000"/>
          <w:szCs w:val="18"/>
        </w:rPr>
        <w:t>Forefront Threat Management Gateway Web Protection Service non sarà più disponibile a partire dal 1</w:t>
      </w:r>
      <w:r w:rsidR="00DA0170">
        <w:rPr>
          <w:rFonts w:cs="Tahoma"/>
          <w:bCs/>
          <w:color w:val="000000"/>
          <w:szCs w:val="18"/>
        </w:rPr>
        <w:t> </w:t>
      </w:r>
      <w:r w:rsidRPr="0058047D">
        <w:rPr>
          <w:rFonts w:cs="Tahoma"/>
          <w:bCs/>
          <w:color w:val="000000"/>
          <w:szCs w:val="18"/>
        </w:rPr>
        <w:t>dicembre 2012. Le società che disporranno di sottoscrizioni attive del servizio online alla data del 30</w:t>
      </w:r>
      <w:r w:rsidR="00DA0170">
        <w:rPr>
          <w:rFonts w:cs="Tahoma"/>
          <w:bCs/>
          <w:color w:val="000000"/>
          <w:szCs w:val="18"/>
        </w:rPr>
        <w:t> </w:t>
      </w:r>
      <w:r w:rsidRPr="0058047D">
        <w:rPr>
          <w:rFonts w:cs="Tahoma"/>
          <w:bCs/>
          <w:color w:val="000000"/>
          <w:szCs w:val="18"/>
        </w:rPr>
        <w:t xml:space="preserve">novembre 2012 potranno continuare a utilizzare il servizio online fino al 31 dicembre 2015. </w:t>
      </w:r>
      <w:r w:rsidRPr="0058047D">
        <w:t>Le società esistenti potranno inoltre aggiungere nuovi utenti in base alle proprie esigenze senza dovere ordinare Licenze “Subscription” per Utente aggiuntive.</w:t>
      </w:r>
      <w:r w:rsidR="00E34ED3" w:rsidRPr="0058047D">
        <w:rPr>
          <w:rFonts w:cs="Tahoma"/>
          <w:bCs/>
          <w:szCs w:val="18"/>
        </w:rPr>
        <w:t xml:space="preserve"> </w:t>
      </w:r>
      <w:r w:rsidRPr="0058047D">
        <w:rPr>
          <w:rFonts w:cs="Tahoma"/>
          <w:bCs/>
          <w:color w:val="000000"/>
          <w:szCs w:val="18"/>
        </w:rPr>
        <w:t>L</w:t>
      </w:r>
      <w:r w:rsidR="001C4212">
        <w:rPr>
          <w:rFonts w:cs="Tahoma"/>
          <w:bCs/>
          <w:color w:val="000000"/>
          <w:szCs w:val="18"/>
        </w:rPr>
        <w:t>’</w:t>
      </w:r>
      <w:r w:rsidRPr="0058047D">
        <w:rPr>
          <w:rFonts w:cs="Tahoma"/>
          <w:bCs/>
          <w:color w:val="000000"/>
          <w:szCs w:val="18"/>
        </w:rPr>
        <w:t>utilizzo continuato del servizio online rimane soggetto alle condizioni del Contratto Multilicenza della società, ai diritti di utilizzo del prodotto relativi al servizio online e</w:t>
      </w:r>
      <w:r w:rsidR="00DA0170">
        <w:rPr>
          <w:rFonts w:cs="Tahoma"/>
          <w:bCs/>
          <w:color w:val="000000"/>
          <w:szCs w:val="18"/>
        </w:rPr>
        <w:t> </w:t>
      </w:r>
      <w:r w:rsidRPr="0058047D">
        <w:rPr>
          <w:rFonts w:cs="Tahoma"/>
          <w:bCs/>
          <w:color w:val="000000"/>
          <w:szCs w:val="18"/>
        </w:rPr>
        <w:t xml:space="preserve">alle presenti condizioni. </w:t>
      </w:r>
    </w:p>
    <w:p w14:paraId="3EAD4EA3" w14:textId="77777777" w:rsidR="00221A57" w:rsidRPr="0058047D" w:rsidRDefault="00221A57" w:rsidP="00221A57"/>
    <w:p w14:paraId="19AE9A36" w14:textId="77777777" w:rsidR="00221A57" w:rsidRPr="0058047D" w:rsidRDefault="00221A57" w:rsidP="00221A57"/>
    <w:p w14:paraId="5A5EB8AC" w14:textId="77777777" w:rsidR="009E4FDD" w:rsidRPr="0058047D" w:rsidRDefault="00A560B6" w:rsidP="009E4FDD">
      <w:pPr>
        <w:pStyle w:val="Heading3"/>
      </w:pPr>
      <w:bookmarkStart w:id="1310" w:name="_67_Forefront_Unified"/>
      <w:bookmarkStart w:id="1311" w:name="_Toc371663719"/>
      <w:bookmarkEnd w:id="1310"/>
      <w:r w:rsidRPr="0058047D">
        <w:rPr>
          <w:rFonts w:ascii="Tahoma" w:hAnsi="Tahoma"/>
          <w:caps/>
          <w:color w:val="F66400"/>
          <w:sz w:val="22"/>
          <w:vertAlign w:val="superscript"/>
        </w:rPr>
        <w:t xml:space="preserve">66 </w:t>
      </w:r>
      <w:r w:rsidRPr="0058047D">
        <w:rPr>
          <w:rFonts w:ascii="Tahoma" w:hAnsi="Tahoma"/>
          <w:color w:val="F66400"/>
          <w:sz w:val="22"/>
        </w:rPr>
        <w:t>Forefront Unified Access Gateway 2010</w:t>
      </w:r>
      <w:bookmarkEnd w:id="1309"/>
      <w:bookmarkEnd w:id="1311"/>
    </w:p>
    <w:bookmarkEnd w:id="1301"/>
    <w:bookmarkEnd w:id="1302"/>
    <w:p w14:paraId="7EDF7B04" w14:textId="77777777" w:rsidR="009E4FDD" w:rsidRPr="0058047D" w:rsidRDefault="009E4FDD" w:rsidP="009E4FDD"/>
    <w:p w14:paraId="5E7F552B" w14:textId="77777777" w:rsidR="009E4FDD" w:rsidRPr="0058047D" w:rsidRDefault="009E4FDD" w:rsidP="00221A57">
      <w:pPr>
        <w:spacing w:after="60"/>
        <w:ind w:left="720"/>
      </w:pPr>
      <w:r w:rsidRPr="0058047D">
        <w:rPr>
          <w:rFonts w:cs="Tahoma"/>
          <w:b/>
          <w:color w:val="000000"/>
          <w:szCs w:val="18"/>
        </w:rPr>
        <w:t>Versione</w:t>
      </w:r>
    </w:p>
    <w:p w14:paraId="55F33141" w14:textId="77777777" w:rsidR="009E4FDD" w:rsidRPr="0058047D" w:rsidRDefault="009E4FDD" w:rsidP="009E4FDD">
      <w:pPr>
        <w:ind w:left="720"/>
      </w:pPr>
      <w:r w:rsidRPr="0058047D">
        <w:rPr>
          <w:rFonts w:cs="Tahoma"/>
          <w:color w:val="000000"/>
          <w:szCs w:val="18"/>
        </w:rPr>
        <w:t>Forefront Unified Access Gateway 2010 è la versione successiva di Whale Intelligent Application Gateway</w:t>
      </w:r>
      <w:r w:rsidR="00DA0170">
        <w:rPr>
          <w:rFonts w:cs="Tahoma"/>
          <w:color w:val="000000"/>
          <w:szCs w:val="18"/>
        </w:rPr>
        <w:t> </w:t>
      </w:r>
      <w:r w:rsidRPr="0058047D">
        <w:rPr>
          <w:rFonts w:cs="Tahoma"/>
          <w:color w:val="000000"/>
          <w:szCs w:val="18"/>
        </w:rPr>
        <w:t>2007</w:t>
      </w:r>
    </w:p>
    <w:p w14:paraId="6DB57442" w14:textId="77777777" w:rsidR="00EE30F1" w:rsidRPr="0058047D" w:rsidRDefault="00EE30F1">
      <w:pPr>
        <w:ind w:left="720"/>
      </w:pPr>
    </w:p>
    <w:p w14:paraId="653A0C86" w14:textId="77777777" w:rsidR="001979E9" w:rsidRPr="0058047D" w:rsidRDefault="001979E9">
      <w:pPr>
        <w:ind w:left="720"/>
      </w:pPr>
    </w:p>
    <w:p w14:paraId="7EFF56F4" w14:textId="77777777" w:rsidR="00023FE7" w:rsidRPr="0058047D" w:rsidRDefault="00A560B6" w:rsidP="00416294">
      <w:pPr>
        <w:pStyle w:val="Heading3"/>
      </w:pPr>
      <w:bookmarkStart w:id="1312" w:name="_51_High_Performance"/>
      <w:bookmarkStart w:id="1313" w:name="_63_61_HPC"/>
      <w:bookmarkStart w:id="1314" w:name="_68_HPC_Pack"/>
      <w:bookmarkStart w:id="1315" w:name="_67_HPC_Pack"/>
      <w:bookmarkStart w:id="1316" w:name="_Toc336338323"/>
      <w:bookmarkStart w:id="1317" w:name="_Toc371663720"/>
      <w:bookmarkStart w:id="1318" w:name="Srv_48HighPerfComputingPack"/>
      <w:bookmarkStart w:id="1319" w:name="Srv_54HighPerfComputingPack"/>
      <w:bookmarkStart w:id="1320" w:name="Srv_49HighPerfComputingPack"/>
      <w:bookmarkEnd w:id="1312"/>
      <w:bookmarkEnd w:id="1313"/>
      <w:bookmarkEnd w:id="1314"/>
      <w:bookmarkEnd w:id="1315"/>
      <w:r w:rsidRPr="0058047D">
        <w:rPr>
          <w:rFonts w:ascii="Tahoma" w:hAnsi="Tahoma"/>
          <w:caps/>
          <w:color w:val="F66400"/>
          <w:sz w:val="22"/>
          <w:vertAlign w:val="superscript"/>
        </w:rPr>
        <w:t xml:space="preserve">67 </w:t>
      </w:r>
      <w:r w:rsidRPr="0058047D">
        <w:rPr>
          <w:rFonts w:ascii="Tahoma" w:hAnsi="Tahoma"/>
          <w:color w:val="F66400"/>
          <w:sz w:val="22"/>
        </w:rPr>
        <w:t>HPC Pack 2008 R2 Enterprise</w:t>
      </w:r>
      <w:bookmarkEnd w:id="1316"/>
      <w:bookmarkEnd w:id="1317"/>
    </w:p>
    <w:bookmarkEnd w:id="1318"/>
    <w:bookmarkEnd w:id="1319"/>
    <w:p w14:paraId="24B7CC86" w14:textId="77777777" w:rsidR="00023FE7" w:rsidRPr="0058047D" w:rsidRDefault="00023FE7" w:rsidP="00416294">
      <w:pPr>
        <w:ind w:left="720"/>
      </w:pPr>
    </w:p>
    <w:bookmarkEnd w:id="1320"/>
    <w:p w14:paraId="3A2DEA26" w14:textId="77777777" w:rsidR="00221A57" w:rsidRPr="0058047D" w:rsidRDefault="001978C7" w:rsidP="00221A57">
      <w:pPr>
        <w:spacing w:after="60"/>
        <w:ind w:left="720"/>
      </w:pPr>
      <w:r w:rsidRPr="0058047D">
        <w:rPr>
          <w:b/>
          <w:color w:val="000000"/>
        </w:rPr>
        <w:t>Concessioni di licenza associate alla fine del ciclo di vita di HPC Pack Enterprise</w:t>
      </w:r>
    </w:p>
    <w:p w14:paraId="0E7C99DC" w14:textId="77777777" w:rsidR="00221A57" w:rsidRPr="0058047D" w:rsidRDefault="001978C7" w:rsidP="00221A57">
      <w:pPr>
        <w:ind w:left="720"/>
      </w:pPr>
      <w:r w:rsidRPr="0058047D">
        <w:rPr>
          <w:color w:val="000000"/>
        </w:rPr>
        <w:t>HPC Pack 2008 R2 Enterprise sarà l</w:t>
      </w:r>
      <w:r w:rsidR="001C4212">
        <w:rPr>
          <w:color w:val="000000"/>
        </w:rPr>
        <w:t>’</w:t>
      </w:r>
      <w:r w:rsidRPr="0058047D">
        <w:rPr>
          <w:color w:val="000000"/>
        </w:rPr>
        <w:t xml:space="preserve">ultima versione del software HPC Pack Enterprise venduta nel Programma Multilicenza. Le prossime versioni saranno disponibili come download gratuiti. Le società titolari di Contratti Multilicenza con copertura Software Assurance attiva per le licenze per HPC Pack 2008 R2 Enterprise in data 1 settembre 2012 o in occasione della prima disponibilità di Windows Server 2012 per il download dal sito Web Volume Licensing Service Center, a seconda di quale evento si verificherà per primo, (“Licenze Qualificanti”) saranno autorizzate a </w:t>
      </w:r>
      <w:r w:rsidRPr="0058047D">
        <w:rPr>
          <w:rFonts w:eastAsia="Calibri" w:cs="Tahoma"/>
          <w:szCs w:val="18"/>
        </w:rPr>
        <w:t>utilizzare il software Windows Server 2012 Standard. Per agevolare tale utilizzo, per ogni due Licenze Qualificanti in suo possesso, alla società verrà concessa una licenza per processore per Windows Server 2012 Standard in base alla disponibilità di Windows Server 2012.</w:t>
      </w:r>
    </w:p>
    <w:p w14:paraId="5D274F88" w14:textId="77777777" w:rsidR="001978C7" w:rsidRPr="0058047D" w:rsidRDefault="001978C7" w:rsidP="00221A57">
      <w:pPr>
        <w:ind w:left="720"/>
      </w:pPr>
    </w:p>
    <w:p w14:paraId="4823009A" w14:textId="77777777" w:rsidR="001978C7" w:rsidRPr="0058047D" w:rsidRDefault="001978C7" w:rsidP="00346F4B">
      <w:pPr>
        <w:numPr>
          <w:ilvl w:val="0"/>
          <w:numId w:val="56"/>
        </w:numPr>
        <w:tabs>
          <w:tab w:val="clear" w:pos="360"/>
          <w:tab w:val="left" w:pos="1440"/>
        </w:tabs>
        <w:spacing w:after="60"/>
        <w:ind w:left="1440"/>
      </w:pPr>
      <w:r w:rsidRPr="0058047D">
        <w:rPr>
          <w:color w:val="000000"/>
        </w:rPr>
        <w:t>Qualora una società disponga di un numero dispari di licenze per HPC Pack Enterprise, dovrà arrotondarle al successivo numero pari per determinare la quantità concessa.</w:t>
      </w:r>
      <w:r w:rsidR="00E34ED3" w:rsidRPr="0058047D">
        <w:rPr>
          <w:color w:val="000000"/>
        </w:rPr>
        <w:t xml:space="preserve"> </w:t>
      </w:r>
      <w:r w:rsidRPr="0058047D">
        <w:rPr>
          <w:color w:val="000000"/>
        </w:rPr>
        <w:t>Ad esempio, una società titolare di tre licenze per HPC Pack Enterprise riceverà in totale due licenze per Windows Server 2012 Standard.</w:t>
      </w:r>
    </w:p>
    <w:p w14:paraId="01DAF8E1" w14:textId="77777777" w:rsidR="001978C7" w:rsidRPr="0058047D" w:rsidRDefault="001978C7" w:rsidP="00346F4B">
      <w:pPr>
        <w:pStyle w:val="ListParagraph"/>
        <w:numPr>
          <w:ilvl w:val="0"/>
          <w:numId w:val="56"/>
        </w:numPr>
        <w:tabs>
          <w:tab w:val="clear" w:pos="360"/>
          <w:tab w:val="left" w:pos="1440"/>
        </w:tabs>
        <w:spacing w:after="60"/>
        <w:ind w:left="1440"/>
        <w:contextualSpacing w:val="0"/>
      </w:pPr>
      <w:r w:rsidRPr="0058047D">
        <w:rPr>
          <w:rFonts w:ascii="Tahoma" w:eastAsia="Calibri" w:hAnsi="Tahoma" w:cs="Tahoma"/>
          <w:sz w:val="18"/>
          <w:szCs w:val="18"/>
        </w:rPr>
        <w:t>Le licenze acquistate ai sensi della presente concessione includono la copertura Software Assurance.</w:t>
      </w:r>
      <w:r w:rsidR="00E34ED3" w:rsidRPr="0058047D">
        <w:rPr>
          <w:rFonts w:ascii="Tahoma" w:eastAsia="Calibri" w:hAnsi="Tahoma" w:cs="Tahoma"/>
          <w:sz w:val="18"/>
          <w:szCs w:val="18"/>
        </w:rPr>
        <w:t xml:space="preserve"> </w:t>
      </w:r>
      <w:r w:rsidRPr="0058047D">
        <w:rPr>
          <w:rFonts w:ascii="Tahoma" w:eastAsia="Calibri" w:hAnsi="Tahoma" w:cs="Tahoma"/>
          <w:sz w:val="18"/>
          <w:szCs w:val="18"/>
        </w:rPr>
        <w:t>Tale copertura cessa alla scadenza della corrispondente copertura per le Licenze Qualificanti.</w:t>
      </w:r>
    </w:p>
    <w:p w14:paraId="488A768D" w14:textId="77777777" w:rsidR="001978C7" w:rsidRPr="0058047D" w:rsidRDefault="001978C7" w:rsidP="00346F4B">
      <w:pPr>
        <w:pStyle w:val="ListParagraph"/>
        <w:numPr>
          <w:ilvl w:val="0"/>
          <w:numId w:val="56"/>
        </w:numPr>
        <w:tabs>
          <w:tab w:val="clear" w:pos="360"/>
          <w:tab w:val="left" w:pos="1440"/>
        </w:tabs>
        <w:spacing w:after="60"/>
        <w:ind w:left="1440"/>
        <w:contextualSpacing w:val="0"/>
      </w:pPr>
      <w:r w:rsidRPr="0058047D">
        <w:rPr>
          <w:rFonts w:ascii="Tahoma" w:eastAsia="Calibri" w:hAnsi="Tahoma" w:cs="Tahoma"/>
          <w:sz w:val="18"/>
          <w:szCs w:val="18"/>
        </w:rPr>
        <w:t>Nel caso in cui le società abbiano acquistato diritti perpetui per utilizzare software ai sensi di Licenze Qualificanti, le licenze acquistate ai sensi della presente concessione saranno anch</w:t>
      </w:r>
      <w:r w:rsidR="001C4212">
        <w:rPr>
          <w:rFonts w:ascii="Tahoma" w:eastAsia="Calibri" w:hAnsi="Tahoma" w:cs="Tahoma"/>
          <w:sz w:val="18"/>
          <w:szCs w:val="18"/>
        </w:rPr>
        <w:t>’</w:t>
      </w:r>
      <w:r w:rsidRPr="0058047D">
        <w:rPr>
          <w:rFonts w:ascii="Tahoma" w:eastAsia="Calibri" w:hAnsi="Tahoma" w:cs="Tahoma"/>
          <w:sz w:val="18"/>
          <w:szCs w:val="18"/>
        </w:rPr>
        <w:t>esse perpetue; diversamente, le licenze acquistate ai sensi della presente concessione cesseranno alla scadenza delle Licenze Qualificanti sottostanti.</w:t>
      </w:r>
    </w:p>
    <w:p w14:paraId="02F2DC84" w14:textId="77777777" w:rsidR="001978C7" w:rsidRPr="0058047D" w:rsidRDefault="001978C7" w:rsidP="00346F4B">
      <w:pPr>
        <w:numPr>
          <w:ilvl w:val="0"/>
          <w:numId w:val="56"/>
        </w:numPr>
        <w:tabs>
          <w:tab w:val="clear" w:pos="360"/>
          <w:tab w:val="left" w:pos="1440"/>
          <w:tab w:val="left" w:pos="2160"/>
        </w:tabs>
        <w:spacing w:after="60"/>
        <w:ind w:left="1440"/>
      </w:pPr>
      <w:r w:rsidRPr="0058047D">
        <w:rPr>
          <w:rFonts w:eastAsia="Calibri" w:cs="Tahoma"/>
          <w:szCs w:val="18"/>
        </w:rPr>
        <w:t>Eseguendo l</w:t>
      </w:r>
      <w:r w:rsidR="001C4212">
        <w:rPr>
          <w:rFonts w:eastAsia="Calibri" w:cs="Tahoma"/>
          <w:szCs w:val="18"/>
        </w:rPr>
        <w:t>’</w:t>
      </w:r>
      <w:r w:rsidRPr="0058047D">
        <w:rPr>
          <w:rFonts w:eastAsia="Calibri" w:cs="Tahoma"/>
          <w:szCs w:val="18"/>
        </w:rPr>
        <w:t xml:space="preserve">aggiornamento a Windows Server 2012 Standard ai sensi della presente concessione, le licenze in essere per </w:t>
      </w:r>
      <w:r w:rsidRPr="0058047D">
        <w:rPr>
          <w:color w:val="000000"/>
        </w:rPr>
        <w:t>HPC Pack Enterprise</w:t>
      </w:r>
      <w:r w:rsidRPr="0058047D">
        <w:rPr>
          <w:rFonts w:eastAsia="Calibri" w:cs="Tahoma"/>
          <w:szCs w:val="18"/>
        </w:rPr>
        <w:t xml:space="preserve"> rimangono valide.</w:t>
      </w:r>
    </w:p>
    <w:p w14:paraId="3A025D8A" w14:textId="77777777" w:rsidR="001978C7" w:rsidRPr="0058047D" w:rsidRDefault="001978C7" w:rsidP="00346F4B">
      <w:pPr>
        <w:numPr>
          <w:ilvl w:val="0"/>
          <w:numId w:val="56"/>
        </w:numPr>
        <w:tabs>
          <w:tab w:val="clear" w:pos="360"/>
          <w:tab w:val="left" w:pos="1440"/>
          <w:tab w:val="left" w:pos="2160"/>
        </w:tabs>
        <w:spacing w:after="60"/>
        <w:ind w:left="1440"/>
      </w:pPr>
      <w:r w:rsidRPr="0058047D">
        <w:t xml:space="preserve">Le licenze per </w:t>
      </w:r>
      <w:r w:rsidRPr="0058047D">
        <w:rPr>
          <w:color w:val="000000"/>
        </w:rPr>
        <w:t>HPC Pack 2008 R2 Enterprise</w:t>
      </w:r>
      <w:r w:rsidRPr="0058047D">
        <w:rPr>
          <w:rFonts w:cs="Tahoma"/>
          <w:bCs/>
          <w:color w:val="000000"/>
          <w:szCs w:val="18"/>
        </w:rPr>
        <w:t>, acquistate successivamente nello stesso periodo di</w:t>
      </w:r>
      <w:r w:rsidR="00DA0170">
        <w:rPr>
          <w:rFonts w:cs="Tahoma"/>
          <w:bCs/>
          <w:color w:val="000000"/>
          <w:szCs w:val="18"/>
        </w:rPr>
        <w:t> </w:t>
      </w:r>
      <w:r w:rsidRPr="0058047D">
        <w:rPr>
          <w:rFonts w:cs="Tahoma"/>
          <w:bCs/>
          <w:color w:val="000000"/>
          <w:szCs w:val="18"/>
        </w:rPr>
        <w:t>validità dell</w:t>
      </w:r>
      <w:r w:rsidR="001C4212">
        <w:rPr>
          <w:rFonts w:cs="Tahoma"/>
          <w:bCs/>
          <w:color w:val="000000"/>
          <w:szCs w:val="18"/>
        </w:rPr>
        <w:t>’</w:t>
      </w:r>
      <w:r w:rsidRPr="0058047D">
        <w:rPr>
          <w:rFonts w:cs="Tahoma"/>
          <w:bCs/>
          <w:color w:val="000000"/>
          <w:szCs w:val="18"/>
        </w:rPr>
        <w:t>iscrizione nell</w:t>
      </w:r>
      <w:r w:rsidR="001C4212">
        <w:rPr>
          <w:rFonts w:cs="Tahoma"/>
          <w:bCs/>
          <w:color w:val="000000"/>
          <w:szCs w:val="18"/>
        </w:rPr>
        <w:t>’</w:t>
      </w:r>
      <w:r w:rsidRPr="0058047D">
        <w:rPr>
          <w:rFonts w:cs="Tahoma"/>
          <w:bCs/>
          <w:color w:val="000000"/>
          <w:szCs w:val="18"/>
        </w:rPr>
        <w:t>ambito di una procedura pianificata di true-up di una società con contratto Enterprise, Enterprise Subscription, Open Value Subscription o Enrollment for Education Solutions, sono anch</w:t>
      </w:r>
      <w:r w:rsidR="001C4212">
        <w:rPr>
          <w:rFonts w:cs="Tahoma"/>
          <w:bCs/>
          <w:color w:val="000000"/>
          <w:szCs w:val="18"/>
        </w:rPr>
        <w:t>’</w:t>
      </w:r>
      <w:r w:rsidRPr="0058047D">
        <w:rPr>
          <w:rFonts w:cs="Tahoma"/>
          <w:bCs/>
          <w:color w:val="000000"/>
          <w:szCs w:val="18"/>
        </w:rPr>
        <w:t>esse Licenze Qualificanti per gli scopi previsti dalla suddetta concessione.</w:t>
      </w:r>
    </w:p>
    <w:p w14:paraId="07CB49B6" w14:textId="77777777" w:rsidR="001978C7" w:rsidRPr="0058047D" w:rsidRDefault="001978C7" w:rsidP="00346F4B">
      <w:pPr>
        <w:numPr>
          <w:ilvl w:val="0"/>
          <w:numId w:val="56"/>
        </w:numPr>
        <w:tabs>
          <w:tab w:val="clear" w:pos="360"/>
          <w:tab w:val="left" w:pos="1440"/>
          <w:tab w:val="left" w:pos="2160"/>
        </w:tabs>
        <w:spacing w:after="60"/>
        <w:ind w:left="1440"/>
      </w:pPr>
      <w:r w:rsidRPr="0058047D">
        <w:rPr>
          <w:rFonts w:cs="Tahoma"/>
          <w:bCs/>
          <w:color w:val="000000"/>
          <w:szCs w:val="18"/>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1CD775AE" w14:textId="77777777" w:rsidR="00221A57" w:rsidRPr="0058047D" w:rsidRDefault="00221A57" w:rsidP="00221A57">
      <w:pPr>
        <w:tabs>
          <w:tab w:val="left" w:pos="1440"/>
          <w:tab w:val="left" w:pos="2160"/>
        </w:tabs>
        <w:ind w:left="1080"/>
        <w:contextualSpacing/>
      </w:pPr>
    </w:p>
    <w:p w14:paraId="10CA4E49" w14:textId="77777777" w:rsidR="00221A57" w:rsidRPr="0058047D" w:rsidRDefault="001978C7" w:rsidP="00B1475C">
      <w:pPr>
        <w:spacing w:after="60"/>
        <w:ind w:left="720"/>
      </w:pPr>
      <w:r w:rsidRPr="0058047D">
        <w:rPr>
          <w:b/>
          <w:color w:val="000000"/>
        </w:rPr>
        <w:t>Informazioni aggiuntive sull</w:t>
      </w:r>
      <w:r w:rsidR="001C4212">
        <w:rPr>
          <w:b/>
          <w:color w:val="000000"/>
        </w:rPr>
        <w:t>’</w:t>
      </w:r>
      <w:r w:rsidRPr="0058047D">
        <w:rPr>
          <w:b/>
          <w:color w:val="000000"/>
        </w:rPr>
        <w:t>utilizzo di Windows Server 2012 High Performance Computing</w:t>
      </w:r>
      <w:r w:rsidR="00DA0170">
        <w:rPr>
          <w:b/>
          <w:color w:val="000000"/>
        </w:rPr>
        <w:t> </w:t>
      </w:r>
      <w:r w:rsidRPr="0058047D">
        <w:rPr>
          <w:b/>
          <w:color w:val="000000"/>
        </w:rPr>
        <w:t>(HPC)</w:t>
      </w:r>
    </w:p>
    <w:p w14:paraId="3C29F13B" w14:textId="77777777" w:rsidR="00E62BC4" w:rsidRPr="0058047D" w:rsidRDefault="001978C7" w:rsidP="00B1475C">
      <w:pPr>
        <w:ind w:left="720"/>
      </w:pPr>
      <w:r w:rsidRPr="0058047D">
        <w:rPr>
          <w:color w:val="000000"/>
        </w:rPr>
        <w:t>Quando Windows Server 2012 Standard o Datacenter viene utilizzato per High Performance Computing, non servono licenze CAL per accedere al software. Un “Carico di Lavoro High Performance Computing (“HPC”)” indica un carico di lavoro nel quale il software server viene utilizzato per eseguire un Nodo del Cluster e per consentire, insieme ad altro software, la gestione dei sistemi, la gestione della protezione e dell</w:t>
      </w:r>
      <w:r w:rsidR="001C4212">
        <w:rPr>
          <w:color w:val="000000"/>
        </w:rPr>
        <w:t>’</w:t>
      </w:r>
      <w:r w:rsidRPr="0058047D">
        <w:rPr>
          <w:color w:val="000000"/>
        </w:rPr>
        <w:t>archiviazione o il miglioramento delle prestazioni in un nodo del cluster allo scopo di supportare le Applicazioni HPC con cluster. Ulteriori dettagli sono disponibili nei Diritti di Utilizzo del Prodotto.</w:t>
      </w:r>
    </w:p>
    <w:p w14:paraId="30182C71" w14:textId="77777777" w:rsidR="00023FE7" w:rsidRPr="0058047D" w:rsidRDefault="00023FE7" w:rsidP="00221A57">
      <w:pPr>
        <w:ind w:left="216"/>
      </w:pPr>
    </w:p>
    <w:p w14:paraId="2A6DB3E2" w14:textId="77777777" w:rsidR="00586FCE" w:rsidRPr="0058047D" w:rsidRDefault="00586FCE" w:rsidP="00221A57">
      <w:pPr>
        <w:ind w:left="216"/>
      </w:pPr>
    </w:p>
    <w:p w14:paraId="4D9AADDB" w14:textId="77777777" w:rsidR="00F42FD5" w:rsidRPr="0058047D" w:rsidRDefault="0085774C" w:rsidP="00416294">
      <w:pPr>
        <w:pStyle w:val="Heading2"/>
        <w:ind w:left="0"/>
      </w:pPr>
      <w:bookmarkStart w:id="1321" w:name="_58_Learning_Solutions"/>
      <w:bookmarkStart w:id="1322" w:name="_54_Learning_Solutions"/>
      <w:bookmarkStart w:id="1323" w:name="_64_62_Learning"/>
      <w:bookmarkStart w:id="1324" w:name="_69_Learning_Solutions"/>
      <w:bookmarkStart w:id="1325" w:name="_65_63_Lync"/>
      <w:bookmarkStart w:id="1326" w:name="_70_Lync_Online"/>
      <w:bookmarkStart w:id="1327" w:name="_Toc336338325"/>
      <w:bookmarkStart w:id="1328" w:name="_Toc371663721"/>
      <w:bookmarkStart w:id="1329" w:name="Srv_65LyncOnlinePlan1and2"/>
      <w:bookmarkEnd w:id="1321"/>
      <w:bookmarkEnd w:id="1322"/>
      <w:bookmarkEnd w:id="1323"/>
      <w:bookmarkEnd w:id="1324"/>
      <w:bookmarkEnd w:id="1325"/>
      <w:bookmarkEnd w:id="1326"/>
      <w:r w:rsidRPr="0058047D">
        <w:rPr>
          <w:rFonts w:ascii="Tahoma" w:hAnsi="Tahoma" w:cs="Tahoma"/>
          <w:caps/>
          <w:color w:val="FF6600"/>
          <w:sz w:val="22"/>
          <w:vertAlign w:val="superscript"/>
        </w:rPr>
        <w:t>68</w:t>
      </w:r>
      <w:r w:rsidRPr="0058047D">
        <w:rPr>
          <w:rFonts w:ascii="Tahoma" w:hAnsi="Tahoma" w:cs="Tahoma"/>
          <w:color w:val="FF6600"/>
        </w:rPr>
        <w:t xml:space="preserve"> </w:t>
      </w:r>
      <w:r w:rsidRPr="0058047D">
        <w:rPr>
          <w:rFonts w:ascii="Tahoma" w:hAnsi="Tahoma" w:cs="Tahoma"/>
          <w:color w:val="FF6600"/>
          <w:sz w:val="22"/>
        </w:rPr>
        <w:t>Lync Online Piani 1, 2 e 3</w:t>
      </w:r>
      <w:bookmarkEnd w:id="1327"/>
      <w:bookmarkEnd w:id="1328"/>
    </w:p>
    <w:bookmarkEnd w:id="1329"/>
    <w:p w14:paraId="420C92B6" w14:textId="77777777" w:rsidR="00F42FD5" w:rsidRPr="0058047D" w:rsidRDefault="00F42FD5" w:rsidP="00F42FD5"/>
    <w:p w14:paraId="77651606" w14:textId="77777777" w:rsidR="00693524" w:rsidRPr="0058047D" w:rsidRDefault="00194DAF" w:rsidP="00693524">
      <w:pPr>
        <w:ind w:left="720"/>
      </w:pPr>
      <w:r w:rsidRPr="0058047D">
        <w:rPr>
          <w:color w:val="000000"/>
        </w:rPr>
        <w:t>Lync Online Piano 1 e Piano 2 richiedono l</w:t>
      </w:r>
      <w:r w:rsidR="001C4212">
        <w:rPr>
          <w:color w:val="000000"/>
        </w:rPr>
        <w:t>’</w:t>
      </w:r>
      <w:r w:rsidRPr="0058047D">
        <w:rPr>
          <w:color w:val="000000"/>
        </w:rPr>
        <w:t>acquisto e l</w:t>
      </w:r>
      <w:r w:rsidR="001C4212">
        <w:rPr>
          <w:color w:val="000000"/>
        </w:rPr>
        <w:t>’</w:t>
      </w:r>
      <w:r w:rsidRPr="0058047D">
        <w:rPr>
          <w:color w:val="000000"/>
        </w:rPr>
        <w:t>installazione separati di Microsoft Lync 2013 (o di Lync per Mac 2011) per accedere al set completo di funzionalità di Lync Online Piano 1 e Piano 2. Grazie a un</w:t>
      </w:r>
      <w:r w:rsidR="001C4212">
        <w:rPr>
          <w:color w:val="000000"/>
        </w:rPr>
        <w:t>’</w:t>
      </w:r>
      <w:r w:rsidRPr="0058047D">
        <w:rPr>
          <w:color w:val="000000"/>
        </w:rPr>
        <w:t xml:space="preserve">offerta di durata limitata, le società titolari di licenza per Lync Online riceveranno gratuitamente in licenza una copia di Lync per Mac 2011 per ciascuna licenza </w:t>
      </w:r>
      <w:r w:rsidR="00E34ED3" w:rsidRPr="0058047D">
        <w:rPr>
          <w:color w:val="000000"/>
        </w:rPr>
        <w:t>“</w:t>
      </w:r>
      <w:r w:rsidRPr="0058047D">
        <w:rPr>
          <w:color w:val="000000"/>
        </w:rPr>
        <w:t>subscription</w:t>
      </w:r>
      <w:r w:rsidR="00E34ED3" w:rsidRPr="0058047D">
        <w:rPr>
          <w:color w:val="000000"/>
        </w:rPr>
        <w:t>”</w:t>
      </w:r>
      <w:r w:rsidRPr="0058047D">
        <w:rPr>
          <w:color w:val="000000"/>
        </w:rPr>
        <w:t xml:space="preserve"> acquistata o in versione di valutazione di</w:t>
      </w:r>
      <w:r w:rsidR="00DA0170">
        <w:rPr>
          <w:color w:val="000000"/>
        </w:rPr>
        <w:t> </w:t>
      </w:r>
      <w:r w:rsidRPr="0058047D">
        <w:rPr>
          <w:color w:val="000000"/>
        </w:rPr>
        <w:t>Lync Online. Il software potrà essere utilizzato esclusivamente con Lync Online e tutti i diritti di utilizzo del</w:t>
      </w:r>
      <w:r w:rsidR="00DA0170">
        <w:rPr>
          <w:color w:val="000000"/>
        </w:rPr>
        <w:t> </w:t>
      </w:r>
      <w:r w:rsidRPr="0058047D">
        <w:rPr>
          <w:color w:val="000000"/>
        </w:rPr>
        <w:t xml:space="preserve">software cesseranno alla scadenza della licenza </w:t>
      </w:r>
      <w:r w:rsidR="00E34ED3" w:rsidRPr="0058047D">
        <w:rPr>
          <w:color w:val="000000"/>
        </w:rPr>
        <w:t>“</w:t>
      </w:r>
      <w:r w:rsidRPr="0058047D">
        <w:rPr>
          <w:color w:val="000000"/>
        </w:rPr>
        <w:t>subscription</w:t>
      </w:r>
      <w:r w:rsidR="00E34ED3" w:rsidRPr="0058047D">
        <w:rPr>
          <w:color w:val="000000"/>
        </w:rPr>
        <w:t>”</w:t>
      </w:r>
      <w:r w:rsidRPr="0058047D">
        <w:rPr>
          <w:color w:val="000000"/>
        </w:rPr>
        <w:t xml:space="preserve"> sottostante oppure in occasione della migrazione alla successiva nuova versione principale di Lync Online, a seconda di quale evento si verificherà per primo. Le società potranno utilizzare il client gratuito Lync Basic 2013 per i loro utenti finali in possesso di Windows. </w:t>
      </w:r>
    </w:p>
    <w:p w14:paraId="7C0AD013" w14:textId="77777777" w:rsidR="006D33A5" w:rsidRPr="0058047D" w:rsidRDefault="006D33A5" w:rsidP="007B35CE"/>
    <w:p w14:paraId="45DD5852" w14:textId="77777777" w:rsidR="006D33A5" w:rsidRPr="0058047D" w:rsidRDefault="006D33A5" w:rsidP="003D0252">
      <w:pPr>
        <w:spacing w:after="60"/>
        <w:ind w:left="720"/>
      </w:pPr>
      <w:r w:rsidRPr="0058047D">
        <w:rPr>
          <w:rFonts w:eastAsia="Calibri" w:cs="Tahoma"/>
          <w:b/>
          <w:color w:val="000000"/>
          <w:szCs w:val="18"/>
        </w:rPr>
        <w:t>Community Cloud per Enti Pubblici (solo Stati Uniti)</w:t>
      </w:r>
    </w:p>
    <w:p w14:paraId="57921F86" w14:textId="77777777" w:rsidR="006D33A5" w:rsidRPr="0058047D" w:rsidRDefault="006D33A5" w:rsidP="006D33A5">
      <w:pPr>
        <w:ind w:left="720"/>
      </w:pPr>
      <w:r w:rsidRPr="0058047D">
        <w:rPr>
          <w:rFonts w:eastAsia="Calibri" w:cs="Tahoma"/>
          <w:color w:val="000000"/>
          <w:szCs w:val="18"/>
        </w:rPr>
        <w:t>Alcuni servizi online della famiglia di prodotti Office 365 (incluso Lync Online Piano 1,2 e 3) sono offerti come servizi di community cloud per enti pubblici e come servizi di community cloud per enti non pubblici.</w:t>
      </w:r>
      <w:r w:rsidR="00E34ED3" w:rsidRPr="0058047D">
        <w:rPr>
          <w:rFonts w:eastAsia="Calibri" w:cs="Tahoma"/>
          <w:color w:val="000000"/>
          <w:szCs w:val="18"/>
        </w:rPr>
        <w:t xml:space="preserve"> </w:t>
      </w:r>
      <w:r w:rsidRPr="0058047D">
        <w:rPr>
          <w:rFonts w:eastAsia="Calibri" w:cs="Tahoma"/>
          <w:color w:val="000000"/>
          <w:szCs w:val="18"/>
        </w:rPr>
        <w:t>Alle società potrà essere effettuato il provisioning come ente pubblico o non pubblico, ma non come una combinazione di entrambi.</w:t>
      </w:r>
      <w:r w:rsidR="00E34ED3" w:rsidRPr="0058047D">
        <w:rPr>
          <w:rFonts w:eastAsia="Calibri" w:cs="Tahoma"/>
          <w:color w:val="000000"/>
          <w:szCs w:val="18"/>
        </w:rPr>
        <w:t xml:space="preserve"> </w:t>
      </w:r>
      <w:r w:rsidRPr="0058047D">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E34ED3" w:rsidRPr="0058047D">
        <w:rPr>
          <w:rFonts w:eastAsia="Calibri" w:cs="Tahoma"/>
          <w:color w:val="000000"/>
          <w:szCs w:val="18"/>
        </w:rPr>
        <w:t xml:space="preserve"> </w:t>
      </w:r>
    </w:p>
    <w:p w14:paraId="1BD03A70" w14:textId="77777777" w:rsidR="006D33A5" w:rsidRPr="0058047D" w:rsidRDefault="006D33A5" w:rsidP="006D33A5">
      <w:pPr>
        <w:ind w:left="720"/>
      </w:pPr>
    </w:p>
    <w:p w14:paraId="1E5E9D9A" w14:textId="77777777" w:rsidR="006D33A5" w:rsidRPr="0058047D" w:rsidRDefault="006D33A5" w:rsidP="006D33A5">
      <w:pPr>
        <w:ind w:left="720"/>
      </w:pPr>
      <w:r w:rsidRPr="0058047D">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1C4212">
        <w:rPr>
          <w:rFonts w:eastAsia="Calibri" w:cs="Tahoma"/>
          <w:color w:val="000000"/>
          <w:szCs w:val="18"/>
        </w:rPr>
        <w:t>’</w:t>
      </w:r>
      <w:r w:rsidRPr="0058047D">
        <w:rPr>
          <w:rFonts w:eastAsia="Calibri" w:cs="Tahoma"/>
          <w:color w:val="000000"/>
          <w:szCs w:val="18"/>
        </w:rPr>
        <w:t>Iscrizione Enterprise o Enterprise Subscription per Enti Pubblici Statunitensi per essere idonei all</w:t>
      </w:r>
      <w:r w:rsidR="001C4212">
        <w:rPr>
          <w:rFonts w:eastAsia="Calibri" w:cs="Tahoma"/>
          <w:color w:val="000000"/>
          <w:szCs w:val="18"/>
        </w:rPr>
        <w:t>’</w:t>
      </w:r>
      <w:r w:rsidRPr="0058047D">
        <w:rPr>
          <w:rFonts w:eastAsia="Calibri" w:cs="Tahoma"/>
          <w:color w:val="000000"/>
          <w:szCs w:val="18"/>
        </w:rPr>
        <w:t>acquisto di servizi online designati come community cloud per enti pubblici.</w:t>
      </w:r>
      <w:r w:rsidR="00E34ED3" w:rsidRPr="0058047D">
        <w:rPr>
          <w:rFonts w:eastAsia="Calibri" w:cs="Tahoma"/>
          <w:color w:val="000000"/>
          <w:szCs w:val="18"/>
        </w:rPr>
        <w:t xml:space="preserve"> </w:t>
      </w:r>
      <w:r w:rsidRPr="0058047D">
        <w:rPr>
          <w:rFonts w:eastAsia="Calibri" w:cs="Tahoma"/>
          <w:color w:val="000000"/>
          <w:szCs w:val="18"/>
        </w:rPr>
        <w:t>I Diritti sull</w:t>
      </w:r>
      <w:r w:rsidR="001C4212">
        <w:rPr>
          <w:rFonts w:eastAsia="Calibri" w:cs="Tahoma"/>
          <w:color w:val="000000"/>
          <w:szCs w:val="18"/>
        </w:rPr>
        <w:t>’</w:t>
      </w:r>
      <w:r w:rsidRPr="0058047D">
        <w:rPr>
          <w:rFonts w:eastAsia="Calibri" w:cs="Tahoma"/>
          <w:color w:val="000000"/>
          <w:szCs w:val="18"/>
        </w:rPr>
        <w:t>Utilizzo relativi ai servizi di community cloud per enti pubblici sono simili a quelli dei loro equivalenti multi-tenant standard.</w:t>
      </w:r>
      <w:r w:rsidR="00E34ED3" w:rsidRPr="0058047D">
        <w:rPr>
          <w:rFonts w:eastAsia="Calibri" w:cs="Tahoma"/>
          <w:color w:val="000000"/>
          <w:szCs w:val="18"/>
        </w:rPr>
        <w:t xml:space="preserve"> </w:t>
      </w:r>
    </w:p>
    <w:p w14:paraId="2ED0D84A" w14:textId="77777777" w:rsidR="00FC31B7" w:rsidRPr="0058047D" w:rsidRDefault="00FC31B7" w:rsidP="00FC31B7">
      <w:pPr>
        <w:ind w:left="720"/>
      </w:pPr>
    </w:p>
    <w:p w14:paraId="1D066354" w14:textId="77777777" w:rsidR="00586FCE" w:rsidRPr="0058047D" w:rsidRDefault="00586FCE" w:rsidP="00FC31B7">
      <w:pPr>
        <w:ind w:left="720"/>
      </w:pPr>
    </w:p>
    <w:p w14:paraId="191D5C31" w14:textId="77777777" w:rsidR="004E0852" w:rsidRPr="0058047D" w:rsidRDefault="00D629A3" w:rsidP="004E0852">
      <w:pPr>
        <w:pStyle w:val="Heading2"/>
        <w:ind w:left="0"/>
      </w:pPr>
      <w:bookmarkStart w:id="1330" w:name="_62_Lync_Server"/>
      <w:bookmarkStart w:id="1331" w:name="_71_Lync_Server"/>
      <w:bookmarkStart w:id="1332" w:name="_Toc371663722"/>
      <w:bookmarkStart w:id="1333" w:name="_Toc336338326"/>
      <w:bookmarkStart w:id="1334" w:name="Srv_62LyncServer2010StandEnt"/>
      <w:bookmarkEnd w:id="1330"/>
      <w:bookmarkEnd w:id="1331"/>
      <w:r w:rsidRPr="0058047D">
        <w:rPr>
          <w:rFonts w:ascii="Tahoma" w:hAnsi="Tahoma" w:cs="Tahoma"/>
          <w:caps/>
          <w:color w:val="FA6500"/>
          <w:sz w:val="22"/>
          <w:vertAlign w:val="superscript"/>
        </w:rPr>
        <w:t xml:space="preserve">69 </w:t>
      </w:r>
      <w:r w:rsidRPr="0058047D">
        <w:rPr>
          <w:rFonts w:ascii="Tahoma" w:hAnsi="Tahoma" w:cs="Tahoma"/>
          <w:color w:val="FA6500"/>
          <w:sz w:val="22"/>
        </w:rPr>
        <w:t>Lync Server 2013</w:t>
      </w:r>
      <w:bookmarkEnd w:id="1332"/>
      <w:r w:rsidRPr="0058047D">
        <w:rPr>
          <w:rFonts w:ascii="Tahoma" w:hAnsi="Tahoma" w:cs="Tahoma"/>
          <w:color w:val="FA6500"/>
          <w:sz w:val="22"/>
        </w:rPr>
        <w:t xml:space="preserve"> </w:t>
      </w:r>
    </w:p>
    <w:p w14:paraId="16669301" w14:textId="77777777" w:rsidR="004E0852" w:rsidRPr="0058047D" w:rsidRDefault="004E0852" w:rsidP="004E0852">
      <w:pPr>
        <w:ind w:left="720"/>
      </w:pPr>
    </w:p>
    <w:p w14:paraId="7822409C" w14:textId="77777777" w:rsidR="004E0852" w:rsidRPr="0058047D" w:rsidRDefault="004E0852" w:rsidP="004E0852">
      <w:pPr>
        <w:ind w:left="720"/>
      </w:pPr>
      <w:r w:rsidRPr="0058047D">
        <w:rPr>
          <w:rFonts w:cs="Tahoma"/>
          <w:color w:val="000000"/>
          <w:szCs w:val="18"/>
        </w:rPr>
        <w:t>Lync Server 2013 è l</w:t>
      </w:r>
      <w:r w:rsidR="001C4212">
        <w:rPr>
          <w:rFonts w:cs="Tahoma"/>
          <w:color w:val="000000"/>
          <w:szCs w:val="18"/>
        </w:rPr>
        <w:t>’</w:t>
      </w:r>
      <w:r w:rsidRPr="0058047D">
        <w:rPr>
          <w:rFonts w:cs="Tahoma"/>
          <w:color w:val="000000"/>
          <w:szCs w:val="18"/>
        </w:rPr>
        <w:t>ultima versione di Lync Server.</w:t>
      </w:r>
      <w:r w:rsidR="00E34ED3" w:rsidRPr="0058047D">
        <w:rPr>
          <w:rFonts w:cs="Tahoma"/>
          <w:color w:val="000000"/>
          <w:szCs w:val="18"/>
        </w:rPr>
        <w:t xml:space="preserve"> </w:t>
      </w:r>
      <w:r w:rsidRPr="0058047D">
        <w:rPr>
          <w:rFonts w:cs="Tahoma"/>
          <w:color w:val="000000"/>
          <w:szCs w:val="18"/>
        </w:rPr>
        <w:t xml:space="preserve">Le società con Software Assurance attiva per Lync Server 2010 Standard o Enterprise </w:t>
      </w:r>
      <w:bookmarkEnd w:id="1333"/>
      <w:r w:rsidRPr="0058047D">
        <w:rPr>
          <w:rFonts w:cs="Tahoma"/>
          <w:color w:val="000000"/>
          <w:szCs w:val="18"/>
        </w:rPr>
        <w:t>al 1 ottobre 2012 potranno eseguire l</w:t>
      </w:r>
      <w:r w:rsidR="001C4212">
        <w:rPr>
          <w:rFonts w:cs="Tahoma"/>
          <w:color w:val="000000"/>
          <w:szCs w:val="18"/>
        </w:rPr>
        <w:t>’</w:t>
      </w:r>
      <w:r w:rsidRPr="0058047D">
        <w:rPr>
          <w:rFonts w:cs="Tahoma"/>
          <w:color w:val="000000"/>
          <w:szCs w:val="18"/>
        </w:rPr>
        <w:t>aggiornamento a Lync Server 2013 e utilizzare tale prodotto al posto delle corrispondenti copie con licenza di Lync Server 2010.</w:t>
      </w:r>
    </w:p>
    <w:bookmarkEnd w:id="1334"/>
    <w:p w14:paraId="5515AA2A" w14:textId="77777777" w:rsidR="00CD0D74" w:rsidRPr="0058047D" w:rsidRDefault="00CD0D74" w:rsidP="00CD0D74">
      <w:pPr>
        <w:ind w:left="720"/>
      </w:pPr>
    </w:p>
    <w:p w14:paraId="3B2DF316" w14:textId="77777777" w:rsidR="00CD0D74" w:rsidRPr="0058047D" w:rsidRDefault="00CD0D74" w:rsidP="00CD0D74">
      <w:pPr>
        <w:ind w:left="720"/>
      </w:pPr>
      <w:r w:rsidRPr="0058047D">
        <w:rPr>
          <w:rFonts w:cs="Tahoma"/>
          <w:color w:val="000000"/>
          <w:szCs w:val="18"/>
        </w:rPr>
        <w:t>Le licenze CAL per Lync Server 2013 sono le versioni successive delle licenze CAL per Lync Server 2010.</w:t>
      </w:r>
      <w:r w:rsidR="00E34ED3" w:rsidRPr="0058047D">
        <w:rPr>
          <w:rFonts w:cs="Tahoma"/>
          <w:color w:val="000000"/>
          <w:szCs w:val="18"/>
        </w:rPr>
        <w:t xml:space="preserve"> </w:t>
      </w:r>
    </w:p>
    <w:p w14:paraId="6CD3670F" w14:textId="77777777" w:rsidR="00CD0D74" w:rsidRPr="0058047D" w:rsidRDefault="00CD0D74" w:rsidP="00CD0D74">
      <w:pPr>
        <w:ind w:left="720"/>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58047D" w14:paraId="54F28404" w14:textId="77777777" w:rsidTr="0057135E">
        <w:trPr>
          <w:trHeight w:val="332"/>
        </w:trPr>
        <w:tc>
          <w:tcPr>
            <w:tcW w:w="4500" w:type="dxa"/>
            <w:shd w:val="clear" w:color="auto" w:fill="FABF8F"/>
          </w:tcPr>
          <w:p w14:paraId="0525A303" w14:textId="77777777" w:rsidR="00CD0D74" w:rsidRPr="0058047D" w:rsidRDefault="00CD0D74" w:rsidP="0057135E">
            <w:pPr>
              <w:rPr>
                <w:rFonts w:cs="Tahoma"/>
                <w:b/>
                <w:color w:val="000000"/>
                <w:szCs w:val="18"/>
              </w:rPr>
            </w:pPr>
            <w:r w:rsidRPr="0058047D">
              <w:rPr>
                <w:rFonts w:cs="Tahoma"/>
                <w:b/>
                <w:color w:val="000000"/>
                <w:szCs w:val="18"/>
              </w:rPr>
              <w:t>Licenza CAL per Lync Server 2010</w:t>
            </w:r>
          </w:p>
        </w:tc>
        <w:tc>
          <w:tcPr>
            <w:tcW w:w="3600" w:type="dxa"/>
            <w:shd w:val="clear" w:color="auto" w:fill="FABF8F"/>
          </w:tcPr>
          <w:p w14:paraId="0FEB679C" w14:textId="77777777" w:rsidR="00CD0D74" w:rsidRPr="0058047D" w:rsidRDefault="00CD0D74" w:rsidP="0057135E">
            <w:pPr>
              <w:rPr>
                <w:rFonts w:cs="Tahoma"/>
                <w:b/>
                <w:color w:val="000000"/>
                <w:szCs w:val="18"/>
              </w:rPr>
            </w:pPr>
            <w:r w:rsidRPr="0058047D">
              <w:rPr>
                <w:rFonts w:cs="Tahoma"/>
                <w:b/>
                <w:color w:val="000000"/>
                <w:szCs w:val="18"/>
              </w:rPr>
              <w:t>Versione Successiva</w:t>
            </w:r>
          </w:p>
        </w:tc>
      </w:tr>
      <w:tr w:rsidR="00CD0D74" w:rsidRPr="0058047D" w14:paraId="5CF1C4AC" w14:textId="77777777" w:rsidTr="0057135E">
        <w:trPr>
          <w:trHeight w:val="70"/>
        </w:trPr>
        <w:tc>
          <w:tcPr>
            <w:tcW w:w="4500" w:type="dxa"/>
            <w:shd w:val="clear" w:color="auto" w:fill="auto"/>
          </w:tcPr>
          <w:p w14:paraId="76BF7E11" w14:textId="77777777" w:rsidR="00CD0D74" w:rsidRPr="0058047D" w:rsidRDefault="00CD0D74" w:rsidP="0057135E">
            <w:pPr>
              <w:rPr>
                <w:rFonts w:cs="Tahoma"/>
                <w:color w:val="000000"/>
                <w:szCs w:val="18"/>
              </w:rPr>
            </w:pPr>
            <w:r w:rsidRPr="0058047D">
              <w:rPr>
                <w:rFonts w:cs="Tahoma"/>
                <w:color w:val="000000"/>
                <w:szCs w:val="18"/>
              </w:rPr>
              <w:t xml:space="preserve">Plus CAL per Lync Server 2010 </w:t>
            </w:r>
          </w:p>
        </w:tc>
        <w:tc>
          <w:tcPr>
            <w:tcW w:w="3600" w:type="dxa"/>
            <w:shd w:val="clear" w:color="auto" w:fill="auto"/>
          </w:tcPr>
          <w:p w14:paraId="2B54529B" w14:textId="77777777" w:rsidR="00CD0D74" w:rsidRPr="0058047D" w:rsidRDefault="00CD0D74" w:rsidP="0057135E">
            <w:pPr>
              <w:rPr>
                <w:rFonts w:cs="Tahoma"/>
                <w:color w:val="000000"/>
                <w:szCs w:val="18"/>
              </w:rPr>
            </w:pPr>
            <w:r w:rsidRPr="0058047D">
              <w:rPr>
                <w:rFonts w:cs="Tahoma"/>
                <w:color w:val="000000"/>
                <w:szCs w:val="18"/>
              </w:rPr>
              <w:t>Plus CAL per Lync Server 2013</w:t>
            </w:r>
          </w:p>
        </w:tc>
      </w:tr>
      <w:tr w:rsidR="00CD0D74" w:rsidRPr="0058047D" w14:paraId="1C6BBD67" w14:textId="77777777" w:rsidTr="0057135E">
        <w:trPr>
          <w:trHeight w:val="70"/>
        </w:trPr>
        <w:tc>
          <w:tcPr>
            <w:tcW w:w="4500" w:type="dxa"/>
            <w:shd w:val="clear" w:color="auto" w:fill="auto"/>
          </w:tcPr>
          <w:p w14:paraId="4212D573" w14:textId="77777777" w:rsidR="00CD0D74" w:rsidRPr="0058047D" w:rsidRDefault="00CD0D74" w:rsidP="0057135E">
            <w:pPr>
              <w:rPr>
                <w:rFonts w:cs="Tahoma"/>
                <w:color w:val="000000"/>
                <w:szCs w:val="18"/>
              </w:rPr>
            </w:pPr>
            <w:r w:rsidRPr="0058047D">
              <w:rPr>
                <w:rFonts w:cs="Tahoma"/>
                <w:color w:val="000000"/>
                <w:szCs w:val="18"/>
              </w:rPr>
              <w:t xml:space="preserve">Enterprise CAL per Lync Server 2010 </w:t>
            </w:r>
          </w:p>
        </w:tc>
        <w:tc>
          <w:tcPr>
            <w:tcW w:w="3600" w:type="dxa"/>
            <w:shd w:val="clear" w:color="auto" w:fill="auto"/>
          </w:tcPr>
          <w:p w14:paraId="679363E2" w14:textId="77777777" w:rsidR="00CD0D74" w:rsidRPr="0058047D" w:rsidRDefault="00CD0D74" w:rsidP="0057135E">
            <w:pPr>
              <w:rPr>
                <w:rFonts w:cs="Tahoma"/>
                <w:color w:val="000000"/>
                <w:szCs w:val="18"/>
              </w:rPr>
            </w:pPr>
            <w:r w:rsidRPr="0058047D">
              <w:rPr>
                <w:rFonts w:cs="Tahoma"/>
                <w:color w:val="000000"/>
                <w:szCs w:val="18"/>
              </w:rPr>
              <w:t>Enterprise CAL per Lync Server 2013</w:t>
            </w:r>
          </w:p>
        </w:tc>
      </w:tr>
      <w:tr w:rsidR="00CD0D74" w:rsidRPr="0058047D" w14:paraId="7E1F6596" w14:textId="77777777" w:rsidTr="0057135E">
        <w:trPr>
          <w:trHeight w:val="70"/>
        </w:trPr>
        <w:tc>
          <w:tcPr>
            <w:tcW w:w="4500" w:type="dxa"/>
            <w:shd w:val="clear" w:color="auto" w:fill="auto"/>
          </w:tcPr>
          <w:p w14:paraId="6C4DEC43" w14:textId="77777777" w:rsidR="00CD0D74" w:rsidRPr="0058047D" w:rsidRDefault="00CD0D74" w:rsidP="0057135E">
            <w:pPr>
              <w:rPr>
                <w:rFonts w:cs="Tahoma"/>
                <w:color w:val="000000"/>
                <w:szCs w:val="18"/>
              </w:rPr>
            </w:pPr>
            <w:r w:rsidRPr="0058047D">
              <w:rPr>
                <w:rFonts w:cs="Tahoma"/>
                <w:color w:val="000000"/>
                <w:szCs w:val="18"/>
              </w:rPr>
              <w:t xml:space="preserve">Standard CAL per Lync Server 2010 </w:t>
            </w:r>
          </w:p>
        </w:tc>
        <w:tc>
          <w:tcPr>
            <w:tcW w:w="3600" w:type="dxa"/>
            <w:shd w:val="clear" w:color="auto" w:fill="auto"/>
          </w:tcPr>
          <w:p w14:paraId="046DAA00" w14:textId="77777777" w:rsidR="00CD0D74" w:rsidRPr="0058047D" w:rsidRDefault="00CD0D74" w:rsidP="0057135E">
            <w:pPr>
              <w:rPr>
                <w:rFonts w:cs="Tahoma"/>
                <w:color w:val="000000"/>
                <w:szCs w:val="18"/>
              </w:rPr>
            </w:pPr>
            <w:r w:rsidRPr="0058047D">
              <w:rPr>
                <w:rFonts w:cs="Tahoma"/>
                <w:color w:val="000000"/>
                <w:szCs w:val="18"/>
              </w:rPr>
              <w:t>Standard CAL per Lync Server 2013</w:t>
            </w:r>
          </w:p>
        </w:tc>
      </w:tr>
    </w:tbl>
    <w:p w14:paraId="1589366A" w14:textId="77777777" w:rsidR="004E0852" w:rsidRPr="0058047D" w:rsidRDefault="004E0852" w:rsidP="003D0252"/>
    <w:p w14:paraId="4BF92AFE" w14:textId="77777777" w:rsidR="004E0852" w:rsidRPr="0058047D" w:rsidRDefault="004E0852" w:rsidP="0080323A">
      <w:pPr>
        <w:spacing w:after="60"/>
        <w:ind w:left="720"/>
      </w:pPr>
      <w:r w:rsidRPr="0058047D">
        <w:rPr>
          <w:rFonts w:cs="Tahoma"/>
          <w:b/>
          <w:color w:val="000000"/>
          <w:szCs w:val="18"/>
        </w:rPr>
        <w:t>Concessione di Licenza per le Società Titolari della Licenza External Connector per Lync Server 2010 Enterprise, della Licenza External Connector per Lync Server 2010 Plus e della Licenza External Connector per Lync Server 2010 Standard</w:t>
      </w:r>
    </w:p>
    <w:p w14:paraId="30F32BBD" w14:textId="77777777" w:rsidR="00D57009" w:rsidRPr="0058047D" w:rsidRDefault="004E0852" w:rsidP="003C3A72">
      <w:pPr>
        <w:ind w:left="720"/>
      </w:pPr>
      <w:r w:rsidRPr="0058047D">
        <w:rPr>
          <w:rFonts w:cs="Tahoma"/>
          <w:color w:val="000000"/>
          <w:szCs w:val="18"/>
        </w:rPr>
        <w:t>La versione 2010 della Licenza External Connector per Lync Server Enterprise, della Licenza External Connector per Lync Server Plus e della Licenza External Connector per Lync Server Standard è la versione finale di tali licenze.</w:t>
      </w:r>
      <w:r w:rsidR="00E34ED3" w:rsidRPr="0058047D">
        <w:rPr>
          <w:rFonts w:cs="Tahoma"/>
          <w:color w:val="000000"/>
          <w:szCs w:val="18"/>
        </w:rPr>
        <w:t xml:space="preserve"> </w:t>
      </w:r>
      <w:r w:rsidRPr="0058047D">
        <w:rPr>
          <w:rFonts w:cs="Tahoma"/>
          <w:color w:val="000000"/>
          <w:szCs w:val="18"/>
        </w:rPr>
        <w:t>Alla luce di ciò, le società con licenze External Connector per Lync Server 2010 Enterprise, External Connector per Lync Server 2010 Plus ed External Connector per Lync Server 2010 Standard con copertura Software Assurance attiva a partire dal 1 ottobre 2012 sono idonee alle concessioni di licenze che seguono.</w:t>
      </w:r>
    </w:p>
    <w:p w14:paraId="7BE1C6DA" w14:textId="77777777" w:rsidR="004E0852" w:rsidRPr="0058047D" w:rsidRDefault="004E0852" w:rsidP="004E0852">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58047D" w14:paraId="1696C888" w14:textId="77777777" w:rsidTr="00BD1A6A">
        <w:trPr>
          <w:trHeight w:val="332"/>
        </w:trPr>
        <w:tc>
          <w:tcPr>
            <w:tcW w:w="4500" w:type="dxa"/>
            <w:shd w:val="clear" w:color="auto" w:fill="FABF8F"/>
          </w:tcPr>
          <w:p w14:paraId="1F968731" w14:textId="77777777" w:rsidR="00BD1A6A" w:rsidRPr="0058047D" w:rsidRDefault="00BD1A6A" w:rsidP="007B35CE">
            <w:pPr>
              <w:keepNext/>
              <w:rPr>
                <w:rFonts w:cs="Tahoma"/>
                <w:b/>
                <w:color w:val="000000"/>
                <w:szCs w:val="18"/>
              </w:rPr>
            </w:pPr>
            <w:r w:rsidRPr="0058047D">
              <w:rPr>
                <w:rFonts w:cs="Tahoma"/>
                <w:b/>
                <w:color w:val="000000"/>
                <w:szCs w:val="18"/>
              </w:rPr>
              <w:t>Licenza Qualificante</w:t>
            </w:r>
          </w:p>
        </w:tc>
        <w:tc>
          <w:tcPr>
            <w:tcW w:w="3600" w:type="dxa"/>
            <w:shd w:val="clear" w:color="auto" w:fill="FABF8F"/>
          </w:tcPr>
          <w:p w14:paraId="6CCD2F26" w14:textId="77777777" w:rsidR="00BD1A6A" w:rsidRPr="0058047D" w:rsidRDefault="00BD1A6A" w:rsidP="002C3AB1">
            <w:pPr>
              <w:rPr>
                <w:rFonts w:cs="Tahoma"/>
                <w:b/>
                <w:color w:val="000000"/>
                <w:szCs w:val="18"/>
              </w:rPr>
            </w:pPr>
            <w:r w:rsidRPr="0058047D">
              <w:rPr>
                <w:rFonts w:cs="Tahoma"/>
                <w:b/>
                <w:color w:val="000000"/>
                <w:szCs w:val="18"/>
              </w:rPr>
              <w:t>Licenza Gratuita e Vantaggi</w:t>
            </w:r>
          </w:p>
        </w:tc>
      </w:tr>
      <w:tr w:rsidR="00BD1A6A" w:rsidRPr="0058047D" w14:paraId="013E31F4" w14:textId="77777777" w:rsidTr="00BD1A6A">
        <w:trPr>
          <w:trHeight w:val="70"/>
        </w:trPr>
        <w:tc>
          <w:tcPr>
            <w:tcW w:w="4500" w:type="dxa"/>
            <w:shd w:val="clear" w:color="auto" w:fill="auto"/>
          </w:tcPr>
          <w:p w14:paraId="3197C979" w14:textId="77777777" w:rsidR="00BD1A6A" w:rsidRPr="0058047D" w:rsidRDefault="00BD1A6A" w:rsidP="007B35CE">
            <w:pPr>
              <w:keepNext/>
              <w:rPr>
                <w:rFonts w:cs="Tahoma"/>
                <w:color w:val="000000"/>
                <w:szCs w:val="18"/>
              </w:rPr>
            </w:pPr>
            <w:r w:rsidRPr="0058047D">
              <w:rPr>
                <w:rFonts w:cs="Tahoma"/>
                <w:color w:val="000000"/>
                <w:szCs w:val="18"/>
              </w:rPr>
              <w:t>Licenza Enterprise External Connector per Lync Server 2010 con Software Assurance attiva a partire dal 1 ottobre 2012</w:t>
            </w:r>
          </w:p>
        </w:tc>
        <w:tc>
          <w:tcPr>
            <w:tcW w:w="3600" w:type="dxa"/>
            <w:shd w:val="clear" w:color="auto" w:fill="auto"/>
          </w:tcPr>
          <w:p w14:paraId="2718E60C" w14:textId="77777777" w:rsidR="00BD1A6A" w:rsidRPr="0058047D" w:rsidRDefault="00BD1A6A" w:rsidP="002C3AB1">
            <w:pPr>
              <w:rPr>
                <w:rFonts w:cs="Tahoma"/>
                <w:color w:val="000000"/>
                <w:szCs w:val="18"/>
              </w:rPr>
            </w:pPr>
            <w:r w:rsidRPr="0058047D">
              <w:rPr>
                <w:rFonts w:cs="Tahoma"/>
                <w:color w:val="000000"/>
                <w:szCs w:val="18"/>
              </w:rPr>
              <w:t>Licenza per Lync Server 2013</w:t>
            </w:r>
          </w:p>
        </w:tc>
      </w:tr>
      <w:tr w:rsidR="00BD1A6A" w:rsidRPr="0058047D" w14:paraId="7C43BDF9" w14:textId="77777777" w:rsidTr="00BD1A6A">
        <w:trPr>
          <w:trHeight w:val="70"/>
        </w:trPr>
        <w:tc>
          <w:tcPr>
            <w:tcW w:w="4500" w:type="dxa"/>
            <w:shd w:val="clear" w:color="auto" w:fill="auto"/>
          </w:tcPr>
          <w:p w14:paraId="4A0F1E14" w14:textId="77777777" w:rsidR="00BD1A6A" w:rsidRPr="0058047D" w:rsidRDefault="00BD1A6A" w:rsidP="003678D7">
            <w:pPr>
              <w:rPr>
                <w:rFonts w:cs="Tahoma"/>
                <w:color w:val="000000"/>
                <w:szCs w:val="18"/>
              </w:rPr>
            </w:pPr>
            <w:r w:rsidRPr="0058047D">
              <w:rPr>
                <w:rFonts w:cs="Tahoma"/>
                <w:color w:val="000000"/>
                <w:szCs w:val="18"/>
              </w:rPr>
              <w:t>Licenza Plus External Connector per Lync Server 2010 con Software Assurance attiva a partire dal 1 ottobre 2012</w:t>
            </w:r>
          </w:p>
        </w:tc>
        <w:tc>
          <w:tcPr>
            <w:tcW w:w="3600" w:type="dxa"/>
            <w:shd w:val="clear" w:color="auto" w:fill="auto"/>
          </w:tcPr>
          <w:p w14:paraId="4101C733" w14:textId="77777777" w:rsidR="00BD1A6A" w:rsidRPr="0058047D" w:rsidRDefault="00BD1A6A" w:rsidP="002C3AB1">
            <w:pPr>
              <w:rPr>
                <w:rFonts w:cs="Tahoma"/>
                <w:color w:val="000000"/>
                <w:szCs w:val="18"/>
              </w:rPr>
            </w:pPr>
            <w:r w:rsidRPr="0058047D">
              <w:rPr>
                <w:rFonts w:cs="Tahoma"/>
                <w:color w:val="000000"/>
                <w:szCs w:val="18"/>
              </w:rPr>
              <w:t>Licenza per Lync Server 2013</w:t>
            </w:r>
          </w:p>
        </w:tc>
      </w:tr>
      <w:tr w:rsidR="00BD1A6A" w:rsidRPr="0058047D" w14:paraId="2401BB5C" w14:textId="77777777" w:rsidTr="00BD1A6A">
        <w:trPr>
          <w:trHeight w:val="70"/>
        </w:trPr>
        <w:tc>
          <w:tcPr>
            <w:tcW w:w="4500" w:type="dxa"/>
            <w:shd w:val="clear" w:color="auto" w:fill="auto"/>
          </w:tcPr>
          <w:p w14:paraId="4DDC007A" w14:textId="77777777" w:rsidR="00BD1A6A" w:rsidRPr="0058047D" w:rsidRDefault="00BD1A6A" w:rsidP="003678D7">
            <w:pPr>
              <w:rPr>
                <w:rFonts w:cs="Tahoma"/>
                <w:color w:val="000000"/>
                <w:szCs w:val="18"/>
              </w:rPr>
            </w:pPr>
            <w:r w:rsidRPr="0058047D">
              <w:rPr>
                <w:rFonts w:cs="Tahoma"/>
                <w:color w:val="000000"/>
                <w:szCs w:val="18"/>
              </w:rPr>
              <w:t>Licenza Standard External Connector per Lync Server 2010 con Software Assurance attiva a partire dal 1 ottobre 2012</w:t>
            </w:r>
          </w:p>
        </w:tc>
        <w:tc>
          <w:tcPr>
            <w:tcW w:w="3600" w:type="dxa"/>
            <w:shd w:val="clear" w:color="auto" w:fill="auto"/>
          </w:tcPr>
          <w:p w14:paraId="0C0B2E73" w14:textId="77777777" w:rsidR="00BD1A6A" w:rsidRPr="0058047D" w:rsidRDefault="00BD1A6A" w:rsidP="002C3AB1">
            <w:pPr>
              <w:rPr>
                <w:rFonts w:cs="Tahoma"/>
                <w:color w:val="000000"/>
                <w:szCs w:val="18"/>
              </w:rPr>
            </w:pPr>
            <w:r w:rsidRPr="0058047D">
              <w:rPr>
                <w:rFonts w:cs="Tahoma"/>
                <w:color w:val="000000"/>
                <w:szCs w:val="18"/>
              </w:rPr>
              <w:t>Licenza per Lync Server 2013</w:t>
            </w:r>
          </w:p>
        </w:tc>
      </w:tr>
    </w:tbl>
    <w:p w14:paraId="717D7A22" w14:textId="77777777" w:rsidR="004E0852" w:rsidRPr="0058047D" w:rsidRDefault="004E0852" w:rsidP="004E0852">
      <w:pPr>
        <w:ind w:left="720"/>
        <w:jc w:val="both"/>
      </w:pPr>
    </w:p>
    <w:p w14:paraId="75C34FA7" w14:textId="77777777" w:rsidR="004E0852" w:rsidRPr="0058047D" w:rsidRDefault="004E0852" w:rsidP="004E0852">
      <w:pPr>
        <w:ind w:left="720"/>
      </w:pPr>
      <w:r w:rsidRPr="0058047D">
        <w:rPr>
          <w:rFonts w:cs="Tahoma"/>
          <w:color w:val="000000"/>
          <w:szCs w:val="18"/>
        </w:rPr>
        <w:t xml:space="preserve"> Le condizioni che seguono si applicano alle concessioni di licenze riportate sopra.</w:t>
      </w:r>
    </w:p>
    <w:p w14:paraId="60D3A9AF" w14:textId="77777777" w:rsidR="004E0852" w:rsidRPr="0058047D" w:rsidRDefault="004E0852" w:rsidP="004E0852">
      <w:pPr>
        <w:ind w:left="720"/>
      </w:pPr>
    </w:p>
    <w:p w14:paraId="33218DB2" w14:textId="77777777" w:rsidR="004E0852" w:rsidRPr="0058047D" w:rsidRDefault="004E0852" w:rsidP="00346F4B">
      <w:pPr>
        <w:numPr>
          <w:ilvl w:val="0"/>
          <w:numId w:val="101"/>
        </w:numPr>
        <w:spacing w:after="60"/>
        <w:ind w:left="1440"/>
      </w:pPr>
      <w:r w:rsidRPr="0058047D">
        <w:rPr>
          <w:rFonts w:cs="Tahoma"/>
          <w:bCs/>
          <w:color w:val="000000"/>
          <w:szCs w:val="18"/>
          <w:u w:val="single"/>
        </w:rPr>
        <w:t>Percorso di Migrazione</w:t>
      </w:r>
      <w:r w:rsidRPr="00DA0170">
        <w:rPr>
          <w:rFonts w:cs="Tahoma"/>
          <w:color w:val="000000"/>
          <w:szCs w:val="18"/>
        </w:rPr>
        <w:t>:</w:t>
      </w:r>
      <w:r w:rsidRPr="0058047D">
        <w:rPr>
          <w:rFonts w:cs="Tahoma"/>
          <w:color w:val="000000"/>
          <w:szCs w:val="18"/>
        </w:rPr>
        <w:t xml:space="preserve"> le società con copertura Software Assurance attiva per una determinata Licenza Qualificante a partire dal 1 ottobre 2012 e in occasione del rilascio della versione commerciale di Lync Server 2013 sono idonee a effettuare l</w:t>
      </w:r>
      <w:r w:rsidR="001C4212">
        <w:rPr>
          <w:rFonts w:cs="Tahoma"/>
          <w:color w:val="000000"/>
          <w:szCs w:val="18"/>
        </w:rPr>
        <w:t>’</w:t>
      </w:r>
      <w:r w:rsidRPr="0058047D">
        <w:rPr>
          <w:rFonts w:cs="Tahoma"/>
          <w:color w:val="000000"/>
          <w:szCs w:val="18"/>
        </w:rPr>
        <w:t>aggiornamento al software Lync Server 2013 e a utilizzarlo ai sensi della Licenza Gratuita al posto del software Lync Server 2010 ai sensi della corrispondente licenza External Connector qualificante.</w:t>
      </w:r>
      <w:r w:rsidR="00E34ED3" w:rsidRPr="0058047D">
        <w:rPr>
          <w:rFonts w:cs="Tahoma"/>
          <w:color w:val="000000"/>
          <w:szCs w:val="18"/>
        </w:rPr>
        <w:t xml:space="preserve"> </w:t>
      </w:r>
    </w:p>
    <w:p w14:paraId="2945A774" w14:textId="77777777" w:rsidR="004E0852" w:rsidRPr="0058047D" w:rsidRDefault="004E0852" w:rsidP="00346F4B">
      <w:pPr>
        <w:numPr>
          <w:ilvl w:val="0"/>
          <w:numId w:val="101"/>
        </w:numPr>
        <w:spacing w:after="60"/>
        <w:ind w:left="1440"/>
      </w:pPr>
      <w:r w:rsidRPr="0058047D">
        <w:rPr>
          <w:rFonts w:cs="Tahoma"/>
          <w:color w:val="000000"/>
          <w:szCs w:val="18"/>
          <w:u w:val="single"/>
        </w:rPr>
        <w:t>Diritti sull</w:t>
      </w:r>
      <w:r w:rsidR="001C4212">
        <w:rPr>
          <w:rFonts w:cs="Tahoma"/>
          <w:color w:val="000000"/>
          <w:szCs w:val="18"/>
          <w:u w:val="single"/>
        </w:rPr>
        <w:t>’</w:t>
      </w:r>
      <w:r w:rsidRPr="0058047D">
        <w:rPr>
          <w:rFonts w:cs="Tahoma"/>
          <w:color w:val="000000"/>
          <w:szCs w:val="18"/>
          <w:u w:val="single"/>
        </w:rPr>
        <w:t>utilizzo</w:t>
      </w:r>
      <w:r w:rsidRPr="0058047D">
        <w:rPr>
          <w:rFonts w:cs="Tahoma"/>
          <w:color w:val="000000"/>
          <w:szCs w:val="18"/>
        </w:rPr>
        <w:t>: il diritto di utilizzo del software ai sensi della Licenza Gratuita della presente offerta scadrà alla scadenza del diritto di utilizzo del software ai sensi della Licenza Qualificante.</w:t>
      </w:r>
      <w:r w:rsidR="00E34ED3" w:rsidRPr="0058047D">
        <w:rPr>
          <w:rFonts w:cs="Tahoma"/>
          <w:color w:val="000000"/>
          <w:szCs w:val="18"/>
        </w:rPr>
        <w:t xml:space="preserve"> </w:t>
      </w:r>
      <w:r w:rsidRPr="0058047D">
        <w:rPr>
          <w:rFonts w:cs="Tahoma"/>
          <w:color w:val="000000"/>
          <w:szCs w:val="18"/>
        </w:rPr>
        <w:t>L</w:t>
      </w:r>
      <w:r w:rsidR="001C4212">
        <w:rPr>
          <w:rFonts w:cs="Tahoma"/>
          <w:color w:val="000000"/>
          <w:szCs w:val="18"/>
        </w:rPr>
        <w:t>’</w:t>
      </w:r>
      <w:r w:rsidRPr="0058047D">
        <w:rPr>
          <w:rFonts w:cs="Tahoma"/>
          <w:color w:val="000000"/>
          <w:szCs w:val="18"/>
        </w:rPr>
        <w:t>utilizzo di tale software è disciplinato dai diritti sull</w:t>
      </w:r>
      <w:r w:rsidR="001C4212">
        <w:rPr>
          <w:rFonts w:cs="Tahoma"/>
          <w:color w:val="000000"/>
          <w:szCs w:val="18"/>
        </w:rPr>
        <w:t>’</w:t>
      </w:r>
      <w:r w:rsidRPr="0058047D">
        <w:rPr>
          <w:rFonts w:cs="Tahoma"/>
          <w:color w:val="000000"/>
          <w:szCs w:val="18"/>
        </w:rPr>
        <w:t>utilizzo del software e dalle condizioni del Contratto Multilicenza della società.</w:t>
      </w:r>
      <w:r w:rsidR="00E34ED3" w:rsidRPr="0058047D">
        <w:rPr>
          <w:rFonts w:cs="Tahoma"/>
          <w:color w:val="000000"/>
          <w:szCs w:val="18"/>
        </w:rPr>
        <w:t xml:space="preserve"> </w:t>
      </w:r>
      <w:r w:rsidRPr="0058047D">
        <w:rPr>
          <w:rFonts w:cs="Tahoma"/>
          <w:color w:val="000000"/>
          <w:szCs w:val="18"/>
        </w:rPr>
        <w:t xml:space="preserve">Questa nota relativa alle condizioni del prodotto e la prova da parte della società della corrispondente Licenza e Software Assurance (L&amp;SA) Qualificante costituiscono insieme la prova del diritto di utilizzo del software ai sensi della Licenza Gratuita della presente offerta. </w:t>
      </w:r>
    </w:p>
    <w:p w14:paraId="7035D30C" w14:textId="77777777" w:rsidR="004E0852" w:rsidRPr="00DA0170" w:rsidRDefault="004E0852" w:rsidP="003D0252">
      <w:pPr>
        <w:numPr>
          <w:ilvl w:val="0"/>
          <w:numId w:val="8"/>
        </w:numPr>
        <w:spacing w:after="60"/>
        <w:ind w:left="1440"/>
      </w:pPr>
      <w:r w:rsidRPr="0058047D">
        <w:rPr>
          <w:rFonts w:cs="Tahoma"/>
          <w:color w:val="000000"/>
          <w:szCs w:val="18"/>
          <w:u w:val="single"/>
        </w:rPr>
        <w:t>Licenza e Software Assurance (L&amp;SA)</w:t>
      </w:r>
      <w:r w:rsidRPr="0058047D">
        <w:rPr>
          <w:rFonts w:cs="Tahoma"/>
          <w:color w:val="000000"/>
          <w:szCs w:val="18"/>
        </w:rPr>
        <w:t>: la Licenza Gratuita include la copertura Software Assurance.</w:t>
      </w:r>
      <w:r w:rsidR="00E34ED3" w:rsidRPr="0058047D">
        <w:rPr>
          <w:rFonts w:cs="Tahoma"/>
          <w:color w:val="000000"/>
          <w:szCs w:val="18"/>
        </w:rPr>
        <w:t xml:space="preserve"> </w:t>
      </w:r>
      <w:r w:rsidRPr="0058047D">
        <w:rPr>
          <w:rFonts w:cs="Tahoma"/>
          <w:color w:val="000000"/>
          <w:szCs w:val="18"/>
        </w:rPr>
        <w:t>La copertura Software Assurance per la Licenza Gratuita scadrà alla scadenza della copertura per la Licenza Qualificante.</w:t>
      </w:r>
      <w:r w:rsidR="00E34ED3" w:rsidRPr="0058047D">
        <w:rPr>
          <w:rFonts w:cs="Tahoma"/>
          <w:color w:val="000000"/>
          <w:szCs w:val="18"/>
        </w:rPr>
        <w:t xml:space="preserve"> </w:t>
      </w:r>
      <w:r w:rsidRPr="0058047D">
        <w:rPr>
          <w:rFonts w:cs="Tahoma"/>
          <w:color w:val="000000"/>
          <w:szCs w:val="18"/>
        </w:rPr>
        <w:t>Alla scadenza della copertura Software Assurance per la Licenza Qualificante, la società potrà rinnovare Software Assurance per la Licenza Gratuita senza dover acquistare una nuova licenza specifica.</w:t>
      </w:r>
    </w:p>
    <w:p w14:paraId="5BEE5F41" w14:textId="77777777" w:rsidR="00DA0170" w:rsidRDefault="00DA0170" w:rsidP="00DA0170">
      <w:pPr>
        <w:spacing w:after="60"/>
        <w:ind w:left="1440"/>
        <w:rPr>
          <w:rFonts w:cs="Tahoma"/>
          <w:color w:val="000000"/>
          <w:szCs w:val="18"/>
          <w:u w:val="single"/>
        </w:rPr>
      </w:pPr>
    </w:p>
    <w:p w14:paraId="62C93008" w14:textId="77777777" w:rsidR="00DA0170" w:rsidRPr="0058047D" w:rsidRDefault="00DA0170" w:rsidP="00DA0170">
      <w:pPr>
        <w:spacing w:after="60"/>
        <w:ind w:left="1440"/>
      </w:pPr>
    </w:p>
    <w:p w14:paraId="5B448091" w14:textId="77777777" w:rsidR="004E0852" w:rsidRPr="0058047D" w:rsidRDefault="004E0852" w:rsidP="00346F4B">
      <w:pPr>
        <w:numPr>
          <w:ilvl w:val="0"/>
          <w:numId w:val="102"/>
        </w:numPr>
        <w:spacing w:after="60"/>
        <w:ind w:left="1440"/>
      </w:pPr>
      <w:r w:rsidRPr="0058047D">
        <w:rPr>
          <w:rFonts w:eastAsia="Calibri" w:cs="Tahoma"/>
          <w:color w:val="000000"/>
          <w:szCs w:val="18"/>
          <w:u w:val="single"/>
        </w:rPr>
        <w:t>True-up</w:t>
      </w:r>
      <w:r w:rsidRPr="00DA0170">
        <w:rPr>
          <w:rFonts w:eastAsia="Calibri" w:cs="Tahoma"/>
          <w:color w:val="000000"/>
          <w:szCs w:val="18"/>
        </w:rPr>
        <w:t>:</w:t>
      </w:r>
      <w:r w:rsidR="00E34ED3" w:rsidRPr="00DA0170">
        <w:rPr>
          <w:rFonts w:eastAsia="Calibri" w:cs="Tahoma"/>
          <w:color w:val="000000"/>
          <w:szCs w:val="18"/>
        </w:rPr>
        <w:t xml:space="preserve"> </w:t>
      </w:r>
      <w:r w:rsidRPr="0058047D">
        <w:rPr>
          <w:rFonts w:eastAsia="Calibri" w:cs="Tahoma"/>
          <w:color w:val="000000"/>
          <w:szCs w:val="18"/>
        </w:rPr>
        <w:t>per le società con un Contratto Enterprise idonee a ricevere tali licenze e diritti gratuiti descritti in precedenza, le licenze Enterprise External Connector per Lync Server 2010, Plus External Connector per Lync Server 2010 e Standard External Connector per Lync Server 2010 acquistate nell</w:t>
      </w:r>
      <w:r w:rsidR="001C4212">
        <w:rPr>
          <w:rFonts w:eastAsia="Calibri" w:cs="Tahoma"/>
          <w:color w:val="000000"/>
          <w:szCs w:val="18"/>
        </w:rPr>
        <w:t>’</w:t>
      </w:r>
      <w:r w:rsidRPr="0058047D">
        <w:rPr>
          <w:rFonts w:eastAsia="Calibri" w:cs="Tahoma"/>
          <w:color w:val="000000"/>
          <w:szCs w:val="18"/>
        </w:rPr>
        <w:t xml:space="preserve">ambito di una </w:t>
      </w:r>
      <w:r w:rsidRPr="0058047D">
        <w:rPr>
          <w:rFonts w:cs="Tahoma"/>
          <w:color w:val="000000"/>
          <w:szCs w:val="18"/>
        </w:rPr>
        <w:t>procedura annuale di true-up sono, anch</w:t>
      </w:r>
      <w:r w:rsidR="001C4212">
        <w:rPr>
          <w:rFonts w:cs="Tahoma"/>
          <w:color w:val="000000"/>
          <w:szCs w:val="18"/>
        </w:rPr>
        <w:t>’</w:t>
      </w:r>
      <w:r w:rsidRPr="0058047D">
        <w:rPr>
          <w:rFonts w:cs="Tahoma"/>
          <w:color w:val="000000"/>
          <w:szCs w:val="18"/>
        </w:rPr>
        <w:t xml:space="preserve">esse, licenze qualificanti. </w:t>
      </w:r>
    </w:p>
    <w:p w14:paraId="6E051676" w14:textId="77777777" w:rsidR="004E0852" w:rsidRPr="0058047D" w:rsidRDefault="003D0252" w:rsidP="00346F4B">
      <w:pPr>
        <w:numPr>
          <w:ilvl w:val="0"/>
          <w:numId w:val="102"/>
        </w:numPr>
        <w:spacing w:after="60"/>
        <w:ind w:left="1440"/>
      </w:pPr>
      <w:r w:rsidRPr="0058047D">
        <w:rPr>
          <w:rFonts w:cs="Tahoma"/>
          <w:color w:val="000000"/>
          <w:szCs w:val="18"/>
          <w:u w:val="single"/>
        </w:rPr>
        <w:t>Contratti “Subscription”</w:t>
      </w:r>
      <w:r w:rsidRPr="00DA0170">
        <w:rPr>
          <w:rFonts w:cs="Tahoma"/>
          <w:color w:val="000000"/>
          <w:szCs w:val="18"/>
        </w:rPr>
        <w:t>:</w:t>
      </w:r>
      <w:r w:rsidR="00E34ED3" w:rsidRPr="00DA0170">
        <w:rPr>
          <w:rFonts w:cs="Tahoma"/>
          <w:color w:val="000000"/>
          <w:szCs w:val="18"/>
        </w:rPr>
        <w:t xml:space="preserve"> </w:t>
      </w:r>
      <w:r w:rsidRPr="0058047D">
        <w:rPr>
          <w:rFonts w:cs="Tahoma"/>
          <w:color w:val="000000"/>
          <w:szCs w:val="18"/>
        </w:rPr>
        <w:t xml:space="preserve">per quanto riguarda i Contratti Enterprise Subscription, </w:t>
      </w:r>
      <w:r w:rsidRPr="0058047D">
        <w:rPr>
          <w:rFonts w:cs="Tahoma"/>
          <w:szCs w:val="18"/>
        </w:rPr>
        <w:t>Open Value Subscription, Campus e School, Enrollment for Education Solutions e Open Value Subscription-Education Solutions, gli stessi diritti verranno concessi temporaneamente, in base alle medesime condizioni,</w:t>
      </w:r>
      <w:r w:rsidRPr="0058047D">
        <w:rPr>
          <w:rFonts w:cs="Tahoma"/>
          <w:color w:val="000000"/>
          <w:szCs w:val="18"/>
        </w:rPr>
        <w:t xml:space="preserve"> fino al termine del periodo di validità corrente dell</w:t>
      </w:r>
      <w:r w:rsidR="001C4212">
        <w:rPr>
          <w:rFonts w:cs="Tahoma"/>
          <w:color w:val="000000"/>
          <w:szCs w:val="18"/>
        </w:rPr>
        <w:t>’</w:t>
      </w:r>
      <w:r w:rsidRPr="0058047D">
        <w:rPr>
          <w:rFonts w:cs="Tahoma"/>
          <w:color w:val="000000"/>
          <w:szCs w:val="18"/>
        </w:rPr>
        <w:t>iscrizione (o del periodo di validità del</w:t>
      </w:r>
      <w:r w:rsidR="00DA0170">
        <w:rPr>
          <w:rFonts w:cs="Tahoma"/>
          <w:color w:val="000000"/>
          <w:szCs w:val="18"/>
        </w:rPr>
        <w:t> </w:t>
      </w:r>
      <w:r w:rsidRPr="0058047D">
        <w:rPr>
          <w:rFonts w:cs="Tahoma"/>
          <w:color w:val="000000"/>
          <w:szCs w:val="18"/>
        </w:rPr>
        <w:t>contratto nel caso di Open Value).</w:t>
      </w:r>
      <w:r w:rsidR="00E34ED3" w:rsidRPr="0058047D">
        <w:rPr>
          <w:rFonts w:cs="Tahoma"/>
          <w:color w:val="000000"/>
          <w:szCs w:val="18"/>
        </w:rPr>
        <w:t xml:space="preserve"> </w:t>
      </w:r>
      <w:r w:rsidRPr="0058047D">
        <w:rPr>
          <w:rFonts w:cs="Tahoma"/>
          <w:color w:val="000000"/>
          <w:szCs w:val="18"/>
        </w:rPr>
        <w:t>La società dovrà mantenere la copertura dell</w:t>
      </w:r>
      <w:r w:rsidR="001C4212">
        <w:rPr>
          <w:rFonts w:cs="Tahoma"/>
          <w:color w:val="000000"/>
          <w:szCs w:val="18"/>
        </w:rPr>
        <w:t>’</w:t>
      </w:r>
      <w:r w:rsidRPr="0058047D">
        <w:rPr>
          <w:rFonts w:cs="Tahoma"/>
          <w:color w:val="000000"/>
          <w:szCs w:val="18"/>
        </w:rPr>
        <w:t>abbonamento in via continuativa.</w:t>
      </w:r>
      <w:r w:rsidR="00E34ED3" w:rsidRPr="0058047D">
        <w:rPr>
          <w:rFonts w:cs="Tahoma"/>
          <w:color w:val="000000"/>
          <w:szCs w:val="18"/>
        </w:rPr>
        <w:t xml:space="preserve"> </w:t>
      </w:r>
      <w:r w:rsidRPr="0058047D">
        <w:rPr>
          <w:rFonts w:cs="Tahoma"/>
          <w:color w:val="000000"/>
          <w:szCs w:val="18"/>
        </w:rPr>
        <w:t>Tali diritti diventeranno permanenti soltanto all</w:t>
      </w:r>
      <w:r w:rsidR="001C4212">
        <w:rPr>
          <w:rFonts w:cs="Tahoma"/>
          <w:color w:val="000000"/>
          <w:szCs w:val="18"/>
        </w:rPr>
        <w:t>’</w:t>
      </w:r>
      <w:r w:rsidRPr="0058047D">
        <w:rPr>
          <w:rFonts w:cs="Tahoma"/>
          <w:color w:val="000000"/>
          <w:szCs w:val="18"/>
        </w:rPr>
        <w:t>esercizio dell</w:t>
      </w:r>
      <w:r w:rsidR="001C4212">
        <w:rPr>
          <w:rFonts w:cs="Tahoma"/>
          <w:color w:val="000000"/>
          <w:szCs w:val="18"/>
        </w:rPr>
        <w:t>’</w:t>
      </w:r>
      <w:r w:rsidRPr="0058047D">
        <w:rPr>
          <w:rFonts w:cs="Tahoma"/>
          <w:color w:val="000000"/>
          <w:szCs w:val="18"/>
        </w:rPr>
        <w:t>opzione buy-out e</w:t>
      </w:r>
      <w:r w:rsidR="00DA0170">
        <w:rPr>
          <w:rFonts w:cs="Tahoma"/>
          <w:color w:val="000000"/>
          <w:szCs w:val="18"/>
        </w:rPr>
        <w:t> </w:t>
      </w:r>
      <w:r w:rsidRPr="0058047D">
        <w:rPr>
          <w:rFonts w:cs="Tahoma"/>
          <w:color w:val="000000"/>
          <w:szCs w:val="18"/>
        </w:rPr>
        <w:t>resteranno soggetti a tutte le condizioni del contratto di licenza della società.</w:t>
      </w:r>
    </w:p>
    <w:p w14:paraId="543B9A43" w14:textId="77777777" w:rsidR="004E0852" w:rsidRPr="0058047D" w:rsidRDefault="004E0852" w:rsidP="00346F4B">
      <w:pPr>
        <w:numPr>
          <w:ilvl w:val="0"/>
          <w:numId w:val="103"/>
        </w:numPr>
        <w:spacing w:after="60"/>
        <w:ind w:left="1440"/>
      </w:pPr>
      <w:r w:rsidRPr="0058047D">
        <w:rPr>
          <w:rFonts w:cs="Tahoma"/>
          <w:szCs w:val="18"/>
          <w:u w:val="single"/>
        </w:rPr>
        <w:t>Transizioni ai Contratti Campus e School</w:t>
      </w:r>
      <w:r w:rsidRPr="00DA0170">
        <w:rPr>
          <w:rFonts w:cs="Tahoma"/>
          <w:szCs w:val="18"/>
        </w:rPr>
        <w:t>:</w:t>
      </w:r>
      <w:r w:rsidRPr="0058047D">
        <w:rPr>
          <w:rFonts w:cs="Tahoma"/>
          <w:szCs w:val="18"/>
        </w:rPr>
        <w:t xml:space="preserve"> Per quanto riguarda le società che a metà del periodo di</w:t>
      </w:r>
      <w:r w:rsidR="00DA0170">
        <w:rPr>
          <w:rFonts w:cs="Tahoma"/>
          <w:szCs w:val="18"/>
        </w:rPr>
        <w:t> </w:t>
      </w:r>
      <w:r w:rsidRPr="0058047D">
        <w:rPr>
          <w:rFonts w:cs="Tahoma"/>
          <w:szCs w:val="18"/>
        </w:rPr>
        <w:t>validità effettuano la transizione dai contratti Campus e School al contratto Enrollment for Education Solutions o Open Value Subscription-Education Solutions mantenendo la copertura della sottoscrizione in via continuativa:</w:t>
      </w:r>
    </w:p>
    <w:p w14:paraId="0D99DDAD" w14:textId="77777777" w:rsidR="004E0852" w:rsidRPr="0058047D" w:rsidRDefault="004E0852" w:rsidP="00346F4B">
      <w:pPr>
        <w:pStyle w:val="ListParagraph"/>
        <w:numPr>
          <w:ilvl w:val="0"/>
          <w:numId w:val="87"/>
        </w:numPr>
        <w:spacing w:after="60"/>
        <w:ind w:left="1980"/>
        <w:contextualSpacing w:val="0"/>
      </w:pPr>
      <w:r w:rsidRPr="0058047D">
        <w:rPr>
          <w:rFonts w:ascii="Tahoma" w:hAnsi="Tahoma" w:cs="Tahoma"/>
          <w:sz w:val="18"/>
          <w:szCs w:val="18"/>
        </w:rPr>
        <w:t xml:space="preserve">Vengono concessi gli stessi diritti su base temporanea, ai sensi delle medesime condizioni, fino al termine, rispettivamente, del loro contratto Enrollment for Education Solutions o Open Value Subscription-Education Solutions. </w:t>
      </w:r>
    </w:p>
    <w:p w14:paraId="62D9E773" w14:textId="77777777" w:rsidR="00BA1490" w:rsidRPr="0058047D" w:rsidRDefault="004E0852" w:rsidP="00346F4B">
      <w:pPr>
        <w:pStyle w:val="ListParagraph"/>
        <w:numPr>
          <w:ilvl w:val="0"/>
          <w:numId w:val="87"/>
        </w:numPr>
        <w:spacing w:after="60"/>
        <w:ind w:left="1980"/>
        <w:contextualSpacing w:val="0"/>
      </w:pPr>
      <w:r w:rsidRPr="0058047D">
        <w:rPr>
          <w:rFonts w:ascii="Tahoma" w:hAnsi="Tahoma" w:cs="Tahoma"/>
          <w:sz w:val="18"/>
          <w:szCs w:val="18"/>
        </w:rPr>
        <w:t>Tali diritti diventeranno permanenti soltanto all</w:t>
      </w:r>
      <w:r w:rsidR="001C4212">
        <w:rPr>
          <w:rFonts w:ascii="Tahoma" w:hAnsi="Tahoma" w:cs="Tahoma"/>
          <w:sz w:val="18"/>
          <w:szCs w:val="18"/>
        </w:rPr>
        <w:t>’</w:t>
      </w:r>
      <w:r w:rsidRPr="0058047D">
        <w:rPr>
          <w:rFonts w:ascii="Tahoma" w:hAnsi="Tahoma" w:cs="Tahoma"/>
          <w:sz w:val="18"/>
          <w:szCs w:val="18"/>
        </w:rPr>
        <w:t>esercizio dell</w:t>
      </w:r>
      <w:r w:rsidR="001C4212">
        <w:rPr>
          <w:rFonts w:ascii="Tahoma" w:hAnsi="Tahoma" w:cs="Tahoma"/>
          <w:sz w:val="18"/>
          <w:szCs w:val="18"/>
        </w:rPr>
        <w:t>’</w:t>
      </w:r>
      <w:r w:rsidRPr="0058047D">
        <w:rPr>
          <w:rFonts w:ascii="Tahoma" w:hAnsi="Tahoma" w:cs="Tahoma"/>
          <w:sz w:val="18"/>
          <w:szCs w:val="18"/>
        </w:rPr>
        <w:t>opzione buy-out e resteranno soggetti a tutte le condizioni del contratto di licenza della società.</w:t>
      </w:r>
      <w:bookmarkStart w:id="1335" w:name="_66_Lync_Server"/>
      <w:bookmarkStart w:id="1336" w:name="_Toc336338327"/>
      <w:bookmarkStart w:id="1337" w:name="Srv_57OfficeCommSvrOnlineStd"/>
      <w:bookmarkEnd w:id="1335"/>
    </w:p>
    <w:p w14:paraId="5C910A0E" w14:textId="77777777" w:rsidR="00586FCE" w:rsidRPr="0058047D" w:rsidRDefault="00586FCE" w:rsidP="003D0252">
      <w:bookmarkStart w:id="1338" w:name="Srv_56MicrosoftDynamicsCRM2011"/>
      <w:bookmarkStart w:id="1339" w:name="Srv_67MicrosoftDynamicsCRM2011"/>
    </w:p>
    <w:p w14:paraId="433BAEC6" w14:textId="77777777" w:rsidR="002512D3" w:rsidRPr="0058047D" w:rsidRDefault="002512D3"/>
    <w:p w14:paraId="63ACCD26" w14:textId="77777777" w:rsidR="00253288" w:rsidRPr="0058047D" w:rsidRDefault="00A560B6" w:rsidP="00D47417">
      <w:pPr>
        <w:pStyle w:val="Heading3"/>
      </w:pPr>
      <w:bookmarkStart w:id="1340" w:name="_72_Microsoft_Dynamics"/>
      <w:bookmarkStart w:id="1341" w:name="_Toc371663723"/>
      <w:bookmarkEnd w:id="1340"/>
      <w:r w:rsidRPr="0058047D">
        <w:rPr>
          <w:rFonts w:ascii="Tahoma" w:hAnsi="Tahoma"/>
          <w:color w:val="F66400"/>
          <w:sz w:val="22"/>
          <w:vertAlign w:val="superscript"/>
        </w:rPr>
        <w:t>70</w:t>
      </w:r>
      <w:r w:rsidRPr="0058047D">
        <w:rPr>
          <w:rFonts w:ascii="Tahoma" w:hAnsi="Tahoma"/>
          <w:color w:val="F66400"/>
          <w:sz w:val="22"/>
        </w:rPr>
        <w:t xml:space="preserve"> Microsoft Dynamics AX 2012</w:t>
      </w:r>
      <w:bookmarkEnd w:id="1336"/>
      <w:r w:rsidRPr="0058047D">
        <w:rPr>
          <w:rFonts w:ascii="Tahoma" w:hAnsi="Tahoma"/>
          <w:color w:val="F66400"/>
          <w:sz w:val="22"/>
        </w:rPr>
        <w:t xml:space="preserve"> R2</w:t>
      </w:r>
      <w:bookmarkEnd w:id="1341"/>
    </w:p>
    <w:p w14:paraId="7747283B" w14:textId="77777777" w:rsidR="003D0252" w:rsidRPr="0058047D" w:rsidRDefault="003D0252" w:rsidP="003D0252"/>
    <w:p w14:paraId="7FDF622E" w14:textId="77777777" w:rsidR="00047874" w:rsidRPr="0058047D" w:rsidRDefault="00860CF0" w:rsidP="007B699C">
      <w:pPr>
        <w:spacing w:after="60"/>
        <w:ind w:left="734" w:hanging="14"/>
      </w:pPr>
      <w:r w:rsidRPr="0058047D">
        <w:rPr>
          <w:rFonts w:cs="Tahoma"/>
          <w:b/>
          <w:bCs/>
          <w:szCs w:val="20"/>
        </w:rPr>
        <w:t>Localizzazioni e Traduzioni</w:t>
      </w:r>
    </w:p>
    <w:p w14:paraId="37C67D91" w14:textId="77777777" w:rsidR="00253288" w:rsidRPr="0058047D" w:rsidRDefault="00047874" w:rsidP="00737831">
      <w:pPr>
        <w:ind w:left="734" w:hanging="14"/>
      </w:pPr>
      <w:r w:rsidRPr="0058047D">
        <w:rPr>
          <w:rFonts w:cs="Tahoma"/>
          <w:color w:val="000000"/>
          <w:szCs w:val="20"/>
        </w:rPr>
        <w:t xml:space="preserve">Microsoft Dynamics AX è localizzato, tradotto e supportato da Microsoft, nonché reso disponibile al pubblico in determinati paesi e lingue. Informazioni sulla disponibilità di traduzioni e localizzazioni Microsoft sono reperibili alla pagina </w:t>
      </w:r>
      <w:r w:rsidR="00DA0170" w:rsidRPr="00385077">
        <w:rPr>
          <w:rFonts w:cs="Tahoma"/>
          <w:color w:val="000000"/>
          <w:szCs w:val="20"/>
        </w:rPr>
        <w:t>http://www.microsoft.com/en-us/dynamics/erp-buy-ax-software.aspx</w:t>
      </w:r>
      <w:r w:rsidRPr="0058047D">
        <w:rPr>
          <w:rFonts w:cs="Tahoma"/>
          <w:color w:val="000000"/>
          <w:szCs w:val="20"/>
        </w:rPr>
        <w:t>.</w:t>
      </w:r>
    </w:p>
    <w:p w14:paraId="54CBEB15" w14:textId="77777777" w:rsidR="00860CF0" w:rsidRPr="0058047D" w:rsidRDefault="00860CF0" w:rsidP="00737831">
      <w:pPr>
        <w:ind w:left="720"/>
      </w:pPr>
    </w:p>
    <w:p w14:paraId="2E066271" w14:textId="77777777" w:rsidR="00860CF0" w:rsidRPr="0058047D" w:rsidRDefault="00860CF0" w:rsidP="00737831">
      <w:pPr>
        <w:pStyle w:val="PURBody-Indented"/>
        <w:spacing w:after="0"/>
        <w:ind w:left="720"/>
      </w:pPr>
      <w:r w:rsidRPr="0058047D">
        <w:rPr>
          <w:rFonts w:ascii="Tahoma" w:hAnsi="Tahoma" w:cs="Tahoma"/>
          <w:color w:val="000000"/>
          <w:sz w:val="18"/>
        </w:rPr>
        <w:t>Microsoft comprende che in talune circostanze la società desideri utilizzare determinati moduli o funzionalità, localizzati e/o tradotti per uno specifico Paese, al di fuori di esso.</w:t>
      </w:r>
      <w:r w:rsidR="00E34ED3" w:rsidRPr="0058047D">
        <w:rPr>
          <w:rFonts w:ascii="Tahoma" w:hAnsi="Tahoma" w:cs="Tahoma"/>
          <w:color w:val="000000"/>
          <w:sz w:val="18"/>
        </w:rPr>
        <w:t xml:space="preserve"> </w:t>
      </w:r>
      <w:r w:rsidRPr="0058047D">
        <w:rPr>
          <w:rFonts w:ascii="Tahoma" w:hAnsi="Tahoma" w:cs="Tahoma"/>
          <w:color w:val="000000"/>
          <w:sz w:val="18"/>
        </w:rPr>
        <w:t>Poiché leggi e regolamenti variano da Paese a Paese, le differenze normative potrebbero influire sull</w:t>
      </w:r>
      <w:r w:rsidR="001C4212">
        <w:rPr>
          <w:rFonts w:ascii="Tahoma" w:hAnsi="Tahoma" w:cs="Tahoma"/>
          <w:color w:val="000000"/>
          <w:sz w:val="18"/>
        </w:rPr>
        <w:t>’</w:t>
      </w:r>
      <w:r w:rsidRPr="0058047D">
        <w:rPr>
          <w:rFonts w:ascii="Tahoma" w:hAnsi="Tahoma" w:cs="Tahoma"/>
          <w:color w:val="000000"/>
          <w:sz w:val="18"/>
        </w:rPr>
        <w:t>utilizzo della funzionalità desiderata in Paesi per i quali non è stata creata.</w:t>
      </w:r>
      <w:r w:rsidR="00E34ED3" w:rsidRPr="0058047D">
        <w:rPr>
          <w:rFonts w:ascii="Tahoma" w:hAnsi="Tahoma" w:cs="Tahoma"/>
          <w:color w:val="000000"/>
          <w:sz w:val="18"/>
        </w:rPr>
        <w:t xml:space="preserve"> </w:t>
      </w:r>
      <w:r w:rsidRPr="0058047D">
        <w:rPr>
          <w:rFonts w:ascii="Tahoma" w:hAnsi="Tahoma" w:cs="Tahoma"/>
          <w:color w:val="000000"/>
          <w:sz w:val="18"/>
        </w:rPr>
        <w:t>Microsoft non fornisce alcuna dichiarazione o garanzia (espressa, implicita o</w:t>
      </w:r>
      <w:r w:rsidR="00DA0170">
        <w:rPr>
          <w:rFonts w:ascii="Tahoma" w:hAnsi="Tahoma" w:cs="Tahoma"/>
          <w:color w:val="000000"/>
          <w:sz w:val="18"/>
        </w:rPr>
        <w:t> </w:t>
      </w:r>
      <w:r w:rsidRPr="0058047D">
        <w:rPr>
          <w:rFonts w:ascii="Tahoma" w:hAnsi="Tahoma" w:cs="Tahoma"/>
          <w:color w:val="000000"/>
          <w:sz w:val="18"/>
        </w:rPr>
        <w:t>altro) né assicurazione sulle prestazioni o sull</w:t>
      </w:r>
      <w:r w:rsidR="001C4212">
        <w:rPr>
          <w:rFonts w:ascii="Tahoma" w:hAnsi="Tahoma" w:cs="Tahoma"/>
          <w:color w:val="000000"/>
          <w:sz w:val="18"/>
        </w:rPr>
        <w:t>’</w:t>
      </w:r>
      <w:r w:rsidRPr="0058047D">
        <w:rPr>
          <w:rFonts w:ascii="Tahoma" w:hAnsi="Tahoma" w:cs="Tahoma"/>
          <w:color w:val="000000"/>
          <w:sz w:val="18"/>
        </w:rPr>
        <w:t>idoneità di qualsiasi versione localizzata e/o tradotta del software (inclusi i servizi online disponibili tramite tale software) utilizzato al di fuori del territorio per il quale</w:t>
      </w:r>
      <w:r w:rsidR="00DA0170">
        <w:rPr>
          <w:rFonts w:ascii="Tahoma" w:hAnsi="Tahoma" w:cs="Tahoma"/>
          <w:color w:val="000000"/>
          <w:sz w:val="18"/>
        </w:rPr>
        <w:t> </w:t>
      </w:r>
      <w:r w:rsidRPr="0058047D">
        <w:rPr>
          <w:rFonts w:ascii="Tahoma" w:hAnsi="Tahoma" w:cs="Tahoma"/>
          <w:color w:val="000000"/>
          <w:sz w:val="18"/>
        </w:rPr>
        <w:t>è stato creato e in cui Microsoft normalmente commercializza tali software e servizi.</w:t>
      </w:r>
      <w:r w:rsidR="00E34ED3" w:rsidRPr="0058047D">
        <w:rPr>
          <w:rFonts w:ascii="Tahoma" w:hAnsi="Tahoma" w:cs="Tahoma"/>
          <w:color w:val="000000"/>
          <w:sz w:val="18"/>
        </w:rPr>
        <w:t xml:space="preserve"> </w:t>
      </w:r>
      <w:r w:rsidRPr="0058047D">
        <w:rPr>
          <w:rFonts w:ascii="Tahoma" w:hAnsi="Tahoma" w:cs="Tahoma"/>
          <w:color w:val="000000"/>
          <w:sz w:val="18"/>
        </w:rPr>
        <w:t>Verificare con un</w:t>
      </w:r>
      <w:r w:rsidR="00DA0170">
        <w:rPr>
          <w:rFonts w:ascii="Tahoma" w:hAnsi="Tahoma" w:cs="Tahoma"/>
          <w:color w:val="000000"/>
          <w:sz w:val="18"/>
        </w:rPr>
        <w:t> </w:t>
      </w:r>
      <w:r w:rsidRPr="0058047D">
        <w:rPr>
          <w:rFonts w:ascii="Tahoma" w:hAnsi="Tahoma" w:cs="Tahoma"/>
          <w:color w:val="000000"/>
          <w:sz w:val="18"/>
        </w:rPr>
        <w:t>esperto locale in materia fiscale se sia opportuno utilizzare in tale Paese la funzionalità del software desiderata.</w:t>
      </w:r>
    </w:p>
    <w:p w14:paraId="45FB4C69" w14:textId="77777777" w:rsidR="00047874" w:rsidRPr="0058047D" w:rsidRDefault="00047874" w:rsidP="00E62BC4">
      <w:pPr>
        <w:ind w:left="720" w:hanging="180"/>
      </w:pPr>
    </w:p>
    <w:p w14:paraId="54AF3D4C" w14:textId="77777777" w:rsidR="00253288" w:rsidRPr="0058047D" w:rsidRDefault="00047874" w:rsidP="007B699C">
      <w:pPr>
        <w:spacing w:after="60"/>
        <w:ind w:left="734" w:hanging="187"/>
      </w:pPr>
      <w:r w:rsidRPr="0058047D">
        <w:rPr>
          <w:rFonts w:cs="Tahoma"/>
          <w:b/>
          <w:bCs/>
          <w:szCs w:val="20"/>
        </w:rPr>
        <w:t>Diritti sull</w:t>
      </w:r>
      <w:r w:rsidR="001C4212">
        <w:rPr>
          <w:rFonts w:cs="Tahoma"/>
          <w:b/>
          <w:bCs/>
          <w:szCs w:val="20"/>
        </w:rPr>
        <w:t>’</w:t>
      </w:r>
      <w:r w:rsidRPr="0058047D">
        <w:rPr>
          <w:rFonts w:cs="Tahoma"/>
          <w:b/>
          <w:bCs/>
          <w:szCs w:val="20"/>
        </w:rPr>
        <w:t>utilizzo delle Licenze CAL</w:t>
      </w:r>
    </w:p>
    <w:p w14:paraId="61CF6EB0" w14:textId="77777777" w:rsidR="00047874" w:rsidRPr="0058047D" w:rsidRDefault="00047874" w:rsidP="00DA0170">
      <w:pPr>
        <w:ind w:left="547"/>
      </w:pPr>
      <w:r w:rsidRPr="0058047D">
        <w:rPr>
          <w:rFonts w:eastAsia="Calibri" w:cs="Tahoma"/>
          <w:szCs w:val="18"/>
        </w:rPr>
        <w:t>Gli utilizzi autorizzati ai sensi delle diverse licenze CAL per Microsoft Dynamics AX 2012 R2 sono delineati nella seguente tabella:</w:t>
      </w:r>
    </w:p>
    <w:p w14:paraId="6DD64D39" w14:textId="77777777" w:rsidR="00047874" w:rsidRPr="0058047D" w:rsidRDefault="00047874" w:rsidP="00944DAD">
      <w:pPr>
        <w:ind w:firstLine="540"/>
      </w:pPr>
    </w:p>
    <w:p w14:paraId="515D6424" w14:textId="77777777" w:rsidR="00047874" w:rsidRPr="0058047D" w:rsidRDefault="00047874" w:rsidP="00346F4B">
      <w:pPr>
        <w:numPr>
          <w:ilvl w:val="1"/>
          <w:numId w:val="66"/>
        </w:numPr>
        <w:tabs>
          <w:tab w:val="clear" w:pos="1440"/>
          <w:tab w:val="num" w:pos="900"/>
        </w:tabs>
        <w:autoSpaceDE w:val="0"/>
        <w:autoSpaceDN w:val="0"/>
        <w:adjustRightInd w:val="0"/>
        <w:ind w:left="900" w:right="720"/>
      </w:pPr>
      <w:r w:rsidRPr="0058047D">
        <w:rPr>
          <w:rFonts w:eastAsia="Calibri" w:cs="Tahoma"/>
          <w:b/>
          <w:szCs w:val="18"/>
        </w:rPr>
        <w:t>Self-Serve CAL (CAL Base)</w:t>
      </w:r>
    </w:p>
    <w:p w14:paraId="06D78A3B" w14:textId="77777777" w:rsidR="00047874" w:rsidRPr="0058047D" w:rsidRDefault="00047874" w:rsidP="00346F4B">
      <w:pPr>
        <w:numPr>
          <w:ilvl w:val="1"/>
          <w:numId w:val="88"/>
        </w:numPr>
        <w:tabs>
          <w:tab w:val="left" w:pos="1260"/>
        </w:tabs>
        <w:autoSpaceDE w:val="0"/>
        <w:autoSpaceDN w:val="0"/>
        <w:adjustRightInd w:val="0"/>
        <w:ind w:left="1260" w:right="720" w:hanging="360"/>
      </w:pPr>
      <w:r w:rsidRPr="0058047D">
        <w:rPr>
          <w:rFonts w:eastAsia="Calibri" w:cs="Tahoma"/>
          <w:szCs w:val="18"/>
        </w:rPr>
        <w:t>creazione di note spese;</w:t>
      </w:r>
    </w:p>
    <w:p w14:paraId="15DEA20C" w14:textId="77777777" w:rsidR="00047874" w:rsidRPr="0058047D" w:rsidRDefault="00047874" w:rsidP="00346F4B">
      <w:pPr>
        <w:numPr>
          <w:ilvl w:val="1"/>
          <w:numId w:val="88"/>
        </w:numPr>
        <w:tabs>
          <w:tab w:val="left" w:pos="1260"/>
        </w:tabs>
        <w:autoSpaceDE w:val="0"/>
        <w:autoSpaceDN w:val="0"/>
        <w:adjustRightInd w:val="0"/>
        <w:ind w:left="1260" w:right="720" w:hanging="360"/>
      </w:pPr>
      <w:r w:rsidRPr="0058047D">
        <w:rPr>
          <w:rFonts w:eastAsia="Calibri" w:cs="Tahoma"/>
          <w:szCs w:val="18"/>
        </w:rPr>
        <w:t>gestione di dati personali, ad esempio le iscrizioni ai vantaggi;</w:t>
      </w:r>
    </w:p>
    <w:p w14:paraId="18FB6B12" w14:textId="77777777" w:rsidR="00047874" w:rsidRPr="0058047D" w:rsidRDefault="00047874" w:rsidP="00346F4B">
      <w:pPr>
        <w:numPr>
          <w:ilvl w:val="1"/>
          <w:numId w:val="88"/>
        </w:numPr>
        <w:tabs>
          <w:tab w:val="left" w:pos="1260"/>
        </w:tabs>
        <w:autoSpaceDE w:val="0"/>
        <w:autoSpaceDN w:val="0"/>
        <w:adjustRightInd w:val="0"/>
        <w:ind w:left="1260" w:right="720" w:hanging="360"/>
      </w:pPr>
      <w:r w:rsidRPr="0058047D">
        <w:rPr>
          <w:rFonts w:eastAsia="Calibri" w:cs="Tahoma"/>
          <w:szCs w:val="18"/>
        </w:rPr>
        <w:t>creazione di voci relative a orari e presenze, ad esempio registrazione delle ore di entrata e di uscita;</w:t>
      </w:r>
    </w:p>
    <w:p w14:paraId="00475AAC" w14:textId="77777777" w:rsidR="00047874" w:rsidRPr="0058047D" w:rsidRDefault="00047874" w:rsidP="00346F4B">
      <w:pPr>
        <w:numPr>
          <w:ilvl w:val="1"/>
          <w:numId w:val="88"/>
        </w:numPr>
        <w:tabs>
          <w:tab w:val="left" w:pos="1260"/>
        </w:tabs>
        <w:autoSpaceDE w:val="0"/>
        <w:autoSpaceDN w:val="0"/>
        <w:adjustRightInd w:val="0"/>
        <w:ind w:left="1260" w:right="720" w:hanging="360"/>
      </w:pPr>
      <w:r w:rsidRPr="0058047D">
        <w:rPr>
          <w:rFonts w:eastAsia="Calibri" w:cs="Tahoma"/>
          <w:szCs w:val="18"/>
        </w:rPr>
        <w:t>inserimento di richieste di servizio dei dipendenti;</w:t>
      </w:r>
    </w:p>
    <w:p w14:paraId="4C6E36C0" w14:textId="77777777" w:rsidR="00047874" w:rsidRPr="0058047D" w:rsidRDefault="00047874" w:rsidP="00346F4B">
      <w:pPr>
        <w:numPr>
          <w:ilvl w:val="1"/>
          <w:numId w:val="88"/>
        </w:numPr>
        <w:tabs>
          <w:tab w:val="left" w:pos="1260"/>
        </w:tabs>
        <w:autoSpaceDE w:val="0"/>
        <w:autoSpaceDN w:val="0"/>
        <w:adjustRightInd w:val="0"/>
        <w:ind w:left="1260" w:right="720" w:hanging="360"/>
      </w:pPr>
      <w:r w:rsidRPr="0058047D">
        <w:rPr>
          <w:rFonts w:eastAsia="Calibri" w:cs="Tahoma"/>
          <w:szCs w:val="18"/>
        </w:rPr>
        <w:t>preparazione di richieste indirette di approvvigionamento di prodotti o servizi per l</w:t>
      </w:r>
      <w:r w:rsidR="001C4212">
        <w:rPr>
          <w:rFonts w:eastAsia="Calibri" w:cs="Tahoma"/>
          <w:szCs w:val="18"/>
        </w:rPr>
        <w:t>’</w:t>
      </w:r>
      <w:r w:rsidRPr="0058047D">
        <w:rPr>
          <w:rFonts w:eastAsia="Calibri" w:cs="Tahoma"/>
          <w:szCs w:val="18"/>
        </w:rPr>
        <w:t>utente-dipendente, ad esempio viaggi, attrezzatura per l</w:t>
      </w:r>
      <w:r w:rsidR="001C4212">
        <w:rPr>
          <w:rFonts w:eastAsia="Calibri" w:cs="Tahoma"/>
          <w:szCs w:val="18"/>
        </w:rPr>
        <w:t>’</w:t>
      </w:r>
      <w:r w:rsidRPr="0058047D">
        <w:rPr>
          <w:rFonts w:eastAsia="Calibri" w:cs="Tahoma"/>
          <w:szCs w:val="18"/>
        </w:rPr>
        <w:t>ufficio, cancelleria e/o e di richieste di aggiunta o iscrizione di fornitori.</w:t>
      </w:r>
      <w:r w:rsidRPr="0058047D">
        <w:rPr>
          <w:rFonts w:eastAsia="Calibri" w:cs="Tahoma"/>
          <w:szCs w:val="18"/>
        </w:rPr>
        <w:br/>
      </w:r>
    </w:p>
    <w:p w14:paraId="3B373B6B" w14:textId="77777777" w:rsidR="00047874" w:rsidRPr="0058047D" w:rsidRDefault="00047874" w:rsidP="00346F4B">
      <w:pPr>
        <w:numPr>
          <w:ilvl w:val="0"/>
          <w:numId w:val="88"/>
        </w:numPr>
        <w:autoSpaceDE w:val="0"/>
        <w:autoSpaceDN w:val="0"/>
        <w:adjustRightInd w:val="0"/>
        <w:ind w:left="900" w:right="720"/>
      </w:pPr>
      <w:r w:rsidRPr="0058047D">
        <w:rPr>
          <w:rFonts w:eastAsia="Calibri" w:cs="Tahoma"/>
          <w:b/>
          <w:szCs w:val="18"/>
        </w:rPr>
        <w:t>Task CAL (Self-Serve CAL + Task Additive CAL)</w:t>
      </w:r>
    </w:p>
    <w:p w14:paraId="50EF4DAA" w14:textId="77777777" w:rsidR="00B10F79" w:rsidRPr="0058047D" w:rsidRDefault="00B10F79" w:rsidP="00346F4B">
      <w:pPr>
        <w:numPr>
          <w:ilvl w:val="1"/>
          <w:numId w:val="88"/>
        </w:numPr>
        <w:ind w:left="1260" w:right="720" w:hanging="360"/>
      </w:pPr>
      <w:r w:rsidRPr="0058047D">
        <w:rPr>
          <w:rFonts w:eastAsia="Calibri" w:cs="Tahoma"/>
          <w:szCs w:val="18"/>
        </w:rPr>
        <w:t>inclusione dei diritti sull</w:t>
      </w:r>
      <w:r w:rsidR="001C4212">
        <w:rPr>
          <w:rFonts w:eastAsia="Calibri" w:cs="Tahoma"/>
          <w:szCs w:val="18"/>
        </w:rPr>
        <w:t>’</w:t>
      </w:r>
      <w:r w:rsidRPr="0058047D">
        <w:rPr>
          <w:rFonts w:eastAsia="Calibri" w:cs="Tahoma"/>
          <w:szCs w:val="18"/>
        </w:rPr>
        <w:t>utilizzo di Self-Serve CAL</w:t>
      </w:r>
    </w:p>
    <w:p w14:paraId="07834BC7" w14:textId="77777777" w:rsidR="00047874" w:rsidRPr="0058047D" w:rsidRDefault="00B10F79" w:rsidP="00346F4B">
      <w:pPr>
        <w:numPr>
          <w:ilvl w:val="1"/>
          <w:numId w:val="88"/>
        </w:numPr>
        <w:ind w:left="1260" w:right="720" w:hanging="360"/>
      </w:pPr>
      <w:r w:rsidRPr="0058047D">
        <w:rPr>
          <w:rFonts w:eastAsia="Calibri" w:cs="Tahoma"/>
          <w:szCs w:val="18"/>
        </w:rPr>
        <w:t>inserimento del tempo fatturabile;</w:t>
      </w:r>
    </w:p>
    <w:p w14:paraId="52FEBCAD" w14:textId="77777777" w:rsidR="00047874" w:rsidRPr="0058047D" w:rsidRDefault="00B10F79" w:rsidP="00346F4B">
      <w:pPr>
        <w:numPr>
          <w:ilvl w:val="1"/>
          <w:numId w:val="88"/>
        </w:numPr>
        <w:ind w:left="1260" w:right="720" w:hanging="360"/>
      </w:pPr>
      <w:r w:rsidRPr="0058047D">
        <w:rPr>
          <w:rFonts w:eastAsia="Calibri" w:cs="Tahoma"/>
          <w:szCs w:val="18"/>
        </w:rPr>
        <w:t>inserimento delle spese fatturabili;</w:t>
      </w:r>
    </w:p>
    <w:p w14:paraId="11991935" w14:textId="77777777" w:rsidR="00047874" w:rsidRPr="0058047D" w:rsidRDefault="00B10F79" w:rsidP="00346F4B">
      <w:pPr>
        <w:numPr>
          <w:ilvl w:val="1"/>
          <w:numId w:val="88"/>
        </w:numPr>
        <w:ind w:left="1260" w:right="720" w:hanging="360"/>
      </w:pPr>
      <w:r w:rsidRPr="0058047D">
        <w:rPr>
          <w:rFonts w:eastAsia="Calibri" w:cs="Tahoma"/>
          <w:szCs w:val="18"/>
        </w:rPr>
        <w:t>gestione delle revisioni annuali e delle prestazioni, della definizione degli obiettivi e delle competenze;</w:t>
      </w:r>
    </w:p>
    <w:p w14:paraId="3968D05C" w14:textId="77777777" w:rsidR="00047874" w:rsidRPr="0058047D" w:rsidRDefault="00B10F79" w:rsidP="00346F4B">
      <w:pPr>
        <w:numPr>
          <w:ilvl w:val="1"/>
          <w:numId w:val="88"/>
        </w:numPr>
        <w:ind w:left="1260" w:right="720" w:hanging="360"/>
      </w:pPr>
      <w:r w:rsidRPr="0058047D">
        <w:rPr>
          <w:rFonts w:eastAsia="Calibri" w:cs="Tahoma"/>
          <w:szCs w:val="18"/>
        </w:rPr>
        <w:t>funzionamento di un dispositivo per punto di vendita al dettaglio;</w:t>
      </w:r>
    </w:p>
    <w:p w14:paraId="050E258E" w14:textId="77777777" w:rsidR="00047874" w:rsidRPr="0058047D" w:rsidRDefault="00B10F79" w:rsidP="00346F4B">
      <w:pPr>
        <w:numPr>
          <w:ilvl w:val="1"/>
          <w:numId w:val="88"/>
        </w:numPr>
        <w:ind w:left="1260" w:right="720" w:hanging="360"/>
      </w:pPr>
      <w:r w:rsidRPr="0058047D">
        <w:rPr>
          <w:rFonts w:eastAsia="Calibri" w:cs="Tahoma"/>
          <w:szCs w:val="18"/>
        </w:rPr>
        <w:t>approvazione di fatture relative all</w:t>
      </w:r>
      <w:r w:rsidR="001C4212">
        <w:rPr>
          <w:rFonts w:eastAsia="Calibri" w:cs="Tahoma"/>
          <w:szCs w:val="18"/>
        </w:rPr>
        <w:t>’</w:t>
      </w:r>
      <w:r w:rsidRPr="0058047D">
        <w:rPr>
          <w:rFonts w:eastAsia="Calibri" w:cs="Tahoma"/>
          <w:szCs w:val="18"/>
        </w:rPr>
        <w:t>approvvigionamento indiretto e</w:t>
      </w:r>
    </w:p>
    <w:p w14:paraId="0AC35AAF" w14:textId="77777777" w:rsidR="00047874" w:rsidRPr="0058047D" w:rsidRDefault="00047874" w:rsidP="00346F4B">
      <w:pPr>
        <w:numPr>
          <w:ilvl w:val="1"/>
          <w:numId w:val="88"/>
        </w:numPr>
        <w:ind w:left="1260" w:right="720" w:hanging="360"/>
      </w:pPr>
      <w:r w:rsidRPr="0058047D">
        <w:rPr>
          <w:rFonts w:eastAsia="Calibri" w:cs="Tahoma"/>
          <w:szCs w:val="18"/>
        </w:rPr>
        <w:t>gli utenti in possesso di Task CAL non possono eseguire le approvazioni del flusso di lavoro.</w:t>
      </w:r>
      <w:r w:rsidRPr="0058047D">
        <w:rPr>
          <w:szCs w:val="18"/>
        </w:rPr>
        <w:t xml:space="preserve"> </w:t>
      </w:r>
    </w:p>
    <w:p w14:paraId="037A917E" w14:textId="77777777" w:rsidR="00047874" w:rsidRPr="0058047D" w:rsidRDefault="00047874" w:rsidP="00944DAD">
      <w:pPr>
        <w:autoSpaceDE w:val="0"/>
        <w:autoSpaceDN w:val="0"/>
        <w:adjustRightInd w:val="0"/>
        <w:ind w:left="1260" w:right="720"/>
      </w:pPr>
    </w:p>
    <w:p w14:paraId="102C3ECE" w14:textId="77777777" w:rsidR="00047874" w:rsidRPr="0058047D" w:rsidRDefault="00047874" w:rsidP="00346F4B">
      <w:pPr>
        <w:numPr>
          <w:ilvl w:val="0"/>
          <w:numId w:val="88"/>
        </w:numPr>
        <w:ind w:left="900" w:right="720"/>
      </w:pPr>
      <w:r w:rsidRPr="0058047D">
        <w:rPr>
          <w:rFonts w:eastAsia="Calibri" w:cs="Tahoma"/>
          <w:b/>
          <w:szCs w:val="18"/>
        </w:rPr>
        <w:t>Functional CAL (Task CAL + Functional Additive CAL)</w:t>
      </w:r>
    </w:p>
    <w:p w14:paraId="0C7228E0" w14:textId="77777777" w:rsidR="00B10F79" w:rsidRPr="0058047D" w:rsidRDefault="00B10F79" w:rsidP="00346F4B">
      <w:pPr>
        <w:numPr>
          <w:ilvl w:val="1"/>
          <w:numId w:val="88"/>
        </w:numPr>
        <w:ind w:left="1260" w:right="720" w:hanging="360"/>
      </w:pPr>
      <w:r w:rsidRPr="0058047D">
        <w:rPr>
          <w:rFonts w:eastAsia="Calibri" w:cs="Tahoma"/>
          <w:szCs w:val="18"/>
        </w:rPr>
        <w:t>inclusione dei diritti sull</w:t>
      </w:r>
      <w:r w:rsidR="001C4212">
        <w:rPr>
          <w:rFonts w:eastAsia="Calibri" w:cs="Tahoma"/>
          <w:szCs w:val="18"/>
        </w:rPr>
        <w:t>’</w:t>
      </w:r>
      <w:r w:rsidRPr="0058047D">
        <w:rPr>
          <w:rFonts w:eastAsia="Calibri" w:cs="Tahoma"/>
          <w:szCs w:val="18"/>
        </w:rPr>
        <w:t>utilizzo di Task CAL</w:t>
      </w:r>
    </w:p>
    <w:p w14:paraId="1296CA28" w14:textId="77777777" w:rsidR="00047874" w:rsidRPr="0058047D" w:rsidRDefault="00B10F79" w:rsidP="00346F4B">
      <w:pPr>
        <w:numPr>
          <w:ilvl w:val="1"/>
          <w:numId w:val="88"/>
        </w:numPr>
        <w:ind w:left="1260" w:right="720" w:hanging="360"/>
      </w:pPr>
      <w:r w:rsidRPr="0058047D">
        <w:rPr>
          <w:rFonts w:eastAsia="Calibri" w:cs="Tahoma"/>
          <w:szCs w:val="18"/>
        </w:rPr>
        <w:t>gestione di uno Shop Floor in un ciclo di produzione o fabbricazione;</w:t>
      </w:r>
    </w:p>
    <w:p w14:paraId="3DD61D86" w14:textId="77777777" w:rsidR="00047874" w:rsidRPr="0058047D" w:rsidRDefault="00B10F79" w:rsidP="00346F4B">
      <w:pPr>
        <w:numPr>
          <w:ilvl w:val="1"/>
          <w:numId w:val="88"/>
        </w:numPr>
        <w:ind w:left="1260" w:right="720" w:hanging="360"/>
      </w:pPr>
      <w:r w:rsidRPr="0058047D">
        <w:rPr>
          <w:rFonts w:eastAsia="Calibri" w:cs="Tahoma"/>
          <w:szCs w:val="18"/>
        </w:rPr>
        <w:t>gestione di progetti e risorse;</w:t>
      </w:r>
    </w:p>
    <w:p w14:paraId="5A3771F9" w14:textId="77777777" w:rsidR="00047874" w:rsidRPr="0058047D" w:rsidRDefault="00B10F79" w:rsidP="00346F4B">
      <w:pPr>
        <w:numPr>
          <w:ilvl w:val="1"/>
          <w:numId w:val="88"/>
        </w:numPr>
        <w:ind w:left="1260" w:right="720" w:hanging="360"/>
      </w:pPr>
      <w:r w:rsidRPr="0058047D">
        <w:rPr>
          <w:rFonts w:eastAsia="Calibri" w:cs="Tahoma"/>
          <w:szCs w:val="18"/>
        </w:rPr>
        <w:t>gestione di cicli di risorse umane;</w:t>
      </w:r>
    </w:p>
    <w:p w14:paraId="1C1C4490" w14:textId="77777777" w:rsidR="00047874" w:rsidRPr="0058047D" w:rsidRDefault="00B10F79" w:rsidP="00346F4B">
      <w:pPr>
        <w:numPr>
          <w:ilvl w:val="1"/>
          <w:numId w:val="88"/>
        </w:numPr>
        <w:ind w:left="1260" w:right="720" w:hanging="360"/>
      </w:pPr>
      <w:r w:rsidRPr="0058047D">
        <w:rPr>
          <w:rFonts w:eastAsia="Calibri" w:cs="Tahoma"/>
          <w:szCs w:val="18"/>
        </w:rPr>
        <w:t>gestione di trasferimenti di budget e richieste organizzative;</w:t>
      </w:r>
    </w:p>
    <w:p w14:paraId="037EF965" w14:textId="77777777" w:rsidR="00047874" w:rsidRPr="0058047D" w:rsidRDefault="00B10F79" w:rsidP="00346F4B">
      <w:pPr>
        <w:numPr>
          <w:ilvl w:val="1"/>
          <w:numId w:val="88"/>
        </w:numPr>
        <w:ind w:left="1260" w:right="720" w:hanging="360"/>
      </w:pPr>
      <w:r w:rsidRPr="0058047D">
        <w:rPr>
          <w:rFonts w:eastAsia="Calibri" w:cs="Tahoma"/>
          <w:szCs w:val="18"/>
        </w:rPr>
        <w:t>creazione di record di dati master per candidati o impiegati;</w:t>
      </w:r>
    </w:p>
    <w:p w14:paraId="39324A32" w14:textId="77777777" w:rsidR="00047874" w:rsidRPr="0058047D" w:rsidRDefault="00B10F79" w:rsidP="00346F4B">
      <w:pPr>
        <w:numPr>
          <w:ilvl w:val="1"/>
          <w:numId w:val="88"/>
        </w:numPr>
        <w:ind w:left="1260" w:right="720" w:hanging="360"/>
      </w:pPr>
      <w:r w:rsidRPr="0058047D">
        <w:rPr>
          <w:rFonts w:eastAsia="Calibri" w:cs="Tahoma"/>
          <w:szCs w:val="18"/>
        </w:rPr>
        <w:t xml:space="preserve">creazione di richieste di copertura di mansioni o posizioni; </w:t>
      </w:r>
    </w:p>
    <w:p w14:paraId="595523F9" w14:textId="77777777" w:rsidR="00047874" w:rsidRPr="0058047D" w:rsidRDefault="00B10F79" w:rsidP="00346F4B">
      <w:pPr>
        <w:numPr>
          <w:ilvl w:val="1"/>
          <w:numId w:val="88"/>
        </w:numPr>
        <w:ind w:left="1260" w:right="720" w:hanging="360"/>
      </w:pPr>
      <w:r w:rsidRPr="0058047D">
        <w:rPr>
          <w:rFonts w:eastAsia="Calibri" w:cs="Tahoma"/>
          <w:szCs w:val="18"/>
        </w:rPr>
        <w:t xml:space="preserve">escalation o richiesta di approvazioni di fatture relative a clienti; </w:t>
      </w:r>
    </w:p>
    <w:p w14:paraId="3251F00F" w14:textId="77777777" w:rsidR="00047874" w:rsidRPr="0058047D" w:rsidRDefault="00B10F79" w:rsidP="00346F4B">
      <w:pPr>
        <w:numPr>
          <w:ilvl w:val="1"/>
          <w:numId w:val="88"/>
        </w:numPr>
        <w:ind w:left="1260" w:right="720" w:hanging="360"/>
      </w:pPr>
      <w:r w:rsidRPr="0058047D">
        <w:rPr>
          <w:rFonts w:eastAsia="Calibri" w:cs="Tahoma"/>
          <w:szCs w:val="18"/>
        </w:rPr>
        <w:t>approvazione di fatture fornitori o giustificativi per servizi resi;</w:t>
      </w:r>
    </w:p>
    <w:p w14:paraId="0C7338CF" w14:textId="77777777" w:rsidR="00047874" w:rsidRPr="0058047D" w:rsidRDefault="00B10F79" w:rsidP="00346F4B">
      <w:pPr>
        <w:numPr>
          <w:ilvl w:val="1"/>
          <w:numId w:val="88"/>
        </w:numPr>
        <w:ind w:left="1260" w:right="720" w:hanging="360"/>
      </w:pPr>
      <w:r w:rsidRPr="0058047D">
        <w:rPr>
          <w:rFonts w:eastAsia="Calibri" w:cs="Tahoma"/>
          <w:szCs w:val="18"/>
        </w:rPr>
        <w:t>creazione e gestione di record di dati master relativi a società, fornitori, inventario o cataloghi di prodotti e/o</w:t>
      </w:r>
    </w:p>
    <w:p w14:paraId="3B570A02" w14:textId="77777777" w:rsidR="00047874" w:rsidRPr="0058047D" w:rsidRDefault="00B10F79" w:rsidP="00346F4B">
      <w:pPr>
        <w:numPr>
          <w:ilvl w:val="1"/>
          <w:numId w:val="88"/>
        </w:numPr>
        <w:ind w:left="1260" w:right="720" w:hanging="360"/>
      </w:pPr>
      <w:r w:rsidRPr="0058047D">
        <w:rPr>
          <w:rFonts w:eastAsia="Calibri" w:cs="Tahoma"/>
          <w:szCs w:val="18"/>
        </w:rPr>
        <w:t>approvazione di richieste di utenti in possesso di Self-Serve CAL o Task CAL.</w:t>
      </w:r>
    </w:p>
    <w:p w14:paraId="1527BA08" w14:textId="77777777" w:rsidR="00047874" w:rsidRPr="0058047D" w:rsidRDefault="00047874" w:rsidP="00B20F02">
      <w:pPr>
        <w:autoSpaceDE w:val="0"/>
        <w:autoSpaceDN w:val="0"/>
        <w:adjustRightInd w:val="0"/>
        <w:ind w:left="1260" w:right="720" w:hanging="360"/>
      </w:pPr>
    </w:p>
    <w:p w14:paraId="30188D70" w14:textId="77777777" w:rsidR="00047874" w:rsidRPr="0058047D" w:rsidRDefault="00047874" w:rsidP="00346F4B">
      <w:pPr>
        <w:numPr>
          <w:ilvl w:val="0"/>
          <w:numId w:val="88"/>
        </w:numPr>
        <w:ind w:left="900" w:right="720"/>
      </w:pPr>
      <w:r w:rsidRPr="0058047D">
        <w:rPr>
          <w:rFonts w:eastAsia="Calibri" w:cs="Tahoma"/>
          <w:b/>
          <w:szCs w:val="18"/>
        </w:rPr>
        <w:t>Enterprise CAL (Functional CAL + Enterprise Additive CAL)</w:t>
      </w:r>
    </w:p>
    <w:p w14:paraId="38F6D4EF" w14:textId="77777777" w:rsidR="00047874" w:rsidRPr="0058047D" w:rsidRDefault="00047874" w:rsidP="00346F4B">
      <w:pPr>
        <w:numPr>
          <w:ilvl w:val="1"/>
          <w:numId w:val="88"/>
        </w:numPr>
        <w:ind w:left="1260" w:right="720" w:hanging="360"/>
      </w:pPr>
      <w:r w:rsidRPr="0058047D">
        <w:rPr>
          <w:rFonts w:eastAsia="Calibri" w:cs="Tahoma"/>
          <w:szCs w:val="18"/>
        </w:rPr>
        <w:t>Diritti di Utilizzo Completo</w:t>
      </w:r>
    </w:p>
    <w:p w14:paraId="7053A718" w14:textId="77777777" w:rsidR="00047874" w:rsidRPr="0058047D" w:rsidRDefault="00047874" w:rsidP="00944DAD">
      <w:pPr>
        <w:autoSpaceDE w:val="0"/>
        <w:autoSpaceDN w:val="0"/>
        <w:adjustRightInd w:val="0"/>
        <w:ind w:left="900" w:right="720"/>
      </w:pPr>
    </w:p>
    <w:p w14:paraId="543E2E7E" w14:textId="77777777" w:rsidR="00047874" w:rsidRPr="0058047D" w:rsidRDefault="00047874" w:rsidP="00944DAD">
      <w:pPr>
        <w:autoSpaceDE w:val="0"/>
        <w:autoSpaceDN w:val="0"/>
        <w:adjustRightInd w:val="0"/>
        <w:ind w:left="720" w:right="720"/>
      </w:pPr>
      <w:r w:rsidRPr="0058047D">
        <w:rPr>
          <w:rFonts w:eastAsia="Calibri" w:cs="Tahoma"/>
          <w:szCs w:val="18"/>
        </w:rPr>
        <w:t>Per una maggiore granularità e comprensione delle licenze CAL richieste fare riferimento alla</w:t>
      </w:r>
      <w:r w:rsidR="00DA0170">
        <w:rPr>
          <w:rFonts w:eastAsia="Calibri" w:cs="Tahoma"/>
          <w:szCs w:val="18"/>
        </w:rPr>
        <w:t> </w:t>
      </w:r>
      <w:r w:rsidRPr="0058047D">
        <w:rPr>
          <w:rFonts w:eastAsia="Calibri" w:cs="Tahoma"/>
          <w:szCs w:val="18"/>
        </w:rPr>
        <w:t xml:space="preserve">pagina </w:t>
      </w:r>
      <w:r w:rsidR="00DA0170" w:rsidRPr="00E431D1">
        <w:rPr>
          <w:rFonts w:eastAsia="Calibri" w:cs="Tahoma"/>
          <w:szCs w:val="18"/>
        </w:rPr>
        <w:t>http://www.microsoft.com/en-us/dynamics/erp-buy-ax-software.aspx</w:t>
      </w:r>
      <w:r w:rsidR="00DA0170">
        <w:rPr>
          <w:rFonts w:eastAsia="Calibri" w:cs="Tahoma"/>
          <w:szCs w:val="18"/>
        </w:rPr>
        <w:t>.</w:t>
      </w:r>
    </w:p>
    <w:p w14:paraId="708A6B77" w14:textId="77777777" w:rsidR="00A6185F" w:rsidRPr="0058047D" w:rsidRDefault="00A6185F" w:rsidP="00A6185F">
      <w:pPr>
        <w:ind w:left="720" w:hanging="180"/>
      </w:pPr>
    </w:p>
    <w:p w14:paraId="0949B051" w14:textId="77777777" w:rsidR="00A6185F" w:rsidRPr="0058047D" w:rsidRDefault="00A6185F" w:rsidP="00C066F9">
      <w:pPr>
        <w:spacing w:after="60"/>
        <w:ind w:left="734" w:hanging="194"/>
      </w:pPr>
      <w:r w:rsidRPr="0058047D">
        <w:rPr>
          <w:rFonts w:cs="Tahoma"/>
          <w:b/>
          <w:bCs/>
        </w:rPr>
        <w:t>Condizioni di Licenza Supplementari</w:t>
      </w:r>
    </w:p>
    <w:p w14:paraId="6AFDBF1B" w14:textId="77777777" w:rsidR="00A6185F" w:rsidRPr="0058047D" w:rsidRDefault="00A6185F" w:rsidP="00C066F9">
      <w:pPr>
        <w:pStyle w:val="PURBody-Indented"/>
        <w:spacing w:after="0"/>
        <w:ind w:left="547"/>
      </w:pPr>
      <w:r w:rsidRPr="0058047D">
        <w:rPr>
          <w:rFonts w:ascii="Tahoma" w:eastAsia="Calibri" w:hAnsi="Tahoma" w:cs="Tahoma"/>
          <w:sz w:val="18"/>
          <w:szCs w:val="18"/>
        </w:rPr>
        <w:t>L</w:t>
      </w:r>
      <w:r w:rsidR="001C4212">
        <w:rPr>
          <w:rFonts w:ascii="Tahoma" w:eastAsia="Calibri" w:hAnsi="Tahoma" w:cs="Tahoma"/>
          <w:sz w:val="18"/>
          <w:szCs w:val="18"/>
        </w:rPr>
        <w:t>’</w:t>
      </w:r>
      <w:r w:rsidRPr="0058047D">
        <w:rPr>
          <w:rFonts w:ascii="Tahoma" w:eastAsia="Calibri" w:hAnsi="Tahoma" w:cs="Tahoma"/>
          <w:sz w:val="18"/>
          <w:szCs w:val="18"/>
        </w:rPr>
        <w:t xml:space="preserve">utilizzo da parte della società di Componenti e-Commerce, Componenti Point of Sale e aggiornamenti e supplementi simili per Microsoft Dynamics AX 2012 R2 è disciplinato dalle Condizioni di Licenza Supplementari disponibili al seguente indirizzo: </w:t>
      </w:r>
      <w:hyperlink r:id="rId48" w:history="1">
        <w:r w:rsidR="00DA0170" w:rsidRPr="00973A93">
          <w:rPr>
            <w:rFonts w:ascii="Tahoma" w:eastAsia="Calibri" w:hAnsi="Tahoma" w:cs="Tahoma"/>
            <w:sz w:val="18"/>
            <w:szCs w:val="18"/>
          </w:rPr>
          <w:t>http://www.microsoft.com/en-us/dynamics/erp-buy-ax-software.aspx</w:t>
        </w:r>
      </w:hyperlink>
      <w:r w:rsidRPr="0058047D">
        <w:rPr>
          <w:rFonts w:ascii="Tahoma" w:eastAsia="Calibri" w:hAnsi="Tahoma" w:cs="Tahoma"/>
          <w:sz w:val="18"/>
          <w:szCs w:val="18"/>
        </w:rPr>
        <w:t>.</w:t>
      </w:r>
    </w:p>
    <w:p w14:paraId="23996B0B" w14:textId="77777777" w:rsidR="0085774C" w:rsidRPr="00DA0170" w:rsidRDefault="0085774C" w:rsidP="00C066F9">
      <w:pPr>
        <w:pStyle w:val="PURBody-Indented"/>
        <w:spacing w:after="0"/>
        <w:ind w:left="547"/>
        <w:rPr>
          <w:rFonts w:ascii="Tahoma" w:hAnsi="Tahoma" w:cs="Tahoma"/>
          <w:sz w:val="18"/>
          <w:szCs w:val="18"/>
        </w:rPr>
      </w:pPr>
    </w:p>
    <w:p w14:paraId="4FAC3EC4" w14:textId="77777777" w:rsidR="0085774C" w:rsidRPr="00DA0170" w:rsidRDefault="0085774C" w:rsidP="00C066F9">
      <w:pPr>
        <w:pStyle w:val="PURBody-Indented"/>
        <w:spacing w:after="0"/>
        <w:ind w:left="547"/>
        <w:rPr>
          <w:rFonts w:ascii="Tahoma" w:hAnsi="Tahoma" w:cs="Tahoma"/>
          <w:sz w:val="18"/>
          <w:szCs w:val="18"/>
        </w:rPr>
      </w:pPr>
    </w:p>
    <w:p w14:paraId="1DF0C0C5" w14:textId="77777777" w:rsidR="000F4095" w:rsidRPr="0058047D" w:rsidRDefault="000F4095" w:rsidP="000F4095">
      <w:pPr>
        <w:pStyle w:val="Heading3"/>
        <w:keepNext/>
      </w:pPr>
      <w:bookmarkStart w:id="1342" w:name="_71_Microsoft_Dynamics_1"/>
      <w:bookmarkStart w:id="1343" w:name="_Toc357763716"/>
      <w:bookmarkStart w:id="1344" w:name="_Toc371663724"/>
      <w:bookmarkEnd w:id="1342"/>
      <w:r w:rsidRPr="0058047D">
        <w:rPr>
          <w:rFonts w:ascii="Tahoma" w:hAnsi="Tahoma"/>
          <w:color w:val="F66400"/>
          <w:sz w:val="22"/>
          <w:vertAlign w:val="superscript"/>
        </w:rPr>
        <w:t>71</w:t>
      </w:r>
      <w:r w:rsidRPr="0058047D">
        <w:rPr>
          <w:rFonts w:ascii="Tahoma" w:hAnsi="Tahoma"/>
          <w:color w:val="F66400"/>
          <w:sz w:val="22"/>
        </w:rPr>
        <w:t xml:space="preserve"> Microsoft Dynamics CRM 201</w:t>
      </w:r>
      <w:bookmarkEnd w:id="1343"/>
      <w:r w:rsidRPr="0058047D">
        <w:rPr>
          <w:rFonts w:ascii="Tahoma" w:hAnsi="Tahoma"/>
          <w:color w:val="F66400"/>
          <w:sz w:val="22"/>
        </w:rPr>
        <w:t>3</w:t>
      </w:r>
      <w:bookmarkEnd w:id="1344"/>
    </w:p>
    <w:p w14:paraId="381FF7B2" w14:textId="77777777" w:rsidR="000F4095" w:rsidRPr="0058047D" w:rsidRDefault="000F4095" w:rsidP="000F4095">
      <w:pPr>
        <w:keepNext/>
      </w:pPr>
    </w:p>
    <w:p w14:paraId="3D6E2EFF" w14:textId="77777777" w:rsidR="007E430D" w:rsidRPr="0058047D" w:rsidRDefault="007E430D" w:rsidP="007E430D">
      <w:pPr>
        <w:spacing w:after="60"/>
        <w:ind w:left="720"/>
      </w:pPr>
      <w:r w:rsidRPr="0058047D">
        <w:rPr>
          <w:rFonts w:cs="Tahoma"/>
          <w:b/>
          <w:bCs/>
          <w:color w:val="000000" w:themeColor="text1"/>
          <w:szCs w:val="18"/>
        </w:rPr>
        <w:t>Comunicazione di Disponibilità e Diritti sull</w:t>
      </w:r>
      <w:r w:rsidR="001C4212">
        <w:rPr>
          <w:rFonts w:cs="Tahoma"/>
          <w:b/>
          <w:bCs/>
          <w:color w:val="000000" w:themeColor="text1"/>
          <w:szCs w:val="18"/>
        </w:rPr>
        <w:t>’</w:t>
      </w:r>
      <w:r w:rsidRPr="0058047D">
        <w:rPr>
          <w:rFonts w:cs="Tahoma"/>
          <w:b/>
          <w:bCs/>
          <w:color w:val="000000" w:themeColor="text1"/>
          <w:szCs w:val="18"/>
        </w:rPr>
        <w:t>Utilizzo della Versione Provvisoria</w:t>
      </w:r>
    </w:p>
    <w:p w14:paraId="470DC37A" w14:textId="77777777" w:rsidR="007E430D" w:rsidRPr="0058047D" w:rsidRDefault="007E430D" w:rsidP="007E430D">
      <w:pPr>
        <w:ind w:left="720"/>
      </w:pPr>
      <w:r w:rsidRPr="0058047D">
        <w:rPr>
          <w:rFonts w:cs="Tahoma"/>
          <w:color w:val="000000" w:themeColor="text1"/>
          <w:szCs w:val="18"/>
        </w:rPr>
        <w:t>Microsoft Dynamics CRM 2013 sarà disponibile per il download sul sito Volume Licensing Service Center il prossimo ottobre/novembre 2013. Le società nuove ed esistenti in possesso di licenze valide per Microsoft Dynamics CRM Server 2013 e Microsoft Dynamics CRM Workgroup Server 2013 potranno scaricare e utilizzare rispettivamente Microsoft Dynamics CRM Server 2011 e Microsoft Dynamics CRM Workgroup Server 2011 ai sensi dei relativi diritti di utilizzo delle versioni precedenti.</w:t>
      </w:r>
    </w:p>
    <w:p w14:paraId="76110D2A" w14:textId="77777777" w:rsidR="007E430D" w:rsidRPr="0058047D" w:rsidRDefault="007E430D" w:rsidP="007E430D">
      <w:pPr>
        <w:ind w:left="720"/>
      </w:pPr>
    </w:p>
    <w:p w14:paraId="0732E90A" w14:textId="77777777" w:rsidR="000F4095" w:rsidRPr="0058047D" w:rsidRDefault="000F4095" w:rsidP="000F4095">
      <w:pPr>
        <w:keepNext/>
        <w:spacing w:after="60"/>
        <w:ind w:left="720"/>
      </w:pPr>
      <w:r w:rsidRPr="0058047D">
        <w:rPr>
          <w:rFonts w:cs="Tahoma"/>
          <w:b/>
          <w:bCs/>
          <w:color w:val="000000"/>
          <w:szCs w:val="20"/>
        </w:rPr>
        <w:t>Percorso di Migrazione di Software Assurance per Microsoft Dynamics CRM 2013</w:t>
      </w:r>
    </w:p>
    <w:p w14:paraId="4722E3F2" w14:textId="77777777" w:rsidR="000F4095" w:rsidRPr="0058047D" w:rsidRDefault="000F4095" w:rsidP="000F4095">
      <w:pPr>
        <w:ind w:left="720"/>
      </w:pPr>
      <w:r w:rsidRPr="0058047D">
        <w:rPr>
          <w:rFonts w:cs="Tahoma"/>
          <w:color w:val="000000"/>
          <w:szCs w:val="20"/>
        </w:rPr>
        <w:t>Le società che hanno acquistato le licenze per Microsoft Dynamics CRM 2013 e dispongono di una copertura Software Assurance attiva per tali licenze in data 1 ottobre 2013 o successiva potranno effettuare l</w:t>
      </w:r>
      <w:r w:rsidR="001C4212">
        <w:rPr>
          <w:rFonts w:cs="Tahoma"/>
          <w:color w:val="000000"/>
          <w:szCs w:val="20"/>
        </w:rPr>
        <w:t>’</w:t>
      </w:r>
      <w:r w:rsidRPr="0058047D">
        <w:rPr>
          <w:rFonts w:cs="Tahoma"/>
          <w:color w:val="000000"/>
          <w:szCs w:val="20"/>
        </w:rPr>
        <w:t>aggiornamento di tali licenze, come indicato di seguito:</w:t>
      </w:r>
    </w:p>
    <w:p w14:paraId="208FA76A" w14:textId="77777777" w:rsidR="000F4095" w:rsidRPr="0058047D" w:rsidRDefault="000F4095" w:rsidP="000F4095"/>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0F4095" w:rsidRPr="0058047D" w14:paraId="017EEDDD" w14:textId="77777777" w:rsidTr="00DA0170">
        <w:trPr>
          <w:tblHeader/>
        </w:trPr>
        <w:tc>
          <w:tcPr>
            <w:tcW w:w="4248" w:type="dxa"/>
            <w:tcBorders>
              <w:top w:val="single" w:sz="4" w:space="0" w:color="000000"/>
              <w:bottom w:val="single" w:sz="6" w:space="0" w:color="000000"/>
            </w:tcBorders>
            <w:shd w:val="clear" w:color="auto" w:fill="FABF8F"/>
          </w:tcPr>
          <w:p w14:paraId="42164195" w14:textId="77777777" w:rsidR="000F4095" w:rsidRPr="0058047D" w:rsidRDefault="000F4095" w:rsidP="00343766">
            <w:pPr>
              <w:jc w:val="center"/>
              <w:rPr>
                <w:rFonts w:cs="Tahoma"/>
                <w:b/>
                <w:color w:val="000000"/>
                <w:szCs w:val="20"/>
              </w:rPr>
            </w:pPr>
            <w:r w:rsidRPr="0058047D">
              <w:rPr>
                <w:rFonts w:cs="Tahoma"/>
                <w:b/>
                <w:color w:val="000000"/>
                <w:szCs w:val="20"/>
              </w:rPr>
              <w:t xml:space="preserve">Licenze Qualificanti per </w:t>
            </w:r>
            <w:r w:rsidR="00DA0170">
              <w:rPr>
                <w:rFonts w:cs="Tahoma"/>
                <w:b/>
                <w:color w:val="000000"/>
                <w:szCs w:val="20"/>
              </w:rPr>
              <w:br/>
            </w:r>
            <w:r w:rsidRPr="0058047D">
              <w:rPr>
                <w:rFonts w:cs="Tahoma"/>
                <w:b/>
                <w:color w:val="000000"/>
                <w:szCs w:val="20"/>
              </w:rPr>
              <w:t>Microsoft Dynamics CRM 2011</w:t>
            </w:r>
          </w:p>
        </w:tc>
        <w:tc>
          <w:tcPr>
            <w:tcW w:w="4212" w:type="dxa"/>
            <w:tcBorders>
              <w:top w:val="single" w:sz="4" w:space="0" w:color="000000"/>
              <w:bottom w:val="single" w:sz="6" w:space="0" w:color="000000"/>
            </w:tcBorders>
            <w:shd w:val="clear" w:color="auto" w:fill="FABF8F"/>
          </w:tcPr>
          <w:p w14:paraId="6ADED42F" w14:textId="77777777" w:rsidR="000F4095" w:rsidRPr="0058047D" w:rsidRDefault="000F4095" w:rsidP="00343766">
            <w:pPr>
              <w:jc w:val="center"/>
              <w:rPr>
                <w:rFonts w:cs="Tahoma"/>
                <w:b/>
                <w:color w:val="000000"/>
                <w:szCs w:val="20"/>
              </w:rPr>
            </w:pPr>
            <w:r w:rsidRPr="0058047D">
              <w:rPr>
                <w:rFonts w:cs="Tahoma"/>
                <w:b/>
                <w:color w:val="000000"/>
                <w:szCs w:val="20"/>
              </w:rPr>
              <w:t>Licenze Corrispondenti per CRM 2013</w:t>
            </w:r>
          </w:p>
        </w:tc>
      </w:tr>
      <w:tr w:rsidR="000F4095" w:rsidRPr="0058047D" w14:paraId="3C6FBAFC" w14:textId="77777777" w:rsidTr="00343766">
        <w:tc>
          <w:tcPr>
            <w:tcW w:w="4248" w:type="dxa"/>
            <w:tcBorders>
              <w:top w:val="single" w:sz="6" w:space="0" w:color="000000"/>
            </w:tcBorders>
            <w:shd w:val="clear" w:color="auto" w:fill="FFFFFF"/>
          </w:tcPr>
          <w:p w14:paraId="7D77E237" w14:textId="77777777" w:rsidR="000F4095" w:rsidRPr="0058047D" w:rsidRDefault="000F4095" w:rsidP="00343766">
            <w:pPr>
              <w:rPr>
                <w:rFonts w:cs="Tahoma"/>
                <w:color w:val="000000"/>
                <w:szCs w:val="20"/>
              </w:rPr>
            </w:pPr>
            <w:r w:rsidRPr="0058047D">
              <w:rPr>
                <w:rFonts w:cs="Tahoma"/>
                <w:color w:val="000000"/>
                <w:szCs w:val="20"/>
              </w:rPr>
              <w:t>1 Microsoft Dynamics CRM 2011 Server</w:t>
            </w:r>
          </w:p>
        </w:tc>
        <w:tc>
          <w:tcPr>
            <w:tcW w:w="4212" w:type="dxa"/>
            <w:tcBorders>
              <w:top w:val="single" w:sz="6" w:space="0" w:color="000000"/>
            </w:tcBorders>
            <w:shd w:val="clear" w:color="auto" w:fill="FFFFFF"/>
          </w:tcPr>
          <w:p w14:paraId="7B2E5B41" w14:textId="77777777" w:rsidR="000F4095" w:rsidRPr="0058047D" w:rsidRDefault="000F4095" w:rsidP="00343766">
            <w:pPr>
              <w:rPr>
                <w:rFonts w:cs="Tahoma"/>
                <w:color w:val="000000"/>
                <w:szCs w:val="20"/>
              </w:rPr>
            </w:pPr>
            <w:r w:rsidRPr="0058047D">
              <w:rPr>
                <w:rFonts w:cs="Tahoma"/>
                <w:color w:val="000000"/>
                <w:szCs w:val="20"/>
              </w:rPr>
              <w:t>1 Microsoft Dynamics CRM Server 2013</w:t>
            </w:r>
          </w:p>
        </w:tc>
      </w:tr>
      <w:tr w:rsidR="000F4095" w:rsidRPr="0058047D" w14:paraId="55F65D50" w14:textId="77777777" w:rsidTr="00343766">
        <w:tc>
          <w:tcPr>
            <w:tcW w:w="4248" w:type="dxa"/>
            <w:tcBorders>
              <w:top w:val="single" w:sz="6" w:space="0" w:color="000000"/>
            </w:tcBorders>
            <w:shd w:val="clear" w:color="auto" w:fill="FFFFFF"/>
          </w:tcPr>
          <w:p w14:paraId="25651E74" w14:textId="77777777" w:rsidR="000F4095" w:rsidRPr="0058047D" w:rsidRDefault="000F4095" w:rsidP="00075CCA">
            <w:pPr>
              <w:rPr>
                <w:rFonts w:cs="Tahoma"/>
                <w:color w:val="000000"/>
                <w:szCs w:val="20"/>
              </w:rPr>
            </w:pPr>
            <w:r w:rsidRPr="0058047D">
              <w:rPr>
                <w:rFonts w:cs="Tahoma"/>
                <w:color w:val="000000"/>
                <w:szCs w:val="20"/>
              </w:rPr>
              <w:t>1 Microsoft Dynamics CRM Workgroup Server</w:t>
            </w:r>
            <w:r w:rsidR="00075CCA">
              <w:rPr>
                <w:rFonts w:cs="Tahoma"/>
                <w:color w:val="000000"/>
                <w:szCs w:val="20"/>
              </w:rPr>
              <w:t> </w:t>
            </w:r>
            <w:r w:rsidRPr="0058047D">
              <w:rPr>
                <w:rFonts w:cs="Tahoma"/>
                <w:color w:val="000000"/>
                <w:szCs w:val="20"/>
              </w:rPr>
              <w:t>2011</w:t>
            </w:r>
          </w:p>
        </w:tc>
        <w:tc>
          <w:tcPr>
            <w:tcW w:w="4212" w:type="dxa"/>
            <w:tcBorders>
              <w:top w:val="single" w:sz="6" w:space="0" w:color="000000"/>
            </w:tcBorders>
            <w:shd w:val="clear" w:color="auto" w:fill="FFFFFF"/>
          </w:tcPr>
          <w:p w14:paraId="334E17DE" w14:textId="77777777" w:rsidR="000F4095" w:rsidRPr="0058047D" w:rsidRDefault="000F4095" w:rsidP="00343766">
            <w:pPr>
              <w:rPr>
                <w:rFonts w:cs="Tahoma"/>
                <w:color w:val="000000"/>
                <w:szCs w:val="20"/>
              </w:rPr>
            </w:pPr>
            <w:r w:rsidRPr="0058047D">
              <w:rPr>
                <w:rFonts w:cs="Tahoma"/>
                <w:color w:val="000000"/>
                <w:szCs w:val="20"/>
              </w:rPr>
              <w:t>1 Microsoft Dynamics CRM Workgroup Server</w:t>
            </w:r>
            <w:r w:rsidR="00075CCA">
              <w:rPr>
                <w:rFonts w:cs="Tahoma"/>
                <w:color w:val="000000"/>
                <w:szCs w:val="20"/>
              </w:rPr>
              <w:t> </w:t>
            </w:r>
            <w:r w:rsidRPr="0058047D">
              <w:rPr>
                <w:rFonts w:cs="Tahoma"/>
                <w:color w:val="000000"/>
                <w:szCs w:val="20"/>
              </w:rPr>
              <w:t>2013</w:t>
            </w:r>
          </w:p>
        </w:tc>
      </w:tr>
      <w:tr w:rsidR="000F4095" w:rsidRPr="0058047D" w14:paraId="63527601" w14:textId="77777777" w:rsidTr="00343766">
        <w:trPr>
          <w:trHeight w:val="804"/>
        </w:trPr>
        <w:tc>
          <w:tcPr>
            <w:tcW w:w="4248" w:type="dxa"/>
            <w:tcBorders>
              <w:top w:val="single" w:sz="6" w:space="0" w:color="000000"/>
            </w:tcBorders>
            <w:shd w:val="clear" w:color="auto" w:fill="FFFFFF"/>
          </w:tcPr>
          <w:p w14:paraId="6766B2B5" w14:textId="77777777" w:rsidR="000F4095" w:rsidRPr="0058047D" w:rsidRDefault="000F4095" w:rsidP="00343766">
            <w:pPr>
              <w:rPr>
                <w:rFonts w:cs="Tahoma"/>
                <w:color w:val="000000"/>
                <w:szCs w:val="20"/>
              </w:rPr>
            </w:pPr>
            <w:r w:rsidRPr="0058047D">
              <w:rPr>
                <w:rFonts w:cs="Tahoma"/>
                <w:color w:val="000000"/>
                <w:szCs w:val="20"/>
              </w:rPr>
              <w:t>1 Employee Self Service CAL per Microsoft Dynamics CRM 2011</w:t>
            </w:r>
          </w:p>
        </w:tc>
        <w:tc>
          <w:tcPr>
            <w:tcW w:w="4212" w:type="dxa"/>
            <w:tcBorders>
              <w:top w:val="single" w:sz="6" w:space="0" w:color="000000"/>
            </w:tcBorders>
            <w:shd w:val="clear" w:color="auto" w:fill="FFFFFF"/>
          </w:tcPr>
          <w:p w14:paraId="69E2B220" w14:textId="77777777" w:rsidR="000F4095" w:rsidRPr="0058047D" w:rsidRDefault="000F4095" w:rsidP="00343766">
            <w:r w:rsidRPr="0058047D">
              <w:rPr>
                <w:rFonts w:cs="Tahoma"/>
                <w:color w:val="000000"/>
                <w:szCs w:val="20"/>
              </w:rPr>
              <w:t xml:space="preserve">1 </w:t>
            </w:r>
            <w:r w:rsidRPr="0058047D">
              <w:t>CAL per Microsoft Dynamics CRM 2013 Essential O</w:t>
            </w:r>
          </w:p>
          <w:p w14:paraId="38D876CD" w14:textId="77777777" w:rsidR="000F4095" w:rsidRPr="0058047D" w:rsidRDefault="000F4095" w:rsidP="00343766">
            <w:pPr>
              <w:rPr>
                <w:rFonts w:cs="Tahoma"/>
                <w:color w:val="000000"/>
                <w:szCs w:val="20"/>
              </w:rPr>
            </w:pPr>
            <w:r w:rsidRPr="0058047D">
              <w:rPr>
                <w:rFonts w:cs="Tahoma"/>
                <w:color w:val="000000"/>
                <w:szCs w:val="20"/>
              </w:rPr>
              <w:t xml:space="preserve">1 </w:t>
            </w:r>
            <w:r w:rsidRPr="0058047D">
              <w:t xml:space="preserve">CAL per Microsoft Dynamics CRM 2013 Essential </w:t>
            </w:r>
            <w:r w:rsidRPr="0058047D">
              <w:rPr>
                <w:rFonts w:cs="Tahoma"/>
                <w:color w:val="000000"/>
                <w:szCs w:val="20"/>
              </w:rPr>
              <w:t xml:space="preserve">e 1 </w:t>
            </w:r>
            <w:r w:rsidRPr="0058047D">
              <w:t>CAL Aggiuntiva per l</w:t>
            </w:r>
            <w:r w:rsidR="001C4212">
              <w:t>’</w:t>
            </w:r>
            <w:r w:rsidRPr="0058047D">
              <w:t>Utilizzo di Microsoft Dynamics CRM 2013 Basic</w:t>
            </w:r>
          </w:p>
        </w:tc>
      </w:tr>
      <w:tr w:rsidR="000F4095" w:rsidRPr="0058047D" w14:paraId="7B1FBCA5" w14:textId="77777777" w:rsidTr="00343766">
        <w:tc>
          <w:tcPr>
            <w:tcW w:w="4248" w:type="dxa"/>
            <w:tcBorders>
              <w:top w:val="single" w:sz="6" w:space="0" w:color="000000"/>
            </w:tcBorders>
            <w:shd w:val="clear" w:color="auto" w:fill="FFFFFF"/>
          </w:tcPr>
          <w:p w14:paraId="6D85F4E7" w14:textId="77777777" w:rsidR="000F4095" w:rsidRPr="0058047D" w:rsidRDefault="000F4095" w:rsidP="00343766">
            <w:pPr>
              <w:rPr>
                <w:rFonts w:cs="Tahoma"/>
                <w:color w:val="000000"/>
                <w:szCs w:val="20"/>
              </w:rPr>
            </w:pPr>
            <w:r w:rsidRPr="0058047D">
              <w:rPr>
                <w:rFonts w:cs="Tahoma"/>
                <w:color w:val="000000"/>
                <w:szCs w:val="20"/>
              </w:rPr>
              <w:t>1 CAL Aggiuntiva per l</w:t>
            </w:r>
            <w:r w:rsidR="001C4212">
              <w:rPr>
                <w:rFonts w:cs="Tahoma"/>
                <w:color w:val="000000"/>
                <w:szCs w:val="20"/>
              </w:rPr>
              <w:t>’</w:t>
            </w:r>
            <w:r w:rsidRPr="0058047D">
              <w:rPr>
                <w:rFonts w:cs="Tahoma"/>
                <w:color w:val="000000"/>
                <w:szCs w:val="20"/>
              </w:rPr>
              <w:t>Utilizzo di Microsoft Dynamics CRM 2011 Limited</w:t>
            </w:r>
          </w:p>
        </w:tc>
        <w:tc>
          <w:tcPr>
            <w:tcW w:w="4212" w:type="dxa"/>
            <w:tcBorders>
              <w:top w:val="single" w:sz="6" w:space="0" w:color="000000"/>
            </w:tcBorders>
            <w:shd w:val="clear" w:color="auto" w:fill="FFFFFF"/>
          </w:tcPr>
          <w:p w14:paraId="47113B60" w14:textId="77777777" w:rsidR="000F4095" w:rsidRPr="0058047D" w:rsidRDefault="000F4095" w:rsidP="00343766">
            <w:r w:rsidRPr="0058047D">
              <w:rPr>
                <w:rFonts w:cs="Tahoma"/>
                <w:color w:val="000000"/>
                <w:szCs w:val="20"/>
              </w:rPr>
              <w:t xml:space="preserve">1 </w:t>
            </w:r>
            <w:r w:rsidRPr="0058047D">
              <w:t>CAL Aggiuntiva per l</w:t>
            </w:r>
            <w:r w:rsidR="001C4212">
              <w:t>’</w:t>
            </w:r>
            <w:r w:rsidRPr="0058047D">
              <w:t>Utilizzo di Microsoft Dynamics CRM 2013 Basic</w:t>
            </w:r>
          </w:p>
        </w:tc>
      </w:tr>
      <w:tr w:rsidR="000F4095" w:rsidRPr="0058047D" w14:paraId="01265C01" w14:textId="77777777" w:rsidTr="00343766">
        <w:trPr>
          <w:trHeight w:val="471"/>
        </w:trPr>
        <w:tc>
          <w:tcPr>
            <w:tcW w:w="4248" w:type="dxa"/>
            <w:tcBorders>
              <w:top w:val="single" w:sz="6" w:space="0" w:color="000000"/>
            </w:tcBorders>
            <w:shd w:val="clear" w:color="auto" w:fill="FFFFFF"/>
          </w:tcPr>
          <w:p w14:paraId="0B94FFEE" w14:textId="77777777" w:rsidR="000F4095" w:rsidRPr="0058047D" w:rsidRDefault="000F4095" w:rsidP="00343766">
            <w:pPr>
              <w:rPr>
                <w:rFonts w:cs="Tahoma"/>
                <w:color w:val="000000"/>
                <w:szCs w:val="20"/>
              </w:rPr>
            </w:pPr>
            <w:r w:rsidRPr="0058047D">
              <w:rPr>
                <w:rFonts w:cs="Tahoma"/>
                <w:color w:val="000000"/>
                <w:szCs w:val="20"/>
              </w:rPr>
              <w:t>1 CAL Aggiuntiva per l</w:t>
            </w:r>
            <w:r w:rsidR="001C4212">
              <w:rPr>
                <w:rFonts w:cs="Tahoma"/>
                <w:color w:val="000000"/>
                <w:szCs w:val="20"/>
              </w:rPr>
              <w:t>’</w:t>
            </w:r>
            <w:r w:rsidRPr="0058047D">
              <w:rPr>
                <w:rFonts w:cs="Tahoma"/>
                <w:color w:val="000000"/>
                <w:szCs w:val="20"/>
              </w:rPr>
              <w:t>Utilizzo Completo di Microsoft Dynamics CRM 2011</w:t>
            </w:r>
          </w:p>
        </w:tc>
        <w:tc>
          <w:tcPr>
            <w:tcW w:w="4212" w:type="dxa"/>
            <w:tcBorders>
              <w:top w:val="single" w:sz="6" w:space="0" w:color="000000"/>
            </w:tcBorders>
            <w:shd w:val="clear" w:color="auto" w:fill="FFFFFF"/>
          </w:tcPr>
          <w:p w14:paraId="6E2AF5D8" w14:textId="77777777" w:rsidR="000F4095" w:rsidRPr="0058047D" w:rsidRDefault="000F4095" w:rsidP="00343766">
            <w:pPr>
              <w:rPr>
                <w:rFonts w:cs="Tahoma"/>
                <w:color w:val="000000"/>
                <w:szCs w:val="20"/>
              </w:rPr>
            </w:pPr>
            <w:r w:rsidRPr="0058047D">
              <w:t>1 CAL Aggiuntiva per l</w:t>
            </w:r>
            <w:r w:rsidR="001C4212">
              <w:t>’</w:t>
            </w:r>
            <w:r w:rsidRPr="0058047D">
              <w:t>Utilizzo di Microsoft Dynamics CRM 2013 Professional</w:t>
            </w:r>
          </w:p>
        </w:tc>
      </w:tr>
      <w:tr w:rsidR="000F4095" w:rsidRPr="0058047D" w14:paraId="7C60FF44" w14:textId="77777777" w:rsidTr="00343766">
        <w:tc>
          <w:tcPr>
            <w:tcW w:w="4248" w:type="dxa"/>
            <w:tcBorders>
              <w:top w:val="single" w:sz="6" w:space="0" w:color="000000"/>
            </w:tcBorders>
            <w:shd w:val="clear" w:color="auto" w:fill="FFFFFF"/>
          </w:tcPr>
          <w:p w14:paraId="37A441A5" w14:textId="77777777" w:rsidR="000F4095" w:rsidRPr="0058047D" w:rsidRDefault="000F4095" w:rsidP="00343766">
            <w:pPr>
              <w:rPr>
                <w:rFonts w:cs="Tahoma"/>
                <w:color w:val="000000"/>
                <w:szCs w:val="20"/>
              </w:rPr>
            </w:pPr>
            <w:r w:rsidRPr="0058047D">
              <w:rPr>
                <w:rFonts w:cs="Tahoma"/>
                <w:color w:val="000000"/>
                <w:szCs w:val="20"/>
              </w:rPr>
              <w:t xml:space="preserve">1 External Connector per </w:t>
            </w:r>
            <w:r w:rsidR="00DA0170">
              <w:rPr>
                <w:rFonts w:cs="Tahoma"/>
                <w:color w:val="000000"/>
                <w:szCs w:val="20"/>
              </w:rPr>
              <w:br/>
            </w:r>
            <w:r w:rsidRPr="0058047D">
              <w:rPr>
                <w:rFonts w:cs="Tahoma"/>
                <w:color w:val="000000"/>
                <w:szCs w:val="20"/>
              </w:rPr>
              <w:t>Microsoft Dynamics CRM 2011</w:t>
            </w:r>
          </w:p>
        </w:tc>
        <w:tc>
          <w:tcPr>
            <w:tcW w:w="4212" w:type="dxa"/>
            <w:tcBorders>
              <w:top w:val="single" w:sz="6" w:space="0" w:color="000000"/>
            </w:tcBorders>
            <w:shd w:val="clear" w:color="auto" w:fill="FFFFFF"/>
          </w:tcPr>
          <w:p w14:paraId="33772206" w14:textId="77777777" w:rsidR="000F4095" w:rsidRPr="0058047D" w:rsidRDefault="000F4095" w:rsidP="00343766">
            <w:pPr>
              <w:rPr>
                <w:rFonts w:cs="Tahoma"/>
                <w:color w:val="000000"/>
                <w:szCs w:val="20"/>
              </w:rPr>
            </w:pPr>
            <w:r w:rsidRPr="0058047D">
              <w:rPr>
                <w:rFonts w:cs="Tahoma"/>
                <w:color w:val="000000"/>
                <w:szCs w:val="20"/>
              </w:rPr>
              <w:t>Nessuna. I diritti sull</w:t>
            </w:r>
            <w:r w:rsidR="001C4212">
              <w:rPr>
                <w:rFonts w:cs="Tahoma"/>
                <w:color w:val="000000"/>
                <w:szCs w:val="20"/>
              </w:rPr>
              <w:t>’</w:t>
            </w:r>
            <w:r w:rsidRPr="0058047D">
              <w:rPr>
                <w:rFonts w:cs="Tahoma"/>
                <w:color w:val="000000"/>
                <w:szCs w:val="20"/>
              </w:rPr>
              <w:t>utilizzo di External Connector sono inclusi nella licenza per CRM 2013 Server</w:t>
            </w:r>
          </w:p>
        </w:tc>
      </w:tr>
    </w:tbl>
    <w:p w14:paraId="302DD1A9" w14:textId="77777777" w:rsidR="000F4095" w:rsidRPr="0058047D" w:rsidRDefault="000F4095" w:rsidP="000F4095"/>
    <w:p w14:paraId="68D100E8" w14:textId="77777777" w:rsidR="000F4095" w:rsidRPr="0058047D" w:rsidRDefault="000F4095" w:rsidP="000F4095">
      <w:pPr>
        <w:ind w:left="720"/>
      </w:pPr>
      <w:r w:rsidRPr="0058047D">
        <w:rPr>
          <w:rFonts w:cs="Tahoma"/>
          <w:color w:val="000000"/>
          <w:szCs w:val="20"/>
        </w:rPr>
        <w:t>Il diritto di utilizzo del software Microsoft Dynamics CRM 2013 da parte della società è attestato dalla presente nota relativa alle condizioni del prodotto e dalla prova delle licenze corrispondenti e di Software Assurance per Microsoft Dynamics CRM 2013. Il diritto di utilizzo del software Microsoft Dynamics CRM 2013 da parte di una società, ai sensi della presente concessione per la migrazione, è soggetto alle condizioni del relativo Contratto Multilicenza. Tale</w:t>
      </w:r>
      <w:r w:rsidRPr="0058047D">
        <w:rPr>
          <w:rStyle w:val="CommentReference"/>
          <w:szCs w:val="20"/>
        </w:rPr>
        <w:t> </w:t>
      </w:r>
      <w:r w:rsidRPr="0058047D">
        <w:rPr>
          <w:rFonts w:cs="Tahoma"/>
          <w:color w:val="000000"/>
          <w:szCs w:val="20"/>
        </w:rPr>
        <w:t>diritto cesserà alla scadenza o alla risoluzione del diritto di utilizzo di Microsoft Dynamics CRM 2011 in virtù delle corrispondenti licenze qualificanti per Microsoft Dynamics CRM 2011. Alla scadenza della copertura SA per le licenze Microsoft Dynamics CRM 2011, la società potrà rinnovare SA per le licenze Microsoft Dynamics CRM 2013 in concessione.</w:t>
      </w:r>
      <w:r w:rsidR="00E34ED3" w:rsidRPr="0058047D">
        <w:rPr>
          <w:rFonts w:cs="Tahoma"/>
          <w:color w:val="000000"/>
          <w:szCs w:val="20"/>
        </w:rPr>
        <w:t xml:space="preserve"> </w:t>
      </w:r>
    </w:p>
    <w:p w14:paraId="351CAD2F" w14:textId="77777777" w:rsidR="000F4095" w:rsidRPr="0058047D" w:rsidRDefault="000F4095" w:rsidP="000F4095">
      <w:pPr>
        <w:ind w:left="720"/>
      </w:pPr>
    </w:p>
    <w:p w14:paraId="282CA2F1" w14:textId="77777777" w:rsidR="000F4095" w:rsidRPr="0058047D" w:rsidRDefault="000F4095" w:rsidP="000F4095">
      <w:pPr>
        <w:pStyle w:val="EndnoteText"/>
        <w:ind w:left="720"/>
      </w:pPr>
      <w:r w:rsidRPr="0058047D">
        <w:rPr>
          <w:rFonts w:ascii="Tahoma" w:hAnsi="Tahoma" w:cs="Tahoma"/>
          <w:bCs/>
          <w:sz w:val="18"/>
          <w:szCs w:val="18"/>
        </w:rPr>
        <w:t>Per le società con un Contratto Enterprise idonee a ricevere le presenti licenze gratuite e i diritti descritti in precedenza, le licenze per Microsoft Dynamics CRM 2011 acquistate nell</w:t>
      </w:r>
      <w:r w:rsidR="001C4212">
        <w:rPr>
          <w:rFonts w:ascii="Tahoma" w:hAnsi="Tahoma" w:cs="Tahoma"/>
          <w:bCs/>
          <w:sz w:val="18"/>
          <w:szCs w:val="18"/>
        </w:rPr>
        <w:t>’</w:t>
      </w:r>
      <w:r w:rsidRPr="0058047D">
        <w:rPr>
          <w:rFonts w:ascii="Tahoma" w:hAnsi="Tahoma" w:cs="Tahoma"/>
          <w:bCs/>
          <w:sz w:val="18"/>
          <w:szCs w:val="18"/>
        </w:rPr>
        <w:t>ambito della procedura annuale di true-up durante il periodo di validità dell</w:t>
      </w:r>
      <w:r w:rsidR="001C4212">
        <w:rPr>
          <w:rFonts w:ascii="Tahoma" w:hAnsi="Tahoma" w:cs="Tahoma"/>
          <w:bCs/>
          <w:sz w:val="18"/>
          <w:szCs w:val="18"/>
        </w:rPr>
        <w:t>’</w:t>
      </w:r>
      <w:r w:rsidRPr="0058047D">
        <w:rPr>
          <w:rFonts w:ascii="Tahoma" w:hAnsi="Tahoma" w:cs="Tahoma"/>
          <w:bCs/>
          <w:sz w:val="18"/>
          <w:szCs w:val="18"/>
        </w:rPr>
        <w:t>iscrizione attuale costituiscono, anch</w:t>
      </w:r>
      <w:r w:rsidR="001C4212">
        <w:rPr>
          <w:rFonts w:ascii="Tahoma" w:hAnsi="Tahoma" w:cs="Tahoma"/>
          <w:bCs/>
          <w:sz w:val="18"/>
          <w:szCs w:val="18"/>
        </w:rPr>
        <w:t>’</w:t>
      </w:r>
      <w:r w:rsidRPr="0058047D">
        <w:rPr>
          <w:rFonts w:ascii="Tahoma" w:hAnsi="Tahoma" w:cs="Tahoma"/>
          <w:bCs/>
          <w:sz w:val="18"/>
          <w:szCs w:val="18"/>
        </w:rPr>
        <w:t>esse, licenze qualificanti.</w:t>
      </w:r>
    </w:p>
    <w:p w14:paraId="5373BA3C" w14:textId="77777777" w:rsidR="000F4095" w:rsidRPr="0058047D" w:rsidRDefault="000F4095" w:rsidP="000F4095">
      <w:pPr>
        <w:pStyle w:val="EndnoteText"/>
        <w:ind w:left="720"/>
      </w:pPr>
    </w:p>
    <w:p w14:paraId="19BC82F7" w14:textId="77777777" w:rsidR="000F4095" w:rsidRPr="0058047D" w:rsidRDefault="000F4095" w:rsidP="000F4095">
      <w:pPr>
        <w:pStyle w:val="EndnoteText"/>
        <w:ind w:left="720"/>
        <w:rPr>
          <w:highlight w:val="yellow"/>
        </w:rPr>
      </w:pPr>
      <w:r w:rsidRPr="0058047D">
        <w:rPr>
          <w:rFonts w:ascii="Tahoma" w:hAnsi="Tahoma" w:cs="Tahoma"/>
          <w:bCs/>
          <w:color w:val="000000"/>
          <w:sz w:val="18"/>
          <w:szCs w:val="18"/>
        </w:rPr>
        <w:t>Per Contratti Enterprise Subscription, Campus e School e Open Value Subscription, gli stessi diritti verranno concessi temporaneamente fino al termine del periodo di validità dell</w:t>
      </w:r>
      <w:r w:rsidR="001C4212">
        <w:rPr>
          <w:rFonts w:ascii="Tahoma" w:hAnsi="Tahoma" w:cs="Tahoma"/>
          <w:bCs/>
          <w:color w:val="000000"/>
          <w:sz w:val="18"/>
          <w:szCs w:val="18"/>
        </w:rPr>
        <w:t>’</w:t>
      </w:r>
      <w:r w:rsidRPr="0058047D">
        <w:rPr>
          <w:rFonts w:ascii="Tahoma" w:hAnsi="Tahoma" w:cs="Tahoma"/>
          <w:bCs/>
          <w:color w:val="000000"/>
          <w:sz w:val="18"/>
          <w:szCs w:val="18"/>
        </w:rPr>
        <w:t>iscrizione della licenza, qualora le Licenze e la copertura Software Assurance siano valide durante il periodo di concessione e la società mantenga la copertura dell</w:t>
      </w:r>
      <w:r w:rsidR="001C4212">
        <w:rPr>
          <w:rFonts w:ascii="Tahoma" w:hAnsi="Tahoma" w:cs="Tahoma"/>
          <w:bCs/>
          <w:color w:val="000000"/>
          <w:sz w:val="18"/>
          <w:szCs w:val="18"/>
        </w:rPr>
        <w:t>’</w:t>
      </w:r>
      <w:r w:rsidRPr="0058047D">
        <w:rPr>
          <w:rFonts w:ascii="Tahoma" w:hAnsi="Tahoma" w:cs="Tahoma"/>
          <w:bCs/>
          <w:color w:val="000000"/>
          <w:sz w:val="18"/>
          <w:szCs w:val="18"/>
        </w:rPr>
        <w:t>abbonamento in via continuativa.</w:t>
      </w:r>
      <w:r w:rsidR="00E34ED3" w:rsidRPr="0058047D">
        <w:rPr>
          <w:rFonts w:ascii="Tahoma" w:hAnsi="Tahoma" w:cs="Tahoma"/>
          <w:bCs/>
          <w:color w:val="000000"/>
          <w:sz w:val="18"/>
          <w:szCs w:val="18"/>
        </w:rPr>
        <w:t xml:space="preserve"> </w:t>
      </w:r>
      <w:r w:rsidRPr="0058047D">
        <w:rPr>
          <w:rFonts w:ascii="Tahoma" w:hAnsi="Tahoma" w:cs="Tahoma"/>
          <w:bCs/>
          <w:color w:val="000000"/>
          <w:sz w:val="18"/>
          <w:szCs w:val="18"/>
        </w:rPr>
        <w:t>Tali diritti diventeranno permanenti soltanto all</w:t>
      </w:r>
      <w:r w:rsidR="001C4212">
        <w:rPr>
          <w:rFonts w:ascii="Tahoma" w:hAnsi="Tahoma" w:cs="Tahoma"/>
          <w:bCs/>
          <w:color w:val="000000"/>
          <w:sz w:val="18"/>
          <w:szCs w:val="18"/>
        </w:rPr>
        <w:t>’</w:t>
      </w:r>
      <w:r w:rsidRPr="0058047D">
        <w:rPr>
          <w:rFonts w:ascii="Tahoma" w:hAnsi="Tahoma" w:cs="Tahoma"/>
          <w:bCs/>
          <w:color w:val="000000"/>
          <w:sz w:val="18"/>
          <w:szCs w:val="18"/>
        </w:rPr>
        <w:t>esercizio dell</w:t>
      </w:r>
      <w:r w:rsidR="001C4212">
        <w:rPr>
          <w:rFonts w:ascii="Tahoma" w:hAnsi="Tahoma" w:cs="Tahoma"/>
          <w:bCs/>
          <w:color w:val="000000"/>
          <w:sz w:val="18"/>
          <w:szCs w:val="18"/>
        </w:rPr>
        <w:t>’</w:t>
      </w:r>
      <w:r w:rsidRPr="0058047D">
        <w:rPr>
          <w:rFonts w:ascii="Tahoma" w:hAnsi="Tahoma" w:cs="Tahoma"/>
          <w:bCs/>
          <w:color w:val="000000"/>
          <w:sz w:val="18"/>
          <w:szCs w:val="18"/>
        </w:rPr>
        <w:t>opzione buy-out e resteranno soggetti a tutte le condizioni del contratto di licenza della società.</w:t>
      </w:r>
    </w:p>
    <w:p w14:paraId="6FF8F82C" w14:textId="77777777" w:rsidR="000F4095" w:rsidRPr="0058047D" w:rsidRDefault="000F4095" w:rsidP="000F4095">
      <w:pPr>
        <w:ind w:left="720"/>
      </w:pPr>
    </w:p>
    <w:p w14:paraId="3D55A3E6" w14:textId="77777777" w:rsidR="000F4095" w:rsidRPr="0058047D" w:rsidRDefault="000F4095" w:rsidP="000F4095">
      <w:pPr>
        <w:spacing w:after="60"/>
        <w:ind w:left="720"/>
      </w:pPr>
      <w:r w:rsidRPr="0058047D">
        <w:rPr>
          <w:rFonts w:cs="Tahoma"/>
          <w:b/>
          <w:bCs/>
          <w:szCs w:val="20"/>
        </w:rPr>
        <w:t xml:space="preserve">Diritti di Downgrade per Microsoft Dynamics CRM 2013 </w:t>
      </w:r>
    </w:p>
    <w:p w14:paraId="197D8865" w14:textId="77777777" w:rsidR="000F4095" w:rsidRPr="0058047D" w:rsidRDefault="000F4095" w:rsidP="000F4095">
      <w:pPr>
        <w:ind w:left="720"/>
      </w:pPr>
      <w:r w:rsidRPr="0058047D">
        <w:rPr>
          <w:rFonts w:cs="Tahoma"/>
          <w:szCs w:val="20"/>
        </w:rPr>
        <w:t>Le società che dispongono di licenze per Microsoft Dynamics CRM 2013 potranno utilizzare Microsoft Dynamics CRM 2011 anziché Microsoft Dynamics CRM 2011. Le loro licenze per Microsoft Dynamics CRM 2013 potranno essere distribuite come licenze per CRM 2011 nella modalità che segue:</w:t>
      </w:r>
    </w:p>
    <w:p w14:paraId="7FE65C5C" w14:textId="77777777" w:rsidR="000F4095" w:rsidRPr="0058047D" w:rsidRDefault="000F4095" w:rsidP="000F4095">
      <w:pPr>
        <w:ind w:left="720"/>
      </w:pPr>
    </w:p>
    <w:p w14:paraId="4372352D" w14:textId="77777777" w:rsidR="000F4095" w:rsidRPr="0058047D" w:rsidRDefault="000F4095" w:rsidP="000F4095">
      <w:pPr>
        <w:ind w:left="540"/>
      </w:pPr>
    </w:p>
    <w:p w14:paraId="0F6ECDA7" w14:textId="77777777" w:rsidR="000F4095" w:rsidRPr="0058047D" w:rsidRDefault="000F4095" w:rsidP="000F4095">
      <w:pPr>
        <w:ind w:left="900"/>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58047D" w14:paraId="03ACBA51" w14:textId="77777777"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28D42C07" w14:textId="77777777" w:rsidR="000F4095" w:rsidRPr="0058047D" w:rsidRDefault="000F4095" w:rsidP="00343766">
            <w:pPr>
              <w:keepNext/>
              <w:ind w:left="360"/>
              <w:rPr>
                <w:rFonts w:cs="Tahoma"/>
                <w:b/>
                <w:bCs/>
                <w:szCs w:val="20"/>
              </w:rPr>
            </w:pPr>
            <w:r w:rsidRPr="0058047D">
              <w:rPr>
                <w:rFonts w:cs="Tahoma"/>
                <w:b/>
                <w:bCs/>
                <w:szCs w:val="20"/>
              </w:rPr>
              <w:t>Licenza Qualificante per Microsoft Dynamics CRM 2013</w:t>
            </w:r>
          </w:p>
        </w:tc>
        <w:tc>
          <w:tcPr>
            <w:tcW w:w="4242" w:type="dxa"/>
            <w:tcBorders>
              <w:top w:val="single" w:sz="8" w:space="0" w:color="000000"/>
              <w:left w:val="nil"/>
              <w:bottom w:val="single" w:sz="8" w:space="0" w:color="000000"/>
              <w:right w:val="single" w:sz="8" w:space="0" w:color="auto"/>
            </w:tcBorders>
            <w:shd w:val="clear" w:color="auto" w:fill="FABF8F"/>
          </w:tcPr>
          <w:p w14:paraId="6EA9D066" w14:textId="77777777" w:rsidR="000F4095" w:rsidRPr="0058047D" w:rsidRDefault="000F4095" w:rsidP="00343766">
            <w:pPr>
              <w:ind w:left="360"/>
              <w:rPr>
                <w:rFonts w:cs="Tahoma"/>
                <w:b/>
                <w:bCs/>
                <w:szCs w:val="20"/>
              </w:rPr>
            </w:pPr>
            <w:r w:rsidRPr="0058047D">
              <w:rPr>
                <w:rFonts w:cs="Tahoma"/>
                <w:b/>
                <w:bCs/>
                <w:szCs w:val="20"/>
              </w:rPr>
              <w:t>Licenze Corrispondenti per Microsoft Dynamics CRM 2011</w:t>
            </w:r>
          </w:p>
        </w:tc>
      </w:tr>
      <w:tr w:rsidR="000F4095" w:rsidRPr="0058047D" w14:paraId="261E79EE"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14746036" w14:textId="77777777" w:rsidR="000F4095" w:rsidRPr="0058047D" w:rsidRDefault="000F4095" w:rsidP="00343766">
            <w:pPr>
              <w:keepNext/>
              <w:rPr>
                <w:rFonts w:cs="Tahoma"/>
                <w:szCs w:val="20"/>
              </w:rPr>
            </w:pPr>
            <w:r w:rsidRPr="0058047D">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14:paraId="4F9BC697" w14:textId="77777777" w:rsidR="000F4095" w:rsidRPr="0058047D" w:rsidRDefault="000F4095" w:rsidP="00343766">
            <w:pPr>
              <w:pStyle w:val="ColorfulList-Accent11"/>
              <w:spacing w:line="276" w:lineRule="auto"/>
              <w:ind w:left="288" w:right="162" w:hanging="180"/>
              <w:rPr>
                <w:rFonts w:ascii="Tahoma" w:hAnsi="Tahoma" w:cs="Tahoma"/>
                <w:sz w:val="18"/>
                <w:szCs w:val="20"/>
              </w:rPr>
            </w:pPr>
            <w:r w:rsidRPr="0058047D">
              <w:rPr>
                <w:rFonts w:ascii="Tahoma" w:hAnsi="Tahoma" w:cs="Tahoma"/>
                <w:color w:val="000000"/>
                <w:sz w:val="18"/>
                <w:szCs w:val="20"/>
              </w:rPr>
              <w:t>Microsoft Dynamics CRM 2011 Server</w:t>
            </w:r>
          </w:p>
        </w:tc>
      </w:tr>
      <w:tr w:rsidR="000F4095" w:rsidRPr="0058047D" w14:paraId="6FD665C9"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A386896" w14:textId="77777777" w:rsidR="000F4095" w:rsidRPr="0058047D" w:rsidRDefault="000F4095" w:rsidP="00343766">
            <w:pPr>
              <w:keepNext/>
              <w:rPr>
                <w:rFonts w:cs="Tahoma"/>
                <w:szCs w:val="20"/>
              </w:rPr>
            </w:pPr>
            <w:r w:rsidRPr="0058047D">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14:paraId="61114D7C" w14:textId="77777777" w:rsidR="000F4095" w:rsidRPr="0058047D" w:rsidRDefault="000F4095" w:rsidP="00343766">
            <w:pPr>
              <w:pStyle w:val="ColorfulList-Accent11"/>
              <w:spacing w:line="276" w:lineRule="auto"/>
              <w:ind w:left="288" w:right="162" w:hanging="180"/>
              <w:rPr>
                <w:rFonts w:ascii="Tahoma" w:hAnsi="Tahoma" w:cs="Tahoma"/>
                <w:sz w:val="18"/>
                <w:szCs w:val="20"/>
              </w:rPr>
            </w:pPr>
            <w:r w:rsidRPr="0058047D">
              <w:rPr>
                <w:rFonts w:ascii="Tahoma" w:hAnsi="Tahoma" w:cs="Tahoma"/>
                <w:color w:val="000000"/>
                <w:sz w:val="18"/>
                <w:szCs w:val="20"/>
              </w:rPr>
              <w:t>Microsoft Dynamics CRM Workgroup Server 2011</w:t>
            </w:r>
          </w:p>
        </w:tc>
      </w:tr>
      <w:tr w:rsidR="000F4095" w:rsidRPr="0058047D" w14:paraId="6E4C9518"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F0BC4C3" w14:textId="77777777" w:rsidR="000F4095" w:rsidRPr="0058047D" w:rsidRDefault="000F4095" w:rsidP="00343766">
            <w:pPr>
              <w:keepNext/>
              <w:rPr>
                <w:rFonts w:cs="Tahoma"/>
                <w:color w:val="000000"/>
                <w:szCs w:val="20"/>
              </w:rPr>
            </w:pPr>
            <w:r w:rsidRPr="0058047D">
              <w:t>CAL per Microsoft Dynamics CRM 2013 Essential</w:t>
            </w:r>
          </w:p>
        </w:tc>
        <w:tc>
          <w:tcPr>
            <w:tcW w:w="4242" w:type="dxa"/>
            <w:tcBorders>
              <w:top w:val="nil"/>
              <w:left w:val="nil"/>
              <w:bottom w:val="single" w:sz="8" w:space="0" w:color="000000"/>
              <w:right w:val="single" w:sz="8" w:space="0" w:color="000000"/>
            </w:tcBorders>
            <w:vAlign w:val="center"/>
          </w:tcPr>
          <w:p w14:paraId="51882051" w14:textId="77777777" w:rsidR="000F4095" w:rsidRPr="0058047D" w:rsidRDefault="000F4095" w:rsidP="00343766">
            <w:pPr>
              <w:pStyle w:val="ColorfulList-Accent11"/>
              <w:spacing w:line="276" w:lineRule="auto"/>
              <w:ind w:left="288" w:right="162" w:hanging="180"/>
              <w:rPr>
                <w:rFonts w:ascii="Tahoma" w:hAnsi="Tahoma" w:cs="Tahoma"/>
                <w:sz w:val="18"/>
                <w:szCs w:val="20"/>
              </w:rPr>
            </w:pPr>
            <w:r w:rsidRPr="0058047D">
              <w:rPr>
                <w:rFonts w:ascii="Tahoma" w:hAnsi="Tahoma"/>
                <w:sz w:val="18"/>
                <w:szCs w:val="22"/>
              </w:rPr>
              <w:t>CAL per Employee Self Service di Microsoft Dynamics CRM 2011</w:t>
            </w:r>
          </w:p>
        </w:tc>
      </w:tr>
      <w:tr w:rsidR="000F4095" w:rsidRPr="0058047D" w14:paraId="401A27B3"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B00B97A" w14:textId="77777777" w:rsidR="000F4095" w:rsidRPr="0058047D" w:rsidRDefault="000F4095" w:rsidP="00343766">
            <w:pPr>
              <w:rPr>
                <w:rFonts w:cs="Tahoma"/>
                <w:color w:val="000000"/>
                <w:szCs w:val="20"/>
              </w:rPr>
            </w:pPr>
            <w:r w:rsidRPr="0058047D">
              <w:t>CAL Aggiuntiva per l</w:t>
            </w:r>
            <w:r w:rsidR="001C4212">
              <w:t>’</w:t>
            </w:r>
            <w:r w:rsidRPr="0058047D">
              <w:t>Utilizzo di Microsoft Dynamics CRM 2013 Basic</w:t>
            </w:r>
          </w:p>
        </w:tc>
        <w:tc>
          <w:tcPr>
            <w:tcW w:w="4242" w:type="dxa"/>
            <w:tcBorders>
              <w:top w:val="nil"/>
              <w:left w:val="nil"/>
              <w:bottom w:val="single" w:sz="8" w:space="0" w:color="000000"/>
              <w:right w:val="single" w:sz="8" w:space="0" w:color="000000"/>
            </w:tcBorders>
            <w:vAlign w:val="center"/>
          </w:tcPr>
          <w:p w14:paraId="35D82542" w14:textId="77777777" w:rsidR="000F4095" w:rsidRPr="0058047D" w:rsidRDefault="000F4095" w:rsidP="00343766">
            <w:pPr>
              <w:pStyle w:val="ColorfulList-Accent11"/>
              <w:spacing w:line="276" w:lineRule="auto"/>
              <w:ind w:left="288" w:right="162" w:hanging="180"/>
              <w:rPr>
                <w:rFonts w:ascii="Tahoma" w:hAnsi="Tahoma" w:cs="Tahoma"/>
                <w:color w:val="000000"/>
                <w:sz w:val="18"/>
                <w:szCs w:val="20"/>
              </w:rPr>
            </w:pPr>
            <w:r w:rsidRPr="0058047D">
              <w:rPr>
                <w:rFonts w:ascii="Tahoma" w:hAnsi="Tahoma" w:cs="Tahoma"/>
                <w:color w:val="000000"/>
                <w:sz w:val="18"/>
                <w:szCs w:val="20"/>
              </w:rPr>
              <w:t>CAL Aggiuntiva per l</w:t>
            </w:r>
            <w:r w:rsidR="001C4212">
              <w:rPr>
                <w:rFonts w:ascii="Tahoma" w:hAnsi="Tahoma" w:cs="Tahoma"/>
                <w:color w:val="000000"/>
                <w:sz w:val="18"/>
                <w:szCs w:val="20"/>
              </w:rPr>
              <w:t>’</w:t>
            </w:r>
            <w:r w:rsidRPr="0058047D">
              <w:rPr>
                <w:rFonts w:ascii="Tahoma" w:hAnsi="Tahoma" w:cs="Tahoma"/>
                <w:color w:val="000000"/>
                <w:sz w:val="18"/>
                <w:szCs w:val="20"/>
              </w:rPr>
              <w:t>Utilizzo Limitato di Microsoft Dynamics CRM 2011</w:t>
            </w:r>
          </w:p>
        </w:tc>
      </w:tr>
      <w:tr w:rsidR="000F4095" w:rsidRPr="0058047D" w14:paraId="3434AA6C"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671C5E2" w14:textId="77777777" w:rsidR="000F4095" w:rsidRPr="0058047D" w:rsidRDefault="000F4095" w:rsidP="00343766">
            <w:pPr>
              <w:rPr>
                <w:rFonts w:cs="Tahoma"/>
                <w:color w:val="000000"/>
                <w:szCs w:val="20"/>
              </w:rPr>
            </w:pPr>
            <w:r w:rsidRPr="0058047D">
              <w:t>CAL Aggiuntiva per l</w:t>
            </w:r>
            <w:r w:rsidR="001C4212">
              <w:t>’</w:t>
            </w:r>
            <w:r w:rsidRPr="0058047D">
              <w:t>Utilizzo di Microsoft Dynamics CRM 2013 Professional</w:t>
            </w:r>
          </w:p>
        </w:tc>
        <w:tc>
          <w:tcPr>
            <w:tcW w:w="4242" w:type="dxa"/>
            <w:tcBorders>
              <w:top w:val="nil"/>
              <w:left w:val="nil"/>
              <w:bottom w:val="single" w:sz="8" w:space="0" w:color="000000"/>
              <w:right w:val="single" w:sz="8" w:space="0" w:color="000000"/>
            </w:tcBorders>
          </w:tcPr>
          <w:p w14:paraId="15C1505D" w14:textId="77777777" w:rsidR="000F4095" w:rsidRPr="0058047D" w:rsidRDefault="000F4095" w:rsidP="00343766">
            <w:pPr>
              <w:pStyle w:val="ColorfulList-Accent11"/>
              <w:spacing w:line="276" w:lineRule="auto"/>
              <w:ind w:left="288" w:right="162" w:hanging="180"/>
              <w:rPr>
                <w:rFonts w:ascii="Tahoma" w:hAnsi="Tahoma" w:cs="Tahoma"/>
                <w:color w:val="000000"/>
                <w:sz w:val="18"/>
                <w:szCs w:val="20"/>
              </w:rPr>
            </w:pPr>
            <w:r w:rsidRPr="0058047D">
              <w:rPr>
                <w:rFonts w:ascii="Tahoma" w:hAnsi="Tahoma" w:cs="Tahoma"/>
                <w:color w:val="000000"/>
                <w:sz w:val="18"/>
                <w:szCs w:val="20"/>
              </w:rPr>
              <w:t>CAL Aggiuntiva per l</w:t>
            </w:r>
            <w:r w:rsidR="001C4212">
              <w:rPr>
                <w:rFonts w:ascii="Tahoma" w:hAnsi="Tahoma" w:cs="Tahoma"/>
                <w:color w:val="000000"/>
                <w:sz w:val="18"/>
                <w:szCs w:val="20"/>
              </w:rPr>
              <w:t>’</w:t>
            </w:r>
            <w:r w:rsidRPr="0058047D">
              <w:rPr>
                <w:rFonts w:ascii="Tahoma" w:hAnsi="Tahoma" w:cs="Tahoma"/>
                <w:color w:val="000000"/>
                <w:sz w:val="18"/>
                <w:szCs w:val="20"/>
              </w:rPr>
              <w:t>Utilizzo Completo di Microsoft Dynamics CRM 2011</w:t>
            </w:r>
          </w:p>
        </w:tc>
      </w:tr>
    </w:tbl>
    <w:p w14:paraId="637AB245" w14:textId="77777777" w:rsidR="000F4095" w:rsidRPr="0058047D" w:rsidRDefault="000F4095" w:rsidP="000F4095"/>
    <w:p w14:paraId="7515F461" w14:textId="77777777" w:rsidR="000F4095" w:rsidRPr="0058047D" w:rsidRDefault="000F4095" w:rsidP="000F4095">
      <w:pPr>
        <w:spacing w:after="60"/>
        <w:ind w:left="720"/>
      </w:pPr>
      <w:r w:rsidRPr="0058047D">
        <w:rPr>
          <w:rFonts w:cs="Tahoma"/>
          <w:b/>
          <w:bCs/>
          <w:color w:val="000000"/>
          <w:szCs w:val="20"/>
        </w:rPr>
        <w:t>Opzioni della Licenza di Accesso Client (Client Access License)</w:t>
      </w:r>
    </w:p>
    <w:p w14:paraId="664D1BFB" w14:textId="77777777" w:rsidR="000F4095" w:rsidRPr="0058047D" w:rsidRDefault="000F4095" w:rsidP="000F4095">
      <w:pPr>
        <w:ind w:left="720"/>
      </w:pPr>
      <w:r w:rsidRPr="0058047D">
        <w:rPr>
          <w:rFonts w:cs="Tahoma"/>
          <w:color w:val="000000"/>
          <w:szCs w:val="20"/>
        </w:rPr>
        <w:t>Gli utilizzi autorizzati ai sensi delle diverse licenze CAL per Microsoft Dynamics CRM 2013 sono delineati nella tabella che segue.</w:t>
      </w:r>
      <w:r w:rsidR="00E34ED3" w:rsidRPr="0058047D">
        <w:rPr>
          <w:rFonts w:cs="Tahoma"/>
          <w:color w:val="000000"/>
          <w:szCs w:val="20"/>
        </w:rPr>
        <w:t xml:space="preserve"> </w:t>
      </w:r>
      <w:r w:rsidRPr="0058047D">
        <w:rPr>
          <w:rFonts w:cs="Tahoma"/>
          <w:color w:val="000000"/>
          <w:szCs w:val="20"/>
        </w:rPr>
        <w:t>La CAL Limitata e la CAL Completa sono offerte che includono più licenze.</w:t>
      </w:r>
    </w:p>
    <w:p w14:paraId="37375802" w14:textId="77777777" w:rsidR="000F4095" w:rsidRPr="0058047D" w:rsidRDefault="000F4095" w:rsidP="000F4095">
      <w:pPr>
        <w:ind w:left="720"/>
      </w:pPr>
    </w:p>
    <w:tbl>
      <w:tblPr>
        <w:tblW w:w="7097"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4"/>
        <w:gridCol w:w="823"/>
        <w:gridCol w:w="540"/>
        <w:gridCol w:w="630"/>
        <w:gridCol w:w="270"/>
        <w:gridCol w:w="1187"/>
        <w:gridCol w:w="793"/>
        <w:gridCol w:w="469"/>
        <w:gridCol w:w="701"/>
      </w:tblGrid>
      <w:tr w:rsidR="00BF2FFA" w:rsidRPr="0058047D" w14:paraId="24BBD583" w14:textId="77777777" w:rsidTr="00075CCA">
        <w:trPr>
          <w:cantSplit/>
          <w:trHeight w:val="303"/>
          <w:tblHeader/>
        </w:trPr>
        <w:tc>
          <w:tcPr>
            <w:tcW w:w="16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613806D0" w14:textId="77777777" w:rsidR="00BF2FFA" w:rsidRPr="0058047D" w:rsidRDefault="00BF2FFA" w:rsidP="004E6530">
            <w:pPr>
              <w:spacing w:before="20" w:after="20"/>
              <w:rPr>
                <w:rFonts w:ascii="Segoe UI" w:eastAsia="Times New Roman" w:hAnsi="Segoe UI" w:cs="Segoe UI"/>
                <w:b/>
                <w:bCs/>
                <w:color w:val="FFFFFF" w:themeColor="background1"/>
                <w:sz w:val="14"/>
                <w:szCs w:val="16"/>
              </w:rPr>
            </w:pPr>
            <w:r w:rsidRPr="0058047D">
              <w:rPr>
                <w:rFonts w:ascii="Segoe UI" w:eastAsia="Times New Roman" w:hAnsi="Segoe UI" w:cs="Segoe UI"/>
                <w:b/>
                <w:bCs/>
                <w:color w:val="FFFFFF" w:themeColor="background1"/>
                <w:sz w:val="14"/>
                <w:szCs w:val="16"/>
              </w:rPr>
              <w:t>Diritti sull</w:t>
            </w:r>
            <w:r w:rsidR="001C4212">
              <w:rPr>
                <w:rFonts w:ascii="Segoe UI" w:eastAsia="Times New Roman" w:hAnsi="Segoe UI" w:cs="Segoe UI"/>
                <w:b/>
                <w:bCs/>
                <w:color w:val="FFFFFF" w:themeColor="background1"/>
                <w:sz w:val="14"/>
                <w:szCs w:val="16"/>
              </w:rPr>
              <w:t>’</w:t>
            </w:r>
            <w:r w:rsidRPr="0058047D">
              <w:rPr>
                <w:rFonts w:ascii="Segoe UI" w:eastAsia="Times New Roman" w:hAnsi="Segoe UI" w:cs="Segoe UI"/>
                <w:b/>
                <w:bCs/>
                <w:color w:val="FFFFFF" w:themeColor="background1"/>
                <w:sz w:val="14"/>
                <w:szCs w:val="16"/>
              </w:rPr>
              <w:t>Utilizzo</w:t>
            </w:r>
          </w:p>
        </w:tc>
        <w:tc>
          <w:tcPr>
            <w:tcW w:w="82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3D6A3B58" w14:textId="77777777" w:rsidR="00BF2FFA" w:rsidRPr="0058047D" w:rsidRDefault="00BF2FFA" w:rsidP="004E6530">
            <w:pPr>
              <w:spacing w:before="20" w:after="20"/>
              <w:jc w:val="center"/>
              <w:rPr>
                <w:rFonts w:ascii="Segoe UI" w:eastAsia="Times New Roman" w:hAnsi="Segoe UI" w:cs="Segoe UI"/>
                <w:b/>
                <w:bCs/>
                <w:color w:val="FFFFFF" w:themeColor="background1"/>
                <w:sz w:val="10"/>
                <w:szCs w:val="10"/>
              </w:rPr>
            </w:pPr>
            <w:r w:rsidRPr="0058047D">
              <w:rPr>
                <w:rFonts w:ascii="Segoe UI" w:eastAsia="Times New Roman" w:hAnsi="Segoe UI" w:cs="Segoe UI"/>
                <w:b/>
                <w:bCs/>
                <w:color w:val="FFFFFF" w:themeColor="background1"/>
                <w:sz w:val="10"/>
                <w:szCs w:val="10"/>
              </w:rPr>
              <w:t>Professional</w:t>
            </w:r>
          </w:p>
        </w:tc>
        <w:tc>
          <w:tcPr>
            <w:tcW w:w="5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2F737A62" w14:textId="77777777" w:rsidR="00BF2FFA" w:rsidRPr="0058047D" w:rsidRDefault="00BF2FFA" w:rsidP="004E6530">
            <w:pPr>
              <w:spacing w:before="20" w:after="20"/>
              <w:jc w:val="center"/>
              <w:rPr>
                <w:rFonts w:ascii="Segoe UI" w:eastAsia="Times New Roman" w:hAnsi="Segoe UI" w:cs="Segoe UI"/>
                <w:b/>
                <w:bCs/>
                <w:color w:val="FFFFFF" w:themeColor="background1"/>
                <w:sz w:val="10"/>
                <w:szCs w:val="10"/>
              </w:rPr>
            </w:pPr>
            <w:r w:rsidRPr="0058047D">
              <w:rPr>
                <w:rFonts w:ascii="Segoe UI" w:eastAsia="Times New Roman" w:hAnsi="Segoe UI" w:cs="Segoe UI"/>
                <w:b/>
                <w:bCs/>
                <w:color w:val="FFFFFF" w:themeColor="background1"/>
                <w:sz w:val="10"/>
                <w:szCs w:val="10"/>
              </w:rPr>
              <w:t>Basic</w:t>
            </w:r>
          </w:p>
        </w:tc>
        <w:tc>
          <w:tcPr>
            <w:tcW w:w="63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7C2ACC27" w14:textId="77777777" w:rsidR="00BF2FFA" w:rsidRPr="0058047D" w:rsidRDefault="00BF2FFA" w:rsidP="004E6530">
            <w:pPr>
              <w:spacing w:before="20" w:after="20"/>
              <w:jc w:val="center"/>
              <w:rPr>
                <w:rFonts w:ascii="Segoe UI" w:eastAsia="Times New Roman" w:hAnsi="Segoe UI" w:cs="Segoe UI"/>
                <w:b/>
                <w:bCs/>
                <w:color w:val="FFFFFF" w:themeColor="background1"/>
                <w:sz w:val="10"/>
                <w:szCs w:val="10"/>
              </w:rPr>
            </w:pPr>
            <w:r w:rsidRPr="0058047D">
              <w:rPr>
                <w:rFonts w:ascii="Segoe UI" w:eastAsia="Times New Roman" w:hAnsi="Segoe UI" w:cs="Segoe UI"/>
                <w:b/>
                <w:bCs/>
                <w:color w:val="FFFFFF" w:themeColor="background1"/>
                <w:sz w:val="10"/>
                <w:szCs w:val="10"/>
              </w:rPr>
              <w:t>Essential</w:t>
            </w:r>
          </w:p>
        </w:tc>
        <w:tc>
          <w:tcPr>
            <w:tcW w:w="270" w:type="dxa"/>
            <w:tcBorders>
              <w:top w:val="nil"/>
              <w:left w:val="nil"/>
              <w:bottom w:val="nil"/>
              <w:right w:val="nil"/>
            </w:tcBorders>
            <w:shd w:val="clear" w:color="auto" w:fill="auto"/>
          </w:tcPr>
          <w:p w14:paraId="10E6EA1C" w14:textId="77777777" w:rsidR="00BF2FFA" w:rsidRPr="0058047D" w:rsidRDefault="00BF2FFA" w:rsidP="004E6530">
            <w:pPr>
              <w:spacing w:before="20" w:after="20"/>
              <w:jc w:val="center"/>
              <w:rPr>
                <w:rFonts w:ascii="Segoe UI" w:eastAsia="Times New Roman" w:hAnsi="Segoe UI" w:cs="Segoe UI"/>
                <w:b/>
                <w:bCs/>
                <w:color w:val="FFFFFF" w:themeColor="background1"/>
                <w:sz w:val="14"/>
                <w:szCs w:val="16"/>
              </w:rPr>
            </w:pPr>
          </w:p>
        </w:tc>
        <w:tc>
          <w:tcPr>
            <w:tcW w:w="1187"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05AFE40E" w14:textId="77777777" w:rsidR="00BF2FFA" w:rsidRPr="0058047D" w:rsidRDefault="00BF2FFA" w:rsidP="004E6530">
            <w:pPr>
              <w:spacing w:before="20" w:after="20"/>
              <w:rPr>
                <w:rFonts w:ascii="Segoe UI" w:eastAsia="Times New Roman" w:hAnsi="Segoe UI" w:cs="Segoe UI"/>
                <w:b/>
                <w:bCs/>
                <w:color w:val="FFFFFF" w:themeColor="background1"/>
                <w:sz w:val="14"/>
                <w:szCs w:val="16"/>
              </w:rPr>
            </w:pPr>
            <w:r w:rsidRPr="0058047D">
              <w:rPr>
                <w:rFonts w:ascii="Segoe UI" w:eastAsia="Times New Roman" w:hAnsi="Segoe UI" w:cs="Segoe UI"/>
                <w:b/>
                <w:bCs/>
                <w:color w:val="FFFFFF" w:themeColor="background1"/>
                <w:sz w:val="14"/>
                <w:szCs w:val="16"/>
              </w:rPr>
              <w:t>Diritti sull</w:t>
            </w:r>
            <w:r w:rsidR="001C4212">
              <w:rPr>
                <w:rFonts w:ascii="Segoe UI" w:eastAsia="Times New Roman" w:hAnsi="Segoe UI" w:cs="Segoe UI"/>
                <w:b/>
                <w:bCs/>
                <w:color w:val="FFFFFF" w:themeColor="background1"/>
                <w:sz w:val="14"/>
                <w:szCs w:val="16"/>
              </w:rPr>
              <w:t>’</w:t>
            </w:r>
            <w:r w:rsidRPr="0058047D">
              <w:rPr>
                <w:rFonts w:ascii="Segoe UI" w:eastAsia="Times New Roman" w:hAnsi="Segoe UI" w:cs="Segoe UI"/>
                <w:b/>
                <w:bCs/>
                <w:color w:val="FFFFFF" w:themeColor="background1"/>
                <w:sz w:val="14"/>
                <w:szCs w:val="16"/>
              </w:rPr>
              <w:t>Utilizzo</w:t>
            </w:r>
          </w:p>
        </w:tc>
        <w:tc>
          <w:tcPr>
            <w:tcW w:w="7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47CCA32F" w14:textId="77777777" w:rsidR="00BF2FFA" w:rsidRPr="0058047D" w:rsidRDefault="00BF2FFA" w:rsidP="004E6530">
            <w:pPr>
              <w:spacing w:before="20" w:after="20"/>
              <w:jc w:val="center"/>
              <w:rPr>
                <w:rFonts w:ascii="Segoe UI" w:eastAsia="Times New Roman" w:hAnsi="Segoe UI" w:cs="Segoe UI"/>
                <w:b/>
                <w:bCs/>
                <w:color w:val="FFFFFF" w:themeColor="background1"/>
                <w:sz w:val="14"/>
                <w:szCs w:val="16"/>
              </w:rPr>
            </w:pPr>
            <w:r w:rsidRPr="0058047D">
              <w:rPr>
                <w:rFonts w:ascii="Segoe UI" w:eastAsia="Times New Roman" w:hAnsi="Segoe UI" w:cs="Segoe UI"/>
                <w:b/>
                <w:bCs/>
                <w:color w:val="FFFFFF" w:themeColor="background1"/>
                <w:sz w:val="10"/>
                <w:szCs w:val="10"/>
              </w:rPr>
              <w:t>Professional</w:t>
            </w:r>
          </w:p>
        </w:tc>
        <w:tc>
          <w:tcPr>
            <w:tcW w:w="46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109D2176" w14:textId="77777777" w:rsidR="00BF2FFA" w:rsidRPr="0058047D" w:rsidRDefault="00BF2FFA" w:rsidP="004E6530">
            <w:pPr>
              <w:spacing w:before="20" w:after="20"/>
              <w:jc w:val="center"/>
              <w:rPr>
                <w:rFonts w:ascii="Segoe UI" w:eastAsia="Times New Roman" w:hAnsi="Segoe UI" w:cs="Segoe UI"/>
                <w:b/>
                <w:bCs/>
                <w:color w:val="FFFFFF" w:themeColor="background1"/>
                <w:sz w:val="14"/>
                <w:szCs w:val="16"/>
              </w:rPr>
            </w:pPr>
            <w:r w:rsidRPr="0058047D">
              <w:rPr>
                <w:rFonts w:ascii="Segoe UI" w:eastAsia="Times New Roman" w:hAnsi="Segoe UI" w:cs="Segoe UI"/>
                <w:b/>
                <w:bCs/>
                <w:color w:val="FFFFFF" w:themeColor="background1"/>
                <w:sz w:val="10"/>
                <w:szCs w:val="10"/>
              </w:rPr>
              <w:t>Basic</w:t>
            </w:r>
          </w:p>
        </w:tc>
        <w:tc>
          <w:tcPr>
            <w:tcW w:w="701"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7719681B" w14:textId="77777777" w:rsidR="00BF2FFA" w:rsidRPr="0058047D" w:rsidRDefault="00BF2FFA" w:rsidP="004E6530">
            <w:pPr>
              <w:spacing w:before="20" w:after="20"/>
              <w:jc w:val="center"/>
              <w:rPr>
                <w:rFonts w:ascii="Segoe UI" w:eastAsia="Times New Roman" w:hAnsi="Segoe UI" w:cs="Segoe UI"/>
                <w:b/>
                <w:bCs/>
                <w:color w:val="FFFFFF" w:themeColor="background1"/>
                <w:sz w:val="14"/>
                <w:szCs w:val="16"/>
              </w:rPr>
            </w:pPr>
            <w:r w:rsidRPr="0058047D">
              <w:rPr>
                <w:rFonts w:ascii="Segoe UI" w:eastAsia="Times New Roman" w:hAnsi="Segoe UI" w:cs="Segoe UI"/>
                <w:b/>
                <w:bCs/>
                <w:color w:val="FFFFFF" w:themeColor="background1"/>
                <w:sz w:val="10"/>
                <w:szCs w:val="10"/>
              </w:rPr>
              <w:t>Essential</w:t>
            </w:r>
          </w:p>
        </w:tc>
      </w:tr>
      <w:tr w:rsidR="00BF2FFA" w:rsidRPr="0058047D" w14:paraId="671707EA" w14:textId="77777777" w:rsidTr="00075CCA">
        <w:trPr>
          <w:cantSplit/>
          <w:trHeight w:val="172"/>
        </w:trPr>
        <w:tc>
          <w:tcPr>
            <w:tcW w:w="1684"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54FAC640" w14:textId="77777777" w:rsidR="00BF2FFA" w:rsidRPr="0058047D" w:rsidRDefault="00BF2FFA" w:rsidP="004E6530">
            <w:pPr>
              <w:spacing w:before="20" w:after="20"/>
              <w:rPr>
                <w:rFonts w:ascii="Segoe UI" w:eastAsia="Times New Roman" w:hAnsi="Segoe UI" w:cs="Segoe UI"/>
                <w:color w:val="000000"/>
                <w:sz w:val="13"/>
                <w:szCs w:val="13"/>
              </w:rPr>
            </w:pPr>
            <w:r w:rsidRPr="0058047D">
              <w:rPr>
                <w:rFonts w:ascii="Segoe UI" w:eastAsia="Times New Roman" w:hAnsi="Segoe UI" w:cs="Segoe UI"/>
                <w:color w:val="000000"/>
                <w:sz w:val="13"/>
                <w:szCs w:val="13"/>
              </w:rPr>
              <w:t>Visualizza Annunci</w:t>
            </w:r>
          </w:p>
        </w:tc>
        <w:tc>
          <w:tcPr>
            <w:tcW w:w="823" w:type="dxa"/>
            <w:tcBorders>
              <w:top w:val="single" w:sz="4" w:space="0" w:color="FFFFFF" w:themeColor="background1"/>
              <w:left w:val="nil"/>
              <w:bottom w:val="single" w:sz="4" w:space="0" w:color="A5A5A5" w:themeColor="accent3"/>
              <w:right w:val="nil"/>
            </w:tcBorders>
            <w:vAlign w:val="center"/>
          </w:tcPr>
          <w:p w14:paraId="33945FEA"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37621172" wp14:editId="4844119D">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FFFFFF" w:themeColor="background1"/>
              <w:left w:val="nil"/>
              <w:bottom w:val="single" w:sz="4" w:space="0" w:color="A5A5A5" w:themeColor="accent3"/>
              <w:right w:val="nil"/>
            </w:tcBorders>
            <w:vAlign w:val="center"/>
          </w:tcPr>
          <w:p w14:paraId="5E30659A"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76648DA5" wp14:editId="0A9AFC70">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FFFFFF" w:themeColor="background1"/>
              <w:left w:val="nil"/>
              <w:bottom w:val="single" w:sz="4" w:space="0" w:color="A5A5A5" w:themeColor="accent3"/>
              <w:right w:val="nil"/>
            </w:tcBorders>
            <w:vAlign w:val="center"/>
          </w:tcPr>
          <w:p w14:paraId="01B6BDBC" w14:textId="77777777" w:rsidR="00BF2FFA" w:rsidRPr="0058047D" w:rsidRDefault="00BF2FFA" w:rsidP="004E6530">
            <w:pPr>
              <w:spacing w:before="20" w:after="20"/>
              <w:jc w:val="center"/>
              <w:rPr>
                <w:rFonts w:ascii="Segoe UI" w:eastAsia="Times New Roman" w:hAnsi="Segoe UI" w:cs="Segoe UI"/>
                <w:color w:val="000000"/>
                <w:sz w:val="12"/>
                <w:szCs w:val="16"/>
              </w:rPr>
            </w:pPr>
            <w:r w:rsidRPr="0058047D">
              <w:rPr>
                <w:rFonts w:ascii="Segoe UI" w:eastAsia="Times New Roman" w:hAnsi="Segoe UI" w:cs="Segoe UI"/>
                <w:noProof/>
                <w:color w:val="000000"/>
                <w:sz w:val="12"/>
                <w:szCs w:val="16"/>
              </w:rPr>
              <w:drawing>
                <wp:inline distT="0" distB="0" distL="0" distR="0" wp14:anchorId="76D31426" wp14:editId="1AB8F03D">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5A998147"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1187"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4E017289" w14:textId="77777777" w:rsidR="00BF2FFA" w:rsidRPr="0058047D" w:rsidRDefault="00BF2FFA" w:rsidP="004E6530">
            <w:pPr>
              <w:spacing w:before="20" w:after="20"/>
              <w:rPr>
                <w:rFonts w:ascii="Segoe UI" w:eastAsia="Times New Roman" w:hAnsi="Segoe UI" w:cs="Segoe UI"/>
                <w:noProof/>
                <w:color w:val="000000"/>
                <w:sz w:val="13"/>
                <w:szCs w:val="13"/>
              </w:rPr>
            </w:pPr>
            <w:r w:rsidRPr="0058047D">
              <w:rPr>
                <w:rFonts w:ascii="Segoe UI" w:eastAsia="Times New Roman" w:hAnsi="Segoe UI" w:cs="Segoe UI"/>
                <w:color w:val="000000"/>
                <w:sz w:val="13"/>
                <w:szCs w:val="13"/>
              </w:rPr>
              <w:t>Contatti</w:t>
            </w:r>
          </w:p>
        </w:tc>
        <w:tc>
          <w:tcPr>
            <w:tcW w:w="793" w:type="dxa"/>
            <w:tcBorders>
              <w:top w:val="single" w:sz="4" w:space="0" w:color="FFFFFF" w:themeColor="background1"/>
              <w:left w:val="nil"/>
              <w:bottom w:val="single" w:sz="4" w:space="0" w:color="A5A5A5" w:themeColor="accent3"/>
              <w:right w:val="nil"/>
            </w:tcBorders>
            <w:vAlign w:val="center"/>
          </w:tcPr>
          <w:p w14:paraId="2893D846"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43E52682" wp14:editId="4903149B">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FFFFFF" w:themeColor="background1"/>
              <w:left w:val="nil"/>
              <w:bottom w:val="single" w:sz="4" w:space="0" w:color="A5A5A5" w:themeColor="accent3"/>
              <w:right w:val="nil"/>
            </w:tcBorders>
            <w:vAlign w:val="center"/>
          </w:tcPr>
          <w:p w14:paraId="4ADCBB7D"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163A4DCF" wp14:editId="55C7CD53">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1" w:type="dxa"/>
            <w:tcBorders>
              <w:top w:val="single" w:sz="4" w:space="0" w:color="FFFFFF" w:themeColor="background1"/>
              <w:left w:val="nil"/>
              <w:bottom w:val="single" w:sz="4" w:space="0" w:color="A5A5A5" w:themeColor="accent3"/>
              <w:right w:val="nil"/>
            </w:tcBorders>
          </w:tcPr>
          <w:p w14:paraId="11117DE2"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r>
      <w:tr w:rsidR="00BF2FFA" w:rsidRPr="0058047D" w14:paraId="158E1D8F"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9977A6A" w14:textId="77777777" w:rsidR="00BF2FFA" w:rsidRPr="0058047D" w:rsidRDefault="00BF2FFA" w:rsidP="004E6530">
            <w:pPr>
              <w:spacing w:before="20" w:after="20"/>
              <w:rPr>
                <w:rFonts w:ascii="Segoe UI" w:eastAsia="Times New Roman" w:hAnsi="Segoe UI" w:cs="Segoe UI"/>
                <w:color w:val="000000"/>
                <w:sz w:val="13"/>
                <w:szCs w:val="13"/>
              </w:rPr>
            </w:pPr>
            <w:r w:rsidRPr="0058047D">
              <w:rPr>
                <w:rFonts w:ascii="Segoe UI" w:eastAsia="Times New Roman" w:hAnsi="Segoe UI" w:cs="Segoe UI"/>
                <w:color w:val="000000"/>
                <w:sz w:val="13"/>
                <w:szCs w:val="13"/>
              </w:rPr>
              <w:t>Gestisci visualizzazioni salvate</w:t>
            </w:r>
          </w:p>
        </w:tc>
        <w:tc>
          <w:tcPr>
            <w:tcW w:w="823" w:type="dxa"/>
            <w:tcBorders>
              <w:top w:val="single" w:sz="4" w:space="0" w:color="A5A5A5" w:themeColor="accent3"/>
              <w:left w:val="nil"/>
              <w:bottom w:val="single" w:sz="4" w:space="0" w:color="A5A5A5" w:themeColor="accent3"/>
              <w:right w:val="nil"/>
            </w:tcBorders>
            <w:vAlign w:val="center"/>
          </w:tcPr>
          <w:p w14:paraId="43402F9D"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6D1CBBCC" wp14:editId="025D685D">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06F84A9"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547976F3" wp14:editId="52D526D7">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1410D14" w14:textId="77777777" w:rsidR="00BF2FFA" w:rsidRPr="0058047D" w:rsidRDefault="00BF2FFA" w:rsidP="004E6530">
            <w:pPr>
              <w:spacing w:before="20" w:after="20"/>
              <w:jc w:val="center"/>
              <w:rPr>
                <w:rFonts w:ascii="Segoe UI" w:eastAsia="Times New Roman" w:hAnsi="Segoe UI" w:cs="Segoe UI"/>
                <w:color w:val="000000"/>
                <w:sz w:val="12"/>
                <w:szCs w:val="16"/>
              </w:rPr>
            </w:pPr>
            <w:r w:rsidRPr="0058047D">
              <w:rPr>
                <w:rFonts w:ascii="Segoe UI" w:eastAsia="Times New Roman" w:hAnsi="Segoe UI" w:cs="Segoe UI"/>
                <w:noProof/>
                <w:color w:val="000000"/>
                <w:sz w:val="12"/>
                <w:szCs w:val="16"/>
              </w:rPr>
              <w:drawing>
                <wp:inline distT="0" distB="0" distL="0" distR="0" wp14:anchorId="563FD96D" wp14:editId="6A8503D6">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579F8F42"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1F47AC66" w14:textId="77777777" w:rsidR="00BF2FFA" w:rsidRPr="0058047D" w:rsidRDefault="00BF2FFA" w:rsidP="004E6530">
            <w:pPr>
              <w:spacing w:before="20" w:after="20"/>
              <w:rPr>
                <w:rFonts w:ascii="Segoe UI" w:eastAsia="Times New Roman" w:hAnsi="Segoe UI" w:cs="Segoe UI"/>
                <w:noProof/>
                <w:color w:val="000000"/>
                <w:sz w:val="13"/>
                <w:szCs w:val="13"/>
              </w:rPr>
            </w:pPr>
            <w:r w:rsidRPr="0058047D">
              <w:rPr>
                <w:rFonts w:ascii="Segoe UI" w:eastAsia="Times New Roman" w:hAnsi="Segoe UI" w:cs="Segoe UI"/>
                <w:color w:val="000000"/>
                <w:sz w:val="13"/>
                <w:szCs w:val="13"/>
              </w:rPr>
              <w:t>Lead scoring, routing, cessione</w:t>
            </w:r>
          </w:p>
        </w:tc>
        <w:tc>
          <w:tcPr>
            <w:tcW w:w="793" w:type="dxa"/>
            <w:tcBorders>
              <w:top w:val="single" w:sz="4" w:space="0" w:color="A5A5A5" w:themeColor="accent3"/>
              <w:left w:val="nil"/>
              <w:bottom w:val="single" w:sz="4" w:space="0" w:color="A5A5A5" w:themeColor="accent3"/>
              <w:right w:val="nil"/>
            </w:tcBorders>
            <w:vAlign w:val="center"/>
          </w:tcPr>
          <w:p w14:paraId="1BAD7B3B"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0BF10F66" wp14:editId="39E869B0">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vAlign w:val="center"/>
          </w:tcPr>
          <w:p w14:paraId="695D466C"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242B502B" wp14:editId="2CAF432F">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1" w:type="dxa"/>
            <w:tcBorders>
              <w:top w:val="single" w:sz="4" w:space="0" w:color="A5A5A5" w:themeColor="accent3"/>
              <w:left w:val="nil"/>
              <w:bottom w:val="single" w:sz="4" w:space="0" w:color="A5A5A5" w:themeColor="accent3"/>
              <w:right w:val="nil"/>
            </w:tcBorders>
          </w:tcPr>
          <w:p w14:paraId="3A637BB8"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r>
      <w:tr w:rsidR="00BF2FFA" w:rsidRPr="0058047D" w14:paraId="0E5DFC46"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810B704" w14:textId="77777777" w:rsidR="00BF2FFA" w:rsidRPr="0058047D" w:rsidRDefault="00BF2FFA" w:rsidP="004E6530">
            <w:pPr>
              <w:spacing w:before="20" w:after="20"/>
              <w:rPr>
                <w:rFonts w:ascii="Segoe UI" w:eastAsia="Times New Roman" w:hAnsi="Segoe UI" w:cs="Segoe UI"/>
                <w:color w:val="000000"/>
                <w:sz w:val="13"/>
                <w:szCs w:val="13"/>
              </w:rPr>
            </w:pPr>
            <w:r w:rsidRPr="0058047D">
              <w:rPr>
                <w:rFonts w:ascii="Segoe UI" w:eastAsia="Times New Roman" w:hAnsi="Segoe UI" w:cs="Segoe UI"/>
                <w:color w:val="000000"/>
                <w:sz w:val="13"/>
                <w:szCs w:val="13"/>
              </w:rPr>
              <w:t>Relazioni tra i record</w:t>
            </w:r>
          </w:p>
        </w:tc>
        <w:tc>
          <w:tcPr>
            <w:tcW w:w="823" w:type="dxa"/>
            <w:tcBorders>
              <w:top w:val="single" w:sz="4" w:space="0" w:color="A5A5A5" w:themeColor="accent3"/>
              <w:left w:val="nil"/>
              <w:bottom w:val="single" w:sz="4" w:space="0" w:color="A5A5A5" w:themeColor="accent3"/>
              <w:right w:val="nil"/>
            </w:tcBorders>
            <w:vAlign w:val="center"/>
          </w:tcPr>
          <w:p w14:paraId="0449D38C" w14:textId="77777777" w:rsidR="00BF2FFA" w:rsidRPr="0058047D" w:rsidRDefault="00BF2FFA" w:rsidP="004E6530">
            <w:pPr>
              <w:spacing w:before="20" w:after="20"/>
              <w:jc w:val="center"/>
              <w:rPr>
                <w:rFonts w:ascii="Segoe UI" w:hAnsi="Segoe UI" w:cs="Segoe UI"/>
                <w:noProof/>
                <w:sz w:val="12"/>
                <w:szCs w:val="16"/>
              </w:rPr>
            </w:pPr>
            <w:r w:rsidRPr="0058047D">
              <w:rPr>
                <w:rFonts w:ascii="Segoe UI" w:eastAsia="Times New Roman" w:hAnsi="Segoe UI" w:cs="Segoe UI"/>
                <w:noProof/>
                <w:color w:val="000000"/>
                <w:sz w:val="12"/>
                <w:szCs w:val="16"/>
              </w:rPr>
              <w:drawing>
                <wp:inline distT="0" distB="0" distL="0" distR="0" wp14:anchorId="5AB13970" wp14:editId="5BF575F2">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F455317" w14:textId="77777777" w:rsidR="00BF2FFA" w:rsidRPr="0058047D" w:rsidRDefault="00BF2FFA" w:rsidP="004E6530">
            <w:pPr>
              <w:spacing w:before="20" w:after="20"/>
              <w:jc w:val="center"/>
              <w:rPr>
                <w:rFonts w:ascii="Segoe UI" w:hAnsi="Segoe UI" w:cs="Segoe UI"/>
                <w:noProof/>
                <w:sz w:val="12"/>
                <w:szCs w:val="16"/>
              </w:rPr>
            </w:pPr>
            <w:r w:rsidRPr="0058047D">
              <w:rPr>
                <w:rFonts w:ascii="Segoe UI" w:hAnsi="Segoe UI" w:cs="Segoe UI"/>
                <w:noProof/>
                <w:sz w:val="12"/>
                <w:szCs w:val="16"/>
              </w:rPr>
              <w:drawing>
                <wp:inline distT="0" distB="0" distL="0" distR="0" wp14:anchorId="72BAB335" wp14:editId="7F79E07A">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19159CB" w14:textId="77777777" w:rsidR="00BF2FFA" w:rsidRPr="0058047D" w:rsidRDefault="00BF2FFA" w:rsidP="004E6530">
            <w:pPr>
              <w:spacing w:before="20" w:after="20"/>
              <w:jc w:val="center"/>
              <w:rPr>
                <w:rFonts w:ascii="Segoe UI" w:eastAsia="Times New Roman" w:hAnsi="Segoe UI" w:cs="Segoe UI"/>
                <w:color w:val="000000"/>
                <w:sz w:val="12"/>
                <w:szCs w:val="16"/>
              </w:rPr>
            </w:pPr>
            <w:r w:rsidRPr="0058047D">
              <w:rPr>
                <w:rFonts w:ascii="Segoe UI" w:hAnsi="Segoe UI" w:cs="Segoe UI"/>
                <w:noProof/>
                <w:sz w:val="12"/>
                <w:szCs w:val="16"/>
              </w:rPr>
              <w:drawing>
                <wp:inline distT="0" distB="0" distL="0" distR="0" wp14:anchorId="01A59BA4" wp14:editId="495084AC">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002EA2AE" w14:textId="77777777" w:rsidR="00BF2FFA" w:rsidRPr="0058047D" w:rsidRDefault="00BF2FFA" w:rsidP="004E6530">
            <w:pPr>
              <w:spacing w:before="20" w:after="20"/>
              <w:jc w:val="center"/>
              <w:rPr>
                <w:rFonts w:ascii="Segoe UI" w:hAnsi="Segoe UI" w:cs="Segoe UI"/>
                <w:noProof/>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1823B033" w14:textId="77777777" w:rsidR="00BF2FFA" w:rsidRPr="0058047D" w:rsidRDefault="00BF2FFA" w:rsidP="004E6530">
            <w:pPr>
              <w:spacing w:before="20" w:after="20"/>
              <w:rPr>
                <w:rFonts w:ascii="Segoe UI" w:eastAsia="Times New Roman" w:hAnsi="Segoe UI" w:cs="Segoe UI"/>
                <w:noProof/>
                <w:color w:val="000000"/>
                <w:sz w:val="13"/>
                <w:szCs w:val="13"/>
              </w:rPr>
            </w:pPr>
            <w:r w:rsidRPr="0058047D">
              <w:rPr>
                <w:rFonts w:ascii="Segoe UI" w:eastAsia="Times New Roman" w:hAnsi="Segoe UI" w:cs="Segoe UI"/>
                <w:color w:val="000000"/>
                <w:sz w:val="13"/>
                <w:szCs w:val="13"/>
              </w:rPr>
              <w:t>Profilazione</w:t>
            </w:r>
          </w:p>
        </w:tc>
        <w:tc>
          <w:tcPr>
            <w:tcW w:w="793" w:type="dxa"/>
            <w:tcBorders>
              <w:top w:val="single" w:sz="4" w:space="0" w:color="A5A5A5" w:themeColor="accent3"/>
              <w:left w:val="nil"/>
              <w:bottom w:val="single" w:sz="4" w:space="0" w:color="A5A5A5" w:themeColor="accent3"/>
              <w:right w:val="nil"/>
            </w:tcBorders>
            <w:vAlign w:val="center"/>
          </w:tcPr>
          <w:p w14:paraId="2C2B56D8"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30FE86C4" wp14:editId="2F84C8B3">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vAlign w:val="center"/>
          </w:tcPr>
          <w:p w14:paraId="15AF54CD"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1414370C" wp14:editId="66908DCA">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1" w:type="dxa"/>
            <w:tcBorders>
              <w:top w:val="single" w:sz="4" w:space="0" w:color="A5A5A5" w:themeColor="accent3"/>
              <w:left w:val="nil"/>
              <w:bottom w:val="single" w:sz="4" w:space="0" w:color="A5A5A5" w:themeColor="accent3"/>
              <w:right w:val="nil"/>
            </w:tcBorders>
          </w:tcPr>
          <w:p w14:paraId="0254E83C"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r>
      <w:tr w:rsidR="00BF2FFA" w:rsidRPr="0058047D" w14:paraId="57CF3677"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6A3BEEE" w14:textId="77777777" w:rsidR="00BF2FFA" w:rsidRPr="0058047D" w:rsidRDefault="00BF2FFA" w:rsidP="004E6530">
            <w:pPr>
              <w:spacing w:before="20" w:after="20"/>
              <w:rPr>
                <w:rFonts w:ascii="Segoe UI" w:eastAsia="Times New Roman" w:hAnsi="Segoe UI" w:cs="Segoe UI"/>
                <w:color w:val="000000"/>
                <w:sz w:val="13"/>
                <w:szCs w:val="13"/>
              </w:rPr>
            </w:pPr>
            <w:r w:rsidRPr="0058047D">
              <w:rPr>
                <w:rFonts w:ascii="Segoe UI" w:eastAsia="Times New Roman" w:hAnsi="Segoe UI" w:cs="Segoe UI"/>
                <w:color w:val="000000"/>
                <w:sz w:val="13"/>
                <w:szCs w:val="13"/>
              </w:rPr>
              <w:t>Crea viste Personali</w:t>
            </w:r>
          </w:p>
        </w:tc>
        <w:tc>
          <w:tcPr>
            <w:tcW w:w="823" w:type="dxa"/>
            <w:tcBorders>
              <w:top w:val="single" w:sz="4" w:space="0" w:color="A5A5A5" w:themeColor="accent3"/>
              <w:left w:val="nil"/>
              <w:bottom w:val="single" w:sz="4" w:space="0" w:color="A5A5A5" w:themeColor="accent3"/>
              <w:right w:val="nil"/>
            </w:tcBorders>
            <w:vAlign w:val="center"/>
          </w:tcPr>
          <w:p w14:paraId="12E09578" w14:textId="77777777" w:rsidR="00BF2FFA" w:rsidRPr="0058047D" w:rsidRDefault="00BF2FFA" w:rsidP="004E6530">
            <w:pPr>
              <w:spacing w:before="20" w:after="20"/>
              <w:jc w:val="center"/>
              <w:rPr>
                <w:rFonts w:ascii="Segoe UI" w:hAnsi="Segoe UI" w:cs="Segoe UI"/>
                <w:noProof/>
                <w:sz w:val="12"/>
                <w:szCs w:val="16"/>
              </w:rPr>
            </w:pPr>
            <w:r w:rsidRPr="0058047D">
              <w:rPr>
                <w:rFonts w:ascii="Segoe UI" w:eastAsia="Times New Roman" w:hAnsi="Segoe UI" w:cs="Segoe UI"/>
                <w:noProof/>
                <w:color w:val="000000"/>
                <w:sz w:val="12"/>
                <w:szCs w:val="16"/>
              </w:rPr>
              <w:drawing>
                <wp:inline distT="0" distB="0" distL="0" distR="0" wp14:anchorId="529C74B2" wp14:editId="5735A33C">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CD2CA60" w14:textId="77777777" w:rsidR="00BF2FFA" w:rsidRPr="0058047D" w:rsidRDefault="00BF2FFA" w:rsidP="004E6530">
            <w:pPr>
              <w:spacing w:before="20" w:after="20"/>
              <w:jc w:val="center"/>
              <w:rPr>
                <w:rFonts w:ascii="Segoe UI" w:hAnsi="Segoe UI" w:cs="Segoe UI"/>
                <w:noProof/>
                <w:sz w:val="12"/>
                <w:szCs w:val="16"/>
              </w:rPr>
            </w:pPr>
            <w:r w:rsidRPr="0058047D">
              <w:rPr>
                <w:rFonts w:ascii="Segoe UI" w:eastAsia="Times New Roman" w:hAnsi="Segoe UI" w:cs="Segoe UI"/>
                <w:noProof/>
                <w:color w:val="000000"/>
                <w:sz w:val="12"/>
                <w:szCs w:val="16"/>
              </w:rPr>
              <w:drawing>
                <wp:inline distT="0" distB="0" distL="0" distR="0" wp14:anchorId="3FC41514" wp14:editId="606989C3">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DAA9E0A" w14:textId="77777777" w:rsidR="00BF2FFA" w:rsidRPr="0058047D" w:rsidRDefault="00BF2FFA" w:rsidP="004E6530">
            <w:pPr>
              <w:spacing w:before="20" w:after="20"/>
              <w:jc w:val="center"/>
              <w:rPr>
                <w:rFonts w:ascii="Segoe UI" w:eastAsia="Times New Roman" w:hAnsi="Segoe UI" w:cs="Segoe UI"/>
                <w:color w:val="000000"/>
                <w:sz w:val="12"/>
                <w:szCs w:val="16"/>
              </w:rPr>
            </w:pPr>
            <w:r w:rsidRPr="0058047D">
              <w:rPr>
                <w:rFonts w:ascii="Segoe UI" w:hAnsi="Segoe UI" w:cs="Segoe UI"/>
                <w:noProof/>
                <w:sz w:val="12"/>
                <w:szCs w:val="16"/>
              </w:rPr>
              <w:drawing>
                <wp:inline distT="0" distB="0" distL="0" distR="0" wp14:anchorId="4BD6F473" wp14:editId="106CCE3A">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257DC551" w14:textId="77777777" w:rsidR="00BF2FFA" w:rsidRPr="0058047D" w:rsidRDefault="00BF2FFA" w:rsidP="004E6530">
            <w:pPr>
              <w:spacing w:before="20" w:after="20"/>
              <w:jc w:val="center"/>
              <w:rPr>
                <w:rFonts w:ascii="Segoe UI" w:hAnsi="Segoe UI" w:cs="Segoe UI"/>
                <w:noProof/>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65078C8A" w14:textId="77777777" w:rsidR="00BF2FFA" w:rsidRPr="0058047D" w:rsidRDefault="00BF2FFA" w:rsidP="00075CCA">
            <w:pPr>
              <w:spacing w:before="20" w:after="20"/>
              <w:rPr>
                <w:rFonts w:ascii="Segoe UI" w:eastAsia="Times New Roman" w:hAnsi="Segoe UI" w:cs="Segoe UI"/>
                <w:noProof/>
                <w:color w:val="000000"/>
                <w:sz w:val="13"/>
                <w:szCs w:val="13"/>
              </w:rPr>
            </w:pPr>
            <w:r w:rsidRPr="0058047D">
              <w:rPr>
                <w:rFonts w:ascii="Segoe UI" w:eastAsia="Times New Roman" w:hAnsi="Segoe UI" w:cs="Segoe UI"/>
                <w:color w:val="000000"/>
                <w:sz w:val="13"/>
                <w:szCs w:val="13"/>
              </w:rPr>
              <w:t>Aggiungi o</w:t>
            </w:r>
            <w:r w:rsidR="00075CCA">
              <w:rPr>
                <w:rFonts w:ascii="Segoe UI" w:eastAsia="Times New Roman" w:hAnsi="Segoe UI" w:cs="Segoe UI"/>
                <w:color w:val="000000"/>
                <w:sz w:val="13"/>
                <w:szCs w:val="13"/>
              </w:rPr>
              <w:t> </w:t>
            </w:r>
            <w:r w:rsidRPr="0058047D">
              <w:rPr>
                <w:rFonts w:ascii="Segoe UI" w:eastAsia="Times New Roman" w:hAnsi="Segoe UI" w:cs="Segoe UI"/>
                <w:color w:val="000000"/>
                <w:sz w:val="13"/>
                <w:szCs w:val="13"/>
              </w:rPr>
              <w:t>rimuovi la relazione di una società per un account</w:t>
            </w:r>
          </w:p>
        </w:tc>
        <w:tc>
          <w:tcPr>
            <w:tcW w:w="793" w:type="dxa"/>
            <w:tcBorders>
              <w:top w:val="single" w:sz="4" w:space="0" w:color="A5A5A5" w:themeColor="accent3"/>
              <w:left w:val="nil"/>
              <w:bottom w:val="single" w:sz="4" w:space="0" w:color="A5A5A5" w:themeColor="accent3"/>
              <w:right w:val="nil"/>
            </w:tcBorders>
            <w:vAlign w:val="center"/>
          </w:tcPr>
          <w:p w14:paraId="6DA77B59"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39303082" wp14:editId="08C1AFDD">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vAlign w:val="center"/>
          </w:tcPr>
          <w:p w14:paraId="4D33F0C7"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09847373" wp14:editId="394DC52A">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1" w:type="dxa"/>
            <w:tcBorders>
              <w:top w:val="single" w:sz="4" w:space="0" w:color="A5A5A5" w:themeColor="accent3"/>
              <w:left w:val="nil"/>
              <w:bottom w:val="single" w:sz="4" w:space="0" w:color="A5A5A5" w:themeColor="accent3"/>
              <w:right w:val="nil"/>
            </w:tcBorders>
          </w:tcPr>
          <w:p w14:paraId="5CA8EE6A"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r>
      <w:tr w:rsidR="00BF2FFA" w:rsidRPr="0058047D" w14:paraId="7D498BC0"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3696AE4" w14:textId="77777777" w:rsidR="00BF2FFA" w:rsidRPr="0058047D" w:rsidRDefault="00BF2FFA" w:rsidP="004E6530">
            <w:pPr>
              <w:spacing w:before="20" w:after="20"/>
              <w:rPr>
                <w:rFonts w:ascii="Segoe UI" w:eastAsia="Times New Roman" w:hAnsi="Segoe UI" w:cs="Segoe UI"/>
                <w:color w:val="000000"/>
                <w:sz w:val="13"/>
                <w:szCs w:val="13"/>
              </w:rPr>
            </w:pPr>
            <w:r w:rsidRPr="0058047D">
              <w:rPr>
                <w:rFonts w:ascii="Segoe UI" w:eastAsia="Times New Roman" w:hAnsi="Segoe UI" w:cs="Segoe UI"/>
                <w:color w:val="000000"/>
                <w:sz w:val="13"/>
                <w:szCs w:val="13"/>
              </w:rPr>
              <w:t>Ricerca Avanzata</w:t>
            </w:r>
          </w:p>
        </w:tc>
        <w:tc>
          <w:tcPr>
            <w:tcW w:w="823" w:type="dxa"/>
            <w:tcBorders>
              <w:top w:val="single" w:sz="4" w:space="0" w:color="A5A5A5" w:themeColor="accent3"/>
              <w:left w:val="nil"/>
              <w:bottom w:val="single" w:sz="4" w:space="0" w:color="A5A5A5" w:themeColor="accent3"/>
              <w:right w:val="nil"/>
            </w:tcBorders>
            <w:vAlign w:val="center"/>
          </w:tcPr>
          <w:p w14:paraId="3E3689BD" w14:textId="77777777" w:rsidR="00BF2FFA" w:rsidRPr="0058047D" w:rsidRDefault="00BF2FFA" w:rsidP="004E6530">
            <w:pPr>
              <w:spacing w:before="20" w:after="20"/>
              <w:jc w:val="center"/>
              <w:rPr>
                <w:rFonts w:ascii="Segoe UI" w:hAnsi="Segoe UI" w:cs="Segoe UI"/>
                <w:noProof/>
                <w:sz w:val="12"/>
                <w:szCs w:val="16"/>
              </w:rPr>
            </w:pPr>
            <w:r w:rsidRPr="0058047D">
              <w:rPr>
                <w:rFonts w:ascii="Segoe UI" w:eastAsia="Times New Roman" w:hAnsi="Segoe UI" w:cs="Segoe UI"/>
                <w:noProof/>
                <w:color w:val="000000"/>
                <w:sz w:val="12"/>
                <w:szCs w:val="16"/>
              </w:rPr>
              <w:drawing>
                <wp:inline distT="0" distB="0" distL="0" distR="0" wp14:anchorId="7791B38C" wp14:editId="2BA1F327">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D4EFA7D" w14:textId="77777777" w:rsidR="00BF2FFA" w:rsidRPr="0058047D" w:rsidRDefault="00BF2FFA" w:rsidP="004E6530">
            <w:pPr>
              <w:spacing w:before="20" w:after="20"/>
              <w:jc w:val="center"/>
              <w:rPr>
                <w:rFonts w:ascii="Segoe UI" w:hAnsi="Segoe UI" w:cs="Segoe UI"/>
                <w:noProof/>
                <w:sz w:val="12"/>
                <w:szCs w:val="16"/>
              </w:rPr>
            </w:pPr>
            <w:r w:rsidRPr="0058047D">
              <w:rPr>
                <w:rFonts w:ascii="Segoe UI" w:eastAsia="Times New Roman" w:hAnsi="Segoe UI" w:cs="Segoe UI"/>
                <w:noProof/>
                <w:color w:val="000000"/>
                <w:sz w:val="12"/>
                <w:szCs w:val="16"/>
              </w:rPr>
              <w:drawing>
                <wp:inline distT="0" distB="0" distL="0" distR="0" wp14:anchorId="7EF9EB37" wp14:editId="54C1AB32">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9EC7DA7" w14:textId="77777777" w:rsidR="00BF2FFA" w:rsidRPr="0058047D" w:rsidRDefault="00BF2FFA" w:rsidP="004E6530">
            <w:pPr>
              <w:spacing w:before="20" w:after="20"/>
              <w:jc w:val="center"/>
              <w:rPr>
                <w:rFonts w:ascii="Segoe UI" w:eastAsia="Times New Roman" w:hAnsi="Segoe UI" w:cs="Segoe UI"/>
                <w:color w:val="000000"/>
                <w:sz w:val="12"/>
                <w:szCs w:val="16"/>
              </w:rPr>
            </w:pPr>
            <w:r w:rsidRPr="0058047D">
              <w:rPr>
                <w:rFonts w:ascii="Segoe UI" w:hAnsi="Segoe UI" w:cs="Segoe UI"/>
                <w:noProof/>
                <w:sz w:val="12"/>
                <w:szCs w:val="16"/>
              </w:rPr>
              <w:drawing>
                <wp:inline distT="0" distB="0" distL="0" distR="0" wp14:anchorId="24D16DB7" wp14:editId="116AC313">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309D4D41" w14:textId="77777777" w:rsidR="00BF2FFA" w:rsidRPr="0058047D" w:rsidRDefault="00BF2FFA" w:rsidP="004E6530">
            <w:pPr>
              <w:spacing w:before="20" w:after="20"/>
              <w:jc w:val="center"/>
              <w:rPr>
                <w:rFonts w:ascii="Segoe UI" w:hAnsi="Segoe UI" w:cs="Segoe UI"/>
                <w:noProof/>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1DA98B6F" w14:textId="77777777" w:rsidR="00BF2FFA" w:rsidRPr="0058047D" w:rsidRDefault="00BF2FFA" w:rsidP="00075CCA">
            <w:pPr>
              <w:spacing w:before="20" w:after="20"/>
              <w:rPr>
                <w:rFonts w:ascii="Segoe UI" w:eastAsia="Times New Roman" w:hAnsi="Segoe UI" w:cs="Segoe UI"/>
                <w:noProof/>
                <w:color w:val="000000"/>
                <w:sz w:val="13"/>
                <w:szCs w:val="13"/>
              </w:rPr>
            </w:pPr>
            <w:r w:rsidRPr="0058047D">
              <w:rPr>
                <w:rFonts w:ascii="Segoe UI" w:eastAsia="Times New Roman" w:hAnsi="Segoe UI" w:cs="Segoe UI"/>
                <w:color w:val="000000"/>
                <w:sz w:val="13"/>
                <w:szCs w:val="13"/>
              </w:rPr>
              <w:t>Associa un</w:t>
            </w:r>
            <w:r w:rsidR="001C4212">
              <w:rPr>
                <w:rFonts w:ascii="Segoe UI" w:eastAsia="Times New Roman" w:hAnsi="Segoe UI" w:cs="Segoe UI"/>
                <w:color w:val="000000"/>
                <w:sz w:val="13"/>
                <w:szCs w:val="13"/>
              </w:rPr>
              <w:t>’</w:t>
            </w:r>
            <w:r w:rsidRPr="0058047D">
              <w:rPr>
                <w:rFonts w:ascii="Segoe UI" w:eastAsia="Times New Roman" w:hAnsi="Segoe UI" w:cs="Segoe UI"/>
                <w:color w:val="000000"/>
                <w:sz w:val="13"/>
                <w:szCs w:val="13"/>
              </w:rPr>
              <w:t>opportunità a</w:t>
            </w:r>
            <w:r w:rsidR="00075CCA">
              <w:rPr>
                <w:rFonts w:ascii="Segoe UI" w:eastAsia="Times New Roman" w:hAnsi="Segoe UI" w:cs="Segoe UI"/>
                <w:color w:val="000000"/>
                <w:sz w:val="13"/>
                <w:szCs w:val="13"/>
              </w:rPr>
              <w:t> </w:t>
            </w:r>
            <w:r w:rsidRPr="0058047D">
              <w:rPr>
                <w:rFonts w:ascii="Segoe UI" w:eastAsia="Times New Roman" w:hAnsi="Segoe UI" w:cs="Segoe UI"/>
                <w:color w:val="000000"/>
                <w:sz w:val="13"/>
                <w:szCs w:val="13"/>
              </w:rPr>
              <w:t>un account</w:t>
            </w:r>
          </w:p>
        </w:tc>
        <w:tc>
          <w:tcPr>
            <w:tcW w:w="793" w:type="dxa"/>
            <w:tcBorders>
              <w:top w:val="single" w:sz="4" w:space="0" w:color="A5A5A5" w:themeColor="accent3"/>
              <w:left w:val="nil"/>
              <w:bottom w:val="single" w:sz="4" w:space="0" w:color="A5A5A5" w:themeColor="accent3"/>
              <w:right w:val="nil"/>
            </w:tcBorders>
            <w:vAlign w:val="center"/>
          </w:tcPr>
          <w:p w14:paraId="0C56EC7B"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47CA6F37" wp14:editId="3C197D7A">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vAlign w:val="center"/>
          </w:tcPr>
          <w:p w14:paraId="7DBAE546"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38EF8BC2" wp14:editId="58D17488">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1" w:type="dxa"/>
            <w:tcBorders>
              <w:top w:val="single" w:sz="4" w:space="0" w:color="A5A5A5" w:themeColor="accent3"/>
              <w:left w:val="nil"/>
              <w:bottom w:val="single" w:sz="4" w:space="0" w:color="A5A5A5" w:themeColor="accent3"/>
              <w:right w:val="nil"/>
            </w:tcBorders>
          </w:tcPr>
          <w:p w14:paraId="05FAB049"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r>
      <w:tr w:rsidR="00BF2FFA" w:rsidRPr="0058047D" w14:paraId="67A6AC9F"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9833D8A" w14:textId="77777777" w:rsidR="00BF2FFA" w:rsidRPr="0058047D" w:rsidRDefault="00BF2FFA" w:rsidP="004E6530">
            <w:pPr>
              <w:spacing w:before="20" w:after="20"/>
              <w:rPr>
                <w:rFonts w:ascii="Segoe UI" w:eastAsia="Times New Roman" w:hAnsi="Segoe UI" w:cs="Segoe UI"/>
                <w:color w:val="000000"/>
                <w:sz w:val="13"/>
                <w:szCs w:val="13"/>
              </w:rPr>
            </w:pPr>
            <w:r w:rsidRPr="0058047D">
              <w:rPr>
                <w:rFonts w:ascii="Segoe UI" w:eastAsia="Times New Roman" w:hAnsi="Segoe UI" w:cs="Segoe UI"/>
                <w:color w:val="000000"/>
                <w:sz w:val="13"/>
                <w:szCs w:val="13"/>
              </w:rPr>
              <w:t>Cerca</w:t>
            </w:r>
          </w:p>
        </w:tc>
        <w:tc>
          <w:tcPr>
            <w:tcW w:w="823" w:type="dxa"/>
            <w:tcBorders>
              <w:top w:val="single" w:sz="4" w:space="0" w:color="A5A5A5" w:themeColor="accent3"/>
              <w:left w:val="nil"/>
              <w:bottom w:val="single" w:sz="4" w:space="0" w:color="A5A5A5" w:themeColor="accent3"/>
              <w:right w:val="nil"/>
            </w:tcBorders>
            <w:vAlign w:val="center"/>
          </w:tcPr>
          <w:p w14:paraId="0ADC831F" w14:textId="77777777" w:rsidR="00BF2FFA" w:rsidRPr="0058047D" w:rsidRDefault="00BF2FFA" w:rsidP="004E6530">
            <w:pPr>
              <w:spacing w:before="20" w:after="20"/>
              <w:jc w:val="center"/>
              <w:rPr>
                <w:rFonts w:ascii="Segoe UI" w:hAnsi="Segoe UI" w:cs="Segoe UI"/>
                <w:noProof/>
                <w:sz w:val="12"/>
                <w:szCs w:val="16"/>
              </w:rPr>
            </w:pPr>
            <w:r w:rsidRPr="0058047D">
              <w:rPr>
                <w:rFonts w:ascii="Segoe UI" w:eastAsia="Times New Roman" w:hAnsi="Segoe UI" w:cs="Segoe UI"/>
                <w:noProof/>
                <w:color w:val="000000"/>
                <w:sz w:val="12"/>
                <w:szCs w:val="16"/>
              </w:rPr>
              <w:drawing>
                <wp:inline distT="0" distB="0" distL="0" distR="0" wp14:anchorId="76706430" wp14:editId="50C07D06">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89EE147" w14:textId="77777777" w:rsidR="00BF2FFA" w:rsidRPr="0058047D" w:rsidRDefault="00BF2FFA" w:rsidP="004E6530">
            <w:pPr>
              <w:spacing w:before="20" w:after="20"/>
              <w:jc w:val="center"/>
              <w:rPr>
                <w:rFonts w:ascii="Segoe UI" w:hAnsi="Segoe UI" w:cs="Segoe UI"/>
                <w:noProof/>
                <w:sz w:val="12"/>
                <w:szCs w:val="16"/>
              </w:rPr>
            </w:pPr>
            <w:r w:rsidRPr="0058047D">
              <w:rPr>
                <w:rFonts w:ascii="Segoe UI" w:eastAsia="Times New Roman" w:hAnsi="Segoe UI" w:cs="Segoe UI"/>
                <w:noProof/>
                <w:color w:val="000000"/>
                <w:sz w:val="12"/>
                <w:szCs w:val="16"/>
              </w:rPr>
              <w:drawing>
                <wp:inline distT="0" distB="0" distL="0" distR="0" wp14:anchorId="03892520" wp14:editId="3F61FD37">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235304C" w14:textId="77777777" w:rsidR="00BF2FFA" w:rsidRPr="0058047D" w:rsidRDefault="00BF2FFA" w:rsidP="004E6530">
            <w:pPr>
              <w:spacing w:before="20" w:after="20"/>
              <w:jc w:val="center"/>
              <w:rPr>
                <w:rFonts w:ascii="Segoe UI" w:eastAsia="Times New Roman" w:hAnsi="Segoe UI" w:cs="Segoe UI"/>
                <w:color w:val="000000"/>
                <w:sz w:val="12"/>
                <w:szCs w:val="16"/>
              </w:rPr>
            </w:pPr>
            <w:r w:rsidRPr="0058047D">
              <w:rPr>
                <w:rFonts w:ascii="Segoe UI" w:hAnsi="Segoe UI" w:cs="Segoe UI"/>
                <w:noProof/>
                <w:sz w:val="12"/>
                <w:szCs w:val="16"/>
              </w:rPr>
              <w:drawing>
                <wp:inline distT="0" distB="0" distL="0" distR="0" wp14:anchorId="2D3BF07D" wp14:editId="6F85A627">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1D8A7C5F" w14:textId="77777777" w:rsidR="00BF2FFA" w:rsidRPr="0058047D" w:rsidRDefault="00BF2FFA" w:rsidP="004E6530">
            <w:pPr>
              <w:spacing w:before="20" w:after="20"/>
              <w:jc w:val="center"/>
              <w:rPr>
                <w:rFonts w:ascii="Segoe UI" w:hAnsi="Segoe UI" w:cs="Segoe UI"/>
                <w:noProof/>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64D21B28" w14:textId="77777777" w:rsidR="00BF2FFA" w:rsidRPr="0058047D" w:rsidRDefault="00BF2FFA" w:rsidP="004E6530">
            <w:pPr>
              <w:spacing w:before="20" w:after="20"/>
              <w:rPr>
                <w:rFonts w:ascii="Segoe UI" w:eastAsia="Times New Roman" w:hAnsi="Segoe UI" w:cs="Segoe UI"/>
                <w:noProof/>
                <w:color w:val="000000"/>
                <w:sz w:val="13"/>
                <w:szCs w:val="13"/>
              </w:rPr>
            </w:pPr>
            <w:r w:rsidRPr="0058047D">
              <w:rPr>
                <w:rFonts w:ascii="Segoe UI" w:eastAsia="Times New Roman" w:hAnsi="Segoe UI" w:cs="Segoe UI"/>
                <w:color w:val="000000"/>
                <w:sz w:val="13"/>
                <w:szCs w:val="13"/>
              </w:rPr>
              <w:t>Qualifica e converti un potenziale cliente in un account</w:t>
            </w:r>
          </w:p>
        </w:tc>
        <w:tc>
          <w:tcPr>
            <w:tcW w:w="793" w:type="dxa"/>
            <w:tcBorders>
              <w:top w:val="single" w:sz="4" w:space="0" w:color="A5A5A5" w:themeColor="accent3"/>
              <w:left w:val="nil"/>
              <w:bottom w:val="single" w:sz="4" w:space="0" w:color="A5A5A5" w:themeColor="accent3"/>
              <w:right w:val="nil"/>
            </w:tcBorders>
            <w:vAlign w:val="center"/>
          </w:tcPr>
          <w:p w14:paraId="6B68B4C8"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75440F97" wp14:editId="4F170393">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vAlign w:val="center"/>
          </w:tcPr>
          <w:p w14:paraId="2AEC4209"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40F0F1A6" wp14:editId="76733F93">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1" w:type="dxa"/>
            <w:tcBorders>
              <w:top w:val="single" w:sz="4" w:space="0" w:color="A5A5A5" w:themeColor="accent3"/>
              <w:left w:val="nil"/>
              <w:bottom w:val="single" w:sz="4" w:space="0" w:color="A5A5A5" w:themeColor="accent3"/>
              <w:right w:val="nil"/>
            </w:tcBorders>
          </w:tcPr>
          <w:p w14:paraId="44AE23F8"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r>
      <w:tr w:rsidR="00BF2FFA" w:rsidRPr="0058047D" w14:paraId="113829C1"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0392D34" w14:textId="77777777" w:rsidR="00BF2FFA" w:rsidRPr="0058047D" w:rsidRDefault="00BF2FFA" w:rsidP="004E6530">
            <w:pPr>
              <w:spacing w:before="20" w:after="20"/>
              <w:rPr>
                <w:rFonts w:ascii="Segoe UI" w:eastAsia="Times New Roman" w:hAnsi="Segoe UI" w:cs="Segoe UI"/>
                <w:color w:val="000000"/>
                <w:sz w:val="13"/>
                <w:szCs w:val="13"/>
              </w:rPr>
            </w:pPr>
            <w:r w:rsidRPr="0058047D">
              <w:rPr>
                <w:rFonts w:ascii="Segoe UI" w:eastAsia="Times New Roman" w:hAnsi="Segoe UI" w:cs="Segoe UI"/>
                <w:color w:val="000000"/>
                <w:sz w:val="13"/>
                <w:szCs w:val="13"/>
              </w:rPr>
              <w:t>Utilizza un elemento della coda</w:t>
            </w:r>
          </w:p>
        </w:tc>
        <w:tc>
          <w:tcPr>
            <w:tcW w:w="823" w:type="dxa"/>
            <w:tcBorders>
              <w:top w:val="single" w:sz="4" w:space="0" w:color="A5A5A5" w:themeColor="accent3"/>
              <w:left w:val="nil"/>
              <w:bottom w:val="single" w:sz="4" w:space="0" w:color="A5A5A5" w:themeColor="accent3"/>
              <w:right w:val="nil"/>
            </w:tcBorders>
            <w:vAlign w:val="center"/>
          </w:tcPr>
          <w:p w14:paraId="2C87C469" w14:textId="77777777" w:rsidR="00BF2FFA" w:rsidRPr="0058047D" w:rsidRDefault="00BF2FFA" w:rsidP="004E6530">
            <w:pPr>
              <w:spacing w:before="20" w:after="20"/>
              <w:jc w:val="center"/>
              <w:rPr>
                <w:rFonts w:ascii="Segoe UI" w:hAnsi="Segoe UI" w:cs="Segoe UI"/>
                <w:noProof/>
                <w:sz w:val="12"/>
                <w:szCs w:val="16"/>
              </w:rPr>
            </w:pPr>
            <w:r w:rsidRPr="0058047D">
              <w:rPr>
                <w:rFonts w:ascii="Segoe UI" w:eastAsia="Times New Roman" w:hAnsi="Segoe UI" w:cs="Segoe UI"/>
                <w:noProof/>
                <w:color w:val="000000"/>
                <w:sz w:val="12"/>
                <w:szCs w:val="16"/>
              </w:rPr>
              <w:drawing>
                <wp:inline distT="0" distB="0" distL="0" distR="0" wp14:anchorId="3E5AD52D" wp14:editId="3DB0F30B">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F86C38A" w14:textId="77777777" w:rsidR="00BF2FFA" w:rsidRPr="0058047D" w:rsidRDefault="00BF2FFA" w:rsidP="004E6530">
            <w:pPr>
              <w:spacing w:before="20" w:after="20"/>
              <w:jc w:val="center"/>
              <w:rPr>
                <w:rFonts w:ascii="Segoe UI" w:hAnsi="Segoe UI" w:cs="Segoe UI"/>
                <w:noProof/>
                <w:sz w:val="12"/>
                <w:szCs w:val="16"/>
              </w:rPr>
            </w:pPr>
            <w:r w:rsidRPr="0058047D">
              <w:rPr>
                <w:rFonts w:ascii="Segoe UI" w:hAnsi="Segoe UI" w:cs="Segoe UI"/>
                <w:noProof/>
                <w:sz w:val="12"/>
                <w:szCs w:val="16"/>
              </w:rPr>
              <w:drawing>
                <wp:inline distT="0" distB="0" distL="0" distR="0" wp14:anchorId="4868C2B7" wp14:editId="7602B886">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00873BB" w14:textId="77777777" w:rsidR="00BF2FFA" w:rsidRPr="0058047D" w:rsidRDefault="00BF2FFA" w:rsidP="004E6530">
            <w:pPr>
              <w:spacing w:before="20" w:after="20"/>
              <w:jc w:val="center"/>
              <w:rPr>
                <w:rFonts w:ascii="Segoe UI" w:eastAsia="Times New Roman" w:hAnsi="Segoe UI" w:cs="Segoe UI"/>
                <w:color w:val="000000"/>
                <w:sz w:val="12"/>
                <w:szCs w:val="16"/>
              </w:rPr>
            </w:pPr>
            <w:r w:rsidRPr="0058047D">
              <w:rPr>
                <w:rFonts w:ascii="Segoe UI" w:hAnsi="Segoe UI" w:cs="Segoe UI"/>
                <w:noProof/>
                <w:sz w:val="12"/>
                <w:szCs w:val="16"/>
              </w:rPr>
              <w:drawing>
                <wp:inline distT="0" distB="0" distL="0" distR="0" wp14:anchorId="616DE8E9" wp14:editId="508D12C7">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7F4C844D" w14:textId="77777777" w:rsidR="00BF2FFA" w:rsidRPr="0058047D" w:rsidRDefault="00BF2FFA" w:rsidP="004E6530">
            <w:pPr>
              <w:spacing w:before="20" w:after="20"/>
              <w:jc w:val="center"/>
              <w:rPr>
                <w:rFonts w:ascii="Segoe UI" w:hAnsi="Segoe UI" w:cs="Segoe UI"/>
                <w:noProof/>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357C8718" w14:textId="77777777" w:rsidR="00BF2FFA" w:rsidRPr="0058047D" w:rsidRDefault="00BF2FFA" w:rsidP="004E6530">
            <w:pPr>
              <w:spacing w:before="20" w:after="20"/>
              <w:rPr>
                <w:rFonts w:ascii="Segoe UI" w:eastAsia="Times New Roman" w:hAnsi="Segoe UI" w:cs="Segoe UI"/>
                <w:noProof/>
                <w:color w:val="000000"/>
                <w:sz w:val="13"/>
                <w:szCs w:val="13"/>
              </w:rPr>
            </w:pPr>
            <w:r w:rsidRPr="0058047D">
              <w:rPr>
                <w:rFonts w:ascii="Segoe UI" w:eastAsia="Times New Roman" w:hAnsi="Segoe UI" w:cs="Segoe UI"/>
                <w:color w:val="000000"/>
                <w:sz w:val="13"/>
                <w:szCs w:val="13"/>
              </w:rPr>
              <w:t>Account</w:t>
            </w:r>
          </w:p>
        </w:tc>
        <w:tc>
          <w:tcPr>
            <w:tcW w:w="793" w:type="dxa"/>
            <w:tcBorders>
              <w:top w:val="single" w:sz="4" w:space="0" w:color="A5A5A5" w:themeColor="accent3"/>
              <w:left w:val="nil"/>
              <w:bottom w:val="single" w:sz="4" w:space="0" w:color="A5A5A5" w:themeColor="accent3"/>
              <w:right w:val="nil"/>
            </w:tcBorders>
            <w:vAlign w:val="center"/>
          </w:tcPr>
          <w:p w14:paraId="055766C9"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4F1637DB" wp14:editId="2269A50D">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vAlign w:val="center"/>
          </w:tcPr>
          <w:p w14:paraId="050ECFF1"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49EDAB0E" wp14:editId="3DC80EEE">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1" w:type="dxa"/>
            <w:tcBorders>
              <w:top w:val="single" w:sz="4" w:space="0" w:color="A5A5A5" w:themeColor="accent3"/>
              <w:left w:val="nil"/>
              <w:bottom w:val="single" w:sz="4" w:space="0" w:color="A5A5A5" w:themeColor="accent3"/>
              <w:right w:val="nil"/>
            </w:tcBorders>
          </w:tcPr>
          <w:p w14:paraId="244BF664"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r>
      <w:tr w:rsidR="00BF2FFA" w:rsidRPr="0058047D" w14:paraId="33DC2D9F"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2A69945" w14:textId="77777777" w:rsidR="00BF2FFA" w:rsidRPr="0058047D" w:rsidRDefault="00BF2FFA" w:rsidP="004E6530">
            <w:pPr>
              <w:spacing w:before="20" w:after="20"/>
              <w:rPr>
                <w:rFonts w:ascii="Segoe UI" w:eastAsia="Times New Roman" w:hAnsi="Segoe UI" w:cs="Segoe UI"/>
                <w:color w:val="000000"/>
                <w:sz w:val="13"/>
                <w:szCs w:val="13"/>
              </w:rPr>
            </w:pPr>
            <w:r w:rsidRPr="0058047D">
              <w:rPr>
                <w:rFonts w:ascii="Segoe UI" w:eastAsia="Times New Roman" w:hAnsi="Segoe UI" w:cs="Segoe UI"/>
                <w:color w:val="000000"/>
                <w:sz w:val="13"/>
                <w:szCs w:val="13"/>
              </w:rPr>
              <w:t>Esportazione di dati in Microsoft Excel</w:t>
            </w:r>
          </w:p>
        </w:tc>
        <w:tc>
          <w:tcPr>
            <w:tcW w:w="823" w:type="dxa"/>
            <w:tcBorders>
              <w:top w:val="single" w:sz="4" w:space="0" w:color="A5A5A5" w:themeColor="accent3"/>
              <w:left w:val="nil"/>
              <w:bottom w:val="single" w:sz="4" w:space="0" w:color="A5A5A5" w:themeColor="accent3"/>
              <w:right w:val="nil"/>
            </w:tcBorders>
            <w:vAlign w:val="center"/>
          </w:tcPr>
          <w:p w14:paraId="3C52C2D5"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3EF187F1" wp14:editId="52F90D54">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E094C41"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3781351F" wp14:editId="72DFA56C">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5BF4283" w14:textId="77777777" w:rsidR="00BF2FFA" w:rsidRPr="0058047D" w:rsidRDefault="00BF2FFA" w:rsidP="004E6530">
            <w:pPr>
              <w:spacing w:before="20" w:after="20"/>
              <w:jc w:val="center"/>
              <w:rPr>
                <w:rFonts w:ascii="Segoe UI" w:eastAsia="Times New Roman" w:hAnsi="Segoe UI" w:cs="Segoe UI"/>
                <w:color w:val="000000"/>
                <w:sz w:val="12"/>
                <w:szCs w:val="16"/>
              </w:rPr>
            </w:pPr>
            <w:r w:rsidRPr="0058047D">
              <w:rPr>
                <w:rFonts w:ascii="Segoe UI" w:eastAsia="Times New Roman" w:hAnsi="Segoe UI" w:cs="Segoe UI"/>
                <w:noProof/>
                <w:color w:val="000000"/>
                <w:sz w:val="12"/>
                <w:szCs w:val="16"/>
              </w:rPr>
              <w:drawing>
                <wp:inline distT="0" distB="0" distL="0" distR="0" wp14:anchorId="08DA2529" wp14:editId="33D0525D">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256780D2"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EC5BAFB" w14:textId="77777777" w:rsidR="00BF2FFA" w:rsidRPr="0058047D" w:rsidRDefault="00BF2FFA" w:rsidP="004E6530">
            <w:pPr>
              <w:spacing w:before="20" w:after="20"/>
              <w:rPr>
                <w:rFonts w:ascii="Segoe UI" w:eastAsia="Times New Roman" w:hAnsi="Segoe UI" w:cs="Segoe UI"/>
                <w:noProof/>
                <w:color w:val="000000"/>
                <w:sz w:val="13"/>
                <w:szCs w:val="13"/>
              </w:rPr>
            </w:pPr>
            <w:r w:rsidRPr="0058047D">
              <w:rPr>
                <w:rFonts w:ascii="Segoe UI" w:eastAsia="Times New Roman" w:hAnsi="Segoe UI" w:cs="Segoe UI"/>
                <w:color w:val="000000"/>
                <w:sz w:val="13"/>
                <w:szCs w:val="13"/>
              </w:rPr>
              <w:t>Importa dati in blocco</w:t>
            </w:r>
          </w:p>
        </w:tc>
        <w:tc>
          <w:tcPr>
            <w:tcW w:w="793" w:type="dxa"/>
            <w:tcBorders>
              <w:top w:val="single" w:sz="4" w:space="0" w:color="A5A5A5" w:themeColor="accent3"/>
              <w:left w:val="nil"/>
              <w:bottom w:val="single" w:sz="4" w:space="0" w:color="A5A5A5" w:themeColor="accent3"/>
              <w:right w:val="nil"/>
            </w:tcBorders>
            <w:vAlign w:val="center"/>
          </w:tcPr>
          <w:p w14:paraId="52A2D59F"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59F483AA" wp14:editId="146BEE59">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vAlign w:val="center"/>
          </w:tcPr>
          <w:p w14:paraId="4BEA1592"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14:paraId="6E4A4F96"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r>
      <w:tr w:rsidR="00BF2FFA" w:rsidRPr="0058047D" w14:paraId="21863ECB"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0CEF79E" w14:textId="77777777" w:rsidR="00BF2FFA" w:rsidRPr="0058047D" w:rsidRDefault="00BF2FFA" w:rsidP="004E6530">
            <w:pPr>
              <w:spacing w:before="20" w:after="20"/>
              <w:rPr>
                <w:rFonts w:ascii="Segoe UI" w:eastAsia="Times New Roman" w:hAnsi="Segoe UI" w:cs="Segoe UI"/>
                <w:color w:val="000000"/>
                <w:sz w:val="13"/>
                <w:szCs w:val="13"/>
              </w:rPr>
            </w:pPr>
            <w:r w:rsidRPr="0058047D">
              <w:rPr>
                <w:rFonts w:ascii="Segoe UI" w:eastAsia="Times New Roman" w:hAnsi="Segoe UI" w:cs="Segoe UI"/>
                <w:color w:val="000000"/>
                <w:sz w:val="13"/>
                <w:szCs w:val="13"/>
              </w:rPr>
              <w:t>Esecuzione di Stampa Unione</w:t>
            </w:r>
          </w:p>
        </w:tc>
        <w:tc>
          <w:tcPr>
            <w:tcW w:w="823" w:type="dxa"/>
            <w:tcBorders>
              <w:top w:val="single" w:sz="4" w:space="0" w:color="A5A5A5" w:themeColor="accent3"/>
              <w:left w:val="nil"/>
              <w:bottom w:val="single" w:sz="4" w:space="0" w:color="A5A5A5" w:themeColor="accent3"/>
              <w:right w:val="nil"/>
            </w:tcBorders>
            <w:vAlign w:val="center"/>
          </w:tcPr>
          <w:p w14:paraId="3EFE2D7C"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0BA37ACB" wp14:editId="19AA628A">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823B3A8"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389302BA" wp14:editId="7ADC750E">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CB0040E" w14:textId="77777777" w:rsidR="00BF2FFA" w:rsidRPr="0058047D" w:rsidRDefault="00BF2FFA" w:rsidP="004E6530">
            <w:pPr>
              <w:spacing w:before="20" w:after="20"/>
              <w:jc w:val="center"/>
              <w:rPr>
                <w:rFonts w:ascii="Segoe UI" w:eastAsia="Times New Roman" w:hAnsi="Segoe UI" w:cs="Segoe UI"/>
                <w:color w:val="000000"/>
                <w:sz w:val="12"/>
                <w:szCs w:val="16"/>
              </w:rPr>
            </w:pPr>
            <w:r w:rsidRPr="0058047D">
              <w:rPr>
                <w:rFonts w:ascii="Segoe UI" w:eastAsia="Times New Roman" w:hAnsi="Segoe UI" w:cs="Segoe UI"/>
                <w:noProof/>
                <w:color w:val="000000"/>
                <w:sz w:val="12"/>
                <w:szCs w:val="16"/>
              </w:rPr>
              <w:drawing>
                <wp:inline distT="0" distB="0" distL="0" distR="0" wp14:anchorId="768391F8" wp14:editId="3083C8E9">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179866A1"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4CA5E449" w14:textId="77777777" w:rsidR="00BF2FFA" w:rsidRPr="0058047D" w:rsidRDefault="00BF2FFA" w:rsidP="004E6530">
            <w:pPr>
              <w:spacing w:before="20" w:after="20"/>
              <w:rPr>
                <w:rFonts w:ascii="Segoe UI" w:eastAsia="Times New Roman" w:hAnsi="Segoe UI" w:cs="Segoe UI"/>
                <w:noProof/>
                <w:color w:val="000000"/>
                <w:sz w:val="13"/>
                <w:szCs w:val="13"/>
              </w:rPr>
            </w:pPr>
            <w:r w:rsidRPr="0058047D">
              <w:rPr>
                <w:rFonts w:ascii="Segoe UI" w:eastAsia="Times New Roman" w:hAnsi="Segoe UI" w:cs="Segoe UI"/>
                <w:color w:val="000000"/>
                <w:sz w:val="13"/>
                <w:szCs w:val="13"/>
              </w:rPr>
              <w:t>Configura verifica</w:t>
            </w:r>
          </w:p>
        </w:tc>
        <w:tc>
          <w:tcPr>
            <w:tcW w:w="793" w:type="dxa"/>
            <w:tcBorders>
              <w:top w:val="single" w:sz="4" w:space="0" w:color="A5A5A5" w:themeColor="accent3"/>
              <w:left w:val="nil"/>
              <w:bottom w:val="single" w:sz="4" w:space="0" w:color="A5A5A5" w:themeColor="accent3"/>
              <w:right w:val="nil"/>
            </w:tcBorders>
            <w:vAlign w:val="center"/>
          </w:tcPr>
          <w:p w14:paraId="1333AE65"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4ABF6930" wp14:editId="2C332869">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vAlign w:val="center"/>
          </w:tcPr>
          <w:p w14:paraId="40B6256B"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14:paraId="26C653B6"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r>
      <w:tr w:rsidR="00BF2FFA" w:rsidRPr="0058047D" w14:paraId="36789478"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623A4C6" w14:textId="77777777" w:rsidR="00BF2FFA" w:rsidRPr="0058047D" w:rsidRDefault="00BF2FFA" w:rsidP="004E6530">
            <w:pPr>
              <w:spacing w:before="20" w:after="20"/>
              <w:rPr>
                <w:rFonts w:ascii="Segoe UI" w:eastAsia="Times New Roman" w:hAnsi="Segoe UI" w:cs="Segoe UI"/>
                <w:color w:val="000000"/>
                <w:sz w:val="13"/>
                <w:szCs w:val="13"/>
              </w:rPr>
            </w:pPr>
            <w:r w:rsidRPr="0058047D">
              <w:rPr>
                <w:rFonts w:ascii="Segoe UI" w:eastAsia="Times New Roman" w:hAnsi="Segoe UI" w:cs="Segoe UI"/>
                <w:color w:val="000000"/>
                <w:sz w:val="13"/>
                <w:szCs w:val="13"/>
              </w:rPr>
              <w:t>Avvia conversazione</w:t>
            </w:r>
          </w:p>
        </w:tc>
        <w:tc>
          <w:tcPr>
            <w:tcW w:w="823" w:type="dxa"/>
            <w:tcBorders>
              <w:top w:val="single" w:sz="4" w:space="0" w:color="A5A5A5" w:themeColor="accent3"/>
              <w:left w:val="nil"/>
              <w:bottom w:val="single" w:sz="4" w:space="0" w:color="A5A5A5" w:themeColor="accent3"/>
              <w:right w:val="nil"/>
            </w:tcBorders>
            <w:vAlign w:val="center"/>
          </w:tcPr>
          <w:p w14:paraId="10750E28" w14:textId="77777777" w:rsidR="00BF2FFA" w:rsidRPr="0058047D" w:rsidRDefault="00BF2FFA" w:rsidP="004E6530">
            <w:pPr>
              <w:spacing w:before="20" w:after="20"/>
              <w:jc w:val="center"/>
              <w:rPr>
                <w:rFonts w:ascii="Segoe UI" w:hAnsi="Segoe UI" w:cs="Segoe UI"/>
                <w:noProof/>
                <w:sz w:val="12"/>
                <w:szCs w:val="16"/>
              </w:rPr>
            </w:pPr>
            <w:r w:rsidRPr="0058047D">
              <w:rPr>
                <w:rFonts w:ascii="Segoe UI" w:eastAsia="Times New Roman" w:hAnsi="Segoe UI" w:cs="Segoe UI"/>
                <w:noProof/>
                <w:color w:val="000000"/>
                <w:sz w:val="12"/>
                <w:szCs w:val="16"/>
              </w:rPr>
              <w:drawing>
                <wp:inline distT="0" distB="0" distL="0" distR="0" wp14:anchorId="41A2130B" wp14:editId="01C1711B">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5ACE048" w14:textId="77777777" w:rsidR="00BF2FFA" w:rsidRPr="0058047D" w:rsidRDefault="00BF2FFA" w:rsidP="004E6530">
            <w:pPr>
              <w:spacing w:before="20" w:after="20"/>
              <w:jc w:val="center"/>
              <w:rPr>
                <w:rFonts w:ascii="Segoe UI" w:hAnsi="Segoe UI" w:cs="Segoe UI"/>
                <w:noProof/>
                <w:sz w:val="12"/>
                <w:szCs w:val="16"/>
              </w:rPr>
            </w:pPr>
            <w:r w:rsidRPr="0058047D">
              <w:rPr>
                <w:rFonts w:ascii="Segoe UI" w:hAnsi="Segoe UI" w:cs="Segoe UI"/>
                <w:noProof/>
                <w:sz w:val="12"/>
                <w:szCs w:val="16"/>
              </w:rPr>
              <w:drawing>
                <wp:inline distT="0" distB="0" distL="0" distR="0" wp14:anchorId="751CBFB2" wp14:editId="6AF2F3EB">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4251C80" w14:textId="77777777" w:rsidR="00BF2FFA" w:rsidRPr="0058047D" w:rsidRDefault="00BF2FFA" w:rsidP="004E6530">
            <w:pPr>
              <w:spacing w:before="20" w:after="20"/>
              <w:jc w:val="center"/>
              <w:rPr>
                <w:rFonts w:ascii="Segoe UI" w:eastAsia="Times New Roman" w:hAnsi="Segoe UI" w:cs="Segoe UI"/>
                <w:color w:val="000000"/>
                <w:sz w:val="12"/>
                <w:szCs w:val="16"/>
              </w:rPr>
            </w:pPr>
            <w:r w:rsidRPr="0058047D">
              <w:rPr>
                <w:rFonts w:ascii="Segoe UI" w:hAnsi="Segoe UI" w:cs="Segoe UI"/>
                <w:noProof/>
                <w:sz w:val="12"/>
                <w:szCs w:val="16"/>
              </w:rPr>
              <w:drawing>
                <wp:inline distT="0" distB="0" distL="0" distR="0" wp14:anchorId="058470A4" wp14:editId="44E1F734">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1EC3152C" w14:textId="77777777" w:rsidR="00BF2FFA" w:rsidRPr="0058047D" w:rsidRDefault="00BF2FFA" w:rsidP="004E6530">
            <w:pPr>
              <w:spacing w:before="20" w:after="20"/>
              <w:jc w:val="center"/>
              <w:rPr>
                <w:rFonts w:ascii="Segoe UI" w:hAnsi="Segoe UI" w:cs="Segoe UI"/>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3D0FF514" w14:textId="77777777" w:rsidR="00BF2FFA" w:rsidRPr="0058047D" w:rsidRDefault="00BF2FFA" w:rsidP="004E6530">
            <w:pPr>
              <w:spacing w:before="20" w:after="20"/>
              <w:rPr>
                <w:rFonts w:ascii="Segoe UI" w:eastAsia="Times New Roman" w:hAnsi="Segoe UI" w:cs="Segoe UI"/>
                <w:noProof/>
                <w:color w:val="000000"/>
                <w:sz w:val="13"/>
                <w:szCs w:val="13"/>
              </w:rPr>
            </w:pPr>
            <w:r w:rsidRPr="0058047D">
              <w:rPr>
                <w:rFonts w:ascii="Segoe UI" w:eastAsia="Times New Roman" w:hAnsi="Segoe UI" w:cs="Segoe UI"/>
                <w:color w:val="000000"/>
                <w:sz w:val="13"/>
                <w:szCs w:val="13"/>
              </w:rPr>
              <w:t>Configura regole di rilevamento duplicati</w:t>
            </w:r>
          </w:p>
        </w:tc>
        <w:tc>
          <w:tcPr>
            <w:tcW w:w="793" w:type="dxa"/>
            <w:tcBorders>
              <w:top w:val="single" w:sz="4" w:space="0" w:color="A5A5A5" w:themeColor="accent3"/>
              <w:left w:val="nil"/>
              <w:bottom w:val="single" w:sz="4" w:space="0" w:color="A5A5A5" w:themeColor="accent3"/>
              <w:right w:val="nil"/>
            </w:tcBorders>
            <w:vAlign w:val="center"/>
          </w:tcPr>
          <w:p w14:paraId="2839CDAB"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2BD56580" wp14:editId="34A3B0A6">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vAlign w:val="center"/>
          </w:tcPr>
          <w:p w14:paraId="4C93E4F3"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14:paraId="60C31139"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r>
      <w:tr w:rsidR="00BF2FFA" w:rsidRPr="0058047D" w14:paraId="1E317080"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AE4947D" w14:textId="77777777" w:rsidR="00BF2FFA" w:rsidRPr="0058047D" w:rsidRDefault="00BF2FFA" w:rsidP="004E6530">
            <w:pPr>
              <w:spacing w:before="20" w:after="20"/>
              <w:rPr>
                <w:rFonts w:ascii="Segoe UI" w:eastAsia="Times New Roman" w:hAnsi="Segoe UI" w:cs="Segoe UI"/>
                <w:color w:val="000000"/>
                <w:sz w:val="13"/>
                <w:szCs w:val="13"/>
              </w:rPr>
            </w:pPr>
            <w:r w:rsidRPr="0058047D">
              <w:rPr>
                <w:rFonts w:ascii="Segoe UI" w:eastAsia="Times New Roman" w:hAnsi="Segoe UI" w:cs="Segoe UI"/>
                <w:color w:val="000000"/>
                <w:sz w:val="13"/>
                <w:szCs w:val="13"/>
              </w:rPr>
              <w:t>Esecugui come processo Su richiesta</w:t>
            </w:r>
          </w:p>
        </w:tc>
        <w:tc>
          <w:tcPr>
            <w:tcW w:w="823" w:type="dxa"/>
            <w:tcBorders>
              <w:top w:val="single" w:sz="4" w:space="0" w:color="A5A5A5" w:themeColor="accent3"/>
              <w:left w:val="nil"/>
              <w:bottom w:val="single" w:sz="4" w:space="0" w:color="A5A5A5" w:themeColor="accent3"/>
              <w:right w:val="nil"/>
            </w:tcBorders>
            <w:vAlign w:val="center"/>
          </w:tcPr>
          <w:p w14:paraId="3E215188" w14:textId="77777777" w:rsidR="00BF2FFA" w:rsidRPr="0058047D" w:rsidRDefault="00BF2FFA" w:rsidP="004E6530">
            <w:pPr>
              <w:spacing w:before="20" w:after="20"/>
              <w:jc w:val="center"/>
              <w:rPr>
                <w:rFonts w:ascii="Segoe UI" w:hAnsi="Segoe UI" w:cs="Segoe UI"/>
                <w:noProof/>
                <w:sz w:val="12"/>
                <w:szCs w:val="16"/>
              </w:rPr>
            </w:pPr>
            <w:r w:rsidRPr="0058047D">
              <w:rPr>
                <w:rFonts w:ascii="Segoe UI" w:eastAsia="Times New Roman" w:hAnsi="Segoe UI" w:cs="Segoe UI"/>
                <w:noProof/>
                <w:color w:val="000000"/>
                <w:sz w:val="12"/>
                <w:szCs w:val="16"/>
              </w:rPr>
              <w:drawing>
                <wp:inline distT="0" distB="0" distL="0" distR="0" wp14:anchorId="06BC9F48" wp14:editId="0D3751DE">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F41AB3F" w14:textId="77777777" w:rsidR="00BF2FFA" w:rsidRPr="0058047D" w:rsidRDefault="00BF2FFA" w:rsidP="004E6530">
            <w:pPr>
              <w:spacing w:before="20" w:after="20"/>
              <w:jc w:val="center"/>
              <w:rPr>
                <w:rFonts w:ascii="Segoe UI" w:hAnsi="Segoe UI" w:cs="Segoe UI"/>
                <w:noProof/>
                <w:sz w:val="12"/>
                <w:szCs w:val="16"/>
              </w:rPr>
            </w:pPr>
            <w:r w:rsidRPr="0058047D">
              <w:rPr>
                <w:rFonts w:ascii="Segoe UI" w:hAnsi="Segoe UI" w:cs="Segoe UI"/>
                <w:noProof/>
                <w:sz w:val="12"/>
                <w:szCs w:val="16"/>
              </w:rPr>
              <w:drawing>
                <wp:inline distT="0" distB="0" distL="0" distR="0" wp14:anchorId="1E4C7AC8" wp14:editId="770F08EB">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5534563" w14:textId="77777777" w:rsidR="00BF2FFA" w:rsidRPr="0058047D" w:rsidRDefault="00BF2FFA" w:rsidP="004E6530">
            <w:pPr>
              <w:spacing w:before="20" w:after="20"/>
              <w:jc w:val="center"/>
              <w:rPr>
                <w:rFonts w:ascii="Segoe UI" w:eastAsia="Times New Roman" w:hAnsi="Segoe UI" w:cs="Segoe UI"/>
                <w:color w:val="000000"/>
                <w:sz w:val="12"/>
                <w:szCs w:val="16"/>
              </w:rPr>
            </w:pPr>
            <w:r w:rsidRPr="0058047D">
              <w:rPr>
                <w:rFonts w:ascii="Segoe UI" w:hAnsi="Segoe UI" w:cs="Segoe UI"/>
                <w:noProof/>
                <w:sz w:val="12"/>
                <w:szCs w:val="16"/>
              </w:rPr>
              <w:drawing>
                <wp:inline distT="0" distB="0" distL="0" distR="0" wp14:anchorId="16D61D67" wp14:editId="2F32BFFA">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5699B4F7" w14:textId="77777777" w:rsidR="00BF2FFA" w:rsidRPr="0058047D" w:rsidRDefault="00BF2FFA" w:rsidP="004E6530">
            <w:pPr>
              <w:spacing w:before="20" w:after="20"/>
              <w:jc w:val="center"/>
              <w:rPr>
                <w:rFonts w:ascii="Segoe UI" w:hAnsi="Segoe UI" w:cs="Segoe UI"/>
                <w:noProof/>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61C044F1" w14:textId="77777777" w:rsidR="00BF2FFA" w:rsidRPr="0058047D" w:rsidRDefault="00BF2FFA" w:rsidP="004E6530">
            <w:pPr>
              <w:spacing w:before="20" w:after="20"/>
              <w:rPr>
                <w:rFonts w:ascii="Segoe UI" w:eastAsia="Times New Roman" w:hAnsi="Segoe UI" w:cs="Segoe UI"/>
                <w:noProof/>
                <w:color w:val="000000"/>
                <w:sz w:val="13"/>
                <w:szCs w:val="13"/>
              </w:rPr>
            </w:pPr>
            <w:r w:rsidRPr="0058047D">
              <w:rPr>
                <w:rFonts w:ascii="Segoe UI" w:eastAsia="Times New Roman" w:hAnsi="Segoe UI" w:cs="Segoe UI"/>
                <w:color w:val="000000"/>
                <w:sz w:val="13"/>
                <w:szCs w:val="13"/>
              </w:rPr>
              <w:t>Definisci relazioni tra entità</w:t>
            </w:r>
          </w:p>
        </w:tc>
        <w:tc>
          <w:tcPr>
            <w:tcW w:w="793" w:type="dxa"/>
            <w:tcBorders>
              <w:top w:val="single" w:sz="4" w:space="0" w:color="A5A5A5" w:themeColor="accent3"/>
              <w:left w:val="nil"/>
              <w:bottom w:val="single" w:sz="4" w:space="0" w:color="A5A5A5" w:themeColor="accent3"/>
              <w:right w:val="nil"/>
            </w:tcBorders>
            <w:vAlign w:val="center"/>
          </w:tcPr>
          <w:p w14:paraId="2821A9E5"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48FB9F34" wp14:editId="78176F5F">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14:paraId="2E7F6F96"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14:paraId="69E8AC93"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r>
      <w:tr w:rsidR="00BF2FFA" w:rsidRPr="0058047D" w14:paraId="1ED85DF2"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9B5A3F5" w14:textId="77777777" w:rsidR="00BF2FFA" w:rsidRPr="0058047D" w:rsidRDefault="00BF2FFA" w:rsidP="004E6530">
            <w:pPr>
              <w:spacing w:before="20" w:after="20"/>
              <w:rPr>
                <w:rFonts w:ascii="Segoe UI" w:eastAsia="Times New Roman" w:hAnsi="Segoe UI" w:cs="Segoe UI"/>
                <w:color w:val="000000"/>
                <w:sz w:val="13"/>
                <w:szCs w:val="13"/>
              </w:rPr>
            </w:pPr>
            <w:r w:rsidRPr="0058047D">
              <w:rPr>
                <w:rFonts w:ascii="Segoe UI" w:eastAsia="Times New Roman" w:hAnsi="Segoe UI" w:cs="Segoe UI"/>
                <w:color w:val="000000"/>
                <w:sz w:val="13"/>
                <w:szCs w:val="13"/>
              </w:rPr>
              <w:t>Esecuzione del flusso di lavoro automatizzato</w:t>
            </w:r>
          </w:p>
        </w:tc>
        <w:tc>
          <w:tcPr>
            <w:tcW w:w="823" w:type="dxa"/>
            <w:tcBorders>
              <w:top w:val="single" w:sz="4" w:space="0" w:color="A5A5A5" w:themeColor="accent3"/>
              <w:left w:val="nil"/>
              <w:bottom w:val="single" w:sz="4" w:space="0" w:color="A5A5A5" w:themeColor="accent3"/>
              <w:right w:val="nil"/>
            </w:tcBorders>
            <w:vAlign w:val="center"/>
          </w:tcPr>
          <w:p w14:paraId="785FD673" w14:textId="77777777" w:rsidR="00BF2FFA" w:rsidRPr="0058047D" w:rsidRDefault="00BF2FFA" w:rsidP="004E6530">
            <w:pPr>
              <w:spacing w:before="20" w:after="20"/>
              <w:jc w:val="center"/>
              <w:rPr>
                <w:rFonts w:ascii="Segoe UI" w:hAnsi="Segoe UI" w:cs="Segoe UI"/>
                <w:sz w:val="12"/>
                <w:szCs w:val="16"/>
              </w:rPr>
            </w:pPr>
            <w:r w:rsidRPr="0058047D">
              <w:rPr>
                <w:rFonts w:ascii="Segoe UI" w:eastAsia="Times New Roman" w:hAnsi="Segoe UI" w:cs="Segoe UI"/>
                <w:noProof/>
                <w:color w:val="000000"/>
                <w:sz w:val="12"/>
                <w:szCs w:val="16"/>
              </w:rPr>
              <w:drawing>
                <wp:inline distT="0" distB="0" distL="0" distR="0" wp14:anchorId="3618756A" wp14:editId="635D3E8B">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FB301ED" w14:textId="77777777" w:rsidR="00BF2FFA" w:rsidRPr="0058047D" w:rsidRDefault="00BF2FFA" w:rsidP="004E6530">
            <w:pPr>
              <w:spacing w:before="20" w:after="20"/>
              <w:jc w:val="center"/>
              <w:rPr>
                <w:rFonts w:ascii="Segoe UI" w:hAnsi="Segoe UI" w:cs="Segoe UI"/>
                <w:sz w:val="12"/>
                <w:szCs w:val="16"/>
              </w:rPr>
            </w:pPr>
            <w:r w:rsidRPr="0058047D">
              <w:rPr>
                <w:rFonts w:ascii="Segoe UI" w:hAnsi="Segoe UI" w:cs="Segoe UI"/>
                <w:noProof/>
                <w:sz w:val="12"/>
                <w:szCs w:val="16"/>
              </w:rPr>
              <w:drawing>
                <wp:inline distT="0" distB="0" distL="0" distR="0" wp14:anchorId="0B354EF0" wp14:editId="17220B02">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15D9638" w14:textId="77777777" w:rsidR="00BF2FFA" w:rsidRPr="0058047D" w:rsidRDefault="00BF2FFA" w:rsidP="004E6530">
            <w:pPr>
              <w:spacing w:before="20" w:after="20"/>
              <w:jc w:val="center"/>
              <w:rPr>
                <w:rFonts w:ascii="Segoe UI" w:eastAsia="Times New Roman" w:hAnsi="Segoe UI" w:cs="Segoe UI"/>
                <w:color w:val="000000"/>
                <w:sz w:val="12"/>
                <w:szCs w:val="16"/>
              </w:rPr>
            </w:pPr>
            <w:r w:rsidRPr="0058047D">
              <w:rPr>
                <w:rFonts w:ascii="Segoe UI" w:hAnsi="Segoe UI" w:cs="Segoe UI"/>
                <w:noProof/>
                <w:sz w:val="12"/>
                <w:szCs w:val="16"/>
              </w:rPr>
              <w:drawing>
                <wp:inline distT="0" distB="0" distL="0" distR="0" wp14:anchorId="100CF996" wp14:editId="5CCFA943">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5E58DA3A" w14:textId="77777777" w:rsidR="00BF2FFA" w:rsidRPr="0058047D" w:rsidRDefault="00BF2FFA" w:rsidP="004E6530">
            <w:pPr>
              <w:spacing w:before="20" w:after="20"/>
              <w:jc w:val="center"/>
              <w:rPr>
                <w:rFonts w:ascii="Segoe UI" w:hAnsi="Segoe UI" w:cs="Segoe UI"/>
                <w:noProof/>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11B8D4E4" w14:textId="77777777" w:rsidR="00BF2FFA" w:rsidRPr="0058047D" w:rsidRDefault="00BF2FFA" w:rsidP="004E6530">
            <w:pPr>
              <w:spacing w:before="20" w:after="20"/>
              <w:rPr>
                <w:rFonts w:ascii="Segoe UI" w:eastAsia="Times New Roman" w:hAnsi="Segoe UI" w:cs="Segoe UI"/>
                <w:noProof/>
                <w:color w:val="000000"/>
                <w:sz w:val="13"/>
                <w:szCs w:val="13"/>
              </w:rPr>
            </w:pPr>
            <w:r w:rsidRPr="0058047D">
              <w:rPr>
                <w:rFonts w:ascii="Segoe UI" w:eastAsia="Times New Roman" w:hAnsi="Segoe UI" w:cs="Segoe UI"/>
                <w:color w:val="000000"/>
                <w:sz w:val="13"/>
                <w:szCs w:val="13"/>
              </w:rPr>
              <w:t>Definisci e</w:t>
            </w:r>
            <w:r w:rsidR="00075CCA">
              <w:rPr>
                <w:rFonts w:ascii="Segoe UI" w:eastAsia="Times New Roman" w:hAnsi="Segoe UI" w:cs="Segoe UI"/>
                <w:color w:val="000000"/>
                <w:sz w:val="13"/>
                <w:szCs w:val="13"/>
              </w:rPr>
              <w:t> </w:t>
            </w:r>
            <w:r w:rsidRPr="0058047D">
              <w:rPr>
                <w:rFonts w:ascii="Segoe UI" w:eastAsia="Times New Roman" w:hAnsi="Segoe UI" w:cs="Segoe UI"/>
                <w:color w:val="000000"/>
                <w:sz w:val="13"/>
                <w:szCs w:val="13"/>
              </w:rPr>
              <w:t>configura code</w:t>
            </w:r>
          </w:p>
        </w:tc>
        <w:tc>
          <w:tcPr>
            <w:tcW w:w="793" w:type="dxa"/>
            <w:tcBorders>
              <w:top w:val="single" w:sz="4" w:space="0" w:color="A5A5A5" w:themeColor="accent3"/>
              <w:left w:val="nil"/>
              <w:bottom w:val="single" w:sz="4" w:space="0" w:color="A5A5A5" w:themeColor="accent3"/>
              <w:right w:val="nil"/>
            </w:tcBorders>
            <w:vAlign w:val="center"/>
          </w:tcPr>
          <w:p w14:paraId="7ACBDEEE"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259D4AE7" wp14:editId="1E4F5869">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14:paraId="7A3441D3"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14:paraId="41CE351C"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r>
      <w:tr w:rsidR="00BF2FFA" w:rsidRPr="0058047D" w14:paraId="18B3EA16"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D98E088" w14:textId="77777777" w:rsidR="00BF2FFA" w:rsidRPr="0058047D" w:rsidRDefault="00BF2FFA" w:rsidP="004E6530">
            <w:pPr>
              <w:spacing w:before="20" w:after="20"/>
              <w:rPr>
                <w:rFonts w:ascii="Segoe UI" w:eastAsia="Times New Roman" w:hAnsi="Segoe UI" w:cs="Segoe UI"/>
                <w:color w:val="000000"/>
                <w:sz w:val="13"/>
                <w:szCs w:val="13"/>
              </w:rPr>
            </w:pPr>
            <w:r w:rsidRPr="0058047D">
              <w:rPr>
                <w:rFonts w:ascii="Segoe UI" w:eastAsia="Times New Roman" w:hAnsi="Segoe UI" w:cs="Segoe UI"/>
                <w:color w:val="000000"/>
                <w:sz w:val="13"/>
                <w:szCs w:val="13"/>
              </w:rPr>
              <w:t>Leggi articoli</w:t>
            </w:r>
          </w:p>
        </w:tc>
        <w:tc>
          <w:tcPr>
            <w:tcW w:w="823" w:type="dxa"/>
            <w:tcBorders>
              <w:top w:val="single" w:sz="4" w:space="0" w:color="A5A5A5" w:themeColor="accent3"/>
              <w:left w:val="nil"/>
              <w:bottom w:val="single" w:sz="4" w:space="0" w:color="A5A5A5" w:themeColor="accent3"/>
              <w:right w:val="nil"/>
            </w:tcBorders>
            <w:vAlign w:val="center"/>
          </w:tcPr>
          <w:p w14:paraId="1CEAB686"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64FF7B79" wp14:editId="3830CE2A">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368E28E"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4361E8BD" wp14:editId="1E2A7F71">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9C8646A" w14:textId="77777777" w:rsidR="00BF2FFA" w:rsidRPr="0058047D" w:rsidRDefault="00BF2FFA" w:rsidP="004E6530">
            <w:pPr>
              <w:spacing w:before="20" w:after="20"/>
              <w:jc w:val="center"/>
              <w:rPr>
                <w:rFonts w:ascii="Segoe UI" w:eastAsia="Times New Roman" w:hAnsi="Segoe UI" w:cs="Segoe UI"/>
                <w:color w:val="000000"/>
                <w:sz w:val="12"/>
                <w:szCs w:val="16"/>
              </w:rPr>
            </w:pPr>
            <w:r w:rsidRPr="0058047D">
              <w:rPr>
                <w:rFonts w:ascii="Segoe UI" w:eastAsia="Times New Roman" w:hAnsi="Segoe UI" w:cs="Segoe UI"/>
                <w:noProof/>
                <w:color w:val="000000"/>
                <w:sz w:val="12"/>
                <w:szCs w:val="16"/>
              </w:rPr>
              <w:drawing>
                <wp:inline distT="0" distB="0" distL="0" distR="0" wp14:anchorId="5F67D14A" wp14:editId="2CD4E96A">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7C0EFAE"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7FB7B063" w14:textId="77777777" w:rsidR="00BF2FFA" w:rsidRPr="0058047D" w:rsidRDefault="00BF2FFA" w:rsidP="004E6530">
            <w:pPr>
              <w:spacing w:before="20" w:after="20"/>
              <w:rPr>
                <w:rFonts w:ascii="Segoe UI" w:eastAsia="Times New Roman" w:hAnsi="Segoe UI" w:cs="Segoe UI"/>
                <w:noProof/>
                <w:color w:val="000000"/>
                <w:sz w:val="13"/>
                <w:szCs w:val="13"/>
              </w:rPr>
            </w:pPr>
            <w:r w:rsidRPr="0058047D">
              <w:rPr>
                <w:rFonts w:ascii="Segoe UI" w:eastAsia="Times New Roman" w:hAnsi="Segoe UI" w:cs="Segoe UI"/>
                <w:color w:val="000000"/>
                <w:sz w:val="13"/>
                <w:szCs w:val="13"/>
              </w:rPr>
              <w:t>Definisci e</w:t>
            </w:r>
            <w:r w:rsidR="00075CCA">
              <w:rPr>
                <w:rFonts w:ascii="Segoe UI" w:eastAsia="Times New Roman" w:hAnsi="Segoe UI" w:cs="Segoe UI"/>
                <w:color w:val="000000"/>
                <w:sz w:val="13"/>
                <w:szCs w:val="13"/>
              </w:rPr>
              <w:t> </w:t>
            </w:r>
            <w:r w:rsidRPr="0058047D">
              <w:rPr>
                <w:rFonts w:ascii="Segoe UI" w:eastAsia="Times New Roman" w:hAnsi="Segoe UI" w:cs="Segoe UI"/>
                <w:color w:val="000000"/>
                <w:sz w:val="13"/>
                <w:szCs w:val="13"/>
              </w:rPr>
              <w:t>configura conversazioni</w:t>
            </w:r>
          </w:p>
        </w:tc>
        <w:tc>
          <w:tcPr>
            <w:tcW w:w="793" w:type="dxa"/>
            <w:tcBorders>
              <w:top w:val="single" w:sz="4" w:space="0" w:color="A5A5A5" w:themeColor="accent3"/>
              <w:left w:val="nil"/>
              <w:bottom w:val="single" w:sz="4" w:space="0" w:color="A5A5A5" w:themeColor="accent3"/>
              <w:right w:val="nil"/>
            </w:tcBorders>
            <w:vAlign w:val="center"/>
          </w:tcPr>
          <w:p w14:paraId="44F6BF6C" w14:textId="77777777" w:rsidR="00BF2FFA" w:rsidRPr="0058047D" w:rsidRDefault="00BF2FFA" w:rsidP="004E6530">
            <w:pPr>
              <w:spacing w:before="20" w:after="20"/>
              <w:jc w:val="right"/>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7F0B3FB3" wp14:editId="6D97BF12">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14:paraId="491A7D02"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14:paraId="183A8959" w14:textId="77777777" w:rsidR="00BF2FFA" w:rsidRPr="0058047D" w:rsidRDefault="00BF2FFA" w:rsidP="004E6530">
            <w:pPr>
              <w:spacing w:before="20" w:after="20"/>
              <w:jc w:val="center"/>
              <w:rPr>
                <w:rFonts w:ascii="Segoe UI" w:eastAsia="Times New Roman" w:hAnsi="Segoe UI" w:cs="Segoe UI"/>
                <w:noProof/>
                <w:color w:val="000000"/>
                <w:sz w:val="14"/>
                <w:szCs w:val="16"/>
              </w:rPr>
            </w:pPr>
          </w:p>
        </w:tc>
      </w:tr>
      <w:tr w:rsidR="00BF2FFA" w:rsidRPr="0058047D" w14:paraId="2C9C28FA"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927FDCC" w14:textId="77777777" w:rsidR="00BF2FFA" w:rsidRPr="0058047D" w:rsidRDefault="00BF2FFA" w:rsidP="004E6530">
            <w:pPr>
              <w:spacing w:before="20" w:after="20"/>
              <w:rPr>
                <w:rFonts w:ascii="Segoe UI" w:eastAsia="Times New Roman" w:hAnsi="Segoe UI" w:cs="Segoe UI"/>
                <w:color w:val="000000"/>
                <w:sz w:val="13"/>
                <w:szCs w:val="13"/>
              </w:rPr>
            </w:pPr>
            <w:r w:rsidRPr="0058047D">
              <w:rPr>
                <w:rFonts w:ascii="Segoe UI" w:eastAsia="Times New Roman" w:hAnsi="Segoe UI" w:cs="Segoe UI"/>
                <w:color w:val="000000"/>
                <w:sz w:val="13"/>
                <w:szCs w:val="13"/>
              </w:rPr>
              <w:t>Note</w:t>
            </w:r>
          </w:p>
        </w:tc>
        <w:tc>
          <w:tcPr>
            <w:tcW w:w="823" w:type="dxa"/>
            <w:tcBorders>
              <w:top w:val="single" w:sz="4" w:space="0" w:color="A5A5A5" w:themeColor="accent3"/>
              <w:left w:val="nil"/>
              <w:bottom w:val="single" w:sz="4" w:space="0" w:color="A5A5A5" w:themeColor="accent3"/>
              <w:right w:val="nil"/>
            </w:tcBorders>
            <w:vAlign w:val="center"/>
          </w:tcPr>
          <w:p w14:paraId="1E40509B"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7189F7EB" wp14:editId="54F8DF3E">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4610774"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6A992483" wp14:editId="101AB160">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967A902" w14:textId="77777777" w:rsidR="00BF2FFA" w:rsidRPr="0058047D" w:rsidRDefault="00BF2FFA" w:rsidP="004E6530">
            <w:pPr>
              <w:spacing w:before="20" w:after="20"/>
              <w:jc w:val="center"/>
              <w:rPr>
                <w:rFonts w:ascii="Segoe UI" w:eastAsia="Times New Roman" w:hAnsi="Segoe UI" w:cs="Segoe UI"/>
                <w:color w:val="000000"/>
                <w:sz w:val="12"/>
                <w:szCs w:val="16"/>
              </w:rPr>
            </w:pPr>
            <w:r w:rsidRPr="0058047D">
              <w:rPr>
                <w:rFonts w:ascii="Segoe UI" w:eastAsia="Times New Roman" w:hAnsi="Segoe UI" w:cs="Segoe UI"/>
                <w:noProof/>
                <w:color w:val="000000"/>
                <w:sz w:val="12"/>
                <w:szCs w:val="16"/>
              </w:rPr>
              <w:drawing>
                <wp:inline distT="0" distB="0" distL="0" distR="0" wp14:anchorId="6B13660C" wp14:editId="623EC0B6">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58CB9096"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1476A2B0" w14:textId="77777777" w:rsidR="00BF2FFA" w:rsidRPr="0058047D" w:rsidRDefault="00BF2FFA" w:rsidP="004E6530">
            <w:pPr>
              <w:spacing w:before="20" w:after="20"/>
              <w:rPr>
                <w:rFonts w:ascii="Segoe UI" w:eastAsia="Times New Roman" w:hAnsi="Segoe UI" w:cs="Segoe UI"/>
                <w:noProof/>
                <w:color w:val="000000"/>
                <w:sz w:val="13"/>
                <w:szCs w:val="13"/>
              </w:rPr>
            </w:pPr>
            <w:r w:rsidRPr="0058047D">
              <w:rPr>
                <w:rFonts w:ascii="Segoe UI" w:eastAsia="Times New Roman" w:hAnsi="Segoe UI" w:cs="Segoe UI"/>
                <w:color w:val="000000"/>
                <w:sz w:val="13"/>
                <w:szCs w:val="13"/>
              </w:rPr>
              <w:t>Definisci e</w:t>
            </w:r>
            <w:r w:rsidR="00075CCA">
              <w:rPr>
                <w:rFonts w:ascii="Segoe UI" w:eastAsia="Times New Roman" w:hAnsi="Segoe UI" w:cs="Segoe UI"/>
                <w:color w:val="000000"/>
                <w:sz w:val="13"/>
                <w:szCs w:val="13"/>
              </w:rPr>
              <w:t> </w:t>
            </w:r>
            <w:r w:rsidRPr="0058047D">
              <w:rPr>
                <w:rFonts w:ascii="Segoe UI" w:eastAsia="Times New Roman" w:hAnsi="Segoe UI" w:cs="Segoe UI"/>
                <w:color w:val="000000"/>
                <w:sz w:val="13"/>
                <w:szCs w:val="13"/>
              </w:rPr>
              <w:t>configura flussi</w:t>
            </w:r>
            <w:r w:rsidR="00075CCA">
              <w:rPr>
                <w:rFonts w:ascii="Segoe UI" w:eastAsia="Times New Roman" w:hAnsi="Segoe UI" w:cs="Segoe UI"/>
                <w:color w:val="000000"/>
                <w:sz w:val="13"/>
                <w:szCs w:val="13"/>
              </w:rPr>
              <w:t> </w:t>
            </w:r>
            <w:r w:rsidRPr="0058047D">
              <w:rPr>
                <w:rFonts w:ascii="Segoe UI" w:eastAsia="Times New Roman" w:hAnsi="Segoe UI" w:cs="Segoe UI"/>
                <w:color w:val="000000"/>
                <w:sz w:val="13"/>
                <w:szCs w:val="13"/>
              </w:rPr>
              <w:t>di lavoro</w:t>
            </w:r>
          </w:p>
        </w:tc>
        <w:tc>
          <w:tcPr>
            <w:tcW w:w="793" w:type="dxa"/>
            <w:tcBorders>
              <w:top w:val="single" w:sz="4" w:space="0" w:color="A5A5A5" w:themeColor="accent3"/>
              <w:left w:val="nil"/>
              <w:bottom w:val="single" w:sz="4" w:space="0" w:color="A5A5A5" w:themeColor="accent3"/>
              <w:right w:val="nil"/>
            </w:tcBorders>
            <w:vAlign w:val="center"/>
          </w:tcPr>
          <w:p w14:paraId="264BE566" w14:textId="77777777" w:rsidR="00BF2FFA" w:rsidRPr="0058047D" w:rsidRDefault="00BF2FFA" w:rsidP="004E6530">
            <w:pPr>
              <w:spacing w:before="20" w:after="20"/>
              <w:jc w:val="right"/>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1C73E4C1" wp14:editId="251B8367">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14:paraId="48AC3B04"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14:paraId="1260F4CD" w14:textId="77777777" w:rsidR="00BF2FFA" w:rsidRPr="0058047D" w:rsidRDefault="00BF2FFA" w:rsidP="004E6530">
            <w:pPr>
              <w:spacing w:before="20" w:after="20"/>
              <w:jc w:val="center"/>
              <w:rPr>
                <w:rFonts w:ascii="Segoe UI" w:eastAsia="Times New Roman" w:hAnsi="Segoe UI" w:cs="Segoe UI"/>
                <w:noProof/>
                <w:color w:val="000000"/>
                <w:sz w:val="14"/>
                <w:szCs w:val="16"/>
              </w:rPr>
            </w:pPr>
          </w:p>
        </w:tc>
      </w:tr>
      <w:tr w:rsidR="00BF2FFA" w:rsidRPr="0058047D" w14:paraId="79EBD14A"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DDCC3C0" w14:textId="77777777" w:rsidR="00BF2FFA" w:rsidRPr="0058047D" w:rsidRDefault="00BF2FFA" w:rsidP="004E6530">
            <w:pPr>
              <w:spacing w:before="20" w:after="20"/>
              <w:rPr>
                <w:rFonts w:ascii="Segoe UI" w:eastAsia="Times New Roman" w:hAnsi="Segoe UI" w:cs="Segoe UI"/>
                <w:color w:val="000000"/>
                <w:sz w:val="13"/>
                <w:szCs w:val="13"/>
              </w:rPr>
            </w:pPr>
            <w:r w:rsidRPr="0058047D">
              <w:rPr>
                <w:rFonts w:ascii="Segoe UI" w:eastAsia="Times New Roman" w:hAnsi="Segoe UI" w:cs="Segoe UI"/>
                <w:color w:val="000000"/>
                <w:sz w:val="13"/>
                <w:szCs w:val="13"/>
              </w:rPr>
              <w:t>Gestione attività</w:t>
            </w:r>
          </w:p>
        </w:tc>
        <w:tc>
          <w:tcPr>
            <w:tcW w:w="823" w:type="dxa"/>
            <w:tcBorders>
              <w:top w:val="single" w:sz="4" w:space="0" w:color="A5A5A5" w:themeColor="accent3"/>
              <w:left w:val="nil"/>
              <w:bottom w:val="single" w:sz="4" w:space="0" w:color="A5A5A5" w:themeColor="accent3"/>
              <w:right w:val="nil"/>
            </w:tcBorders>
            <w:vAlign w:val="center"/>
          </w:tcPr>
          <w:p w14:paraId="194EA127"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2B8CBE3E" wp14:editId="516B105D">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8890724"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135F9056" wp14:editId="5430F0D5">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BE3F633" w14:textId="77777777" w:rsidR="00BF2FFA" w:rsidRPr="0058047D" w:rsidRDefault="00BF2FFA" w:rsidP="004E6530">
            <w:pPr>
              <w:spacing w:before="20" w:after="20"/>
              <w:jc w:val="center"/>
              <w:rPr>
                <w:rFonts w:ascii="Segoe UI" w:eastAsia="Times New Roman" w:hAnsi="Segoe UI" w:cs="Segoe UI"/>
                <w:color w:val="000000"/>
                <w:sz w:val="12"/>
                <w:szCs w:val="16"/>
              </w:rPr>
            </w:pPr>
            <w:r w:rsidRPr="0058047D">
              <w:rPr>
                <w:rFonts w:ascii="Segoe UI" w:eastAsia="Times New Roman" w:hAnsi="Segoe UI" w:cs="Segoe UI"/>
                <w:noProof/>
                <w:color w:val="000000"/>
                <w:sz w:val="12"/>
                <w:szCs w:val="16"/>
              </w:rPr>
              <w:drawing>
                <wp:inline distT="0" distB="0" distL="0" distR="0" wp14:anchorId="7494010E" wp14:editId="6CF96294">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368E1C3"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59A9CA82" w14:textId="77777777" w:rsidR="00BF2FFA" w:rsidRPr="0058047D" w:rsidRDefault="00BF2FFA" w:rsidP="004E6530">
            <w:pPr>
              <w:spacing w:before="20" w:after="20"/>
              <w:rPr>
                <w:rFonts w:ascii="Segoe UI" w:hAnsi="Segoe UI" w:cs="Segoe UI"/>
                <w:noProof/>
                <w:sz w:val="13"/>
                <w:szCs w:val="13"/>
              </w:rPr>
            </w:pPr>
            <w:r w:rsidRPr="0058047D">
              <w:rPr>
                <w:rFonts w:ascii="Segoe UI" w:eastAsia="Times New Roman" w:hAnsi="Segoe UI" w:cs="Segoe UI"/>
                <w:color w:val="000000"/>
                <w:sz w:val="13"/>
                <w:szCs w:val="13"/>
              </w:rPr>
              <w:t>Report di sistema, grafici di sistema e dashboard di sistema</w:t>
            </w:r>
          </w:p>
        </w:tc>
        <w:tc>
          <w:tcPr>
            <w:tcW w:w="793" w:type="dxa"/>
            <w:tcBorders>
              <w:top w:val="single" w:sz="4" w:space="0" w:color="A5A5A5" w:themeColor="accent3"/>
              <w:left w:val="nil"/>
              <w:bottom w:val="single" w:sz="4" w:space="0" w:color="A5A5A5" w:themeColor="accent3"/>
              <w:right w:val="nil"/>
            </w:tcBorders>
            <w:vAlign w:val="center"/>
          </w:tcPr>
          <w:p w14:paraId="61CAC0CE" w14:textId="77777777" w:rsidR="00BF2FFA" w:rsidRPr="0058047D" w:rsidRDefault="00BF2FFA" w:rsidP="004E6530">
            <w:pPr>
              <w:spacing w:before="20" w:after="20"/>
              <w:jc w:val="right"/>
              <w:rPr>
                <w:rFonts w:ascii="Segoe UI" w:hAnsi="Segoe UI" w:cs="Segoe UI"/>
                <w:noProof/>
                <w:sz w:val="12"/>
                <w:szCs w:val="16"/>
              </w:rPr>
            </w:pPr>
            <w:r w:rsidRPr="0058047D">
              <w:rPr>
                <w:rFonts w:ascii="Segoe UI" w:eastAsia="Times New Roman" w:hAnsi="Segoe UI" w:cs="Segoe UI"/>
                <w:noProof/>
                <w:color w:val="000000"/>
                <w:sz w:val="12"/>
                <w:szCs w:val="16"/>
              </w:rPr>
              <w:drawing>
                <wp:inline distT="0" distB="0" distL="0" distR="0" wp14:anchorId="3647C891" wp14:editId="7AE645CD">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14:paraId="3A538809" w14:textId="77777777" w:rsidR="00BF2FFA" w:rsidRPr="0058047D" w:rsidRDefault="00BF2FFA" w:rsidP="004E6530">
            <w:pPr>
              <w:spacing w:before="20" w:after="20"/>
              <w:jc w:val="center"/>
              <w:rPr>
                <w:rFonts w:ascii="Segoe UI" w:hAnsi="Segoe UI" w:cs="Segoe UI"/>
                <w:noProof/>
                <w:sz w:val="12"/>
                <w:szCs w:val="16"/>
              </w:rPr>
            </w:pPr>
          </w:p>
        </w:tc>
        <w:tc>
          <w:tcPr>
            <w:tcW w:w="701" w:type="dxa"/>
            <w:tcBorders>
              <w:top w:val="single" w:sz="4" w:space="0" w:color="A5A5A5" w:themeColor="accent3"/>
              <w:left w:val="nil"/>
              <w:bottom w:val="single" w:sz="4" w:space="0" w:color="A5A5A5" w:themeColor="accent3"/>
              <w:right w:val="nil"/>
            </w:tcBorders>
          </w:tcPr>
          <w:p w14:paraId="31969C02" w14:textId="77777777" w:rsidR="00BF2FFA" w:rsidRPr="0058047D" w:rsidRDefault="00BF2FFA" w:rsidP="004E6530">
            <w:pPr>
              <w:spacing w:before="20" w:after="20"/>
              <w:jc w:val="center"/>
              <w:rPr>
                <w:rFonts w:ascii="Segoe UI" w:hAnsi="Segoe UI" w:cs="Segoe UI"/>
                <w:noProof/>
                <w:sz w:val="14"/>
                <w:szCs w:val="16"/>
              </w:rPr>
            </w:pPr>
          </w:p>
        </w:tc>
      </w:tr>
      <w:tr w:rsidR="00BF2FFA" w:rsidRPr="0058047D" w14:paraId="624B27DF"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6C8F88B" w14:textId="77777777" w:rsidR="00BF2FFA" w:rsidRPr="0058047D" w:rsidRDefault="00BF2FFA" w:rsidP="004E6530">
            <w:pPr>
              <w:spacing w:before="20" w:after="20"/>
              <w:rPr>
                <w:rFonts w:ascii="Segoe UI" w:eastAsia="Times New Roman" w:hAnsi="Segoe UI" w:cs="Segoe UI"/>
                <w:color w:val="000000"/>
                <w:sz w:val="13"/>
                <w:szCs w:val="13"/>
              </w:rPr>
            </w:pPr>
            <w:r w:rsidRPr="0058047D">
              <w:rPr>
                <w:rFonts w:ascii="Segoe UI" w:eastAsia="Times New Roman" w:hAnsi="Segoe UI" w:cs="Segoe UI"/>
                <w:color w:val="000000"/>
                <w:sz w:val="13"/>
                <w:szCs w:val="13"/>
              </w:rPr>
              <w:t>Collaborazione di Yammer**</w:t>
            </w:r>
          </w:p>
        </w:tc>
        <w:tc>
          <w:tcPr>
            <w:tcW w:w="823" w:type="dxa"/>
            <w:tcBorders>
              <w:top w:val="single" w:sz="4" w:space="0" w:color="A5A5A5" w:themeColor="accent3"/>
              <w:left w:val="nil"/>
              <w:bottom w:val="single" w:sz="4" w:space="0" w:color="A5A5A5" w:themeColor="accent3"/>
              <w:right w:val="nil"/>
            </w:tcBorders>
            <w:vAlign w:val="center"/>
          </w:tcPr>
          <w:p w14:paraId="46F3E5A8"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6F10D596" wp14:editId="73DECF1B">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5BE2CDC"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45BC2323" wp14:editId="5D9CD7F2">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BCBAAB2" w14:textId="77777777" w:rsidR="00BF2FFA" w:rsidRPr="0058047D" w:rsidRDefault="00BF2FFA" w:rsidP="004E6530">
            <w:pPr>
              <w:spacing w:before="20" w:after="20"/>
              <w:jc w:val="center"/>
              <w:rPr>
                <w:rFonts w:ascii="Segoe UI" w:eastAsia="Times New Roman" w:hAnsi="Segoe UI" w:cs="Segoe UI"/>
                <w:color w:val="000000"/>
                <w:sz w:val="12"/>
                <w:szCs w:val="16"/>
              </w:rPr>
            </w:pPr>
            <w:r w:rsidRPr="0058047D">
              <w:rPr>
                <w:rFonts w:ascii="Segoe UI" w:eastAsia="Times New Roman" w:hAnsi="Segoe UI" w:cs="Segoe UI"/>
                <w:noProof/>
                <w:color w:val="000000"/>
                <w:sz w:val="12"/>
                <w:szCs w:val="16"/>
              </w:rPr>
              <w:drawing>
                <wp:inline distT="0" distB="0" distL="0" distR="0" wp14:anchorId="65153DC5" wp14:editId="7AEFAD1E">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0F60400A"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7A857D25" w14:textId="77777777" w:rsidR="00BF2FFA" w:rsidRPr="0058047D" w:rsidRDefault="00BF2FFA" w:rsidP="00075CCA">
            <w:pPr>
              <w:spacing w:before="20" w:after="20"/>
              <w:rPr>
                <w:rFonts w:ascii="Segoe UI" w:hAnsi="Segoe UI" w:cs="Segoe UI"/>
                <w:noProof/>
                <w:sz w:val="13"/>
                <w:szCs w:val="13"/>
              </w:rPr>
            </w:pPr>
            <w:r w:rsidRPr="0058047D">
              <w:rPr>
                <w:rFonts w:ascii="Segoe UI" w:eastAsia="Times New Roman" w:hAnsi="Segoe UI" w:cs="Segoe UI"/>
                <w:color w:val="000000"/>
                <w:sz w:val="13"/>
                <w:szCs w:val="13"/>
              </w:rPr>
              <w:t>Personalizza moduli e</w:t>
            </w:r>
            <w:r w:rsidR="00075CCA">
              <w:rPr>
                <w:rFonts w:ascii="Segoe UI" w:eastAsia="Times New Roman" w:hAnsi="Segoe UI" w:cs="Segoe UI"/>
                <w:color w:val="000000"/>
                <w:sz w:val="13"/>
                <w:szCs w:val="13"/>
              </w:rPr>
              <w:t> </w:t>
            </w:r>
            <w:r w:rsidRPr="0058047D">
              <w:rPr>
                <w:rFonts w:ascii="Segoe UI" w:eastAsia="Times New Roman" w:hAnsi="Segoe UI" w:cs="Segoe UI"/>
                <w:color w:val="000000"/>
                <w:sz w:val="13"/>
                <w:szCs w:val="13"/>
              </w:rPr>
              <w:t>visualizzazioni</w:t>
            </w:r>
          </w:p>
        </w:tc>
        <w:tc>
          <w:tcPr>
            <w:tcW w:w="793" w:type="dxa"/>
            <w:tcBorders>
              <w:top w:val="single" w:sz="4" w:space="0" w:color="A5A5A5" w:themeColor="accent3"/>
              <w:left w:val="nil"/>
              <w:bottom w:val="single" w:sz="4" w:space="0" w:color="A5A5A5" w:themeColor="accent3"/>
              <w:right w:val="nil"/>
            </w:tcBorders>
            <w:vAlign w:val="center"/>
          </w:tcPr>
          <w:p w14:paraId="6E1EF983" w14:textId="77777777" w:rsidR="00BF2FFA" w:rsidRPr="0058047D" w:rsidRDefault="00BF2FFA" w:rsidP="004E6530">
            <w:pPr>
              <w:spacing w:before="20" w:after="20"/>
              <w:jc w:val="right"/>
              <w:rPr>
                <w:rFonts w:ascii="Segoe UI" w:hAnsi="Segoe UI" w:cs="Segoe UI"/>
                <w:noProof/>
                <w:sz w:val="12"/>
                <w:szCs w:val="16"/>
              </w:rPr>
            </w:pPr>
            <w:r w:rsidRPr="0058047D">
              <w:rPr>
                <w:rFonts w:ascii="Segoe UI" w:eastAsia="Times New Roman" w:hAnsi="Segoe UI" w:cs="Segoe UI"/>
                <w:noProof/>
                <w:color w:val="000000"/>
                <w:sz w:val="12"/>
                <w:szCs w:val="16"/>
              </w:rPr>
              <w:drawing>
                <wp:inline distT="0" distB="0" distL="0" distR="0" wp14:anchorId="57D15015" wp14:editId="13FA1CF5">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14:paraId="35570735" w14:textId="77777777" w:rsidR="00BF2FFA" w:rsidRPr="0058047D" w:rsidRDefault="00BF2FFA" w:rsidP="004E6530">
            <w:pPr>
              <w:spacing w:before="20" w:after="20"/>
              <w:jc w:val="center"/>
              <w:rPr>
                <w:rFonts w:ascii="Segoe UI" w:hAnsi="Segoe UI" w:cs="Segoe UI"/>
                <w:noProof/>
                <w:sz w:val="12"/>
                <w:szCs w:val="16"/>
              </w:rPr>
            </w:pPr>
          </w:p>
        </w:tc>
        <w:tc>
          <w:tcPr>
            <w:tcW w:w="701" w:type="dxa"/>
            <w:tcBorders>
              <w:top w:val="single" w:sz="4" w:space="0" w:color="A5A5A5" w:themeColor="accent3"/>
              <w:left w:val="nil"/>
              <w:bottom w:val="single" w:sz="4" w:space="0" w:color="A5A5A5" w:themeColor="accent3"/>
              <w:right w:val="nil"/>
            </w:tcBorders>
          </w:tcPr>
          <w:p w14:paraId="66BC5664" w14:textId="77777777" w:rsidR="00BF2FFA" w:rsidRPr="0058047D" w:rsidRDefault="00BF2FFA" w:rsidP="004E6530">
            <w:pPr>
              <w:spacing w:before="20" w:after="20"/>
              <w:jc w:val="center"/>
              <w:rPr>
                <w:rFonts w:ascii="Segoe UI" w:hAnsi="Segoe UI" w:cs="Segoe UI"/>
                <w:noProof/>
                <w:sz w:val="14"/>
                <w:szCs w:val="16"/>
              </w:rPr>
            </w:pPr>
          </w:p>
        </w:tc>
      </w:tr>
      <w:tr w:rsidR="00BF2FFA" w:rsidRPr="0058047D" w14:paraId="434A74F4"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8458547" w14:textId="77777777" w:rsidR="00BF2FFA" w:rsidRPr="0058047D" w:rsidRDefault="00BF2FFA" w:rsidP="004E6530">
            <w:pPr>
              <w:spacing w:before="20" w:after="20"/>
              <w:rPr>
                <w:rFonts w:ascii="Segoe UI" w:eastAsia="Times New Roman" w:hAnsi="Segoe UI" w:cs="Segoe UI"/>
                <w:color w:val="000000"/>
                <w:sz w:val="13"/>
                <w:szCs w:val="13"/>
              </w:rPr>
            </w:pPr>
            <w:r w:rsidRPr="0058047D">
              <w:rPr>
                <w:rFonts w:ascii="Segoe UI" w:eastAsia="Times New Roman" w:hAnsi="Segoe UI" w:cs="Segoe UI"/>
                <w:color w:val="000000"/>
                <w:sz w:val="13"/>
                <w:szCs w:val="13"/>
              </w:rPr>
              <w:t>Pubblica feed delle attività</w:t>
            </w:r>
          </w:p>
        </w:tc>
        <w:tc>
          <w:tcPr>
            <w:tcW w:w="823" w:type="dxa"/>
            <w:tcBorders>
              <w:top w:val="single" w:sz="4" w:space="0" w:color="A5A5A5" w:themeColor="accent3"/>
              <w:left w:val="nil"/>
              <w:bottom w:val="single" w:sz="4" w:space="0" w:color="A5A5A5" w:themeColor="accent3"/>
              <w:right w:val="nil"/>
            </w:tcBorders>
            <w:vAlign w:val="center"/>
          </w:tcPr>
          <w:p w14:paraId="1E16EAE2"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7D35A8FC" wp14:editId="0EA0BE6A">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03D9DC4"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47B5AD84" wp14:editId="1FCE85F5">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6DA54DA" w14:textId="77777777" w:rsidR="00BF2FFA" w:rsidRPr="0058047D" w:rsidRDefault="00BF2FFA" w:rsidP="004E6530">
            <w:pPr>
              <w:spacing w:before="20" w:after="20"/>
              <w:jc w:val="center"/>
              <w:rPr>
                <w:rFonts w:ascii="Segoe UI" w:eastAsia="Times New Roman" w:hAnsi="Segoe UI" w:cs="Segoe UI"/>
                <w:color w:val="000000"/>
                <w:sz w:val="12"/>
                <w:szCs w:val="16"/>
              </w:rPr>
            </w:pPr>
            <w:r w:rsidRPr="0058047D">
              <w:rPr>
                <w:rFonts w:ascii="Segoe UI" w:eastAsia="Times New Roman" w:hAnsi="Segoe UI" w:cs="Segoe UI"/>
                <w:noProof/>
                <w:color w:val="000000"/>
                <w:sz w:val="12"/>
                <w:szCs w:val="16"/>
              </w:rPr>
              <w:drawing>
                <wp:inline distT="0" distB="0" distL="0" distR="0" wp14:anchorId="50F5DC26" wp14:editId="030B76F9">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00F5F15C"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763918CE" w14:textId="77777777" w:rsidR="00BF2FFA" w:rsidRPr="0058047D" w:rsidRDefault="00BF2FFA" w:rsidP="00075CCA">
            <w:pPr>
              <w:spacing w:before="20" w:after="20"/>
              <w:rPr>
                <w:rFonts w:ascii="Segoe UI" w:hAnsi="Segoe UI" w:cs="Segoe UI"/>
                <w:noProof/>
                <w:sz w:val="13"/>
                <w:szCs w:val="13"/>
              </w:rPr>
            </w:pPr>
            <w:r w:rsidRPr="0058047D">
              <w:rPr>
                <w:rFonts w:ascii="Segoe UI" w:eastAsia="Times New Roman" w:hAnsi="Segoe UI" w:cs="Segoe UI"/>
                <w:color w:val="000000"/>
                <w:sz w:val="13"/>
                <w:szCs w:val="13"/>
              </w:rPr>
              <w:t>Crea moduli, entità e campi di</w:t>
            </w:r>
            <w:r w:rsidR="00075CCA">
              <w:rPr>
                <w:rFonts w:ascii="Segoe UI" w:eastAsia="Times New Roman" w:hAnsi="Segoe UI" w:cs="Segoe UI"/>
                <w:color w:val="000000"/>
                <w:sz w:val="13"/>
                <w:szCs w:val="13"/>
              </w:rPr>
              <w:t> </w:t>
            </w:r>
            <w:r w:rsidRPr="0058047D">
              <w:rPr>
                <w:rFonts w:ascii="Segoe UI" w:eastAsia="Times New Roman" w:hAnsi="Segoe UI" w:cs="Segoe UI"/>
                <w:color w:val="000000"/>
                <w:sz w:val="13"/>
                <w:szCs w:val="13"/>
              </w:rPr>
              <w:t>Microsoft Dynamics CRM</w:t>
            </w:r>
          </w:p>
        </w:tc>
        <w:tc>
          <w:tcPr>
            <w:tcW w:w="793" w:type="dxa"/>
            <w:tcBorders>
              <w:top w:val="single" w:sz="4" w:space="0" w:color="A5A5A5" w:themeColor="accent3"/>
              <w:left w:val="nil"/>
              <w:bottom w:val="single" w:sz="4" w:space="0" w:color="A5A5A5" w:themeColor="accent3"/>
              <w:right w:val="nil"/>
            </w:tcBorders>
            <w:vAlign w:val="center"/>
          </w:tcPr>
          <w:p w14:paraId="0779947F" w14:textId="77777777" w:rsidR="00BF2FFA" w:rsidRPr="0058047D" w:rsidRDefault="00BF2FFA" w:rsidP="004E6530">
            <w:pPr>
              <w:spacing w:before="20" w:after="20"/>
              <w:jc w:val="right"/>
              <w:rPr>
                <w:rFonts w:ascii="Segoe UI" w:hAnsi="Segoe UI" w:cs="Segoe UI"/>
                <w:noProof/>
                <w:sz w:val="12"/>
                <w:szCs w:val="16"/>
              </w:rPr>
            </w:pPr>
            <w:r w:rsidRPr="0058047D">
              <w:rPr>
                <w:rFonts w:ascii="Segoe UI" w:eastAsia="Times New Roman" w:hAnsi="Segoe UI" w:cs="Segoe UI"/>
                <w:noProof/>
                <w:color w:val="000000"/>
                <w:sz w:val="12"/>
                <w:szCs w:val="16"/>
              </w:rPr>
              <w:drawing>
                <wp:inline distT="0" distB="0" distL="0" distR="0" wp14:anchorId="69DFE7C6" wp14:editId="4DCB9569">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14:paraId="5E427C50" w14:textId="77777777" w:rsidR="00BF2FFA" w:rsidRPr="0058047D" w:rsidRDefault="00BF2FFA" w:rsidP="004E6530">
            <w:pPr>
              <w:spacing w:before="20" w:after="20"/>
              <w:jc w:val="center"/>
              <w:rPr>
                <w:rFonts w:ascii="Segoe UI" w:hAnsi="Segoe UI" w:cs="Segoe UI"/>
                <w:noProof/>
                <w:sz w:val="12"/>
                <w:szCs w:val="16"/>
              </w:rPr>
            </w:pPr>
          </w:p>
        </w:tc>
        <w:tc>
          <w:tcPr>
            <w:tcW w:w="701" w:type="dxa"/>
            <w:tcBorders>
              <w:top w:val="single" w:sz="4" w:space="0" w:color="A5A5A5" w:themeColor="accent3"/>
              <w:left w:val="nil"/>
              <w:bottom w:val="single" w:sz="4" w:space="0" w:color="A5A5A5" w:themeColor="accent3"/>
              <w:right w:val="nil"/>
            </w:tcBorders>
          </w:tcPr>
          <w:p w14:paraId="37A80166" w14:textId="77777777" w:rsidR="00BF2FFA" w:rsidRPr="0058047D" w:rsidRDefault="00BF2FFA" w:rsidP="004E6530">
            <w:pPr>
              <w:spacing w:before="20" w:after="20"/>
              <w:jc w:val="center"/>
              <w:rPr>
                <w:rFonts w:ascii="Segoe UI" w:hAnsi="Segoe UI" w:cs="Segoe UI"/>
                <w:noProof/>
                <w:sz w:val="14"/>
                <w:szCs w:val="16"/>
              </w:rPr>
            </w:pPr>
          </w:p>
        </w:tc>
      </w:tr>
      <w:tr w:rsidR="00BF2FFA" w:rsidRPr="0058047D" w14:paraId="78B9D429"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A7598BF" w14:textId="77777777" w:rsidR="00BF2FFA" w:rsidRPr="0058047D" w:rsidRDefault="00BF2FFA" w:rsidP="004E6530">
            <w:pPr>
              <w:spacing w:before="20" w:after="20"/>
              <w:rPr>
                <w:rFonts w:ascii="Segoe UI" w:eastAsia="Times New Roman" w:hAnsi="Segoe UI" w:cs="Segoe UI"/>
                <w:color w:val="000000"/>
                <w:sz w:val="13"/>
                <w:szCs w:val="13"/>
              </w:rPr>
            </w:pPr>
            <w:r w:rsidRPr="0058047D">
              <w:rPr>
                <w:rFonts w:ascii="Segoe UI" w:eastAsia="Times New Roman" w:hAnsi="Segoe UI" w:cs="Segoe UI"/>
                <w:color w:val="000000"/>
                <w:sz w:val="13"/>
                <w:szCs w:val="13"/>
              </w:rPr>
              <w:t>Segui feed delle attività</w:t>
            </w:r>
          </w:p>
        </w:tc>
        <w:tc>
          <w:tcPr>
            <w:tcW w:w="823" w:type="dxa"/>
            <w:tcBorders>
              <w:top w:val="single" w:sz="4" w:space="0" w:color="A5A5A5" w:themeColor="accent3"/>
              <w:left w:val="nil"/>
              <w:bottom w:val="single" w:sz="4" w:space="0" w:color="A5A5A5" w:themeColor="accent3"/>
              <w:right w:val="nil"/>
            </w:tcBorders>
            <w:vAlign w:val="center"/>
          </w:tcPr>
          <w:p w14:paraId="2C71A4A4"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162FBF01" wp14:editId="40BF4562">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EC5E579"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04D5870A" wp14:editId="0EAA3439">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90107C9" w14:textId="77777777" w:rsidR="00BF2FFA" w:rsidRPr="0058047D" w:rsidRDefault="00BF2FFA" w:rsidP="004E6530">
            <w:pPr>
              <w:spacing w:before="20" w:after="20"/>
              <w:jc w:val="center"/>
              <w:rPr>
                <w:rFonts w:ascii="Segoe UI" w:eastAsia="Times New Roman" w:hAnsi="Segoe UI" w:cs="Segoe UI"/>
                <w:color w:val="000000"/>
                <w:sz w:val="12"/>
                <w:szCs w:val="16"/>
              </w:rPr>
            </w:pPr>
            <w:r w:rsidRPr="0058047D">
              <w:rPr>
                <w:rFonts w:ascii="Segoe UI" w:eastAsia="Times New Roman" w:hAnsi="Segoe UI" w:cs="Segoe UI"/>
                <w:noProof/>
                <w:color w:val="000000"/>
                <w:sz w:val="12"/>
                <w:szCs w:val="16"/>
              </w:rPr>
              <w:drawing>
                <wp:inline distT="0" distB="0" distL="0" distR="0" wp14:anchorId="32A21AEA" wp14:editId="0FEF634B">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27945FAC"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226FF10" w14:textId="77777777" w:rsidR="00BF2FFA" w:rsidRPr="0058047D" w:rsidRDefault="00BF2FFA" w:rsidP="004E6530">
            <w:pPr>
              <w:spacing w:before="20" w:after="20"/>
              <w:rPr>
                <w:rFonts w:ascii="Segoe UI" w:hAnsi="Segoe UI" w:cs="Segoe UI"/>
                <w:noProof/>
                <w:sz w:val="13"/>
                <w:szCs w:val="13"/>
              </w:rPr>
            </w:pPr>
            <w:r w:rsidRPr="0058047D">
              <w:rPr>
                <w:rFonts w:ascii="Segoe UI" w:eastAsia="Times New Roman" w:hAnsi="Segoe UI" w:cs="Segoe UI"/>
                <w:color w:val="000000"/>
                <w:sz w:val="13"/>
                <w:szCs w:val="13"/>
              </w:rPr>
              <w:t>Gestisci CRM</w:t>
            </w:r>
          </w:p>
        </w:tc>
        <w:tc>
          <w:tcPr>
            <w:tcW w:w="793" w:type="dxa"/>
            <w:tcBorders>
              <w:top w:val="single" w:sz="4" w:space="0" w:color="A5A5A5" w:themeColor="accent3"/>
              <w:left w:val="nil"/>
              <w:bottom w:val="single" w:sz="4" w:space="0" w:color="A5A5A5" w:themeColor="accent3"/>
              <w:right w:val="nil"/>
            </w:tcBorders>
            <w:vAlign w:val="center"/>
          </w:tcPr>
          <w:p w14:paraId="2D13B76B" w14:textId="77777777" w:rsidR="00BF2FFA" w:rsidRPr="0058047D" w:rsidRDefault="00BF2FFA" w:rsidP="004E6530">
            <w:pPr>
              <w:spacing w:before="20" w:after="20"/>
              <w:jc w:val="right"/>
              <w:rPr>
                <w:rFonts w:ascii="Segoe UI" w:hAnsi="Segoe UI" w:cs="Segoe UI"/>
                <w:noProof/>
                <w:sz w:val="12"/>
                <w:szCs w:val="16"/>
              </w:rPr>
            </w:pPr>
            <w:r w:rsidRPr="0058047D">
              <w:rPr>
                <w:rFonts w:ascii="Segoe UI" w:eastAsia="Times New Roman" w:hAnsi="Segoe UI" w:cs="Segoe UI"/>
                <w:noProof/>
                <w:color w:val="000000"/>
                <w:sz w:val="12"/>
                <w:szCs w:val="16"/>
              </w:rPr>
              <w:drawing>
                <wp:inline distT="0" distB="0" distL="0" distR="0" wp14:anchorId="6DC0F761" wp14:editId="1EDF3ADA">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14:paraId="68705CF6" w14:textId="77777777" w:rsidR="00BF2FFA" w:rsidRPr="0058047D" w:rsidRDefault="00BF2FFA" w:rsidP="004E6530">
            <w:pPr>
              <w:spacing w:before="20" w:after="20"/>
              <w:jc w:val="center"/>
              <w:rPr>
                <w:rFonts w:ascii="Segoe UI" w:hAnsi="Segoe UI" w:cs="Segoe UI"/>
                <w:noProof/>
                <w:sz w:val="12"/>
                <w:szCs w:val="16"/>
              </w:rPr>
            </w:pPr>
          </w:p>
        </w:tc>
        <w:tc>
          <w:tcPr>
            <w:tcW w:w="701" w:type="dxa"/>
            <w:tcBorders>
              <w:top w:val="single" w:sz="4" w:space="0" w:color="A5A5A5" w:themeColor="accent3"/>
              <w:left w:val="nil"/>
              <w:bottom w:val="single" w:sz="4" w:space="0" w:color="A5A5A5" w:themeColor="accent3"/>
              <w:right w:val="nil"/>
            </w:tcBorders>
          </w:tcPr>
          <w:p w14:paraId="39AB3916" w14:textId="77777777" w:rsidR="00BF2FFA" w:rsidRPr="0058047D" w:rsidRDefault="00BF2FFA" w:rsidP="004E6530">
            <w:pPr>
              <w:spacing w:before="20" w:after="20"/>
              <w:jc w:val="center"/>
              <w:rPr>
                <w:rFonts w:ascii="Segoe UI" w:hAnsi="Segoe UI" w:cs="Segoe UI"/>
                <w:noProof/>
                <w:sz w:val="14"/>
                <w:szCs w:val="16"/>
              </w:rPr>
            </w:pPr>
          </w:p>
        </w:tc>
      </w:tr>
      <w:tr w:rsidR="00BF2FFA" w:rsidRPr="0058047D" w14:paraId="74912F73"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C0D1A90" w14:textId="77777777" w:rsidR="00BF2FFA" w:rsidRPr="0058047D" w:rsidRDefault="00BF2FFA" w:rsidP="004E6530">
            <w:pPr>
              <w:spacing w:before="20" w:after="20"/>
              <w:rPr>
                <w:rFonts w:ascii="Segoe UI" w:eastAsia="Times New Roman" w:hAnsi="Segoe UI" w:cs="Segoe UI"/>
                <w:color w:val="000000"/>
                <w:sz w:val="13"/>
                <w:szCs w:val="13"/>
              </w:rPr>
            </w:pPr>
            <w:r w:rsidRPr="0058047D">
              <w:rPr>
                <w:rFonts w:ascii="Segoe UI" w:eastAsia="Times New Roman" w:hAnsi="Segoe UI" w:cs="Segoe UI"/>
                <w:color w:val="000000"/>
                <w:sz w:val="13"/>
                <w:szCs w:val="13"/>
              </w:rPr>
              <w:t>Calendario condiviso</w:t>
            </w:r>
          </w:p>
        </w:tc>
        <w:tc>
          <w:tcPr>
            <w:tcW w:w="823" w:type="dxa"/>
            <w:tcBorders>
              <w:top w:val="single" w:sz="4" w:space="0" w:color="A5A5A5" w:themeColor="accent3"/>
              <w:left w:val="nil"/>
              <w:bottom w:val="single" w:sz="4" w:space="0" w:color="A5A5A5" w:themeColor="accent3"/>
              <w:right w:val="nil"/>
            </w:tcBorders>
            <w:vAlign w:val="center"/>
          </w:tcPr>
          <w:p w14:paraId="6DC0CEEA"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74E18559" wp14:editId="0AC5A477">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8CEE796"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5B4329E4" wp14:editId="3AAB06AA">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49733A4" w14:textId="77777777" w:rsidR="00BF2FFA" w:rsidRPr="0058047D" w:rsidRDefault="00BF2FFA" w:rsidP="004E6530">
            <w:pPr>
              <w:spacing w:before="20" w:after="20"/>
              <w:jc w:val="center"/>
              <w:rPr>
                <w:rFonts w:ascii="Segoe UI" w:eastAsia="Times New Roman" w:hAnsi="Segoe UI" w:cs="Segoe UI"/>
                <w:color w:val="000000"/>
                <w:sz w:val="12"/>
                <w:szCs w:val="16"/>
              </w:rPr>
            </w:pPr>
            <w:r w:rsidRPr="0058047D">
              <w:rPr>
                <w:rFonts w:ascii="Segoe UI" w:eastAsia="Times New Roman" w:hAnsi="Segoe UI" w:cs="Segoe UI"/>
                <w:noProof/>
                <w:color w:val="000000"/>
                <w:sz w:val="12"/>
                <w:szCs w:val="16"/>
              </w:rPr>
              <w:drawing>
                <wp:inline distT="0" distB="0" distL="0" distR="0" wp14:anchorId="4E2B84BE" wp14:editId="769056D2">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47A505BA"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20D980AC" w14:textId="77777777" w:rsidR="00BF2FFA" w:rsidRPr="0058047D" w:rsidRDefault="00BF2FFA" w:rsidP="004E6530">
            <w:pPr>
              <w:spacing w:before="20" w:after="20"/>
              <w:rPr>
                <w:rFonts w:ascii="Segoe UI" w:hAnsi="Segoe UI" w:cs="Segoe UI"/>
                <w:noProof/>
                <w:sz w:val="13"/>
                <w:szCs w:val="13"/>
              </w:rPr>
            </w:pPr>
            <w:r w:rsidRPr="0058047D">
              <w:rPr>
                <w:rFonts w:ascii="Segoe UI" w:eastAsia="Times New Roman" w:hAnsi="Segoe UI" w:cs="Segoe UI"/>
                <w:color w:val="000000"/>
                <w:sz w:val="13"/>
                <w:szCs w:val="13"/>
              </w:rPr>
              <w:t>Modelli di articoli</w:t>
            </w:r>
          </w:p>
        </w:tc>
        <w:tc>
          <w:tcPr>
            <w:tcW w:w="793" w:type="dxa"/>
            <w:tcBorders>
              <w:top w:val="single" w:sz="4" w:space="0" w:color="A5A5A5" w:themeColor="accent3"/>
              <w:left w:val="nil"/>
              <w:bottom w:val="single" w:sz="4" w:space="0" w:color="A5A5A5" w:themeColor="accent3"/>
              <w:right w:val="nil"/>
            </w:tcBorders>
            <w:vAlign w:val="center"/>
          </w:tcPr>
          <w:p w14:paraId="532A00A1" w14:textId="77777777" w:rsidR="00BF2FFA" w:rsidRPr="0058047D" w:rsidRDefault="00BF2FFA" w:rsidP="004E6530">
            <w:pPr>
              <w:spacing w:before="20" w:after="20"/>
              <w:jc w:val="right"/>
              <w:rPr>
                <w:rFonts w:ascii="Segoe UI" w:hAnsi="Segoe UI" w:cs="Segoe UI"/>
                <w:noProof/>
                <w:sz w:val="12"/>
                <w:szCs w:val="16"/>
              </w:rPr>
            </w:pPr>
            <w:r w:rsidRPr="0058047D">
              <w:rPr>
                <w:rFonts w:ascii="Segoe UI" w:eastAsia="Times New Roman" w:hAnsi="Segoe UI" w:cs="Segoe UI"/>
                <w:noProof/>
                <w:color w:val="000000"/>
                <w:sz w:val="12"/>
                <w:szCs w:val="16"/>
              </w:rPr>
              <w:drawing>
                <wp:inline distT="0" distB="0" distL="0" distR="0" wp14:anchorId="1A5FA26A" wp14:editId="61E6742E">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14:paraId="0D66F888" w14:textId="77777777" w:rsidR="00BF2FFA" w:rsidRPr="0058047D" w:rsidRDefault="00BF2FFA" w:rsidP="004E6530">
            <w:pPr>
              <w:spacing w:before="20" w:after="20"/>
              <w:jc w:val="center"/>
              <w:rPr>
                <w:rFonts w:ascii="Segoe UI" w:hAnsi="Segoe UI" w:cs="Segoe UI"/>
                <w:noProof/>
                <w:sz w:val="12"/>
                <w:szCs w:val="16"/>
              </w:rPr>
            </w:pPr>
          </w:p>
        </w:tc>
        <w:tc>
          <w:tcPr>
            <w:tcW w:w="701" w:type="dxa"/>
            <w:tcBorders>
              <w:top w:val="single" w:sz="4" w:space="0" w:color="A5A5A5" w:themeColor="accent3"/>
              <w:left w:val="nil"/>
              <w:bottom w:val="single" w:sz="4" w:space="0" w:color="A5A5A5" w:themeColor="accent3"/>
              <w:right w:val="nil"/>
            </w:tcBorders>
          </w:tcPr>
          <w:p w14:paraId="42593D4B" w14:textId="77777777" w:rsidR="00BF2FFA" w:rsidRPr="0058047D" w:rsidRDefault="00BF2FFA" w:rsidP="004E6530">
            <w:pPr>
              <w:spacing w:before="20" w:after="20"/>
              <w:jc w:val="center"/>
              <w:rPr>
                <w:rFonts w:ascii="Segoe UI" w:hAnsi="Segoe UI" w:cs="Segoe UI"/>
                <w:noProof/>
                <w:sz w:val="14"/>
                <w:szCs w:val="16"/>
              </w:rPr>
            </w:pPr>
          </w:p>
        </w:tc>
      </w:tr>
      <w:tr w:rsidR="00BF2FFA" w:rsidRPr="0058047D" w14:paraId="63FB1E20"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0D63A61" w14:textId="77777777" w:rsidR="00BF2FFA" w:rsidRPr="0058047D" w:rsidRDefault="00BF2FFA" w:rsidP="004E6530">
            <w:pPr>
              <w:spacing w:before="20" w:after="20"/>
              <w:rPr>
                <w:rFonts w:ascii="Segoe UI" w:eastAsia="Times New Roman" w:hAnsi="Segoe UI" w:cs="Segoe UI"/>
                <w:color w:val="000000"/>
                <w:sz w:val="13"/>
                <w:szCs w:val="13"/>
              </w:rPr>
            </w:pPr>
            <w:r w:rsidRPr="0058047D">
              <w:rPr>
                <w:rFonts w:ascii="Segoe UI" w:eastAsia="Times New Roman" w:hAnsi="Segoe UI" w:cs="Segoe UI"/>
                <w:color w:val="000000"/>
                <w:sz w:val="13"/>
                <w:szCs w:val="13"/>
              </w:rPr>
              <w:t>Scrivi record delle entità personalizzati</w:t>
            </w:r>
          </w:p>
        </w:tc>
        <w:tc>
          <w:tcPr>
            <w:tcW w:w="823" w:type="dxa"/>
            <w:tcBorders>
              <w:top w:val="single" w:sz="4" w:space="0" w:color="A5A5A5" w:themeColor="accent3"/>
              <w:left w:val="nil"/>
              <w:bottom w:val="single" w:sz="4" w:space="0" w:color="A5A5A5" w:themeColor="accent3"/>
              <w:right w:val="nil"/>
            </w:tcBorders>
            <w:vAlign w:val="center"/>
          </w:tcPr>
          <w:p w14:paraId="358A486C"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6103E0FA" wp14:editId="6CDAAF9C">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5091F05"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1C8FD6E1" wp14:editId="55333C18">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9F7C235" w14:textId="77777777" w:rsidR="00BF2FFA" w:rsidRPr="0058047D" w:rsidRDefault="00BF2FFA" w:rsidP="004E6530">
            <w:pPr>
              <w:spacing w:before="20" w:after="20"/>
              <w:jc w:val="center"/>
              <w:rPr>
                <w:rFonts w:ascii="Segoe UI" w:eastAsia="Times New Roman" w:hAnsi="Segoe UI" w:cs="Segoe UI"/>
                <w:color w:val="000000"/>
                <w:sz w:val="12"/>
                <w:szCs w:val="16"/>
              </w:rPr>
            </w:pPr>
            <w:r w:rsidRPr="0058047D">
              <w:rPr>
                <w:rFonts w:ascii="Segoe UI" w:eastAsia="Times New Roman" w:hAnsi="Segoe UI" w:cs="Segoe UI"/>
                <w:noProof/>
                <w:color w:val="000000"/>
                <w:sz w:val="12"/>
                <w:szCs w:val="16"/>
              </w:rPr>
              <w:drawing>
                <wp:inline distT="0" distB="0" distL="0" distR="0" wp14:anchorId="29955410" wp14:editId="60C6C081">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50E2385B"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1198D161" w14:textId="77777777" w:rsidR="00BF2FFA" w:rsidRPr="0058047D" w:rsidRDefault="00BF2FFA" w:rsidP="004E6530">
            <w:pPr>
              <w:spacing w:before="20" w:after="20"/>
              <w:rPr>
                <w:rFonts w:ascii="Segoe UI" w:eastAsia="Times New Roman" w:hAnsi="Segoe UI" w:cs="Segoe UI"/>
                <w:noProof/>
                <w:color w:val="000000"/>
                <w:sz w:val="13"/>
                <w:szCs w:val="13"/>
              </w:rPr>
            </w:pPr>
            <w:r w:rsidRPr="0058047D">
              <w:rPr>
                <w:rFonts w:ascii="Segoe UI" w:eastAsia="Times New Roman" w:hAnsi="Segoe UI" w:cs="Segoe UI"/>
                <w:color w:val="000000"/>
                <w:sz w:val="13"/>
                <w:szCs w:val="13"/>
              </w:rPr>
              <w:t>Crea e pubblica articoli</w:t>
            </w:r>
          </w:p>
        </w:tc>
        <w:tc>
          <w:tcPr>
            <w:tcW w:w="793" w:type="dxa"/>
            <w:tcBorders>
              <w:top w:val="single" w:sz="4" w:space="0" w:color="A5A5A5" w:themeColor="accent3"/>
              <w:left w:val="nil"/>
              <w:bottom w:val="single" w:sz="4" w:space="0" w:color="A5A5A5" w:themeColor="accent3"/>
              <w:right w:val="nil"/>
            </w:tcBorders>
            <w:vAlign w:val="center"/>
          </w:tcPr>
          <w:p w14:paraId="2EA5334E" w14:textId="77777777" w:rsidR="00BF2FFA" w:rsidRPr="0058047D" w:rsidRDefault="00BF2FFA" w:rsidP="004E6530">
            <w:pPr>
              <w:spacing w:before="20" w:after="20"/>
              <w:jc w:val="right"/>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43D3F4C6" wp14:editId="35621697">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14:paraId="12AE129A"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14:paraId="3B0C5A90" w14:textId="77777777" w:rsidR="00BF2FFA" w:rsidRPr="0058047D" w:rsidRDefault="00BF2FFA" w:rsidP="004E6530">
            <w:pPr>
              <w:spacing w:before="20" w:after="20"/>
              <w:jc w:val="center"/>
              <w:rPr>
                <w:rFonts w:ascii="Segoe UI" w:eastAsia="Times New Roman" w:hAnsi="Segoe UI" w:cs="Segoe UI"/>
                <w:noProof/>
                <w:color w:val="000000"/>
                <w:sz w:val="14"/>
                <w:szCs w:val="16"/>
              </w:rPr>
            </w:pPr>
          </w:p>
        </w:tc>
      </w:tr>
      <w:tr w:rsidR="00BF2FFA" w:rsidRPr="0058047D" w14:paraId="1A847CD1"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3BFAD55" w14:textId="77777777" w:rsidR="00BF2FFA" w:rsidRPr="0058047D" w:rsidRDefault="00BF2FFA" w:rsidP="004E6530">
            <w:pPr>
              <w:spacing w:before="20" w:after="20"/>
              <w:rPr>
                <w:rFonts w:ascii="Segoe UI" w:eastAsia="Times New Roman" w:hAnsi="Segoe UI" w:cs="Segoe UI"/>
                <w:color w:val="000000"/>
                <w:sz w:val="13"/>
                <w:szCs w:val="13"/>
              </w:rPr>
            </w:pPr>
            <w:r w:rsidRPr="0058047D">
              <w:rPr>
                <w:rFonts w:ascii="Segoe UI" w:eastAsia="Times New Roman" w:hAnsi="Segoe UI" w:cs="Segoe UI"/>
                <w:color w:val="000000"/>
                <w:sz w:val="13"/>
                <w:szCs w:val="13"/>
              </w:rPr>
              <w:t>Leggi i dati delle applicazioni personalizzate</w:t>
            </w:r>
          </w:p>
        </w:tc>
        <w:tc>
          <w:tcPr>
            <w:tcW w:w="823" w:type="dxa"/>
            <w:tcBorders>
              <w:top w:val="single" w:sz="4" w:space="0" w:color="A5A5A5" w:themeColor="accent3"/>
              <w:left w:val="nil"/>
              <w:bottom w:val="single" w:sz="4" w:space="0" w:color="A5A5A5" w:themeColor="accent3"/>
              <w:right w:val="nil"/>
            </w:tcBorders>
            <w:vAlign w:val="center"/>
          </w:tcPr>
          <w:p w14:paraId="5B696B72"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0F095D59" wp14:editId="754EE589">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64BDEE2"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6EC8C089" wp14:editId="268F4D12">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7B28893" w14:textId="77777777" w:rsidR="00BF2FFA" w:rsidRPr="0058047D" w:rsidRDefault="00BF2FFA" w:rsidP="004E6530">
            <w:pPr>
              <w:spacing w:before="20" w:after="20"/>
              <w:jc w:val="center"/>
              <w:rPr>
                <w:rFonts w:ascii="Segoe UI" w:eastAsia="Times New Roman" w:hAnsi="Segoe UI" w:cs="Segoe UI"/>
                <w:color w:val="000000"/>
                <w:sz w:val="12"/>
                <w:szCs w:val="16"/>
              </w:rPr>
            </w:pPr>
            <w:r w:rsidRPr="0058047D">
              <w:rPr>
                <w:rFonts w:ascii="Segoe UI" w:eastAsia="Times New Roman" w:hAnsi="Segoe UI" w:cs="Segoe UI"/>
                <w:noProof/>
                <w:color w:val="000000"/>
                <w:sz w:val="12"/>
                <w:szCs w:val="16"/>
              </w:rPr>
              <w:drawing>
                <wp:inline distT="0" distB="0" distL="0" distR="0" wp14:anchorId="628C6468" wp14:editId="3EF4E4D0">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772E4EA2"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468B97E2" w14:textId="77777777" w:rsidR="00BF2FFA" w:rsidRPr="0058047D" w:rsidRDefault="00BF2FFA" w:rsidP="004E6530">
            <w:pPr>
              <w:spacing w:before="20" w:after="20"/>
              <w:rPr>
                <w:rFonts w:ascii="Segoe UI" w:eastAsia="Times New Roman" w:hAnsi="Segoe UI" w:cs="Segoe UI"/>
                <w:noProof/>
                <w:color w:val="000000"/>
                <w:sz w:val="13"/>
                <w:szCs w:val="13"/>
              </w:rPr>
            </w:pPr>
            <w:r w:rsidRPr="0058047D">
              <w:rPr>
                <w:rFonts w:ascii="Segoe UI" w:eastAsia="Times New Roman" w:hAnsi="Segoe UI" w:cs="Segoe UI"/>
                <w:color w:val="000000"/>
                <w:sz w:val="13"/>
                <w:szCs w:val="13"/>
              </w:rPr>
              <w:t>Gestione degli obiettivi</w:t>
            </w:r>
          </w:p>
        </w:tc>
        <w:tc>
          <w:tcPr>
            <w:tcW w:w="793" w:type="dxa"/>
            <w:tcBorders>
              <w:top w:val="single" w:sz="4" w:space="0" w:color="A5A5A5" w:themeColor="accent3"/>
              <w:left w:val="nil"/>
              <w:bottom w:val="single" w:sz="4" w:space="0" w:color="A5A5A5" w:themeColor="accent3"/>
              <w:right w:val="nil"/>
            </w:tcBorders>
            <w:vAlign w:val="center"/>
          </w:tcPr>
          <w:p w14:paraId="744E9CD4" w14:textId="77777777" w:rsidR="00BF2FFA" w:rsidRPr="0058047D" w:rsidRDefault="00BF2FFA" w:rsidP="004E6530">
            <w:pPr>
              <w:spacing w:before="20" w:after="20"/>
              <w:jc w:val="right"/>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53FAE324" wp14:editId="5AE8C547">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14:paraId="06E36828"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14:paraId="5D1F72D0" w14:textId="77777777" w:rsidR="00BF2FFA" w:rsidRPr="0058047D" w:rsidRDefault="00BF2FFA" w:rsidP="004E6530">
            <w:pPr>
              <w:spacing w:before="20" w:after="20"/>
              <w:jc w:val="center"/>
              <w:rPr>
                <w:rFonts w:ascii="Segoe UI" w:eastAsia="Times New Roman" w:hAnsi="Segoe UI" w:cs="Segoe UI"/>
                <w:noProof/>
                <w:color w:val="000000"/>
                <w:sz w:val="14"/>
                <w:szCs w:val="16"/>
              </w:rPr>
            </w:pPr>
          </w:p>
        </w:tc>
      </w:tr>
      <w:tr w:rsidR="00BF2FFA" w:rsidRPr="0058047D" w14:paraId="2863D48E"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7B51CF0" w14:textId="77777777" w:rsidR="00BF2FFA" w:rsidRPr="0058047D" w:rsidRDefault="00BF2FFA" w:rsidP="004E6530">
            <w:pPr>
              <w:spacing w:before="20" w:after="20"/>
              <w:rPr>
                <w:rFonts w:ascii="Segoe UI" w:eastAsia="Times New Roman" w:hAnsi="Segoe UI" w:cs="Segoe UI"/>
                <w:color w:val="000000"/>
                <w:sz w:val="13"/>
                <w:szCs w:val="13"/>
              </w:rPr>
            </w:pPr>
            <w:r w:rsidRPr="0058047D">
              <w:rPr>
                <w:rFonts w:ascii="Segoe UI" w:eastAsia="Times New Roman" w:hAnsi="Segoe UI" w:cs="Segoe UI"/>
                <w:color w:val="000000"/>
                <w:sz w:val="13"/>
                <w:szCs w:val="13"/>
              </w:rPr>
              <w:t>Microsoft Dynamics CRM Mobile Express</w:t>
            </w:r>
          </w:p>
        </w:tc>
        <w:tc>
          <w:tcPr>
            <w:tcW w:w="823" w:type="dxa"/>
            <w:tcBorders>
              <w:top w:val="single" w:sz="4" w:space="0" w:color="A5A5A5" w:themeColor="accent3"/>
              <w:left w:val="nil"/>
              <w:bottom w:val="single" w:sz="4" w:space="0" w:color="A5A5A5" w:themeColor="accent3"/>
              <w:right w:val="nil"/>
            </w:tcBorders>
            <w:vAlign w:val="center"/>
          </w:tcPr>
          <w:p w14:paraId="2A241A2D"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2EE50F88" wp14:editId="2491ACF9">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60CF4E8"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03A59AC3" wp14:editId="032ED734">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A1C49D6" w14:textId="77777777" w:rsidR="00BF2FFA" w:rsidRPr="0058047D" w:rsidRDefault="00BF2FFA" w:rsidP="004E6530">
            <w:pPr>
              <w:spacing w:before="20" w:after="20"/>
              <w:jc w:val="center"/>
              <w:rPr>
                <w:rFonts w:ascii="Segoe UI" w:eastAsia="Times New Roman" w:hAnsi="Segoe UI" w:cs="Segoe UI"/>
                <w:color w:val="000000"/>
                <w:sz w:val="12"/>
                <w:szCs w:val="16"/>
              </w:rPr>
            </w:pPr>
            <w:r w:rsidRPr="0058047D">
              <w:rPr>
                <w:rFonts w:ascii="Segoe UI" w:eastAsia="Times New Roman" w:hAnsi="Segoe UI" w:cs="Segoe UI"/>
                <w:noProof/>
                <w:color w:val="000000"/>
                <w:sz w:val="12"/>
                <w:szCs w:val="16"/>
              </w:rPr>
              <w:drawing>
                <wp:inline distT="0" distB="0" distL="0" distR="0" wp14:anchorId="37028762" wp14:editId="77109BDC">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2A49839D"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614AF506" w14:textId="77777777" w:rsidR="00BF2FFA" w:rsidRPr="0058047D" w:rsidRDefault="00BF2FFA" w:rsidP="004E6530">
            <w:pPr>
              <w:spacing w:before="20" w:after="20"/>
              <w:rPr>
                <w:rFonts w:ascii="Segoe UI" w:hAnsi="Segoe UI" w:cs="Segoe UI"/>
                <w:sz w:val="13"/>
                <w:szCs w:val="13"/>
              </w:rPr>
            </w:pPr>
            <w:r w:rsidRPr="0058047D">
              <w:rPr>
                <w:rFonts w:ascii="Segoe UI" w:eastAsia="Times New Roman" w:hAnsi="Segoe UI" w:cs="Segoe UI"/>
                <w:color w:val="000000"/>
                <w:sz w:val="13"/>
                <w:szCs w:val="13"/>
              </w:rPr>
              <w:t>Modelli di contratti</w:t>
            </w:r>
          </w:p>
        </w:tc>
        <w:tc>
          <w:tcPr>
            <w:tcW w:w="793" w:type="dxa"/>
            <w:tcBorders>
              <w:top w:val="single" w:sz="4" w:space="0" w:color="A5A5A5" w:themeColor="accent3"/>
              <w:left w:val="nil"/>
              <w:bottom w:val="single" w:sz="4" w:space="0" w:color="A5A5A5" w:themeColor="accent3"/>
              <w:right w:val="nil"/>
            </w:tcBorders>
            <w:vAlign w:val="center"/>
          </w:tcPr>
          <w:p w14:paraId="13A6E2F7" w14:textId="77777777" w:rsidR="00BF2FFA" w:rsidRPr="0058047D" w:rsidRDefault="00BF2FFA" w:rsidP="004E6530">
            <w:pPr>
              <w:spacing w:before="20" w:after="20"/>
              <w:jc w:val="right"/>
              <w:rPr>
                <w:rFonts w:ascii="Segoe UI" w:hAnsi="Segoe UI" w:cs="Segoe UI"/>
                <w:sz w:val="12"/>
                <w:szCs w:val="16"/>
              </w:rPr>
            </w:pPr>
            <w:r w:rsidRPr="0058047D">
              <w:rPr>
                <w:rFonts w:ascii="Segoe UI" w:eastAsia="Times New Roman" w:hAnsi="Segoe UI" w:cs="Segoe UI"/>
                <w:noProof/>
                <w:color w:val="000000"/>
                <w:sz w:val="12"/>
                <w:szCs w:val="16"/>
              </w:rPr>
              <w:drawing>
                <wp:inline distT="0" distB="0" distL="0" distR="0" wp14:anchorId="53382EEC" wp14:editId="2D6CF212">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14:paraId="045DD3E8" w14:textId="77777777" w:rsidR="00BF2FFA" w:rsidRPr="0058047D" w:rsidRDefault="00BF2FFA" w:rsidP="004E6530">
            <w:pPr>
              <w:spacing w:before="20" w:after="20"/>
              <w:jc w:val="center"/>
              <w:rPr>
                <w:rFonts w:ascii="Segoe UI" w:hAnsi="Segoe UI" w:cs="Segoe UI"/>
                <w:sz w:val="12"/>
                <w:szCs w:val="16"/>
              </w:rPr>
            </w:pPr>
          </w:p>
        </w:tc>
        <w:tc>
          <w:tcPr>
            <w:tcW w:w="701" w:type="dxa"/>
            <w:tcBorders>
              <w:top w:val="single" w:sz="4" w:space="0" w:color="A5A5A5" w:themeColor="accent3"/>
              <w:left w:val="nil"/>
              <w:bottom w:val="single" w:sz="4" w:space="0" w:color="A5A5A5" w:themeColor="accent3"/>
              <w:right w:val="nil"/>
            </w:tcBorders>
          </w:tcPr>
          <w:p w14:paraId="1E972B46" w14:textId="77777777" w:rsidR="00BF2FFA" w:rsidRPr="0058047D" w:rsidRDefault="00BF2FFA" w:rsidP="004E6530">
            <w:pPr>
              <w:spacing w:before="20" w:after="20"/>
              <w:jc w:val="center"/>
              <w:rPr>
                <w:rFonts w:ascii="Segoe UI" w:hAnsi="Segoe UI" w:cs="Segoe UI"/>
                <w:sz w:val="14"/>
                <w:szCs w:val="16"/>
              </w:rPr>
            </w:pPr>
          </w:p>
        </w:tc>
      </w:tr>
      <w:tr w:rsidR="00BF2FFA" w:rsidRPr="0058047D" w14:paraId="741C575F"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8DE00F0" w14:textId="77777777" w:rsidR="00BF2FFA" w:rsidRPr="0058047D" w:rsidRDefault="00BF2FFA" w:rsidP="004E6530">
            <w:pPr>
              <w:spacing w:before="20" w:after="20"/>
              <w:rPr>
                <w:rFonts w:ascii="Segoe UI" w:eastAsia="Times New Roman" w:hAnsi="Segoe UI" w:cs="Segoe UI"/>
                <w:color w:val="000000"/>
                <w:sz w:val="13"/>
                <w:szCs w:val="13"/>
              </w:rPr>
            </w:pPr>
            <w:r w:rsidRPr="0058047D">
              <w:rPr>
                <w:rFonts w:ascii="Segoe UI" w:eastAsia="Times New Roman" w:hAnsi="Segoe UI" w:cs="Segoe UI"/>
                <w:color w:val="000000"/>
                <w:sz w:val="13"/>
                <w:szCs w:val="13"/>
              </w:rPr>
              <w:t>Microsoft Dynamics CRM per iPad e Windows 8</w:t>
            </w:r>
          </w:p>
        </w:tc>
        <w:tc>
          <w:tcPr>
            <w:tcW w:w="823" w:type="dxa"/>
            <w:tcBorders>
              <w:top w:val="single" w:sz="4" w:space="0" w:color="A5A5A5" w:themeColor="accent3"/>
              <w:left w:val="nil"/>
              <w:bottom w:val="single" w:sz="4" w:space="0" w:color="A5A5A5" w:themeColor="accent3"/>
              <w:right w:val="nil"/>
            </w:tcBorders>
            <w:vAlign w:val="center"/>
          </w:tcPr>
          <w:p w14:paraId="17D6B741"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478F6A51" wp14:editId="63EE6DBB">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340F7B4"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4CF483A3" wp14:editId="5B6AE2D9">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E6B8BFC" w14:textId="77777777" w:rsidR="00BF2FFA" w:rsidRPr="0058047D" w:rsidRDefault="00BF2FFA" w:rsidP="004E6530">
            <w:pPr>
              <w:spacing w:before="20" w:after="20"/>
              <w:jc w:val="center"/>
              <w:rPr>
                <w:rFonts w:ascii="Segoe UI" w:eastAsia="Times New Roman" w:hAnsi="Segoe UI" w:cs="Segoe UI"/>
                <w:color w:val="000000"/>
                <w:sz w:val="12"/>
                <w:szCs w:val="16"/>
              </w:rPr>
            </w:pPr>
            <w:r w:rsidRPr="0058047D">
              <w:rPr>
                <w:rFonts w:ascii="Segoe UI" w:eastAsia="Times New Roman" w:hAnsi="Segoe UI" w:cs="Segoe UI"/>
                <w:noProof/>
                <w:color w:val="000000"/>
                <w:sz w:val="12"/>
                <w:szCs w:val="16"/>
              </w:rPr>
              <w:drawing>
                <wp:inline distT="0" distB="0" distL="0" distR="0" wp14:anchorId="2E8D887B" wp14:editId="06B9B4DF">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4EE602FC"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690D5F7A" w14:textId="77777777" w:rsidR="00BF2FFA" w:rsidRPr="0058047D" w:rsidRDefault="00BF2FFA" w:rsidP="004E6530">
            <w:pPr>
              <w:spacing w:before="20" w:after="20"/>
              <w:rPr>
                <w:rFonts w:ascii="Segoe UI" w:hAnsi="Segoe UI" w:cs="Segoe UI"/>
                <w:noProof/>
                <w:sz w:val="13"/>
                <w:szCs w:val="13"/>
              </w:rPr>
            </w:pPr>
            <w:r w:rsidRPr="0058047D">
              <w:rPr>
                <w:rFonts w:ascii="Segoe UI" w:eastAsia="Times New Roman" w:hAnsi="Segoe UI" w:cs="Segoe UI"/>
                <w:color w:val="000000"/>
                <w:sz w:val="13"/>
                <w:szCs w:val="13"/>
              </w:rPr>
              <w:t>Gestione dei contratti</w:t>
            </w:r>
          </w:p>
        </w:tc>
        <w:tc>
          <w:tcPr>
            <w:tcW w:w="793" w:type="dxa"/>
            <w:tcBorders>
              <w:top w:val="single" w:sz="4" w:space="0" w:color="A5A5A5" w:themeColor="accent3"/>
              <w:left w:val="nil"/>
              <w:bottom w:val="single" w:sz="4" w:space="0" w:color="A5A5A5" w:themeColor="accent3"/>
              <w:right w:val="nil"/>
            </w:tcBorders>
            <w:vAlign w:val="center"/>
          </w:tcPr>
          <w:p w14:paraId="4114B4AB" w14:textId="77777777" w:rsidR="00BF2FFA" w:rsidRPr="0058047D" w:rsidRDefault="00BF2FFA" w:rsidP="004E6530">
            <w:pPr>
              <w:spacing w:before="20" w:after="20"/>
              <w:jc w:val="right"/>
              <w:rPr>
                <w:rFonts w:ascii="Segoe UI" w:hAnsi="Segoe UI" w:cs="Segoe UI"/>
                <w:noProof/>
                <w:sz w:val="12"/>
                <w:szCs w:val="16"/>
              </w:rPr>
            </w:pPr>
            <w:r w:rsidRPr="0058047D">
              <w:rPr>
                <w:rFonts w:ascii="Segoe UI" w:eastAsia="Times New Roman" w:hAnsi="Segoe UI" w:cs="Segoe UI"/>
                <w:noProof/>
                <w:color w:val="000000"/>
                <w:sz w:val="12"/>
                <w:szCs w:val="16"/>
              </w:rPr>
              <w:drawing>
                <wp:inline distT="0" distB="0" distL="0" distR="0" wp14:anchorId="1D5C8EDA" wp14:editId="02E111BF">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14:paraId="5263ECCC" w14:textId="77777777" w:rsidR="00BF2FFA" w:rsidRPr="0058047D" w:rsidRDefault="00BF2FFA" w:rsidP="004E6530">
            <w:pPr>
              <w:spacing w:before="20" w:after="20"/>
              <w:jc w:val="center"/>
              <w:rPr>
                <w:rFonts w:ascii="Segoe UI" w:hAnsi="Segoe UI" w:cs="Segoe UI"/>
                <w:noProof/>
                <w:sz w:val="12"/>
                <w:szCs w:val="16"/>
              </w:rPr>
            </w:pPr>
          </w:p>
        </w:tc>
        <w:tc>
          <w:tcPr>
            <w:tcW w:w="701" w:type="dxa"/>
            <w:tcBorders>
              <w:top w:val="single" w:sz="4" w:space="0" w:color="A5A5A5" w:themeColor="accent3"/>
              <w:left w:val="nil"/>
              <w:bottom w:val="single" w:sz="4" w:space="0" w:color="A5A5A5" w:themeColor="accent3"/>
              <w:right w:val="nil"/>
            </w:tcBorders>
          </w:tcPr>
          <w:p w14:paraId="5E801E6E" w14:textId="77777777" w:rsidR="00BF2FFA" w:rsidRPr="0058047D" w:rsidRDefault="00BF2FFA" w:rsidP="004E6530">
            <w:pPr>
              <w:spacing w:before="20" w:after="20"/>
              <w:jc w:val="center"/>
              <w:rPr>
                <w:rFonts w:ascii="Segoe UI" w:hAnsi="Segoe UI" w:cs="Segoe UI"/>
                <w:noProof/>
                <w:sz w:val="14"/>
                <w:szCs w:val="16"/>
              </w:rPr>
            </w:pPr>
          </w:p>
        </w:tc>
      </w:tr>
      <w:tr w:rsidR="00BF2FFA" w:rsidRPr="0058047D" w14:paraId="266193DB"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E50C98D" w14:textId="77777777" w:rsidR="00BF2FFA" w:rsidRPr="0058047D" w:rsidRDefault="00BF2FFA" w:rsidP="004E6530">
            <w:pPr>
              <w:spacing w:before="20" w:after="20"/>
              <w:rPr>
                <w:rFonts w:ascii="Segoe UI" w:eastAsia="Times New Roman" w:hAnsi="Segoe UI" w:cs="Segoe UI"/>
                <w:color w:val="000000"/>
                <w:sz w:val="13"/>
                <w:szCs w:val="13"/>
              </w:rPr>
            </w:pPr>
            <w:r w:rsidRPr="0058047D">
              <w:rPr>
                <w:rFonts w:ascii="Segoe UI" w:eastAsia="Times New Roman" w:hAnsi="Segoe UI" w:cs="Segoe UI"/>
                <w:color w:val="000000"/>
                <w:sz w:val="13"/>
                <w:szCs w:val="13"/>
              </w:rPr>
              <w:t>Microsoft Dynamics CRM per Outlook</w:t>
            </w:r>
          </w:p>
        </w:tc>
        <w:tc>
          <w:tcPr>
            <w:tcW w:w="823" w:type="dxa"/>
            <w:tcBorders>
              <w:top w:val="single" w:sz="4" w:space="0" w:color="A5A5A5" w:themeColor="accent3"/>
              <w:left w:val="nil"/>
              <w:bottom w:val="single" w:sz="4" w:space="0" w:color="A5A5A5" w:themeColor="accent3"/>
              <w:right w:val="nil"/>
            </w:tcBorders>
            <w:vAlign w:val="center"/>
          </w:tcPr>
          <w:p w14:paraId="7C5111BE"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0F7289FB" wp14:editId="38242180">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D22990A"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5D2608A2" wp14:editId="17262697">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355E794" w14:textId="77777777" w:rsidR="00BF2FFA" w:rsidRPr="0058047D" w:rsidRDefault="00BF2FFA" w:rsidP="004E6530">
            <w:pPr>
              <w:spacing w:before="20" w:after="20"/>
              <w:jc w:val="center"/>
              <w:rPr>
                <w:rFonts w:ascii="Segoe UI" w:eastAsia="Times New Roman" w:hAnsi="Segoe UI" w:cs="Segoe UI"/>
                <w:color w:val="000000"/>
                <w:sz w:val="12"/>
                <w:szCs w:val="16"/>
              </w:rPr>
            </w:pPr>
            <w:r w:rsidRPr="0058047D">
              <w:rPr>
                <w:rFonts w:ascii="Segoe UI" w:eastAsia="Times New Roman" w:hAnsi="Segoe UI" w:cs="Segoe UI"/>
                <w:noProof/>
                <w:color w:val="000000"/>
                <w:sz w:val="12"/>
                <w:szCs w:val="16"/>
              </w:rPr>
              <w:drawing>
                <wp:inline distT="0" distB="0" distL="0" distR="0" wp14:anchorId="2DA32C5F" wp14:editId="67EA1738">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51A1F587"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4D5510F0" w14:textId="77777777" w:rsidR="00BF2FFA" w:rsidRPr="0058047D" w:rsidRDefault="00BF2FFA" w:rsidP="004E6530">
            <w:pPr>
              <w:spacing w:before="20" w:after="20"/>
              <w:rPr>
                <w:rFonts w:ascii="Segoe UI" w:hAnsi="Segoe UI" w:cs="Segoe UI"/>
                <w:noProof/>
                <w:sz w:val="13"/>
                <w:szCs w:val="13"/>
              </w:rPr>
            </w:pPr>
            <w:r w:rsidRPr="0058047D">
              <w:rPr>
                <w:rFonts w:ascii="Segoe UI" w:eastAsia="Times New Roman" w:hAnsi="Segoe UI" w:cs="Segoe UI"/>
                <w:color w:val="000000"/>
                <w:sz w:val="13"/>
                <w:szCs w:val="13"/>
              </w:rPr>
              <w:t>Gestione del territorio</w:t>
            </w:r>
          </w:p>
        </w:tc>
        <w:tc>
          <w:tcPr>
            <w:tcW w:w="793" w:type="dxa"/>
            <w:tcBorders>
              <w:top w:val="single" w:sz="4" w:space="0" w:color="A5A5A5" w:themeColor="accent3"/>
              <w:left w:val="nil"/>
              <w:bottom w:val="single" w:sz="4" w:space="0" w:color="A5A5A5" w:themeColor="accent3"/>
              <w:right w:val="nil"/>
            </w:tcBorders>
            <w:vAlign w:val="center"/>
          </w:tcPr>
          <w:p w14:paraId="5377994F" w14:textId="77777777" w:rsidR="00BF2FFA" w:rsidRPr="0058047D" w:rsidRDefault="00BF2FFA" w:rsidP="004E6530">
            <w:pPr>
              <w:spacing w:before="20" w:after="20"/>
              <w:jc w:val="right"/>
              <w:rPr>
                <w:rFonts w:ascii="Segoe UI" w:hAnsi="Segoe UI" w:cs="Segoe UI"/>
                <w:noProof/>
                <w:sz w:val="12"/>
                <w:szCs w:val="16"/>
              </w:rPr>
            </w:pPr>
            <w:r w:rsidRPr="0058047D">
              <w:rPr>
                <w:rFonts w:ascii="Segoe UI" w:eastAsia="Times New Roman" w:hAnsi="Segoe UI" w:cs="Segoe UI"/>
                <w:noProof/>
                <w:color w:val="000000"/>
                <w:sz w:val="12"/>
                <w:szCs w:val="16"/>
              </w:rPr>
              <w:drawing>
                <wp:inline distT="0" distB="0" distL="0" distR="0" wp14:anchorId="1A89AFF7" wp14:editId="2F304A6F">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14:paraId="2E414889" w14:textId="77777777" w:rsidR="00BF2FFA" w:rsidRPr="0058047D" w:rsidRDefault="00BF2FFA" w:rsidP="004E6530">
            <w:pPr>
              <w:spacing w:before="20" w:after="20"/>
              <w:jc w:val="center"/>
              <w:rPr>
                <w:rFonts w:ascii="Segoe UI" w:hAnsi="Segoe UI" w:cs="Segoe UI"/>
                <w:noProof/>
                <w:sz w:val="12"/>
                <w:szCs w:val="16"/>
              </w:rPr>
            </w:pPr>
          </w:p>
        </w:tc>
        <w:tc>
          <w:tcPr>
            <w:tcW w:w="701" w:type="dxa"/>
            <w:tcBorders>
              <w:top w:val="single" w:sz="4" w:space="0" w:color="A5A5A5" w:themeColor="accent3"/>
              <w:left w:val="nil"/>
              <w:bottom w:val="single" w:sz="4" w:space="0" w:color="A5A5A5" w:themeColor="accent3"/>
              <w:right w:val="nil"/>
            </w:tcBorders>
          </w:tcPr>
          <w:p w14:paraId="19888BA2" w14:textId="77777777" w:rsidR="00BF2FFA" w:rsidRPr="0058047D" w:rsidRDefault="00BF2FFA" w:rsidP="004E6530">
            <w:pPr>
              <w:spacing w:before="20" w:after="20"/>
              <w:jc w:val="center"/>
              <w:rPr>
                <w:rFonts w:ascii="Segoe UI" w:hAnsi="Segoe UI" w:cs="Segoe UI"/>
                <w:noProof/>
                <w:sz w:val="14"/>
                <w:szCs w:val="16"/>
              </w:rPr>
            </w:pPr>
          </w:p>
        </w:tc>
      </w:tr>
      <w:tr w:rsidR="00BF2FFA" w:rsidRPr="0058047D" w14:paraId="6BACBE55"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871EF69" w14:textId="77777777" w:rsidR="00BF2FFA" w:rsidRPr="0058047D" w:rsidRDefault="00BF2FFA" w:rsidP="004E6530">
            <w:pPr>
              <w:spacing w:before="20" w:after="20"/>
              <w:rPr>
                <w:rFonts w:ascii="Segoe UI" w:eastAsia="Times New Roman" w:hAnsi="Segoe UI" w:cs="Segoe UI"/>
                <w:color w:val="000000"/>
                <w:sz w:val="13"/>
                <w:szCs w:val="13"/>
              </w:rPr>
            </w:pPr>
            <w:r w:rsidRPr="0058047D">
              <w:rPr>
                <w:rFonts w:ascii="Segoe UI" w:eastAsia="Times New Roman" w:hAnsi="Segoe UI" w:cs="Segoe UI"/>
                <w:color w:val="000000"/>
                <w:sz w:val="13"/>
                <w:szCs w:val="13"/>
              </w:rPr>
              <w:t>Applicazione Web Microsoft Dynamics CRM</w:t>
            </w:r>
          </w:p>
        </w:tc>
        <w:tc>
          <w:tcPr>
            <w:tcW w:w="823" w:type="dxa"/>
            <w:tcBorders>
              <w:top w:val="single" w:sz="4" w:space="0" w:color="A5A5A5" w:themeColor="accent3"/>
              <w:left w:val="nil"/>
              <w:bottom w:val="single" w:sz="4" w:space="0" w:color="A5A5A5" w:themeColor="accent3"/>
              <w:right w:val="nil"/>
            </w:tcBorders>
            <w:vAlign w:val="center"/>
          </w:tcPr>
          <w:p w14:paraId="15FA4120"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6AA44489" wp14:editId="3AE62F29">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CA12205"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2BAC073F" wp14:editId="019EBD14">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CA2F8E7" w14:textId="77777777" w:rsidR="00BF2FFA" w:rsidRPr="0058047D" w:rsidRDefault="00BF2FFA" w:rsidP="004E6530">
            <w:pPr>
              <w:spacing w:before="20" w:after="20"/>
              <w:jc w:val="center"/>
              <w:rPr>
                <w:rFonts w:ascii="Segoe UI" w:eastAsia="Times New Roman" w:hAnsi="Segoe UI" w:cs="Segoe UI"/>
                <w:color w:val="000000"/>
                <w:sz w:val="12"/>
                <w:szCs w:val="16"/>
              </w:rPr>
            </w:pPr>
            <w:r w:rsidRPr="0058047D">
              <w:rPr>
                <w:rFonts w:ascii="Segoe UI" w:eastAsia="Times New Roman" w:hAnsi="Segoe UI" w:cs="Segoe UI"/>
                <w:noProof/>
                <w:color w:val="000000"/>
                <w:sz w:val="12"/>
                <w:szCs w:val="16"/>
              </w:rPr>
              <w:drawing>
                <wp:inline distT="0" distB="0" distL="0" distR="0" wp14:anchorId="41C85CCA" wp14:editId="3E9C97E3">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63337CA6"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4941D820" w14:textId="77777777" w:rsidR="00BF2FFA" w:rsidRPr="0058047D" w:rsidRDefault="00BF2FFA" w:rsidP="004E6530">
            <w:pPr>
              <w:spacing w:before="20" w:after="20"/>
              <w:rPr>
                <w:rFonts w:ascii="Segoe UI" w:eastAsia="Times New Roman" w:hAnsi="Segoe UI" w:cs="Segoe UI"/>
                <w:noProof/>
                <w:color w:val="000000"/>
                <w:sz w:val="13"/>
                <w:szCs w:val="13"/>
              </w:rPr>
            </w:pPr>
            <w:r w:rsidRPr="0058047D">
              <w:rPr>
                <w:rFonts w:ascii="Segoe UI" w:eastAsia="Times New Roman" w:hAnsi="Segoe UI" w:cs="Segoe UI"/>
                <w:color w:val="000000"/>
                <w:sz w:val="13"/>
                <w:szCs w:val="13"/>
              </w:rPr>
              <w:t>Documentazione di vendita</w:t>
            </w:r>
          </w:p>
        </w:tc>
        <w:tc>
          <w:tcPr>
            <w:tcW w:w="793" w:type="dxa"/>
            <w:tcBorders>
              <w:top w:val="single" w:sz="4" w:space="0" w:color="A5A5A5" w:themeColor="accent3"/>
              <w:left w:val="nil"/>
              <w:bottom w:val="single" w:sz="4" w:space="0" w:color="A5A5A5" w:themeColor="accent3"/>
              <w:right w:val="nil"/>
            </w:tcBorders>
            <w:vAlign w:val="center"/>
          </w:tcPr>
          <w:p w14:paraId="7E0D2C12" w14:textId="77777777" w:rsidR="00BF2FFA" w:rsidRPr="0058047D" w:rsidRDefault="00BF2FFA" w:rsidP="004E6530">
            <w:pPr>
              <w:spacing w:before="20" w:after="20"/>
              <w:jc w:val="right"/>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187BB0FD" wp14:editId="5C41A55D">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14:paraId="5A60B6AF"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14:paraId="4B4D3310" w14:textId="77777777" w:rsidR="00BF2FFA" w:rsidRPr="0058047D" w:rsidRDefault="00BF2FFA" w:rsidP="004E6530">
            <w:pPr>
              <w:spacing w:before="20" w:after="20"/>
              <w:jc w:val="center"/>
              <w:rPr>
                <w:rFonts w:ascii="Segoe UI" w:eastAsia="Times New Roman" w:hAnsi="Segoe UI" w:cs="Segoe UI"/>
                <w:noProof/>
                <w:color w:val="000000"/>
                <w:sz w:val="14"/>
                <w:szCs w:val="16"/>
              </w:rPr>
            </w:pPr>
          </w:p>
        </w:tc>
      </w:tr>
      <w:tr w:rsidR="00BF2FFA" w:rsidRPr="0058047D" w14:paraId="7B1160F2"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D0EB4B2" w14:textId="77777777" w:rsidR="00BF2FFA" w:rsidRPr="0058047D" w:rsidRDefault="00BF2FFA" w:rsidP="004E6530">
            <w:pPr>
              <w:spacing w:before="20" w:after="20"/>
              <w:rPr>
                <w:rFonts w:ascii="Segoe UI" w:eastAsia="Times New Roman" w:hAnsi="Segoe UI" w:cs="Segoe UI"/>
                <w:noProof/>
                <w:color w:val="000000"/>
                <w:sz w:val="13"/>
                <w:szCs w:val="13"/>
              </w:rPr>
            </w:pPr>
            <w:r w:rsidRPr="0058047D">
              <w:rPr>
                <w:rFonts w:ascii="Segoe UI" w:eastAsia="Times New Roman" w:hAnsi="Segoe UI" w:cs="Segoe UI"/>
                <w:color w:val="000000"/>
                <w:sz w:val="13"/>
                <w:szCs w:val="13"/>
              </w:rPr>
              <w:t>Gestisci report utente, grafici utente e dashboard utente</w:t>
            </w:r>
          </w:p>
        </w:tc>
        <w:tc>
          <w:tcPr>
            <w:tcW w:w="823" w:type="dxa"/>
            <w:tcBorders>
              <w:top w:val="single" w:sz="4" w:space="0" w:color="A5A5A5" w:themeColor="accent3"/>
              <w:left w:val="nil"/>
              <w:bottom w:val="single" w:sz="4" w:space="0" w:color="A5A5A5" w:themeColor="accent3"/>
              <w:right w:val="nil"/>
            </w:tcBorders>
            <w:vAlign w:val="center"/>
          </w:tcPr>
          <w:p w14:paraId="1836E736"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5D71B740" wp14:editId="6E90039D">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D50AE3B"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25E7976C" wp14:editId="40A8C79A">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6B38B5F8"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79A9CF32"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27EA4C8" w14:textId="77777777" w:rsidR="00BF2FFA" w:rsidRPr="0058047D" w:rsidRDefault="00BF2FFA" w:rsidP="004E6530">
            <w:pPr>
              <w:spacing w:before="20" w:after="20"/>
              <w:rPr>
                <w:rFonts w:ascii="Segoe UI" w:eastAsia="Times New Roman" w:hAnsi="Segoe UI" w:cs="Segoe UI"/>
                <w:noProof/>
                <w:color w:val="000000"/>
                <w:sz w:val="13"/>
                <w:szCs w:val="13"/>
              </w:rPr>
            </w:pPr>
            <w:r w:rsidRPr="0058047D">
              <w:rPr>
                <w:rFonts w:ascii="Segoe UI" w:eastAsia="Times New Roman" w:hAnsi="Segoe UI" w:cs="Segoe UI"/>
                <w:color w:val="000000"/>
                <w:sz w:val="13"/>
                <w:szCs w:val="13"/>
              </w:rPr>
              <w:t>Gestione delle offerte</w:t>
            </w:r>
          </w:p>
        </w:tc>
        <w:tc>
          <w:tcPr>
            <w:tcW w:w="793" w:type="dxa"/>
            <w:tcBorders>
              <w:top w:val="single" w:sz="4" w:space="0" w:color="A5A5A5" w:themeColor="accent3"/>
              <w:left w:val="nil"/>
              <w:bottom w:val="single" w:sz="4" w:space="0" w:color="A5A5A5" w:themeColor="accent3"/>
              <w:right w:val="nil"/>
            </w:tcBorders>
            <w:vAlign w:val="center"/>
          </w:tcPr>
          <w:p w14:paraId="4F844A9F" w14:textId="77777777" w:rsidR="00BF2FFA" w:rsidRPr="0058047D" w:rsidRDefault="00BF2FFA" w:rsidP="004E6530">
            <w:pPr>
              <w:spacing w:before="20" w:after="20"/>
              <w:jc w:val="right"/>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25FE2FB8" wp14:editId="23797858">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14:paraId="212F97EC"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14:paraId="39E40144" w14:textId="77777777" w:rsidR="00BF2FFA" w:rsidRPr="0058047D" w:rsidRDefault="00BF2FFA" w:rsidP="004E6530">
            <w:pPr>
              <w:spacing w:before="20" w:after="20"/>
              <w:jc w:val="center"/>
              <w:rPr>
                <w:rFonts w:ascii="Segoe UI" w:eastAsia="Times New Roman" w:hAnsi="Segoe UI" w:cs="Segoe UI"/>
                <w:noProof/>
                <w:color w:val="000000"/>
                <w:sz w:val="14"/>
                <w:szCs w:val="16"/>
              </w:rPr>
            </w:pPr>
          </w:p>
        </w:tc>
      </w:tr>
      <w:tr w:rsidR="00BF2FFA" w:rsidRPr="0058047D" w14:paraId="6AAAE6E7"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4C11C8C" w14:textId="77777777" w:rsidR="00BF2FFA" w:rsidRPr="0058047D" w:rsidRDefault="00BF2FFA" w:rsidP="004E6530">
            <w:pPr>
              <w:spacing w:before="20" w:after="20"/>
              <w:rPr>
                <w:rFonts w:ascii="Segoe UI" w:eastAsia="Times New Roman" w:hAnsi="Segoe UI" w:cs="Segoe UI"/>
                <w:noProof/>
                <w:color w:val="000000"/>
                <w:sz w:val="13"/>
                <w:szCs w:val="13"/>
              </w:rPr>
            </w:pPr>
            <w:r w:rsidRPr="0058047D">
              <w:rPr>
                <w:rFonts w:ascii="Segoe UI" w:eastAsia="Times New Roman" w:hAnsi="Segoe UI" w:cs="Segoe UI"/>
                <w:color w:val="000000"/>
                <w:sz w:val="13"/>
                <w:szCs w:val="13"/>
              </w:rPr>
              <w:t>Esegui report</w:t>
            </w:r>
          </w:p>
        </w:tc>
        <w:tc>
          <w:tcPr>
            <w:tcW w:w="823" w:type="dxa"/>
            <w:tcBorders>
              <w:top w:val="single" w:sz="4" w:space="0" w:color="A5A5A5" w:themeColor="accent3"/>
              <w:left w:val="nil"/>
              <w:bottom w:val="single" w:sz="4" w:space="0" w:color="A5A5A5" w:themeColor="accent3"/>
              <w:right w:val="nil"/>
            </w:tcBorders>
            <w:vAlign w:val="center"/>
          </w:tcPr>
          <w:p w14:paraId="5F7111C8"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060A7AED" wp14:editId="5B1A76FD">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FC40737"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2153BE26" wp14:editId="24B28369">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6E558F7C"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636E8553"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21FDB5F8" w14:textId="77777777" w:rsidR="00BF2FFA" w:rsidRPr="0058047D" w:rsidRDefault="00BF2FFA" w:rsidP="004E6530">
            <w:pPr>
              <w:spacing w:before="20" w:after="20"/>
              <w:rPr>
                <w:rFonts w:ascii="Segoe UI" w:eastAsia="Times New Roman" w:hAnsi="Segoe UI" w:cs="Segoe UI"/>
                <w:noProof/>
                <w:color w:val="000000"/>
                <w:sz w:val="13"/>
                <w:szCs w:val="13"/>
              </w:rPr>
            </w:pPr>
            <w:r w:rsidRPr="0058047D">
              <w:rPr>
                <w:rFonts w:ascii="Segoe UI" w:eastAsia="Times New Roman" w:hAnsi="Segoe UI" w:cs="Segoe UI"/>
                <w:color w:val="000000"/>
                <w:sz w:val="13"/>
                <w:szCs w:val="13"/>
              </w:rPr>
              <w:t>Listini prezzi</w:t>
            </w:r>
          </w:p>
        </w:tc>
        <w:tc>
          <w:tcPr>
            <w:tcW w:w="793" w:type="dxa"/>
            <w:tcBorders>
              <w:top w:val="single" w:sz="4" w:space="0" w:color="A5A5A5" w:themeColor="accent3"/>
              <w:left w:val="nil"/>
              <w:bottom w:val="single" w:sz="4" w:space="0" w:color="A5A5A5" w:themeColor="accent3"/>
              <w:right w:val="nil"/>
            </w:tcBorders>
            <w:vAlign w:val="center"/>
          </w:tcPr>
          <w:p w14:paraId="1D3AA564" w14:textId="77777777" w:rsidR="00BF2FFA" w:rsidRPr="0058047D" w:rsidRDefault="00BF2FFA" w:rsidP="004E6530">
            <w:pPr>
              <w:spacing w:before="20" w:after="20"/>
              <w:jc w:val="right"/>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6F68112F" wp14:editId="06682134">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14:paraId="6DE7ACF1"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14:paraId="6BE27B8E" w14:textId="77777777" w:rsidR="00BF2FFA" w:rsidRPr="0058047D" w:rsidRDefault="00BF2FFA" w:rsidP="004E6530">
            <w:pPr>
              <w:spacing w:before="20" w:after="20"/>
              <w:jc w:val="center"/>
              <w:rPr>
                <w:rFonts w:ascii="Segoe UI" w:eastAsia="Times New Roman" w:hAnsi="Segoe UI" w:cs="Segoe UI"/>
                <w:noProof/>
                <w:color w:val="000000"/>
                <w:sz w:val="14"/>
                <w:szCs w:val="16"/>
              </w:rPr>
            </w:pPr>
          </w:p>
        </w:tc>
      </w:tr>
      <w:tr w:rsidR="00BF2FFA" w:rsidRPr="0058047D" w14:paraId="004A58DE"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969108C" w14:textId="77777777" w:rsidR="00BF2FFA" w:rsidRPr="0058047D" w:rsidRDefault="00BF2FFA" w:rsidP="004E6530">
            <w:pPr>
              <w:spacing w:before="20" w:after="20"/>
              <w:rPr>
                <w:rFonts w:ascii="Segoe UI" w:hAnsi="Segoe UI" w:cs="Segoe UI"/>
                <w:noProof/>
                <w:sz w:val="13"/>
                <w:szCs w:val="13"/>
              </w:rPr>
            </w:pPr>
            <w:r w:rsidRPr="0058047D">
              <w:rPr>
                <w:rFonts w:ascii="Segoe UI" w:eastAsia="Times New Roman" w:hAnsi="Segoe UI" w:cs="Segoe UI"/>
                <w:color w:val="000000"/>
                <w:sz w:val="13"/>
                <w:szCs w:val="13"/>
              </w:rPr>
              <w:t>Crea, aggiorna e personalizza Report</w:t>
            </w:r>
          </w:p>
        </w:tc>
        <w:tc>
          <w:tcPr>
            <w:tcW w:w="823" w:type="dxa"/>
            <w:tcBorders>
              <w:top w:val="single" w:sz="4" w:space="0" w:color="A5A5A5" w:themeColor="accent3"/>
              <w:left w:val="nil"/>
              <w:bottom w:val="single" w:sz="4" w:space="0" w:color="A5A5A5" w:themeColor="accent3"/>
              <w:right w:val="nil"/>
            </w:tcBorders>
            <w:vAlign w:val="center"/>
          </w:tcPr>
          <w:p w14:paraId="0EACA287" w14:textId="77777777" w:rsidR="00BF2FFA" w:rsidRPr="0058047D" w:rsidRDefault="00BF2FFA" w:rsidP="004E6530">
            <w:pPr>
              <w:spacing w:before="20" w:after="20"/>
              <w:jc w:val="center"/>
              <w:rPr>
                <w:rFonts w:ascii="Segoe UI" w:hAnsi="Segoe UI" w:cs="Segoe UI"/>
                <w:noProof/>
                <w:sz w:val="12"/>
                <w:szCs w:val="16"/>
              </w:rPr>
            </w:pPr>
            <w:r w:rsidRPr="0058047D">
              <w:rPr>
                <w:rFonts w:ascii="Segoe UI" w:eastAsia="Times New Roman" w:hAnsi="Segoe UI" w:cs="Segoe UI"/>
                <w:noProof/>
                <w:color w:val="000000"/>
                <w:sz w:val="12"/>
                <w:szCs w:val="16"/>
              </w:rPr>
              <w:drawing>
                <wp:inline distT="0" distB="0" distL="0" distR="0" wp14:anchorId="63CE755F" wp14:editId="0279A12C">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FE3DC74" w14:textId="77777777" w:rsidR="00BF2FFA" w:rsidRPr="0058047D" w:rsidRDefault="00BF2FFA" w:rsidP="004E6530">
            <w:pPr>
              <w:spacing w:before="20" w:after="20"/>
              <w:jc w:val="center"/>
              <w:rPr>
                <w:rFonts w:ascii="Segoe UI" w:hAnsi="Segoe UI" w:cs="Segoe UI"/>
                <w:noProof/>
                <w:sz w:val="12"/>
                <w:szCs w:val="16"/>
              </w:rPr>
            </w:pPr>
            <w:r w:rsidRPr="0058047D">
              <w:rPr>
                <w:rFonts w:ascii="Segoe UI" w:eastAsia="Times New Roman" w:hAnsi="Segoe UI" w:cs="Segoe UI"/>
                <w:noProof/>
                <w:color w:val="000000"/>
                <w:sz w:val="12"/>
                <w:szCs w:val="16"/>
              </w:rPr>
              <w:drawing>
                <wp:inline distT="0" distB="0" distL="0" distR="0" wp14:anchorId="0F28B86E" wp14:editId="28380438">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38D0597" w14:textId="77777777" w:rsidR="00BF2FFA" w:rsidRPr="0058047D"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441C3537"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9326423" w14:textId="77777777" w:rsidR="00BF2FFA" w:rsidRPr="0058047D" w:rsidRDefault="00BF2FFA" w:rsidP="004E6530">
            <w:pPr>
              <w:spacing w:before="20" w:after="20"/>
              <w:rPr>
                <w:rFonts w:ascii="Segoe UI" w:eastAsia="Times New Roman" w:hAnsi="Segoe UI" w:cs="Segoe UI"/>
                <w:noProof/>
                <w:color w:val="000000"/>
                <w:sz w:val="13"/>
                <w:szCs w:val="13"/>
              </w:rPr>
            </w:pPr>
            <w:r w:rsidRPr="0058047D">
              <w:rPr>
                <w:rFonts w:ascii="Segoe UI" w:eastAsia="Times New Roman" w:hAnsi="Segoe UI" w:cs="Segoe UI"/>
                <w:color w:val="000000"/>
                <w:sz w:val="13"/>
                <w:szCs w:val="13"/>
              </w:rPr>
              <w:t>Tracciabilità prodotti</w:t>
            </w:r>
          </w:p>
        </w:tc>
        <w:tc>
          <w:tcPr>
            <w:tcW w:w="793" w:type="dxa"/>
            <w:tcBorders>
              <w:top w:val="single" w:sz="4" w:space="0" w:color="A5A5A5" w:themeColor="accent3"/>
              <w:left w:val="nil"/>
              <w:bottom w:val="single" w:sz="4" w:space="0" w:color="A5A5A5" w:themeColor="accent3"/>
              <w:right w:val="nil"/>
            </w:tcBorders>
            <w:vAlign w:val="center"/>
          </w:tcPr>
          <w:p w14:paraId="6D384E6E" w14:textId="77777777" w:rsidR="00BF2FFA" w:rsidRPr="0058047D" w:rsidRDefault="00BF2FFA" w:rsidP="004E6530">
            <w:pPr>
              <w:spacing w:before="20" w:after="20"/>
              <w:jc w:val="right"/>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0806A1ED" wp14:editId="017EC2D0">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14:paraId="2425C940"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14:paraId="58A65651" w14:textId="77777777" w:rsidR="00BF2FFA" w:rsidRPr="0058047D" w:rsidRDefault="00BF2FFA" w:rsidP="004E6530">
            <w:pPr>
              <w:spacing w:before="20" w:after="20"/>
              <w:jc w:val="center"/>
              <w:rPr>
                <w:rFonts w:ascii="Segoe UI" w:eastAsia="Times New Roman" w:hAnsi="Segoe UI" w:cs="Segoe UI"/>
                <w:noProof/>
                <w:color w:val="000000"/>
                <w:sz w:val="14"/>
                <w:szCs w:val="16"/>
              </w:rPr>
            </w:pPr>
          </w:p>
        </w:tc>
      </w:tr>
      <w:tr w:rsidR="00BF2FFA" w:rsidRPr="0058047D" w14:paraId="167FB235"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F3FDE4B" w14:textId="77777777" w:rsidR="00BF2FFA" w:rsidRPr="0058047D" w:rsidRDefault="00BF2FFA" w:rsidP="004E6530">
            <w:pPr>
              <w:spacing w:before="20" w:after="20"/>
              <w:rPr>
                <w:rFonts w:ascii="Segoe UI" w:hAnsi="Segoe UI" w:cs="Segoe UI"/>
                <w:noProof/>
                <w:sz w:val="13"/>
                <w:szCs w:val="13"/>
              </w:rPr>
            </w:pPr>
            <w:r w:rsidRPr="0058047D">
              <w:rPr>
                <w:rFonts w:ascii="Segoe UI" w:eastAsia="Times New Roman" w:hAnsi="Segoe UI" w:cs="Segoe UI"/>
                <w:color w:val="000000"/>
                <w:sz w:val="13"/>
                <w:szCs w:val="13"/>
              </w:rPr>
              <w:t>Crea e aggiorna annunci</w:t>
            </w:r>
          </w:p>
        </w:tc>
        <w:tc>
          <w:tcPr>
            <w:tcW w:w="823" w:type="dxa"/>
            <w:tcBorders>
              <w:top w:val="single" w:sz="4" w:space="0" w:color="A5A5A5" w:themeColor="accent3"/>
              <w:left w:val="nil"/>
              <w:bottom w:val="single" w:sz="4" w:space="0" w:color="A5A5A5" w:themeColor="accent3"/>
              <w:right w:val="nil"/>
            </w:tcBorders>
            <w:vAlign w:val="center"/>
          </w:tcPr>
          <w:p w14:paraId="103FAC15" w14:textId="77777777" w:rsidR="00BF2FFA" w:rsidRPr="0058047D" w:rsidRDefault="00BF2FFA" w:rsidP="004E6530">
            <w:pPr>
              <w:spacing w:before="20" w:after="20"/>
              <w:jc w:val="center"/>
              <w:rPr>
                <w:rFonts w:ascii="Segoe UI" w:hAnsi="Segoe UI" w:cs="Segoe UI"/>
                <w:noProof/>
                <w:sz w:val="12"/>
                <w:szCs w:val="16"/>
              </w:rPr>
            </w:pPr>
            <w:r w:rsidRPr="0058047D">
              <w:rPr>
                <w:rFonts w:ascii="Segoe UI" w:eastAsia="Times New Roman" w:hAnsi="Segoe UI" w:cs="Segoe UI"/>
                <w:noProof/>
                <w:color w:val="000000"/>
                <w:sz w:val="12"/>
                <w:szCs w:val="16"/>
              </w:rPr>
              <w:drawing>
                <wp:inline distT="0" distB="0" distL="0" distR="0" wp14:anchorId="77046480" wp14:editId="7E907284">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5B95267" w14:textId="77777777" w:rsidR="00BF2FFA" w:rsidRPr="0058047D" w:rsidRDefault="00BF2FFA" w:rsidP="004E6530">
            <w:pPr>
              <w:spacing w:before="20" w:after="20"/>
              <w:jc w:val="center"/>
              <w:rPr>
                <w:rFonts w:ascii="Segoe UI" w:hAnsi="Segoe UI" w:cs="Segoe UI"/>
                <w:noProof/>
                <w:sz w:val="12"/>
                <w:szCs w:val="16"/>
              </w:rPr>
            </w:pPr>
            <w:r w:rsidRPr="0058047D">
              <w:rPr>
                <w:rFonts w:ascii="Segoe UI" w:eastAsia="Times New Roman" w:hAnsi="Segoe UI" w:cs="Segoe UI"/>
                <w:noProof/>
                <w:color w:val="000000"/>
                <w:sz w:val="12"/>
                <w:szCs w:val="16"/>
              </w:rPr>
              <w:drawing>
                <wp:inline distT="0" distB="0" distL="0" distR="0" wp14:anchorId="06862C9D" wp14:editId="646A43D9">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619B4322" w14:textId="77777777" w:rsidR="00BF2FFA" w:rsidRPr="0058047D"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1C6B6A29"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5FD47591" w14:textId="77777777" w:rsidR="00BF2FFA" w:rsidRPr="0058047D" w:rsidRDefault="00BF2FFA" w:rsidP="004E6530">
            <w:pPr>
              <w:spacing w:before="20" w:after="20"/>
              <w:rPr>
                <w:rFonts w:ascii="Segoe UI" w:eastAsia="Times New Roman" w:hAnsi="Segoe UI" w:cs="Segoe UI"/>
                <w:noProof/>
                <w:color w:val="000000"/>
                <w:sz w:val="13"/>
                <w:szCs w:val="13"/>
              </w:rPr>
            </w:pPr>
            <w:r w:rsidRPr="0058047D">
              <w:rPr>
                <w:rFonts w:ascii="Segoe UI" w:eastAsia="Times New Roman" w:hAnsi="Segoe UI" w:cs="Segoe UI"/>
                <w:color w:val="000000"/>
                <w:sz w:val="13"/>
                <w:szCs w:val="13"/>
              </w:rPr>
              <w:t>Gestione ordini</w:t>
            </w:r>
          </w:p>
        </w:tc>
        <w:tc>
          <w:tcPr>
            <w:tcW w:w="793" w:type="dxa"/>
            <w:tcBorders>
              <w:top w:val="single" w:sz="4" w:space="0" w:color="A5A5A5" w:themeColor="accent3"/>
              <w:left w:val="nil"/>
              <w:bottom w:val="single" w:sz="4" w:space="0" w:color="A5A5A5" w:themeColor="accent3"/>
              <w:right w:val="nil"/>
            </w:tcBorders>
            <w:vAlign w:val="center"/>
          </w:tcPr>
          <w:p w14:paraId="74AF313C" w14:textId="77777777" w:rsidR="00BF2FFA" w:rsidRPr="0058047D" w:rsidRDefault="00BF2FFA" w:rsidP="004E6530">
            <w:pPr>
              <w:spacing w:before="20" w:after="20"/>
              <w:jc w:val="right"/>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5BB9BA3E" wp14:editId="7F2AB144">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14:paraId="0000CAC7"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14:paraId="396FF10F" w14:textId="77777777" w:rsidR="00BF2FFA" w:rsidRPr="0058047D" w:rsidRDefault="00BF2FFA" w:rsidP="004E6530">
            <w:pPr>
              <w:spacing w:before="20" w:after="20"/>
              <w:jc w:val="center"/>
              <w:rPr>
                <w:rFonts w:ascii="Segoe UI" w:eastAsia="Times New Roman" w:hAnsi="Segoe UI" w:cs="Segoe UI"/>
                <w:noProof/>
                <w:color w:val="000000"/>
                <w:sz w:val="14"/>
                <w:szCs w:val="16"/>
              </w:rPr>
            </w:pPr>
          </w:p>
        </w:tc>
      </w:tr>
      <w:tr w:rsidR="00BF2FFA" w:rsidRPr="0058047D" w14:paraId="70EC6687"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BE44FC7" w14:textId="77777777" w:rsidR="00BF2FFA" w:rsidRPr="0058047D" w:rsidRDefault="00BF2FFA" w:rsidP="004E6530">
            <w:pPr>
              <w:spacing w:before="20" w:after="20"/>
              <w:rPr>
                <w:rFonts w:ascii="Segoe UI" w:hAnsi="Segoe UI" w:cs="Segoe UI"/>
                <w:noProof/>
                <w:sz w:val="13"/>
                <w:szCs w:val="13"/>
              </w:rPr>
            </w:pPr>
            <w:r w:rsidRPr="0058047D">
              <w:rPr>
                <w:rFonts w:ascii="Segoe UI" w:eastAsia="Times New Roman" w:hAnsi="Segoe UI" w:cs="Segoe UI"/>
                <w:color w:val="000000"/>
                <w:sz w:val="13"/>
                <w:szCs w:val="13"/>
              </w:rPr>
              <w:t>Leggi i dati dell</w:t>
            </w:r>
            <w:r w:rsidR="001C4212">
              <w:rPr>
                <w:rFonts w:ascii="Segoe UI" w:eastAsia="Times New Roman" w:hAnsi="Segoe UI" w:cs="Segoe UI"/>
                <w:color w:val="000000"/>
                <w:sz w:val="13"/>
                <w:szCs w:val="13"/>
              </w:rPr>
              <w:t>’</w:t>
            </w:r>
            <w:r w:rsidRPr="0058047D">
              <w:rPr>
                <w:rFonts w:ascii="Segoe UI" w:eastAsia="Times New Roman" w:hAnsi="Segoe UI" w:cs="Segoe UI"/>
                <w:color w:val="000000"/>
                <w:sz w:val="13"/>
                <w:szCs w:val="13"/>
              </w:rPr>
              <w:t>applicazione Microsoft Dynamics CRM</w:t>
            </w:r>
          </w:p>
        </w:tc>
        <w:tc>
          <w:tcPr>
            <w:tcW w:w="823" w:type="dxa"/>
            <w:tcBorders>
              <w:top w:val="single" w:sz="4" w:space="0" w:color="A5A5A5" w:themeColor="accent3"/>
              <w:left w:val="nil"/>
              <w:bottom w:val="single" w:sz="4" w:space="0" w:color="A5A5A5" w:themeColor="accent3"/>
              <w:right w:val="nil"/>
            </w:tcBorders>
            <w:vAlign w:val="center"/>
          </w:tcPr>
          <w:p w14:paraId="40D56BCC" w14:textId="77777777" w:rsidR="00BF2FFA" w:rsidRPr="0058047D" w:rsidRDefault="00BF2FFA" w:rsidP="004E6530">
            <w:pPr>
              <w:spacing w:before="20" w:after="20"/>
              <w:jc w:val="center"/>
              <w:rPr>
                <w:rFonts w:ascii="Segoe UI" w:hAnsi="Segoe UI" w:cs="Segoe UI"/>
                <w:noProof/>
                <w:sz w:val="12"/>
                <w:szCs w:val="16"/>
              </w:rPr>
            </w:pPr>
            <w:r w:rsidRPr="0058047D">
              <w:rPr>
                <w:rFonts w:ascii="Segoe UI" w:eastAsia="Times New Roman" w:hAnsi="Segoe UI" w:cs="Segoe UI"/>
                <w:noProof/>
                <w:color w:val="000000"/>
                <w:sz w:val="12"/>
                <w:szCs w:val="16"/>
              </w:rPr>
              <w:drawing>
                <wp:inline distT="0" distB="0" distL="0" distR="0" wp14:anchorId="23DF6841" wp14:editId="4CAF447A">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695372B" w14:textId="77777777" w:rsidR="00BF2FFA" w:rsidRPr="0058047D" w:rsidRDefault="00BF2FFA" w:rsidP="004E6530">
            <w:pPr>
              <w:spacing w:before="20" w:after="20"/>
              <w:jc w:val="center"/>
              <w:rPr>
                <w:rFonts w:ascii="Segoe UI" w:hAnsi="Segoe UI" w:cs="Segoe UI"/>
                <w:noProof/>
                <w:sz w:val="12"/>
                <w:szCs w:val="16"/>
              </w:rPr>
            </w:pPr>
            <w:r w:rsidRPr="0058047D">
              <w:rPr>
                <w:rFonts w:ascii="Segoe UI" w:eastAsia="Times New Roman" w:hAnsi="Segoe UI" w:cs="Segoe UI"/>
                <w:noProof/>
                <w:color w:val="000000"/>
                <w:sz w:val="12"/>
                <w:szCs w:val="16"/>
              </w:rPr>
              <w:drawing>
                <wp:inline distT="0" distB="0" distL="0" distR="0" wp14:anchorId="7AE2E55E" wp14:editId="6D863A50">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5724018" w14:textId="77777777" w:rsidR="00BF2FFA" w:rsidRPr="0058047D"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7B119987"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6D3BD4D0" w14:textId="77777777" w:rsidR="00BF2FFA" w:rsidRPr="0058047D" w:rsidRDefault="00BF2FFA" w:rsidP="004E6530">
            <w:pPr>
              <w:spacing w:before="20" w:after="20"/>
              <w:rPr>
                <w:rFonts w:ascii="Segoe UI" w:eastAsia="Times New Roman" w:hAnsi="Segoe UI" w:cs="Segoe UI"/>
                <w:noProof/>
                <w:color w:val="000000"/>
                <w:sz w:val="13"/>
                <w:szCs w:val="13"/>
              </w:rPr>
            </w:pPr>
            <w:r w:rsidRPr="0058047D">
              <w:rPr>
                <w:rFonts w:ascii="Segoe UI" w:eastAsia="Times New Roman" w:hAnsi="Segoe UI" w:cs="Segoe UI"/>
                <w:color w:val="000000"/>
                <w:sz w:val="13"/>
                <w:szCs w:val="13"/>
              </w:rPr>
              <w:t>Gestione fatture</w:t>
            </w:r>
          </w:p>
        </w:tc>
        <w:tc>
          <w:tcPr>
            <w:tcW w:w="793" w:type="dxa"/>
            <w:tcBorders>
              <w:top w:val="single" w:sz="4" w:space="0" w:color="A5A5A5" w:themeColor="accent3"/>
              <w:left w:val="nil"/>
              <w:bottom w:val="single" w:sz="4" w:space="0" w:color="A5A5A5" w:themeColor="accent3"/>
              <w:right w:val="nil"/>
            </w:tcBorders>
            <w:vAlign w:val="center"/>
          </w:tcPr>
          <w:p w14:paraId="2B602AAC" w14:textId="77777777" w:rsidR="00BF2FFA" w:rsidRPr="0058047D" w:rsidRDefault="00BF2FFA" w:rsidP="004E6530">
            <w:pPr>
              <w:spacing w:before="20" w:after="20"/>
              <w:jc w:val="right"/>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5177EFF2" wp14:editId="013CEB83">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14:paraId="2351CCBF"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14:paraId="14288113" w14:textId="77777777" w:rsidR="00BF2FFA" w:rsidRPr="0058047D" w:rsidRDefault="00BF2FFA" w:rsidP="004E6530">
            <w:pPr>
              <w:spacing w:before="20" w:after="20"/>
              <w:jc w:val="center"/>
              <w:rPr>
                <w:rFonts w:ascii="Segoe UI" w:eastAsia="Times New Roman" w:hAnsi="Segoe UI" w:cs="Segoe UI"/>
                <w:noProof/>
                <w:color w:val="000000"/>
                <w:sz w:val="14"/>
                <w:szCs w:val="16"/>
              </w:rPr>
            </w:pPr>
          </w:p>
        </w:tc>
      </w:tr>
      <w:tr w:rsidR="00BF2FFA" w:rsidRPr="0058047D" w14:paraId="2C9A6064"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82644D3" w14:textId="77777777" w:rsidR="00BF2FFA" w:rsidRPr="0058047D" w:rsidRDefault="00BF2FFA" w:rsidP="004E6530">
            <w:pPr>
              <w:spacing w:before="20" w:after="20"/>
              <w:rPr>
                <w:rFonts w:ascii="Segoe UI" w:hAnsi="Segoe UI" w:cs="Segoe UI"/>
                <w:noProof/>
                <w:sz w:val="13"/>
                <w:szCs w:val="13"/>
              </w:rPr>
            </w:pPr>
            <w:r w:rsidRPr="0058047D">
              <w:rPr>
                <w:rFonts w:ascii="Segoe UI" w:eastAsia="Times New Roman" w:hAnsi="Segoe UI" w:cs="Segoe UI"/>
                <w:color w:val="000000"/>
                <w:sz w:val="13"/>
                <w:szCs w:val="13"/>
              </w:rPr>
              <w:t>Dashboard utente</w:t>
            </w:r>
          </w:p>
        </w:tc>
        <w:tc>
          <w:tcPr>
            <w:tcW w:w="823" w:type="dxa"/>
            <w:tcBorders>
              <w:top w:val="single" w:sz="4" w:space="0" w:color="A5A5A5" w:themeColor="accent3"/>
              <w:left w:val="nil"/>
              <w:bottom w:val="single" w:sz="4" w:space="0" w:color="A5A5A5" w:themeColor="accent3"/>
              <w:right w:val="nil"/>
            </w:tcBorders>
            <w:vAlign w:val="center"/>
          </w:tcPr>
          <w:p w14:paraId="2F2B2F31" w14:textId="77777777" w:rsidR="00BF2FFA" w:rsidRPr="0058047D" w:rsidRDefault="00BF2FFA" w:rsidP="004E6530">
            <w:pPr>
              <w:spacing w:before="20" w:after="20"/>
              <w:jc w:val="center"/>
              <w:rPr>
                <w:rFonts w:ascii="Segoe UI" w:hAnsi="Segoe UI" w:cs="Segoe UI"/>
                <w:noProof/>
                <w:sz w:val="12"/>
                <w:szCs w:val="16"/>
              </w:rPr>
            </w:pPr>
            <w:r w:rsidRPr="0058047D">
              <w:rPr>
                <w:rFonts w:ascii="Segoe UI" w:eastAsia="Times New Roman" w:hAnsi="Segoe UI" w:cs="Segoe UI"/>
                <w:noProof/>
                <w:color w:val="000000"/>
                <w:sz w:val="12"/>
                <w:szCs w:val="16"/>
              </w:rPr>
              <w:drawing>
                <wp:inline distT="0" distB="0" distL="0" distR="0" wp14:anchorId="1923B6D7" wp14:editId="0A2A1D11">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6BE2ACB" w14:textId="77777777" w:rsidR="00BF2FFA" w:rsidRPr="0058047D" w:rsidRDefault="00BF2FFA" w:rsidP="004E6530">
            <w:pPr>
              <w:spacing w:before="20" w:after="20"/>
              <w:jc w:val="center"/>
              <w:rPr>
                <w:rFonts w:ascii="Segoe UI" w:hAnsi="Segoe UI" w:cs="Segoe UI"/>
                <w:noProof/>
                <w:sz w:val="12"/>
                <w:szCs w:val="16"/>
              </w:rPr>
            </w:pPr>
            <w:r w:rsidRPr="0058047D">
              <w:rPr>
                <w:rFonts w:ascii="Segoe UI" w:eastAsia="Times New Roman" w:hAnsi="Segoe UI" w:cs="Segoe UI"/>
                <w:noProof/>
                <w:color w:val="000000"/>
                <w:sz w:val="12"/>
                <w:szCs w:val="16"/>
              </w:rPr>
              <w:drawing>
                <wp:inline distT="0" distB="0" distL="0" distR="0" wp14:anchorId="0CA9D4AE" wp14:editId="6A50DB95">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687C65DE" w14:textId="77777777" w:rsidR="00BF2FFA" w:rsidRPr="0058047D"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075CD15D"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ED89CDA" w14:textId="77777777" w:rsidR="00BF2FFA" w:rsidRPr="0058047D" w:rsidRDefault="00BF2FFA" w:rsidP="004E6530">
            <w:pPr>
              <w:spacing w:before="20" w:after="20"/>
              <w:rPr>
                <w:rFonts w:ascii="Segoe UI" w:eastAsia="Times New Roman" w:hAnsi="Segoe UI" w:cs="Segoe UI"/>
                <w:noProof/>
                <w:color w:val="000000"/>
                <w:sz w:val="13"/>
                <w:szCs w:val="13"/>
              </w:rPr>
            </w:pPr>
            <w:r w:rsidRPr="0058047D">
              <w:rPr>
                <w:rFonts w:ascii="Segoe UI" w:eastAsia="Times New Roman" w:hAnsi="Segoe UI" w:cs="Segoe UI"/>
                <w:color w:val="000000"/>
                <w:sz w:val="13"/>
                <w:szCs w:val="13"/>
              </w:rPr>
              <w:t>Tracciabilità concorrente</w:t>
            </w:r>
          </w:p>
        </w:tc>
        <w:tc>
          <w:tcPr>
            <w:tcW w:w="793" w:type="dxa"/>
            <w:tcBorders>
              <w:top w:val="single" w:sz="4" w:space="0" w:color="A5A5A5" w:themeColor="accent3"/>
              <w:left w:val="nil"/>
              <w:bottom w:val="single" w:sz="4" w:space="0" w:color="A5A5A5" w:themeColor="accent3"/>
              <w:right w:val="nil"/>
            </w:tcBorders>
            <w:vAlign w:val="center"/>
          </w:tcPr>
          <w:p w14:paraId="27061649" w14:textId="77777777" w:rsidR="00BF2FFA" w:rsidRPr="0058047D" w:rsidRDefault="00BF2FFA" w:rsidP="004E6530">
            <w:pPr>
              <w:spacing w:before="20" w:after="20"/>
              <w:jc w:val="right"/>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3B04C672" wp14:editId="413DE75E">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14:paraId="2F91C61D"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14:paraId="066A06FA" w14:textId="77777777" w:rsidR="00BF2FFA" w:rsidRPr="0058047D" w:rsidRDefault="00BF2FFA" w:rsidP="004E6530">
            <w:pPr>
              <w:spacing w:before="20" w:after="20"/>
              <w:jc w:val="center"/>
              <w:rPr>
                <w:rFonts w:ascii="Segoe UI" w:eastAsia="Times New Roman" w:hAnsi="Segoe UI" w:cs="Segoe UI"/>
                <w:noProof/>
                <w:color w:val="000000"/>
                <w:sz w:val="14"/>
                <w:szCs w:val="16"/>
              </w:rPr>
            </w:pPr>
          </w:p>
        </w:tc>
      </w:tr>
      <w:tr w:rsidR="00BF2FFA" w:rsidRPr="0058047D" w14:paraId="748B32AB"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9709F51" w14:textId="77777777" w:rsidR="00BF2FFA" w:rsidRPr="0058047D" w:rsidRDefault="00BF2FFA" w:rsidP="004E6530">
            <w:pPr>
              <w:spacing w:before="20" w:after="20"/>
              <w:rPr>
                <w:rFonts w:ascii="Segoe UI" w:hAnsi="Segoe UI" w:cs="Segoe UI"/>
                <w:noProof/>
                <w:sz w:val="13"/>
                <w:szCs w:val="13"/>
              </w:rPr>
            </w:pPr>
            <w:r w:rsidRPr="0058047D">
              <w:rPr>
                <w:rFonts w:ascii="Segoe UI" w:eastAsia="Times New Roman" w:hAnsi="Segoe UI" w:cs="Segoe UI"/>
                <w:color w:val="000000"/>
                <w:sz w:val="13"/>
                <w:szCs w:val="13"/>
              </w:rPr>
              <w:t>Grafici utente</w:t>
            </w:r>
          </w:p>
        </w:tc>
        <w:tc>
          <w:tcPr>
            <w:tcW w:w="823" w:type="dxa"/>
            <w:tcBorders>
              <w:top w:val="single" w:sz="4" w:space="0" w:color="A5A5A5" w:themeColor="accent3"/>
              <w:left w:val="nil"/>
              <w:bottom w:val="single" w:sz="4" w:space="0" w:color="A5A5A5" w:themeColor="accent3"/>
              <w:right w:val="nil"/>
            </w:tcBorders>
            <w:vAlign w:val="center"/>
          </w:tcPr>
          <w:p w14:paraId="309CA8BD" w14:textId="77777777" w:rsidR="00BF2FFA" w:rsidRPr="0058047D" w:rsidRDefault="00BF2FFA" w:rsidP="004E6530">
            <w:pPr>
              <w:spacing w:before="20" w:after="20"/>
              <w:jc w:val="center"/>
              <w:rPr>
                <w:rFonts w:ascii="Segoe UI" w:hAnsi="Segoe UI" w:cs="Segoe UI"/>
                <w:noProof/>
                <w:sz w:val="12"/>
                <w:szCs w:val="16"/>
              </w:rPr>
            </w:pPr>
            <w:r w:rsidRPr="0058047D">
              <w:rPr>
                <w:rFonts w:ascii="Segoe UI" w:eastAsia="Times New Roman" w:hAnsi="Segoe UI" w:cs="Segoe UI"/>
                <w:noProof/>
                <w:color w:val="000000"/>
                <w:sz w:val="12"/>
                <w:szCs w:val="16"/>
              </w:rPr>
              <w:drawing>
                <wp:inline distT="0" distB="0" distL="0" distR="0" wp14:anchorId="7EE1E6D3" wp14:editId="3B611926">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5022AFD" w14:textId="77777777" w:rsidR="00BF2FFA" w:rsidRPr="0058047D" w:rsidRDefault="00BF2FFA" w:rsidP="004E6530">
            <w:pPr>
              <w:spacing w:before="20" w:after="20"/>
              <w:jc w:val="center"/>
              <w:rPr>
                <w:rFonts w:ascii="Segoe UI" w:hAnsi="Segoe UI" w:cs="Segoe UI"/>
                <w:noProof/>
                <w:sz w:val="12"/>
                <w:szCs w:val="16"/>
              </w:rPr>
            </w:pPr>
            <w:r w:rsidRPr="0058047D">
              <w:rPr>
                <w:rFonts w:ascii="Segoe UI" w:eastAsia="Times New Roman" w:hAnsi="Segoe UI" w:cs="Segoe UI"/>
                <w:noProof/>
                <w:color w:val="000000"/>
                <w:sz w:val="12"/>
                <w:szCs w:val="16"/>
              </w:rPr>
              <w:drawing>
                <wp:inline distT="0" distB="0" distL="0" distR="0" wp14:anchorId="170EA13F" wp14:editId="274CAA95">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F37D499" w14:textId="77777777" w:rsidR="00BF2FFA" w:rsidRPr="0058047D"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5BE3BD42"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4AE07859" w14:textId="77777777" w:rsidR="00BF2FFA" w:rsidRPr="0058047D" w:rsidRDefault="00BF2FFA" w:rsidP="004E6530">
            <w:pPr>
              <w:spacing w:before="20" w:after="20"/>
              <w:rPr>
                <w:rFonts w:ascii="Segoe UI" w:eastAsia="Times New Roman" w:hAnsi="Segoe UI" w:cs="Segoe UI"/>
                <w:noProof/>
                <w:color w:val="000000"/>
                <w:sz w:val="13"/>
                <w:szCs w:val="13"/>
              </w:rPr>
            </w:pPr>
            <w:r w:rsidRPr="0058047D">
              <w:rPr>
                <w:rFonts w:ascii="Segoe UI" w:eastAsia="Times New Roman" w:hAnsi="Segoe UI" w:cs="Segoe UI"/>
                <w:color w:val="000000"/>
                <w:sz w:val="13"/>
                <w:szCs w:val="13"/>
              </w:rPr>
              <w:t>Qualifica e converti un potenziale cliente in un</w:t>
            </w:r>
            <w:r w:rsidR="001C4212">
              <w:rPr>
                <w:rFonts w:ascii="Segoe UI" w:eastAsia="Times New Roman" w:hAnsi="Segoe UI" w:cs="Segoe UI"/>
                <w:color w:val="000000"/>
                <w:sz w:val="13"/>
                <w:szCs w:val="13"/>
              </w:rPr>
              <w:t>’</w:t>
            </w:r>
            <w:r w:rsidRPr="0058047D">
              <w:rPr>
                <w:rFonts w:ascii="Segoe UI" w:eastAsia="Times New Roman" w:hAnsi="Segoe UI" w:cs="Segoe UI"/>
                <w:color w:val="000000"/>
                <w:sz w:val="13"/>
                <w:szCs w:val="13"/>
              </w:rPr>
              <w:t>opportunità</w:t>
            </w:r>
          </w:p>
        </w:tc>
        <w:tc>
          <w:tcPr>
            <w:tcW w:w="793" w:type="dxa"/>
            <w:tcBorders>
              <w:top w:val="single" w:sz="4" w:space="0" w:color="A5A5A5" w:themeColor="accent3"/>
              <w:left w:val="nil"/>
              <w:bottom w:val="single" w:sz="4" w:space="0" w:color="A5A5A5" w:themeColor="accent3"/>
              <w:right w:val="nil"/>
            </w:tcBorders>
            <w:vAlign w:val="center"/>
          </w:tcPr>
          <w:p w14:paraId="2075D356" w14:textId="77777777" w:rsidR="00BF2FFA" w:rsidRPr="0058047D" w:rsidRDefault="00BF2FFA" w:rsidP="004E6530">
            <w:pPr>
              <w:spacing w:before="20" w:after="20"/>
              <w:jc w:val="right"/>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4338CE8D" wp14:editId="7558C871">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14:paraId="63395E63"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14:paraId="2AE6D522" w14:textId="77777777" w:rsidR="00BF2FFA" w:rsidRPr="0058047D" w:rsidRDefault="00BF2FFA" w:rsidP="004E6530">
            <w:pPr>
              <w:spacing w:before="20" w:after="20"/>
              <w:jc w:val="center"/>
              <w:rPr>
                <w:rFonts w:ascii="Segoe UI" w:eastAsia="Times New Roman" w:hAnsi="Segoe UI" w:cs="Segoe UI"/>
                <w:noProof/>
                <w:color w:val="000000"/>
                <w:sz w:val="14"/>
                <w:szCs w:val="16"/>
              </w:rPr>
            </w:pPr>
          </w:p>
        </w:tc>
      </w:tr>
      <w:tr w:rsidR="00BF2FFA" w:rsidRPr="0058047D" w14:paraId="60CB0844"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B23C89A" w14:textId="77777777" w:rsidR="00BF2FFA" w:rsidRPr="0058047D" w:rsidRDefault="00BF2FFA" w:rsidP="004E6530">
            <w:pPr>
              <w:spacing w:before="20" w:after="20"/>
              <w:rPr>
                <w:rFonts w:ascii="Segoe UI" w:eastAsia="Times New Roman" w:hAnsi="Segoe UI" w:cs="Segoe UI"/>
                <w:noProof/>
                <w:color w:val="000000"/>
                <w:sz w:val="13"/>
                <w:szCs w:val="13"/>
              </w:rPr>
            </w:pPr>
            <w:r w:rsidRPr="0058047D">
              <w:rPr>
                <w:rFonts w:ascii="Segoe UI" w:eastAsia="Times New Roman" w:hAnsi="Segoe UI" w:cs="Segoe UI"/>
                <w:sz w:val="13"/>
                <w:szCs w:val="13"/>
              </w:rPr>
              <w:t>Framework Customer Care Accelerator (CCA)</w:t>
            </w:r>
          </w:p>
        </w:tc>
        <w:tc>
          <w:tcPr>
            <w:tcW w:w="823" w:type="dxa"/>
            <w:tcBorders>
              <w:top w:val="single" w:sz="4" w:space="0" w:color="A5A5A5" w:themeColor="accent3"/>
              <w:left w:val="nil"/>
              <w:bottom w:val="single" w:sz="4" w:space="0" w:color="A5A5A5" w:themeColor="accent3"/>
              <w:right w:val="nil"/>
            </w:tcBorders>
            <w:vAlign w:val="center"/>
          </w:tcPr>
          <w:p w14:paraId="46D386CC"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6A0E935B" wp14:editId="4C37F116">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BE72B8F"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1928A978" wp14:editId="47FA1737">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2E7ED28F"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526087F9"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5C4D34FF" w14:textId="77777777" w:rsidR="00BF2FFA" w:rsidRPr="0058047D" w:rsidRDefault="00BF2FFA" w:rsidP="004E6530">
            <w:pPr>
              <w:spacing w:before="20" w:after="20"/>
              <w:rPr>
                <w:rFonts w:ascii="Segoe UI" w:eastAsia="Times New Roman" w:hAnsi="Segoe UI" w:cs="Segoe UI"/>
                <w:noProof/>
                <w:color w:val="000000"/>
                <w:sz w:val="13"/>
                <w:szCs w:val="13"/>
              </w:rPr>
            </w:pPr>
            <w:r w:rsidRPr="0058047D">
              <w:rPr>
                <w:rFonts w:ascii="Segoe UI" w:eastAsia="Times New Roman" w:hAnsi="Segoe UI" w:cs="Segoe UI"/>
                <w:color w:val="000000"/>
                <w:sz w:val="13"/>
                <w:szCs w:val="13"/>
              </w:rPr>
              <w:t>Converti un</w:t>
            </w:r>
            <w:r w:rsidR="001C4212">
              <w:rPr>
                <w:rFonts w:ascii="Segoe UI" w:eastAsia="Times New Roman" w:hAnsi="Segoe UI" w:cs="Segoe UI"/>
                <w:color w:val="000000"/>
                <w:sz w:val="13"/>
                <w:szCs w:val="13"/>
              </w:rPr>
              <w:t>’</w:t>
            </w:r>
            <w:r w:rsidRPr="0058047D">
              <w:rPr>
                <w:rFonts w:ascii="Segoe UI" w:eastAsia="Times New Roman" w:hAnsi="Segoe UI" w:cs="Segoe UI"/>
                <w:color w:val="000000"/>
                <w:sz w:val="13"/>
                <w:szCs w:val="13"/>
              </w:rPr>
              <w:t>attività in un</w:t>
            </w:r>
            <w:r w:rsidR="001C4212">
              <w:rPr>
                <w:rFonts w:ascii="Segoe UI" w:eastAsia="Times New Roman" w:hAnsi="Segoe UI" w:cs="Segoe UI"/>
                <w:color w:val="000000"/>
                <w:sz w:val="13"/>
                <w:szCs w:val="13"/>
              </w:rPr>
              <w:t>’</w:t>
            </w:r>
            <w:r w:rsidRPr="0058047D">
              <w:rPr>
                <w:rFonts w:ascii="Segoe UI" w:eastAsia="Times New Roman" w:hAnsi="Segoe UI" w:cs="Segoe UI"/>
                <w:color w:val="000000"/>
                <w:sz w:val="13"/>
                <w:szCs w:val="13"/>
              </w:rPr>
              <w:t>opportunità</w:t>
            </w:r>
          </w:p>
        </w:tc>
        <w:tc>
          <w:tcPr>
            <w:tcW w:w="793" w:type="dxa"/>
            <w:tcBorders>
              <w:top w:val="single" w:sz="4" w:space="0" w:color="A5A5A5" w:themeColor="accent3"/>
              <w:left w:val="nil"/>
              <w:bottom w:val="single" w:sz="4" w:space="0" w:color="A5A5A5" w:themeColor="accent3"/>
              <w:right w:val="nil"/>
            </w:tcBorders>
            <w:vAlign w:val="center"/>
          </w:tcPr>
          <w:p w14:paraId="18F6F6CD" w14:textId="77777777" w:rsidR="00BF2FFA" w:rsidRPr="0058047D" w:rsidRDefault="00BF2FFA" w:rsidP="004E6530">
            <w:pPr>
              <w:spacing w:before="20" w:after="20"/>
              <w:jc w:val="right"/>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605982C7" wp14:editId="64FAF86A">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14:paraId="5566D9FB"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14:paraId="65C56545" w14:textId="77777777" w:rsidR="00BF2FFA" w:rsidRPr="0058047D" w:rsidRDefault="00BF2FFA" w:rsidP="004E6530">
            <w:pPr>
              <w:spacing w:before="20" w:after="20"/>
              <w:jc w:val="center"/>
              <w:rPr>
                <w:rFonts w:ascii="Segoe UI" w:eastAsia="Times New Roman" w:hAnsi="Segoe UI" w:cs="Segoe UI"/>
                <w:noProof/>
                <w:color w:val="000000"/>
                <w:sz w:val="14"/>
                <w:szCs w:val="16"/>
              </w:rPr>
            </w:pPr>
          </w:p>
        </w:tc>
      </w:tr>
      <w:tr w:rsidR="00BF2FFA" w:rsidRPr="0058047D" w14:paraId="11FCDCE1"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80910BC" w14:textId="77777777" w:rsidR="00BF2FFA" w:rsidRPr="0058047D" w:rsidRDefault="00BF2FFA" w:rsidP="004E6530">
            <w:pPr>
              <w:spacing w:before="20" w:after="20"/>
              <w:rPr>
                <w:rFonts w:ascii="Segoe UI" w:eastAsia="Times New Roman" w:hAnsi="Segoe UI" w:cs="Segoe UI"/>
                <w:noProof/>
                <w:color w:val="000000"/>
                <w:sz w:val="13"/>
                <w:szCs w:val="13"/>
              </w:rPr>
            </w:pPr>
            <w:r w:rsidRPr="0058047D">
              <w:rPr>
                <w:rFonts w:ascii="Segoe UI" w:eastAsia="Times New Roman" w:hAnsi="Segoe UI" w:cs="Segoe UI"/>
                <w:color w:val="000000"/>
                <w:sz w:val="13"/>
                <w:szCs w:val="13"/>
              </w:rPr>
              <w:t>Converti un</w:t>
            </w:r>
            <w:r w:rsidR="001C4212">
              <w:rPr>
                <w:rFonts w:ascii="Segoe UI" w:eastAsia="Times New Roman" w:hAnsi="Segoe UI" w:cs="Segoe UI"/>
                <w:color w:val="000000"/>
                <w:sz w:val="13"/>
                <w:szCs w:val="13"/>
              </w:rPr>
              <w:t>’</w:t>
            </w:r>
            <w:r w:rsidRPr="0058047D">
              <w:rPr>
                <w:rFonts w:ascii="Segoe UI" w:eastAsia="Times New Roman" w:hAnsi="Segoe UI" w:cs="Segoe UI"/>
                <w:color w:val="000000"/>
                <w:sz w:val="13"/>
                <w:szCs w:val="13"/>
              </w:rPr>
              <w:t>attività in un caso</w:t>
            </w:r>
          </w:p>
        </w:tc>
        <w:tc>
          <w:tcPr>
            <w:tcW w:w="823" w:type="dxa"/>
            <w:tcBorders>
              <w:top w:val="single" w:sz="4" w:space="0" w:color="A5A5A5" w:themeColor="accent3"/>
              <w:left w:val="nil"/>
              <w:bottom w:val="single" w:sz="4" w:space="0" w:color="A5A5A5" w:themeColor="accent3"/>
              <w:right w:val="nil"/>
            </w:tcBorders>
            <w:vAlign w:val="center"/>
          </w:tcPr>
          <w:p w14:paraId="3ED3FC0D"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0B18D879" wp14:editId="533544E4">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5794CF2"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3DA0BBBD" wp14:editId="5A4F247D">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989D207"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374B48E2"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5E37E722" w14:textId="77777777" w:rsidR="00BF2FFA" w:rsidRPr="0058047D" w:rsidRDefault="00BF2FFA" w:rsidP="004E6530">
            <w:pPr>
              <w:spacing w:before="20" w:after="20"/>
              <w:rPr>
                <w:rFonts w:ascii="Segoe UI" w:eastAsia="Times New Roman" w:hAnsi="Segoe UI" w:cs="Segoe UI"/>
                <w:noProof/>
                <w:color w:val="000000"/>
                <w:sz w:val="13"/>
                <w:szCs w:val="13"/>
              </w:rPr>
            </w:pPr>
            <w:r w:rsidRPr="0058047D">
              <w:rPr>
                <w:rFonts w:ascii="Segoe UI" w:eastAsia="Times New Roman" w:hAnsi="Segoe UI" w:cs="Segoe UI"/>
                <w:color w:val="000000"/>
                <w:sz w:val="13"/>
                <w:szCs w:val="13"/>
              </w:rPr>
              <w:t>Tracciabilità opportunità</w:t>
            </w:r>
          </w:p>
        </w:tc>
        <w:tc>
          <w:tcPr>
            <w:tcW w:w="793" w:type="dxa"/>
            <w:tcBorders>
              <w:top w:val="single" w:sz="4" w:space="0" w:color="A5A5A5" w:themeColor="accent3"/>
              <w:left w:val="nil"/>
              <w:bottom w:val="single" w:sz="4" w:space="0" w:color="A5A5A5" w:themeColor="accent3"/>
              <w:right w:val="nil"/>
            </w:tcBorders>
            <w:vAlign w:val="center"/>
          </w:tcPr>
          <w:p w14:paraId="21AAE5CF" w14:textId="77777777" w:rsidR="00BF2FFA" w:rsidRPr="0058047D" w:rsidRDefault="00BF2FFA" w:rsidP="004E6530">
            <w:pPr>
              <w:spacing w:before="20" w:after="20"/>
              <w:jc w:val="right"/>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2937BFA8" wp14:editId="5AC04741">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14:paraId="343F039A"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14:paraId="7079F6C5" w14:textId="77777777" w:rsidR="00BF2FFA" w:rsidRPr="0058047D" w:rsidRDefault="00BF2FFA" w:rsidP="004E6530">
            <w:pPr>
              <w:spacing w:before="20" w:after="20"/>
              <w:jc w:val="center"/>
              <w:rPr>
                <w:rFonts w:ascii="Segoe UI" w:eastAsia="Times New Roman" w:hAnsi="Segoe UI" w:cs="Segoe UI"/>
                <w:noProof/>
                <w:color w:val="000000"/>
                <w:sz w:val="14"/>
                <w:szCs w:val="16"/>
              </w:rPr>
            </w:pPr>
          </w:p>
        </w:tc>
      </w:tr>
      <w:tr w:rsidR="00BF2FFA" w:rsidRPr="0058047D" w14:paraId="66F0858C"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CB25A36" w14:textId="77777777" w:rsidR="00BF2FFA" w:rsidRPr="0058047D" w:rsidRDefault="00BF2FFA" w:rsidP="004E6530">
            <w:pPr>
              <w:spacing w:before="20" w:after="20"/>
              <w:rPr>
                <w:rFonts w:ascii="Segoe UI" w:hAnsi="Segoe UI" w:cs="Segoe UI"/>
                <w:sz w:val="13"/>
                <w:szCs w:val="13"/>
              </w:rPr>
            </w:pPr>
            <w:r w:rsidRPr="0058047D">
              <w:rPr>
                <w:rFonts w:ascii="Segoe UI" w:eastAsia="Times New Roman" w:hAnsi="Segoe UI" w:cs="Segoe UI"/>
                <w:color w:val="000000"/>
                <w:sz w:val="13"/>
                <w:szCs w:val="13"/>
              </w:rPr>
              <w:t>Gestione dei casi</w:t>
            </w:r>
          </w:p>
        </w:tc>
        <w:tc>
          <w:tcPr>
            <w:tcW w:w="823" w:type="dxa"/>
            <w:tcBorders>
              <w:top w:val="single" w:sz="4" w:space="0" w:color="A5A5A5" w:themeColor="accent3"/>
              <w:left w:val="nil"/>
              <w:bottom w:val="single" w:sz="4" w:space="0" w:color="A5A5A5" w:themeColor="accent3"/>
              <w:right w:val="nil"/>
            </w:tcBorders>
            <w:vAlign w:val="center"/>
          </w:tcPr>
          <w:p w14:paraId="513BA57B" w14:textId="77777777" w:rsidR="00BF2FFA" w:rsidRPr="0058047D" w:rsidRDefault="00BF2FFA" w:rsidP="004E6530">
            <w:pPr>
              <w:spacing w:before="20" w:after="20"/>
              <w:jc w:val="center"/>
              <w:rPr>
                <w:rFonts w:ascii="Segoe UI" w:hAnsi="Segoe UI" w:cs="Segoe UI"/>
                <w:sz w:val="12"/>
                <w:szCs w:val="16"/>
              </w:rPr>
            </w:pPr>
            <w:r w:rsidRPr="0058047D">
              <w:rPr>
                <w:rFonts w:ascii="Segoe UI" w:eastAsia="Times New Roman" w:hAnsi="Segoe UI" w:cs="Segoe UI"/>
                <w:noProof/>
                <w:color w:val="000000"/>
                <w:sz w:val="12"/>
                <w:szCs w:val="16"/>
              </w:rPr>
              <w:drawing>
                <wp:inline distT="0" distB="0" distL="0" distR="0" wp14:anchorId="1D7A5D6F" wp14:editId="7A5F3679">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8482DAE" w14:textId="77777777" w:rsidR="00BF2FFA" w:rsidRPr="0058047D" w:rsidRDefault="00BF2FFA" w:rsidP="004E6530">
            <w:pPr>
              <w:spacing w:before="20" w:after="20"/>
              <w:jc w:val="center"/>
              <w:rPr>
                <w:rFonts w:ascii="Segoe UI" w:hAnsi="Segoe UI" w:cs="Segoe UI"/>
                <w:sz w:val="12"/>
                <w:szCs w:val="16"/>
              </w:rPr>
            </w:pPr>
            <w:r w:rsidRPr="0058047D">
              <w:rPr>
                <w:rFonts w:ascii="Segoe UI" w:eastAsia="Times New Roman" w:hAnsi="Segoe UI" w:cs="Segoe UI"/>
                <w:noProof/>
                <w:color w:val="000000"/>
                <w:sz w:val="12"/>
                <w:szCs w:val="16"/>
              </w:rPr>
              <w:drawing>
                <wp:inline distT="0" distB="0" distL="0" distR="0" wp14:anchorId="31B9C747" wp14:editId="3F1ECA6E">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40D6FCA" w14:textId="77777777" w:rsidR="00BF2FFA" w:rsidRPr="0058047D" w:rsidRDefault="00BF2FFA" w:rsidP="004E6530">
            <w:pPr>
              <w:spacing w:before="20" w:after="20"/>
              <w:jc w:val="center"/>
              <w:rPr>
                <w:rFonts w:ascii="Segoe UI" w:hAnsi="Segoe UI" w:cs="Segoe UI"/>
                <w:sz w:val="12"/>
                <w:szCs w:val="16"/>
              </w:rPr>
            </w:pPr>
          </w:p>
        </w:tc>
        <w:tc>
          <w:tcPr>
            <w:tcW w:w="270" w:type="dxa"/>
            <w:tcBorders>
              <w:top w:val="nil"/>
              <w:left w:val="nil"/>
              <w:bottom w:val="nil"/>
              <w:right w:val="nil"/>
            </w:tcBorders>
            <w:shd w:val="clear" w:color="auto" w:fill="auto"/>
          </w:tcPr>
          <w:p w14:paraId="12864A5D"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44DF8B2E" w14:textId="77777777" w:rsidR="00BF2FFA" w:rsidRPr="0058047D" w:rsidRDefault="00BF2FFA" w:rsidP="004E6530">
            <w:pPr>
              <w:spacing w:before="20" w:after="20"/>
              <w:rPr>
                <w:rFonts w:ascii="Segoe UI" w:eastAsia="Times New Roman" w:hAnsi="Segoe UI" w:cs="Segoe UI"/>
                <w:noProof/>
                <w:color w:val="000000"/>
                <w:sz w:val="13"/>
                <w:szCs w:val="13"/>
              </w:rPr>
            </w:pPr>
            <w:r w:rsidRPr="0058047D">
              <w:rPr>
                <w:rFonts w:ascii="Segoe UI" w:eastAsia="Times New Roman" w:hAnsi="Segoe UI" w:cs="Segoe UI"/>
                <w:color w:val="000000"/>
                <w:sz w:val="13"/>
                <w:szCs w:val="13"/>
              </w:rPr>
              <w:t>Elenchi marketing</w:t>
            </w:r>
          </w:p>
        </w:tc>
        <w:tc>
          <w:tcPr>
            <w:tcW w:w="793" w:type="dxa"/>
            <w:tcBorders>
              <w:top w:val="single" w:sz="4" w:space="0" w:color="A5A5A5" w:themeColor="accent3"/>
              <w:left w:val="nil"/>
              <w:bottom w:val="single" w:sz="4" w:space="0" w:color="A5A5A5" w:themeColor="accent3"/>
              <w:right w:val="nil"/>
            </w:tcBorders>
            <w:vAlign w:val="center"/>
          </w:tcPr>
          <w:p w14:paraId="4EEB42CB" w14:textId="77777777" w:rsidR="00BF2FFA" w:rsidRPr="0058047D" w:rsidRDefault="00BF2FFA" w:rsidP="004E6530">
            <w:pPr>
              <w:spacing w:before="20" w:after="20"/>
              <w:jc w:val="right"/>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1B48BD6C" wp14:editId="50979B72">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14:paraId="326E52D8"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14:paraId="4D6CEDED" w14:textId="77777777" w:rsidR="00BF2FFA" w:rsidRPr="0058047D" w:rsidRDefault="00BF2FFA" w:rsidP="004E6530">
            <w:pPr>
              <w:spacing w:before="20" w:after="20"/>
              <w:jc w:val="center"/>
              <w:rPr>
                <w:rFonts w:ascii="Segoe UI" w:eastAsia="Times New Roman" w:hAnsi="Segoe UI" w:cs="Segoe UI"/>
                <w:noProof/>
                <w:color w:val="000000"/>
                <w:sz w:val="14"/>
                <w:szCs w:val="16"/>
              </w:rPr>
            </w:pPr>
          </w:p>
        </w:tc>
      </w:tr>
      <w:tr w:rsidR="00BF2FFA" w:rsidRPr="0058047D" w14:paraId="56E76714"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4402DA4" w14:textId="77777777" w:rsidR="00BF2FFA" w:rsidRPr="0058047D" w:rsidRDefault="00BF2FFA" w:rsidP="004E6530">
            <w:pPr>
              <w:spacing w:before="20" w:after="20"/>
              <w:rPr>
                <w:rFonts w:ascii="Segoe UI" w:hAnsi="Segoe UI" w:cs="Segoe UI"/>
                <w:noProof/>
                <w:sz w:val="13"/>
                <w:szCs w:val="13"/>
              </w:rPr>
            </w:pPr>
            <w:r w:rsidRPr="0058047D">
              <w:rPr>
                <w:rFonts w:ascii="Segoe UI" w:eastAsia="Times New Roman" w:hAnsi="Segoe UI" w:cs="Segoe UI"/>
                <w:color w:val="000000"/>
                <w:sz w:val="13"/>
                <w:szCs w:val="13"/>
              </w:rPr>
              <w:t>Aggiungi o rimuovi la relazione di una società per un contatto</w:t>
            </w:r>
          </w:p>
        </w:tc>
        <w:tc>
          <w:tcPr>
            <w:tcW w:w="823" w:type="dxa"/>
            <w:tcBorders>
              <w:top w:val="single" w:sz="4" w:space="0" w:color="A5A5A5" w:themeColor="accent3"/>
              <w:left w:val="nil"/>
              <w:bottom w:val="single" w:sz="4" w:space="0" w:color="A5A5A5" w:themeColor="accent3"/>
              <w:right w:val="nil"/>
            </w:tcBorders>
            <w:vAlign w:val="center"/>
          </w:tcPr>
          <w:p w14:paraId="1D23C7FE" w14:textId="77777777" w:rsidR="00BF2FFA" w:rsidRPr="0058047D" w:rsidRDefault="00BF2FFA" w:rsidP="004E6530">
            <w:pPr>
              <w:spacing w:before="20" w:after="20"/>
              <w:jc w:val="center"/>
              <w:rPr>
                <w:rFonts w:ascii="Segoe UI" w:hAnsi="Segoe UI" w:cs="Segoe UI"/>
                <w:noProof/>
                <w:sz w:val="12"/>
                <w:szCs w:val="16"/>
              </w:rPr>
            </w:pPr>
            <w:r w:rsidRPr="0058047D">
              <w:rPr>
                <w:rFonts w:ascii="Segoe UI" w:eastAsia="Times New Roman" w:hAnsi="Segoe UI" w:cs="Segoe UI"/>
                <w:noProof/>
                <w:color w:val="000000"/>
                <w:sz w:val="12"/>
                <w:szCs w:val="16"/>
              </w:rPr>
              <w:drawing>
                <wp:inline distT="0" distB="0" distL="0" distR="0" wp14:anchorId="63333BA1" wp14:editId="3F8379D0">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0BC25D5" w14:textId="77777777" w:rsidR="00BF2FFA" w:rsidRPr="0058047D" w:rsidRDefault="00BF2FFA" w:rsidP="004E6530">
            <w:pPr>
              <w:spacing w:before="20" w:after="20"/>
              <w:jc w:val="center"/>
              <w:rPr>
                <w:rFonts w:ascii="Segoe UI" w:hAnsi="Segoe UI" w:cs="Segoe UI"/>
                <w:noProof/>
                <w:sz w:val="12"/>
                <w:szCs w:val="16"/>
              </w:rPr>
            </w:pPr>
            <w:r w:rsidRPr="0058047D">
              <w:rPr>
                <w:rFonts w:ascii="Segoe UI" w:eastAsia="Times New Roman" w:hAnsi="Segoe UI" w:cs="Segoe UI"/>
                <w:noProof/>
                <w:color w:val="000000"/>
                <w:sz w:val="12"/>
                <w:szCs w:val="16"/>
              </w:rPr>
              <w:drawing>
                <wp:inline distT="0" distB="0" distL="0" distR="0" wp14:anchorId="31E4F0BD" wp14:editId="36F443C6">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4D040597" w14:textId="77777777" w:rsidR="00BF2FFA" w:rsidRPr="0058047D"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2E5747F3"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65700F44" w14:textId="77777777" w:rsidR="00BF2FFA" w:rsidRPr="0058047D" w:rsidRDefault="00BF2FFA" w:rsidP="004E6530">
            <w:pPr>
              <w:spacing w:before="20" w:after="20"/>
              <w:rPr>
                <w:rFonts w:ascii="Segoe UI" w:eastAsia="Times New Roman" w:hAnsi="Segoe UI" w:cs="Segoe UI"/>
                <w:noProof/>
                <w:color w:val="000000"/>
                <w:sz w:val="13"/>
                <w:szCs w:val="13"/>
              </w:rPr>
            </w:pPr>
            <w:r w:rsidRPr="0058047D">
              <w:rPr>
                <w:rFonts w:ascii="Segoe UI" w:eastAsia="Times New Roman" w:hAnsi="Segoe UI" w:cs="Segoe UI"/>
                <w:color w:val="000000"/>
                <w:sz w:val="13"/>
                <w:szCs w:val="13"/>
              </w:rPr>
              <w:t>Mini-campagne</w:t>
            </w:r>
          </w:p>
        </w:tc>
        <w:tc>
          <w:tcPr>
            <w:tcW w:w="793" w:type="dxa"/>
            <w:tcBorders>
              <w:top w:val="single" w:sz="4" w:space="0" w:color="A5A5A5" w:themeColor="accent3"/>
              <w:left w:val="nil"/>
              <w:bottom w:val="single" w:sz="4" w:space="0" w:color="A5A5A5" w:themeColor="accent3"/>
              <w:right w:val="nil"/>
            </w:tcBorders>
            <w:vAlign w:val="center"/>
          </w:tcPr>
          <w:p w14:paraId="17068350" w14:textId="77777777" w:rsidR="00BF2FFA" w:rsidRPr="0058047D" w:rsidRDefault="00BF2FFA" w:rsidP="004E6530">
            <w:pPr>
              <w:spacing w:before="20" w:after="20"/>
              <w:jc w:val="right"/>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53D8D6D9" wp14:editId="40B72D75">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14:paraId="6FE86535" w14:textId="77777777" w:rsidR="00BF2FFA" w:rsidRPr="0058047D" w:rsidRDefault="00BF2FFA" w:rsidP="004E6530">
            <w:pPr>
              <w:spacing w:before="20" w:after="20"/>
              <w:jc w:val="center"/>
              <w:rPr>
                <w:rFonts w:ascii="Segoe UI" w:eastAsia="Times New Roman" w:hAnsi="Segoe UI" w:cs="Segoe UI"/>
                <w:noProof/>
                <w:color w:val="000000"/>
                <w:sz w:val="14"/>
                <w:szCs w:val="16"/>
              </w:rPr>
            </w:pPr>
          </w:p>
        </w:tc>
        <w:tc>
          <w:tcPr>
            <w:tcW w:w="701" w:type="dxa"/>
            <w:tcBorders>
              <w:top w:val="single" w:sz="4" w:space="0" w:color="A5A5A5" w:themeColor="accent3"/>
              <w:left w:val="nil"/>
              <w:bottom w:val="single" w:sz="4" w:space="0" w:color="A5A5A5" w:themeColor="accent3"/>
              <w:right w:val="nil"/>
            </w:tcBorders>
          </w:tcPr>
          <w:p w14:paraId="417F9798" w14:textId="77777777" w:rsidR="00BF2FFA" w:rsidRPr="0058047D" w:rsidRDefault="00BF2FFA" w:rsidP="004E6530">
            <w:pPr>
              <w:spacing w:before="20" w:after="20"/>
              <w:jc w:val="center"/>
              <w:rPr>
                <w:rFonts w:ascii="Segoe UI" w:eastAsia="Times New Roman" w:hAnsi="Segoe UI" w:cs="Segoe UI"/>
                <w:noProof/>
                <w:color w:val="000000"/>
                <w:sz w:val="14"/>
                <w:szCs w:val="16"/>
              </w:rPr>
            </w:pPr>
          </w:p>
        </w:tc>
      </w:tr>
      <w:tr w:rsidR="00BF2FFA" w:rsidRPr="0058047D" w14:paraId="3E161045"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66A4156" w14:textId="77777777" w:rsidR="00BF2FFA" w:rsidRPr="0058047D" w:rsidRDefault="00BF2FFA" w:rsidP="00075CCA">
            <w:pPr>
              <w:spacing w:before="20" w:after="20"/>
              <w:rPr>
                <w:rFonts w:ascii="Segoe UI" w:hAnsi="Segoe UI" w:cs="Segoe UI"/>
                <w:noProof/>
                <w:sz w:val="13"/>
                <w:szCs w:val="13"/>
              </w:rPr>
            </w:pPr>
            <w:r w:rsidRPr="0058047D">
              <w:rPr>
                <w:rFonts w:ascii="Segoe UI" w:eastAsia="Times New Roman" w:hAnsi="Segoe UI" w:cs="Segoe UI"/>
                <w:color w:val="000000"/>
                <w:sz w:val="13"/>
                <w:szCs w:val="13"/>
              </w:rPr>
              <w:t>Associa un</w:t>
            </w:r>
            <w:r w:rsidR="001C4212">
              <w:rPr>
                <w:rFonts w:ascii="Segoe UI" w:eastAsia="Times New Roman" w:hAnsi="Segoe UI" w:cs="Segoe UI"/>
                <w:color w:val="000000"/>
                <w:sz w:val="13"/>
                <w:szCs w:val="13"/>
              </w:rPr>
              <w:t>’</w:t>
            </w:r>
            <w:r w:rsidRPr="0058047D">
              <w:rPr>
                <w:rFonts w:ascii="Segoe UI" w:eastAsia="Times New Roman" w:hAnsi="Segoe UI" w:cs="Segoe UI"/>
                <w:color w:val="000000"/>
                <w:sz w:val="13"/>
                <w:szCs w:val="13"/>
              </w:rPr>
              <w:t>opportunità a</w:t>
            </w:r>
            <w:r w:rsidR="00075CCA">
              <w:rPr>
                <w:rFonts w:ascii="Segoe UI" w:eastAsia="Times New Roman" w:hAnsi="Segoe UI" w:cs="Segoe UI"/>
                <w:color w:val="000000"/>
                <w:sz w:val="13"/>
                <w:szCs w:val="13"/>
              </w:rPr>
              <w:t> </w:t>
            </w:r>
            <w:r w:rsidRPr="0058047D">
              <w:rPr>
                <w:rFonts w:ascii="Segoe UI" w:eastAsia="Times New Roman" w:hAnsi="Segoe UI" w:cs="Segoe UI"/>
                <w:color w:val="000000"/>
                <w:sz w:val="13"/>
                <w:szCs w:val="13"/>
              </w:rPr>
              <w:t>un contatto</w:t>
            </w:r>
          </w:p>
        </w:tc>
        <w:tc>
          <w:tcPr>
            <w:tcW w:w="823" w:type="dxa"/>
            <w:tcBorders>
              <w:top w:val="single" w:sz="4" w:space="0" w:color="A5A5A5" w:themeColor="accent3"/>
              <w:left w:val="nil"/>
              <w:bottom w:val="single" w:sz="4" w:space="0" w:color="A5A5A5" w:themeColor="accent3"/>
              <w:right w:val="nil"/>
            </w:tcBorders>
            <w:vAlign w:val="center"/>
          </w:tcPr>
          <w:p w14:paraId="35593644" w14:textId="77777777" w:rsidR="00BF2FFA" w:rsidRPr="0058047D" w:rsidRDefault="00BF2FFA" w:rsidP="004E6530">
            <w:pPr>
              <w:spacing w:before="20" w:after="20"/>
              <w:jc w:val="center"/>
              <w:rPr>
                <w:rFonts w:ascii="Segoe UI" w:hAnsi="Segoe UI" w:cs="Segoe UI"/>
                <w:noProof/>
                <w:sz w:val="12"/>
                <w:szCs w:val="16"/>
              </w:rPr>
            </w:pPr>
            <w:r w:rsidRPr="0058047D">
              <w:rPr>
                <w:rFonts w:ascii="Segoe UI" w:eastAsia="Times New Roman" w:hAnsi="Segoe UI" w:cs="Segoe UI"/>
                <w:noProof/>
                <w:color w:val="000000"/>
                <w:sz w:val="12"/>
                <w:szCs w:val="16"/>
              </w:rPr>
              <w:drawing>
                <wp:inline distT="0" distB="0" distL="0" distR="0" wp14:anchorId="4E57A730" wp14:editId="13B5B36F">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A83A71F" w14:textId="77777777" w:rsidR="00BF2FFA" w:rsidRPr="0058047D" w:rsidRDefault="00BF2FFA" w:rsidP="004E6530">
            <w:pPr>
              <w:spacing w:before="20" w:after="20"/>
              <w:jc w:val="center"/>
              <w:rPr>
                <w:rFonts w:ascii="Segoe UI" w:hAnsi="Segoe UI" w:cs="Segoe UI"/>
                <w:noProof/>
                <w:sz w:val="12"/>
                <w:szCs w:val="16"/>
              </w:rPr>
            </w:pPr>
            <w:r w:rsidRPr="0058047D">
              <w:rPr>
                <w:rFonts w:ascii="Segoe UI" w:eastAsia="Times New Roman" w:hAnsi="Segoe UI" w:cs="Segoe UI"/>
                <w:noProof/>
                <w:color w:val="000000"/>
                <w:sz w:val="12"/>
                <w:szCs w:val="16"/>
              </w:rPr>
              <w:drawing>
                <wp:inline distT="0" distB="0" distL="0" distR="0" wp14:anchorId="3CB15861" wp14:editId="7A985DC5">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67AF109F" w14:textId="77777777" w:rsidR="00BF2FFA" w:rsidRPr="0058047D"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421DA517"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6532A77" w14:textId="77777777" w:rsidR="00BF2FFA" w:rsidRPr="0058047D" w:rsidRDefault="00BF2FFA" w:rsidP="004E6530">
            <w:pPr>
              <w:spacing w:before="20" w:after="20"/>
              <w:rPr>
                <w:rFonts w:ascii="Segoe UI" w:eastAsia="Times New Roman" w:hAnsi="Segoe UI" w:cs="Segoe UI"/>
                <w:noProof/>
                <w:color w:val="000000"/>
                <w:sz w:val="13"/>
                <w:szCs w:val="13"/>
              </w:rPr>
            </w:pPr>
            <w:r w:rsidRPr="0058047D">
              <w:rPr>
                <w:rFonts w:ascii="Segoe UI" w:eastAsia="Times New Roman" w:hAnsi="Segoe UI" w:cs="Segoe UI"/>
                <w:color w:val="000000"/>
                <w:sz w:val="13"/>
                <w:szCs w:val="13"/>
              </w:rPr>
              <w:t>Campagne di marketing</w:t>
            </w:r>
          </w:p>
        </w:tc>
        <w:tc>
          <w:tcPr>
            <w:tcW w:w="793" w:type="dxa"/>
            <w:tcBorders>
              <w:top w:val="single" w:sz="4" w:space="0" w:color="A5A5A5" w:themeColor="accent3"/>
              <w:left w:val="nil"/>
              <w:bottom w:val="single" w:sz="4" w:space="0" w:color="A5A5A5" w:themeColor="accent3"/>
              <w:right w:val="nil"/>
            </w:tcBorders>
            <w:vAlign w:val="center"/>
          </w:tcPr>
          <w:p w14:paraId="3F90D92B" w14:textId="77777777" w:rsidR="00BF2FFA" w:rsidRPr="0058047D" w:rsidRDefault="00BF2FFA" w:rsidP="004E6530">
            <w:pPr>
              <w:spacing w:before="20" w:after="20"/>
              <w:jc w:val="right"/>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42525B48" wp14:editId="6C84B7CA">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69" w:type="dxa"/>
            <w:tcBorders>
              <w:top w:val="single" w:sz="4" w:space="0" w:color="A5A5A5" w:themeColor="accent3"/>
              <w:left w:val="nil"/>
              <w:bottom w:val="single" w:sz="4" w:space="0" w:color="A5A5A5" w:themeColor="accent3"/>
              <w:right w:val="nil"/>
            </w:tcBorders>
          </w:tcPr>
          <w:p w14:paraId="32E81A78" w14:textId="77777777" w:rsidR="00BF2FFA" w:rsidRPr="0058047D" w:rsidRDefault="00BF2FFA" w:rsidP="004E6530">
            <w:pPr>
              <w:spacing w:before="20" w:after="20"/>
              <w:jc w:val="center"/>
              <w:rPr>
                <w:rFonts w:ascii="Segoe UI" w:eastAsia="Times New Roman" w:hAnsi="Segoe UI" w:cs="Segoe UI"/>
                <w:noProof/>
                <w:color w:val="000000"/>
                <w:sz w:val="14"/>
                <w:szCs w:val="16"/>
              </w:rPr>
            </w:pPr>
          </w:p>
        </w:tc>
        <w:tc>
          <w:tcPr>
            <w:tcW w:w="701" w:type="dxa"/>
            <w:tcBorders>
              <w:top w:val="single" w:sz="4" w:space="0" w:color="A5A5A5" w:themeColor="accent3"/>
              <w:left w:val="nil"/>
              <w:bottom w:val="single" w:sz="4" w:space="0" w:color="A5A5A5" w:themeColor="accent3"/>
              <w:right w:val="nil"/>
            </w:tcBorders>
          </w:tcPr>
          <w:p w14:paraId="0D4C2AE3" w14:textId="77777777" w:rsidR="00BF2FFA" w:rsidRPr="0058047D" w:rsidRDefault="00BF2FFA" w:rsidP="004E6530">
            <w:pPr>
              <w:spacing w:before="20" w:after="20"/>
              <w:jc w:val="center"/>
              <w:rPr>
                <w:rFonts w:ascii="Segoe UI" w:eastAsia="Times New Roman" w:hAnsi="Segoe UI" w:cs="Segoe UI"/>
                <w:noProof/>
                <w:color w:val="000000"/>
                <w:sz w:val="14"/>
                <w:szCs w:val="16"/>
              </w:rPr>
            </w:pPr>
          </w:p>
        </w:tc>
      </w:tr>
      <w:tr w:rsidR="00BF2FFA" w:rsidRPr="0058047D" w14:paraId="4AD3DA70" w14:textId="77777777" w:rsidTr="00075CCA">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F7AFDAE" w14:textId="77777777" w:rsidR="00BF2FFA" w:rsidRPr="0058047D" w:rsidRDefault="00BF2FFA" w:rsidP="004E6530">
            <w:pPr>
              <w:spacing w:before="20" w:after="20"/>
              <w:rPr>
                <w:rFonts w:ascii="Segoe UI" w:eastAsia="Times New Roman" w:hAnsi="Segoe UI" w:cs="Segoe UI"/>
                <w:noProof/>
                <w:color w:val="000000"/>
                <w:sz w:val="13"/>
                <w:szCs w:val="13"/>
              </w:rPr>
            </w:pPr>
            <w:r w:rsidRPr="0058047D">
              <w:rPr>
                <w:rFonts w:ascii="Segoe UI" w:eastAsia="Times New Roman" w:hAnsi="Segoe UI" w:cs="Segoe UI"/>
                <w:color w:val="000000"/>
                <w:sz w:val="13"/>
                <w:szCs w:val="13"/>
              </w:rPr>
              <w:t>Qualifica e converti un potenziale cliente in un contatto</w:t>
            </w:r>
          </w:p>
        </w:tc>
        <w:tc>
          <w:tcPr>
            <w:tcW w:w="823" w:type="dxa"/>
            <w:tcBorders>
              <w:top w:val="single" w:sz="4" w:space="0" w:color="A5A5A5" w:themeColor="accent3"/>
              <w:left w:val="nil"/>
              <w:bottom w:val="single" w:sz="4" w:space="0" w:color="A5A5A5" w:themeColor="accent3"/>
              <w:right w:val="nil"/>
            </w:tcBorders>
            <w:vAlign w:val="center"/>
          </w:tcPr>
          <w:p w14:paraId="5C62FB83"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3A8BAA08" wp14:editId="1B06D33E">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C57C1CE" w14:textId="77777777" w:rsidR="00BF2FFA" w:rsidRPr="0058047D" w:rsidRDefault="00BF2FFA" w:rsidP="004E6530">
            <w:pPr>
              <w:spacing w:before="20" w:after="20"/>
              <w:jc w:val="center"/>
              <w:rPr>
                <w:rFonts w:ascii="Segoe UI" w:eastAsia="Times New Roman" w:hAnsi="Segoe UI" w:cs="Segoe UI"/>
                <w:noProof/>
                <w:color w:val="000000"/>
                <w:sz w:val="12"/>
                <w:szCs w:val="16"/>
              </w:rPr>
            </w:pPr>
            <w:r w:rsidRPr="0058047D">
              <w:rPr>
                <w:rFonts w:ascii="Segoe UI" w:eastAsia="Times New Roman" w:hAnsi="Segoe UI" w:cs="Segoe UI"/>
                <w:noProof/>
                <w:color w:val="000000"/>
                <w:sz w:val="12"/>
                <w:szCs w:val="16"/>
              </w:rPr>
              <w:drawing>
                <wp:inline distT="0" distB="0" distL="0" distR="0" wp14:anchorId="6FE2BF4C" wp14:editId="68D1B547">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2DB2E749"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435FA121" w14:textId="77777777" w:rsidR="00BF2FFA" w:rsidRPr="0058047D" w:rsidRDefault="00BF2FFA" w:rsidP="004E6530">
            <w:pPr>
              <w:spacing w:before="20" w:after="20"/>
              <w:jc w:val="center"/>
              <w:rPr>
                <w:rFonts w:ascii="Segoe UI" w:eastAsia="Times New Roman" w:hAnsi="Segoe UI" w:cs="Segoe UI"/>
                <w:noProof/>
                <w:color w:val="000000"/>
                <w:sz w:val="12"/>
                <w:szCs w:val="16"/>
              </w:rPr>
            </w:pPr>
          </w:p>
        </w:tc>
        <w:tc>
          <w:tcPr>
            <w:tcW w:w="1187" w:type="dxa"/>
            <w:tcBorders>
              <w:top w:val="single" w:sz="4" w:space="0" w:color="A5A5A5" w:themeColor="accent3"/>
              <w:left w:val="nil"/>
              <w:bottom w:val="single" w:sz="4" w:space="0" w:color="A5A5A5" w:themeColor="accent3"/>
              <w:right w:val="nil"/>
            </w:tcBorders>
            <w:tcMar>
              <w:left w:w="72" w:type="dxa"/>
              <w:right w:w="72" w:type="dxa"/>
            </w:tcMar>
            <w:vAlign w:val="center"/>
          </w:tcPr>
          <w:p w14:paraId="46B53F03" w14:textId="77777777" w:rsidR="00BF2FFA" w:rsidRPr="0058047D" w:rsidRDefault="00BF2FFA" w:rsidP="004E6530">
            <w:pPr>
              <w:spacing w:before="20" w:after="20"/>
              <w:rPr>
                <w:rFonts w:ascii="Segoe UI" w:eastAsia="Times New Roman" w:hAnsi="Segoe UI" w:cs="Segoe UI"/>
                <w:noProof/>
                <w:color w:val="000000"/>
                <w:sz w:val="13"/>
                <w:szCs w:val="13"/>
              </w:rPr>
            </w:pPr>
          </w:p>
        </w:tc>
        <w:tc>
          <w:tcPr>
            <w:tcW w:w="793" w:type="dxa"/>
            <w:tcBorders>
              <w:top w:val="single" w:sz="4" w:space="0" w:color="A5A5A5" w:themeColor="accent3"/>
              <w:left w:val="nil"/>
              <w:bottom w:val="single" w:sz="4" w:space="0" w:color="A5A5A5" w:themeColor="accent3"/>
              <w:right w:val="nil"/>
            </w:tcBorders>
            <w:vAlign w:val="center"/>
          </w:tcPr>
          <w:p w14:paraId="323F2FA1" w14:textId="77777777" w:rsidR="00BF2FFA" w:rsidRPr="0058047D" w:rsidRDefault="00BF2FFA" w:rsidP="004E6530">
            <w:pPr>
              <w:spacing w:before="20" w:after="20"/>
              <w:jc w:val="right"/>
              <w:rPr>
                <w:rFonts w:ascii="Segoe UI" w:eastAsia="Times New Roman" w:hAnsi="Segoe UI" w:cs="Segoe UI"/>
                <w:noProof/>
                <w:color w:val="000000"/>
                <w:sz w:val="12"/>
                <w:szCs w:val="16"/>
              </w:rPr>
            </w:pPr>
          </w:p>
        </w:tc>
        <w:tc>
          <w:tcPr>
            <w:tcW w:w="469" w:type="dxa"/>
            <w:tcBorders>
              <w:top w:val="single" w:sz="4" w:space="0" w:color="A5A5A5" w:themeColor="accent3"/>
              <w:left w:val="nil"/>
              <w:bottom w:val="single" w:sz="4" w:space="0" w:color="A5A5A5" w:themeColor="accent3"/>
              <w:right w:val="nil"/>
            </w:tcBorders>
          </w:tcPr>
          <w:p w14:paraId="3D130FA7" w14:textId="77777777" w:rsidR="00BF2FFA" w:rsidRPr="0058047D" w:rsidRDefault="00BF2FFA" w:rsidP="004E6530">
            <w:pPr>
              <w:spacing w:before="20" w:after="20"/>
              <w:jc w:val="center"/>
              <w:rPr>
                <w:rFonts w:ascii="Segoe UI" w:eastAsia="Times New Roman" w:hAnsi="Segoe UI" w:cs="Segoe UI"/>
                <w:noProof/>
                <w:color w:val="000000"/>
                <w:sz w:val="14"/>
                <w:szCs w:val="16"/>
              </w:rPr>
            </w:pPr>
          </w:p>
        </w:tc>
        <w:tc>
          <w:tcPr>
            <w:tcW w:w="701" w:type="dxa"/>
            <w:tcBorders>
              <w:top w:val="single" w:sz="4" w:space="0" w:color="A5A5A5" w:themeColor="accent3"/>
              <w:left w:val="nil"/>
              <w:bottom w:val="single" w:sz="4" w:space="0" w:color="A5A5A5" w:themeColor="accent3"/>
              <w:right w:val="nil"/>
            </w:tcBorders>
          </w:tcPr>
          <w:p w14:paraId="1F4C3D2E" w14:textId="77777777" w:rsidR="00BF2FFA" w:rsidRPr="0058047D" w:rsidRDefault="00BF2FFA" w:rsidP="004E6530">
            <w:pPr>
              <w:spacing w:before="20" w:after="20"/>
              <w:jc w:val="center"/>
              <w:rPr>
                <w:rFonts w:ascii="Segoe UI" w:eastAsia="Times New Roman" w:hAnsi="Segoe UI" w:cs="Segoe UI"/>
                <w:noProof/>
                <w:color w:val="000000"/>
                <w:sz w:val="14"/>
                <w:szCs w:val="16"/>
              </w:rPr>
            </w:pPr>
          </w:p>
        </w:tc>
      </w:tr>
    </w:tbl>
    <w:p w14:paraId="3C6FD487" w14:textId="77777777" w:rsidR="000F4095" w:rsidRPr="0058047D" w:rsidRDefault="000F4095" w:rsidP="00BF2FFA">
      <w:pPr>
        <w:spacing w:before="80"/>
        <w:ind w:left="900"/>
      </w:pPr>
      <w:r w:rsidRPr="0058047D">
        <w:rPr>
          <w:rFonts w:cs="Tahoma"/>
        </w:rPr>
        <w:t xml:space="preserve"> </w:t>
      </w:r>
      <w:r w:rsidRPr="0058047D">
        <w:rPr>
          <w:rFonts w:ascii="Segoe UI" w:eastAsia="Times New Roman" w:hAnsi="Segoe UI" w:cs="Segoe UI"/>
          <w:color w:val="000000"/>
          <w:sz w:val="12"/>
          <w:szCs w:val="20"/>
        </w:rPr>
        <w:t>*Le azioni possono essere eseguite solo nei confronti di record corrispondenti a entità incluse nei diritti di utilizzo</w:t>
      </w:r>
    </w:p>
    <w:p w14:paraId="293910B7" w14:textId="77777777" w:rsidR="00047874" w:rsidRDefault="000F4095" w:rsidP="00BF2FFA">
      <w:pPr>
        <w:ind w:left="900"/>
        <w:rPr>
          <w:rFonts w:ascii="Segoe UI" w:eastAsia="Times New Roman" w:hAnsi="Segoe UI" w:cs="Segoe UI"/>
          <w:color w:val="000000"/>
          <w:sz w:val="12"/>
          <w:szCs w:val="20"/>
        </w:rPr>
      </w:pPr>
      <w:r w:rsidRPr="0058047D">
        <w:rPr>
          <w:rFonts w:ascii="Segoe UI" w:eastAsia="Times New Roman" w:hAnsi="Segoe UI" w:cs="Segoe UI"/>
          <w:color w:val="000000"/>
          <w:sz w:val="12"/>
          <w:szCs w:val="20"/>
        </w:rPr>
        <w:t>**L</w:t>
      </w:r>
      <w:r w:rsidR="001C4212">
        <w:rPr>
          <w:rFonts w:ascii="Segoe UI" w:eastAsia="Times New Roman" w:hAnsi="Segoe UI" w:cs="Segoe UI"/>
          <w:color w:val="000000"/>
          <w:sz w:val="12"/>
          <w:szCs w:val="20"/>
        </w:rPr>
        <w:t>’</w:t>
      </w:r>
      <w:r w:rsidRPr="0058047D">
        <w:rPr>
          <w:rFonts w:ascii="Segoe UI" w:eastAsia="Times New Roman" w:hAnsi="Segoe UI" w:cs="Segoe UI"/>
          <w:color w:val="000000"/>
          <w:sz w:val="12"/>
          <w:szCs w:val="20"/>
        </w:rPr>
        <w:t>utilizzo di Yammer all</w:t>
      </w:r>
      <w:r w:rsidR="001C4212">
        <w:rPr>
          <w:rFonts w:ascii="Segoe UI" w:eastAsia="Times New Roman" w:hAnsi="Segoe UI" w:cs="Segoe UI"/>
          <w:color w:val="000000"/>
          <w:sz w:val="12"/>
          <w:szCs w:val="20"/>
        </w:rPr>
        <w:t>’</w:t>
      </w:r>
      <w:r w:rsidRPr="0058047D">
        <w:rPr>
          <w:rFonts w:ascii="Segoe UI" w:eastAsia="Times New Roman" w:hAnsi="Segoe UI" w:cs="Segoe UI"/>
          <w:color w:val="000000"/>
          <w:sz w:val="12"/>
          <w:szCs w:val="20"/>
        </w:rPr>
        <w:t>interno dell</w:t>
      </w:r>
      <w:r w:rsidR="001C4212">
        <w:rPr>
          <w:rFonts w:ascii="Segoe UI" w:eastAsia="Times New Roman" w:hAnsi="Segoe UI" w:cs="Segoe UI"/>
          <w:color w:val="000000"/>
          <w:sz w:val="12"/>
          <w:szCs w:val="20"/>
        </w:rPr>
        <w:t>’</w:t>
      </w:r>
      <w:r w:rsidRPr="0058047D">
        <w:rPr>
          <w:rFonts w:ascii="Segoe UI" w:eastAsia="Times New Roman" w:hAnsi="Segoe UI" w:cs="Segoe UI"/>
          <w:color w:val="000000"/>
          <w:sz w:val="12"/>
          <w:szCs w:val="20"/>
        </w:rPr>
        <w:t>applicazione Microsoft Dynamics CRM richiede una licenza Enterprise per Yammer (acquistata separatamente)</w:t>
      </w:r>
    </w:p>
    <w:p w14:paraId="0D4315E0" w14:textId="77777777" w:rsidR="00E973EB" w:rsidRPr="00E973EB" w:rsidRDefault="00E973EB" w:rsidP="00BF2FFA">
      <w:pPr>
        <w:ind w:left="900"/>
        <w:rPr>
          <w:rFonts w:cs="Tahoma"/>
          <w:szCs w:val="18"/>
        </w:rPr>
      </w:pPr>
    </w:p>
    <w:p w14:paraId="61AADA3C" w14:textId="77777777" w:rsidR="000F4095" w:rsidRPr="0058047D" w:rsidRDefault="000F4095" w:rsidP="000F4095">
      <w:pPr>
        <w:pStyle w:val="Heading3"/>
        <w:keepNext/>
      </w:pPr>
      <w:bookmarkStart w:id="1345" w:name="_68_Microsoft_Dynamics"/>
      <w:bookmarkStart w:id="1346" w:name="_Toc336338328"/>
      <w:bookmarkEnd w:id="1345"/>
    </w:p>
    <w:p w14:paraId="728321E9" w14:textId="77777777" w:rsidR="0085774C" w:rsidRPr="0058047D" w:rsidRDefault="0085774C" w:rsidP="0085774C">
      <w:pPr>
        <w:pStyle w:val="Heading3"/>
        <w:keepNext/>
      </w:pPr>
      <w:bookmarkStart w:id="1347" w:name="_72_Microsoft_Dynamics_1"/>
      <w:bookmarkStart w:id="1348" w:name="_Toc371663725"/>
      <w:bookmarkEnd w:id="1347"/>
      <w:r w:rsidRPr="0058047D">
        <w:rPr>
          <w:rFonts w:ascii="Tahoma" w:hAnsi="Tahoma"/>
          <w:color w:val="F66400"/>
          <w:sz w:val="22"/>
          <w:vertAlign w:val="superscript"/>
        </w:rPr>
        <w:t>72</w:t>
      </w:r>
      <w:r w:rsidRPr="0058047D">
        <w:rPr>
          <w:rFonts w:ascii="Tahoma" w:hAnsi="Tahoma"/>
          <w:color w:val="F66400"/>
          <w:sz w:val="22"/>
        </w:rPr>
        <w:t xml:space="preserve"> Microsoft Dynamics CRM 2011 External Connector</w:t>
      </w:r>
      <w:bookmarkEnd w:id="1348"/>
    </w:p>
    <w:p w14:paraId="2BB8D9FD" w14:textId="77777777" w:rsidR="000F4095" w:rsidRPr="0058047D" w:rsidRDefault="000F4095" w:rsidP="000F4095">
      <w:pPr>
        <w:keepNext/>
        <w:spacing w:after="60"/>
      </w:pPr>
    </w:p>
    <w:p w14:paraId="6D8F7994" w14:textId="77777777" w:rsidR="000F4095" w:rsidRPr="0058047D" w:rsidRDefault="000F4095" w:rsidP="000F4095">
      <w:pPr>
        <w:spacing w:after="60"/>
        <w:ind w:left="720"/>
      </w:pPr>
      <w:r w:rsidRPr="0058047D">
        <w:rPr>
          <w:b/>
          <w:color w:val="000000"/>
        </w:rPr>
        <w:t>Concessioni di licenza associate alla fine del ciclo di vita di Microsoft Dynamics CRM 2011 External Connector</w:t>
      </w:r>
    </w:p>
    <w:p w14:paraId="34380539" w14:textId="77777777" w:rsidR="000F4095" w:rsidRPr="0058047D" w:rsidRDefault="000F4095" w:rsidP="000F4095">
      <w:pPr>
        <w:ind w:left="720"/>
      </w:pPr>
      <w:r w:rsidRPr="0058047D">
        <w:rPr>
          <w:color w:val="000000"/>
        </w:rPr>
        <w:t>Microsoft Dynamics CRM 2011 External Connector sarà l</w:t>
      </w:r>
      <w:r w:rsidR="001C4212">
        <w:rPr>
          <w:color w:val="000000"/>
        </w:rPr>
        <w:t>’</w:t>
      </w:r>
      <w:r w:rsidRPr="0058047D">
        <w:rPr>
          <w:color w:val="000000"/>
        </w:rPr>
        <w:t>ultima versione di Microsoft Dynamics CRM External Connector. Alle società in possesso di Contratti Multilicenza con Software Assurance per le licenze External Connector per Microsoft Dynamics CRM 2011 in data 1° ottobre 2013 o successiva (“Licenze Qualificanti”) verrà concessa una licenza per Microsoft Dynamics CRM 2013 Server per ogni licenza qualificante di Microsoft Dynamics CRM 2011 External Connector.</w:t>
      </w:r>
    </w:p>
    <w:p w14:paraId="642D2942" w14:textId="77777777" w:rsidR="000F4095" w:rsidRPr="0058047D" w:rsidRDefault="000F4095" w:rsidP="000F4095">
      <w:pPr>
        <w:spacing w:after="100" w:afterAutospacing="1" w:line="276" w:lineRule="auto"/>
        <w:ind w:left="720"/>
        <w:contextualSpacing/>
      </w:pPr>
    </w:p>
    <w:p w14:paraId="3394A2BE" w14:textId="77777777" w:rsidR="000F4095" w:rsidRPr="0058047D" w:rsidRDefault="000F4095" w:rsidP="000F4095">
      <w:pPr>
        <w:ind w:left="720"/>
      </w:pPr>
      <w:r w:rsidRPr="0058047D">
        <w:rPr>
          <w:rFonts w:eastAsia="Calibri" w:cs="Tahoma"/>
          <w:szCs w:val="18"/>
        </w:rPr>
        <w:t>La copertura Software Assurance inclusa nella suddetta concessione scade alla scadenza della corrispondente copertura per le Licenze Qualificanti. Alla scadenza della copertura Software Assurance per le licenze qualificanti la società potrà rinnovare Software Assurance per le licenze ottenute.</w:t>
      </w:r>
    </w:p>
    <w:p w14:paraId="68341DBA" w14:textId="77777777" w:rsidR="000F4095" w:rsidRPr="00DA0170" w:rsidRDefault="000F4095" w:rsidP="000F4095">
      <w:pPr>
        <w:pStyle w:val="ListParagraph"/>
        <w:contextualSpacing w:val="0"/>
        <w:rPr>
          <w:rFonts w:ascii="Tahoma" w:hAnsi="Tahoma" w:cs="Tahoma"/>
          <w:sz w:val="18"/>
          <w:szCs w:val="18"/>
        </w:rPr>
      </w:pPr>
    </w:p>
    <w:p w14:paraId="32654615" w14:textId="77777777" w:rsidR="000F4095" w:rsidRPr="0058047D" w:rsidRDefault="000F4095" w:rsidP="000F4095">
      <w:pPr>
        <w:pStyle w:val="ListParagraph"/>
        <w:contextualSpacing w:val="0"/>
      </w:pPr>
      <w:r w:rsidRPr="0058047D">
        <w:rPr>
          <w:rFonts w:ascii="Tahoma" w:eastAsia="Calibri" w:hAnsi="Tahoma" w:cs="Tahoma"/>
          <w:sz w:val="18"/>
          <w:szCs w:val="18"/>
        </w:rPr>
        <w:t>Nel caso in cui le società abbiano acquistato diritti perpetui per utilizzare software ai sensi di Licenze Qualificanti, le licenze acquistate ai sensi della presente concessione saranno anch</w:t>
      </w:r>
      <w:r w:rsidR="001C4212">
        <w:rPr>
          <w:rFonts w:ascii="Tahoma" w:eastAsia="Calibri" w:hAnsi="Tahoma" w:cs="Tahoma"/>
          <w:sz w:val="18"/>
          <w:szCs w:val="18"/>
        </w:rPr>
        <w:t>’</w:t>
      </w:r>
      <w:r w:rsidRPr="0058047D">
        <w:rPr>
          <w:rFonts w:ascii="Tahoma" w:eastAsia="Calibri" w:hAnsi="Tahoma" w:cs="Tahoma"/>
          <w:sz w:val="18"/>
          <w:szCs w:val="18"/>
        </w:rPr>
        <w:t>esse perpetue; diversamente, le licenze acquistate ai sensi della presente concessione cesseranno alla scadenza delle Licenze Qualificanti sottostanti.</w:t>
      </w:r>
    </w:p>
    <w:p w14:paraId="723E617A" w14:textId="77777777" w:rsidR="000F4095" w:rsidRPr="00DA0170" w:rsidRDefault="000F4095" w:rsidP="000F4095">
      <w:pPr>
        <w:pStyle w:val="ListParagraph"/>
        <w:contextualSpacing w:val="0"/>
        <w:rPr>
          <w:rFonts w:ascii="Tahoma" w:hAnsi="Tahoma" w:cs="Tahoma"/>
          <w:sz w:val="18"/>
          <w:szCs w:val="18"/>
        </w:rPr>
      </w:pPr>
    </w:p>
    <w:p w14:paraId="5E2E7AF5" w14:textId="77777777" w:rsidR="000F4095" w:rsidRPr="0058047D" w:rsidRDefault="000F4095" w:rsidP="000F4095">
      <w:pPr>
        <w:pStyle w:val="ListParagraph"/>
        <w:contextualSpacing w:val="0"/>
      </w:pPr>
      <w:r w:rsidRPr="0058047D">
        <w:rPr>
          <w:rFonts w:ascii="Tahoma" w:eastAsia="Calibri" w:hAnsi="Tahoma" w:cs="Tahoma"/>
          <w:sz w:val="18"/>
          <w:szCs w:val="18"/>
        </w:rPr>
        <w:t>Per ogni Licenza Qualificante acquistata ai sensi dei contratti Enterprise Subscription, Campus e Schools Subscription e Open Value Subscription, una società potrà eseguire il buy-out di una licenza per Microsoft Dynamics CRM 2013 Server come indicato.</w:t>
      </w:r>
    </w:p>
    <w:p w14:paraId="382FE9BD" w14:textId="77777777" w:rsidR="000F4095" w:rsidRPr="0058047D" w:rsidRDefault="000F4095" w:rsidP="000F4095">
      <w:pPr>
        <w:ind w:left="720"/>
      </w:pPr>
    </w:p>
    <w:p w14:paraId="2126BE3F" w14:textId="77777777" w:rsidR="000F4095" w:rsidRPr="0058047D" w:rsidRDefault="000F4095" w:rsidP="000F4095">
      <w:pPr>
        <w:ind w:left="720"/>
      </w:pPr>
      <w:r w:rsidRPr="0058047D">
        <w:rPr>
          <w:rFonts w:eastAsia="Calibri" w:cs="Tahoma"/>
          <w:szCs w:val="18"/>
        </w:rPr>
        <w:t>Eseguendo l</w:t>
      </w:r>
      <w:r w:rsidR="001C4212">
        <w:rPr>
          <w:rFonts w:eastAsia="Calibri" w:cs="Tahoma"/>
          <w:szCs w:val="18"/>
        </w:rPr>
        <w:t>’</w:t>
      </w:r>
      <w:r w:rsidRPr="0058047D">
        <w:rPr>
          <w:rFonts w:eastAsia="Calibri" w:cs="Tahoma"/>
          <w:szCs w:val="18"/>
        </w:rPr>
        <w:t>aggiornamento alle licenze per Microsoft Dynamics CRM 2013 Server fornite ai sensi della presente concessione, le Licenze Qualificanti External Connector per Microsoft Dynamics CRM 2011 non saranno più valide.</w:t>
      </w:r>
    </w:p>
    <w:p w14:paraId="665D2E68" w14:textId="77777777" w:rsidR="00D57009" w:rsidRDefault="00D57009"/>
    <w:p w14:paraId="1FCA3C7A" w14:textId="77777777" w:rsidR="00075CCA" w:rsidRDefault="00075CCA"/>
    <w:p w14:paraId="2C7ECEFE" w14:textId="77777777" w:rsidR="00075CCA" w:rsidRDefault="00075CCA"/>
    <w:p w14:paraId="17D7A25E" w14:textId="77777777" w:rsidR="00075CCA" w:rsidRPr="0058047D" w:rsidRDefault="00075CCA"/>
    <w:p w14:paraId="467CBD8D" w14:textId="77777777" w:rsidR="0034016E" w:rsidRPr="0058047D" w:rsidRDefault="0085774C" w:rsidP="0034016E">
      <w:pPr>
        <w:pStyle w:val="Heading3"/>
      </w:pPr>
      <w:bookmarkStart w:id="1349" w:name="_70_Microsoft_Dynamics"/>
      <w:bookmarkStart w:id="1350" w:name="_73_Microsoft_Dynamics"/>
      <w:bookmarkStart w:id="1351" w:name="_69_Office_365"/>
      <w:bookmarkStart w:id="1352" w:name="_69_68_Office"/>
      <w:bookmarkStart w:id="1353" w:name="_71_Office_365_1"/>
      <w:bookmarkStart w:id="1354" w:name="_Toc371663726"/>
      <w:bookmarkStart w:id="1355" w:name="_Toc336338329"/>
      <w:bookmarkStart w:id="1356" w:name="Srv_70Office365PlanE1"/>
      <w:bookmarkEnd w:id="1338"/>
      <w:bookmarkEnd w:id="1339"/>
      <w:bookmarkEnd w:id="1346"/>
      <w:bookmarkEnd w:id="1349"/>
      <w:bookmarkEnd w:id="1350"/>
      <w:bookmarkEnd w:id="1351"/>
      <w:bookmarkEnd w:id="1352"/>
      <w:bookmarkEnd w:id="1353"/>
      <w:r w:rsidRPr="0058047D">
        <w:rPr>
          <w:rFonts w:ascii="Tahoma" w:hAnsi="Tahoma"/>
          <w:caps/>
          <w:color w:val="F66400"/>
          <w:sz w:val="22"/>
          <w:vertAlign w:val="superscript"/>
        </w:rPr>
        <w:t>73</w:t>
      </w:r>
      <w:r w:rsidRPr="0058047D">
        <w:rPr>
          <w:rFonts w:ascii="Tahoma" w:hAnsi="Tahoma"/>
          <w:color w:val="F66400"/>
          <w:sz w:val="22"/>
        </w:rPr>
        <w:t xml:space="preserve"> Microsoft Dynamics CRM Online</w:t>
      </w:r>
      <w:bookmarkEnd w:id="1354"/>
    </w:p>
    <w:p w14:paraId="3A80960D" w14:textId="77777777" w:rsidR="0034016E" w:rsidRPr="0058047D" w:rsidRDefault="0034016E" w:rsidP="0034016E">
      <w:pPr>
        <w:pStyle w:val="Heading3"/>
      </w:pPr>
    </w:p>
    <w:p w14:paraId="720943AA" w14:textId="77777777" w:rsidR="0034016E" w:rsidRPr="0058047D" w:rsidRDefault="0034016E" w:rsidP="0034016E">
      <w:pPr>
        <w:ind w:left="720"/>
      </w:pPr>
      <w:r w:rsidRPr="0058047D">
        <w:rPr>
          <w:rFonts w:cs="Tahoma"/>
          <w:b/>
          <w:color w:val="000000"/>
          <w:szCs w:val="18"/>
        </w:rPr>
        <w:t>Paesi Dove Microsoft Dynamics CRM Online è Disponibile</w:t>
      </w:r>
    </w:p>
    <w:p w14:paraId="6875D3E1" w14:textId="77777777" w:rsidR="0034016E" w:rsidRPr="0058047D" w:rsidRDefault="0034016E" w:rsidP="0034016E">
      <w:pPr>
        <w:ind w:left="540"/>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58047D" w14:paraId="02705156" w14:textId="77777777" w:rsidTr="0034376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0B4E5A26" w14:textId="77777777" w:rsidR="0034016E" w:rsidRPr="0058047D" w:rsidRDefault="0034016E" w:rsidP="00343766">
            <w:pPr>
              <w:keepNext/>
              <w:jc w:val="center"/>
              <w:rPr>
                <w:rFonts w:cs="Tahoma"/>
                <w:b/>
                <w:bCs/>
                <w:szCs w:val="20"/>
              </w:rPr>
            </w:pPr>
            <w:r w:rsidRPr="0058047D">
              <w:rPr>
                <w:rFonts w:cs="Tahoma"/>
                <w:b/>
                <w:bCs/>
                <w:szCs w:val="20"/>
              </w:rPr>
              <w:t>Americhe</w:t>
            </w:r>
          </w:p>
        </w:tc>
        <w:tc>
          <w:tcPr>
            <w:tcW w:w="2670" w:type="dxa"/>
            <w:tcBorders>
              <w:top w:val="single" w:sz="8" w:space="0" w:color="000000"/>
              <w:left w:val="nil"/>
              <w:bottom w:val="single" w:sz="8" w:space="0" w:color="000000"/>
              <w:right w:val="single" w:sz="4" w:space="0" w:color="auto"/>
            </w:tcBorders>
            <w:shd w:val="clear" w:color="auto" w:fill="FABF8F"/>
          </w:tcPr>
          <w:p w14:paraId="57E51D80" w14:textId="77777777" w:rsidR="0034016E" w:rsidRPr="0058047D" w:rsidRDefault="0034016E" w:rsidP="00343766">
            <w:pPr>
              <w:keepNext/>
              <w:jc w:val="center"/>
              <w:rPr>
                <w:rFonts w:cs="Tahoma"/>
                <w:b/>
                <w:bCs/>
                <w:szCs w:val="20"/>
              </w:rPr>
            </w:pPr>
            <w:r w:rsidRPr="0058047D">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0BA98C19" w14:textId="77777777" w:rsidR="0034016E" w:rsidRPr="0058047D" w:rsidRDefault="0034016E" w:rsidP="00343766">
            <w:pPr>
              <w:keepNext/>
              <w:jc w:val="center"/>
              <w:rPr>
                <w:rFonts w:cs="Tahoma"/>
                <w:b/>
                <w:bCs/>
                <w:szCs w:val="20"/>
              </w:rPr>
            </w:pPr>
            <w:r w:rsidRPr="0058047D">
              <w:rPr>
                <w:rFonts w:cs="Tahoma"/>
                <w:b/>
                <w:bCs/>
                <w:szCs w:val="20"/>
              </w:rPr>
              <w:t>Asia, Area del Pacifico</w:t>
            </w:r>
          </w:p>
        </w:tc>
      </w:tr>
      <w:tr w:rsidR="0034016E" w:rsidRPr="0058047D" w14:paraId="47B19365" w14:textId="77777777" w:rsidTr="0034376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29ECF0D6" w14:textId="77777777" w:rsidR="0034016E" w:rsidRPr="0058047D" w:rsidRDefault="0034016E" w:rsidP="00343766">
            <w:pPr>
              <w:keepNext/>
              <w:jc w:val="center"/>
              <w:rPr>
                <w:rFonts w:cs="Tahoma"/>
                <w:color w:val="000000"/>
                <w:szCs w:val="20"/>
              </w:rPr>
            </w:pPr>
            <w:r w:rsidRPr="0058047D">
              <w:rPr>
                <w:rFonts w:cs="Arial"/>
              </w:rPr>
              <w:t>Brasile</w:t>
            </w:r>
          </w:p>
        </w:tc>
        <w:tc>
          <w:tcPr>
            <w:tcW w:w="2670" w:type="dxa"/>
            <w:tcBorders>
              <w:top w:val="nil"/>
              <w:left w:val="nil"/>
              <w:bottom w:val="single" w:sz="4" w:space="0" w:color="000000"/>
              <w:right w:val="single" w:sz="4" w:space="0" w:color="auto"/>
            </w:tcBorders>
          </w:tcPr>
          <w:p w14:paraId="01E01C1D" w14:textId="77777777" w:rsidR="0034016E" w:rsidRPr="0058047D" w:rsidRDefault="0034016E" w:rsidP="00343766">
            <w:pPr>
              <w:pStyle w:val="ColorfulList-Accent11"/>
              <w:keepNext/>
              <w:spacing w:line="276" w:lineRule="auto"/>
              <w:ind w:left="0"/>
              <w:jc w:val="center"/>
              <w:rPr>
                <w:rFonts w:ascii="Tahoma" w:hAnsi="Tahoma" w:cs="Tahoma"/>
                <w:color w:val="000000"/>
                <w:sz w:val="18"/>
                <w:szCs w:val="18"/>
              </w:rPr>
            </w:pPr>
            <w:r w:rsidRPr="0058047D">
              <w:rPr>
                <w:rFonts w:ascii="Tahoma" w:hAnsi="Tahoma" w:cs="Tahoma"/>
                <w:sz w:val="18"/>
                <w:szCs w:val="18"/>
              </w:rPr>
              <w:t>Austria</w:t>
            </w:r>
          </w:p>
        </w:tc>
        <w:tc>
          <w:tcPr>
            <w:tcW w:w="2670" w:type="dxa"/>
            <w:tcBorders>
              <w:top w:val="nil"/>
              <w:left w:val="single" w:sz="4" w:space="0" w:color="auto"/>
              <w:bottom w:val="single" w:sz="4" w:space="0" w:color="000000"/>
              <w:right w:val="single" w:sz="8" w:space="0" w:color="000000"/>
            </w:tcBorders>
          </w:tcPr>
          <w:p w14:paraId="0DA32AE7" w14:textId="77777777" w:rsidR="0034016E" w:rsidRPr="0058047D" w:rsidRDefault="0034016E" w:rsidP="00343766">
            <w:pPr>
              <w:pStyle w:val="ColorfulList-Accent11"/>
              <w:keepNext/>
              <w:spacing w:line="276" w:lineRule="auto"/>
              <w:ind w:left="0"/>
              <w:jc w:val="center"/>
              <w:rPr>
                <w:rFonts w:ascii="Tahoma" w:hAnsi="Tahoma" w:cs="Tahoma"/>
                <w:color w:val="000000"/>
                <w:sz w:val="18"/>
                <w:szCs w:val="18"/>
              </w:rPr>
            </w:pPr>
            <w:r w:rsidRPr="0058047D">
              <w:rPr>
                <w:rFonts w:ascii="Tahoma" w:hAnsi="Tahoma" w:cs="Tahoma"/>
                <w:sz w:val="18"/>
                <w:szCs w:val="18"/>
              </w:rPr>
              <w:t>Australia</w:t>
            </w:r>
          </w:p>
        </w:tc>
      </w:tr>
      <w:tr w:rsidR="0034016E" w:rsidRPr="0058047D" w14:paraId="263F8C69"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270725F" w14:textId="77777777" w:rsidR="0034016E" w:rsidRPr="0058047D" w:rsidRDefault="0034016E" w:rsidP="00343766">
            <w:pPr>
              <w:keepNext/>
              <w:jc w:val="center"/>
              <w:rPr>
                <w:rFonts w:cs="Tahoma"/>
                <w:color w:val="000000"/>
                <w:szCs w:val="20"/>
              </w:rPr>
            </w:pPr>
            <w:r w:rsidRPr="0058047D">
              <w:rPr>
                <w:rFonts w:cs="Arial"/>
              </w:rPr>
              <w:t>Canada</w:t>
            </w:r>
          </w:p>
        </w:tc>
        <w:tc>
          <w:tcPr>
            <w:tcW w:w="2670" w:type="dxa"/>
            <w:tcBorders>
              <w:top w:val="single" w:sz="4" w:space="0" w:color="000000"/>
              <w:left w:val="nil"/>
              <w:bottom w:val="single" w:sz="4" w:space="0" w:color="000000"/>
              <w:right w:val="single" w:sz="4" w:space="0" w:color="auto"/>
            </w:tcBorders>
          </w:tcPr>
          <w:p w14:paraId="2EE05079" w14:textId="77777777" w:rsidR="0034016E" w:rsidRPr="0058047D" w:rsidRDefault="0034016E" w:rsidP="00343766">
            <w:pPr>
              <w:pStyle w:val="ColorfulList-Accent11"/>
              <w:keepNext/>
              <w:spacing w:line="276" w:lineRule="auto"/>
              <w:ind w:left="0"/>
              <w:jc w:val="center"/>
              <w:rPr>
                <w:rFonts w:ascii="Tahoma" w:hAnsi="Tahoma" w:cs="Tahoma"/>
                <w:color w:val="000000"/>
                <w:sz w:val="18"/>
                <w:szCs w:val="18"/>
              </w:rPr>
            </w:pPr>
            <w:r w:rsidRPr="0058047D">
              <w:rPr>
                <w:rFonts w:ascii="Tahoma" w:hAnsi="Tahoma" w:cs="Tahoma"/>
                <w:sz w:val="18"/>
                <w:szCs w:val="18"/>
              </w:rPr>
              <w:t>Belgio</w:t>
            </w:r>
          </w:p>
        </w:tc>
        <w:tc>
          <w:tcPr>
            <w:tcW w:w="2670" w:type="dxa"/>
            <w:tcBorders>
              <w:top w:val="single" w:sz="4" w:space="0" w:color="000000"/>
              <w:left w:val="single" w:sz="4" w:space="0" w:color="auto"/>
              <w:bottom w:val="single" w:sz="4" w:space="0" w:color="000000"/>
              <w:right w:val="single" w:sz="4" w:space="0" w:color="000000"/>
            </w:tcBorders>
          </w:tcPr>
          <w:p w14:paraId="6E7C0102" w14:textId="77777777" w:rsidR="0034016E" w:rsidRPr="0058047D" w:rsidRDefault="0034016E" w:rsidP="00343766">
            <w:pPr>
              <w:pStyle w:val="ColorfulList-Accent11"/>
              <w:keepNext/>
              <w:spacing w:line="276" w:lineRule="auto"/>
              <w:ind w:left="0"/>
              <w:jc w:val="center"/>
              <w:rPr>
                <w:rFonts w:ascii="Tahoma" w:hAnsi="Tahoma" w:cs="Tahoma"/>
                <w:color w:val="000000"/>
                <w:sz w:val="18"/>
                <w:szCs w:val="18"/>
              </w:rPr>
            </w:pPr>
            <w:r w:rsidRPr="0058047D">
              <w:rPr>
                <w:rFonts w:ascii="Tahoma" w:hAnsi="Tahoma" w:cs="Tahoma"/>
                <w:sz w:val="18"/>
                <w:szCs w:val="18"/>
              </w:rPr>
              <w:t>Hong Kong</w:t>
            </w:r>
          </w:p>
        </w:tc>
      </w:tr>
      <w:tr w:rsidR="0034016E" w:rsidRPr="0058047D" w14:paraId="4C2DA4D2"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EFA5429" w14:textId="77777777" w:rsidR="0034016E" w:rsidRPr="0058047D" w:rsidRDefault="0034016E" w:rsidP="00343766">
            <w:pPr>
              <w:keepNext/>
              <w:jc w:val="center"/>
              <w:rPr>
                <w:rFonts w:cs="Tahoma"/>
                <w:color w:val="000000"/>
                <w:szCs w:val="20"/>
              </w:rPr>
            </w:pPr>
            <w:r w:rsidRPr="0058047D">
              <w:rPr>
                <w:rFonts w:cs="Arial"/>
              </w:rPr>
              <w:t>Colombia</w:t>
            </w:r>
          </w:p>
        </w:tc>
        <w:tc>
          <w:tcPr>
            <w:tcW w:w="2670" w:type="dxa"/>
            <w:tcBorders>
              <w:top w:val="single" w:sz="4" w:space="0" w:color="000000"/>
              <w:left w:val="nil"/>
              <w:bottom w:val="single" w:sz="4" w:space="0" w:color="000000"/>
              <w:right w:val="single" w:sz="4" w:space="0" w:color="auto"/>
            </w:tcBorders>
          </w:tcPr>
          <w:p w14:paraId="147B95B2" w14:textId="77777777" w:rsidR="0034016E" w:rsidRPr="0058047D" w:rsidRDefault="0034016E" w:rsidP="00343766">
            <w:pPr>
              <w:pStyle w:val="ColorfulList-Accent11"/>
              <w:keepNext/>
              <w:spacing w:line="276" w:lineRule="auto"/>
              <w:ind w:left="0"/>
              <w:jc w:val="center"/>
              <w:rPr>
                <w:rFonts w:ascii="Tahoma" w:hAnsi="Tahoma" w:cs="Tahoma"/>
                <w:color w:val="000000"/>
                <w:sz w:val="18"/>
                <w:szCs w:val="18"/>
              </w:rPr>
            </w:pPr>
            <w:r w:rsidRPr="0058047D">
              <w:rPr>
                <w:rFonts w:ascii="Tahoma" w:hAnsi="Tahoma" w:cs="Tahoma"/>
                <w:sz w:val="18"/>
                <w:szCs w:val="18"/>
              </w:rPr>
              <w:t>Cipro</w:t>
            </w:r>
          </w:p>
        </w:tc>
        <w:tc>
          <w:tcPr>
            <w:tcW w:w="2670" w:type="dxa"/>
            <w:tcBorders>
              <w:top w:val="single" w:sz="4" w:space="0" w:color="000000"/>
              <w:left w:val="single" w:sz="4" w:space="0" w:color="auto"/>
              <w:bottom w:val="single" w:sz="4" w:space="0" w:color="000000"/>
              <w:right w:val="single" w:sz="4" w:space="0" w:color="000000"/>
            </w:tcBorders>
          </w:tcPr>
          <w:p w14:paraId="642A773F" w14:textId="77777777" w:rsidR="0034016E" w:rsidRPr="0058047D" w:rsidRDefault="0034016E" w:rsidP="00343766">
            <w:pPr>
              <w:pStyle w:val="ColorfulList-Accent11"/>
              <w:keepNext/>
              <w:spacing w:line="276" w:lineRule="auto"/>
              <w:ind w:left="0"/>
              <w:jc w:val="center"/>
              <w:rPr>
                <w:rFonts w:ascii="Tahoma" w:hAnsi="Tahoma" w:cs="Tahoma"/>
                <w:color w:val="000000"/>
                <w:sz w:val="18"/>
                <w:szCs w:val="18"/>
              </w:rPr>
            </w:pPr>
            <w:r w:rsidRPr="0058047D">
              <w:rPr>
                <w:rFonts w:ascii="Tahoma" w:hAnsi="Tahoma" w:cs="Tahoma"/>
                <w:sz w:val="18"/>
                <w:szCs w:val="18"/>
              </w:rPr>
              <w:t>India</w:t>
            </w:r>
          </w:p>
        </w:tc>
      </w:tr>
      <w:tr w:rsidR="0034016E" w:rsidRPr="0058047D" w14:paraId="654973C1"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E18EC93" w14:textId="77777777" w:rsidR="0034016E" w:rsidRPr="0058047D" w:rsidRDefault="0034016E" w:rsidP="00343766">
            <w:pPr>
              <w:keepNext/>
              <w:jc w:val="center"/>
              <w:rPr>
                <w:rFonts w:cs="Arial"/>
              </w:rPr>
            </w:pPr>
            <w:r w:rsidRPr="0058047D">
              <w:rPr>
                <w:rFonts w:cs="Arial"/>
              </w:rPr>
              <w:t>Costa Rica</w:t>
            </w:r>
          </w:p>
        </w:tc>
        <w:tc>
          <w:tcPr>
            <w:tcW w:w="2670" w:type="dxa"/>
            <w:tcBorders>
              <w:top w:val="single" w:sz="4" w:space="0" w:color="000000"/>
              <w:left w:val="nil"/>
              <w:bottom w:val="single" w:sz="4" w:space="0" w:color="000000"/>
              <w:right w:val="single" w:sz="4" w:space="0" w:color="auto"/>
            </w:tcBorders>
          </w:tcPr>
          <w:p w14:paraId="6D388689" w14:textId="77777777" w:rsidR="0034016E" w:rsidRPr="0058047D" w:rsidRDefault="0034016E" w:rsidP="00343766">
            <w:pPr>
              <w:pStyle w:val="ColorfulList-Accent11"/>
              <w:keepNext/>
              <w:spacing w:line="276" w:lineRule="auto"/>
              <w:ind w:left="0"/>
              <w:jc w:val="center"/>
              <w:rPr>
                <w:rFonts w:ascii="Tahoma" w:hAnsi="Tahoma" w:cs="Tahoma"/>
                <w:color w:val="000000"/>
                <w:sz w:val="18"/>
                <w:szCs w:val="18"/>
              </w:rPr>
            </w:pPr>
            <w:r w:rsidRPr="0058047D">
              <w:rPr>
                <w:rFonts w:ascii="Tahoma" w:hAnsi="Tahoma" w:cs="Tahoma"/>
                <w:sz w:val="18"/>
                <w:szCs w:val="18"/>
              </w:rPr>
              <w:t>Repubblica Ceca</w:t>
            </w:r>
          </w:p>
        </w:tc>
        <w:tc>
          <w:tcPr>
            <w:tcW w:w="2670" w:type="dxa"/>
            <w:tcBorders>
              <w:top w:val="single" w:sz="4" w:space="0" w:color="000000"/>
              <w:left w:val="single" w:sz="4" w:space="0" w:color="auto"/>
              <w:bottom w:val="single" w:sz="4" w:space="0" w:color="000000"/>
              <w:right w:val="single" w:sz="4" w:space="0" w:color="000000"/>
            </w:tcBorders>
          </w:tcPr>
          <w:p w14:paraId="2C8E2C62" w14:textId="77777777" w:rsidR="0034016E" w:rsidRPr="0058047D" w:rsidRDefault="0034016E" w:rsidP="00343766">
            <w:pPr>
              <w:pStyle w:val="ColorfulList-Accent11"/>
              <w:keepNext/>
              <w:spacing w:line="276" w:lineRule="auto"/>
              <w:ind w:left="0"/>
              <w:jc w:val="center"/>
              <w:rPr>
                <w:rFonts w:ascii="Tahoma" w:hAnsi="Tahoma" w:cs="Tahoma"/>
                <w:color w:val="000000"/>
                <w:sz w:val="18"/>
                <w:szCs w:val="18"/>
              </w:rPr>
            </w:pPr>
            <w:r w:rsidRPr="0058047D">
              <w:rPr>
                <w:rFonts w:ascii="Tahoma" w:hAnsi="Tahoma" w:cs="Tahoma"/>
                <w:sz w:val="18"/>
                <w:szCs w:val="18"/>
              </w:rPr>
              <w:t>Giappone</w:t>
            </w:r>
          </w:p>
        </w:tc>
      </w:tr>
      <w:tr w:rsidR="0034016E" w:rsidRPr="0058047D" w14:paraId="48642BDE"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DEAB03E" w14:textId="77777777" w:rsidR="0034016E" w:rsidRPr="0058047D" w:rsidRDefault="0034016E" w:rsidP="00343766">
            <w:pPr>
              <w:keepNext/>
              <w:jc w:val="center"/>
              <w:rPr>
                <w:rFonts w:cs="Arial"/>
              </w:rPr>
            </w:pPr>
            <w:r w:rsidRPr="0058047D">
              <w:rPr>
                <w:rFonts w:cs="Arial"/>
              </w:rPr>
              <w:t>Cile</w:t>
            </w:r>
          </w:p>
        </w:tc>
        <w:tc>
          <w:tcPr>
            <w:tcW w:w="2670" w:type="dxa"/>
            <w:tcBorders>
              <w:top w:val="single" w:sz="4" w:space="0" w:color="000000"/>
              <w:left w:val="nil"/>
              <w:bottom w:val="single" w:sz="4" w:space="0" w:color="000000"/>
              <w:right w:val="single" w:sz="4" w:space="0" w:color="auto"/>
            </w:tcBorders>
          </w:tcPr>
          <w:p w14:paraId="3F782166" w14:textId="77777777" w:rsidR="0034016E" w:rsidRPr="0058047D" w:rsidRDefault="0034016E" w:rsidP="00343766">
            <w:pPr>
              <w:pStyle w:val="ColorfulList-Accent11"/>
              <w:keepNext/>
              <w:spacing w:line="276" w:lineRule="auto"/>
              <w:ind w:left="0"/>
              <w:jc w:val="center"/>
              <w:rPr>
                <w:rFonts w:ascii="Tahoma" w:hAnsi="Tahoma" w:cs="Tahoma"/>
                <w:color w:val="000000"/>
                <w:sz w:val="18"/>
                <w:szCs w:val="18"/>
              </w:rPr>
            </w:pPr>
            <w:r w:rsidRPr="0058047D">
              <w:rPr>
                <w:rFonts w:ascii="Tahoma" w:hAnsi="Tahoma" w:cs="Tahoma"/>
                <w:sz w:val="18"/>
                <w:szCs w:val="18"/>
              </w:rPr>
              <w:t>Danimarca</w:t>
            </w:r>
          </w:p>
        </w:tc>
        <w:tc>
          <w:tcPr>
            <w:tcW w:w="2670" w:type="dxa"/>
            <w:tcBorders>
              <w:top w:val="single" w:sz="4" w:space="0" w:color="000000"/>
              <w:left w:val="single" w:sz="4" w:space="0" w:color="auto"/>
              <w:bottom w:val="single" w:sz="4" w:space="0" w:color="000000"/>
              <w:right w:val="single" w:sz="4" w:space="0" w:color="000000"/>
            </w:tcBorders>
          </w:tcPr>
          <w:p w14:paraId="7EA62EF3" w14:textId="77777777" w:rsidR="0034016E" w:rsidRPr="0058047D" w:rsidRDefault="0034016E" w:rsidP="00343766">
            <w:pPr>
              <w:pStyle w:val="ColorfulList-Accent11"/>
              <w:keepNext/>
              <w:spacing w:line="276" w:lineRule="auto"/>
              <w:ind w:left="0"/>
              <w:jc w:val="center"/>
              <w:rPr>
                <w:rFonts w:ascii="Tahoma" w:hAnsi="Tahoma" w:cs="Tahoma"/>
                <w:color w:val="000000"/>
                <w:sz w:val="18"/>
                <w:szCs w:val="18"/>
              </w:rPr>
            </w:pPr>
            <w:r w:rsidRPr="0058047D">
              <w:rPr>
                <w:rFonts w:ascii="Tahoma" w:hAnsi="Tahoma" w:cs="Tahoma"/>
                <w:sz w:val="18"/>
                <w:szCs w:val="18"/>
              </w:rPr>
              <w:t>Corea</w:t>
            </w:r>
          </w:p>
        </w:tc>
      </w:tr>
      <w:tr w:rsidR="0034016E" w:rsidRPr="0058047D" w14:paraId="4AD08068"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5F3CCC6" w14:textId="77777777" w:rsidR="0034016E" w:rsidRPr="0058047D" w:rsidRDefault="0034016E" w:rsidP="00343766">
            <w:pPr>
              <w:keepNext/>
              <w:jc w:val="center"/>
              <w:rPr>
                <w:rFonts w:cs="Arial"/>
              </w:rPr>
            </w:pPr>
            <w:r w:rsidRPr="0058047D">
              <w:rPr>
                <w:rFonts w:cs="Arial"/>
              </w:rPr>
              <w:t>Messico</w:t>
            </w:r>
          </w:p>
        </w:tc>
        <w:tc>
          <w:tcPr>
            <w:tcW w:w="2670" w:type="dxa"/>
            <w:tcBorders>
              <w:top w:val="single" w:sz="4" w:space="0" w:color="000000"/>
              <w:left w:val="nil"/>
              <w:bottom w:val="single" w:sz="4" w:space="0" w:color="000000"/>
              <w:right w:val="single" w:sz="4" w:space="0" w:color="auto"/>
            </w:tcBorders>
          </w:tcPr>
          <w:p w14:paraId="35039BB3" w14:textId="77777777" w:rsidR="0034016E" w:rsidRPr="0058047D" w:rsidRDefault="0034016E" w:rsidP="00343766">
            <w:pPr>
              <w:pStyle w:val="ColorfulList-Accent11"/>
              <w:keepNext/>
              <w:spacing w:line="276" w:lineRule="auto"/>
              <w:ind w:left="0"/>
              <w:jc w:val="center"/>
              <w:rPr>
                <w:rFonts w:ascii="Tahoma" w:hAnsi="Tahoma" w:cs="Tahoma"/>
                <w:color w:val="000000"/>
                <w:sz w:val="18"/>
                <w:szCs w:val="18"/>
              </w:rPr>
            </w:pPr>
            <w:r w:rsidRPr="0058047D">
              <w:rPr>
                <w:rFonts w:ascii="Tahoma" w:hAnsi="Tahoma" w:cs="Tahoma"/>
                <w:sz w:val="18"/>
                <w:szCs w:val="18"/>
              </w:rPr>
              <w:t>Finlandia</w:t>
            </w:r>
          </w:p>
        </w:tc>
        <w:tc>
          <w:tcPr>
            <w:tcW w:w="2670" w:type="dxa"/>
            <w:tcBorders>
              <w:top w:val="single" w:sz="4" w:space="0" w:color="000000"/>
              <w:left w:val="single" w:sz="4" w:space="0" w:color="auto"/>
              <w:bottom w:val="single" w:sz="4" w:space="0" w:color="000000"/>
              <w:right w:val="single" w:sz="4" w:space="0" w:color="000000"/>
            </w:tcBorders>
          </w:tcPr>
          <w:p w14:paraId="6678FEB6" w14:textId="77777777" w:rsidR="0034016E" w:rsidRPr="0058047D" w:rsidRDefault="0034016E" w:rsidP="00343766">
            <w:pPr>
              <w:pStyle w:val="ColorfulList-Accent11"/>
              <w:keepNext/>
              <w:spacing w:line="276" w:lineRule="auto"/>
              <w:ind w:left="0"/>
              <w:jc w:val="center"/>
              <w:rPr>
                <w:rFonts w:ascii="Tahoma" w:hAnsi="Tahoma" w:cs="Tahoma"/>
                <w:color w:val="000000"/>
                <w:sz w:val="18"/>
                <w:szCs w:val="18"/>
              </w:rPr>
            </w:pPr>
            <w:r w:rsidRPr="0058047D">
              <w:rPr>
                <w:rFonts w:ascii="Tahoma" w:hAnsi="Tahoma" w:cs="Tahoma"/>
                <w:sz w:val="18"/>
                <w:szCs w:val="18"/>
              </w:rPr>
              <w:t>Malaysia</w:t>
            </w:r>
          </w:p>
        </w:tc>
      </w:tr>
      <w:tr w:rsidR="0034016E" w:rsidRPr="0058047D" w14:paraId="626617F9"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BDAEC06" w14:textId="77777777" w:rsidR="0034016E" w:rsidRPr="0058047D" w:rsidRDefault="0034016E" w:rsidP="00343766">
            <w:pPr>
              <w:keepNext/>
              <w:jc w:val="center"/>
              <w:rPr>
                <w:rFonts w:cs="Arial"/>
              </w:rPr>
            </w:pPr>
            <w:r w:rsidRPr="0058047D">
              <w:rPr>
                <w:rFonts w:cs="Arial"/>
              </w:rPr>
              <w:t>Perù</w:t>
            </w:r>
          </w:p>
        </w:tc>
        <w:tc>
          <w:tcPr>
            <w:tcW w:w="2670" w:type="dxa"/>
            <w:tcBorders>
              <w:top w:val="single" w:sz="4" w:space="0" w:color="000000"/>
              <w:left w:val="nil"/>
              <w:bottom w:val="single" w:sz="4" w:space="0" w:color="000000"/>
              <w:right w:val="single" w:sz="4" w:space="0" w:color="auto"/>
            </w:tcBorders>
          </w:tcPr>
          <w:p w14:paraId="589D7EA4" w14:textId="77777777" w:rsidR="0034016E" w:rsidRPr="0058047D" w:rsidRDefault="0034016E" w:rsidP="00343766">
            <w:pPr>
              <w:pStyle w:val="ColorfulList-Accent11"/>
              <w:keepNext/>
              <w:spacing w:line="276" w:lineRule="auto"/>
              <w:ind w:left="0"/>
              <w:jc w:val="center"/>
              <w:rPr>
                <w:rFonts w:ascii="Tahoma" w:hAnsi="Tahoma" w:cs="Tahoma"/>
                <w:color w:val="000000"/>
                <w:sz w:val="18"/>
                <w:szCs w:val="18"/>
              </w:rPr>
            </w:pPr>
            <w:r w:rsidRPr="0058047D">
              <w:rPr>
                <w:rFonts w:ascii="Tahoma" w:hAnsi="Tahoma" w:cs="Tahoma"/>
                <w:sz w:val="18"/>
                <w:szCs w:val="18"/>
              </w:rPr>
              <w:t>Francia</w:t>
            </w:r>
          </w:p>
        </w:tc>
        <w:tc>
          <w:tcPr>
            <w:tcW w:w="2670" w:type="dxa"/>
            <w:tcBorders>
              <w:top w:val="single" w:sz="4" w:space="0" w:color="000000"/>
              <w:left w:val="single" w:sz="4" w:space="0" w:color="auto"/>
              <w:bottom w:val="single" w:sz="4" w:space="0" w:color="000000"/>
              <w:right w:val="single" w:sz="4" w:space="0" w:color="000000"/>
            </w:tcBorders>
          </w:tcPr>
          <w:p w14:paraId="2D1038F7" w14:textId="77777777" w:rsidR="0034016E" w:rsidRPr="0058047D" w:rsidRDefault="0034016E" w:rsidP="00343766">
            <w:pPr>
              <w:pStyle w:val="ColorfulList-Accent11"/>
              <w:keepNext/>
              <w:spacing w:line="276" w:lineRule="auto"/>
              <w:ind w:left="0"/>
              <w:jc w:val="center"/>
              <w:rPr>
                <w:rFonts w:ascii="Tahoma" w:hAnsi="Tahoma" w:cs="Tahoma"/>
                <w:color w:val="000000"/>
                <w:sz w:val="18"/>
                <w:szCs w:val="18"/>
              </w:rPr>
            </w:pPr>
            <w:r w:rsidRPr="0058047D">
              <w:rPr>
                <w:rFonts w:ascii="Tahoma" w:hAnsi="Tahoma" w:cs="Tahoma"/>
                <w:sz w:val="18"/>
                <w:szCs w:val="18"/>
              </w:rPr>
              <w:t>Nuova Zelanda</w:t>
            </w:r>
          </w:p>
        </w:tc>
      </w:tr>
      <w:tr w:rsidR="0034016E" w:rsidRPr="0058047D" w14:paraId="06679126"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1B286CC" w14:textId="77777777" w:rsidR="0034016E" w:rsidRPr="0058047D" w:rsidRDefault="0034016E" w:rsidP="00343766">
            <w:pPr>
              <w:keepNext/>
              <w:jc w:val="center"/>
              <w:rPr>
                <w:rFonts w:cs="Arial"/>
              </w:rPr>
            </w:pPr>
            <w:r w:rsidRPr="0058047D">
              <w:rPr>
                <w:rFonts w:cs="Arial"/>
              </w:rPr>
              <w:t>Portorico</w:t>
            </w:r>
          </w:p>
        </w:tc>
        <w:tc>
          <w:tcPr>
            <w:tcW w:w="2670" w:type="dxa"/>
            <w:tcBorders>
              <w:top w:val="single" w:sz="4" w:space="0" w:color="000000"/>
              <w:left w:val="nil"/>
              <w:bottom w:val="single" w:sz="4" w:space="0" w:color="000000"/>
              <w:right w:val="single" w:sz="4" w:space="0" w:color="auto"/>
            </w:tcBorders>
          </w:tcPr>
          <w:p w14:paraId="38EA03B2" w14:textId="77777777" w:rsidR="0034016E" w:rsidRPr="0058047D" w:rsidRDefault="0034016E" w:rsidP="00343766">
            <w:pPr>
              <w:pStyle w:val="ColorfulList-Accent11"/>
              <w:keepNext/>
              <w:spacing w:line="276" w:lineRule="auto"/>
              <w:ind w:left="0"/>
              <w:jc w:val="center"/>
              <w:rPr>
                <w:rFonts w:ascii="Tahoma" w:hAnsi="Tahoma" w:cs="Tahoma"/>
                <w:color w:val="000000"/>
                <w:sz w:val="18"/>
                <w:szCs w:val="18"/>
              </w:rPr>
            </w:pPr>
            <w:r w:rsidRPr="0058047D">
              <w:rPr>
                <w:rFonts w:ascii="Tahoma" w:hAnsi="Tahoma" w:cs="Tahoma"/>
                <w:sz w:val="18"/>
                <w:szCs w:val="18"/>
              </w:rPr>
              <w:t>Germania</w:t>
            </w:r>
          </w:p>
        </w:tc>
        <w:tc>
          <w:tcPr>
            <w:tcW w:w="2670" w:type="dxa"/>
            <w:tcBorders>
              <w:top w:val="single" w:sz="4" w:space="0" w:color="000000"/>
              <w:left w:val="single" w:sz="4" w:space="0" w:color="auto"/>
              <w:bottom w:val="single" w:sz="4" w:space="0" w:color="000000"/>
              <w:right w:val="single" w:sz="4" w:space="0" w:color="000000"/>
            </w:tcBorders>
          </w:tcPr>
          <w:p w14:paraId="049C975E" w14:textId="77777777" w:rsidR="0034016E" w:rsidRPr="0058047D" w:rsidRDefault="0034016E" w:rsidP="00343766">
            <w:pPr>
              <w:pStyle w:val="ColorfulList-Accent11"/>
              <w:keepNext/>
              <w:spacing w:line="276" w:lineRule="auto"/>
              <w:ind w:left="540"/>
              <w:jc w:val="center"/>
              <w:rPr>
                <w:rFonts w:ascii="Tahoma" w:hAnsi="Tahoma" w:cs="Tahoma"/>
                <w:color w:val="000000"/>
                <w:sz w:val="18"/>
                <w:szCs w:val="20"/>
              </w:rPr>
            </w:pPr>
            <w:r w:rsidRPr="0058047D">
              <w:rPr>
                <w:rFonts w:ascii="Tahoma" w:hAnsi="Tahoma" w:cs="Tahoma"/>
                <w:color w:val="000000"/>
                <w:sz w:val="18"/>
                <w:szCs w:val="20"/>
              </w:rPr>
              <w:t>Singapore</w:t>
            </w:r>
          </w:p>
        </w:tc>
      </w:tr>
      <w:tr w:rsidR="0034016E" w:rsidRPr="0058047D" w14:paraId="36D35963"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E38016C" w14:textId="77777777" w:rsidR="0034016E" w:rsidRPr="0058047D" w:rsidRDefault="0034016E" w:rsidP="00343766">
            <w:pPr>
              <w:keepNext/>
              <w:jc w:val="center"/>
              <w:rPr>
                <w:rFonts w:cs="Arial"/>
              </w:rPr>
            </w:pPr>
            <w:r w:rsidRPr="0058047D">
              <w:rPr>
                <w:rFonts w:cs="Arial"/>
              </w:rPr>
              <w:t>Trinidad e Tobago</w:t>
            </w:r>
          </w:p>
        </w:tc>
        <w:tc>
          <w:tcPr>
            <w:tcW w:w="2670" w:type="dxa"/>
            <w:tcBorders>
              <w:top w:val="single" w:sz="4" w:space="0" w:color="000000"/>
              <w:left w:val="nil"/>
              <w:bottom w:val="single" w:sz="4" w:space="0" w:color="000000"/>
              <w:right w:val="single" w:sz="4" w:space="0" w:color="auto"/>
            </w:tcBorders>
          </w:tcPr>
          <w:p w14:paraId="559B62ED" w14:textId="77777777" w:rsidR="0034016E" w:rsidRPr="0058047D" w:rsidRDefault="0034016E" w:rsidP="00343766">
            <w:pPr>
              <w:pStyle w:val="ColorfulList-Accent11"/>
              <w:keepNext/>
              <w:spacing w:line="276" w:lineRule="auto"/>
              <w:ind w:left="0"/>
              <w:jc w:val="center"/>
              <w:rPr>
                <w:rFonts w:ascii="Tahoma" w:hAnsi="Tahoma" w:cs="Tahoma"/>
                <w:color w:val="000000"/>
                <w:sz w:val="18"/>
                <w:szCs w:val="18"/>
              </w:rPr>
            </w:pPr>
            <w:r w:rsidRPr="0058047D">
              <w:rPr>
                <w:rFonts w:ascii="Tahoma" w:hAnsi="Tahoma" w:cs="Tahoma"/>
                <w:sz w:val="18"/>
                <w:szCs w:val="18"/>
              </w:rPr>
              <w:t>Grecia</w:t>
            </w:r>
          </w:p>
        </w:tc>
        <w:tc>
          <w:tcPr>
            <w:tcW w:w="2670" w:type="dxa"/>
            <w:tcBorders>
              <w:top w:val="single" w:sz="4" w:space="0" w:color="000000"/>
              <w:left w:val="single" w:sz="4" w:space="0" w:color="auto"/>
              <w:bottom w:val="single" w:sz="4" w:space="0" w:color="000000"/>
              <w:right w:val="single" w:sz="4" w:space="0" w:color="000000"/>
            </w:tcBorders>
          </w:tcPr>
          <w:p w14:paraId="452EFE02" w14:textId="77777777" w:rsidR="0034016E" w:rsidRPr="0058047D"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8047D" w14:paraId="4566E99D"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518E974" w14:textId="77777777" w:rsidR="0034016E" w:rsidRPr="0058047D" w:rsidRDefault="0034016E" w:rsidP="00343766">
            <w:pPr>
              <w:keepNext/>
              <w:jc w:val="center"/>
              <w:rPr>
                <w:rFonts w:cs="Arial"/>
              </w:rPr>
            </w:pPr>
            <w:r w:rsidRPr="0058047D">
              <w:rPr>
                <w:rFonts w:cs="Arial"/>
              </w:rPr>
              <w:t>Stati Uniti</w:t>
            </w:r>
          </w:p>
        </w:tc>
        <w:tc>
          <w:tcPr>
            <w:tcW w:w="2670" w:type="dxa"/>
            <w:tcBorders>
              <w:top w:val="single" w:sz="4" w:space="0" w:color="000000"/>
              <w:left w:val="nil"/>
              <w:bottom w:val="single" w:sz="4" w:space="0" w:color="000000"/>
              <w:right w:val="single" w:sz="4" w:space="0" w:color="auto"/>
            </w:tcBorders>
          </w:tcPr>
          <w:p w14:paraId="07C0F3B7" w14:textId="77777777" w:rsidR="0034016E" w:rsidRPr="0058047D" w:rsidRDefault="0034016E" w:rsidP="00343766">
            <w:pPr>
              <w:pStyle w:val="ColorfulList-Accent11"/>
              <w:keepNext/>
              <w:spacing w:line="276" w:lineRule="auto"/>
              <w:ind w:left="0"/>
              <w:jc w:val="center"/>
              <w:rPr>
                <w:rFonts w:ascii="Tahoma" w:hAnsi="Tahoma" w:cs="Tahoma"/>
                <w:color w:val="000000"/>
                <w:sz w:val="18"/>
                <w:szCs w:val="18"/>
              </w:rPr>
            </w:pPr>
            <w:r w:rsidRPr="0058047D">
              <w:rPr>
                <w:rFonts w:ascii="Tahoma" w:hAnsi="Tahoma" w:cs="Tahoma"/>
                <w:sz w:val="18"/>
                <w:szCs w:val="18"/>
              </w:rPr>
              <w:t>Ungheria</w:t>
            </w:r>
          </w:p>
        </w:tc>
        <w:tc>
          <w:tcPr>
            <w:tcW w:w="2670" w:type="dxa"/>
            <w:tcBorders>
              <w:top w:val="single" w:sz="4" w:space="0" w:color="000000"/>
              <w:left w:val="single" w:sz="4" w:space="0" w:color="auto"/>
              <w:bottom w:val="single" w:sz="4" w:space="0" w:color="000000"/>
              <w:right w:val="single" w:sz="4" w:space="0" w:color="000000"/>
            </w:tcBorders>
          </w:tcPr>
          <w:p w14:paraId="10526E87" w14:textId="77777777" w:rsidR="0034016E" w:rsidRPr="0058047D"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8047D" w14:paraId="3D1F975F"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81D0B32" w14:textId="77777777" w:rsidR="0034016E" w:rsidRPr="0058047D"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2D434ADE" w14:textId="77777777" w:rsidR="0034016E" w:rsidRPr="0058047D" w:rsidRDefault="0034016E" w:rsidP="00343766">
            <w:pPr>
              <w:pStyle w:val="ColorfulList-Accent11"/>
              <w:keepNext/>
              <w:spacing w:line="276" w:lineRule="auto"/>
              <w:ind w:left="0"/>
              <w:jc w:val="center"/>
              <w:rPr>
                <w:rFonts w:ascii="Tahoma" w:hAnsi="Tahoma" w:cs="Tahoma"/>
                <w:sz w:val="18"/>
                <w:szCs w:val="18"/>
              </w:rPr>
            </w:pPr>
            <w:r w:rsidRPr="0058047D">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14:paraId="099BE7FD" w14:textId="77777777" w:rsidR="0034016E" w:rsidRPr="0058047D"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8047D" w14:paraId="6A7D9E44"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FEF5C5" w14:textId="77777777" w:rsidR="0034016E" w:rsidRPr="0058047D"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32773BC" w14:textId="77777777" w:rsidR="0034016E" w:rsidRPr="0058047D" w:rsidRDefault="0034016E" w:rsidP="00343766">
            <w:pPr>
              <w:pStyle w:val="ColorfulList-Accent11"/>
              <w:keepNext/>
              <w:spacing w:line="276" w:lineRule="auto"/>
              <w:ind w:left="0"/>
              <w:jc w:val="center"/>
              <w:rPr>
                <w:rFonts w:ascii="Tahoma" w:hAnsi="Tahoma" w:cs="Tahoma"/>
                <w:sz w:val="18"/>
                <w:szCs w:val="18"/>
              </w:rPr>
            </w:pPr>
            <w:r w:rsidRPr="0058047D">
              <w:rPr>
                <w:rFonts w:ascii="Tahoma" w:hAnsi="Tahoma" w:cs="Tahoma"/>
                <w:sz w:val="18"/>
                <w:szCs w:val="18"/>
              </w:rPr>
              <w:t>Israele</w:t>
            </w:r>
          </w:p>
        </w:tc>
        <w:tc>
          <w:tcPr>
            <w:tcW w:w="2670" w:type="dxa"/>
            <w:tcBorders>
              <w:top w:val="single" w:sz="4" w:space="0" w:color="000000"/>
              <w:left w:val="single" w:sz="4" w:space="0" w:color="auto"/>
              <w:bottom w:val="single" w:sz="4" w:space="0" w:color="000000"/>
              <w:right w:val="single" w:sz="4" w:space="0" w:color="000000"/>
            </w:tcBorders>
          </w:tcPr>
          <w:p w14:paraId="4B8FE629" w14:textId="77777777" w:rsidR="0034016E" w:rsidRPr="0058047D"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8047D" w14:paraId="38FB9466"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02D7BB4" w14:textId="77777777" w:rsidR="0034016E" w:rsidRPr="0058047D"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BEFA2E7" w14:textId="77777777" w:rsidR="0034016E" w:rsidRPr="0058047D" w:rsidRDefault="0034016E" w:rsidP="00343766">
            <w:pPr>
              <w:pStyle w:val="ColorfulList-Accent11"/>
              <w:keepNext/>
              <w:spacing w:line="276" w:lineRule="auto"/>
              <w:ind w:left="0"/>
              <w:jc w:val="center"/>
              <w:rPr>
                <w:rFonts w:ascii="Tahoma" w:hAnsi="Tahoma" w:cs="Tahoma"/>
                <w:sz w:val="18"/>
                <w:szCs w:val="18"/>
              </w:rPr>
            </w:pPr>
            <w:r w:rsidRPr="0058047D">
              <w:rPr>
                <w:rFonts w:ascii="Tahoma" w:hAnsi="Tahoma" w:cs="Tahoma"/>
                <w:sz w:val="18"/>
                <w:szCs w:val="18"/>
              </w:rPr>
              <w:t>Italia</w:t>
            </w:r>
          </w:p>
        </w:tc>
        <w:tc>
          <w:tcPr>
            <w:tcW w:w="2670" w:type="dxa"/>
            <w:tcBorders>
              <w:top w:val="single" w:sz="4" w:space="0" w:color="000000"/>
              <w:left w:val="single" w:sz="4" w:space="0" w:color="auto"/>
              <w:bottom w:val="single" w:sz="4" w:space="0" w:color="000000"/>
              <w:right w:val="single" w:sz="4" w:space="0" w:color="000000"/>
            </w:tcBorders>
          </w:tcPr>
          <w:p w14:paraId="53492ACB" w14:textId="77777777" w:rsidR="0034016E" w:rsidRPr="0058047D"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8047D" w14:paraId="146B3643"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678E10D" w14:textId="77777777" w:rsidR="0034016E" w:rsidRPr="0058047D"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065E7AF4" w14:textId="77777777" w:rsidR="0034016E" w:rsidRPr="0058047D" w:rsidRDefault="0034016E" w:rsidP="00343766">
            <w:pPr>
              <w:pStyle w:val="ColorfulList-Accent11"/>
              <w:keepNext/>
              <w:spacing w:line="276" w:lineRule="auto"/>
              <w:ind w:left="0"/>
              <w:jc w:val="center"/>
              <w:rPr>
                <w:rFonts w:ascii="Tahoma" w:hAnsi="Tahoma" w:cs="Tahoma"/>
                <w:sz w:val="18"/>
                <w:szCs w:val="18"/>
              </w:rPr>
            </w:pPr>
            <w:r w:rsidRPr="0058047D">
              <w:rPr>
                <w:rFonts w:ascii="Tahoma" w:hAnsi="Tahoma" w:cs="Tahoma"/>
                <w:sz w:val="18"/>
                <w:szCs w:val="18"/>
              </w:rPr>
              <w:t>Lussemburgo</w:t>
            </w:r>
          </w:p>
        </w:tc>
        <w:tc>
          <w:tcPr>
            <w:tcW w:w="2670" w:type="dxa"/>
            <w:tcBorders>
              <w:top w:val="single" w:sz="4" w:space="0" w:color="000000"/>
              <w:left w:val="single" w:sz="4" w:space="0" w:color="auto"/>
              <w:bottom w:val="single" w:sz="4" w:space="0" w:color="000000"/>
              <w:right w:val="single" w:sz="4" w:space="0" w:color="000000"/>
            </w:tcBorders>
          </w:tcPr>
          <w:p w14:paraId="719FA433" w14:textId="77777777" w:rsidR="0034016E" w:rsidRPr="0058047D"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8047D" w14:paraId="18737957"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00D5405" w14:textId="77777777" w:rsidR="0034016E" w:rsidRPr="0058047D"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A5D400C" w14:textId="77777777" w:rsidR="0034016E" w:rsidRPr="0058047D" w:rsidRDefault="0034016E" w:rsidP="00343766">
            <w:pPr>
              <w:pStyle w:val="ColorfulList-Accent11"/>
              <w:keepNext/>
              <w:spacing w:line="276" w:lineRule="auto"/>
              <w:ind w:left="0"/>
              <w:jc w:val="center"/>
              <w:rPr>
                <w:rFonts w:ascii="Tahoma" w:hAnsi="Tahoma" w:cs="Tahoma"/>
                <w:sz w:val="18"/>
                <w:szCs w:val="18"/>
              </w:rPr>
            </w:pPr>
            <w:r w:rsidRPr="0058047D">
              <w:rPr>
                <w:rFonts w:ascii="Tahoma" w:hAnsi="Tahoma" w:cs="Tahoma"/>
                <w:sz w:val="18"/>
                <w:szCs w:val="18"/>
              </w:rPr>
              <w:t>Paesi Bassi</w:t>
            </w:r>
          </w:p>
        </w:tc>
        <w:tc>
          <w:tcPr>
            <w:tcW w:w="2670" w:type="dxa"/>
            <w:tcBorders>
              <w:top w:val="single" w:sz="4" w:space="0" w:color="000000"/>
              <w:left w:val="single" w:sz="4" w:space="0" w:color="auto"/>
              <w:bottom w:val="single" w:sz="4" w:space="0" w:color="000000"/>
              <w:right w:val="single" w:sz="4" w:space="0" w:color="000000"/>
            </w:tcBorders>
          </w:tcPr>
          <w:p w14:paraId="766EEC7D" w14:textId="77777777" w:rsidR="0034016E" w:rsidRPr="0058047D"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8047D" w14:paraId="24E51AD8"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102B0E2" w14:textId="77777777" w:rsidR="0034016E" w:rsidRPr="0058047D"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F48A35E" w14:textId="77777777" w:rsidR="0034016E" w:rsidRPr="0058047D" w:rsidRDefault="0034016E" w:rsidP="00343766">
            <w:pPr>
              <w:pStyle w:val="ColorfulList-Accent11"/>
              <w:keepNext/>
              <w:spacing w:line="276" w:lineRule="auto"/>
              <w:ind w:left="0"/>
              <w:jc w:val="center"/>
              <w:rPr>
                <w:rFonts w:ascii="Tahoma" w:hAnsi="Tahoma" w:cs="Tahoma"/>
                <w:sz w:val="18"/>
                <w:szCs w:val="18"/>
              </w:rPr>
            </w:pPr>
            <w:r w:rsidRPr="0058047D">
              <w:rPr>
                <w:rFonts w:ascii="Tahoma" w:hAnsi="Tahoma" w:cs="Tahoma"/>
                <w:sz w:val="18"/>
                <w:szCs w:val="18"/>
              </w:rPr>
              <w:t>Norvegia</w:t>
            </w:r>
          </w:p>
        </w:tc>
        <w:tc>
          <w:tcPr>
            <w:tcW w:w="2670" w:type="dxa"/>
            <w:tcBorders>
              <w:top w:val="single" w:sz="4" w:space="0" w:color="000000"/>
              <w:left w:val="single" w:sz="4" w:space="0" w:color="auto"/>
              <w:bottom w:val="single" w:sz="4" w:space="0" w:color="000000"/>
              <w:right w:val="single" w:sz="4" w:space="0" w:color="000000"/>
            </w:tcBorders>
          </w:tcPr>
          <w:p w14:paraId="20B0421D" w14:textId="77777777" w:rsidR="0034016E" w:rsidRPr="0058047D"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8047D" w14:paraId="21434CBB"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4438ED0" w14:textId="77777777" w:rsidR="0034016E" w:rsidRPr="0058047D"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2ECA79D6" w14:textId="77777777" w:rsidR="0034016E" w:rsidRPr="0058047D" w:rsidRDefault="0034016E" w:rsidP="00343766">
            <w:pPr>
              <w:pStyle w:val="ColorfulList-Accent11"/>
              <w:keepNext/>
              <w:spacing w:line="276" w:lineRule="auto"/>
              <w:ind w:left="0"/>
              <w:jc w:val="center"/>
              <w:rPr>
                <w:rFonts w:ascii="Tahoma" w:hAnsi="Tahoma" w:cs="Tahoma"/>
                <w:sz w:val="18"/>
                <w:szCs w:val="18"/>
              </w:rPr>
            </w:pPr>
            <w:r w:rsidRPr="0058047D">
              <w:rPr>
                <w:rFonts w:ascii="Tahoma" w:hAnsi="Tahoma" w:cs="Tahoma"/>
                <w:sz w:val="18"/>
                <w:szCs w:val="18"/>
              </w:rPr>
              <w:t>Polonia</w:t>
            </w:r>
          </w:p>
        </w:tc>
        <w:tc>
          <w:tcPr>
            <w:tcW w:w="2670" w:type="dxa"/>
            <w:tcBorders>
              <w:top w:val="single" w:sz="4" w:space="0" w:color="000000"/>
              <w:left w:val="single" w:sz="4" w:space="0" w:color="auto"/>
              <w:bottom w:val="single" w:sz="4" w:space="0" w:color="000000"/>
              <w:right w:val="single" w:sz="4" w:space="0" w:color="000000"/>
            </w:tcBorders>
          </w:tcPr>
          <w:p w14:paraId="28B0CA08" w14:textId="77777777" w:rsidR="0034016E" w:rsidRPr="0058047D"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8047D" w14:paraId="4812A01B"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DE361C6" w14:textId="77777777" w:rsidR="0034016E" w:rsidRPr="0058047D"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072AB97B" w14:textId="77777777" w:rsidR="0034016E" w:rsidRPr="0058047D" w:rsidRDefault="0034016E" w:rsidP="00343766">
            <w:pPr>
              <w:pStyle w:val="ColorfulList-Accent11"/>
              <w:keepNext/>
              <w:spacing w:line="276" w:lineRule="auto"/>
              <w:ind w:left="0"/>
              <w:jc w:val="center"/>
              <w:rPr>
                <w:rFonts w:ascii="Tahoma" w:hAnsi="Tahoma" w:cs="Tahoma"/>
                <w:sz w:val="18"/>
                <w:szCs w:val="18"/>
              </w:rPr>
            </w:pPr>
            <w:r w:rsidRPr="0058047D">
              <w:rPr>
                <w:rFonts w:ascii="Tahoma" w:hAnsi="Tahoma" w:cs="Tahoma"/>
                <w:sz w:val="18"/>
                <w:szCs w:val="18"/>
              </w:rPr>
              <w:t>Portogallo</w:t>
            </w:r>
          </w:p>
        </w:tc>
        <w:tc>
          <w:tcPr>
            <w:tcW w:w="2670" w:type="dxa"/>
            <w:tcBorders>
              <w:top w:val="single" w:sz="4" w:space="0" w:color="000000"/>
              <w:left w:val="single" w:sz="4" w:space="0" w:color="auto"/>
              <w:bottom w:val="single" w:sz="4" w:space="0" w:color="000000"/>
              <w:right w:val="single" w:sz="4" w:space="0" w:color="000000"/>
            </w:tcBorders>
          </w:tcPr>
          <w:p w14:paraId="0D1A6147" w14:textId="77777777" w:rsidR="0034016E" w:rsidRPr="0058047D"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8047D" w14:paraId="2B8C0A55"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D95184F" w14:textId="77777777" w:rsidR="0034016E" w:rsidRPr="0058047D"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2BD242C7" w14:textId="77777777" w:rsidR="0034016E" w:rsidRPr="0058047D" w:rsidRDefault="0034016E" w:rsidP="00343766">
            <w:pPr>
              <w:pStyle w:val="ColorfulList-Accent11"/>
              <w:keepNext/>
              <w:spacing w:line="276" w:lineRule="auto"/>
              <w:ind w:left="0"/>
              <w:jc w:val="center"/>
              <w:rPr>
                <w:rFonts w:ascii="Tahoma" w:hAnsi="Tahoma" w:cs="Tahoma"/>
                <w:sz w:val="18"/>
                <w:szCs w:val="18"/>
              </w:rPr>
            </w:pPr>
            <w:r w:rsidRPr="0058047D">
              <w:rPr>
                <w:rFonts w:ascii="Tahoma" w:hAnsi="Tahoma" w:cs="Tahoma"/>
                <w:sz w:val="18"/>
                <w:szCs w:val="18"/>
              </w:rPr>
              <w:t>Romania</w:t>
            </w:r>
          </w:p>
        </w:tc>
        <w:tc>
          <w:tcPr>
            <w:tcW w:w="2670" w:type="dxa"/>
            <w:tcBorders>
              <w:top w:val="single" w:sz="4" w:space="0" w:color="000000"/>
              <w:left w:val="single" w:sz="4" w:space="0" w:color="auto"/>
              <w:bottom w:val="single" w:sz="4" w:space="0" w:color="000000"/>
              <w:right w:val="single" w:sz="4" w:space="0" w:color="000000"/>
            </w:tcBorders>
          </w:tcPr>
          <w:p w14:paraId="3C5888FC" w14:textId="77777777" w:rsidR="0034016E" w:rsidRPr="0058047D"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8047D" w14:paraId="5F270FE0"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675301A" w14:textId="77777777" w:rsidR="0034016E" w:rsidRPr="0058047D"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8C32B63" w14:textId="77777777" w:rsidR="0034016E" w:rsidRPr="0058047D" w:rsidRDefault="0034016E" w:rsidP="00343766">
            <w:pPr>
              <w:pStyle w:val="ColorfulList-Accent11"/>
              <w:keepNext/>
              <w:spacing w:line="276" w:lineRule="auto"/>
              <w:ind w:left="0"/>
              <w:jc w:val="center"/>
              <w:rPr>
                <w:rFonts w:ascii="Tahoma" w:hAnsi="Tahoma" w:cs="Tahoma"/>
                <w:sz w:val="18"/>
                <w:szCs w:val="18"/>
              </w:rPr>
            </w:pPr>
            <w:r w:rsidRPr="0058047D">
              <w:rPr>
                <w:rFonts w:ascii="Tahoma" w:hAnsi="Tahoma" w:cs="Tahoma"/>
                <w:sz w:val="18"/>
                <w:szCs w:val="18"/>
              </w:rPr>
              <w:t>Russia</w:t>
            </w:r>
          </w:p>
        </w:tc>
        <w:tc>
          <w:tcPr>
            <w:tcW w:w="2670" w:type="dxa"/>
            <w:tcBorders>
              <w:top w:val="single" w:sz="4" w:space="0" w:color="000000"/>
              <w:left w:val="single" w:sz="4" w:space="0" w:color="auto"/>
              <w:bottom w:val="single" w:sz="4" w:space="0" w:color="000000"/>
              <w:right w:val="single" w:sz="4" w:space="0" w:color="000000"/>
            </w:tcBorders>
          </w:tcPr>
          <w:p w14:paraId="02645BEC" w14:textId="77777777" w:rsidR="0034016E" w:rsidRPr="0058047D"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8047D" w14:paraId="587AAA84"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898E57B" w14:textId="77777777" w:rsidR="0034016E" w:rsidRPr="0058047D"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CA8A01D" w14:textId="77777777" w:rsidR="0034016E" w:rsidRPr="0058047D" w:rsidRDefault="0034016E" w:rsidP="00343766">
            <w:pPr>
              <w:pStyle w:val="ColorfulList-Accent11"/>
              <w:keepNext/>
              <w:spacing w:line="276" w:lineRule="auto"/>
              <w:ind w:left="0"/>
              <w:jc w:val="center"/>
              <w:rPr>
                <w:rFonts w:ascii="Tahoma" w:hAnsi="Tahoma" w:cs="Tahoma"/>
                <w:sz w:val="18"/>
                <w:szCs w:val="18"/>
              </w:rPr>
            </w:pPr>
            <w:r w:rsidRPr="0058047D">
              <w:rPr>
                <w:rFonts w:ascii="Tahoma" w:hAnsi="Tahoma" w:cs="Tahoma"/>
                <w:sz w:val="18"/>
                <w:szCs w:val="18"/>
              </w:rPr>
              <w:t>Spagna</w:t>
            </w:r>
          </w:p>
        </w:tc>
        <w:tc>
          <w:tcPr>
            <w:tcW w:w="2670" w:type="dxa"/>
            <w:tcBorders>
              <w:top w:val="single" w:sz="4" w:space="0" w:color="000000"/>
              <w:left w:val="single" w:sz="4" w:space="0" w:color="auto"/>
              <w:bottom w:val="single" w:sz="4" w:space="0" w:color="000000"/>
              <w:right w:val="single" w:sz="4" w:space="0" w:color="000000"/>
            </w:tcBorders>
          </w:tcPr>
          <w:p w14:paraId="0C1338E7" w14:textId="77777777" w:rsidR="0034016E" w:rsidRPr="0058047D"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8047D" w14:paraId="712CDBB0"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4EC776C" w14:textId="77777777" w:rsidR="0034016E" w:rsidRPr="0058047D"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2EAE5289" w14:textId="77777777" w:rsidR="0034016E" w:rsidRPr="0058047D" w:rsidRDefault="0034016E" w:rsidP="00343766">
            <w:pPr>
              <w:pStyle w:val="ColorfulList-Accent11"/>
              <w:keepNext/>
              <w:spacing w:line="276" w:lineRule="auto"/>
              <w:ind w:left="0"/>
              <w:jc w:val="center"/>
              <w:rPr>
                <w:rFonts w:ascii="Tahoma" w:hAnsi="Tahoma" w:cs="Tahoma"/>
                <w:sz w:val="18"/>
                <w:szCs w:val="18"/>
              </w:rPr>
            </w:pPr>
            <w:r w:rsidRPr="0058047D">
              <w:rPr>
                <w:rFonts w:ascii="Tahoma" w:hAnsi="Tahoma" w:cs="Tahoma"/>
                <w:sz w:val="18"/>
                <w:szCs w:val="18"/>
              </w:rPr>
              <w:t>Svezia</w:t>
            </w:r>
          </w:p>
        </w:tc>
        <w:tc>
          <w:tcPr>
            <w:tcW w:w="2670" w:type="dxa"/>
            <w:tcBorders>
              <w:top w:val="single" w:sz="4" w:space="0" w:color="000000"/>
              <w:left w:val="single" w:sz="4" w:space="0" w:color="auto"/>
              <w:bottom w:val="single" w:sz="4" w:space="0" w:color="000000"/>
              <w:right w:val="single" w:sz="4" w:space="0" w:color="000000"/>
            </w:tcBorders>
          </w:tcPr>
          <w:p w14:paraId="70A1259D" w14:textId="77777777" w:rsidR="0034016E" w:rsidRPr="0058047D"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8047D" w14:paraId="138A0636"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0F4DF41" w14:textId="77777777" w:rsidR="0034016E" w:rsidRPr="0058047D"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2D25A53E" w14:textId="77777777" w:rsidR="0034016E" w:rsidRPr="0058047D" w:rsidRDefault="0034016E" w:rsidP="00343766">
            <w:pPr>
              <w:pStyle w:val="ColorfulList-Accent11"/>
              <w:keepNext/>
              <w:spacing w:line="276" w:lineRule="auto"/>
              <w:ind w:left="0"/>
              <w:jc w:val="center"/>
              <w:rPr>
                <w:rFonts w:ascii="Tahoma" w:hAnsi="Tahoma" w:cs="Tahoma"/>
                <w:sz w:val="18"/>
                <w:szCs w:val="18"/>
              </w:rPr>
            </w:pPr>
            <w:r w:rsidRPr="0058047D">
              <w:rPr>
                <w:rFonts w:ascii="Tahoma" w:hAnsi="Tahoma" w:cs="Tahoma"/>
                <w:sz w:val="18"/>
                <w:szCs w:val="18"/>
              </w:rPr>
              <w:t>Svizzera</w:t>
            </w:r>
          </w:p>
        </w:tc>
        <w:tc>
          <w:tcPr>
            <w:tcW w:w="2670" w:type="dxa"/>
            <w:tcBorders>
              <w:top w:val="single" w:sz="4" w:space="0" w:color="000000"/>
              <w:left w:val="single" w:sz="4" w:space="0" w:color="auto"/>
              <w:bottom w:val="single" w:sz="4" w:space="0" w:color="000000"/>
              <w:right w:val="single" w:sz="4" w:space="0" w:color="000000"/>
            </w:tcBorders>
          </w:tcPr>
          <w:p w14:paraId="18411331" w14:textId="77777777" w:rsidR="0034016E" w:rsidRPr="0058047D"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8047D" w14:paraId="0BED73D2"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11CFD11" w14:textId="77777777" w:rsidR="0034016E" w:rsidRPr="0058047D"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0253889" w14:textId="77777777" w:rsidR="0034016E" w:rsidRPr="0058047D" w:rsidRDefault="0034016E" w:rsidP="00343766">
            <w:pPr>
              <w:pStyle w:val="ColorfulList-Accent11"/>
              <w:keepNext/>
              <w:spacing w:line="276" w:lineRule="auto"/>
              <w:ind w:left="0"/>
              <w:jc w:val="center"/>
              <w:rPr>
                <w:rFonts w:ascii="Tahoma" w:hAnsi="Tahoma" w:cs="Tahoma"/>
                <w:sz w:val="18"/>
                <w:szCs w:val="18"/>
              </w:rPr>
            </w:pPr>
            <w:r w:rsidRPr="0058047D">
              <w:rPr>
                <w:rFonts w:ascii="Tahoma" w:hAnsi="Tahoma" w:cs="Tahoma"/>
                <w:sz w:val="18"/>
                <w:szCs w:val="18"/>
              </w:rPr>
              <w:t>Regno Unito</w:t>
            </w:r>
          </w:p>
        </w:tc>
        <w:tc>
          <w:tcPr>
            <w:tcW w:w="2670" w:type="dxa"/>
            <w:tcBorders>
              <w:top w:val="single" w:sz="4" w:space="0" w:color="000000"/>
              <w:left w:val="single" w:sz="4" w:space="0" w:color="auto"/>
              <w:bottom w:val="single" w:sz="4" w:space="0" w:color="000000"/>
              <w:right w:val="single" w:sz="4" w:space="0" w:color="000000"/>
            </w:tcBorders>
          </w:tcPr>
          <w:p w14:paraId="6EF6C4EC" w14:textId="77777777" w:rsidR="0034016E" w:rsidRPr="0058047D" w:rsidRDefault="0034016E" w:rsidP="00343766">
            <w:pPr>
              <w:pStyle w:val="ColorfulList-Accent11"/>
              <w:keepNext/>
              <w:spacing w:line="276" w:lineRule="auto"/>
              <w:ind w:left="540"/>
              <w:jc w:val="center"/>
              <w:rPr>
                <w:rFonts w:ascii="Tahoma" w:hAnsi="Tahoma" w:cs="Tahoma"/>
                <w:color w:val="000000"/>
                <w:sz w:val="18"/>
                <w:szCs w:val="20"/>
              </w:rPr>
            </w:pPr>
          </w:p>
        </w:tc>
      </w:tr>
    </w:tbl>
    <w:p w14:paraId="2F80E9ED" w14:textId="77777777" w:rsidR="0034016E" w:rsidRPr="0058047D" w:rsidRDefault="0034016E" w:rsidP="0034016E">
      <w:pPr>
        <w:ind w:left="540"/>
      </w:pPr>
    </w:p>
    <w:p w14:paraId="7F9AEA22" w14:textId="77777777" w:rsidR="0034016E" w:rsidRPr="0058047D" w:rsidRDefault="0034016E" w:rsidP="0034016E">
      <w:pPr>
        <w:ind w:left="540"/>
      </w:pPr>
    </w:p>
    <w:p w14:paraId="75150DAA" w14:textId="77777777" w:rsidR="0034016E" w:rsidRPr="0058047D" w:rsidRDefault="0034016E" w:rsidP="0034016E">
      <w:pPr>
        <w:spacing w:after="60"/>
        <w:ind w:left="720"/>
      </w:pPr>
      <w:r w:rsidRPr="0058047D">
        <w:rPr>
          <w:rFonts w:cs="Tahoma"/>
          <w:b/>
          <w:bCs/>
          <w:color w:val="000000"/>
          <w:szCs w:val="18"/>
        </w:rPr>
        <w:t>Contratti Campus e School Agreement (CASA)</w:t>
      </w:r>
    </w:p>
    <w:p w14:paraId="43BA2194" w14:textId="77777777" w:rsidR="0034016E" w:rsidRPr="0058047D" w:rsidRDefault="0034016E" w:rsidP="0034016E">
      <w:pPr>
        <w:ind w:left="720"/>
      </w:pPr>
      <w:r w:rsidRPr="0058047D">
        <w:rPr>
          <w:rFonts w:cs="Tahoma"/>
          <w:color w:val="000000"/>
          <w:szCs w:val="18"/>
        </w:rPr>
        <w:t>Le licenze “Subscription” per Microsoft Dynamics CRM Online vendute ai sensi del contratto CASA potranno essere acquistate per l</w:t>
      </w:r>
      <w:r w:rsidR="001C4212">
        <w:rPr>
          <w:rFonts w:cs="Tahoma"/>
          <w:color w:val="000000"/>
          <w:szCs w:val="18"/>
        </w:rPr>
        <w:t>’</w:t>
      </w:r>
      <w:r w:rsidRPr="0058047D">
        <w:rPr>
          <w:rFonts w:cs="Tahoma"/>
          <w:color w:val="000000"/>
          <w:szCs w:val="18"/>
        </w:rPr>
        <w:t>intero Istituto oppure non per l</w:t>
      </w:r>
      <w:r w:rsidR="001C4212">
        <w:rPr>
          <w:rFonts w:cs="Tahoma"/>
          <w:color w:val="000000"/>
          <w:szCs w:val="18"/>
        </w:rPr>
        <w:t>’</w:t>
      </w:r>
      <w:r w:rsidRPr="0058047D">
        <w:rPr>
          <w:rFonts w:cs="Tahoma"/>
          <w:color w:val="000000"/>
          <w:szCs w:val="18"/>
        </w:rPr>
        <w:t>intero Istituto. Le licenze “Subscription” dovranno essere concesse nella modalità Per Utente. Qualora occorressero altre Licenze “Subscription” per Utente per accedere a Microsoft Dynamics CRM, dovrà essere ordinato lo stesso numero di Licenze “Subscription” per Utente.</w:t>
      </w:r>
    </w:p>
    <w:p w14:paraId="56A6F71E" w14:textId="77777777" w:rsidR="0034016E" w:rsidRPr="0058047D" w:rsidRDefault="0034016E" w:rsidP="0034016E">
      <w:pPr>
        <w:ind w:left="720"/>
      </w:pPr>
    </w:p>
    <w:p w14:paraId="5E631742" w14:textId="77777777" w:rsidR="0034016E" w:rsidRPr="0058047D" w:rsidRDefault="0034016E" w:rsidP="0034016E">
      <w:pPr>
        <w:keepNext/>
        <w:spacing w:after="60"/>
        <w:ind w:left="720"/>
      </w:pPr>
      <w:r w:rsidRPr="0058047D">
        <w:rPr>
          <w:b/>
        </w:rPr>
        <w:t>Microsoft Dynamics CRM Online - Microsoft Dynamics Marketing Online Integration Grant</w:t>
      </w:r>
    </w:p>
    <w:p w14:paraId="1A802542" w14:textId="77777777" w:rsidR="0034016E" w:rsidRDefault="0034016E" w:rsidP="0034016E">
      <w:pPr>
        <w:ind w:left="720"/>
      </w:pPr>
      <w:r w:rsidRPr="0058047D">
        <w:t>La rinuncia di licenza che segue si applica agli utenti in possesso della licenza per Microsoft Dynamics Marketing Online con l</w:t>
      </w:r>
      <w:r w:rsidR="001C4212">
        <w:t>’</w:t>
      </w:r>
      <w:r w:rsidRPr="0058047D">
        <w:t xml:space="preserve">opzione Maintenance Support and Upgrade attiva che accedono al servizio Microsoft Dynamics CRM Online direttamente o indirettamente tramite il Software </w:t>
      </w:r>
      <w:r w:rsidRPr="0058047D">
        <w:rPr>
          <w:bCs/>
        </w:rPr>
        <w:t xml:space="preserve">MarketingPilot Connector per Microsoft Dynamics CRM </w:t>
      </w:r>
      <w:r w:rsidRPr="0058047D">
        <w:t>al solo scopo di sincronizzare i dati della società. Tali utenti non richiedono una USL per Microsoft Dynamics CRM Online. Tale rinuncia si applica fino al</w:t>
      </w:r>
      <w:r w:rsidRPr="0058047D">
        <w:rPr>
          <w:rFonts w:eastAsia="Calibri"/>
        </w:rPr>
        <w:t xml:space="preserve"> </w:t>
      </w:r>
      <w:r w:rsidRPr="0058047D">
        <w:t>30 giugno 2014. Dopo tale data Microsoft si riserva il diritto di richiedere le USL appropriate.</w:t>
      </w:r>
    </w:p>
    <w:p w14:paraId="41220621" w14:textId="77777777" w:rsidR="00371969" w:rsidRPr="0058047D" w:rsidRDefault="00371969" w:rsidP="0034016E">
      <w:pPr>
        <w:ind w:left="720"/>
      </w:pPr>
    </w:p>
    <w:p w14:paraId="5151FFD2" w14:textId="77777777" w:rsidR="00A04495" w:rsidRPr="0058047D" w:rsidRDefault="00A04495" w:rsidP="007B1734">
      <w:bookmarkStart w:id="1357" w:name="_66_Microsoft_Dynamics"/>
      <w:bookmarkStart w:id="1358" w:name="_71_Microsoft_Dynamics"/>
      <w:bookmarkStart w:id="1359" w:name="_74_Microsoft_Dynamics"/>
      <w:bookmarkEnd w:id="1357"/>
      <w:bookmarkEnd w:id="1358"/>
      <w:bookmarkEnd w:id="1359"/>
    </w:p>
    <w:p w14:paraId="51D00157" w14:textId="77777777" w:rsidR="00A2524E" w:rsidRPr="0058047D" w:rsidRDefault="00A2524E" w:rsidP="00A2524E">
      <w:pPr>
        <w:pStyle w:val="Heading3"/>
      </w:pPr>
      <w:bookmarkStart w:id="1360" w:name="_74_Microsoft_Learning"/>
      <w:bookmarkStart w:id="1361" w:name="_Toc371663727"/>
      <w:bookmarkEnd w:id="1360"/>
      <w:r w:rsidRPr="0058047D">
        <w:rPr>
          <w:rFonts w:ascii="Tahoma" w:hAnsi="Tahoma"/>
          <w:caps/>
          <w:color w:val="F66400"/>
          <w:sz w:val="22"/>
          <w:vertAlign w:val="superscript"/>
        </w:rPr>
        <w:t>74</w:t>
      </w:r>
      <w:r w:rsidRPr="0058047D">
        <w:rPr>
          <w:rFonts w:ascii="Tahoma" w:hAnsi="Tahoma"/>
          <w:color w:val="F66400"/>
          <w:sz w:val="22"/>
        </w:rPr>
        <w:t xml:space="preserve"> Microsoft Learning MCP Exam Vouchers</w:t>
      </w:r>
      <w:bookmarkEnd w:id="1361"/>
    </w:p>
    <w:p w14:paraId="33D04F95" w14:textId="77777777" w:rsidR="00A2524E" w:rsidRPr="0058047D" w:rsidRDefault="00A2524E" w:rsidP="00A2524E">
      <w:pPr>
        <w:pStyle w:val="EndnoteText"/>
      </w:pPr>
    </w:p>
    <w:p w14:paraId="5989CCF6" w14:textId="77777777" w:rsidR="00A2524E" w:rsidRPr="0058047D" w:rsidRDefault="00A2524E" w:rsidP="00A2524E">
      <w:pPr>
        <w:pStyle w:val="EndnoteText"/>
        <w:ind w:left="720"/>
      </w:pPr>
      <w:r w:rsidRPr="0058047D">
        <w:rPr>
          <w:rFonts w:ascii="Tahoma" w:hAnsi="Tahoma" w:cs="Tahoma"/>
          <w:sz w:val="18"/>
        </w:rPr>
        <w:t xml:space="preserve">Tutti i voucher verranno consegna anticipatamente e potranno essere utilizzati in qualunque momento entro 12 mesi dalla data di acquisto. </w:t>
      </w:r>
      <w:r w:rsidRPr="0058047D">
        <w:rPr>
          <w:rFonts w:ascii="Tahoma" w:hAnsi="Tahoma" w:cs="Tahoma"/>
          <w:bCs/>
          <w:color w:val="000000"/>
          <w:sz w:val="18"/>
          <w:szCs w:val="20"/>
        </w:rPr>
        <w:t>Le società dovranno fare riferimento all</w:t>
      </w:r>
      <w:r w:rsidR="001C4212">
        <w:rPr>
          <w:rFonts w:ascii="Tahoma" w:hAnsi="Tahoma" w:cs="Tahoma"/>
          <w:bCs/>
          <w:color w:val="000000"/>
          <w:sz w:val="18"/>
          <w:szCs w:val="20"/>
        </w:rPr>
        <w:t>’</w:t>
      </w:r>
      <w:hyperlink w:anchor="_Section_10_–" w:history="1">
        <w:r w:rsidRPr="0058047D">
          <w:rPr>
            <w:rStyle w:val="Hyperlink"/>
            <w:rFonts w:ascii="Tahoma" w:hAnsi="Tahoma" w:cs="Tahoma"/>
            <w:sz w:val="18"/>
          </w:rPr>
          <w:t>Articolo 10</w:t>
        </w:r>
      </w:hyperlink>
      <w:r w:rsidRPr="0058047D">
        <w:rPr>
          <w:rFonts w:ascii="Tahoma" w:hAnsi="Tahoma" w:cs="Tahoma"/>
          <w:bCs/>
          <w:color w:val="000000"/>
          <w:sz w:val="18"/>
          <w:szCs w:val="20"/>
        </w:rPr>
        <w:t xml:space="preserve"> per i prezzi dei servizi online e le condizioni di pagamento. </w:t>
      </w:r>
    </w:p>
    <w:p w14:paraId="1688DE4C" w14:textId="77777777" w:rsidR="00075CCA" w:rsidRDefault="00075CCA" w:rsidP="00A2524E">
      <w:pPr>
        <w:pStyle w:val="EndnoteText"/>
        <w:ind w:left="720"/>
      </w:pPr>
    </w:p>
    <w:p w14:paraId="1BC4D6CA" w14:textId="77777777" w:rsidR="00A2524E" w:rsidRPr="0058047D" w:rsidRDefault="00A2524E" w:rsidP="00A2524E">
      <w:pPr>
        <w:spacing w:after="60"/>
        <w:ind w:left="720"/>
      </w:pPr>
      <w:r w:rsidRPr="0058047D">
        <w:rPr>
          <w:b/>
          <w:color w:val="000000"/>
        </w:rPr>
        <w:t>Licenza per il Sito degli Esami per la Certificazione MOS (Microsoft Office Specialist)</w:t>
      </w:r>
    </w:p>
    <w:p w14:paraId="6970BA4E" w14:textId="77777777" w:rsidR="00A2524E" w:rsidRPr="0058047D" w:rsidRDefault="00A2524E" w:rsidP="00A2524E">
      <w:pPr>
        <w:ind w:left="720"/>
      </w:pPr>
      <w:r w:rsidRPr="0058047D">
        <w:rPr>
          <w:color w:val="000000"/>
        </w:rPr>
        <w:t>Alla società verrà chiesto di fungere da centro di test autorizzato Certiport per poter utilizzare la licenza per</w:t>
      </w:r>
      <w:r w:rsidR="00DA0170">
        <w:rPr>
          <w:color w:val="000000"/>
        </w:rPr>
        <w:t> </w:t>
      </w:r>
      <w:r w:rsidRPr="0058047D">
        <w:rPr>
          <w:color w:val="000000"/>
        </w:rPr>
        <w:t>il sito.</w:t>
      </w:r>
      <w:r w:rsidR="00E34ED3" w:rsidRPr="0058047D">
        <w:rPr>
          <w:color w:val="000000"/>
        </w:rPr>
        <w:t xml:space="preserve"> </w:t>
      </w:r>
      <w:r w:rsidRPr="0058047D">
        <w:rPr>
          <w:color w:val="000000"/>
        </w:rPr>
        <w:t>Qualora la società non sia un centro di test Certiport autorizzato, dovrà attenersi alla seguente procedura per diventare un centro di test Certiport prima di poter utilizzare la licenza per il sito. La licenza per il sito cesserà automaticamente dopo 12 mesi dalla data di acquisto. Qualsiasi esame di certificazione non utilizzato andrà perso.</w:t>
      </w:r>
    </w:p>
    <w:p w14:paraId="24A821A6" w14:textId="77777777" w:rsidR="00A2524E" w:rsidRPr="0058047D" w:rsidRDefault="00A2524E" w:rsidP="00A2524E">
      <w:pPr>
        <w:pStyle w:val="EndnoteText"/>
        <w:ind w:left="0"/>
      </w:pPr>
    </w:p>
    <w:p w14:paraId="611F9294" w14:textId="77777777" w:rsidR="00A2524E" w:rsidRPr="0058047D" w:rsidRDefault="00A2524E" w:rsidP="00A2524E">
      <w:pPr>
        <w:spacing w:after="60"/>
        <w:ind w:left="720"/>
      </w:pPr>
      <w:r w:rsidRPr="0058047D">
        <w:rPr>
          <w:b/>
          <w:color w:val="000000"/>
        </w:rPr>
        <w:t>Licenza per il Sito degli Esami per la Certificazione MTA (Microsoft Technology Associate)</w:t>
      </w:r>
    </w:p>
    <w:p w14:paraId="1347173A" w14:textId="77777777" w:rsidR="00A2524E" w:rsidRPr="0058047D" w:rsidRDefault="00A2524E" w:rsidP="00A2524E">
      <w:pPr>
        <w:ind w:left="720"/>
      </w:pPr>
      <w:r w:rsidRPr="0058047D">
        <w:rPr>
          <w:color w:val="000000"/>
        </w:rPr>
        <w:t>Alla società verrà chiesto di fungere da centro di test autorizzato Certiport per poter utilizzare la licenza per il sito.</w:t>
      </w:r>
      <w:r w:rsidR="00E34ED3" w:rsidRPr="0058047D">
        <w:rPr>
          <w:color w:val="000000"/>
        </w:rPr>
        <w:t xml:space="preserve"> </w:t>
      </w:r>
      <w:r w:rsidRPr="0058047D">
        <w:rPr>
          <w:color w:val="000000"/>
        </w:rPr>
        <w:t>Qualora la società non sia un centro di test Certiport autorizzato, dovrà attenersi alla seguente procedura per diventare un centro di test Certiport prima di poter utilizzare la licenza per il sito. La licenza per il sito cesserà automaticamente dopo 12 mesi dalla data di acquisto. Qualsiasi esame di certificazione non utilizzato andrà perso.</w:t>
      </w:r>
    </w:p>
    <w:p w14:paraId="2952CF48" w14:textId="77777777" w:rsidR="002A7214" w:rsidRPr="0058047D" w:rsidRDefault="002A7214" w:rsidP="00A2524E">
      <w:pPr>
        <w:ind w:left="720"/>
      </w:pPr>
    </w:p>
    <w:p w14:paraId="68E6D45F" w14:textId="77777777" w:rsidR="002A7214" w:rsidRPr="0058047D" w:rsidRDefault="002A7214" w:rsidP="00A2524E">
      <w:pPr>
        <w:ind w:left="720"/>
      </w:pPr>
    </w:p>
    <w:p w14:paraId="7A6E2AD5" w14:textId="77777777" w:rsidR="00BE7AC3" w:rsidRPr="0058047D" w:rsidRDefault="00A560B6" w:rsidP="00BE7AC3">
      <w:pPr>
        <w:pStyle w:val="Heading2"/>
        <w:ind w:left="0"/>
      </w:pPr>
      <w:bookmarkStart w:id="1362" w:name="_70_68_Office"/>
      <w:bookmarkStart w:id="1363" w:name="_75_Office_365"/>
      <w:bookmarkStart w:id="1364" w:name="_71_Office_365"/>
      <w:bookmarkStart w:id="1365" w:name="_69_Office_365_1"/>
      <w:bookmarkStart w:id="1366" w:name="_76_Office_365"/>
      <w:bookmarkStart w:id="1367" w:name="_Toc371663728"/>
      <w:bookmarkEnd w:id="1355"/>
      <w:bookmarkEnd w:id="1356"/>
      <w:bookmarkEnd w:id="1362"/>
      <w:bookmarkEnd w:id="1363"/>
      <w:bookmarkEnd w:id="1364"/>
      <w:bookmarkEnd w:id="1365"/>
      <w:bookmarkEnd w:id="1366"/>
      <w:r w:rsidRPr="0058047D">
        <w:rPr>
          <w:rFonts w:ascii="Tahoma" w:hAnsi="Tahoma" w:cs="Tahoma"/>
          <w:caps/>
          <w:color w:val="F66400"/>
          <w:sz w:val="22"/>
          <w:szCs w:val="20"/>
          <w:vertAlign w:val="superscript"/>
        </w:rPr>
        <w:t xml:space="preserve">75 </w:t>
      </w:r>
      <w:r w:rsidRPr="0058047D">
        <w:rPr>
          <w:rFonts w:ascii="Tahoma" w:hAnsi="Tahoma" w:cs="Tahoma"/>
          <w:color w:val="FF6600"/>
          <w:sz w:val="22"/>
          <w:szCs w:val="22"/>
        </w:rPr>
        <w:t>Office 365 Enterprise K1 (SL per Utente)</w:t>
      </w:r>
      <w:bookmarkEnd w:id="1367"/>
    </w:p>
    <w:p w14:paraId="6F6E23EA" w14:textId="77777777" w:rsidR="00BE7AC3" w:rsidRPr="0058047D" w:rsidRDefault="00BE7AC3" w:rsidP="00BE7AC3">
      <w:pPr>
        <w:ind w:left="720"/>
      </w:pPr>
    </w:p>
    <w:p w14:paraId="6F64AFA2" w14:textId="77777777" w:rsidR="00BE7AC3" w:rsidRPr="0058047D" w:rsidRDefault="00BE7AC3" w:rsidP="00BE7AC3">
      <w:pPr>
        <w:ind w:left="720"/>
      </w:pPr>
      <w:r w:rsidRPr="0058047D">
        <w:rPr>
          <w:rFonts w:cs="Tahoma"/>
          <w:color w:val="000000"/>
          <w:szCs w:val="18"/>
        </w:rPr>
        <w:t>Nonostante quanto diversamente stabilito nei contratti di licenza delle società, gli utenti qualificati non includono gli utenti titolari di licenza per Chiosco Exchange Online, Chiosco SharePoint Online o Office 365 Enterprise K1</w:t>
      </w:r>
    </w:p>
    <w:p w14:paraId="04B2BBC9" w14:textId="77777777" w:rsidR="00BE7AC3" w:rsidRPr="0058047D" w:rsidRDefault="00BE7AC3" w:rsidP="00BE7AC3">
      <w:pPr>
        <w:ind w:left="720"/>
      </w:pPr>
    </w:p>
    <w:p w14:paraId="57DAD114" w14:textId="77777777" w:rsidR="00BE7AC3" w:rsidRPr="0058047D" w:rsidRDefault="00BE7AC3" w:rsidP="00BE7AC3">
      <w:pPr>
        <w:ind w:left="720"/>
      </w:pPr>
      <w:r w:rsidRPr="0058047D">
        <w:rPr>
          <w:rFonts w:cs="Tahoma"/>
          <w:color w:val="000000"/>
          <w:szCs w:val="18"/>
        </w:rPr>
        <w:t>Office 365 Enterprise K1 era precedentemente noto come Business Productivity Online Deskless Suite (BPOS Deskless).</w:t>
      </w:r>
      <w:r w:rsidR="00E34ED3" w:rsidRPr="0058047D">
        <w:rPr>
          <w:rFonts w:cs="Tahoma"/>
          <w:color w:val="000000"/>
          <w:szCs w:val="18"/>
        </w:rPr>
        <w:t xml:space="preserve"> </w:t>
      </w:r>
      <w:r w:rsidRPr="0058047D">
        <w:rPr>
          <w:rFonts w:cs="Tahoma"/>
          <w:color w:val="000000"/>
          <w:szCs w:val="18"/>
        </w:rPr>
        <w:t>Le società che, in Brasile o in Cile, acquisteranno Office 365 Enterprise K1 riceveranno BPOS Deskless.</w:t>
      </w:r>
      <w:r w:rsidR="00E34ED3" w:rsidRPr="0058047D">
        <w:rPr>
          <w:rFonts w:cs="Tahoma"/>
          <w:color w:val="000000"/>
          <w:szCs w:val="18"/>
        </w:rPr>
        <w:t xml:space="preserve"> </w:t>
      </w:r>
      <w:r w:rsidRPr="0058047D">
        <w:rPr>
          <w:rFonts w:cs="Tahoma"/>
          <w:color w:val="000000"/>
          <w:szCs w:val="18"/>
        </w:rPr>
        <w:t>Tali società potranno migrare a Office 365 Enterprise K1 in un secondo momento.</w:t>
      </w:r>
    </w:p>
    <w:p w14:paraId="0093DBEA" w14:textId="77777777" w:rsidR="00D57009" w:rsidRPr="0058047D" w:rsidRDefault="00D57009"/>
    <w:p w14:paraId="436845D9" w14:textId="77777777" w:rsidR="00BE7AC3" w:rsidRPr="0058047D" w:rsidRDefault="00BE7AC3" w:rsidP="00BE7AC3">
      <w:pPr>
        <w:spacing w:after="60"/>
        <w:ind w:left="720"/>
      </w:pPr>
      <w:r w:rsidRPr="0058047D">
        <w:rPr>
          <w:rFonts w:eastAsia="Calibri" w:cs="Tahoma"/>
          <w:b/>
          <w:color w:val="000000"/>
          <w:szCs w:val="18"/>
        </w:rPr>
        <w:t>Community Cloud per Enti Pubblici (solo Stati Uniti)</w:t>
      </w:r>
    </w:p>
    <w:p w14:paraId="124C6543" w14:textId="77777777" w:rsidR="00BE7AC3" w:rsidRPr="0058047D" w:rsidRDefault="00BE7AC3" w:rsidP="00BE7AC3">
      <w:pPr>
        <w:ind w:left="720"/>
      </w:pPr>
      <w:r w:rsidRPr="0058047D">
        <w:rPr>
          <w:rFonts w:eastAsia="Calibri" w:cs="Tahoma"/>
          <w:color w:val="000000"/>
          <w:szCs w:val="18"/>
        </w:rPr>
        <w:t>Alcuni servizi online della famiglia di prodotti Office 365 (incluso Office 365 Enterprise K1) sono offerti come</w:t>
      </w:r>
      <w:r w:rsidR="00DA0170">
        <w:rPr>
          <w:rFonts w:eastAsia="Calibri" w:cs="Tahoma"/>
          <w:color w:val="000000"/>
          <w:szCs w:val="18"/>
        </w:rPr>
        <w:t> </w:t>
      </w:r>
      <w:r w:rsidRPr="0058047D">
        <w:rPr>
          <w:rFonts w:eastAsia="Calibri" w:cs="Tahoma"/>
          <w:color w:val="000000"/>
          <w:szCs w:val="18"/>
        </w:rPr>
        <w:t>servizi di community cloud per enti pubblici e come servizi di community cloud per enti non pubblici.</w:t>
      </w:r>
      <w:r w:rsidR="00E34ED3" w:rsidRPr="0058047D">
        <w:rPr>
          <w:rFonts w:eastAsia="Calibri" w:cs="Tahoma"/>
          <w:color w:val="000000"/>
          <w:szCs w:val="18"/>
        </w:rPr>
        <w:t xml:space="preserve"> </w:t>
      </w:r>
      <w:r w:rsidRPr="0058047D">
        <w:rPr>
          <w:rFonts w:eastAsia="Calibri" w:cs="Tahoma"/>
          <w:color w:val="000000"/>
          <w:szCs w:val="18"/>
        </w:rPr>
        <w:t>Alle società potrà essere effettuato il provisioning come ente pubblico o non pubblico, ma non come una combinazione di entrambi.</w:t>
      </w:r>
      <w:r w:rsidR="00E34ED3" w:rsidRPr="0058047D">
        <w:rPr>
          <w:rFonts w:eastAsia="Calibri" w:cs="Tahoma"/>
          <w:color w:val="000000"/>
          <w:szCs w:val="18"/>
        </w:rPr>
        <w:t xml:space="preserve"> </w:t>
      </w:r>
      <w:r w:rsidRPr="0058047D">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E34ED3" w:rsidRPr="0058047D">
        <w:rPr>
          <w:rFonts w:eastAsia="Calibri" w:cs="Tahoma"/>
          <w:color w:val="000000"/>
          <w:szCs w:val="18"/>
        </w:rPr>
        <w:t xml:space="preserve"> </w:t>
      </w:r>
    </w:p>
    <w:p w14:paraId="17D56899" w14:textId="77777777" w:rsidR="00BE7AC3" w:rsidRPr="0058047D" w:rsidRDefault="00BE7AC3" w:rsidP="00BE7AC3">
      <w:pPr>
        <w:ind w:left="720"/>
      </w:pPr>
    </w:p>
    <w:p w14:paraId="711A8454" w14:textId="77777777" w:rsidR="00BE7AC3" w:rsidRPr="0058047D" w:rsidRDefault="00BE7AC3" w:rsidP="00BE7AC3">
      <w:pPr>
        <w:ind w:left="720"/>
      </w:pPr>
      <w:r w:rsidRPr="0058047D">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1C4212">
        <w:rPr>
          <w:rFonts w:eastAsia="Calibri" w:cs="Tahoma"/>
          <w:color w:val="000000"/>
          <w:szCs w:val="18"/>
        </w:rPr>
        <w:t>’</w:t>
      </w:r>
      <w:r w:rsidRPr="0058047D">
        <w:rPr>
          <w:rFonts w:eastAsia="Calibri" w:cs="Tahoma"/>
          <w:color w:val="000000"/>
          <w:szCs w:val="18"/>
        </w:rPr>
        <w:t>Iscrizione Enterprise o Enterprise Subscription per Enti Pubblici Statunitensi per essere idonei all</w:t>
      </w:r>
      <w:r w:rsidR="001C4212">
        <w:rPr>
          <w:rFonts w:eastAsia="Calibri" w:cs="Tahoma"/>
          <w:color w:val="000000"/>
          <w:szCs w:val="18"/>
        </w:rPr>
        <w:t>’</w:t>
      </w:r>
      <w:r w:rsidRPr="0058047D">
        <w:rPr>
          <w:rFonts w:eastAsia="Calibri" w:cs="Tahoma"/>
          <w:color w:val="000000"/>
          <w:szCs w:val="18"/>
        </w:rPr>
        <w:t>acquisto di servizi online designati come community cloud per enti pubblici.</w:t>
      </w:r>
      <w:r w:rsidR="00E34ED3" w:rsidRPr="0058047D">
        <w:rPr>
          <w:rFonts w:eastAsia="Calibri" w:cs="Tahoma"/>
          <w:color w:val="000000"/>
          <w:szCs w:val="18"/>
        </w:rPr>
        <w:t xml:space="preserve"> </w:t>
      </w:r>
      <w:r w:rsidRPr="0058047D">
        <w:rPr>
          <w:rFonts w:eastAsia="Calibri" w:cs="Tahoma"/>
          <w:color w:val="000000"/>
          <w:szCs w:val="18"/>
        </w:rPr>
        <w:t>I Diritti sull</w:t>
      </w:r>
      <w:r w:rsidR="001C4212">
        <w:rPr>
          <w:rFonts w:eastAsia="Calibri" w:cs="Tahoma"/>
          <w:color w:val="000000"/>
          <w:szCs w:val="18"/>
        </w:rPr>
        <w:t>’</w:t>
      </w:r>
      <w:r w:rsidRPr="0058047D">
        <w:rPr>
          <w:rFonts w:eastAsia="Calibri" w:cs="Tahoma"/>
          <w:color w:val="000000"/>
          <w:szCs w:val="18"/>
        </w:rPr>
        <w:t>Utilizzo relativi ai servizi di community cloud per enti pubblici sono simili a quelli dei loro equivalenti multi-tenant standard.</w:t>
      </w:r>
    </w:p>
    <w:p w14:paraId="2153870C" w14:textId="77777777" w:rsidR="00BE7AC3" w:rsidRPr="0058047D" w:rsidRDefault="00BE7AC3" w:rsidP="00BA1490">
      <w:pPr>
        <w:ind w:left="720"/>
      </w:pPr>
    </w:p>
    <w:p w14:paraId="1C70AD01" w14:textId="77777777" w:rsidR="00F1020A" w:rsidRPr="0058047D" w:rsidRDefault="00F1020A" w:rsidP="00BA1490">
      <w:pPr>
        <w:ind w:left="720"/>
      </w:pPr>
    </w:p>
    <w:p w14:paraId="29A9CA71" w14:textId="77777777" w:rsidR="00A83600" w:rsidRPr="0058047D" w:rsidRDefault="00A560B6" w:rsidP="00A83600">
      <w:pPr>
        <w:pStyle w:val="Heading2"/>
        <w:ind w:left="0"/>
      </w:pPr>
      <w:bookmarkStart w:id="1368" w:name="_70_Office_365"/>
      <w:bookmarkStart w:id="1369" w:name="_77_Office_365"/>
      <w:bookmarkStart w:id="1370" w:name="_Toc336338330"/>
      <w:bookmarkStart w:id="1371" w:name="_Toc371663729"/>
      <w:bookmarkStart w:id="1372" w:name="Srv_73Office365PlanG2toG4"/>
      <w:bookmarkEnd w:id="1368"/>
      <w:bookmarkEnd w:id="1369"/>
      <w:r w:rsidRPr="0058047D">
        <w:rPr>
          <w:rFonts w:ascii="Tahoma" w:hAnsi="Tahoma" w:cs="Tahoma"/>
          <w:caps/>
          <w:color w:val="FF6600"/>
          <w:sz w:val="22"/>
          <w:szCs w:val="22"/>
          <w:vertAlign w:val="superscript"/>
        </w:rPr>
        <w:t>76</w:t>
      </w:r>
      <w:r w:rsidRPr="0058047D">
        <w:rPr>
          <w:rFonts w:ascii="Tahoma" w:hAnsi="Tahoma" w:cs="Tahoma"/>
          <w:color w:val="FF6600"/>
        </w:rPr>
        <w:t xml:space="preserve"> </w:t>
      </w:r>
      <w:r w:rsidRPr="0058047D">
        <w:rPr>
          <w:rFonts w:ascii="Tahoma" w:hAnsi="Tahoma" w:cs="Tahoma"/>
          <w:color w:val="FF6600"/>
          <w:sz w:val="22"/>
          <w:szCs w:val="22"/>
        </w:rPr>
        <w:t>Office 365 Government G1, G3, G4</w:t>
      </w:r>
      <w:bookmarkEnd w:id="1370"/>
      <w:bookmarkEnd w:id="1371"/>
    </w:p>
    <w:p w14:paraId="71C82B09" w14:textId="77777777" w:rsidR="00A83600" w:rsidRPr="0058047D" w:rsidRDefault="00A83600" w:rsidP="00A83600"/>
    <w:bookmarkEnd w:id="1372"/>
    <w:p w14:paraId="2727FE3E" w14:textId="77777777" w:rsidR="00A83600" w:rsidRPr="0058047D" w:rsidRDefault="00A83600" w:rsidP="00E62BC4">
      <w:pPr>
        <w:ind w:left="720"/>
      </w:pPr>
      <w:r w:rsidRPr="0058047D">
        <w:rPr>
          <w:color w:val="000000"/>
        </w:rPr>
        <w:t>Office 365 Government G1, G3 e G4 permette l</w:t>
      </w:r>
      <w:r w:rsidR="001C4212">
        <w:rPr>
          <w:color w:val="000000"/>
        </w:rPr>
        <w:t>’</w:t>
      </w:r>
      <w:r w:rsidRPr="0058047D">
        <w:rPr>
          <w:color w:val="000000"/>
        </w:rPr>
        <w:t>accesso ai seguenti Servizi Online:</w:t>
      </w:r>
    </w:p>
    <w:p w14:paraId="445161AC" w14:textId="77777777" w:rsidR="00A83600" w:rsidRPr="0058047D" w:rsidRDefault="00A83600" w:rsidP="00A83600"/>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58047D" w14:paraId="59D60448" w14:textId="77777777" w:rsidTr="005D753D">
        <w:tc>
          <w:tcPr>
            <w:tcW w:w="2970" w:type="dxa"/>
            <w:shd w:val="clear" w:color="auto" w:fill="FABF8F"/>
          </w:tcPr>
          <w:p w14:paraId="011CD277" w14:textId="77777777" w:rsidR="005D753D" w:rsidRPr="0058047D" w:rsidRDefault="005D753D" w:rsidP="0050116B">
            <w:pPr>
              <w:keepNext/>
              <w:keepLines/>
              <w:jc w:val="center"/>
              <w:rPr>
                <w:rFonts w:eastAsia="Calibri"/>
                <w:b/>
                <w:color w:val="000000"/>
                <w:sz w:val="20"/>
              </w:rPr>
            </w:pPr>
            <w:r w:rsidRPr="0058047D">
              <w:rPr>
                <w:rFonts w:eastAsia="Calibri"/>
                <w:b/>
                <w:color w:val="000000"/>
                <w:sz w:val="20"/>
              </w:rPr>
              <w:t>Office 365 Government G1</w:t>
            </w:r>
          </w:p>
        </w:tc>
        <w:tc>
          <w:tcPr>
            <w:tcW w:w="2970" w:type="dxa"/>
            <w:shd w:val="clear" w:color="auto" w:fill="FABF8F"/>
          </w:tcPr>
          <w:p w14:paraId="49C2BD93" w14:textId="77777777" w:rsidR="005D753D" w:rsidRPr="0058047D" w:rsidRDefault="005D753D" w:rsidP="0050116B">
            <w:pPr>
              <w:keepNext/>
              <w:keepLines/>
              <w:jc w:val="center"/>
              <w:rPr>
                <w:rFonts w:eastAsia="Calibri"/>
                <w:b/>
                <w:color w:val="000000"/>
                <w:sz w:val="20"/>
              </w:rPr>
            </w:pPr>
            <w:r w:rsidRPr="0058047D">
              <w:rPr>
                <w:rFonts w:eastAsia="Calibri"/>
                <w:b/>
                <w:color w:val="000000"/>
                <w:sz w:val="20"/>
              </w:rPr>
              <w:t>Office 365 Government G3</w:t>
            </w:r>
          </w:p>
        </w:tc>
        <w:tc>
          <w:tcPr>
            <w:tcW w:w="2970" w:type="dxa"/>
            <w:shd w:val="clear" w:color="auto" w:fill="FABF8F"/>
          </w:tcPr>
          <w:p w14:paraId="4EEF9FE5" w14:textId="77777777" w:rsidR="005D753D" w:rsidRPr="0058047D" w:rsidRDefault="005D753D" w:rsidP="0050116B">
            <w:pPr>
              <w:keepNext/>
              <w:keepLines/>
              <w:jc w:val="center"/>
              <w:rPr>
                <w:rFonts w:eastAsia="Calibri"/>
                <w:b/>
                <w:color w:val="000000"/>
                <w:sz w:val="20"/>
              </w:rPr>
            </w:pPr>
            <w:r w:rsidRPr="0058047D">
              <w:rPr>
                <w:rFonts w:eastAsia="Calibri"/>
                <w:b/>
                <w:color w:val="000000"/>
                <w:sz w:val="20"/>
              </w:rPr>
              <w:t>Office 365 Government G4</w:t>
            </w:r>
          </w:p>
        </w:tc>
      </w:tr>
      <w:tr w:rsidR="005D753D" w:rsidRPr="0058047D" w14:paraId="405ACED3" w14:textId="77777777" w:rsidTr="005D753D">
        <w:tc>
          <w:tcPr>
            <w:tcW w:w="2970" w:type="dxa"/>
          </w:tcPr>
          <w:p w14:paraId="026F342C" w14:textId="77777777" w:rsidR="005D753D" w:rsidRPr="0058047D" w:rsidRDefault="005D753D" w:rsidP="00C066F9">
            <w:pPr>
              <w:keepNext/>
              <w:keepLines/>
              <w:ind w:left="180" w:right="186"/>
              <w:rPr>
                <w:rFonts w:eastAsia="Calibri"/>
                <w:color w:val="000000"/>
              </w:rPr>
            </w:pPr>
            <w:r w:rsidRPr="0058047D">
              <w:rPr>
                <w:rFonts w:eastAsia="Calibri"/>
                <w:color w:val="000000"/>
              </w:rPr>
              <w:t>Exchange Online Piano 1</w:t>
            </w:r>
          </w:p>
        </w:tc>
        <w:tc>
          <w:tcPr>
            <w:tcW w:w="2970" w:type="dxa"/>
            <w:shd w:val="clear" w:color="auto" w:fill="auto"/>
          </w:tcPr>
          <w:p w14:paraId="7F3132AE" w14:textId="77777777" w:rsidR="005D753D" w:rsidRPr="0058047D" w:rsidRDefault="005D753D" w:rsidP="00C066F9">
            <w:pPr>
              <w:keepNext/>
              <w:keepLines/>
              <w:ind w:left="138" w:right="138"/>
              <w:rPr>
                <w:rFonts w:eastAsia="Calibri"/>
                <w:color w:val="000000"/>
              </w:rPr>
            </w:pPr>
            <w:r w:rsidRPr="0058047D">
              <w:rPr>
                <w:rFonts w:eastAsia="Calibri"/>
                <w:color w:val="000000"/>
              </w:rPr>
              <w:t xml:space="preserve">Exchange Online Piano 2 </w:t>
            </w:r>
          </w:p>
        </w:tc>
        <w:tc>
          <w:tcPr>
            <w:tcW w:w="2970" w:type="dxa"/>
            <w:shd w:val="clear" w:color="auto" w:fill="auto"/>
          </w:tcPr>
          <w:p w14:paraId="1D722DFC" w14:textId="77777777" w:rsidR="005D753D" w:rsidRPr="0058047D" w:rsidRDefault="005D753D" w:rsidP="00C066F9">
            <w:pPr>
              <w:keepNext/>
              <w:keepLines/>
              <w:ind w:left="186" w:right="180"/>
              <w:rPr>
                <w:rFonts w:eastAsia="Calibri"/>
                <w:color w:val="000000"/>
              </w:rPr>
            </w:pPr>
            <w:r w:rsidRPr="0058047D">
              <w:rPr>
                <w:rFonts w:eastAsia="Calibri"/>
                <w:color w:val="000000"/>
              </w:rPr>
              <w:t>Exchange Online Piano 2</w:t>
            </w:r>
          </w:p>
        </w:tc>
      </w:tr>
      <w:tr w:rsidR="005D753D" w:rsidRPr="0058047D" w14:paraId="5DDFF790" w14:textId="77777777" w:rsidTr="005D753D">
        <w:tc>
          <w:tcPr>
            <w:tcW w:w="2970" w:type="dxa"/>
          </w:tcPr>
          <w:p w14:paraId="76BD49EB" w14:textId="77777777" w:rsidR="005D753D" w:rsidRPr="0058047D" w:rsidRDefault="005D753D" w:rsidP="00C066F9">
            <w:pPr>
              <w:keepNext/>
              <w:keepLines/>
              <w:ind w:left="180" w:right="186"/>
              <w:rPr>
                <w:rFonts w:eastAsia="Calibri"/>
                <w:color w:val="000000"/>
              </w:rPr>
            </w:pPr>
            <w:r w:rsidRPr="0058047D">
              <w:rPr>
                <w:rFonts w:eastAsia="Calibri"/>
                <w:color w:val="000000"/>
              </w:rPr>
              <w:t>SharePoint Online Piano 1</w:t>
            </w:r>
          </w:p>
        </w:tc>
        <w:tc>
          <w:tcPr>
            <w:tcW w:w="2970" w:type="dxa"/>
            <w:shd w:val="clear" w:color="auto" w:fill="auto"/>
          </w:tcPr>
          <w:p w14:paraId="56C9B155" w14:textId="77777777" w:rsidR="005D753D" w:rsidRPr="0058047D" w:rsidRDefault="005D753D" w:rsidP="00C066F9">
            <w:pPr>
              <w:keepNext/>
              <w:keepLines/>
              <w:ind w:left="138" w:right="138"/>
              <w:rPr>
                <w:rFonts w:eastAsia="Calibri"/>
                <w:color w:val="000000"/>
              </w:rPr>
            </w:pPr>
            <w:r w:rsidRPr="0058047D">
              <w:rPr>
                <w:rFonts w:eastAsia="Calibri"/>
                <w:color w:val="000000"/>
              </w:rPr>
              <w:t>SharePoint Online Piano 2</w:t>
            </w:r>
          </w:p>
        </w:tc>
        <w:tc>
          <w:tcPr>
            <w:tcW w:w="2970" w:type="dxa"/>
            <w:shd w:val="clear" w:color="auto" w:fill="auto"/>
          </w:tcPr>
          <w:p w14:paraId="12A4F88D" w14:textId="77777777" w:rsidR="005D753D" w:rsidRPr="0058047D" w:rsidRDefault="005D753D" w:rsidP="00C066F9">
            <w:pPr>
              <w:keepNext/>
              <w:keepLines/>
              <w:ind w:left="186" w:right="180"/>
              <w:rPr>
                <w:rFonts w:eastAsia="Calibri"/>
                <w:color w:val="000000"/>
              </w:rPr>
            </w:pPr>
            <w:r w:rsidRPr="0058047D">
              <w:rPr>
                <w:rFonts w:eastAsia="Calibri"/>
                <w:color w:val="000000"/>
              </w:rPr>
              <w:t>SharePoint Online Piano 2</w:t>
            </w:r>
          </w:p>
        </w:tc>
      </w:tr>
      <w:tr w:rsidR="005D753D" w:rsidRPr="0058047D" w14:paraId="55604E27" w14:textId="77777777" w:rsidTr="005D753D">
        <w:tc>
          <w:tcPr>
            <w:tcW w:w="2970" w:type="dxa"/>
          </w:tcPr>
          <w:p w14:paraId="74292DF2" w14:textId="77777777" w:rsidR="005D753D" w:rsidRPr="0058047D" w:rsidRDefault="005D753D" w:rsidP="00C066F9">
            <w:pPr>
              <w:keepNext/>
              <w:keepLines/>
              <w:ind w:left="180" w:right="186"/>
              <w:rPr>
                <w:rFonts w:eastAsia="Calibri"/>
                <w:color w:val="000000"/>
              </w:rPr>
            </w:pPr>
            <w:r w:rsidRPr="0058047D">
              <w:rPr>
                <w:rFonts w:eastAsia="Calibri"/>
                <w:color w:val="000000"/>
              </w:rPr>
              <w:t>Lync Online Piano 2</w:t>
            </w:r>
          </w:p>
        </w:tc>
        <w:tc>
          <w:tcPr>
            <w:tcW w:w="2970" w:type="dxa"/>
            <w:shd w:val="clear" w:color="auto" w:fill="auto"/>
          </w:tcPr>
          <w:p w14:paraId="6AD48690" w14:textId="77777777" w:rsidR="005D753D" w:rsidRPr="0058047D" w:rsidRDefault="005D753D" w:rsidP="00C066F9">
            <w:pPr>
              <w:keepNext/>
              <w:keepLines/>
              <w:ind w:left="138" w:right="138"/>
              <w:rPr>
                <w:rFonts w:eastAsia="Calibri"/>
                <w:color w:val="000000"/>
              </w:rPr>
            </w:pPr>
            <w:r w:rsidRPr="0058047D">
              <w:rPr>
                <w:rFonts w:eastAsia="Calibri"/>
                <w:color w:val="000000"/>
              </w:rPr>
              <w:t>Lync Online Piano 2</w:t>
            </w:r>
          </w:p>
        </w:tc>
        <w:tc>
          <w:tcPr>
            <w:tcW w:w="2970" w:type="dxa"/>
            <w:shd w:val="clear" w:color="auto" w:fill="auto"/>
          </w:tcPr>
          <w:p w14:paraId="763B20A5" w14:textId="77777777" w:rsidR="005D753D" w:rsidRPr="0058047D" w:rsidRDefault="005D753D" w:rsidP="003E55B1">
            <w:pPr>
              <w:keepNext/>
              <w:keepLines/>
              <w:ind w:left="186" w:right="180"/>
              <w:rPr>
                <w:rFonts w:eastAsia="Calibri"/>
                <w:color w:val="000000"/>
              </w:rPr>
            </w:pPr>
            <w:r w:rsidRPr="0058047D">
              <w:rPr>
                <w:rFonts w:eastAsia="Calibri"/>
                <w:color w:val="000000"/>
              </w:rPr>
              <w:t>Lync Online Piano 3</w:t>
            </w:r>
          </w:p>
        </w:tc>
      </w:tr>
      <w:tr w:rsidR="005D753D" w:rsidRPr="0058047D" w14:paraId="46287F11" w14:textId="77777777" w:rsidTr="005D753D">
        <w:tc>
          <w:tcPr>
            <w:tcW w:w="2970" w:type="dxa"/>
          </w:tcPr>
          <w:p w14:paraId="6AA323E1" w14:textId="77777777" w:rsidR="005D753D" w:rsidRPr="0058047D" w:rsidRDefault="005D753D" w:rsidP="00C066F9">
            <w:pPr>
              <w:keepNext/>
              <w:keepLines/>
              <w:ind w:left="180" w:right="186"/>
              <w:rPr>
                <w:rFonts w:eastAsia="Calibri"/>
                <w:color w:val="000000"/>
              </w:rPr>
            </w:pPr>
            <w:r w:rsidRPr="0058047D">
              <w:rPr>
                <w:rFonts w:eastAsia="Calibri"/>
                <w:color w:val="000000"/>
              </w:rPr>
              <w:t>Office Web Applications (Microsoft Hosted)</w:t>
            </w:r>
          </w:p>
        </w:tc>
        <w:tc>
          <w:tcPr>
            <w:tcW w:w="2970" w:type="dxa"/>
            <w:shd w:val="clear" w:color="auto" w:fill="auto"/>
          </w:tcPr>
          <w:p w14:paraId="0FA4564B" w14:textId="77777777" w:rsidR="005D753D" w:rsidRPr="0058047D" w:rsidRDefault="005D753D" w:rsidP="00C066F9">
            <w:pPr>
              <w:keepNext/>
              <w:keepLines/>
              <w:ind w:left="138" w:right="138"/>
              <w:rPr>
                <w:rFonts w:eastAsia="Calibri"/>
                <w:color w:val="000000"/>
              </w:rPr>
            </w:pPr>
            <w:r w:rsidRPr="0058047D">
              <w:rPr>
                <w:rFonts w:eastAsia="Calibri"/>
                <w:color w:val="000000"/>
              </w:rPr>
              <w:t>Office Web Applications (Microsoft Hosted)</w:t>
            </w:r>
          </w:p>
        </w:tc>
        <w:tc>
          <w:tcPr>
            <w:tcW w:w="2970" w:type="dxa"/>
            <w:shd w:val="clear" w:color="auto" w:fill="auto"/>
          </w:tcPr>
          <w:p w14:paraId="2E8F2FC6" w14:textId="77777777" w:rsidR="005D753D" w:rsidRPr="0058047D" w:rsidRDefault="005D753D" w:rsidP="00C066F9">
            <w:pPr>
              <w:keepNext/>
              <w:keepLines/>
              <w:ind w:left="186" w:right="180"/>
              <w:rPr>
                <w:rFonts w:eastAsia="Calibri"/>
                <w:color w:val="000000"/>
              </w:rPr>
            </w:pPr>
            <w:r w:rsidRPr="0058047D">
              <w:rPr>
                <w:rFonts w:eastAsia="Calibri"/>
                <w:color w:val="000000"/>
              </w:rPr>
              <w:t>Office Web Applications (Microsoft Hosted)</w:t>
            </w:r>
          </w:p>
        </w:tc>
      </w:tr>
      <w:tr w:rsidR="005D753D" w:rsidRPr="0058047D" w14:paraId="4E8FBB0A" w14:textId="77777777" w:rsidTr="005D753D">
        <w:tc>
          <w:tcPr>
            <w:tcW w:w="2970" w:type="dxa"/>
          </w:tcPr>
          <w:p w14:paraId="1A9F9B9A" w14:textId="77777777" w:rsidR="005D753D" w:rsidRPr="0058047D" w:rsidRDefault="005D753D" w:rsidP="00C066F9">
            <w:pPr>
              <w:keepNext/>
              <w:keepLines/>
              <w:ind w:left="180" w:right="186"/>
              <w:rPr>
                <w:rFonts w:eastAsia="Calibri"/>
                <w:color w:val="000000"/>
              </w:rPr>
            </w:pPr>
          </w:p>
        </w:tc>
        <w:tc>
          <w:tcPr>
            <w:tcW w:w="2970" w:type="dxa"/>
            <w:shd w:val="clear" w:color="auto" w:fill="auto"/>
          </w:tcPr>
          <w:p w14:paraId="7821100D" w14:textId="77777777" w:rsidR="005D753D" w:rsidRPr="0058047D" w:rsidRDefault="005D753D" w:rsidP="00630ED6">
            <w:pPr>
              <w:keepNext/>
              <w:keepLines/>
              <w:ind w:left="138" w:right="138"/>
              <w:rPr>
                <w:rFonts w:eastAsia="Calibri"/>
                <w:color w:val="000000"/>
              </w:rPr>
            </w:pPr>
            <w:r w:rsidRPr="0058047D">
              <w:rPr>
                <w:rFonts w:eastAsia="Calibri"/>
                <w:color w:val="000000"/>
              </w:rPr>
              <w:t xml:space="preserve">Office 365 ProPlus </w:t>
            </w:r>
          </w:p>
        </w:tc>
        <w:tc>
          <w:tcPr>
            <w:tcW w:w="2970" w:type="dxa"/>
            <w:shd w:val="clear" w:color="auto" w:fill="auto"/>
          </w:tcPr>
          <w:p w14:paraId="2771A9E7" w14:textId="77777777" w:rsidR="005D753D" w:rsidRPr="0058047D" w:rsidRDefault="005D753D" w:rsidP="00630ED6">
            <w:pPr>
              <w:keepNext/>
              <w:keepLines/>
              <w:ind w:left="186" w:right="180"/>
              <w:rPr>
                <w:rFonts w:eastAsia="Calibri"/>
                <w:color w:val="000000"/>
              </w:rPr>
            </w:pPr>
            <w:r w:rsidRPr="0058047D">
              <w:rPr>
                <w:rFonts w:eastAsia="Calibri"/>
                <w:color w:val="000000"/>
              </w:rPr>
              <w:t xml:space="preserve">Office 365 ProPlus </w:t>
            </w:r>
          </w:p>
        </w:tc>
      </w:tr>
    </w:tbl>
    <w:p w14:paraId="7B074A57" w14:textId="77777777" w:rsidR="00DA0170" w:rsidRPr="0058047D" w:rsidRDefault="00DA0170" w:rsidP="00630ED6">
      <w:pPr>
        <w:pStyle w:val="PURBody"/>
        <w:spacing w:after="0"/>
        <w:ind w:left="540"/>
      </w:pPr>
      <w:bookmarkStart w:id="1373" w:name="_GoBack"/>
      <w:bookmarkEnd w:id="1373"/>
    </w:p>
    <w:p w14:paraId="61BBF865" w14:textId="77777777" w:rsidR="00A83600" w:rsidRPr="0058047D" w:rsidRDefault="00A83600" w:rsidP="00E62BC4">
      <w:pPr>
        <w:ind w:left="720"/>
      </w:pPr>
      <w:r w:rsidRPr="0058047D">
        <w:rPr>
          <w:color w:val="000000"/>
        </w:rPr>
        <w:t>Questa lista è soggetta a modifiche. Nell</w:t>
      </w:r>
      <w:r w:rsidR="001C4212">
        <w:rPr>
          <w:color w:val="000000"/>
        </w:rPr>
        <w:t>’</w:t>
      </w:r>
      <w:r w:rsidRPr="0058047D">
        <w:rPr>
          <w:color w:val="000000"/>
        </w:rPr>
        <w:t>eventualità di una discrepanza tra le condizioni di licenza per Office 365 Government G1, G3 o G4 e questa nota, i Diritti di Utilizzo del Prodotto correnti avranno prevalenza. Gli eventuali diritti di accesso aggiuntivi per il software On-Premise concesso in licenza separatamente sono specificati nei Diritti di Utilizzo del Prodotto.</w:t>
      </w:r>
    </w:p>
    <w:p w14:paraId="03352039" w14:textId="77777777" w:rsidR="00A83600" w:rsidRPr="0058047D" w:rsidRDefault="00A83600" w:rsidP="00E62BC4">
      <w:pPr>
        <w:ind w:left="720"/>
      </w:pPr>
    </w:p>
    <w:p w14:paraId="2821E2E8" w14:textId="77777777" w:rsidR="00A83600" w:rsidRPr="0058047D" w:rsidRDefault="00A83600" w:rsidP="00E62BC4">
      <w:pPr>
        <w:ind w:left="720"/>
      </w:pPr>
      <w:r w:rsidRPr="0058047D">
        <w:rPr>
          <w:color w:val="000000"/>
        </w:rPr>
        <w:t>Lync Online Piano 1 e Piano 2 richiedono l</w:t>
      </w:r>
      <w:r w:rsidR="001C4212">
        <w:rPr>
          <w:color w:val="000000"/>
        </w:rPr>
        <w:t>’</w:t>
      </w:r>
      <w:r w:rsidRPr="0058047D">
        <w:rPr>
          <w:color w:val="000000"/>
        </w:rPr>
        <w:t>acquisto e l</w:t>
      </w:r>
      <w:r w:rsidR="001C4212">
        <w:rPr>
          <w:color w:val="000000"/>
        </w:rPr>
        <w:t>’</w:t>
      </w:r>
      <w:r w:rsidRPr="0058047D">
        <w:rPr>
          <w:color w:val="000000"/>
        </w:rPr>
        <w:t>installazione separati di Microsoft Lync 2013 (o di Lync per Mac 2011) per accedere al set completo di funzionalità di Lync Online Piano 1 e Piano 2. Grazie a un</w:t>
      </w:r>
      <w:r w:rsidR="001C4212">
        <w:rPr>
          <w:color w:val="000000"/>
        </w:rPr>
        <w:t>’</w:t>
      </w:r>
      <w:r w:rsidRPr="0058047D">
        <w:rPr>
          <w:color w:val="000000"/>
        </w:rPr>
        <w:t xml:space="preserve">offerta di durata limitata, le società titolari di licenza per Lync Online riceveranno gratuitamente in licenza una copia di Lync per Mac 2011 per ciascuna licenza </w:t>
      </w:r>
      <w:r w:rsidR="00E34ED3" w:rsidRPr="0058047D">
        <w:rPr>
          <w:color w:val="000000"/>
        </w:rPr>
        <w:t>“</w:t>
      </w:r>
      <w:r w:rsidRPr="0058047D">
        <w:rPr>
          <w:color w:val="000000"/>
        </w:rPr>
        <w:t>subscription</w:t>
      </w:r>
      <w:r w:rsidR="00E34ED3" w:rsidRPr="0058047D">
        <w:rPr>
          <w:color w:val="000000"/>
        </w:rPr>
        <w:t>”</w:t>
      </w:r>
      <w:r w:rsidRPr="0058047D">
        <w:rPr>
          <w:color w:val="000000"/>
        </w:rPr>
        <w:t xml:space="preserve"> acquistata o in versione di valutazione di Lync Online. 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w:t>
      </w:r>
      <w:r w:rsidR="00E34ED3" w:rsidRPr="0058047D">
        <w:rPr>
          <w:color w:val="000000"/>
        </w:rPr>
        <w:t xml:space="preserve"> </w:t>
      </w:r>
      <w:r w:rsidRPr="0058047D">
        <w:t>Le società potranno utilizzare il client gratuito Lync Basic 2013 per i loro utenti finali in possesso di Windows.</w:t>
      </w:r>
    </w:p>
    <w:p w14:paraId="370A9A9A" w14:textId="77777777" w:rsidR="00A83600" w:rsidRPr="0058047D" w:rsidRDefault="00A83600" w:rsidP="00E62BC4">
      <w:pPr>
        <w:ind w:left="720"/>
      </w:pPr>
    </w:p>
    <w:p w14:paraId="2CD9D8E4" w14:textId="77777777" w:rsidR="00A83600" w:rsidRPr="0058047D" w:rsidRDefault="00A83600" w:rsidP="00E62BC4">
      <w:pPr>
        <w:ind w:left="720"/>
      </w:pPr>
      <w:r w:rsidRPr="0058047D">
        <w:rPr>
          <w:rFonts w:eastAsia="Calibri" w:cs="Tahoma"/>
          <w:color w:val="000000"/>
          <w:szCs w:val="18"/>
        </w:rPr>
        <w:t>G1, G3 o G4 non potrà essere distribuito nello stesso dominio in cui vengono distribuiti servizi specifici di community cloud per enti non pubblici. Tale limitazione si estende a qualsiasi servizio online facente parte della famiglia di prodotti Office 365, inclusi Exchange Online, SharePoint Online e Lync Online.</w:t>
      </w:r>
    </w:p>
    <w:p w14:paraId="3C627F97" w14:textId="77777777" w:rsidR="00A83600" w:rsidRPr="0058047D" w:rsidRDefault="00A83600" w:rsidP="00E62BC4">
      <w:pPr>
        <w:ind w:left="720"/>
      </w:pPr>
    </w:p>
    <w:p w14:paraId="29C598C0" w14:textId="77777777" w:rsidR="00D57009" w:rsidRPr="0058047D" w:rsidRDefault="00A83600" w:rsidP="007B35CE">
      <w:pPr>
        <w:ind w:left="720"/>
      </w:pPr>
      <w:r w:rsidRPr="0058047D">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1C4212">
        <w:rPr>
          <w:rFonts w:eastAsia="Calibri" w:cs="Tahoma"/>
          <w:color w:val="000000"/>
          <w:szCs w:val="18"/>
        </w:rPr>
        <w:t>’</w:t>
      </w:r>
      <w:r w:rsidRPr="0058047D">
        <w:rPr>
          <w:rFonts w:eastAsia="Calibri" w:cs="Tahoma"/>
          <w:color w:val="000000"/>
          <w:szCs w:val="18"/>
        </w:rPr>
        <w:t>Iscrizione Enterprise o Enterprise Subscription per Enti Pubblici Statunitensi per essere idonei all</w:t>
      </w:r>
      <w:r w:rsidR="001C4212">
        <w:rPr>
          <w:rFonts w:eastAsia="Calibri" w:cs="Tahoma"/>
          <w:color w:val="000000"/>
          <w:szCs w:val="18"/>
        </w:rPr>
        <w:t>’</w:t>
      </w:r>
      <w:r w:rsidRPr="0058047D">
        <w:rPr>
          <w:rFonts w:eastAsia="Calibri" w:cs="Tahoma"/>
          <w:color w:val="000000"/>
          <w:szCs w:val="18"/>
        </w:rPr>
        <w:t>acquisto di servizi online designati come community cloud per enti pubblici.</w:t>
      </w:r>
      <w:r w:rsidR="00E34ED3" w:rsidRPr="0058047D">
        <w:rPr>
          <w:rFonts w:eastAsia="Calibri" w:cs="Tahoma"/>
          <w:color w:val="000000"/>
          <w:szCs w:val="18"/>
        </w:rPr>
        <w:t xml:space="preserve"> </w:t>
      </w:r>
      <w:r w:rsidRPr="0058047D">
        <w:rPr>
          <w:rFonts w:eastAsia="Calibri" w:cs="Tahoma"/>
          <w:color w:val="000000"/>
          <w:szCs w:val="18"/>
        </w:rPr>
        <w:t>I Diritti sull</w:t>
      </w:r>
      <w:r w:rsidR="001C4212">
        <w:rPr>
          <w:rFonts w:eastAsia="Calibri" w:cs="Tahoma"/>
          <w:color w:val="000000"/>
          <w:szCs w:val="18"/>
        </w:rPr>
        <w:t>’</w:t>
      </w:r>
      <w:r w:rsidRPr="0058047D">
        <w:rPr>
          <w:rFonts w:eastAsia="Calibri" w:cs="Tahoma"/>
          <w:color w:val="000000"/>
          <w:szCs w:val="18"/>
        </w:rPr>
        <w:t>Utilizzo relativi ai servizi di community cloud per enti pubblici sono simili a quelli dei loro equivalenti multi-tenant standard, come indicato nella seguente tabella:</w:t>
      </w:r>
    </w:p>
    <w:p w14:paraId="1C81CFE0" w14:textId="77777777" w:rsidR="00A83600" w:rsidRPr="0058047D" w:rsidRDefault="00A83600" w:rsidP="00A83600">
      <w:pPr>
        <w:ind w:left="900"/>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A83600" w:rsidRPr="0058047D" w14:paraId="46E524AA" w14:textId="77777777" w:rsidTr="00A01320">
        <w:tc>
          <w:tcPr>
            <w:tcW w:w="4154" w:type="dxa"/>
            <w:shd w:val="clear" w:color="auto" w:fill="FABF8F"/>
          </w:tcPr>
          <w:p w14:paraId="3B107AD9" w14:textId="77777777" w:rsidR="00A83600" w:rsidRPr="0058047D" w:rsidRDefault="00A83600" w:rsidP="00722522">
            <w:pPr>
              <w:rPr>
                <w:rFonts w:eastAsia="Calibri"/>
                <w:b/>
                <w:color w:val="000000"/>
                <w:sz w:val="20"/>
                <w:szCs w:val="20"/>
              </w:rPr>
            </w:pPr>
            <w:r w:rsidRPr="0058047D">
              <w:rPr>
                <w:rFonts w:eastAsia="Calibri"/>
                <w:b/>
                <w:color w:val="000000"/>
                <w:sz w:val="20"/>
                <w:szCs w:val="20"/>
              </w:rPr>
              <w:t xml:space="preserve">Office 365 Enterprise E </w:t>
            </w:r>
          </w:p>
        </w:tc>
        <w:tc>
          <w:tcPr>
            <w:tcW w:w="4318" w:type="dxa"/>
            <w:shd w:val="clear" w:color="auto" w:fill="FABF8F"/>
          </w:tcPr>
          <w:p w14:paraId="0245B2B3" w14:textId="77777777" w:rsidR="00A83600" w:rsidRPr="0058047D" w:rsidRDefault="00A83600" w:rsidP="00722522">
            <w:pPr>
              <w:rPr>
                <w:rFonts w:eastAsia="Calibri"/>
                <w:b/>
                <w:color w:val="000000"/>
                <w:sz w:val="20"/>
                <w:szCs w:val="20"/>
              </w:rPr>
            </w:pPr>
            <w:r w:rsidRPr="0058047D">
              <w:rPr>
                <w:rFonts w:eastAsia="Calibri"/>
                <w:b/>
                <w:color w:val="000000"/>
                <w:sz w:val="20"/>
                <w:szCs w:val="20"/>
              </w:rPr>
              <w:t>Servizio per Office 365 Government G con Diritti sull</w:t>
            </w:r>
            <w:r w:rsidR="001C4212">
              <w:rPr>
                <w:rFonts w:eastAsia="Calibri"/>
                <w:b/>
                <w:color w:val="000000"/>
                <w:sz w:val="20"/>
                <w:szCs w:val="20"/>
              </w:rPr>
              <w:t>’</w:t>
            </w:r>
            <w:r w:rsidRPr="0058047D">
              <w:rPr>
                <w:rFonts w:eastAsia="Calibri"/>
                <w:b/>
                <w:color w:val="000000"/>
                <w:sz w:val="20"/>
                <w:szCs w:val="20"/>
              </w:rPr>
              <w:t>Utilizzo equivalenti</w:t>
            </w:r>
          </w:p>
        </w:tc>
      </w:tr>
      <w:tr w:rsidR="00A83600" w:rsidRPr="0058047D" w14:paraId="4737EE61" w14:textId="77777777" w:rsidTr="00A01320">
        <w:tc>
          <w:tcPr>
            <w:tcW w:w="4154" w:type="dxa"/>
            <w:shd w:val="clear" w:color="auto" w:fill="auto"/>
          </w:tcPr>
          <w:p w14:paraId="5FBC6AF8" w14:textId="77777777" w:rsidR="00A83600" w:rsidRPr="0058047D" w:rsidRDefault="00A83600" w:rsidP="00722522">
            <w:pPr>
              <w:rPr>
                <w:rFonts w:eastAsia="Calibri"/>
                <w:color w:val="000000"/>
              </w:rPr>
            </w:pPr>
            <w:r w:rsidRPr="0058047D">
              <w:rPr>
                <w:rFonts w:eastAsia="Calibri"/>
                <w:color w:val="000000"/>
              </w:rPr>
              <w:t>Office 365 Enterprise E1</w:t>
            </w:r>
          </w:p>
        </w:tc>
        <w:tc>
          <w:tcPr>
            <w:tcW w:w="4318" w:type="dxa"/>
            <w:shd w:val="clear" w:color="auto" w:fill="auto"/>
          </w:tcPr>
          <w:p w14:paraId="5A609B70" w14:textId="77777777" w:rsidR="00A83600" w:rsidRPr="0058047D" w:rsidRDefault="00A83600" w:rsidP="00722522">
            <w:pPr>
              <w:rPr>
                <w:rFonts w:eastAsia="Calibri"/>
                <w:color w:val="000000"/>
              </w:rPr>
            </w:pPr>
            <w:r w:rsidRPr="0058047D">
              <w:rPr>
                <w:rFonts w:eastAsia="Calibri"/>
                <w:color w:val="000000"/>
              </w:rPr>
              <w:t>Office 365 Government G1</w:t>
            </w:r>
          </w:p>
        </w:tc>
      </w:tr>
      <w:tr w:rsidR="00A83600" w:rsidRPr="0058047D" w14:paraId="4AB642B8" w14:textId="77777777" w:rsidTr="00A01320">
        <w:tc>
          <w:tcPr>
            <w:tcW w:w="4154" w:type="dxa"/>
            <w:shd w:val="clear" w:color="auto" w:fill="auto"/>
          </w:tcPr>
          <w:p w14:paraId="47C0DF25" w14:textId="77777777" w:rsidR="00A83600" w:rsidRPr="0058047D" w:rsidRDefault="00A83600" w:rsidP="00722522">
            <w:pPr>
              <w:rPr>
                <w:rFonts w:eastAsia="Calibri"/>
                <w:color w:val="000000"/>
              </w:rPr>
            </w:pPr>
            <w:r w:rsidRPr="0058047D">
              <w:rPr>
                <w:rFonts w:eastAsia="Calibri"/>
                <w:color w:val="000000"/>
              </w:rPr>
              <w:t>Office 365 Enterprise E3</w:t>
            </w:r>
          </w:p>
        </w:tc>
        <w:tc>
          <w:tcPr>
            <w:tcW w:w="4318" w:type="dxa"/>
            <w:shd w:val="clear" w:color="auto" w:fill="auto"/>
          </w:tcPr>
          <w:p w14:paraId="4D3D7B76" w14:textId="77777777" w:rsidR="00A83600" w:rsidRPr="0058047D" w:rsidRDefault="00A83600" w:rsidP="00722522">
            <w:pPr>
              <w:rPr>
                <w:rFonts w:eastAsia="Calibri"/>
                <w:color w:val="000000"/>
              </w:rPr>
            </w:pPr>
            <w:r w:rsidRPr="0058047D">
              <w:rPr>
                <w:rFonts w:eastAsia="Calibri"/>
                <w:color w:val="000000"/>
              </w:rPr>
              <w:t>Office 365 Government G3</w:t>
            </w:r>
          </w:p>
        </w:tc>
      </w:tr>
      <w:tr w:rsidR="00A83600" w:rsidRPr="0058047D" w14:paraId="7242C7F0" w14:textId="77777777" w:rsidTr="00A01320">
        <w:tc>
          <w:tcPr>
            <w:tcW w:w="4154" w:type="dxa"/>
            <w:shd w:val="clear" w:color="auto" w:fill="auto"/>
          </w:tcPr>
          <w:p w14:paraId="4D2A796A" w14:textId="77777777" w:rsidR="00A83600" w:rsidRPr="0058047D" w:rsidRDefault="00A83600" w:rsidP="00722522">
            <w:pPr>
              <w:rPr>
                <w:rFonts w:eastAsia="Calibri"/>
                <w:color w:val="000000"/>
              </w:rPr>
            </w:pPr>
            <w:r w:rsidRPr="0058047D">
              <w:rPr>
                <w:rFonts w:eastAsia="Calibri"/>
                <w:color w:val="000000"/>
              </w:rPr>
              <w:t>Office 365 Enterprise E4</w:t>
            </w:r>
          </w:p>
        </w:tc>
        <w:tc>
          <w:tcPr>
            <w:tcW w:w="4318" w:type="dxa"/>
            <w:shd w:val="clear" w:color="auto" w:fill="auto"/>
          </w:tcPr>
          <w:p w14:paraId="7180B8E9" w14:textId="77777777" w:rsidR="00A83600" w:rsidRPr="0058047D" w:rsidRDefault="00A83600" w:rsidP="00722522">
            <w:pPr>
              <w:rPr>
                <w:rFonts w:eastAsia="Calibri"/>
                <w:color w:val="000000"/>
              </w:rPr>
            </w:pPr>
            <w:r w:rsidRPr="0058047D">
              <w:rPr>
                <w:rFonts w:eastAsia="Calibri"/>
                <w:color w:val="000000"/>
              </w:rPr>
              <w:t>Office 365 Government G4</w:t>
            </w:r>
          </w:p>
        </w:tc>
      </w:tr>
    </w:tbl>
    <w:p w14:paraId="06FD47CA" w14:textId="77777777" w:rsidR="004574E9" w:rsidRPr="0058047D" w:rsidRDefault="004574E9" w:rsidP="00194DAF"/>
    <w:p w14:paraId="3DB7BEC4" w14:textId="77777777" w:rsidR="00C737B6" w:rsidRPr="0058047D" w:rsidRDefault="00C737B6" w:rsidP="007B699C">
      <w:pPr>
        <w:pStyle w:val="EndnoteText"/>
        <w:ind w:left="0"/>
      </w:pPr>
      <w:bookmarkStart w:id="1374" w:name="_59_Office_Communications"/>
      <w:bookmarkStart w:id="1375" w:name="_57_Office_Communications"/>
      <w:bookmarkStart w:id="1376" w:name="_59_Office_Groove"/>
      <w:bookmarkStart w:id="1377" w:name="Srv_62OfficePerfPointSvr07"/>
      <w:bookmarkEnd w:id="1337"/>
      <w:bookmarkEnd w:id="1374"/>
      <w:bookmarkEnd w:id="1375"/>
      <w:bookmarkEnd w:id="1376"/>
    </w:p>
    <w:p w14:paraId="4D1E2963" w14:textId="77777777" w:rsidR="00F42FD5" w:rsidRPr="0058047D" w:rsidRDefault="00A560B6" w:rsidP="00F42FD5">
      <w:pPr>
        <w:pStyle w:val="Heading2"/>
        <w:ind w:left="0"/>
      </w:pPr>
      <w:bookmarkStart w:id="1378" w:name="_68_SharePoint_Online"/>
      <w:bookmarkStart w:id="1379" w:name="_71_SharePoint_Online"/>
      <w:bookmarkStart w:id="1380" w:name="_78_SharePoint_Online"/>
      <w:bookmarkStart w:id="1381" w:name="_77_SharePoint_Online"/>
      <w:bookmarkStart w:id="1382" w:name="_Toc336338334"/>
      <w:bookmarkStart w:id="1383" w:name="_Toc371663730"/>
      <w:bookmarkStart w:id="1384" w:name="Srv_73SharepointOnlinePlan1"/>
      <w:bookmarkStart w:id="1385" w:name="Srv_74SharepointOnlinePlan1"/>
      <w:bookmarkEnd w:id="1378"/>
      <w:bookmarkEnd w:id="1379"/>
      <w:bookmarkEnd w:id="1380"/>
      <w:bookmarkEnd w:id="1381"/>
      <w:r w:rsidRPr="0058047D">
        <w:rPr>
          <w:rFonts w:ascii="Tahoma" w:hAnsi="Tahoma" w:cs="Tahoma"/>
          <w:caps/>
          <w:color w:val="FF6600"/>
          <w:sz w:val="22"/>
          <w:vertAlign w:val="superscript"/>
        </w:rPr>
        <w:t>77</w:t>
      </w:r>
      <w:r w:rsidRPr="0058047D">
        <w:rPr>
          <w:rFonts w:ascii="Tahoma" w:hAnsi="Tahoma" w:cs="Tahoma"/>
          <w:color w:val="FF6600"/>
        </w:rPr>
        <w:t xml:space="preserve"> </w:t>
      </w:r>
      <w:r w:rsidRPr="0058047D">
        <w:rPr>
          <w:rFonts w:ascii="Tahoma" w:hAnsi="Tahoma" w:cs="Tahoma"/>
          <w:color w:val="FF6600"/>
          <w:sz w:val="22"/>
          <w:szCs w:val="22"/>
        </w:rPr>
        <w:t>SharePoint Online Piani 1 e 2</w:t>
      </w:r>
      <w:bookmarkEnd w:id="1382"/>
      <w:bookmarkEnd w:id="1383"/>
    </w:p>
    <w:bookmarkEnd w:id="1384"/>
    <w:bookmarkEnd w:id="1385"/>
    <w:p w14:paraId="1926A00C" w14:textId="77777777" w:rsidR="00F42FD5" w:rsidRPr="0058047D" w:rsidRDefault="00F42FD5" w:rsidP="00F42FD5"/>
    <w:p w14:paraId="79D6A11B" w14:textId="77777777" w:rsidR="00F42FD5" w:rsidRPr="0058047D" w:rsidRDefault="00F42FD5" w:rsidP="00AC0ED2">
      <w:pPr>
        <w:pStyle w:val="EndnoteText"/>
        <w:ind w:left="720"/>
      </w:pPr>
      <w:r w:rsidRPr="0058047D">
        <w:rPr>
          <w:rFonts w:ascii="Tahoma" w:hAnsi="Tahoma" w:cs="Tahoma"/>
          <w:color w:val="000000"/>
          <w:sz w:val="18"/>
          <w:szCs w:val="18"/>
        </w:rPr>
        <w:t>SharePoint Online Piano 1 era precedentemente noto come SharePoint Online Standard.</w:t>
      </w:r>
    </w:p>
    <w:p w14:paraId="39EF8437" w14:textId="77777777" w:rsidR="00F42FD5" w:rsidRPr="0058047D" w:rsidRDefault="00F42FD5" w:rsidP="00AC0ED2">
      <w:pPr>
        <w:pStyle w:val="EndnoteText"/>
        <w:ind w:left="720"/>
      </w:pPr>
    </w:p>
    <w:p w14:paraId="34B0121D" w14:textId="77777777" w:rsidR="00F42FD5" w:rsidRPr="0058047D" w:rsidRDefault="00F42FD5" w:rsidP="00AC0ED2">
      <w:pPr>
        <w:pStyle w:val="EndnoteText"/>
        <w:ind w:left="720"/>
      </w:pPr>
      <w:r w:rsidRPr="0058047D">
        <w:rPr>
          <w:rFonts w:ascii="Tahoma" w:hAnsi="Tahoma" w:cs="Tahoma"/>
          <w:color w:val="000000"/>
          <w:sz w:val="18"/>
          <w:szCs w:val="18"/>
        </w:rPr>
        <w:t>Le società che, in Brasile o in Cile, acquisteranno SharePoint Online Piano 1 riceveranno SharePoint Online Standard.</w:t>
      </w:r>
      <w:r w:rsidR="00E34ED3" w:rsidRPr="0058047D">
        <w:rPr>
          <w:rFonts w:ascii="Tahoma" w:hAnsi="Tahoma" w:cs="Tahoma"/>
          <w:color w:val="000000"/>
          <w:sz w:val="18"/>
          <w:szCs w:val="18"/>
        </w:rPr>
        <w:t xml:space="preserve"> </w:t>
      </w:r>
      <w:r w:rsidRPr="0058047D">
        <w:rPr>
          <w:rFonts w:ascii="Tahoma" w:hAnsi="Tahoma" w:cs="Tahoma"/>
          <w:color w:val="000000"/>
          <w:sz w:val="18"/>
          <w:szCs w:val="18"/>
        </w:rPr>
        <w:t>Tali società potranno migrare a SharePoint Online Piano 1 in un secondo momento.</w:t>
      </w:r>
    </w:p>
    <w:p w14:paraId="61B3BE19" w14:textId="77777777" w:rsidR="007316A1" w:rsidRPr="0058047D" w:rsidRDefault="007316A1" w:rsidP="00AC0ED2">
      <w:pPr>
        <w:pStyle w:val="EndnoteText"/>
        <w:ind w:left="720"/>
      </w:pPr>
    </w:p>
    <w:p w14:paraId="47909D92" w14:textId="77777777" w:rsidR="00DB7BD1" w:rsidRPr="0058047D" w:rsidRDefault="00DB7BD1" w:rsidP="007B699C">
      <w:pPr>
        <w:spacing w:after="60"/>
        <w:ind w:left="720"/>
      </w:pPr>
      <w:r w:rsidRPr="0058047D">
        <w:rPr>
          <w:rFonts w:eastAsia="Calibri" w:cs="Tahoma"/>
          <w:b/>
          <w:color w:val="000000"/>
          <w:szCs w:val="18"/>
        </w:rPr>
        <w:t>Community Cloud per Enti Pubblici (solo Stati Uniti)</w:t>
      </w:r>
    </w:p>
    <w:p w14:paraId="11F9D7BD" w14:textId="77777777" w:rsidR="00DB7BD1" w:rsidRPr="0058047D" w:rsidRDefault="00DB7BD1" w:rsidP="00AC0ED2">
      <w:pPr>
        <w:ind w:left="720"/>
      </w:pPr>
      <w:r w:rsidRPr="0058047D">
        <w:rPr>
          <w:rFonts w:eastAsia="Calibri" w:cs="Tahoma"/>
          <w:color w:val="000000"/>
          <w:szCs w:val="18"/>
        </w:rPr>
        <w:t>Alcuni servizi online della famiglia di prodotti Office 365 (incluso SharePoint Online Piano 1 e 2) sono offerti come servizi di community cloud per enti pubblici e come servizi di community cloud per enti non pubblici.</w:t>
      </w:r>
      <w:r w:rsidR="00E34ED3" w:rsidRPr="0058047D">
        <w:rPr>
          <w:rFonts w:eastAsia="Calibri" w:cs="Tahoma"/>
          <w:color w:val="000000"/>
          <w:szCs w:val="18"/>
        </w:rPr>
        <w:t xml:space="preserve"> </w:t>
      </w:r>
      <w:r w:rsidRPr="0058047D">
        <w:rPr>
          <w:rFonts w:eastAsia="Calibri" w:cs="Tahoma"/>
          <w:color w:val="000000"/>
          <w:szCs w:val="18"/>
        </w:rPr>
        <w:t>Alle società potrà essere effettuato il provisioning come ente pubblico o non pubblico, ma non come una combinazione di entrambi.</w:t>
      </w:r>
      <w:r w:rsidR="00E34ED3" w:rsidRPr="0058047D">
        <w:rPr>
          <w:rFonts w:eastAsia="Calibri" w:cs="Tahoma"/>
          <w:color w:val="000000"/>
          <w:szCs w:val="18"/>
        </w:rPr>
        <w:t xml:space="preserve"> </w:t>
      </w:r>
      <w:r w:rsidRPr="0058047D">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E34ED3" w:rsidRPr="0058047D">
        <w:rPr>
          <w:rFonts w:eastAsia="Calibri" w:cs="Tahoma"/>
          <w:color w:val="000000"/>
          <w:szCs w:val="18"/>
        </w:rPr>
        <w:t xml:space="preserve"> </w:t>
      </w:r>
    </w:p>
    <w:p w14:paraId="38D61E24" w14:textId="77777777" w:rsidR="00DB7BD1" w:rsidRPr="0058047D" w:rsidRDefault="00DB7BD1" w:rsidP="00AC0ED2">
      <w:pPr>
        <w:ind w:left="720"/>
      </w:pPr>
    </w:p>
    <w:p w14:paraId="094F1290" w14:textId="77777777" w:rsidR="00DB7BD1" w:rsidRPr="0058047D" w:rsidRDefault="00DB7BD1" w:rsidP="00AC0ED2">
      <w:pPr>
        <w:ind w:left="720"/>
      </w:pPr>
      <w:r w:rsidRPr="0058047D">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1C4212">
        <w:rPr>
          <w:rFonts w:eastAsia="Calibri" w:cs="Tahoma"/>
          <w:color w:val="000000"/>
          <w:szCs w:val="18"/>
        </w:rPr>
        <w:t>’</w:t>
      </w:r>
      <w:r w:rsidRPr="0058047D">
        <w:rPr>
          <w:rFonts w:eastAsia="Calibri" w:cs="Tahoma"/>
          <w:color w:val="000000"/>
          <w:szCs w:val="18"/>
        </w:rPr>
        <w:t>Iscrizione Enterprise o Enterprise Subscription per Enti Pubblici Statunitensi per essere idonei all</w:t>
      </w:r>
      <w:r w:rsidR="001C4212">
        <w:rPr>
          <w:rFonts w:eastAsia="Calibri" w:cs="Tahoma"/>
          <w:color w:val="000000"/>
          <w:szCs w:val="18"/>
        </w:rPr>
        <w:t>’</w:t>
      </w:r>
      <w:r w:rsidRPr="0058047D">
        <w:rPr>
          <w:rFonts w:eastAsia="Calibri" w:cs="Tahoma"/>
          <w:color w:val="000000"/>
          <w:szCs w:val="18"/>
        </w:rPr>
        <w:t>acquisto di servizi online designati come community cloud per enti pubblici.</w:t>
      </w:r>
      <w:r w:rsidR="00E34ED3" w:rsidRPr="0058047D">
        <w:rPr>
          <w:rFonts w:eastAsia="Calibri" w:cs="Tahoma"/>
          <w:color w:val="000000"/>
          <w:szCs w:val="18"/>
        </w:rPr>
        <w:t xml:space="preserve"> </w:t>
      </w:r>
      <w:r w:rsidRPr="0058047D">
        <w:rPr>
          <w:rFonts w:eastAsia="Calibri" w:cs="Tahoma"/>
          <w:color w:val="000000"/>
          <w:szCs w:val="18"/>
        </w:rPr>
        <w:t>I Diritti sull</w:t>
      </w:r>
      <w:r w:rsidR="001C4212">
        <w:rPr>
          <w:rFonts w:eastAsia="Calibri" w:cs="Tahoma"/>
          <w:color w:val="000000"/>
          <w:szCs w:val="18"/>
        </w:rPr>
        <w:t>’</w:t>
      </w:r>
      <w:r w:rsidRPr="0058047D">
        <w:rPr>
          <w:rFonts w:eastAsia="Calibri" w:cs="Tahoma"/>
          <w:color w:val="000000"/>
          <w:szCs w:val="18"/>
        </w:rPr>
        <w:t>Utilizzo relativi ai servizi di community cloud per enti pubblici sono simili a quelli dei loro equivalenti multi-tenant standard.</w:t>
      </w:r>
    </w:p>
    <w:p w14:paraId="3987DCBA" w14:textId="77777777" w:rsidR="00C737B6" w:rsidRPr="0058047D" w:rsidRDefault="00C737B6" w:rsidP="00697E59">
      <w:pPr>
        <w:pStyle w:val="EndnoteText"/>
        <w:ind w:left="0"/>
      </w:pPr>
    </w:p>
    <w:p w14:paraId="2C2BB12D" w14:textId="77777777" w:rsidR="007B699C" w:rsidRDefault="007B699C" w:rsidP="00697E59">
      <w:pPr>
        <w:pStyle w:val="EndnoteText"/>
        <w:ind w:left="0"/>
      </w:pPr>
    </w:p>
    <w:p w14:paraId="2338CA84" w14:textId="77777777" w:rsidR="00DA0170" w:rsidRDefault="00DA0170" w:rsidP="00697E59">
      <w:pPr>
        <w:pStyle w:val="EndnoteText"/>
        <w:ind w:left="0"/>
      </w:pPr>
    </w:p>
    <w:p w14:paraId="54BDE226" w14:textId="77777777" w:rsidR="002F7FB8" w:rsidRPr="0058047D" w:rsidRDefault="00152E1B" w:rsidP="002F7FB8">
      <w:pPr>
        <w:pStyle w:val="Heading2"/>
        <w:ind w:left="0"/>
      </w:pPr>
      <w:bookmarkStart w:id="1386" w:name="_69_SharePoint_Server"/>
      <w:bookmarkStart w:id="1387" w:name="_74_72_SharePoint"/>
      <w:bookmarkStart w:id="1388" w:name="_79_SharePoint_Server"/>
      <w:bookmarkStart w:id="1389" w:name="_78_SharePoint_Server"/>
      <w:bookmarkStart w:id="1390" w:name="_Toc336338335"/>
      <w:bookmarkStart w:id="1391" w:name="_Toc371663731"/>
      <w:bookmarkStart w:id="1392" w:name="Srv_65ShareptSvr10"/>
      <w:bookmarkStart w:id="1393" w:name="Srv_64OfficeShareptSvr10"/>
      <w:bookmarkStart w:id="1394" w:name="Srv_63OfficeShareptSvr07"/>
      <w:bookmarkStart w:id="1395" w:name="Srv_62OfficeShareptSvr07"/>
      <w:bookmarkEnd w:id="1377"/>
      <w:bookmarkEnd w:id="1386"/>
      <w:bookmarkEnd w:id="1387"/>
      <w:bookmarkEnd w:id="1388"/>
      <w:bookmarkEnd w:id="1389"/>
      <w:r w:rsidRPr="0058047D">
        <w:rPr>
          <w:rFonts w:ascii="Tahoma" w:hAnsi="Tahoma" w:cs="Tahoma"/>
          <w:caps/>
          <w:color w:val="FA6500"/>
          <w:sz w:val="22"/>
          <w:vertAlign w:val="superscript"/>
        </w:rPr>
        <w:t xml:space="preserve">78 </w:t>
      </w:r>
      <w:r w:rsidRPr="0058047D">
        <w:rPr>
          <w:rFonts w:ascii="Tahoma" w:hAnsi="Tahoma" w:cs="Tahoma"/>
          <w:color w:val="FA6500"/>
          <w:sz w:val="22"/>
        </w:rPr>
        <w:t xml:space="preserve">SharePoint Server </w:t>
      </w:r>
      <w:bookmarkEnd w:id="1390"/>
      <w:r w:rsidRPr="0058047D">
        <w:rPr>
          <w:rFonts w:ascii="Tahoma" w:hAnsi="Tahoma" w:cs="Tahoma"/>
          <w:color w:val="FA6500"/>
          <w:sz w:val="22"/>
        </w:rPr>
        <w:t>2013</w:t>
      </w:r>
      <w:bookmarkEnd w:id="1391"/>
      <w:r w:rsidRPr="0058047D">
        <w:rPr>
          <w:rFonts w:ascii="Tahoma" w:hAnsi="Tahoma" w:cs="Tahoma"/>
          <w:color w:val="FA6500"/>
          <w:sz w:val="22"/>
        </w:rPr>
        <w:t xml:space="preserve"> </w:t>
      </w:r>
    </w:p>
    <w:bookmarkEnd w:id="1392"/>
    <w:bookmarkEnd w:id="1393"/>
    <w:bookmarkEnd w:id="1394"/>
    <w:bookmarkEnd w:id="1395"/>
    <w:p w14:paraId="1399AE7D" w14:textId="77777777" w:rsidR="002F7FB8" w:rsidRPr="0058047D" w:rsidRDefault="002F7FB8" w:rsidP="002F7FB8">
      <w:pPr>
        <w:ind w:left="720"/>
      </w:pPr>
    </w:p>
    <w:p w14:paraId="09C7AD5B" w14:textId="77777777" w:rsidR="002F7FB8" w:rsidRPr="0058047D" w:rsidRDefault="002F7FB8" w:rsidP="002F7FB8">
      <w:pPr>
        <w:ind w:left="720"/>
      </w:pPr>
      <w:r w:rsidRPr="0058047D">
        <w:rPr>
          <w:rFonts w:cs="Tahoma"/>
          <w:color w:val="000000"/>
          <w:szCs w:val="18"/>
        </w:rPr>
        <w:t>SharePoint Server 2013 è l</w:t>
      </w:r>
      <w:r w:rsidR="001C4212">
        <w:rPr>
          <w:rFonts w:cs="Tahoma"/>
          <w:color w:val="000000"/>
          <w:szCs w:val="18"/>
        </w:rPr>
        <w:t>’</w:t>
      </w:r>
      <w:r w:rsidRPr="0058047D">
        <w:rPr>
          <w:rFonts w:cs="Tahoma"/>
          <w:color w:val="000000"/>
          <w:szCs w:val="18"/>
        </w:rPr>
        <w:t>ultima versione di SharePoint Server.</w:t>
      </w:r>
    </w:p>
    <w:p w14:paraId="4C523B86" w14:textId="77777777" w:rsidR="002F7FB8" w:rsidRPr="0058047D" w:rsidRDefault="002F7FB8" w:rsidP="002F7FB8">
      <w:pPr>
        <w:ind w:left="720"/>
      </w:pPr>
    </w:p>
    <w:p w14:paraId="09C257C1" w14:textId="77777777" w:rsidR="002F7FB8" w:rsidRPr="0058047D" w:rsidRDefault="002F7FB8" w:rsidP="007B699C">
      <w:pPr>
        <w:spacing w:after="60"/>
        <w:ind w:left="720"/>
      </w:pPr>
      <w:r w:rsidRPr="0058047D">
        <w:rPr>
          <w:rFonts w:cs="Tahoma"/>
          <w:b/>
          <w:color w:val="000000"/>
          <w:szCs w:val="18"/>
        </w:rPr>
        <w:t>Concessioni di Licenza per le Società Titolari di Licenze SharePoint Server 2010 for Internet Sites Enterprise, SharePoint Server 2010 for Internet Sites Standard, FAST Search Server 2010 for SharePoint Server, Search Server 2010</w:t>
      </w:r>
    </w:p>
    <w:p w14:paraId="7FAD32F1" w14:textId="77777777" w:rsidR="002F7FB8" w:rsidRPr="0058047D" w:rsidRDefault="00CD0D74" w:rsidP="002F7FB8">
      <w:pPr>
        <w:ind w:left="720"/>
      </w:pPr>
      <w:r w:rsidRPr="0058047D">
        <w:rPr>
          <w:rFonts w:cs="Tahoma"/>
          <w:color w:val="000000"/>
          <w:szCs w:val="18"/>
        </w:rPr>
        <w:t>La versione 2010 delle licenze per SharePoint Server for Internet Sites Enterprise e SharePoint Server for Internet Sites Standard, FAST Search Server for SharePoint Server e Search Server è la versione finale di tali</w:t>
      </w:r>
      <w:r w:rsidR="00DA0170">
        <w:rPr>
          <w:rFonts w:cs="Tahoma"/>
          <w:color w:val="000000"/>
          <w:szCs w:val="18"/>
        </w:rPr>
        <w:t> </w:t>
      </w:r>
      <w:r w:rsidRPr="0058047D">
        <w:rPr>
          <w:rFonts w:cs="Tahoma"/>
          <w:color w:val="000000"/>
          <w:szCs w:val="18"/>
        </w:rPr>
        <w:t>prodotti.</w:t>
      </w:r>
      <w:r w:rsidR="00E34ED3" w:rsidRPr="0058047D">
        <w:rPr>
          <w:rFonts w:cs="Tahoma"/>
          <w:color w:val="000000"/>
          <w:szCs w:val="18"/>
        </w:rPr>
        <w:t xml:space="preserve"> </w:t>
      </w:r>
      <w:r w:rsidRPr="0058047D">
        <w:rPr>
          <w:rFonts w:cs="Tahoma"/>
          <w:color w:val="000000"/>
          <w:szCs w:val="18"/>
        </w:rPr>
        <w:t>Alla luce di ciò, le società con licenze per SharePoint Server 2010 for Internet Sites Enterprise, SharePoint Server 2010 for Internet Sites Standard, FAST Search Server 2010 for SharePoint, Search Server 2010 con copertura Software Assurance attiva a partire dal 1 ottobre 2012 sono idonee alle concessioni di licenze che seguono.</w:t>
      </w:r>
    </w:p>
    <w:p w14:paraId="328851B8" w14:textId="77777777" w:rsidR="007B35CE" w:rsidRPr="0058047D" w:rsidRDefault="007B35CE" w:rsidP="002F7FB8">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58047D" w14:paraId="319E1557" w14:textId="77777777" w:rsidTr="002C3AB1">
        <w:trPr>
          <w:trHeight w:val="332"/>
        </w:trPr>
        <w:tc>
          <w:tcPr>
            <w:tcW w:w="4500" w:type="dxa"/>
            <w:shd w:val="clear" w:color="auto" w:fill="FABF8F"/>
          </w:tcPr>
          <w:p w14:paraId="32B3D796" w14:textId="77777777" w:rsidR="002F7FB8" w:rsidRPr="0058047D" w:rsidRDefault="002F7FB8" w:rsidP="007E466C">
            <w:pPr>
              <w:keepNext/>
              <w:keepLines/>
              <w:spacing w:before="60" w:after="60"/>
              <w:rPr>
                <w:rFonts w:cs="Tahoma"/>
                <w:b/>
                <w:color w:val="000000"/>
                <w:szCs w:val="18"/>
              </w:rPr>
            </w:pPr>
            <w:r w:rsidRPr="0058047D">
              <w:rPr>
                <w:rFonts w:cs="Tahoma"/>
                <w:b/>
                <w:color w:val="000000"/>
                <w:szCs w:val="18"/>
              </w:rPr>
              <w:t>Licenza Qualificante</w:t>
            </w:r>
          </w:p>
        </w:tc>
        <w:tc>
          <w:tcPr>
            <w:tcW w:w="3600" w:type="dxa"/>
            <w:shd w:val="clear" w:color="auto" w:fill="FABF8F"/>
          </w:tcPr>
          <w:p w14:paraId="386263DE" w14:textId="77777777" w:rsidR="002F7FB8" w:rsidRPr="0058047D" w:rsidRDefault="002F7FB8" w:rsidP="007E466C">
            <w:pPr>
              <w:keepNext/>
              <w:keepLines/>
              <w:spacing w:before="60" w:after="60"/>
              <w:rPr>
                <w:rFonts w:cs="Tahoma"/>
                <w:b/>
                <w:color w:val="000000"/>
                <w:szCs w:val="18"/>
              </w:rPr>
            </w:pPr>
            <w:r w:rsidRPr="0058047D">
              <w:rPr>
                <w:rFonts w:cs="Tahoma"/>
                <w:b/>
                <w:color w:val="000000"/>
                <w:szCs w:val="18"/>
              </w:rPr>
              <w:t>Licenza Gratuita e Vantaggi</w:t>
            </w:r>
          </w:p>
        </w:tc>
      </w:tr>
      <w:tr w:rsidR="00CD0D74" w:rsidRPr="0058047D" w14:paraId="5A7BAEA2" w14:textId="77777777" w:rsidTr="002C3AB1">
        <w:trPr>
          <w:trHeight w:val="70"/>
        </w:trPr>
        <w:tc>
          <w:tcPr>
            <w:tcW w:w="4500" w:type="dxa"/>
            <w:shd w:val="clear" w:color="auto" w:fill="auto"/>
          </w:tcPr>
          <w:p w14:paraId="18A56E58" w14:textId="77777777" w:rsidR="00CD0D74" w:rsidRPr="0058047D" w:rsidRDefault="00CD0D74" w:rsidP="003678D7">
            <w:pPr>
              <w:keepNext/>
              <w:keepLines/>
              <w:rPr>
                <w:rFonts w:cs="Tahoma"/>
                <w:color w:val="000000"/>
                <w:szCs w:val="18"/>
              </w:rPr>
            </w:pPr>
            <w:r w:rsidRPr="0058047D">
              <w:rPr>
                <w:rFonts w:cs="Tahoma"/>
                <w:color w:val="000000"/>
                <w:szCs w:val="18"/>
              </w:rPr>
              <w:t>Licenza per SharePoint Server 2010 for Internet Sites Enterprise con Software Assurance attiva a partire dal 1 ottobre 2012</w:t>
            </w:r>
          </w:p>
        </w:tc>
        <w:tc>
          <w:tcPr>
            <w:tcW w:w="3600" w:type="dxa"/>
            <w:shd w:val="clear" w:color="auto" w:fill="auto"/>
          </w:tcPr>
          <w:p w14:paraId="1D86E13D" w14:textId="77777777" w:rsidR="00CD0D74" w:rsidRPr="0058047D" w:rsidRDefault="00CD0D74" w:rsidP="00C066F9">
            <w:pPr>
              <w:keepNext/>
              <w:keepLines/>
              <w:rPr>
                <w:rFonts w:cs="Tahoma"/>
                <w:color w:val="000000"/>
                <w:szCs w:val="18"/>
              </w:rPr>
            </w:pPr>
            <w:r w:rsidRPr="0058047D">
              <w:rPr>
                <w:rFonts w:cs="Tahoma"/>
                <w:color w:val="000000"/>
                <w:szCs w:val="18"/>
              </w:rPr>
              <w:t>Una licenza per SharePoint Server 2013</w:t>
            </w:r>
          </w:p>
        </w:tc>
      </w:tr>
      <w:tr w:rsidR="00CD0D74" w:rsidRPr="0058047D" w14:paraId="45803125" w14:textId="77777777" w:rsidTr="002C3AB1">
        <w:trPr>
          <w:trHeight w:val="152"/>
        </w:trPr>
        <w:tc>
          <w:tcPr>
            <w:tcW w:w="4500" w:type="dxa"/>
            <w:shd w:val="clear" w:color="auto" w:fill="auto"/>
          </w:tcPr>
          <w:p w14:paraId="55E77602" w14:textId="77777777" w:rsidR="00CD0D74" w:rsidRPr="0058047D" w:rsidRDefault="00CD0D74" w:rsidP="003678D7">
            <w:pPr>
              <w:keepNext/>
              <w:keepLines/>
              <w:rPr>
                <w:rFonts w:cs="Tahoma"/>
                <w:color w:val="000000"/>
                <w:szCs w:val="18"/>
              </w:rPr>
            </w:pPr>
            <w:r w:rsidRPr="0058047D">
              <w:rPr>
                <w:rFonts w:cs="Tahoma"/>
                <w:color w:val="000000"/>
                <w:szCs w:val="18"/>
              </w:rPr>
              <w:t xml:space="preserve">Licenza per SharePoint Server 2010 for Internet Sites Standard con Software Assurance attiva a partire dal 1 ottobre 2012 </w:t>
            </w:r>
          </w:p>
        </w:tc>
        <w:tc>
          <w:tcPr>
            <w:tcW w:w="3600" w:type="dxa"/>
            <w:shd w:val="clear" w:color="auto" w:fill="auto"/>
          </w:tcPr>
          <w:p w14:paraId="2BA71FEA" w14:textId="77777777" w:rsidR="00CD0D74" w:rsidRPr="0058047D" w:rsidRDefault="00CD0D74" w:rsidP="00C066F9">
            <w:pPr>
              <w:keepNext/>
              <w:keepLines/>
              <w:rPr>
                <w:rFonts w:cs="Tahoma"/>
                <w:color w:val="000000"/>
                <w:szCs w:val="18"/>
              </w:rPr>
            </w:pPr>
            <w:r w:rsidRPr="0058047D">
              <w:rPr>
                <w:rFonts w:cs="Tahoma"/>
                <w:color w:val="000000"/>
                <w:szCs w:val="18"/>
              </w:rPr>
              <w:t>Una licenza per SharePoint Server 2013</w:t>
            </w:r>
          </w:p>
        </w:tc>
      </w:tr>
      <w:tr w:rsidR="00CD0D74" w:rsidRPr="0058047D" w14:paraId="5C7871C2" w14:textId="77777777" w:rsidTr="002C3AB1">
        <w:trPr>
          <w:trHeight w:val="152"/>
        </w:trPr>
        <w:tc>
          <w:tcPr>
            <w:tcW w:w="4500" w:type="dxa"/>
            <w:shd w:val="clear" w:color="auto" w:fill="auto"/>
          </w:tcPr>
          <w:p w14:paraId="61EA29D0" w14:textId="77777777" w:rsidR="00CD0D74" w:rsidRPr="0058047D" w:rsidRDefault="00CD0D74" w:rsidP="003678D7">
            <w:pPr>
              <w:keepNext/>
              <w:keepLines/>
              <w:rPr>
                <w:rFonts w:cs="Tahoma"/>
                <w:color w:val="000000"/>
                <w:szCs w:val="18"/>
              </w:rPr>
            </w:pPr>
            <w:r w:rsidRPr="0058047D">
              <w:rPr>
                <w:rFonts w:cs="Tahoma"/>
                <w:color w:val="000000"/>
                <w:szCs w:val="18"/>
              </w:rPr>
              <w:t>Licenza per FAST Search Server 2010 for SharePoint Server con Software Assurance attiva a partire dal 1 ottobre 2012</w:t>
            </w:r>
          </w:p>
        </w:tc>
        <w:tc>
          <w:tcPr>
            <w:tcW w:w="3600" w:type="dxa"/>
            <w:shd w:val="clear" w:color="auto" w:fill="auto"/>
          </w:tcPr>
          <w:p w14:paraId="6F52F470" w14:textId="77777777" w:rsidR="00CD0D74" w:rsidRPr="0058047D" w:rsidRDefault="00CD0D74" w:rsidP="00C066F9">
            <w:pPr>
              <w:keepNext/>
              <w:keepLines/>
              <w:rPr>
                <w:rFonts w:cs="Tahoma"/>
                <w:color w:val="000000"/>
                <w:szCs w:val="18"/>
              </w:rPr>
            </w:pPr>
            <w:r w:rsidRPr="0058047D">
              <w:rPr>
                <w:rFonts w:cs="Tahoma"/>
                <w:color w:val="000000"/>
                <w:szCs w:val="18"/>
              </w:rPr>
              <w:t>Una licenza per SharePoint Server 2013</w:t>
            </w:r>
          </w:p>
        </w:tc>
      </w:tr>
      <w:tr w:rsidR="00CD0D74" w:rsidRPr="0058047D" w14:paraId="31BF3101" w14:textId="77777777" w:rsidTr="002C3AB1">
        <w:trPr>
          <w:trHeight w:val="233"/>
        </w:trPr>
        <w:tc>
          <w:tcPr>
            <w:tcW w:w="4500" w:type="dxa"/>
            <w:shd w:val="clear" w:color="auto" w:fill="auto"/>
          </w:tcPr>
          <w:p w14:paraId="13B11019" w14:textId="77777777" w:rsidR="00CD0D74" w:rsidRPr="0058047D" w:rsidRDefault="00CD0D74" w:rsidP="003678D7">
            <w:pPr>
              <w:keepNext/>
              <w:keepLines/>
              <w:rPr>
                <w:rFonts w:cs="Tahoma"/>
                <w:color w:val="000000"/>
                <w:szCs w:val="18"/>
              </w:rPr>
            </w:pPr>
            <w:r w:rsidRPr="0058047D">
              <w:rPr>
                <w:rFonts w:cs="Tahoma"/>
                <w:color w:val="000000"/>
                <w:szCs w:val="18"/>
              </w:rPr>
              <w:t>Licenza per Search Server 2010 con Software Assurance attiva a partire dal 1 ottobre 2012</w:t>
            </w:r>
          </w:p>
        </w:tc>
        <w:tc>
          <w:tcPr>
            <w:tcW w:w="3600" w:type="dxa"/>
            <w:shd w:val="clear" w:color="auto" w:fill="auto"/>
          </w:tcPr>
          <w:p w14:paraId="0AC342C9" w14:textId="77777777" w:rsidR="00CD0D74" w:rsidRPr="0058047D" w:rsidRDefault="00CD0D74" w:rsidP="00C066F9">
            <w:pPr>
              <w:keepNext/>
              <w:keepLines/>
            </w:pPr>
            <w:r w:rsidRPr="0058047D">
              <w:rPr>
                <w:rFonts w:cs="Tahoma"/>
                <w:color w:val="000000"/>
                <w:szCs w:val="18"/>
              </w:rPr>
              <w:t xml:space="preserve">Una licenza per SharePoint Server 2013 </w:t>
            </w:r>
            <w:r w:rsidRPr="0058047D">
              <w:rPr>
                <w:rFonts w:cs="Tahoma"/>
                <w:b/>
                <w:color w:val="000000"/>
                <w:szCs w:val="18"/>
              </w:rPr>
              <w:t>e</w:t>
            </w:r>
          </w:p>
          <w:p w14:paraId="7FE5D93B" w14:textId="77777777" w:rsidR="00CD0D74" w:rsidRPr="0058047D" w:rsidRDefault="00CD0D74" w:rsidP="00C066F9">
            <w:pPr>
              <w:keepNext/>
              <w:keepLines/>
            </w:pPr>
          </w:p>
          <w:p w14:paraId="2FCB9FD3" w14:textId="77777777" w:rsidR="00CD0D74" w:rsidRPr="0058047D" w:rsidRDefault="00CD0D74" w:rsidP="00075CCA">
            <w:pPr>
              <w:keepNext/>
              <w:keepLines/>
              <w:rPr>
                <w:rFonts w:cs="Tahoma"/>
                <w:color w:val="000000"/>
                <w:szCs w:val="18"/>
              </w:rPr>
            </w:pPr>
            <w:r w:rsidRPr="0058047D">
              <w:rPr>
                <w:rFonts w:cs="Tahoma"/>
                <w:color w:val="000000"/>
                <w:szCs w:val="18"/>
              </w:rPr>
              <w:t>100 Standard CAL per SharePoint Server</w:t>
            </w:r>
            <w:r w:rsidR="00075CCA">
              <w:rPr>
                <w:rFonts w:cs="Tahoma"/>
                <w:color w:val="000000"/>
                <w:szCs w:val="18"/>
              </w:rPr>
              <w:t> </w:t>
            </w:r>
            <w:r w:rsidRPr="0058047D">
              <w:rPr>
                <w:rFonts w:cs="Tahoma"/>
                <w:color w:val="000000"/>
                <w:szCs w:val="18"/>
              </w:rPr>
              <w:t>2013</w:t>
            </w:r>
          </w:p>
        </w:tc>
      </w:tr>
    </w:tbl>
    <w:p w14:paraId="0EC7B48E" w14:textId="77777777" w:rsidR="00586FCE" w:rsidRPr="0058047D" w:rsidRDefault="00586FCE" w:rsidP="00586FCE"/>
    <w:p w14:paraId="1E66601D" w14:textId="77777777" w:rsidR="002F7FB8" w:rsidRPr="0058047D" w:rsidRDefault="002F7FB8" w:rsidP="002F7FB8">
      <w:pPr>
        <w:ind w:left="720"/>
      </w:pPr>
      <w:r w:rsidRPr="0058047D">
        <w:rPr>
          <w:rFonts w:cs="Tahoma"/>
          <w:color w:val="000000"/>
          <w:szCs w:val="18"/>
        </w:rPr>
        <w:t>Le condizioni che seguono si applicano alle concessioni di licenze riportate sopra.</w:t>
      </w:r>
    </w:p>
    <w:p w14:paraId="5881F8AC" w14:textId="77777777" w:rsidR="002F7FB8" w:rsidRPr="0058047D" w:rsidRDefault="002F7FB8" w:rsidP="002F7FB8">
      <w:pPr>
        <w:ind w:left="720"/>
      </w:pPr>
    </w:p>
    <w:p w14:paraId="0D2DCAE9" w14:textId="77777777" w:rsidR="002F7FB8" w:rsidRPr="0058047D" w:rsidRDefault="002F7FB8" w:rsidP="00346F4B">
      <w:pPr>
        <w:numPr>
          <w:ilvl w:val="0"/>
          <w:numId w:val="101"/>
        </w:numPr>
        <w:spacing w:after="60"/>
        <w:ind w:left="1440"/>
      </w:pPr>
      <w:r w:rsidRPr="0058047D">
        <w:rPr>
          <w:rFonts w:cs="Tahoma"/>
          <w:bCs/>
          <w:color w:val="000000"/>
          <w:szCs w:val="18"/>
          <w:u w:val="single"/>
        </w:rPr>
        <w:t>Percorso di Migrazione</w:t>
      </w:r>
      <w:r w:rsidRPr="00DA0170">
        <w:rPr>
          <w:rFonts w:cs="Tahoma"/>
          <w:color w:val="000000"/>
          <w:szCs w:val="18"/>
        </w:rPr>
        <w:t xml:space="preserve">: </w:t>
      </w:r>
      <w:r w:rsidRPr="0058047D">
        <w:rPr>
          <w:rFonts w:cs="Tahoma"/>
          <w:color w:val="000000"/>
          <w:szCs w:val="18"/>
        </w:rPr>
        <w:t>le società con copertura Software Assurance attiva per una determinata licenza Qualificante al 1 ottobre 2012 e al rilascio della versione commerciale di SharePoint Server 2013 sono idonee a effettuare l</w:t>
      </w:r>
      <w:r w:rsidR="001C4212">
        <w:rPr>
          <w:rFonts w:cs="Tahoma"/>
          <w:color w:val="000000"/>
          <w:szCs w:val="18"/>
        </w:rPr>
        <w:t>’</w:t>
      </w:r>
      <w:r w:rsidRPr="0058047D">
        <w:rPr>
          <w:rFonts w:cs="Tahoma"/>
          <w:color w:val="000000"/>
          <w:szCs w:val="18"/>
        </w:rPr>
        <w:t>aggiornamento al software SharePoint 2013 e a utilizzarlo ai sensi della Licenza Gratuita al posto della corrispondente copia con licenza della versione 2010 del software.</w:t>
      </w:r>
      <w:r w:rsidR="00E34ED3" w:rsidRPr="0058047D">
        <w:rPr>
          <w:rFonts w:cs="Tahoma"/>
          <w:color w:val="000000"/>
          <w:szCs w:val="18"/>
        </w:rPr>
        <w:t xml:space="preserve"> </w:t>
      </w:r>
    </w:p>
    <w:p w14:paraId="30CDF9C1" w14:textId="77777777" w:rsidR="002F7FB8" w:rsidRPr="0058047D" w:rsidRDefault="002F7FB8" w:rsidP="00346F4B">
      <w:pPr>
        <w:numPr>
          <w:ilvl w:val="0"/>
          <w:numId w:val="101"/>
        </w:numPr>
        <w:spacing w:after="60"/>
        <w:ind w:left="1440"/>
      </w:pPr>
      <w:r w:rsidRPr="0058047D">
        <w:rPr>
          <w:rFonts w:cs="Tahoma"/>
          <w:color w:val="000000"/>
          <w:szCs w:val="18"/>
          <w:u w:val="single"/>
        </w:rPr>
        <w:t>Diritti sull</w:t>
      </w:r>
      <w:r w:rsidR="001C4212">
        <w:rPr>
          <w:rFonts w:cs="Tahoma"/>
          <w:color w:val="000000"/>
          <w:szCs w:val="18"/>
          <w:u w:val="single"/>
        </w:rPr>
        <w:t>’</w:t>
      </w:r>
      <w:r w:rsidRPr="0058047D">
        <w:rPr>
          <w:rFonts w:cs="Tahoma"/>
          <w:color w:val="000000"/>
          <w:szCs w:val="18"/>
          <w:u w:val="single"/>
        </w:rPr>
        <w:t>utilizzo</w:t>
      </w:r>
      <w:r w:rsidRPr="0058047D">
        <w:rPr>
          <w:rFonts w:cs="Tahoma"/>
          <w:color w:val="000000"/>
          <w:szCs w:val="18"/>
        </w:rPr>
        <w:t>: il diritto di utilizzo del software ai sensi della Licenza Gratuita della presente offerta scadrà alla scadenza del diritto di utilizzo del software ai sensi della Licenza Qualificante.</w:t>
      </w:r>
      <w:r w:rsidR="00E34ED3" w:rsidRPr="0058047D">
        <w:rPr>
          <w:rFonts w:cs="Tahoma"/>
          <w:color w:val="000000"/>
          <w:szCs w:val="18"/>
        </w:rPr>
        <w:t xml:space="preserve"> </w:t>
      </w:r>
      <w:r w:rsidRPr="0058047D">
        <w:rPr>
          <w:rFonts w:cs="Tahoma"/>
          <w:color w:val="000000"/>
          <w:szCs w:val="18"/>
        </w:rPr>
        <w:t>L</w:t>
      </w:r>
      <w:r w:rsidR="001C4212">
        <w:rPr>
          <w:rFonts w:cs="Tahoma"/>
          <w:color w:val="000000"/>
          <w:szCs w:val="18"/>
        </w:rPr>
        <w:t>’</w:t>
      </w:r>
      <w:r w:rsidRPr="0058047D">
        <w:rPr>
          <w:rFonts w:cs="Tahoma"/>
          <w:color w:val="000000"/>
          <w:szCs w:val="18"/>
        </w:rPr>
        <w:t>utilizzo di tale software è regolato dai diritti sull</w:t>
      </w:r>
      <w:r w:rsidR="001C4212">
        <w:rPr>
          <w:rFonts w:cs="Tahoma"/>
          <w:color w:val="000000"/>
          <w:szCs w:val="18"/>
        </w:rPr>
        <w:t>’</w:t>
      </w:r>
      <w:r w:rsidRPr="0058047D">
        <w:rPr>
          <w:rFonts w:cs="Tahoma"/>
          <w:color w:val="000000"/>
          <w:szCs w:val="18"/>
        </w:rPr>
        <w:t>utilizzo del software e dalle condizioni del contratto Volume License della società.</w:t>
      </w:r>
      <w:r w:rsidR="00E34ED3" w:rsidRPr="0058047D">
        <w:rPr>
          <w:rFonts w:cs="Tahoma"/>
          <w:color w:val="000000"/>
          <w:szCs w:val="18"/>
        </w:rPr>
        <w:t xml:space="preserve"> </w:t>
      </w:r>
      <w:r w:rsidRPr="0058047D">
        <w:rPr>
          <w:rFonts w:cs="Tahoma"/>
          <w:color w:val="000000"/>
          <w:szCs w:val="18"/>
        </w:rPr>
        <w:t xml:space="preserve">Questa nota relativa alle condizioni del prodotto e la prova da parte della società della corrispondente Licenza e Software Assurance (L&amp;SA) Qualificante costituiscono insieme la prova del diritto di utilizzo del software ai sensi della Licenza Gratuita della presente offerta. </w:t>
      </w:r>
    </w:p>
    <w:p w14:paraId="68F321ED" w14:textId="77777777" w:rsidR="002F7FB8" w:rsidRPr="0058047D" w:rsidRDefault="002F7FB8" w:rsidP="007B699C">
      <w:pPr>
        <w:numPr>
          <w:ilvl w:val="0"/>
          <w:numId w:val="8"/>
        </w:numPr>
        <w:spacing w:after="60"/>
        <w:ind w:left="1440"/>
      </w:pPr>
      <w:r w:rsidRPr="0058047D">
        <w:rPr>
          <w:rFonts w:cs="Tahoma"/>
          <w:color w:val="000000"/>
          <w:szCs w:val="18"/>
          <w:u w:val="single"/>
        </w:rPr>
        <w:t>Licenza e Software Assurance (L&amp;SA)</w:t>
      </w:r>
      <w:r w:rsidRPr="0058047D">
        <w:rPr>
          <w:rFonts w:cs="Tahoma"/>
          <w:color w:val="000000"/>
          <w:szCs w:val="18"/>
        </w:rPr>
        <w:t>: la Licenza Gratuita include la copertura Software Assurance.</w:t>
      </w:r>
      <w:r w:rsidR="00E34ED3" w:rsidRPr="0058047D">
        <w:rPr>
          <w:rFonts w:cs="Tahoma"/>
          <w:color w:val="000000"/>
          <w:szCs w:val="18"/>
        </w:rPr>
        <w:t xml:space="preserve"> </w:t>
      </w:r>
      <w:r w:rsidRPr="0058047D">
        <w:rPr>
          <w:rFonts w:cs="Tahoma"/>
          <w:color w:val="000000"/>
          <w:szCs w:val="18"/>
        </w:rPr>
        <w:t>La copertura Software Assurance per la Licenza Gratuita scadrà alla scadenza della copertura per la Licenza Qualificante.</w:t>
      </w:r>
      <w:r w:rsidR="00E34ED3" w:rsidRPr="0058047D">
        <w:rPr>
          <w:rFonts w:cs="Tahoma"/>
          <w:color w:val="000000"/>
          <w:szCs w:val="18"/>
        </w:rPr>
        <w:t xml:space="preserve"> </w:t>
      </w:r>
      <w:r w:rsidRPr="0058047D">
        <w:rPr>
          <w:rFonts w:cs="Tahoma"/>
          <w:color w:val="000000"/>
          <w:szCs w:val="18"/>
        </w:rPr>
        <w:t>Alla scadenza della copertura Software Assurance per la Licenza Qualificante, la società potrà rinnovare Software Assurance per la Licenza Gratuita senza dover acquistare una nuova licenza specifica.</w:t>
      </w:r>
    </w:p>
    <w:p w14:paraId="52695F82" w14:textId="77777777" w:rsidR="002F7FB8" w:rsidRPr="00DA0170" w:rsidRDefault="002F7FB8" w:rsidP="00346F4B">
      <w:pPr>
        <w:numPr>
          <w:ilvl w:val="0"/>
          <w:numId w:val="102"/>
        </w:numPr>
        <w:spacing w:after="60"/>
        <w:ind w:left="1440"/>
      </w:pPr>
      <w:r w:rsidRPr="0058047D">
        <w:rPr>
          <w:rFonts w:eastAsia="Calibri" w:cs="Tahoma"/>
          <w:color w:val="000000"/>
          <w:szCs w:val="18"/>
          <w:u w:val="single"/>
        </w:rPr>
        <w:t>True-up</w:t>
      </w:r>
      <w:r w:rsidRPr="00075CCA">
        <w:rPr>
          <w:rFonts w:eastAsia="Calibri" w:cs="Tahoma"/>
          <w:color w:val="000000"/>
          <w:szCs w:val="18"/>
        </w:rPr>
        <w:t>.</w:t>
      </w:r>
      <w:r w:rsidR="00E34ED3" w:rsidRPr="0058047D">
        <w:rPr>
          <w:rFonts w:eastAsia="Calibri" w:cs="Tahoma"/>
          <w:color w:val="000000"/>
          <w:szCs w:val="18"/>
        </w:rPr>
        <w:t xml:space="preserve"> </w:t>
      </w:r>
      <w:r w:rsidRPr="0058047D">
        <w:rPr>
          <w:rFonts w:eastAsia="Calibri" w:cs="Tahoma"/>
          <w:color w:val="000000"/>
          <w:szCs w:val="18"/>
        </w:rPr>
        <w:t>Per le società titolari di un Contratto Enterprise idonee a ricevere tali Licenze Gratuite e</w:t>
      </w:r>
      <w:r w:rsidR="00DA0170">
        <w:rPr>
          <w:rFonts w:eastAsia="Calibri" w:cs="Tahoma"/>
          <w:color w:val="000000"/>
          <w:szCs w:val="18"/>
        </w:rPr>
        <w:t> </w:t>
      </w:r>
      <w:r w:rsidRPr="0058047D">
        <w:rPr>
          <w:rFonts w:eastAsia="Calibri" w:cs="Tahoma"/>
          <w:color w:val="000000"/>
          <w:szCs w:val="18"/>
        </w:rPr>
        <w:t>i</w:t>
      </w:r>
      <w:r w:rsidR="00DA0170">
        <w:rPr>
          <w:rFonts w:eastAsia="Calibri" w:cs="Tahoma"/>
          <w:color w:val="000000"/>
          <w:szCs w:val="18"/>
        </w:rPr>
        <w:t> </w:t>
      </w:r>
      <w:r w:rsidRPr="0058047D">
        <w:rPr>
          <w:rFonts w:eastAsia="Calibri" w:cs="Tahoma"/>
          <w:color w:val="000000"/>
          <w:szCs w:val="18"/>
        </w:rPr>
        <w:t xml:space="preserve">diritti descritti in precedenza, le licenze SharePoint Server 2010 for Internet Sites Enterprise, SharePoint Server 2010 for Internet Sites Standard </w:t>
      </w:r>
      <w:r w:rsidRPr="0058047D">
        <w:rPr>
          <w:rFonts w:cs="Tahoma"/>
          <w:color w:val="000000"/>
          <w:szCs w:val="20"/>
        </w:rPr>
        <w:t xml:space="preserve">e FAST Search Server 2010 for SharePoint Server </w:t>
      </w:r>
      <w:r w:rsidRPr="0058047D">
        <w:rPr>
          <w:rFonts w:eastAsia="Calibri" w:cs="Tahoma"/>
          <w:color w:val="000000"/>
          <w:szCs w:val="18"/>
        </w:rPr>
        <w:t>acquistate nell</w:t>
      </w:r>
      <w:r w:rsidR="001C4212">
        <w:rPr>
          <w:rFonts w:eastAsia="Calibri" w:cs="Tahoma"/>
          <w:color w:val="000000"/>
          <w:szCs w:val="18"/>
        </w:rPr>
        <w:t>’</w:t>
      </w:r>
      <w:r w:rsidRPr="0058047D">
        <w:rPr>
          <w:rFonts w:eastAsia="Calibri" w:cs="Tahoma"/>
          <w:color w:val="000000"/>
          <w:szCs w:val="18"/>
        </w:rPr>
        <w:t xml:space="preserve">ambito di una procedura </w:t>
      </w:r>
      <w:r w:rsidRPr="0058047D">
        <w:rPr>
          <w:rFonts w:cs="Tahoma"/>
          <w:color w:val="000000"/>
          <w:szCs w:val="18"/>
        </w:rPr>
        <w:t>annuale di true-up sono, anch</w:t>
      </w:r>
      <w:r w:rsidR="001C4212">
        <w:rPr>
          <w:rFonts w:cs="Tahoma"/>
          <w:color w:val="000000"/>
          <w:szCs w:val="18"/>
        </w:rPr>
        <w:t>’</w:t>
      </w:r>
      <w:r w:rsidRPr="0058047D">
        <w:rPr>
          <w:rFonts w:cs="Tahoma"/>
          <w:color w:val="000000"/>
          <w:szCs w:val="18"/>
        </w:rPr>
        <w:t xml:space="preserve">esse, licenze qualificanti. </w:t>
      </w:r>
    </w:p>
    <w:p w14:paraId="2F81D2F9" w14:textId="77777777" w:rsidR="00DA0170" w:rsidRDefault="00DA0170" w:rsidP="00DA0170">
      <w:pPr>
        <w:spacing w:after="60"/>
        <w:ind w:left="1440"/>
        <w:rPr>
          <w:rFonts w:eastAsia="Calibri" w:cs="Tahoma"/>
          <w:color w:val="000000"/>
          <w:szCs w:val="18"/>
          <w:u w:val="single"/>
        </w:rPr>
      </w:pPr>
    </w:p>
    <w:p w14:paraId="22875EA5" w14:textId="77777777" w:rsidR="00DA0170" w:rsidRPr="0058047D" w:rsidRDefault="00DA0170" w:rsidP="00DA0170">
      <w:pPr>
        <w:spacing w:after="60"/>
        <w:ind w:left="1440"/>
      </w:pPr>
    </w:p>
    <w:p w14:paraId="3E469EA8" w14:textId="77777777" w:rsidR="002F7FB8" w:rsidRPr="0058047D" w:rsidRDefault="002F7FB8" w:rsidP="00346F4B">
      <w:pPr>
        <w:numPr>
          <w:ilvl w:val="0"/>
          <w:numId w:val="102"/>
        </w:numPr>
        <w:spacing w:after="60"/>
        <w:ind w:left="1440"/>
      </w:pPr>
      <w:r w:rsidRPr="0058047D">
        <w:rPr>
          <w:rFonts w:cs="Tahoma"/>
          <w:color w:val="000000"/>
          <w:szCs w:val="18"/>
          <w:u w:val="single"/>
        </w:rPr>
        <w:t>Contratti “Subscription”</w:t>
      </w:r>
      <w:r w:rsidRPr="00DA0170">
        <w:rPr>
          <w:rFonts w:cs="Tahoma"/>
          <w:color w:val="000000"/>
          <w:szCs w:val="18"/>
        </w:rPr>
        <w:t>.</w:t>
      </w:r>
      <w:r w:rsidR="00E34ED3" w:rsidRPr="00DA0170">
        <w:rPr>
          <w:rFonts w:cs="Tahoma"/>
          <w:color w:val="000000"/>
          <w:szCs w:val="18"/>
        </w:rPr>
        <w:t xml:space="preserve"> </w:t>
      </w:r>
      <w:r w:rsidRPr="0058047D">
        <w:rPr>
          <w:rFonts w:cs="Tahoma"/>
          <w:color w:val="000000"/>
          <w:szCs w:val="18"/>
        </w:rPr>
        <w:t xml:space="preserve">per quanto riguarda i Contratti Enterprise Subscription, </w:t>
      </w:r>
      <w:r w:rsidRPr="0058047D">
        <w:rPr>
          <w:rFonts w:cs="Tahoma"/>
          <w:szCs w:val="18"/>
        </w:rPr>
        <w:t>Open Value Subscription, Campus e School, Enrollment for Education Solutions e Open Value Subscription-Education Solutions, gli stessi diritti verranno concessi temporaneamente, in base alle medesime condizioni,</w:t>
      </w:r>
      <w:r w:rsidRPr="0058047D">
        <w:rPr>
          <w:rFonts w:cs="Tahoma"/>
          <w:color w:val="000000"/>
          <w:szCs w:val="18"/>
        </w:rPr>
        <w:t xml:space="preserve"> fino al termine del periodo di validità corrente dell</w:t>
      </w:r>
      <w:r w:rsidR="001C4212">
        <w:rPr>
          <w:rFonts w:cs="Tahoma"/>
          <w:color w:val="000000"/>
          <w:szCs w:val="18"/>
        </w:rPr>
        <w:t>’</w:t>
      </w:r>
      <w:r w:rsidRPr="0058047D">
        <w:rPr>
          <w:rFonts w:cs="Tahoma"/>
          <w:color w:val="000000"/>
          <w:szCs w:val="18"/>
        </w:rPr>
        <w:t>iscrizione (o del periodo di validità del</w:t>
      </w:r>
      <w:r w:rsidR="00DA0170">
        <w:rPr>
          <w:rFonts w:cs="Tahoma"/>
          <w:color w:val="000000"/>
          <w:szCs w:val="18"/>
        </w:rPr>
        <w:t> </w:t>
      </w:r>
      <w:r w:rsidRPr="0058047D">
        <w:rPr>
          <w:rFonts w:cs="Tahoma"/>
          <w:color w:val="000000"/>
          <w:szCs w:val="18"/>
        </w:rPr>
        <w:t>contratto nel caso di Open Value).</w:t>
      </w:r>
      <w:r w:rsidR="00E34ED3" w:rsidRPr="0058047D">
        <w:rPr>
          <w:rFonts w:cs="Tahoma"/>
          <w:color w:val="000000"/>
          <w:szCs w:val="18"/>
        </w:rPr>
        <w:t xml:space="preserve"> </w:t>
      </w:r>
      <w:r w:rsidRPr="0058047D">
        <w:rPr>
          <w:rFonts w:cs="Tahoma"/>
          <w:color w:val="000000"/>
          <w:szCs w:val="18"/>
        </w:rPr>
        <w:t>La società dovrà mantenere la copertura dell</w:t>
      </w:r>
      <w:r w:rsidR="001C4212">
        <w:rPr>
          <w:rFonts w:cs="Tahoma"/>
          <w:color w:val="000000"/>
          <w:szCs w:val="18"/>
        </w:rPr>
        <w:t>’</w:t>
      </w:r>
      <w:r w:rsidRPr="0058047D">
        <w:rPr>
          <w:rFonts w:cs="Tahoma"/>
          <w:color w:val="000000"/>
          <w:szCs w:val="18"/>
        </w:rPr>
        <w:t>abbonamento in via continuativa.</w:t>
      </w:r>
      <w:r w:rsidR="00E34ED3" w:rsidRPr="0058047D">
        <w:rPr>
          <w:rFonts w:cs="Tahoma"/>
          <w:color w:val="000000"/>
          <w:szCs w:val="18"/>
        </w:rPr>
        <w:t xml:space="preserve"> </w:t>
      </w:r>
      <w:r w:rsidRPr="0058047D">
        <w:rPr>
          <w:rFonts w:cs="Tahoma"/>
          <w:color w:val="000000"/>
          <w:szCs w:val="18"/>
        </w:rPr>
        <w:t>Tali diritti diventeranno permanenti soltanto all</w:t>
      </w:r>
      <w:r w:rsidR="001C4212">
        <w:rPr>
          <w:rFonts w:cs="Tahoma"/>
          <w:color w:val="000000"/>
          <w:szCs w:val="18"/>
        </w:rPr>
        <w:t>’</w:t>
      </w:r>
      <w:r w:rsidRPr="0058047D">
        <w:rPr>
          <w:rFonts w:cs="Tahoma"/>
          <w:color w:val="000000"/>
          <w:szCs w:val="18"/>
        </w:rPr>
        <w:t>esercizio dell</w:t>
      </w:r>
      <w:r w:rsidR="001C4212">
        <w:rPr>
          <w:rFonts w:cs="Tahoma"/>
          <w:color w:val="000000"/>
          <w:szCs w:val="18"/>
        </w:rPr>
        <w:t>’</w:t>
      </w:r>
      <w:r w:rsidRPr="0058047D">
        <w:rPr>
          <w:rFonts w:cs="Tahoma"/>
          <w:color w:val="000000"/>
          <w:szCs w:val="18"/>
        </w:rPr>
        <w:t>opzione buy-out e</w:t>
      </w:r>
      <w:r w:rsidR="00DA0170">
        <w:rPr>
          <w:rFonts w:cs="Tahoma"/>
          <w:color w:val="000000"/>
          <w:szCs w:val="18"/>
        </w:rPr>
        <w:t> </w:t>
      </w:r>
      <w:r w:rsidRPr="0058047D">
        <w:rPr>
          <w:rFonts w:cs="Tahoma"/>
          <w:color w:val="000000"/>
          <w:szCs w:val="18"/>
        </w:rPr>
        <w:t>resteranno soggetti a tutte le condizioni del contratto di licenza della società.</w:t>
      </w:r>
    </w:p>
    <w:p w14:paraId="36416E25" w14:textId="77777777" w:rsidR="002F7FB8" w:rsidRPr="0058047D" w:rsidRDefault="002F7FB8" w:rsidP="00346F4B">
      <w:pPr>
        <w:numPr>
          <w:ilvl w:val="0"/>
          <w:numId w:val="103"/>
        </w:numPr>
        <w:spacing w:after="60"/>
        <w:ind w:left="1440"/>
      </w:pPr>
      <w:r w:rsidRPr="0058047D">
        <w:rPr>
          <w:rFonts w:cs="Tahoma"/>
          <w:szCs w:val="18"/>
          <w:u w:val="single"/>
        </w:rPr>
        <w:t>Transizioni ai Contratti Campus e School</w:t>
      </w:r>
      <w:r w:rsidRPr="00DA0170">
        <w:rPr>
          <w:rFonts w:cs="Tahoma"/>
          <w:szCs w:val="18"/>
        </w:rPr>
        <w:t>.</w:t>
      </w:r>
      <w:r w:rsidRPr="0058047D">
        <w:rPr>
          <w:rFonts w:cs="Tahoma"/>
          <w:szCs w:val="18"/>
        </w:rPr>
        <w:t xml:space="preserve"> Per quanto riguarda le società che a metà del periodo di validità effettuano la transizione dai contratti Campus e School al contratto Enrollment for Education Solutions o Open Value Subscription-Education Solutions mantenendo la copertura della sottoscrizione in via continuativa:</w:t>
      </w:r>
    </w:p>
    <w:p w14:paraId="072B567D" w14:textId="77777777" w:rsidR="002F7FB8" w:rsidRPr="0058047D" w:rsidRDefault="002F7FB8" w:rsidP="00346F4B">
      <w:pPr>
        <w:pStyle w:val="ListParagraph"/>
        <w:numPr>
          <w:ilvl w:val="0"/>
          <w:numId w:val="87"/>
        </w:numPr>
        <w:spacing w:after="60"/>
        <w:ind w:left="1800"/>
      </w:pPr>
      <w:r w:rsidRPr="0058047D">
        <w:rPr>
          <w:rFonts w:ascii="Tahoma" w:hAnsi="Tahoma" w:cs="Tahoma"/>
          <w:sz w:val="18"/>
          <w:szCs w:val="18"/>
        </w:rPr>
        <w:t xml:space="preserve">Vengono concessi gli stessi diritti su base temporanea, ai sensi delle medesime condizioni, fino al termine, rispettivamente, del loro contratto Enrollment for Education Solutions o Open Value Subscription-Education Solutions. </w:t>
      </w:r>
    </w:p>
    <w:p w14:paraId="24A1B31B" w14:textId="77777777" w:rsidR="002512D3" w:rsidRPr="0058047D" w:rsidRDefault="002F7FB8" w:rsidP="00346F4B">
      <w:pPr>
        <w:pStyle w:val="ListParagraph"/>
        <w:numPr>
          <w:ilvl w:val="0"/>
          <w:numId w:val="87"/>
        </w:numPr>
        <w:spacing w:after="60"/>
        <w:ind w:left="1800"/>
      </w:pPr>
      <w:r w:rsidRPr="0058047D">
        <w:rPr>
          <w:rFonts w:ascii="Tahoma" w:hAnsi="Tahoma" w:cs="Tahoma"/>
          <w:sz w:val="18"/>
          <w:szCs w:val="18"/>
        </w:rPr>
        <w:t>Tali diritti diventeranno permanenti soltanto all</w:t>
      </w:r>
      <w:r w:rsidR="001C4212">
        <w:rPr>
          <w:rFonts w:ascii="Tahoma" w:hAnsi="Tahoma" w:cs="Tahoma"/>
          <w:sz w:val="18"/>
          <w:szCs w:val="18"/>
        </w:rPr>
        <w:t>’</w:t>
      </w:r>
      <w:r w:rsidRPr="0058047D">
        <w:rPr>
          <w:rFonts w:ascii="Tahoma" w:hAnsi="Tahoma" w:cs="Tahoma"/>
          <w:sz w:val="18"/>
          <w:szCs w:val="18"/>
        </w:rPr>
        <w:t>esercizio dell</w:t>
      </w:r>
      <w:r w:rsidR="001C4212">
        <w:rPr>
          <w:rFonts w:ascii="Tahoma" w:hAnsi="Tahoma" w:cs="Tahoma"/>
          <w:sz w:val="18"/>
          <w:szCs w:val="18"/>
        </w:rPr>
        <w:t>’</w:t>
      </w:r>
      <w:r w:rsidRPr="0058047D">
        <w:rPr>
          <w:rFonts w:ascii="Tahoma" w:hAnsi="Tahoma" w:cs="Tahoma"/>
          <w:sz w:val="18"/>
          <w:szCs w:val="18"/>
        </w:rPr>
        <w:t>opzione buy-out e resteranno soggetti a tutte le condizioni del contratto di licenza della società.</w:t>
      </w:r>
    </w:p>
    <w:p w14:paraId="6A60E766" w14:textId="77777777" w:rsidR="0004051B" w:rsidRPr="0058047D" w:rsidRDefault="0004051B" w:rsidP="0004051B">
      <w:pPr>
        <w:ind w:left="720"/>
      </w:pPr>
    </w:p>
    <w:p w14:paraId="229A3708" w14:textId="77777777" w:rsidR="002F7FB8" w:rsidRPr="0058047D" w:rsidRDefault="002F7FB8" w:rsidP="007B699C">
      <w:pPr>
        <w:spacing w:after="60"/>
        <w:ind w:left="720"/>
      </w:pPr>
      <w:r w:rsidRPr="0058047D">
        <w:rPr>
          <w:rFonts w:cs="Tahoma"/>
          <w:b/>
          <w:color w:val="000000"/>
          <w:szCs w:val="18"/>
        </w:rPr>
        <w:t>Diritti di Downgrade Eccezionali per Office SharePoint Server 2013</w:t>
      </w:r>
    </w:p>
    <w:p w14:paraId="113DF4DE" w14:textId="77777777" w:rsidR="002F7FB8" w:rsidRPr="0058047D" w:rsidRDefault="002F7FB8" w:rsidP="002F7FB8">
      <w:pPr>
        <w:ind w:left="720"/>
      </w:pPr>
      <w:r w:rsidRPr="0058047D">
        <w:rPr>
          <w:rFonts w:cs="Tahoma"/>
          <w:szCs w:val="18"/>
        </w:rPr>
        <w:t>Le società titolari di una licenza per SharePoint Server 2013 potranno accedere a qualsiasi prodotto elencato nella tabella che segue e utilizzarlo al posto di SharePoint Server 2013 come descritto di seguito:</w:t>
      </w:r>
    </w:p>
    <w:p w14:paraId="10E79CA7" w14:textId="77777777" w:rsidR="002F7FB8" w:rsidRPr="0058047D" w:rsidRDefault="002F7FB8" w:rsidP="002F7FB8">
      <w:pPr>
        <w:ind w:left="810"/>
      </w:pPr>
      <w:r w:rsidRPr="0058047D">
        <w:rPr>
          <w:rFonts w:cs="Tahoma"/>
          <w:color w:val="FF0000"/>
          <w:szCs w:val="18"/>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58047D" w14:paraId="622279A5"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20716865" w14:textId="77777777" w:rsidR="00BD1A6A" w:rsidRPr="0058047D" w:rsidRDefault="00BD1A6A" w:rsidP="007E466C">
            <w:pPr>
              <w:spacing w:before="60" w:after="60"/>
              <w:ind w:left="162"/>
              <w:rPr>
                <w:rFonts w:cs="Tahoma"/>
                <w:b/>
                <w:bCs/>
                <w:color w:val="000000"/>
                <w:szCs w:val="18"/>
              </w:rPr>
            </w:pPr>
            <w:r w:rsidRPr="0058047D">
              <w:rPr>
                <w:rFonts w:cs="Tahoma"/>
                <w:b/>
                <w:bCs/>
                <w:color w:val="000000"/>
                <w:szCs w:val="18"/>
              </w:rPr>
              <w:t>Licenze per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39BEA73C" w14:textId="77777777" w:rsidR="00BD1A6A" w:rsidRPr="0058047D" w:rsidRDefault="00BD1A6A" w:rsidP="007E466C">
            <w:pPr>
              <w:spacing w:before="60" w:after="60"/>
              <w:ind w:left="180"/>
              <w:rPr>
                <w:rFonts w:cs="Tahoma"/>
                <w:b/>
                <w:bCs/>
                <w:color w:val="000000"/>
                <w:szCs w:val="18"/>
              </w:rPr>
            </w:pPr>
            <w:r w:rsidRPr="0058047D">
              <w:rPr>
                <w:rFonts w:cs="Tahoma"/>
                <w:b/>
                <w:bCs/>
                <w:color w:val="000000"/>
                <w:szCs w:val="18"/>
              </w:rPr>
              <w:t>Downgrade a</w:t>
            </w:r>
          </w:p>
        </w:tc>
      </w:tr>
      <w:tr w:rsidR="00BD1A6A" w:rsidRPr="0058047D" w14:paraId="738B967D"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FA18867" w14:textId="77777777" w:rsidR="00BD1A6A" w:rsidRPr="0058047D" w:rsidRDefault="00BD1A6A" w:rsidP="00722522">
            <w:pPr>
              <w:ind w:left="162"/>
              <w:rPr>
                <w:rFonts w:cs="Tahoma"/>
                <w:color w:val="000000"/>
                <w:szCs w:val="18"/>
              </w:rPr>
            </w:pPr>
            <w:r w:rsidRPr="0058047D">
              <w:rPr>
                <w:rFonts w:cs="Tahoma"/>
                <w:color w:val="000000"/>
                <w:szCs w:val="18"/>
              </w:rPr>
              <w:t>Licenza per SharePoint Server 2013</w:t>
            </w:r>
          </w:p>
        </w:tc>
        <w:tc>
          <w:tcPr>
            <w:tcW w:w="4296" w:type="dxa"/>
            <w:tcBorders>
              <w:top w:val="nil"/>
              <w:left w:val="nil"/>
              <w:bottom w:val="single" w:sz="8" w:space="0" w:color="000000"/>
              <w:right w:val="single" w:sz="8" w:space="0" w:color="000000"/>
            </w:tcBorders>
          </w:tcPr>
          <w:p w14:paraId="52FAD2F9" w14:textId="77777777" w:rsidR="00BD1A6A" w:rsidRPr="0058047D" w:rsidRDefault="00BD1A6A" w:rsidP="00F249BF">
            <w:pPr>
              <w:ind w:left="162" w:right="180"/>
            </w:pPr>
            <w:r w:rsidRPr="0058047D">
              <w:rPr>
                <w:rFonts w:cs="Tahoma"/>
                <w:color w:val="000000"/>
                <w:szCs w:val="18"/>
              </w:rPr>
              <w:t xml:space="preserve">SharePoint Server 2010, </w:t>
            </w:r>
            <w:r w:rsidRPr="0058047D">
              <w:rPr>
                <w:rFonts w:cs="Tahoma"/>
                <w:b/>
                <w:color w:val="000000"/>
                <w:szCs w:val="18"/>
              </w:rPr>
              <w:t>o</w:t>
            </w:r>
          </w:p>
          <w:p w14:paraId="7B7C8873" w14:textId="77777777" w:rsidR="00BD1A6A" w:rsidRPr="0058047D" w:rsidRDefault="00BD1A6A" w:rsidP="002C3AB1">
            <w:pPr>
              <w:ind w:left="162" w:right="180"/>
              <w:rPr>
                <w:rFonts w:cs="Tahoma"/>
                <w:color w:val="000000"/>
                <w:szCs w:val="18"/>
              </w:rPr>
            </w:pPr>
            <w:r w:rsidRPr="0058047D">
              <w:rPr>
                <w:rFonts w:cs="Tahoma"/>
                <w:color w:val="000000"/>
                <w:szCs w:val="18"/>
              </w:rPr>
              <w:t xml:space="preserve">FAST Search Server 2010 for SharePoint Server </w:t>
            </w:r>
          </w:p>
        </w:tc>
      </w:tr>
    </w:tbl>
    <w:p w14:paraId="4D193D35" w14:textId="77777777" w:rsidR="002F7FB8" w:rsidRPr="0058047D" w:rsidRDefault="00E34ED3" w:rsidP="002F7FB8">
      <w:pPr>
        <w:ind w:left="810"/>
      </w:pPr>
      <w:r w:rsidRPr="0058047D">
        <w:rPr>
          <w:rFonts w:cs="Tahoma"/>
          <w:color w:val="000000"/>
          <w:szCs w:val="18"/>
        </w:rPr>
        <w:t xml:space="preserve"> </w:t>
      </w:r>
    </w:p>
    <w:p w14:paraId="5C4E0793" w14:textId="77777777" w:rsidR="002F7FB8" w:rsidRPr="0058047D" w:rsidRDefault="002F7FB8" w:rsidP="002F7FB8">
      <w:pPr>
        <w:ind w:left="720"/>
      </w:pPr>
      <w:r w:rsidRPr="0058047D">
        <w:rPr>
          <w:rFonts w:cs="Tahoma"/>
          <w:color w:val="000000"/>
          <w:szCs w:val="18"/>
        </w:rPr>
        <w:t>Il diritto di accesso a, e di utilizzo di, copie di SharePoint Server 2010 o FAST Search Server 2010 for SharePoint Server da parte di una società al posto di copie con licenza di SharePoint Server 2013 ai sensi della presente offerta è soggetto alle condizioni di un Contratto Multilicenza, ai diritti di utilizzo del prodotto per SharePoint Server 2013 e a queste condizioni. Tale diritto cesserà alla scadenza o alla risoluzione delle licenze per SharePoint Server.</w:t>
      </w:r>
    </w:p>
    <w:p w14:paraId="38856CC4" w14:textId="77777777" w:rsidR="002F7FB8" w:rsidRPr="0058047D" w:rsidRDefault="002F7FB8" w:rsidP="002F7FB8">
      <w:pPr>
        <w:ind w:left="720"/>
      </w:pPr>
    </w:p>
    <w:p w14:paraId="71AA774A" w14:textId="77777777" w:rsidR="002F7FB8" w:rsidRPr="0058047D" w:rsidRDefault="002F7FB8" w:rsidP="00031ABF">
      <w:pPr>
        <w:spacing w:after="60"/>
        <w:ind w:left="720"/>
      </w:pPr>
      <w:r w:rsidRPr="0058047D">
        <w:rPr>
          <w:rFonts w:cs="Tahoma"/>
          <w:b/>
          <w:color w:val="000000"/>
          <w:szCs w:val="18"/>
        </w:rPr>
        <w:t xml:space="preserve">Estensione dei diritti delle Applicazioni Self-Hosted con Software Assurance per le Società in possesso di SharePoint Server </w:t>
      </w:r>
      <w:bookmarkStart w:id="1396" w:name="Srv_65SharepointSvr10IntSites"/>
      <w:bookmarkStart w:id="1397" w:name="_Toc336338336"/>
      <w:bookmarkStart w:id="1398" w:name="Srv_66SharepointSvr10IntSites"/>
      <w:bookmarkStart w:id="1399" w:name="Srv_63SharepointSvr07IntSites"/>
      <w:bookmarkStart w:id="1400" w:name="Srv_64SharepointSvr07IntSites"/>
      <w:r w:rsidRPr="0058047D">
        <w:rPr>
          <w:rFonts w:cs="Tahoma"/>
          <w:b/>
          <w:color w:val="000000"/>
          <w:szCs w:val="18"/>
        </w:rPr>
        <w:t>for Internet Sites Enterprise</w:t>
      </w:r>
      <w:bookmarkEnd w:id="1396"/>
      <w:bookmarkEnd w:id="1397"/>
      <w:bookmarkEnd w:id="1398"/>
      <w:bookmarkEnd w:id="1399"/>
    </w:p>
    <w:bookmarkEnd w:id="1400"/>
    <w:p w14:paraId="33AF34CA" w14:textId="77777777" w:rsidR="002F7FB8" w:rsidRPr="0058047D" w:rsidRDefault="002F7FB8" w:rsidP="002F7FB8">
      <w:pPr>
        <w:ind w:left="720"/>
      </w:pPr>
      <w:r w:rsidRPr="0058047D">
        <w:rPr>
          <w:rFonts w:cs="Tahoma"/>
          <w:color w:val="000000"/>
          <w:szCs w:val="18"/>
        </w:rPr>
        <w:t>Le società in possesso di SharePoint Server 2010 for Internet Sites Enterprise, alle quali sono concesse le licenze per SharePoint Server 2013 tramite la concessione di licenza delineata sopra, potranno effettuare l</w:t>
      </w:r>
      <w:r w:rsidR="001C4212">
        <w:rPr>
          <w:rFonts w:cs="Tahoma"/>
          <w:color w:val="000000"/>
          <w:szCs w:val="18"/>
        </w:rPr>
        <w:t>’</w:t>
      </w:r>
      <w:r w:rsidRPr="0058047D">
        <w:rPr>
          <w:rFonts w:cs="Tahoma"/>
          <w:color w:val="000000"/>
          <w:szCs w:val="18"/>
        </w:rPr>
        <w:t>aggiornamento a SharePoint Server 2013 (come stabilito nella suddetta concessione) e utilizzare SharePoint Server 2013 ai sensi dei diritti di utilizzo del prodotto relativi a SharePoint Server 2013 e le condizioni della sezione “Applicazioni Server - Self-Hosted” dei Diritti di Utilizzo del Prodotto. Le società idonee mantengono la copertura Software Assurance per le licenze gratuite per SharePoint Server 2013, in questo modo il diritto di utilizzo di SharePoint Server 2013 si applicherà fino a quando non sarà disponibile la versione successiva di SharePoint Server 2013.</w:t>
      </w:r>
      <w:r w:rsidR="00E34ED3" w:rsidRPr="0058047D">
        <w:rPr>
          <w:rFonts w:cs="Tahoma"/>
          <w:color w:val="000000"/>
          <w:szCs w:val="18"/>
        </w:rPr>
        <w:t xml:space="preserve"> </w:t>
      </w:r>
    </w:p>
    <w:p w14:paraId="6388FA3B" w14:textId="77777777" w:rsidR="000D76F0" w:rsidRPr="0058047D" w:rsidRDefault="000D76F0" w:rsidP="00031ABF"/>
    <w:p w14:paraId="18F482E7" w14:textId="77777777" w:rsidR="00A81E83" w:rsidRPr="0058047D" w:rsidRDefault="00D629A3" w:rsidP="00A81E83">
      <w:pPr>
        <w:pStyle w:val="Heading3"/>
      </w:pPr>
      <w:bookmarkStart w:id="1401" w:name="_78_SharePoint™_Server"/>
      <w:bookmarkStart w:id="1402" w:name="_75_73_SQL"/>
      <w:bookmarkStart w:id="1403" w:name="_Toc336338339"/>
      <w:bookmarkStart w:id="1404" w:name="_Toc371663732"/>
      <w:bookmarkStart w:id="1405" w:name="Srv_81SQLSvr08R2DataCenter"/>
      <w:bookmarkStart w:id="1406" w:name="Srv_69SQLSvr08EntandEntProc"/>
      <w:bookmarkStart w:id="1407" w:name="Srv_70SQLSvr08EntandEntProc"/>
      <w:bookmarkStart w:id="1408" w:name="Srv_72SQLSvr08R2developer"/>
      <w:bookmarkStart w:id="1409" w:name="Srv_72SQLSvr08R2DataCenter"/>
      <w:bookmarkEnd w:id="1401"/>
      <w:bookmarkEnd w:id="1402"/>
      <w:r w:rsidRPr="0058047D">
        <w:rPr>
          <w:rFonts w:ascii="Tahoma" w:hAnsi="Tahoma"/>
          <w:caps/>
          <w:color w:val="F66400"/>
          <w:sz w:val="22"/>
          <w:vertAlign w:val="superscript"/>
        </w:rPr>
        <w:t>79</w:t>
      </w:r>
      <w:r w:rsidRPr="0058047D">
        <w:rPr>
          <w:rFonts w:ascii="Tahoma" w:hAnsi="Tahoma"/>
          <w:color w:val="F66400"/>
          <w:sz w:val="22"/>
        </w:rPr>
        <w:t xml:space="preserve"> SQL Server</w:t>
      </w:r>
      <w:r w:rsidR="00E53A46" w:rsidRPr="0058047D">
        <w:rPr>
          <w:rFonts w:ascii="Tahoma" w:hAnsi="Tahoma"/>
          <w:color w:val="F66400"/>
          <w:sz w:val="22"/>
          <w:vertAlign w:val="superscript"/>
        </w:rPr>
        <w:t>®</w:t>
      </w:r>
      <w:r w:rsidRPr="0058047D">
        <w:rPr>
          <w:rFonts w:ascii="Tahoma" w:hAnsi="Tahoma"/>
          <w:color w:val="F66400"/>
          <w:sz w:val="22"/>
        </w:rPr>
        <w:t xml:space="preserve"> 2008 R2 Datacenter</w:t>
      </w:r>
      <w:bookmarkEnd w:id="1403"/>
      <w:bookmarkEnd w:id="1404"/>
    </w:p>
    <w:bookmarkEnd w:id="1405"/>
    <w:p w14:paraId="774E86BF" w14:textId="77777777" w:rsidR="00A81E83" w:rsidRPr="0058047D" w:rsidRDefault="00A81E83" w:rsidP="00031ABF"/>
    <w:p w14:paraId="1A943B62" w14:textId="77777777" w:rsidR="00031ABF" w:rsidRPr="0058047D" w:rsidRDefault="00A81E83" w:rsidP="00031ABF">
      <w:pPr>
        <w:spacing w:after="60"/>
        <w:ind w:left="720"/>
      </w:pPr>
      <w:r w:rsidRPr="0058047D">
        <w:rPr>
          <w:rFonts w:cs="Tahoma"/>
          <w:b/>
          <w:color w:val="000000"/>
          <w:szCs w:val="18"/>
        </w:rPr>
        <w:t>Concessioni di Licenza Associate alla Variazione del Modello di Licenza e della Fine del Ciclo di Vita di SQL Server Datacenter</w:t>
      </w:r>
    </w:p>
    <w:p w14:paraId="43B6EAF4" w14:textId="77777777" w:rsidR="00A81E83" w:rsidRPr="00075CCA" w:rsidRDefault="00A81E83" w:rsidP="00031ABF">
      <w:pPr>
        <w:ind w:left="720"/>
        <w:rPr>
          <w:spacing w:val="-2"/>
        </w:rPr>
      </w:pPr>
      <w:r w:rsidRPr="00075CCA">
        <w:rPr>
          <w:color w:val="000000"/>
          <w:spacing w:val="-2"/>
        </w:rPr>
        <w:t>SQL Server 2008 R2 sarà l</w:t>
      </w:r>
      <w:r w:rsidR="001C4212">
        <w:rPr>
          <w:color w:val="000000"/>
          <w:spacing w:val="-2"/>
        </w:rPr>
        <w:t>’</w:t>
      </w:r>
      <w:r w:rsidRPr="00075CCA">
        <w:rPr>
          <w:color w:val="000000"/>
          <w:spacing w:val="-2"/>
        </w:rPr>
        <w:t>ultima versione di SQL Server concessa in licenza ai sensi del modello di licenza per processore e l</w:t>
      </w:r>
      <w:r w:rsidR="001C4212">
        <w:rPr>
          <w:color w:val="000000"/>
          <w:spacing w:val="-2"/>
        </w:rPr>
        <w:t>’</w:t>
      </w:r>
      <w:r w:rsidRPr="00075CCA">
        <w:rPr>
          <w:color w:val="000000"/>
          <w:spacing w:val="-2"/>
        </w:rPr>
        <w:t>ultima versione di SQL Server Datacenter.</w:t>
      </w:r>
      <w:r w:rsidR="00E34ED3" w:rsidRPr="00075CCA">
        <w:rPr>
          <w:color w:val="000000"/>
          <w:spacing w:val="-2"/>
        </w:rPr>
        <w:t xml:space="preserve"> </w:t>
      </w:r>
      <w:r w:rsidRPr="00075CCA">
        <w:rPr>
          <w:color w:val="000000"/>
          <w:spacing w:val="-2"/>
        </w:rPr>
        <w:t>In via eccezionale, alle società con Contratti Multilicenza e copertura Software Assurance attiva per le licenze per processore per SQL Server 2008 R2 Enterprise in data 1 aprile 2012 (“licenze qualificanti”) vengono offerte le opzioni che seguono. Le licenze per processore per SQL Server 2008 R2 Datacenter</w:t>
      </w:r>
      <w:r w:rsidRPr="00075CCA">
        <w:rPr>
          <w:rFonts w:cs="Tahoma"/>
          <w:bCs/>
          <w:color w:val="000000"/>
          <w:spacing w:val="-2"/>
          <w:szCs w:val="18"/>
        </w:rPr>
        <w:t>, acquistate successivamente nello stesso periodo di validità dell</w:t>
      </w:r>
      <w:r w:rsidR="001C4212">
        <w:rPr>
          <w:rFonts w:cs="Tahoma"/>
          <w:bCs/>
          <w:color w:val="000000"/>
          <w:spacing w:val="-2"/>
          <w:szCs w:val="18"/>
        </w:rPr>
        <w:t>’</w:t>
      </w:r>
      <w:r w:rsidRPr="00075CCA">
        <w:rPr>
          <w:rFonts w:cs="Tahoma"/>
          <w:bCs/>
          <w:color w:val="000000"/>
          <w:spacing w:val="-2"/>
          <w:szCs w:val="18"/>
        </w:rPr>
        <w:t>iscrizione, ma prima del 1° aprile 2015 nell</w:t>
      </w:r>
      <w:r w:rsidR="001C4212">
        <w:rPr>
          <w:rFonts w:cs="Tahoma"/>
          <w:bCs/>
          <w:color w:val="000000"/>
          <w:spacing w:val="-2"/>
          <w:szCs w:val="18"/>
        </w:rPr>
        <w:t>’</w:t>
      </w:r>
      <w:r w:rsidRPr="00075CCA">
        <w:rPr>
          <w:rFonts w:cs="Tahoma"/>
          <w:bCs/>
          <w:color w:val="000000"/>
          <w:spacing w:val="-2"/>
          <w:szCs w:val="18"/>
        </w:rPr>
        <w:t>ambito di una procedura pianificata di true-up della società con contratto Enterprise, Enterprise Subscription, Open Value Subscription o Enrollment for Education Solutions, sono anch</w:t>
      </w:r>
      <w:r w:rsidR="001C4212">
        <w:rPr>
          <w:rFonts w:cs="Tahoma"/>
          <w:bCs/>
          <w:color w:val="000000"/>
          <w:spacing w:val="-2"/>
          <w:szCs w:val="18"/>
        </w:rPr>
        <w:t>’</w:t>
      </w:r>
      <w:r w:rsidRPr="00075CCA">
        <w:rPr>
          <w:rFonts w:cs="Tahoma"/>
          <w:bCs/>
          <w:color w:val="000000"/>
          <w:spacing w:val="-2"/>
          <w:szCs w:val="18"/>
        </w:rPr>
        <w:t>esse licenze qualificanti per gli scopi previsti da tali opzioni.</w:t>
      </w:r>
      <w:r w:rsidR="00E34ED3" w:rsidRPr="00075CCA">
        <w:rPr>
          <w:rFonts w:cs="Tahoma"/>
          <w:bCs/>
          <w:color w:val="000000"/>
          <w:spacing w:val="-2"/>
          <w:szCs w:val="18"/>
        </w:rPr>
        <w:t xml:space="preserve"> </w:t>
      </w:r>
      <w:r w:rsidRPr="00075CCA">
        <w:rPr>
          <w:rFonts w:cs="Tahoma"/>
          <w:bCs/>
          <w:color w:val="000000"/>
          <w:spacing w:val="-2"/>
          <w:szCs w:val="18"/>
        </w:rPr>
        <w:t>Le licenze acquistate dopo il 1 aprile 2015, o in un periodo di validità dell</w:t>
      </w:r>
      <w:r w:rsidR="001C4212">
        <w:rPr>
          <w:rFonts w:cs="Tahoma"/>
          <w:bCs/>
          <w:color w:val="000000"/>
          <w:spacing w:val="-2"/>
          <w:szCs w:val="18"/>
        </w:rPr>
        <w:t>’</w:t>
      </w:r>
      <w:r w:rsidRPr="00075CCA">
        <w:rPr>
          <w:rFonts w:cs="Tahoma"/>
          <w:bCs/>
          <w:color w:val="000000"/>
          <w:spacing w:val="-2"/>
          <w:szCs w:val="18"/>
        </w:rPr>
        <w:t>iscrizione successivo, ai sensi di un contratto distinto o di un</w:t>
      </w:r>
      <w:r w:rsidR="001C4212">
        <w:rPr>
          <w:rFonts w:cs="Tahoma"/>
          <w:bCs/>
          <w:color w:val="000000"/>
          <w:spacing w:val="-2"/>
          <w:szCs w:val="18"/>
        </w:rPr>
        <w:t>’</w:t>
      </w:r>
      <w:r w:rsidRPr="00075CCA">
        <w:rPr>
          <w:rFonts w:cs="Tahoma"/>
          <w:bCs/>
          <w:color w:val="000000"/>
          <w:spacing w:val="-2"/>
          <w:szCs w:val="18"/>
        </w:rPr>
        <w:t>iscrizione con la data di entrata in vigore posteriore al 1 aprile 2012, non sono licenze qualificanti.</w:t>
      </w:r>
    </w:p>
    <w:p w14:paraId="5B607000" w14:textId="77777777" w:rsidR="00031ABF" w:rsidRPr="0058047D" w:rsidRDefault="00031ABF" w:rsidP="00031ABF">
      <w:pPr>
        <w:spacing w:after="60"/>
        <w:ind w:left="720"/>
      </w:pPr>
      <w:r w:rsidRPr="0058047D">
        <w:rPr>
          <w:rFonts w:cs="Tahoma"/>
          <w:b/>
          <w:color w:val="000000"/>
          <w:szCs w:val="18"/>
        </w:rPr>
        <w:t>Periodo di Validità Corrente</w:t>
      </w:r>
    </w:p>
    <w:p w14:paraId="1DB59648" w14:textId="77777777" w:rsidR="00A81E83" w:rsidRPr="0058047D" w:rsidRDefault="00A81E83" w:rsidP="00031ABF">
      <w:pPr>
        <w:ind w:left="720"/>
        <w:contextualSpacing/>
      </w:pPr>
      <w:r w:rsidRPr="0058047D">
        <w:rPr>
          <w:rFonts w:eastAsia="Calibri" w:cs="Tahoma"/>
          <w:szCs w:val="18"/>
        </w:rPr>
        <w:t>durante il periodo di validità corrente della copertura Software Assurance a partire dal 1 aprile 2012 le società (incluse le società titolari di contratti “subscription”) potranno, ai sensi di una licenza qualificante, effettuare l</w:t>
      </w:r>
      <w:r w:rsidR="001C4212">
        <w:rPr>
          <w:rFonts w:eastAsia="Calibri" w:cs="Tahoma"/>
          <w:szCs w:val="18"/>
        </w:rPr>
        <w:t>’</w:t>
      </w:r>
      <w:r w:rsidRPr="0058047D">
        <w:rPr>
          <w:rFonts w:eastAsia="Calibri" w:cs="Tahoma"/>
          <w:szCs w:val="18"/>
        </w:rPr>
        <w:t>aggiornamento al software SQL Server 2012 Enterprise Core e utilizzarlo al posto di SQL Server 2008 R2 Datacenter in conformità ai diritti di utilizzo del prodotto previsti dalla licenza per processore SQL Server 2008 R2 Enterprise (come indicato nei Diritti di Utilizzo del Prodotto del mese di gennaio 2012). Tali società dispongono anche dei diritti sull</w:t>
      </w:r>
      <w:r w:rsidR="001C4212">
        <w:rPr>
          <w:rFonts w:eastAsia="Calibri" w:cs="Tahoma"/>
          <w:szCs w:val="18"/>
        </w:rPr>
        <w:t>’</w:t>
      </w:r>
      <w:r w:rsidRPr="0058047D">
        <w:rPr>
          <w:rFonts w:eastAsia="Calibri" w:cs="Tahoma"/>
          <w:szCs w:val="18"/>
        </w:rPr>
        <w:t>utilizzo per la Virtualizzazione Illimitata come descritto nelle note del prodotto SQL Server 2012 Enterprise della presente Lista dei Prodotti.</w:t>
      </w:r>
    </w:p>
    <w:p w14:paraId="5A52F94F" w14:textId="77777777" w:rsidR="00031ABF" w:rsidRPr="0058047D" w:rsidRDefault="00031ABF" w:rsidP="00031ABF">
      <w:pPr>
        <w:ind w:left="720"/>
        <w:contextualSpacing/>
      </w:pPr>
    </w:p>
    <w:p w14:paraId="3C332B88" w14:textId="77777777" w:rsidR="00031ABF" w:rsidRPr="0058047D" w:rsidRDefault="00A81E83" w:rsidP="00031ABF">
      <w:pPr>
        <w:spacing w:after="60"/>
        <w:ind w:left="720"/>
      </w:pPr>
      <w:r w:rsidRPr="0058047D">
        <w:rPr>
          <w:rFonts w:cs="Tahoma"/>
          <w:b/>
          <w:color w:val="000000"/>
          <w:szCs w:val="18"/>
        </w:rPr>
        <w:t>Primo Periodo di Rinnovo (prima del 1 aprile 2015)</w:t>
      </w:r>
    </w:p>
    <w:p w14:paraId="1219E676" w14:textId="77777777" w:rsidR="00A81E83" w:rsidRPr="0058047D" w:rsidRDefault="00A81E83" w:rsidP="00031ABF">
      <w:pPr>
        <w:tabs>
          <w:tab w:val="left" w:pos="720"/>
        </w:tabs>
        <w:ind w:left="720"/>
        <w:contextualSpacing/>
      </w:pPr>
      <w:r w:rsidRPr="0058047D">
        <w:rPr>
          <w:rFonts w:eastAsia="Calibri" w:cs="Tahoma"/>
          <w:szCs w:val="18"/>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la società potrà acquistare la copertura Software Assurance per le licenze core per SQL Server Enterprise senza dovere acquistare le licenze core sottostanti per un numero di licenze core pari alla somma di (a) e (b):</w:t>
      </w:r>
    </w:p>
    <w:p w14:paraId="06AAFF7B" w14:textId="77777777" w:rsidR="00A81E83" w:rsidRPr="0058047D" w:rsidRDefault="00A81E83" w:rsidP="00727BF7">
      <w:pPr>
        <w:numPr>
          <w:ilvl w:val="0"/>
          <w:numId w:val="147"/>
        </w:numPr>
        <w:tabs>
          <w:tab w:val="left" w:pos="1440"/>
        </w:tabs>
        <w:ind w:left="1440"/>
        <w:contextualSpacing/>
      </w:pPr>
      <w:r w:rsidRPr="00727BF7">
        <w:rPr>
          <w:rFonts w:eastAsia="Calibri" w:cs="Tahoma"/>
          <w:szCs w:val="18"/>
        </w:rPr>
        <w:t xml:space="preserve">un numero pari al numero minore delle licenze qualificanti cedute al server o al numero totale dei processori fisici sul server moltiplicato per il maggiore tra: </w:t>
      </w:r>
    </w:p>
    <w:p w14:paraId="6917D784" w14:textId="77777777" w:rsidR="00A81E83" w:rsidRPr="0058047D" w:rsidRDefault="00A81E83" w:rsidP="00346F4B">
      <w:pPr>
        <w:numPr>
          <w:ilvl w:val="2"/>
          <w:numId w:val="54"/>
        </w:numPr>
        <w:tabs>
          <w:tab w:val="left" w:pos="1800"/>
        </w:tabs>
        <w:ind w:left="1800" w:hanging="360"/>
        <w:contextualSpacing/>
      </w:pPr>
      <w:r w:rsidRPr="0058047D">
        <w:rPr>
          <w:rFonts w:eastAsia="Calibri" w:cs="Tahoma"/>
          <w:szCs w:val="18"/>
        </w:rPr>
        <w:t>otto O</w:t>
      </w:r>
    </w:p>
    <w:p w14:paraId="52B3C7E1" w14:textId="77777777" w:rsidR="00A81E83" w:rsidRPr="0058047D" w:rsidRDefault="00A81E83" w:rsidP="00346F4B">
      <w:pPr>
        <w:numPr>
          <w:ilvl w:val="2"/>
          <w:numId w:val="54"/>
        </w:numPr>
        <w:tabs>
          <w:tab w:val="left" w:pos="1800"/>
        </w:tabs>
        <w:ind w:left="1800" w:hanging="360"/>
        <w:contextualSpacing/>
      </w:pPr>
      <w:r w:rsidRPr="0058047D">
        <w:rPr>
          <w:rFonts w:eastAsia="Calibri" w:cs="Tahoma"/>
          <w:szCs w:val="18"/>
        </w:rPr>
        <w:t>il numero effettivo di core per processore fisico moltiplicato per il fattore core appropriato.</w:t>
      </w:r>
      <w:r w:rsidR="00E34ED3" w:rsidRPr="0058047D">
        <w:rPr>
          <w:rFonts w:eastAsia="Calibri" w:cs="Tahoma"/>
          <w:szCs w:val="18"/>
        </w:rPr>
        <w:t xml:space="preserve"> </w:t>
      </w:r>
      <w:r w:rsidRPr="0058047D">
        <w:rPr>
          <w:rFonts w:eastAsia="Calibri" w:cs="Tahoma"/>
          <w:szCs w:val="18"/>
        </w:rPr>
        <w:t>(Nei</w:t>
      </w:r>
      <w:r w:rsidR="00727BF7">
        <w:rPr>
          <w:rFonts w:eastAsia="Calibri" w:cs="Tahoma"/>
          <w:szCs w:val="18"/>
        </w:rPr>
        <w:t> </w:t>
      </w:r>
      <w:r w:rsidRPr="0058047D">
        <w:rPr>
          <w:rFonts w:eastAsia="Calibri" w:cs="Tahoma"/>
          <w:szCs w:val="18"/>
        </w:rPr>
        <w:t>casi in cui il numero effettivo di core per processore fisico superi otto, le società dovranno conservare un record della configurazione del software SQL Server in esecuzione sul server (istanze con licenza in esecuzione negli ambienti del sistema operativo sul server con licenza) e l</w:t>
      </w:r>
      <w:r w:rsidR="001C4212">
        <w:rPr>
          <w:rFonts w:eastAsia="Calibri" w:cs="Tahoma"/>
          <w:szCs w:val="18"/>
        </w:rPr>
        <w:t>’</w:t>
      </w:r>
      <w:r w:rsidRPr="0058047D">
        <w:rPr>
          <w:rFonts w:eastAsia="Calibri" w:cs="Tahoma"/>
          <w:szCs w:val="18"/>
        </w:rPr>
        <w:t xml:space="preserve">hardware fisico che supporta tale software appena prima del rinnovo di Software Assurance utilizzando lo strumento MAP di Microsoft o un software equivalente). </w:t>
      </w:r>
    </w:p>
    <w:p w14:paraId="5607F647" w14:textId="77777777" w:rsidR="00A81E83" w:rsidRPr="0058047D" w:rsidRDefault="00A81E83" w:rsidP="00727BF7">
      <w:pPr>
        <w:numPr>
          <w:ilvl w:val="0"/>
          <w:numId w:val="147"/>
        </w:numPr>
        <w:tabs>
          <w:tab w:val="left" w:pos="1440"/>
        </w:tabs>
        <w:ind w:left="1440"/>
        <w:contextualSpacing/>
      </w:pPr>
      <w:r w:rsidRPr="0058047D">
        <w:rPr>
          <w:rFonts w:eastAsia="Calibri" w:cs="Tahoma"/>
          <w:szCs w:val="18"/>
        </w:rPr>
        <w:t>un numero pari al numero di licenze qualificanti cedute al server oltre al numero effettivo di processori fisici sul server moltiplicato per otto.</w:t>
      </w:r>
    </w:p>
    <w:p w14:paraId="0A7FDF15" w14:textId="77777777" w:rsidR="00031ABF" w:rsidRPr="0058047D" w:rsidRDefault="00031ABF" w:rsidP="00031ABF">
      <w:pPr>
        <w:ind w:left="720"/>
        <w:contextualSpacing/>
      </w:pPr>
    </w:p>
    <w:p w14:paraId="669DE193" w14:textId="77777777" w:rsidR="00031ABF" w:rsidRPr="0058047D" w:rsidRDefault="00A81E83" w:rsidP="00031ABF">
      <w:pPr>
        <w:spacing w:after="60"/>
        <w:ind w:left="720"/>
      </w:pPr>
      <w:r w:rsidRPr="0058047D">
        <w:rPr>
          <w:rFonts w:eastAsia="Calibri" w:cs="Tahoma"/>
          <w:b/>
          <w:szCs w:val="18"/>
        </w:rPr>
        <w:t>Primo Periodo di Rinnovo (in data 1 aprile 2015 o successiva)</w:t>
      </w:r>
    </w:p>
    <w:p w14:paraId="51E3A00A" w14:textId="77777777" w:rsidR="00A81E83" w:rsidRPr="0058047D" w:rsidRDefault="00A81E83" w:rsidP="00031ABF">
      <w:pPr>
        <w:ind w:left="720"/>
        <w:contextualSpacing/>
      </w:pPr>
      <w:r w:rsidRPr="0058047D">
        <w:rPr>
          <w:rFonts w:eastAsia="Calibri" w:cs="Tahoma"/>
          <w:color w:val="000000"/>
          <w:szCs w:val="18"/>
        </w:rPr>
        <w:t>Le società che rinnovano per la prima volta la copertura in data 1 aprile 2015</w:t>
      </w:r>
      <w:r w:rsidRPr="0058047D">
        <w:rPr>
          <w:rFonts w:eastAsia="Calibri" w:cs="Tahoma"/>
          <w:szCs w:val="18"/>
        </w:rPr>
        <w:t xml:space="preserve"> potranno, per ogni server ottenuto in licenza in conformità ai diritti di utilizzo del prodotto previsti dalla licenza per processore SQL Server 2008 R2, acquistare la copertura Software Assurance come di seguito indicato:</w:t>
      </w:r>
    </w:p>
    <w:p w14:paraId="247F7F18" w14:textId="77777777" w:rsidR="00031ABF" w:rsidRPr="0058047D" w:rsidRDefault="00031ABF" w:rsidP="00031ABF">
      <w:pPr>
        <w:ind w:left="720"/>
        <w:contextualSpacing/>
      </w:pPr>
    </w:p>
    <w:p w14:paraId="4A3B7EEE" w14:textId="77777777" w:rsidR="00A81E83" w:rsidRPr="0058047D" w:rsidRDefault="00A81E83" w:rsidP="00346F4B">
      <w:pPr>
        <w:numPr>
          <w:ilvl w:val="2"/>
          <w:numId w:val="50"/>
        </w:numPr>
        <w:spacing w:after="60"/>
        <w:ind w:left="1440"/>
      </w:pPr>
      <w:r w:rsidRPr="0058047D">
        <w:rPr>
          <w:rFonts w:eastAsia="Calibri" w:cs="Tahoma"/>
          <w:szCs w:val="18"/>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 del 1 aprile 2015)” e </w:t>
      </w:r>
    </w:p>
    <w:p w14:paraId="678147AD" w14:textId="77777777" w:rsidR="00A81E83" w:rsidRPr="0058047D" w:rsidRDefault="00A81E83" w:rsidP="00346F4B">
      <w:pPr>
        <w:numPr>
          <w:ilvl w:val="2"/>
          <w:numId w:val="50"/>
        </w:numPr>
        <w:spacing w:after="60"/>
        <w:ind w:left="1440"/>
      </w:pPr>
      <w:r w:rsidRPr="0058047D">
        <w:rPr>
          <w:rFonts w:eastAsia="Calibri" w:cs="Tahoma"/>
          <w:szCs w:val="18"/>
        </w:rPr>
        <w:t>per le licenze acquistate dopo il 1 aprile 2015 le società potranno rinnovare la copertura Software Assurance per otto licenze core per SQL Server Enterprise senza dover acquistare le licenze core sottostanti per ogni licenza per processore per SQL Server 2008 R2 Datacenter. Per l</w:t>
      </w:r>
      <w:r w:rsidR="001C4212">
        <w:rPr>
          <w:rFonts w:eastAsia="Calibri" w:cs="Tahoma"/>
          <w:szCs w:val="18"/>
        </w:rPr>
        <w:t>’</w:t>
      </w:r>
      <w:r w:rsidRPr="0058047D">
        <w:rPr>
          <w:rFonts w:eastAsia="Calibri" w:cs="Tahoma"/>
          <w:szCs w:val="18"/>
        </w:rPr>
        <w:t>utilizzo continuativo di SQL Server 2012 su processori che richiedono più di otto licenze core per processore la società deve acquistare le licenze core aggiuntive.</w:t>
      </w:r>
    </w:p>
    <w:p w14:paraId="65A7A22B" w14:textId="77777777" w:rsidR="00031ABF" w:rsidRPr="0058047D" w:rsidRDefault="00031ABF" w:rsidP="00031ABF">
      <w:pPr>
        <w:ind w:left="1440"/>
        <w:contextualSpacing/>
      </w:pPr>
    </w:p>
    <w:p w14:paraId="6B054228" w14:textId="77777777" w:rsidR="00A81E83" w:rsidRPr="0058047D" w:rsidRDefault="00A81E83" w:rsidP="00031ABF">
      <w:pPr>
        <w:ind w:left="720"/>
        <w:contextualSpacing/>
      </w:pPr>
      <w:r w:rsidRPr="0058047D">
        <w:rPr>
          <w:rFonts w:eastAsia="Calibri" w:cs="Tahoma"/>
          <w:szCs w:val="18"/>
        </w:rPr>
        <w:t>Le licenze per processore delle società non sono più valide se si acquista la copertura Software Assurance per licenze core ai sensi della presente offerta. L</w:t>
      </w:r>
      <w:r w:rsidR="001C4212">
        <w:rPr>
          <w:rFonts w:eastAsia="Calibri" w:cs="Tahoma"/>
          <w:szCs w:val="18"/>
        </w:rPr>
        <w:t>’</w:t>
      </w:r>
      <w:r w:rsidRPr="0058047D">
        <w:rPr>
          <w:rFonts w:eastAsia="Calibri" w:cs="Tahoma"/>
          <w:szCs w:val="18"/>
        </w:rPr>
        <w:t>opzione di acquistare Software Assurance per le licenze core per SQL Server non è applicabile al rinnovo della copertura ai sensi dei programmi di sottoscrizione.</w:t>
      </w:r>
    </w:p>
    <w:p w14:paraId="43C7E002" w14:textId="77777777" w:rsidR="00031ABF" w:rsidRDefault="00031ABF" w:rsidP="00031ABF">
      <w:pPr>
        <w:tabs>
          <w:tab w:val="left" w:pos="720"/>
        </w:tabs>
        <w:ind w:left="720"/>
        <w:contextualSpacing/>
      </w:pPr>
    </w:p>
    <w:p w14:paraId="65E980B8" w14:textId="77777777" w:rsidR="00031ABF" w:rsidRPr="0058047D" w:rsidRDefault="00A81E83" w:rsidP="00031ABF">
      <w:pPr>
        <w:tabs>
          <w:tab w:val="left" w:pos="720"/>
        </w:tabs>
        <w:spacing w:after="60"/>
        <w:ind w:left="720"/>
      </w:pPr>
      <w:r w:rsidRPr="0058047D">
        <w:rPr>
          <w:rFonts w:eastAsia="Calibri" w:cs="Tahoma"/>
          <w:b/>
          <w:szCs w:val="18"/>
        </w:rPr>
        <w:t>Per le Società con copertura Software Assurance in scadenza prima del 1 aprile 2015 che scelgono di non effettuare il rinnovo</w:t>
      </w:r>
    </w:p>
    <w:p w14:paraId="49FC046F" w14:textId="77777777" w:rsidR="00A81E83" w:rsidRPr="0058047D" w:rsidRDefault="00A81E83" w:rsidP="00031ABF">
      <w:pPr>
        <w:tabs>
          <w:tab w:val="left" w:pos="720"/>
        </w:tabs>
        <w:ind w:left="720"/>
        <w:contextualSpacing/>
      </w:pPr>
      <w:r w:rsidRPr="0058047D">
        <w:rPr>
          <w:rFonts w:eastAsia="Calibri" w:cs="Tahoma"/>
          <w:szCs w:val="18"/>
        </w:rPr>
        <w:t xml:space="preserve">Le società titolari di contratti Enterprise Subscription </w:t>
      </w:r>
      <w:r w:rsidRPr="0058047D">
        <w:rPr>
          <w:rFonts w:cs="Tahoma"/>
          <w:bCs/>
          <w:color w:val="000000"/>
          <w:szCs w:val="18"/>
        </w:rPr>
        <w:t xml:space="preserve">e Open Value Subscription </w:t>
      </w:r>
      <w:r w:rsidRPr="0058047D">
        <w:rPr>
          <w:rFonts w:eastAsia="Calibri" w:cs="Tahoma"/>
          <w:szCs w:val="18"/>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14:paraId="6442FE3F" w14:textId="77777777" w:rsidR="00CA0E2D" w:rsidRPr="0058047D" w:rsidRDefault="00CA0E2D" w:rsidP="00031ABF">
      <w:pPr>
        <w:tabs>
          <w:tab w:val="left" w:pos="720"/>
        </w:tabs>
        <w:ind w:left="720"/>
        <w:contextualSpacing/>
      </w:pPr>
    </w:p>
    <w:p w14:paraId="7920B49D" w14:textId="77777777" w:rsidR="00A81E83" w:rsidRPr="0058047D" w:rsidRDefault="00A81E83" w:rsidP="00346F4B">
      <w:pPr>
        <w:numPr>
          <w:ilvl w:val="0"/>
          <w:numId w:val="51"/>
        </w:numPr>
        <w:tabs>
          <w:tab w:val="left" w:pos="1440"/>
        </w:tabs>
        <w:spacing w:after="60"/>
      </w:pPr>
      <w:r w:rsidRPr="0058047D">
        <w:rPr>
          <w:rFonts w:eastAsia="Calibri" w:cs="Tahoma"/>
          <w:b/>
          <w:szCs w:val="18"/>
        </w:rPr>
        <w:t>SQL Server 2008 R2 Datacenter:</w:t>
      </w:r>
      <w:r w:rsidRPr="0058047D">
        <w:rPr>
          <w:rFonts w:eastAsia="Calibri" w:cs="Tahoma"/>
          <w:szCs w:val="18"/>
        </w:rPr>
        <w:t xml:space="preserve"> l</w:t>
      </w:r>
      <w:r w:rsidR="001C4212">
        <w:rPr>
          <w:rFonts w:eastAsia="Calibri" w:cs="Tahoma"/>
          <w:szCs w:val="18"/>
        </w:rPr>
        <w:t>’</w:t>
      </w:r>
      <w:r w:rsidRPr="0058047D">
        <w:rPr>
          <w:rFonts w:eastAsia="Calibri" w:cs="Tahoma"/>
          <w:szCs w:val="18"/>
        </w:rPr>
        <w:t xml:space="preserve">utilizzo continuativo di tale versione del software è soggetto ai diritti di utilizzo del prodotto previsti dalla licenza per processore SQL Server 2008 R2 Datacenter. </w:t>
      </w:r>
    </w:p>
    <w:p w14:paraId="76BDE34B" w14:textId="77777777" w:rsidR="00A81E83" w:rsidRPr="0058047D" w:rsidRDefault="00A81E83" w:rsidP="00346F4B">
      <w:pPr>
        <w:numPr>
          <w:ilvl w:val="0"/>
          <w:numId w:val="51"/>
        </w:numPr>
        <w:tabs>
          <w:tab w:val="left" w:pos="1440"/>
          <w:tab w:val="left" w:pos="2970"/>
        </w:tabs>
        <w:spacing w:after="60"/>
      </w:pPr>
      <w:r w:rsidRPr="0058047D">
        <w:rPr>
          <w:rFonts w:eastAsia="Calibri" w:cs="Tahoma"/>
          <w:b/>
          <w:szCs w:val="18"/>
        </w:rPr>
        <w:t xml:space="preserve">SQL Server 2012 Enterprise Core: </w:t>
      </w:r>
      <w:r w:rsidRPr="0058047D">
        <w:rPr>
          <w:rFonts w:eastAsia="Calibri" w:cs="Tahoma"/>
          <w:szCs w:val="18"/>
        </w:rPr>
        <w:t>l</w:t>
      </w:r>
      <w:r w:rsidR="001C4212">
        <w:rPr>
          <w:rFonts w:eastAsia="Calibri" w:cs="Tahoma"/>
          <w:szCs w:val="18"/>
        </w:rPr>
        <w:t>’</w:t>
      </w:r>
      <w:r w:rsidRPr="0058047D">
        <w:rPr>
          <w:rFonts w:eastAsia="Calibri" w:cs="Tahoma"/>
          <w:szCs w:val="18"/>
        </w:rPr>
        <w:t xml:space="preserve">utilizzo di tale versione del software è soggetto ai diritti di utilizzo del prodotto previsti dalla licenza per processore SQL Server 2008 R2 Enterprise, tuttavia: </w:t>
      </w:r>
    </w:p>
    <w:p w14:paraId="6DC5A29D" w14:textId="77777777" w:rsidR="00A81E83" w:rsidRPr="0058047D" w:rsidRDefault="00A81E83" w:rsidP="00346F4B">
      <w:pPr>
        <w:numPr>
          <w:ilvl w:val="1"/>
          <w:numId w:val="51"/>
        </w:numPr>
        <w:tabs>
          <w:tab w:val="left" w:pos="1800"/>
        </w:tabs>
        <w:spacing w:after="60"/>
        <w:ind w:left="1800"/>
      </w:pPr>
      <w:r w:rsidRPr="0058047D">
        <w:rPr>
          <w:rFonts w:eastAsia="Calibri" w:cs="Tahoma"/>
          <w:szCs w:val="18"/>
        </w:rPr>
        <w:t>le società non disporranno più di diritti sull</w:t>
      </w:r>
      <w:r w:rsidR="001C4212">
        <w:rPr>
          <w:rFonts w:eastAsia="Calibri" w:cs="Tahoma"/>
          <w:szCs w:val="18"/>
        </w:rPr>
        <w:t>’</w:t>
      </w:r>
      <w:r w:rsidRPr="0058047D">
        <w:rPr>
          <w:rFonts w:eastAsia="Calibri" w:cs="Tahoma"/>
          <w:szCs w:val="18"/>
        </w:rPr>
        <w:t>utilizzo per la Virtualizzazione Illimitata, Mobilità delle Licenze all</w:t>
      </w:r>
      <w:r w:rsidR="001C4212">
        <w:rPr>
          <w:rFonts w:eastAsia="Calibri" w:cs="Tahoma"/>
          <w:szCs w:val="18"/>
        </w:rPr>
        <w:t>’</w:t>
      </w:r>
      <w:r w:rsidRPr="0058047D">
        <w:rPr>
          <w:rFonts w:eastAsia="Calibri" w:cs="Tahoma"/>
          <w:szCs w:val="18"/>
        </w:rPr>
        <w:t xml:space="preserve">interno di Server Farm o Mobilità delle Licenze tramite Software Assurance e </w:t>
      </w:r>
    </w:p>
    <w:p w14:paraId="51FC504E" w14:textId="77777777" w:rsidR="00A81E83" w:rsidRPr="0058047D" w:rsidRDefault="00A81E83" w:rsidP="00346F4B">
      <w:pPr>
        <w:numPr>
          <w:ilvl w:val="1"/>
          <w:numId w:val="51"/>
        </w:numPr>
        <w:tabs>
          <w:tab w:val="left" w:pos="1800"/>
        </w:tabs>
        <w:spacing w:after="60"/>
        <w:ind w:left="1800"/>
      </w:pPr>
      <w:r w:rsidRPr="0058047D">
        <w:rPr>
          <w:rFonts w:eastAsia="Calibri" w:cs="Tahoma"/>
          <w:szCs w:val="18"/>
        </w:rPr>
        <w:t>l</w:t>
      </w:r>
      <w:r w:rsidR="001C4212">
        <w:rPr>
          <w:rFonts w:eastAsia="Calibri" w:cs="Tahoma"/>
          <w:szCs w:val="18"/>
        </w:rPr>
        <w:t>’</w:t>
      </w:r>
      <w:r w:rsidRPr="0058047D">
        <w:rPr>
          <w:rFonts w:eastAsia="Calibri" w:cs="Tahoma"/>
          <w:szCs w:val="18"/>
        </w:rPr>
        <w:t>eventuale riassegnazione di licenze è soggetta ai limiti indicati nei paragrafi (i) e (ii) che seguono relativi alla loro “equivalenza di licenze core”. L</w:t>
      </w:r>
      <w:r w:rsidR="001C4212">
        <w:rPr>
          <w:rFonts w:eastAsia="Calibri" w:cs="Tahoma"/>
          <w:szCs w:val="18"/>
        </w:rPr>
        <w:t>’</w:t>
      </w:r>
      <w:r w:rsidRPr="0058047D">
        <w:rPr>
          <w:rFonts w:eastAsia="Calibri" w:cs="Tahoma"/>
          <w:szCs w:val="18"/>
        </w:rPr>
        <w:t xml:space="preserve">equivalenza di licenze core è determinata come di seguito riportato. </w:t>
      </w:r>
    </w:p>
    <w:p w14:paraId="57A19022" w14:textId="77777777" w:rsidR="00A81E83" w:rsidRPr="0058047D" w:rsidRDefault="00A81E83" w:rsidP="00346F4B">
      <w:pPr>
        <w:numPr>
          <w:ilvl w:val="2"/>
          <w:numId w:val="51"/>
        </w:numPr>
        <w:tabs>
          <w:tab w:val="left" w:pos="2160"/>
        </w:tabs>
        <w:spacing w:after="60"/>
        <w:ind w:left="2160" w:hanging="360"/>
      </w:pPr>
      <w:r w:rsidRPr="0058047D">
        <w:rPr>
          <w:rFonts w:eastAsia="Calibri" w:cs="Tahoma"/>
          <w:szCs w:val="18"/>
        </w:rPr>
        <w:t>Per un numero di licenze pari al numero inferiore tra (x) il numero totale di licenze per processore cedute a un server con licenza appena prima della scadenza di Software Assurance o (y) il numero totale di processori fisici su tale server, l</w:t>
      </w:r>
      <w:r w:rsidR="001C4212">
        <w:rPr>
          <w:rFonts w:eastAsia="Calibri" w:cs="Tahoma"/>
          <w:szCs w:val="18"/>
        </w:rPr>
        <w:t>’</w:t>
      </w:r>
      <w:r w:rsidRPr="0058047D">
        <w:rPr>
          <w:rFonts w:eastAsia="Calibri" w:cs="Tahoma"/>
          <w:szCs w:val="18"/>
        </w:rPr>
        <w:t xml:space="preserve">equivalenza di licenze core è il numero maggiore tra: </w:t>
      </w:r>
    </w:p>
    <w:p w14:paraId="6C235359" w14:textId="77777777" w:rsidR="00A81E83" w:rsidRPr="0058047D" w:rsidRDefault="00A81E83" w:rsidP="00346F4B">
      <w:pPr>
        <w:numPr>
          <w:ilvl w:val="4"/>
          <w:numId w:val="50"/>
        </w:numPr>
        <w:tabs>
          <w:tab w:val="left" w:pos="2520"/>
        </w:tabs>
        <w:spacing w:after="60"/>
        <w:ind w:left="2520"/>
      </w:pPr>
      <w:r w:rsidRPr="0058047D">
        <w:rPr>
          <w:rFonts w:eastAsia="Calibri" w:cs="Tahoma"/>
          <w:szCs w:val="18"/>
        </w:rPr>
        <w:t xml:space="preserve">otto core per licenza per processore O </w:t>
      </w:r>
    </w:p>
    <w:p w14:paraId="224165DC" w14:textId="77777777" w:rsidR="00A81E83" w:rsidRPr="0058047D" w:rsidRDefault="00A81E83" w:rsidP="00346F4B">
      <w:pPr>
        <w:numPr>
          <w:ilvl w:val="4"/>
          <w:numId w:val="50"/>
        </w:numPr>
        <w:tabs>
          <w:tab w:val="left" w:pos="2520"/>
        </w:tabs>
        <w:spacing w:after="60"/>
        <w:ind w:left="2520"/>
      </w:pPr>
      <w:r w:rsidRPr="0058047D">
        <w:rPr>
          <w:rFonts w:eastAsia="Calibri" w:cs="Tahoma"/>
          <w:szCs w:val="18"/>
        </w:rPr>
        <w:t>un numero di core per licenza per processore basato sul numero effettivo di core per processore fisico moltiplicato per il fattore core appropriato. (Nei casi in cui il numero effettivo di core per processore fisico superi otto, le società dovranno conservare un record della configurazione del software SQL Server in esecuzione sul server (istanze con licenza in esecuzione negli ambienti del sistema operativo sul server con licenza) e l</w:t>
      </w:r>
      <w:r w:rsidR="001C4212">
        <w:rPr>
          <w:rFonts w:eastAsia="Calibri" w:cs="Tahoma"/>
          <w:szCs w:val="18"/>
        </w:rPr>
        <w:t>’</w:t>
      </w:r>
      <w:r w:rsidRPr="0058047D">
        <w:rPr>
          <w:rFonts w:eastAsia="Calibri" w:cs="Tahoma"/>
          <w:szCs w:val="18"/>
        </w:rPr>
        <w:t xml:space="preserve">hardware fisico che supporta tale software appena prima della scadenza di Software Assurance utilizzando lo strumento MAP di Microsoft o un software equivalente). </w:t>
      </w:r>
    </w:p>
    <w:p w14:paraId="41ED6B62" w14:textId="77777777" w:rsidR="00A81E83" w:rsidRPr="0058047D" w:rsidRDefault="00A81E83" w:rsidP="00346F4B">
      <w:pPr>
        <w:numPr>
          <w:ilvl w:val="2"/>
          <w:numId w:val="51"/>
        </w:numPr>
        <w:tabs>
          <w:tab w:val="left" w:pos="2160"/>
        </w:tabs>
        <w:spacing w:after="60"/>
        <w:ind w:left="2160" w:hanging="360"/>
      </w:pPr>
      <w:r w:rsidRPr="0058047D">
        <w:rPr>
          <w:rFonts w:eastAsia="Calibri" w:cs="Tahoma"/>
          <w:szCs w:val="18"/>
        </w:rPr>
        <w:t>Per qualsiasi licenza per processore con la copertura Software Assurance in scadenza ceduta allo stesso server con licenza che ecceda il numero effettivo di processori fisici sul</w:t>
      </w:r>
      <w:r w:rsidR="00727BF7">
        <w:rPr>
          <w:rFonts w:eastAsia="Calibri" w:cs="Tahoma"/>
          <w:szCs w:val="18"/>
        </w:rPr>
        <w:t> </w:t>
      </w:r>
      <w:r w:rsidRPr="0058047D">
        <w:rPr>
          <w:rFonts w:eastAsia="Calibri" w:cs="Tahoma"/>
          <w:szCs w:val="18"/>
        </w:rPr>
        <w:t>server, l</w:t>
      </w:r>
      <w:r w:rsidR="001C4212">
        <w:rPr>
          <w:rFonts w:eastAsia="Calibri" w:cs="Tahoma"/>
          <w:szCs w:val="18"/>
        </w:rPr>
        <w:t>’</w:t>
      </w:r>
      <w:r w:rsidRPr="0058047D">
        <w:rPr>
          <w:rFonts w:eastAsia="Calibri" w:cs="Tahoma"/>
          <w:szCs w:val="18"/>
        </w:rPr>
        <w:t>equivalenza core è di otto core per licenza per processore.</w:t>
      </w:r>
    </w:p>
    <w:p w14:paraId="4C3D6CDC" w14:textId="77777777" w:rsidR="00A81E83" w:rsidRPr="0058047D" w:rsidRDefault="00A81E83" w:rsidP="00346F4B">
      <w:pPr>
        <w:numPr>
          <w:ilvl w:val="1"/>
          <w:numId w:val="51"/>
        </w:numPr>
        <w:tabs>
          <w:tab w:val="left" w:pos="1800"/>
          <w:tab w:val="left" w:pos="2970"/>
        </w:tabs>
        <w:spacing w:after="60"/>
        <w:ind w:left="1800"/>
      </w:pPr>
      <w:r w:rsidRPr="0058047D">
        <w:rPr>
          <w:rFonts w:eastAsia="Calibri" w:cs="Tahoma"/>
          <w:szCs w:val="18"/>
        </w:rPr>
        <w:t>Le società potranno riassegnare le licenze a un altro server. Tuttavia, qualora la società riassegni una licenza a un altro server, dovrà attenersi ai diritti sull</w:t>
      </w:r>
      <w:r w:rsidR="001C4212">
        <w:rPr>
          <w:rFonts w:eastAsia="Calibri" w:cs="Tahoma"/>
          <w:szCs w:val="18"/>
        </w:rPr>
        <w:t>’</w:t>
      </w:r>
      <w:r w:rsidRPr="0058047D">
        <w:rPr>
          <w:rFonts w:eastAsia="Calibri" w:cs="Tahoma"/>
          <w:szCs w:val="18"/>
        </w:rPr>
        <w:t>utilizzo di SQL Server 2012. Quando cede licenze core a server ai sensi dei diritti sull</w:t>
      </w:r>
      <w:r w:rsidR="001C4212">
        <w:rPr>
          <w:rFonts w:eastAsia="Calibri" w:cs="Tahoma"/>
          <w:szCs w:val="18"/>
        </w:rPr>
        <w:t>’</w:t>
      </w:r>
      <w:r w:rsidRPr="0058047D">
        <w:rPr>
          <w:rFonts w:eastAsia="Calibri" w:cs="Tahoma"/>
          <w:szCs w:val="18"/>
        </w:rPr>
        <w:t>utilizzo per SQL 2012, la società potrà combinare l</w:t>
      </w:r>
      <w:r w:rsidR="001C4212">
        <w:rPr>
          <w:rFonts w:eastAsia="Calibri" w:cs="Tahoma"/>
          <w:szCs w:val="18"/>
        </w:rPr>
        <w:t>’</w:t>
      </w:r>
      <w:r w:rsidRPr="0058047D">
        <w:rPr>
          <w:rFonts w:eastAsia="Calibri" w:cs="Tahoma"/>
          <w:szCs w:val="18"/>
        </w:rPr>
        <w:t>equivalenza core delle licenze esistenti con le licenze core per SQL Server 2012 aggiuntive.</w:t>
      </w:r>
      <w:r w:rsidR="00E34ED3" w:rsidRPr="0058047D">
        <w:rPr>
          <w:rFonts w:eastAsia="Calibri" w:cs="Tahoma"/>
          <w:szCs w:val="18"/>
        </w:rPr>
        <w:t xml:space="preserve"> </w:t>
      </w:r>
    </w:p>
    <w:p w14:paraId="6B862117" w14:textId="77777777" w:rsidR="00A81E83" w:rsidRPr="0058047D" w:rsidRDefault="00A81E83" w:rsidP="00346F4B">
      <w:pPr>
        <w:numPr>
          <w:ilvl w:val="1"/>
          <w:numId w:val="51"/>
        </w:numPr>
        <w:tabs>
          <w:tab w:val="left" w:pos="1800"/>
        </w:tabs>
        <w:spacing w:after="60"/>
        <w:ind w:left="1800"/>
      </w:pPr>
      <w:r w:rsidRPr="0058047D">
        <w:rPr>
          <w:rFonts w:eastAsia="Calibri" w:cs="Tahoma"/>
          <w:szCs w:val="18"/>
        </w:rPr>
        <w:t>L</w:t>
      </w:r>
      <w:r w:rsidR="001C4212">
        <w:rPr>
          <w:rFonts w:eastAsia="Calibri" w:cs="Tahoma"/>
          <w:szCs w:val="18"/>
        </w:rPr>
        <w:t>’</w:t>
      </w:r>
      <w:r w:rsidRPr="0058047D">
        <w:rPr>
          <w:rFonts w:eastAsia="Calibri" w:cs="Tahoma"/>
          <w:szCs w:val="18"/>
        </w:rPr>
        <w:t>equivalenza di licenze core stimata delle società non implica che esse possano cedere una licenza singola per processore a core attraverso due o più processori.</w:t>
      </w:r>
    </w:p>
    <w:p w14:paraId="13B06226" w14:textId="77777777" w:rsidR="00CA0E2D" w:rsidRPr="0058047D" w:rsidRDefault="00CA0E2D" w:rsidP="00CA0E2D">
      <w:pPr>
        <w:tabs>
          <w:tab w:val="left" w:pos="720"/>
        </w:tabs>
        <w:ind w:left="720"/>
        <w:contextualSpacing/>
      </w:pPr>
    </w:p>
    <w:p w14:paraId="70B209C5" w14:textId="77777777" w:rsidR="00CA0E2D" w:rsidRPr="0058047D" w:rsidRDefault="00A81E83" w:rsidP="00CA0E2D">
      <w:pPr>
        <w:tabs>
          <w:tab w:val="left" w:pos="720"/>
        </w:tabs>
        <w:spacing w:after="60"/>
        <w:ind w:left="720"/>
      </w:pPr>
      <w:r w:rsidRPr="0058047D">
        <w:rPr>
          <w:rFonts w:eastAsia="Calibri" w:cs="Tahoma"/>
          <w:b/>
          <w:szCs w:val="18"/>
        </w:rPr>
        <w:t>Per le Società con copertura Software Assurance in scadenza in data 1 aprile 2015 o successiva che scelgono di non effettuare il rinnovo</w:t>
      </w:r>
    </w:p>
    <w:p w14:paraId="792DACB8" w14:textId="77777777" w:rsidR="00A81E83" w:rsidRPr="0058047D" w:rsidRDefault="00A81E83" w:rsidP="00CA0E2D">
      <w:pPr>
        <w:tabs>
          <w:tab w:val="left" w:pos="720"/>
        </w:tabs>
        <w:ind w:left="720"/>
        <w:contextualSpacing/>
      </w:pPr>
      <w:r w:rsidRPr="0058047D">
        <w:rPr>
          <w:rFonts w:eastAsia="Calibri" w:cs="Tahoma"/>
          <w:color w:val="000000"/>
          <w:szCs w:val="18"/>
        </w:rPr>
        <w:t xml:space="preserve">Alle società titolari di contratti Enterprise Subscription </w:t>
      </w:r>
      <w:r w:rsidRPr="0058047D">
        <w:rPr>
          <w:rFonts w:cs="Tahoma"/>
          <w:bCs/>
          <w:color w:val="000000"/>
          <w:szCs w:val="18"/>
        </w:rPr>
        <w:t xml:space="preserve">e Open Value Subscription </w:t>
      </w:r>
      <w:r w:rsidRPr="0058047D">
        <w:rPr>
          <w:rFonts w:eastAsia="Calibri" w:cs="Tahoma"/>
          <w:color w:val="000000"/>
          <w:szCs w:val="18"/>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14:paraId="68480D3F" w14:textId="77777777" w:rsidR="00CA0E2D" w:rsidRPr="0058047D" w:rsidRDefault="00CA0E2D" w:rsidP="00CA0E2D">
      <w:pPr>
        <w:tabs>
          <w:tab w:val="left" w:pos="720"/>
        </w:tabs>
        <w:ind w:left="720"/>
        <w:contextualSpacing/>
      </w:pPr>
    </w:p>
    <w:p w14:paraId="2F311436" w14:textId="77777777" w:rsidR="00A81E83" w:rsidRPr="0058047D" w:rsidRDefault="00A81E83" w:rsidP="00346F4B">
      <w:pPr>
        <w:numPr>
          <w:ilvl w:val="2"/>
          <w:numId w:val="50"/>
        </w:numPr>
        <w:tabs>
          <w:tab w:val="left" w:pos="1440"/>
        </w:tabs>
        <w:spacing w:after="60"/>
        <w:ind w:left="1440"/>
      </w:pPr>
      <w:r w:rsidRPr="0058047D">
        <w:rPr>
          <w:rFonts w:eastAsia="Calibri" w:cs="Tahoma"/>
          <w:szCs w:val="18"/>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 </w:t>
      </w:r>
    </w:p>
    <w:p w14:paraId="08E12BCB" w14:textId="77777777" w:rsidR="00A81E83" w:rsidRPr="0058047D" w:rsidRDefault="00A81E83" w:rsidP="00346F4B">
      <w:pPr>
        <w:numPr>
          <w:ilvl w:val="2"/>
          <w:numId w:val="50"/>
        </w:numPr>
        <w:tabs>
          <w:tab w:val="left" w:pos="1440"/>
        </w:tabs>
        <w:spacing w:after="60"/>
        <w:ind w:left="1440"/>
      </w:pPr>
      <w:r w:rsidRPr="0058047D">
        <w:rPr>
          <w:rFonts w:eastAsia="Calibri" w:cs="Tahoma"/>
          <w:szCs w:val="18"/>
        </w:rPr>
        <w:t>per le licenze acquistate dopo il 1 aprile 2015 la licenza per processore delle società avrà un</w:t>
      </w:r>
      <w:r w:rsidR="001C4212">
        <w:rPr>
          <w:rFonts w:eastAsia="Calibri" w:cs="Tahoma"/>
          <w:szCs w:val="18"/>
        </w:rPr>
        <w:t>’</w:t>
      </w:r>
      <w:r w:rsidRPr="0058047D">
        <w:rPr>
          <w:rFonts w:eastAsia="Calibri" w:cs="Tahoma"/>
          <w:szCs w:val="18"/>
        </w:rPr>
        <w:t>equivalenza core di otto licenze core Enterprise per SQL Server 2012. Per l</w:t>
      </w:r>
      <w:r w:rsidR="001C4212">
        <w:rPr>
          <w:rFonts w:eastAsia="Calibri" w:cs="Tahoma"/>
          <w:szCs w:val="18"/>
        </w:rPr>
        <w:t>’</w:t>
      </w:r>
      <w:r w:rsidRPr="0058047D">
        <w:rPr>
          <w:rFonts w:eastAsia="Calibri" w:cs="Tahoma"/>
          <w:szCs w:val="18"/>
        </w:rPr>
        <w:t>utilizzo continuativo di SQL Server 2012 su processori che richiedono più di otto licenze core per processore la società deve acquistare le licenze core aggiuntive.</w:t>
      </w:r>
    </w:p>
    <w:p w14:paraId="4159CBDC" w14:textId="77777777" w:rsidR="00CA0E2D" w:rsidRPr="0058047D" w:rsidRDefault="00A81E83" w:rsidP="00CA0E2D">
      <w:pPr>
        <w:tabs>
          <w:tab w:val="left" w:pos="720"/>
        </w:tabs>
        <w:spacing w:after="60"/>
        <w:ind w:left="720"/>
      </w:pPr>
      <w:r w:rsidRPr="0058047D">
        <w:rPr>
          <w:rFonts w:eastAsia="Calibri" w:cs="Tahoma"/>
          <w:b/>
          <w:szCs w:val="18"/>
        </w:rPr>
        <w:t>Per le società con sede nella Repubblica popolare cinese, dove acquistano licenze per processore e Software Assurance per SQL Server 2008 R2</w:t>
      </w:r>
    </w:p>
    <w:p w14:paraId="2CEE8AD8" w14:textId="77777777" w:rsidR="00A81E83" w:rsidRPr="0058047D" w:rsidRDefault="00A81E83" w:rsidP="00CA0E2D">
      <w:pPr>
        <w:tabs>
          <w:tab w:val="left" w:pos="720"/>
        </w:tabs>
        <w:ind w:left="720"/>
        <w:contextualSpacing/>
      </w:pPr>
      <w:r w:rsidRPr="0058047D">
        <w:t>Non si applicano i riferimenti al 1 aprile 2012 e al 1 aprile 2015 presenti in questa nota relativa alla lista dei prodotti. Le date applicabili per queste società sarebbero rispettivamente il 1 luglio 2012 e il 1 luglio 2015.</w:t>
      </w:r>
    </w:p>
    <w:p w14:paraId="565144BA" w14:textId="77777777" w:rsidR="00A81E83" w:rsidRDefault="00A81E83" w:rsidP="00A5643F"/>
    <w:p w14:paraId="06C67F9F" w14:textId="77777777" w:rsidR="00834AC5" w:rsidRDefault="00834AC5" w:rsidP="00A5643F"/>
    <w:p w14:paraId="081AA765" w14:textId="77777777" w:rsidR="00834AC5" w:rsidRDefault="00834AC5" w:rsidP="00A5643F"/>
    <w:p w14:paraId="01947CC0" w14:textId="77777777" w:rsidR="00834AC5" w:rsidRDefault="00834AC5" w:rsidP="00A5643F"/>
    <w:p w14:paraId="388287ED" w14:textId="77777777" w:rsidR="00834AC5" w:rsidRPr="0058047D" w:rsidRDefault="00834AC5" w:rsidP="00A5643F"/>
    <w:p w14:paraId="02A54F17" w14:textId="77777777" w:rsidR="00A81E83" w:rsidRPr="0058047D" w:rsidRDefault="00A81E83" w:rsidP="00A81E83">
      <w:pPr>
        <w:ind w:left="900"/>
      </w:pPr>
    </w:p>
    <w:p w14:paraId="1AD7E8F2" w14:textId="77777777" w:rsidR="00A81E83" w:rsidRPr="0058047D" w:rsidRDefault="00A560B6" w:rsidP="00A81E83">
      <w:pPr>
        <w:pStyle w:val="Heading3"/>
      </w:pPr>
      <w:bookmarkStart w:id="1410" w:name="_76_74_SQL"/>
      <w:bookmarkStart w:id="1411" w:name="_Toc336338341"/>
      <w:bookmarkStart w:id="1412" w:name="_Toc371663733"/>
      <w:bookmarkStart w:id="1413" w:name="Srv_83SQL2008R2Smallbiz"/>
      <w:bookmarkEnd w:id="1410"/>
      <w:r w:rsidRPr="0058047D">
        <w:rPr>
          <w:rFonts w:ascii="Tahoma" w:hAnsi="Tahoma" w:cs="Tahoma"/>
          <w:caps/>
          <w:color w:val="FE6700"/>
          <w:sz w:val="22"/>
          <w:vertAlign w:val="superscript"/>
        </w:rPr>
        <w:t xml:space="preserve">80 </w:t>
      </w:r>
      <w:r w:rsidRPr="0058047D">
        <w:rPr>
          <w:rFonts w:ascii="Tahoma" w:hAnsi="Tahoma" w:cs="Tahoma"/>
          <w:color w:val="FE6700"/>
          <w:sz w:val="22"/>
        </w:rPr>
        <w:t>SQL Server</w:t>
      </w:r>
      <w:r w:rsidR="00E53A46" w:rsidRPr="0058047D">
        <w:rPr>
          <w:rFonts w:ascii="Tahoma" w:hAnsi="Tahoma" w:cs="Tahoma"/>
          <w:color w:val="FE6700"/>
          <w:sz w:val="22"/>
          <w:vertAlign w:val="superscript"/>
        </w:rPr>
        <w:t>®</w:t>
      </w:r>
      <w:r w:rsidRPr="0058047D">
        <w:rPr>
          <w:rFonts w:ascii="Tahoma" w:hAnsi="Tahoma" w:cs="Tahoma"/>
          <w:color w:val="FE6700"/>
          <w:sz w:val="22"/>
        </w:rPr>
        <w:t xml:space="preserve"> 2008 R2 Small Business</w:t>
      </w:r>
      <w:bookmarkEnd w:id="1411"/>
      <w:bookmarkEnd w:id="1412"/>
    </w:p>
    <w:bookmarkEnd w:id="1413"/>
    <w:p w14:paraId="6810393F" w14:textId="77777777" w:rsidR="00A81E83" w:rsidRPr="0058047D" w:rsidRDefault="00A81E83" w:rsidP="00BD4B91"/>
    <w:p w14:paraId="5171129B" w14:textId="77777777" w:rsidR="00CA0E2D" w:rsidRPr="0058047D" w:rsidRDefault="00A81E83" w:rsidP="00CA0E2D">
      <w:pPr>
        <w:spacing w:after="60" w:line="276" w:lineRule="auto"/>
        <w:ind w:left="720"/>
      </w:pPr>
      <w:r w:rsidRPr="0058047D">
        <w:rPr>
          <w:rFonts w:eastAsia="Calibri" w:cs="Tahoma"/>
          <w:b/>
          <w:szCs w:val="18"/>
        </w:rPr>
        <w:t>Concessioni di Licenza Associate alla fine del ciclo di vita di SQL Server Small Business Edition</w:t>
      </w:r>
    </w:p>
    <w:p w14:paraId="79E3B3A6" w14:textId="77777777" w:rsidR="00A81E83" w:rsidRPr="0058047D" w:rsidRDefault="00A81E83" w:rsidP="00CA0E2D">
      <w:pPr>
        <w:spacing w:after="200"/>
        <w:ind w:left="720"/>
      </w:pPr>
      <w:r w:rsidRPr="0058047D">
        <w:rPr>
          <w:rFonts w:eastAsia="Calibri" w:cs="Tahoma"/>
          <w:szCs w:val="18"/>
        </w:rPr>
        <w:t>SQL Server 2008 R2 per Small Business sarà l</w:t>
      </w:r>
      <w:r w:rsidR="001C4212">
        <w:rPr>
          <w:rFonts w:eastAsia="Calibri" w:cs="Tahoma"/>
          <w:szCs w:val="18"/>
        </w:rPr>
        <w:t>’</w:t>
      </w:r>
      <w:r w:rsidRPr="0058047D">
        <w:rPr>
          <w:rFonts w:eastAsia="Calibri" w:cs="Tahoma"/>
          <w:szCs w:val="18"/>
        </w:rPr>
        <w:t>ultima versione di SQL Server per Small Business Edition.</w:t>
      </w:r>
      <w:r w:rsidR="00E34ED3" w:rsidRPr="0058047D">
        <w:rPr>
          <w:rFonts w:eastAsia="Calibri" w:cs="Tahoma"/>
          <w:szCs w:val="18"/>
        </w:rPr>
        <w:t xml:space="preserve"> </w:t>
      </w:r>
      <w:r w:rsidRPr="0058047D">
        <w:rPr>
          <w:rFonts w:eastAsia="Calibri" w:cs="Tahoma"/>
          <w:szCs w:val="18"/>
        </w:rPr>
        <w:t>In via eccezionale, le società con Contratti Multilicenza e con copertura Software Assurance attiva per le licenze per SQL Server 2008 R2 per Small Business in data 1 aprile 2012 potranno effettuare l</w:t>
      </w:r>
      <w:r w:rsidR="001C4212">
        <w:rPr>
          <w:rFonts w:eastAsia="Calibri" w:cs="Tahoma"/>
          <w:szCs w:val="18"/>
        </w:rPr>
        <w:t>’</w:t>
      </w:r>
      <w:r w:rsidRPr="0058047D">
        <w:rPr>
          <w:rFonts w:eastAsia="Calibri" w:cs="Tahoma"/>
          <w:szCs w:val="18"/>
        </w:rPr>
        <w:t>aggiornamento a SQL Server 2012 Standard Server e utilizzarlo (o a qualsiasi versione successiva del prodotto resa disponibile durante la copertura) al posto di SQL Server Workgroup Edition, nonché acquistare Software Assurance per SQL Server Standard alla scadenza della copertura in corso. Inoltre, le società con Contratti Multilicenza e con copertura Software Assurance attiva per le CAL per SQL Server 2008 R2 per Small Business in data 1</w:t>
      </w:r>
      <w:r w:rsidR="00FE6686">
        <w:rPr>
          <w:rFonts w:eastAsia="Calibri" w:cs="Tahoma"/>
          <w:szCs w:val="18"/>
        </w:rPr>
        <w:t> </w:t>
      </w:r>
      <w:r w:rsidRPr="0058047D">
        <w:rPr>
          <w:rFonts w:eastAsia="Calibri" w:cs="Tahoma"/>
          <w:szCs w:val="18"/>
        </w:rPr>
        <w:t>aprile 2012 potranno effettuare l</w:t>
      </w:r>
      <w:r w:rsidR="001C4212">
        <w:rPr>
          <w:rFonts w:eastAsia="Calibri" w:cs="Tahoma"/>
          <w:szCs w:val="18"/>
        </w:rPr>
        <w:t>’</w:t>
      </w:r>
      <w:r w:rsidRPr="0058047D">
        <w:rPr>
          <w:rFonts w:eastAsia="Calibri" w:cs="Tahoma"/>
          <w:szCs w:val="18"/>
        </w:rPr>
        <w:t>aggiornamento alle CAL per SQL Server 2012 (o a qualsiasi versione successiva della CAL resa disponibile durante la copertura) e utilizzarle al posto della CAL per SQL Server Small Business, nonché acquistare Software Assurance per la CAL per SQL Server alla scadenza della copertura in corso.</w:t>
      </w:r>
      <w:r w:rsidR="00E34ED3" w:rsidRPr="0058047D">
        <w:rPr>
          <w:rFonts w:eastAsia="Calibri" w:cs="Tahoma"/>
          <w:szCs w:val="18"/>
        </w:rPr>
        <w:t xml:space="preserve"> </w:t>
      </w:r>
      <w:r w:rsidRPr="0058047D">
        <w:rPr>
          <w:rFonts w:eastAsia="Calibri" w:cs="Tahoma"/>
          <w:szCs w:val="18"/>
        </w:rPr>
        <w:t>Le licenze per SQL Server Small Business delle società non sono più valide quando acquistano la copertura Software Assurance per SQL Server Standard ai sensi della presente offerta.</w:t>
      </w:r>
    </w:p>
    <w:p w14:paraId="2F6FE45D" w14:textId="77777777" w:rsidR="00CA0E2D" w:rsidRPr="0058047D" w:rsidRDefault="00A81E83" w:rsidP="00CA0E2D">
      <w:pPr>
        <w:spacing w:after="60" w:line="276" w:lineRule="auto"/>
        <w:ind w:left="720"/>
      </w:pPr>
      <w:r w:rsidRPr="0058047D">
        <w:rPr>
          <w:b/>
        </w:rPr>
        <w:t>Per le società con sede nella Repubblica popolare</w:t>
      </w:r>
      <w:r w:rsidRPr="0058047D">
        <w:t xml:space="preserve"> </w:t>
      </w:r>
      <w:r w:rsidRPr="0058047D">
        <w:rPr>
          <w:b/>
        </w:rPr>
        <w:t>cinese, dove acquistano licenze e Software Assurance per SQL Server 2008 R2</w:t>
      </w:r>
    </w:p>
    <w:p w14:paraId="72987D67" w14:textId="77777777" w:rsidR="00CA0E2D" w:rsidRPr="0058047D" w:rsidRDefault="00A81E83" w:rsidP="00CA0E2D">
      <w:pPr>
        <w:ind w:left="720"/>
      </w:pPr>
      <w:r w:rsidRPr="0058047D">
        <w:t>Non si applicano i riferimenti al 1 aprile 2012 presenti in questa nota relativa alla lista dei prodotti. La data applicabile per queste società sarebbe il 1 luglio 2012.</w:t>
      </w:r>
    </w:p>
    <w:p w14:paraId="5F0FCC68" w14:textId="77777777" w:rsidR="00CA0E2D" w:rsidRPr="0058047D" w:rsidRDefault="00CA0E2D" w:rsidP="00CA0E2D">
      <w:pPr>
        <w:ind w:left="720"/>
      </w:pPr>
    </w:p>
    <w:p w14:paraId="7C219283" w14:textId="77777777" w:rsidR="002512D3" w:rsidRPr="0058047D" w:rsidRDefault="002512D3">
      <w:bookmarkStart w:id="1414" w:name="_Toc336338342"/>
      <w:bookmarkStart w:id="1415" w:name="Srv_84SQL2008R2Webproc"/>
    </w:p>
    <w:p w14:paraId="2EFE9889" w14:textId="77777777" w:rsidR="00A81E83" w:rsidRPr="0058047D" w:rsidRDefault="00A560B6" w:rsidP="00A81E83">
      <w:pPr>
        <w:pStyle w:val="Heading3"/>
      </w:pPr>
      <w:bookmarkStart w:id="1416" w:name="_77_75_SQL"/>
      <w:bookmarkStart w:id="1417" w:name="_Toc371663734"/>
      <w:bookmarkEnd w:id="1416"/>
      <w:r w:rsidRPr="0058047D">
        <w:rPr>
          <w:rFonts w:ascii="Tahoma" w:hAnsi="Tahoma" w:cs="Tahoma"/>
          <w:caps/>
          <w:color w:val="F66400"/>
          <w:sz w:val="22"/>
          <w:vertAlign w:val="superscript"/>
        </w:rPr>
        <w:t>81</w:t>
      </w:r>
      <w:r w:rsidRPr="0058047D">
        <w:rPr>
          <w:rFonts w:ascii="Tahoma" w:hAnsi="Tahoma" w:cs="Tahoma"/>
          <w:color w:val="F66400"/>
          <w:sz w:val="22"/>
        </w:rPr>
        <w:t xml:space="preserve"> Processore per SQL Server</w:t>
      </w:r>
      <w:r w:rsidR="00E53A46" w:rsidRPr="0058047D">
        <w:rPr>
          <w:rFonts w:ascii="Tahoma" w:hAnsi="Tahoma" w:cs="Tahoma"/>
          <w:color w:val="F66400"/>
          <w:sz w:val="22"/>
          <w:vertAlign w:val="superscript"/>
        </w:rPr>
        <w:t>®</w:t>
      </w:r>
      <w:r w:rsidRPr="0058047D">
        <w:rPr>
          <w:rFonts w:ascii="Tahoma" w:hAnsi="Tahoma" w:cs="Tahoma"/>
          <w:color w:val="F66400"/>
          <w:sz w:val="22"/>
        </w:rPr>
        <w:t xml:space="preserve"> 2008 R2 Web</w:t>
      </w:r>
      <w:bookmarkEnd w:id="1414"/>
      <w:bookmarkEnd w:id="1417"/>
    </w:p>
    <w:bookmarkEnd w:id="1415"/>
    <w:p w14:paraId="782E9DCD" w14:textId="77777777" w:rsidR="00A81E83" w:rsidRPr="0058047D" w:rsidRDefault="00A81E83" w:rsidP="008558DC"/>
    <w:p w14:paraId="2F68C01A" w14:textId="77777777" w:rsidR="008558DC" w:rsidRPr="0058047D" w:rsidRDefault="00A81E83" w:rsidP="008558DC">
      <w:pPr>
        <w:spacing w:after="60"/>
        <w:ind w:left="720"/>
      </w:pPr>
      <w:r w:rsidRPr="0058047D">
        <w:rPr>
          <w:rFonts w:eastAsia="Calibri" w:cs="Tahoma"/>
          <w:b/>
          <w:szCs w:val="18"/>
        </w:rPr>
        <w:t>Concessioni di Licenza Associate alla Variazione del Modello di Licenza</w:t>
      </w:r>
    </w:p>
    <w:p w14:paraId="609E7E62" w14:textId="77777777" w:rsidR="00A81E83" w:rsidRPr="0058047D" w:rsidRDefault="00A81E83" w:rsidP="008558DC">
      <w:pPr>
        <w:ind w:left="720"/>
      </w:pPr>
      <w:r w:rsidRPr="0058047D">
        <w:rPr>
          <w:rFonts w:eastAsia="Calibri" w:cs="Tahoma"/>
          <w:szCs w:val="18"/>
        </w:rPr>
        <w:t>SQL Server 2008 R2 sarà l</w:t>
      </w:r>
      <w:r w:rsidR="001C4212">
        <w:rPr>
          <w:rFonts w:eastAsia="Calibri" w:cs="Tahoma"/>
          <w:szCs w:val="18"/>
        </w:rPr>
        <w:t>’</w:t>
      </w:r>
      <w:r w:rsidRPr="0058047D">
        <w:rPr>
          <w:rFonts w:eastAsia="Calibri" w:cs="Tahoma"/>
          <w:szCs w:val="18"/>
        </w:rPr>
        <w:t>ultima versione di SQL Server concessa in licenza ai sensi del modello di licenza per processore e l</w:t>
      </w:r>
      <w:r w:rsidR="001C4212">
        <w:rPr>
          <w:rFonts w:eastAsia="Calibri" w:cs="Tahoma"/>
          <w:szCs w:val="18"/>
        </w:rPr>
        <w:t>’</w:t>
      </w:r>
      <w:r w:rsidRPr="0058047D">
        <w:rPr>
          <w:rFonts w:eastAsia="Calibri" w:cs="Tahoma"/>
          <w:szCs w:val="18"/>
        </w:rPr>
        <w:t>ultima versione di SQL Server Web Edition ai sensi dei programmi per gli utente finali dei</w:t>
      </w:r>
      <w:r w:rsidR="00FE6686">
        <w:rPr>
          <w:rFonts w:eastAsia="Calibri" w:cs="Tahoma"/>
          <w:szCs w:val="18"/>
        </w:rPr>
        <w:t> </w:t>
      </w:r>
      <w:r w:rsidRPr="0058047D">
        <w:rPr>
          <w:rFonts w:eastAsia="Calibri" w:cs="Tahoma"/>
          <w:szCs w:val="18"/>
        </w:rPr>
        <w:t>Contratti Multilicenza.</w:t>
      </w:r>
      <w:r w:rsidR="00E34ED3" w:rsidRPr="0058047D">
        <w:rPr>
          <w:rFonts w:eastAsia="Calibri" w:cs="Tahoma"/>
          <w:szCs w:val="18"/>
        </w:rPr>
        <w:t xml:space="preserve"> </w:t>
      </w:r>
      <w:r w:rsidRPr="0058047D">
        <w:rPr>
          <w:rFonts w:eastAsia="Calibri" w:cs="Tahoma"/>
          <w:szCs w:val="18"/>
        </w:rPr>
        <w:t xml:space="preserve">In via eccezionale, alle società con Contratti Multilicenza e copertura Software Assurance attiva per le licenze per processore per SQL Server 2008 R2 Web in data 1 aprile 2012 (“licenze qualificanti”) vengono offerte le opzioni che seguono. </w:t>
      </w:r>
      <w:r w:rsidRPr="0058047D">
        <w:t>Le licenze per processore per SQL Server 2008 R2 Web</w:t>
      </w:r>
      <w:r w:rsidRPr="0058047D">
        <w:rPr>
          <w:rFonts w:cs="Tahoma"/>
          <w:bCs/>
          <w:color w:val="000000"/>
          <w:szCs w:val="18"/>
        </w:rPr>
        <w:t>, acquistate successivamente nello stesso periodo di validità dell</w:t>
      </w:r>
      <w:r w:rsidR="001C4212">
        <w:rPr>
          <w:rFonts w:cs="Tahoma"/>
          <w:bCs/>
          <w:color w:val="000000"/>
          <w:szCs w:val="18"/>
        </w:rPr>
        <w:t>’</w:t>
      </w:r>
      <w:r w:rsidRPr="0058047D">
        <w:rPr>
          <w:rFonts w:cs="Tahoma"/>
          <w:bCs/>
          <w:color w:val="000000"/>
          <w:szCs w:val="18"/>
        </w:rPr>
        <w:t>iscrizione, ma prima del 1° aprile 2015 nell</w:t>
      </w:r>
      <w:r w:rsidR="001C4212">
        <w:rPr>
          <w:rFonts w:cs="Tahoma"/>
          <w:bCs/>
          <w:color w:val="000000"/>
          <w:szCs w:val="18"/>
        </w:rPr>
        <w:t>’</w:t>
      </w:r>
      <w:r w:rsidRPr="0058047D">
        <w:rPr>
          <w:rFonts w:cs="Tahoma"/>
          <w:bCs/>
          <w:color w:val="000000"/>
          <w:szCs w:val="18"/>
        </w:rPr>
        <w:t>ambito di una procedura pianificata di true-up della società con contratto Enterprise, Enterprise Subscription, Open Value Subscription o Enrollment for Education Solutions, sono anch</w:t>
      </w:r>
      <w:r w:rsidR="001C4212">
        <w:rPr>
          <w:rFonts w:cs="Tahoma"/>
          <w:bCs/>
          <w:color w:val="000000"/>
          <w:szCs w:val="18"/>
        </w:rPr>
        <w:t>’</w:t>
      </w:r>
      <w:r w:rsidRPr="0058047D">
        <w:rPr>
          <w:rFonts w:cs="Tahoma"/>
          <w:bCs/>
          <w:color w:val="000000"/>
          <w:szCs w:val="18"/>
        </w:rPr>
        <w:t>esse licenze qualificanti per gli scopi previsti da tali opzioni.</w:t>
      </w:r>
      <w:r w:rsidR="00E34ED3" w:rsidRPr="0058047D">
        <w:rPr>
          <w:rFonts w:cs="Tahoma"/>
          <w:bCs/>
          <w:color w:val="000000"/>
          <w:szCs w:val="18"/>
        </w:rPr>
        <w:t xml:space="preserve"> </w:t>
      </w:r>
      <w:r w:rsidRPr="0058047D">
        <w:rPr>
          <w:rFonts w:cs="Tahoma"/>
          <w:bCs/>
          <w:color w:val="000000"/>
          <w:szCs w:val="18"/>
        </w:rPr>
        <w:t>Le licenze acquistate dopo il 1 aprile 2015, o in un periodo di</w:t>
      </w:r>
      <w:r w:rsidR="00FE6686">
        <w:rPr>
          <w:rFonts w:cs="Tahoma"/>
          <w:bCs/>
          <w:color w:val="000000"/>
          <w:szCs w:val="18"/>
        </w:rPr>
        <w:t> </w:t>
      </w:r>
      <w:r w:rsidRPr="0058047D">
        <w:rPr>
          <w:rFonts w:cs="Tahoma"/>
          <w:bCs/>
          <w:color w:val="000000"/>
          <w:szCs w:val="18"/>
        </w:rPr>
        <w:t>validità dell</w:t>
      </w:r>
      <w:r w:rsidR="001C4212">
        <w:rPr>
          <w:rFonts w:cs="Tahoma"/>
          <w:bCs/>
          <w:color w:val="000000"/>
          <w:szCs w:val="18"/>
        </w:rPr>
        <w:t>’</w:t>
      </w:r>
      <w:r w:rsidRPr="0058047D">
        <w:rPr>
          <w:rFonts w:cs="Tahoma"/>
          <w:bCs/>
          <w:color w:val="000000"/>
          <w:szCs w:val="18"/>
        </w:rPr>
        <w:t>iscrizione successivo, ai sensi di un contratto distinto o di un</w:t>
      </w:r>
      <w:r w:rsidR="001C4212">
        <w:rPr>
          <w:rFonts w:cs="Tahoma"/>
          <w:bCs/>
          <w:color w:val="000000"/>
          <w:szCs w:val="18"/>
        </w:rPr>
        <w:t>’</w:t>
      </w:r>
      <w:r w:rsidRPr="0058047D">
        <w:rPr>
          <w:rFonts w:cs="Tahoma"/>
          <w:bCs/>
          <w:color w:val="000000"/>
          <w:szCs w:val="18"/>
        </w:rPr>
        <w:t>iscrizione con la data di entrata in</w:t>
      </w:r>
      <w:r w:rsidR="00FE6686">
        <w:rPr>
          <w:rFonts w:cs="Tahoma"/>
          <w:bCs/>
          <w:color w:val="000000"/>
          <w:szCs w:val="18"/>
        </w:rPr>
        <w:t> </w:t>
      </w:r>
      <w:r w:rsidRPr="0058047D">
        <w:rPr>
          <w:rFonts w:cs="Tahoma"/>
          <w:bCs/>
          <w:color w:val="000000"/>
          <w:szCs w:val="18"/>
        </w:rPr>
        <w:t>vigore posteriore al 1 aprile 2012, non sono licenze qualificanti.</w:t>
      </w:r>
    </w:p>
    <w:p w14:paraId="3B6366BE" w14:textId="77777777" w:rsidR="008558DC" w:rsidRPr="0058047D" w:rsidRDefault="008558DC" w:rsidP="008558DC">
      <w:pPr>
        <w:ind w:left="720"/>
      </w:pPr>
    </w:p>
    <w:p w14:paraId="6F696B80" w14:textId="77777777" w:rsidR="008558DC" w:rsidRPr="0058047D" w:rsidRDefault="008558DC" w:rsidP="008558DC">
      <w:pPr>
        <w:spacing w:after="60"/>
        <w:ind w:left="720"/>
      </w:pPr>
      <w:r w:rsidRPr="0058047D">
        <w:rPr>
          <w:rFonts w:eastAsia="Calibri" w:cs="Tahoma"/>
          <w:b/>
          <w:szCs w:val="18"/>
        </w:rPr>
        <w:t>Periodo di Validità Corrente</w:t>
      </w:r>
    </w:p>
    <w:p w14:paraId="3A4DFD98" w14:textId="77777777" w:rsidR="008558DC" w:rsidRPr="0058047D" w:rsidRDefault="00A81E83" w:rsidP="008558DC">
      <w:pPr>
        <w:ind w:left="720"/>
      </w:pPr>
      <w:r w:rsidRPr="0058047D">
        <w:rPr>
          <w:rFonts w:eastAsia="Calibri" w:cs="Tahoma"/>
          <w:szCs w:val="18"/>
        </w:rPr>
        <w:t>durante il periodo di validità corrente della copertura Software Assurance a partire dal 1 aprile 2012 le società (incluse le società titolari di contratti “subscription”) potranno, ai sensi di una licenza qualificante, effettuare l</w:t>
      </w:r>
      <w:r w:rsidR="001C4212">
        <w:rPr>
          <w:rFonts w:eastAsia="Calibri" w:cs="Tahoma"/>
          <w:szCs w:val="18"/>
        </w:rPr>
        <w:t>’</w:t>
      </w:r>
      <w:r w:rsidRPr="0058047D">
        <w:rPr>
          <w:rFonts w:eastAsia="Calibri" w:cs="Tahoma"/>
          <w:szCs w:val="18"/>
        </w:rPr>
        <w:t>aggiornamento al software SQL Server 2012 Standard Core e utilizzarlo al posto di SQL Server 2008 R2 Web in conformità ai diritti di utilizzo del prodotto previsti dalla licenza per processore SQL Server 2008 R2 Standard (come indicato nei Diritti di Utilizzo del Prodotto del mese di gennaio 2012). alle società vengono concessi diritti aggiuntivi ai sensi di Mobilità delle Licenze tramite Software Assurance e Mobilità delle Licenze all</w:t>
      </w:r>
      <w:r w:rsidR="001C4212">
        <w:rPr>
          <w:rFonts w:eastAsia="Calibri" w:cs="Tahoma"/>
          <w:szCs w:val="18"/>
        </w:rPr>
        <w:t>’</w:t>
      </w:r>
      <w:r w:rsidRPr="0058047D">
        <w:rPr>
          <w:rFonts w:eastAsia="Calibri" w:cs="Tahoma"/>
          <w:szCs w:val="18"/>
        </w:rPr>
        <w:t>interno di Server Farm.</w:t>
      </w:r>
      <w:r w:rsidR="00E34ED3" w:rsidRPr="0058047D">
        <w:rPr>
          <w:rFonts w:eastAsia="Calibri" w:cs="Tahoma"/>
          <w:szCs w:val="18"/>
        </w:rPr>
        <w:t xml:space="preserve"> </w:t>
      </w:r>
      <w:r w:rsidRPr="0058047D">
        <w:rPr>
          <w:rFonts w:eastAsia="Calibri" w:cs="Tahoma"/>
          <w:szCs w:val="18"/>
        </w:rPr>
        <w:t>Le società dovranno fare riferimento ai Diritti di Utilizzo del Prodotto per SQL Server 2012 Standard Core per quanto riguarda le condizioni di licenza per Mobilità delle Licenze.</w:t>
      </w:r>
    </w:p>
    <w:p w14:paraId="5D067FDE" w14:textId="77777777" w:rsidR="00FE6686" w:rsidRPr="0058047D" w:rsidRDefault="00FE6686" w:rsidP="008558DC">
      <w:pPr>
        <w:ind w:left="720"/>
      </w:pPr>
    </w:p>
    <w:p w14:paraId="5D6444B5" w14:textId="77777777" w:rsidR="008558DC" w:rsidRPr="0058047D" w:rsidRDefault="00A81E83" w:rsidP="008558DC">
      <w:pPr>
        <w:spacing w:after="60"/>
        <w:ind w:left="720"/>
      </w:pPr>
      <w:r w:rsidRPr="0058047D">
        <w:rPr>
          <w:rFonts w:eastAsia="Calibri" w:cs="Tahoma"/>
          <w:b/>
          <w:szCs w:val="18"/>
        </w:rPr>
        <w:t>Primo Periodo di Rinnovo (prima del 1 aprile 2015)</w:t>
      </w:r>
    </w:p>
    <w:p w14:paraId="6AACC485" w14:textId="77777777" w:rsidR="00A81E83" w:rsidRPr="0058047D" w:rsidRDefault="00A81E83" w:rsidP="008558DC">
      <w:pPr>
        <w:ind w:left="720"/>
      </w:pPr>
      <w:r w:rsidRPr="0058047D">
        <w:rPr>
          <w:rFonts w:eastAsia="Calibri" w:cs="Tahoma"/>
          <w:szCs w:val="18"/>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14:paraId="00FC0A52" w14:textId="77777777" w:rsidR="00A81E83" w:rsidRPr="0058047D" w:rsidRDefault="00A81E83" w:rsidP="00346F4B">
      <w:pPr>
        <w:numPr>
          <w:ilvl w:val="0"/>
          <w:numId w:val="116"/>
        </w:numPr>
        <w:tabs>
          <w:tab w:val="left" w:pos="1800"/>
        </w:tabs>
        <w:spacing w:after="60"/>
      </w:pPr>
      <w:r w:rsidRPr="0058047D">
        <w:rPr>
          <w:rFonts w:eastAsia="Calibri" w:cs="Tahoma"/>
          <w:szCs w:val="18"/>
        </w:rPr>
        <w:t xml:space="preserve">un numero pari al numero minore delle licenze qualificanti cedute al server o al numero totale dei processori fisici sul server moltiplicato per il maggiore tra: </w:t>
      </w:r>
    </w:p>
    <w:p w14:paraId="6024A3C2" w14:textId="77777777" w:rsidR="00A81E83" w:rsidRPr="0058047D" w:rsidRDefault="00A81E83" w:rsidP="00346F4B">
      <w:pPr>
        <w:numPr>
          <w:ilvl w:val="3"/>
          <w:numId w:val="55"/>
        </w:numPr>
        <w:spacing w:after="60"/>
        <w:ind w:left="2160"/>
      </w:pPr>
      <w:r w:rsidRPr="0058047D">
        <w:rPr>
          <w:rFonts w:eastAsia="Calibri" w:cs="Tahoma"/>
          <w:szCs w:val="18"/>
        </w:rPr>
        <w:t>quattro O</w:t>
      </w:r>
    </w:p>
    <w:p w14:paraId="78AB3D9D" w14:textId="77777777" w:rsidR="00A81E83" w:rsidRPr="0058047D" w:rsidRDefault="00A81E83" w:rsidP="00346F4B">
      <w:pPr>
        <w:numPr>
          <w:ilvl w:val="3"/>
          <w:numId w:val="55"/>
        </w:numPr>
        <w:spacing w:after="60"/>
        <w:ind w:left="2160"/>
      </w:pPr>
      <w:r w:rsidRPr="0058047D">
        <w:rPr>
          <w:rFonts w:eastAsia="Calibri" w:cs="Tahoma"/>
          <w:szCs w:val="18"/>
        </w:rPr>
        <w:t>il numero effettivo di core per processore fisico moltiplicato per il fattore core appropriato.</w:t>
      </w:r>
      <w:r w:rsidR="00E34ED3" w:rsidRPr="0058047D">
        <w:rPr>
          <w:rFonts w:eastAsia="Calibri" w:cs="Tahoma"/>
          <w:szCs w:val="18"/>
        </w:rPr>
        <w:t xml:space="preserve"> </w:t>
      </w:r>
      <w:r w:rsidRPr="0058047D">
        <w:rPr>
          <w:rFonts w:eastAsia="Calibri" w:cs="Tahoma"/>
          <w:szCs w:val="18"/>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1C4212">
        <w:rPr>
          <w:rFonts w:eastAsia="Calibri" w:cs="Tahoma"/>
          <w:szCs w:val="18"/>
        </w:rPr>
        <w:t>’</w:t>
      </w:r>
      <w:r w:rsidRPr="0058047D">
        <w:rPr>
          <w:rFonts w:eastAsia="Calibri" w:cs="Tahoma"/>
          <w:szCs w:val="18"/>
        </w:rPr>
        <w:t xml:space="preserve">hardware fisico che supporta tale software appena prima del rinnovo di Software Assurance utilizzando lo strumento MAP di Microsoft o un software equivalente). </w:t>
      </w:r>
    </w:p>
    <w:p w14:paraId="5C67AA2B" w14:textId="77777777" w:rsidR="008558DC" w:rsidRPr="0058047D" w:rsidRDefault="00A81E83" w:rsidP="00346F4B">
      <w:pPr>
        <w:numPr>
          <w:ilvl w:val="0"/>
          <w:numId w:val="116"/>
        </w:numPr>
        <w:tabs>
          <w:tab w:val="left" w:pos="1800"/>
        </w:tabs>
        <w:spacing w:after="60"/>
      </w:pPr>
      <w:r w:rsidRPr="0058047D">
        <w:rPr>
          <w:rFonts w:eastAsia="Calibri" w:cs="Tahoma"/>
          <w:szCs w:val="18"/>
        </w:rPr>
        <w:t>un numero pari al numero di licenze qualificanti cedute al server oltre al numero effettivo di processori fisici sul server moltiplicato per quattro.</w:t>
      </w:r>
    </w:p>
    <w:p w14:paraId="0FF81076" w14:textId="77777777" w:rsidR="00E5029B" w:rsidRPr="0058047D" w:rsidRDefault="00E5029B"/>
    <w:p w14:paraId="3A9C345E" w14:textId="77777777" w:rsidR="008558DC" w:rsidRPr="0058047D" w:rsidRDefault="00A81E83" w:rsidP="008558DC">
      <w:pPr>
        <w:spacing w:after="60"/>
        <w:ind w:left="720"/>
      </w:pPr>
      <w:r w:rsidRPr="0058047D">
        <w:rPr>
          <w:rFonts w:eastAsia="Calibri" w:cs="Tahoma"/>
          <w:b/>
          <w:szCs w:val="18"/>
        </w:rPr>
        <w:t>Primo Periodo di Rinnovo (in data 1 aprile 2015 o successiva)</w:t>
      </w:r>
    </w:p>
    <w:p w14:paraId="1591C827" w14:textId="77777777" w:rsidR="00A81E83" w:rsidRPr="0058047D" w:rsidRDefault="00A81E83" w:rsidP="008558DC">
      <w:pPr>
        <w:ind w:left="720"/>
        <w:contextualSpacing/>
      </w:pPr>
      <w:r w:rsidRPr="0058047D">
        <w:rPr>
          <w:rFonts w:eastAsia="Calibri" w:cs="Tahoma"/>
          <w:color w:val="000000"/>
          <w:szCs w:val="18"/>
        </w:rPr>
        <w:t>Le società che rinnovano per la prima volta la copertura in data 1 aprile 2015</w:t>
      </w:r>
      <w:r w:rsidRPr="0058047D">
        <w:rPr>
          <w:rFonts w:eastAsia="Calibri" w:cs="Tahoma"/>
          <w:szCs w:val="18"/>
        </w:rPr>
        <w:t xml:space="preserve"> potranno, per ogni server ottenuto in licenza in conformità ai diritti di utilizzo del prodotto previsti dalla licenza per processore SQL Server 2008 R2, acquistare la copertura Software Assurance come di seguito indicato:</w:t>
      </w:r>
    </w:p>
    <w:p w14:paraId="14B83705" w14:textId="77777777" w:rsidR="008558DC" w:rsidRPr="0058047D" w:rsidRDefault="008558DC" w:rsidP="008558DC">
      <w:pPr>
        <w:ind w:left="720"/>
        <w:contextualSpacing/>
      </w:pPr>
    </w:p>
    <w:p w14:paraId="7A236CCA" w14:textId="77777777" w:rsidR="00A81E83" w:rsidRPr="0058047D" w:rsidRDefault="00A81E83" w:rsidP="00346F4B">
      <w:pPr>
        <w:numPr>
          <w:ilvl w:val="3"/>
          <w:numId w:val="89"/>
        </w:numPr>
        <w:spacing w:after="60"/>
        <w:ind w:left="1440"/>
      </w:pPr>
      <w:r w:rsidRPr="0058047D">
        <w:rPr>
          <w:rFonts w:eastAsia="Calibri" w:cs="Tahoma"/>
          <w:szCs w:val="18"/>
        </w:rPr>
        <w:t>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w:t>
      </w:r>
      <w:r w:rsidR="006B4FA4">
        <w:rPr>
          <w:rFonts w:eastAsia="Calibri" w:cs="Tahoma"/>
          <w:szCs w:val="18"/>
        </w:rPr>
        <w:t> </w:t>
      </w:r>
      <w:r w:rsidRPr="0058047D">
        <w:rPr>
          <w:rFonts w:eastAsia="Calibri" w:cs="Tahoma"/>
          <w:szCs w:val="18"/>
        </w:rPr>
        <w:t xml:space="preserve">del 1 aprile 2015)” e </w:t>
      </w:r>
    </w:p>
    <w:p w14:paraId="3C118781" w14:textId="77777777" w:rsidR="00A81E83" w:rsidRPr="0058047D" w:rsidRDefault="00A81E83" w:rsidP="00346F4B">
      <w:pPr>
        <w:numPr>
          <w:ilvl w:val="3"/>
          <w:numId w:val="89"/>
        </w:numPr>
        <w:spacing w:after="60"/>
        <w:ind w:left="1440"/>
      </w:pPr>
      <w:r w:rsidRPr="0058047D">
        <w:rPr>
          <w:rFonts w:eastAsia="Calibri" w:cs="Tahoma"/>
          <w:szCs w:val="18"/>
        </w:rPr>
        <w:t>per le licenze acquistate dopo il 1 aprile 2015 le società potranno rinnovare la copertura Software Assurance per quattro licenze core per SQL Server Standard senza dover acquistare le licenze core sottostanti per ogni licenza per processore per SQL Server 2008 R2 Web. Per l</w:t>
      </w:r>
      <w:r w:rsidR="001C4212">
        <w:rPr>
          <w:rFonts w:eastAsia="Calibri" w:cs="Tahoma"/>
          <w:szCs w:val="18"/>
        </w:rPr>
        <w:t>’</w:t>
      </w:r>
      <w:r w:rsidRPr="0058047D">
        <w:rPr>
          <w:rFonts w:eastAsia="Calibri" w:cs="Tahoma"/>
          <w:szCs w:val="18"/>
        </w:rPr>
        <w:t>utilizzo continuativo di SQL Server 2012 su processori che richiedono più di quattro licenze core per processore la società deve acquistare le licenze core aggiuntive.</w:t>
      </w:r>
    </w:p>
    <w:p w14:paraId="07883F1A" w14:textId="77777777" w:rsidR="00A81E83" w:rsidRPr="0058047D" w:rsidRDefault="00A81E83" w:rsidP="00346F4B">
      <w:pPr>
        <w:numPr>
          <w:ilvl w:val="0"/>
          <w:numId w:val="50"/>
        </w:numPr>
        <w:spacing w:after="60"/>
        <w:ind w:left="1440"/>
      </w:pPr>
      <w:r w:rsidRPr="0058047D">
        <w:rPr>
          <w:rFonts w:eastAsia="Calibri" w:cs="Tahoma"/>
          <w:szCs w:val="18"/>
        </w:rPr>
        <w:t>Le licenze per processore delle società non sono più valide se si acquista la copertura Software Assurance per licenze core ai sensi della presente offerta. L</w:t>
      </w:r>
      <w:r w:rsidR="001C4212">
        <w:rPr>
          <w:rFonts w:eastAsia="Calibri" w:cs="Tahoma"/>
          <w:szCs w:val="18"/>
        </w:rPr>
        <w:t>’</w:t>
      </w:r>
      <w:r w:rsidRPr="0058047D">
        <w:rPr>
          <w:rFonts w:eastAsia="Calibri" w:cs="Tahoma"/>
          <w:szCs w:val="18"/>
        </w:rPr>
        <w:t>opzione di acquistare Software Assurance per le licenze core per SQL Server non è applicabile al rinnovo della copertura ai sensi dei programmi di sottoscrizione.</w:t>
      </w:r>
    </w:p>
    <w:p w14:paraId="10E976C1" w14:textId="77777777" w:rsidR="008558DC" w:rsidRPr="0058047D" w:rsidRDefault="008558DC" w:rsidP="008558DC">
      <w:pPr>
        <w:ind w:left="720"/>
        <w:contextualSpacing/>
      </w:pPr>
    </w:p>
    <w:p w14:paraId="677D8754" w14:textId="77777777" w:rsidR="008558DC" w:rsidRPr="0058047D" w:rsidRDefault="00A81E83" w:rsidP="008558DC">
      <w:pPr>
        <w:spacing w:after="60"/>
        <w:ind w:left="720"/>
      </w:pPr>
      <w:r w:rsidRPr="0058047D">
        <w:rPr>
          <w:rFonts w:eastAsia="Calibri" w:cs="Tahoma"/>
          <w:b/>
          <w:szCs w:val="18"/>
        </w:rPr>
        <w:t>Per le Società con copertura Software Assurance in scadenza prima del 1 aprile 2015 che scelgono di non effettuare il rinnovo</w:t>
      </w:r>
    </w:p>
    <w:p w14:paraId="55BD8AB7" w14:textId="77777777" w:rsidR="00A81E83" w:rsidRPr="0058047D" w:rsidRDefault="00A81E83" w:rsidP="008558DC">
      <w:pPr>
        <w:ind w:left="720"/>
        <w:contextualSpacing/>
      </w:pPr>
      <w:r w:rsidRPr="0058047D">
        <w:rPr>
          <w:rFonts w:eastAsia="Calibri" w:cs="Tahoma"/>
          <w:szCs w:val="18"/>
        </w:rPr>
        <w:t xml:space="preserve">Le società titolari di contratti Enterprise Subscription </w:t>
      </w:r>
      <w:r w:rsidRPr="0058047D">
        <w:rPr>
          <w:rFonts w:cs="Tahoma"/>
          <w:bCs/>
          <w:color w:val="000000"/>
          <w:szCs w:val="18"/>
        </w:rPr>
        <w:t xml:space="preserve">e Open Value Subscription </w:t>
      </w:r>
      <w:r w:rsidRPr="0058047D">
        <w:rPr>
          <w:rFonts w:eastAsia="Calibri" w:cs="Tahoma"/>
          <w:szCs w:val="18"/>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14:paraId="637F6937" w14:textId="77777777" w:rsidR="00A81E83" w:rsidRPr="0058047D" w:rsidRDefault="00A81E83" w:rsidP="00346F4B">
      <w:pPr>
        <w:numPr>
          <w:ilvl w:val="0"/>
          <w:numId w:val="90"/>
        </w:numPr>
        <w:tabs>
          <w:tab w:val="left" w:pos="1800"/>
        </w:tabs>
        <w:spacing w:after="60"/>
        <w:ind w:left="1800"/>
      </w:pPr>
      <w:r w:rsidRPr="0058047D">
        <w:rPr>
          <w:rFonts w:eastAsia="Calibri" w:cs="Tahoma"/>
          <w:b/>
          <w:szCs w:val="18"/>
        </w:rPr>
        <w:t>SQL Server Web 2008 R2 Web:</w:t>
      </w:r>
      <w:r w:rsidRPr="0058047D">
        <w:rPr>
          <w:rFonts w:eastAsia="Calibri" w:cs="Tahoma"/>
          <w:szCs w:val="18"/>
        </w:rPr>
        <w:t xml:space="preserve"> l</w:t>
      </w:r>
      <w:r w:rsidR="001C4212">
        <w:rPr>
          <w:rFonts w:eastAsia="Calibri" w:cs="Tahoma"/>
          <w:szCs w:val="18"/>
        </w:rPr>
        <w:t>’</w:t>
      </w:r>
      <w:r w:rsidRPr="0058047D">
        <w:rPr>
          <w:rFonts w:eastAsia="Calibri" w:cs="Tahoma"/>
          <w:szCs w:val="18"/>
        </w:rPr>
        <w:t>utilizzo continuativo di tale versione del software è soggetto ai diritti di utilizzo del prodotto previsti dalla licenza per processore SQL Server 2008 R2 Web. Le società non disporranno più di diritti ai sensi della Mobilità delle Licenze all</w:t>
      </w:r>
      <w:r w:rsidR="001C4212">
        <w:rPr>
          <w:rFonts w:eastAsia="Calibri" w:cs="Tahoma"/>
          <w:szCs w:val="18"/>
        </w:rPr>
        <w:t>’</w:t>
      </w:r>
      <w:r w:rsidRPr="0058047D">
        <w:rPr>
          <w:rFonts w:eastAsia="Calibri" w:cs="Tahoma"/>
          <w:szCs w:val="18"/>
        </w:rPr>
        <w:t xml:space="preserve">interno di Server Farm o della Mobilità delle Licenze tramite Software Assurance. </w:t>
      </w:r>
    </w:p>
    <w:p w14:paraId="29F461E9" w14:textId="77777777" w:rsidR="00A81E83" w:rsidRPr="0058047D" w:rsidRDefault="00A81E83" w:rsidP="00346F4B">
      <w:pPr>
        <w:numPr>
          <w:ilvl w:val="0"/>
          <w:numId w:val="90"/>
        </w:numPr>
        <w:tabs>
          <w:tab w:val="left" w:pos="1800"/>
        </w:tabs>
        <w:spacing w:after="60"/>
        <w:ind w:left="1800"/>
      </w:pPr>
      <w:r w:rsidRPr="0058047D">
        <w:rPr>
          <w:rFonts w:eastAsia="Calibri" w:cs="Tahoma"/>
          <w:b/>
          <w:szCs w:val="18"/>
        </w:rPr>
        <w:t xml:space="preserve">SQL Server 2012 Standard Core: </w:t>
      </w:r>
      <w:r w:rsidRPr="0058047D">
        <w:rPr>
          <w:rFonts w:eastAsia="Calibri" w:cs="Tahoma"/>
          <w:szCs w:val="18"/>
        </w:rPr>
        <w:t>l</w:t>
      </w:r>
      <w:r w:rsidR="001C4212">
        <w:rPr>
          <w:rFonts w:eastAsia="Calibri" w:cs="Tahoma"/>
          <w:szCs w:val="18"/>
        </w:rPr>
        <w:t>’</w:t>
      </w:r>
      <w:r w:rsidRPr="0058047D">
        <w:rPr>
          <w:rFonts w:eastAsia="Calibri" w:cs="Tahoma"/>
          <w:szCs w:val="18"/>
        </w:rPr>
        <w:t xml:space="preserve">utilizzo di tale versione del software è soggetto ai diritti di utilizzo del prodotto previsti dalla licenza per processore SQL Server 2008 R2 Standard, tuttavia: </w:t>
      </w:r>
    </w:p>
    <w:p w14:paraId="1F5CF5F2" w14:textId="77777777" w:rsidR="00A81E83" w:rsidRPr="0058047D" w:rsidRDefault="00A81E83" w:rsidP="00346F4B">
      <w:pPr>
        <w:numPr>
          <w:ilvl w:val="1"/>
          <w:numId w:val="52"/>
        </w:numPr>
        <w:tabs>
          <w:tab w:val="left" w:pos="2160"/>
        </w:tabs>
        <w:spacing w:after="60"/>
        <w:ind w:left="2160"/>
      </w:pPr>
      <w:r w:rsidRPr="0058047D">
        <w:rPr>
          <w:rFonts w:eastAsia="Calibri" w:cs="Tahoma"/>
          <w:szCs w:val="18"/>
        </w:rPr>
        <w:t>le società non disporranno più di diritti ai sensi della Mobilità delle Licenze all</w:t>
      </w:r>
      <w:r w:rsidR="001C4212">
        <w:rPr>
          <w:rFonts w:eastAsia="Calibri" w:cs="Tahoma"/>
          <w:szCs w:val="18"/>
        </w:rPr>
        <w:t>’</w:t>
      </w:r>
      <w:r w:rsidRPr="0058047D">
        <w:rPr>
          <w:rFonts w:eastAsia="Calibri" w:cs="Tahoma"/>
          <w:szCs w:val="18"/>
        </w:rPr>
        <w:t xml:space="preserve">interno di Server Farm o della Mobilità delle Licenze tramite Software Assurance e </w:t>
      </w:r>
    </w:p>
    <w:p w14:paraId="4C5417A2" w14:textId="77777777" w:rsidR="00A81E83" w:rsidRPr="0058047D" w:rsidRDefault="00A81E83" w:rsidP="00346F4B">
      <w:pPr>
        <w:numPr>
          <w:ilvl w:val="1"/>
          <w:numId w:val="52"/>
        </w:numPr>
        <w:tabs>
          <w:tab w:val="left" w:pos="2160"/>
        </w:tabs>
        <w:spacing w:after="60"/>
        <w:ind w:left="2160"/>
      </w:pPr>
      <w:r w:rsidRPr="0058047D">
        <w:rPr>
          <w:rFonts w:eastAsia="Calibri" w:cs="Tahoma"/>
          <w:szCs w:val="18"/>
        </w:rPr>
        <w:t>l</w:t>
      </w:r>
      <w:r w:rsidR="001C4212">
        <w:rPr>
          <w:rFonts w:eastAsia="Calibri" w:cs="Tahoma"/>
          <w:szCs w:val="18"/>
        </w:rPr>
        <w:t>’</w:t>
      </w:r>
      <w:r w:rsidRPr="0058047D">
        <w:rPr>
          <w:rFonts w:eastAsia="Calibri" w:cs="Tahoma"/>
          <w:szCs w:val="18"/>
        </w:rPr>
        <w:t>eventuale riassegnazione di licenze è soggetta ai limiti indicati nei paragrafi (i) e (ii) che seguono relativi alla loro “equivalenza di licenze core”. L</w:t>
      </w:r>
      <w:r w:rsidR="001C4212">
        <w:rPr>
          <w:rFonts w:eastAsia="Calibri" w:cs="Tahoma"/>
          <w:szCs w:val="18"/>
        </w:rPr>
        <w:t>’</w:t>
      </w:r>
      <w:r w:rsidRPr="0058047D">
        <w:rPr>
          <w:rFonts w:eastAsia="Calibri" w:cs="Tahoma"/>
          <w:szCs w:val="18"/>
        </w:rPr>
        <w:t xml:space="preserve">equivalenza di licenze core è determinata come di seguito riportato. </w:t>
      </w:r>
    </w:p>
    <w:p w14:paraId="511B9012" w14:textId="77777777" w:rsidR="00A81E83" w:rsidRPr="0058047D" w:rsidRDefault="00A81E83" w:rsidP="00346F4B">
      <w:pPr>
        <w:numPr>
          <w:ilvl w:val="2"/>
          <w:numId w:val="52"/>
        </w:numPr>
        <w:tabs>
          <w:tab w:val="left" w:pos="2520"/>
        </w:tabs>
        <w:spacing w:after="60"/>
        <w:ind w:left="2520"/>
      </w:pPr>
      <w:r w:rsidRPr="0058047D">
        <w:rPr>
          <w:rFonts w:eastAsia="Calibri" w:cs="Tahoma"/>
          <w:szCs w:val="18"/>
        </w:rPr>
        <w:t>Per un numero di licenze pari al numero inferiore tra (x) il numero totale di licenze per processore cedute a un server con licenza appena prima della scadenza di Software Assurance o (y) il numero totale di processori fisici su tale server, l</w:t>
      </w:r>
      <w:r w:rsidR="001C4212">
        <w:rPr>
          <w:rFonts w:eastAsia="Calibri" w:cs="Tahoma"/>
          <w:szCs w:val="18"/>
        </w:rPr>
        <w:t>’</w:t>
      </w:r>
      <w:r w:rsidRPr="0058047D">
        <w:rPr>
          <w:rFonts w:eastAsia="Calibri" w:cs="Tahoma"/>
          <w:szCs w:val="18"/>
        </w:rPr>
        <w:t xml:space="preserve">equivalenza di licenze core è il numero maggiore tra: </w:t>
      </w:r>
    </w:p>
    <w:p w14:paraId="2972E3CC" w14:textId="77777777" w:rsidR="00A81E83" w:rsidRPr="0058047D" w:rsidRDefault="00A81E83" w:rsidP="00346F4B">
      <w:pPr>
        <w:numPr>
          <w:ilvl w:val="4"/>
          <w:numId w:val="50"/>
        </w:numPr>
        <w:tabs>
          <w:tab w:val="left" w:pos="2880"/>
        </w:tabs>
        <w:spacing w:after="60"/>
        <w:ind w:left="2880"/>
      </w:pPr>
      <w:r w:rsidRPr="0058047D">
        <w:rPr>
          <w:rFonts w:eastAsia="Calibri" w:cs="Tahoma"/>
          <w:szCs w:val="18"/>
        </w:rPr>
        <w:t xml:space="preserve">quattro core per licenza per processore O </w:t>
      </w:r>
    </w:p>
    <w:p w14:paraId="3799DA1C" w14:textId="77777777" w:rsidR="00A81E83" w:rsidRPr="0058047D" w:rsidRDefault="00A81E83" w:rsidP="00346F4B">
      <w:pPr>
        <w:numPr>
          <w:ilvl w:val="4"/>
          <w:numId w:val="50"/>
        </w:numPr>
        <w:tabs>
          <w:tab w:val="left" w:pos="2880"/>
        </w:tabs>
        <w:spacing w:after="60"/>
        <w:ind w:left="2880"/>
      </w:pPr>
      <w:r w:rsidRPr="0058047D">
        <w:rPr>
          <w:rFonts w:eastAsia="Calibri" w:cs="Tahoma"/>
          <w:szCs w:val="18"/>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1C4212">
        <w:rPr>
          <w:rFonts w:eastAsia="Calibri" w:cs="Tahoma"/>
          <w:szCs w:val="18"/>
        </w:rPr>
        <w:t>’</w:t>
      </w:r>
      <w:r w:rsidRPr="0058047D">
        <w:rPr>
          <w:rFonts w:eastAsia="Calibri" w:cs="Tahoma"/>
          <w:szCs w:val="18"/>
        </w:rPr>
        <w:t xml:space="preserve">hardware fisico che supporta tale software appena prima della scadenza di Software Assurance utilizzando lo strumento MAP di Microsoft o un software equivalente). </w:t>
      </w:r>
    </w:p>
    <w:p w14:paraId="24512536" w14:textId="77777777" w:rsidR="008558DC" w:rsidRPr="0058047D" w:rsidRDefault="00A81E83" w:rsidP="00346F4B">
      <w:pPr>
        <w:numPr>
          <w:ilvl w:val="2"/>
          <w:numId w:val="52"/>
        </w:numPr>
        <w:tabs>
          <w:tab w:val="left" w:pos="2520"/>
        </w:tabs>
        <w:spacing w:after="60"/>
        <w:ind w:left="2520"/>
      </w:pPr>
      <w:r w:rsidRPr="0058047D">
        <w:rPr>
          <w:rFonts w:eastAsia="Calibri" w:cs="Tahoma"/>
          <w:szCs w:val="18"/>
        </w:rPr>
        <w:t>Per qualsiasi licenza per processore con la copertura Software Assurance in scadenza ceduta allo stesso server con licenza che ecceda il numero effettivo di processori fisici sul server, l</w:t>
      </w:r>
      <w:r w:rsidR="001C4212">
        <w:rPr>
          <w:rFonts w:eastAsia="Calibri" w:cs="Tahoma"/>
          <w:szCs w:val="18"/>
        </w:rPr>
        <w:t>’</w:t>
      </w:r>
      <w:r w:rsidRPr="0058047D">
        <w:rPr>
          <w:rFonts w:eastAsia="Calibri" w:cs="Tahoma"/>
          <w:szCs w:val="18"/>
        </w:rPr>
        <w:t>equivalenza core è di quattro core per licenza per processore.</w:t>
      </w:r>
    </w:p>
    <w:p w14:paraId="580D5591" w14:textId="77777777" w:rsidR="00A81E83" w:rsidRPr="0058047D" w:rsidRDefault="00A81E83" w:rsidP="00346F4B">
      <w:pPr>
        <w:numPr>
          <w:ilvl w:val="1"/>
          <w:numId w:val="52"/>
        </w:numPr>
        <w:tabs>
          <w:tab w:val="left" w:pos="2160"/>
        </w:tabs>
        <w:spacing w:after="60"/>
        <w:ind w:left="2160"/>
      </w:pPr>
      <w:r w:rsidRPr="0058047D">
        <w:rPr>
          <w:rFonts w:eastAsia="Calibri" w:cs="Tahoma"/>
          <w:szCs w:val="18"/>
        </w:rPr>
        <w:t>Le società potranno riassegnare le licenze a un altro server. Tuttavia, qualora la società riassegni una licenza a un altro server, dovrà attenersi ai diritti sull</w:t>
      </w:r>
      <w:r w:rsidR="001C4212">
        <w:rPr>
          <w:rFonts w:eastAsia="Calibri" w:cs="Tahoma"/>
          <w:szCs w:val="18"/>
        </w:rPr>
        <w:t>’</w:t>
      </w:r>
      <w:r w:rsidRPr="0058047D">
        <w:rPr>
          <w:rFonts w:eastAsia="Calibri" w:cs="Tahoma"/>
          <w:szCs w:val="18"/>
        </w:rPr>
        <w:t>utilizzo di SQL Server 2012. Quando cede licenze core a server ai sensi dei diritti sull</w:t>
      </w:r>
      <w:r w:rsidR="001C4212">
        <w:rPr>
          <w:rFonts w:eastAsia="Calibri" w:cs="Tahoma"/>
          <w:szCs w:val="18"/>
        </w:rPr>
        <w:t>’</w:t>
      </w:r>
      <w:r w:rsidRPr="0058047D">
        <w:rPr>
          <w:rFonts w:eastAsia="Calibri" w:cs="Tahoma"/>
          <w:szCs w:val="18"/>
        </w:rPr>
        <w:t>utilizzo per SQL 2012, la società potrà combinare l</w:t>
      </w:r>
      <w:r w:rsidR="001C4212">
        <w:rPr>
          <w:rFonts w:eastAsia="Calibri" w:cs="Tahoma"/>
          <w:szCs w:val="18"/>
        </w:rPr>
        <w:t>’</w:t>
      </w:r>
      <w:r w:rsidRPr="0058047D">
        <w:rPr>
          <w:rFonts w:eastAsia="Calibri" w:cs="Tahoma"/>
          <w:szCs w:val="18"/>
        </w:rPr>
        <w:t>equivalenza core delle licenze esistenti con le licenze core per SQL Server 2012 aggiuntive.</w:t>
      </w:r>
    </w:p>
    <w:p w14:paraId="12988A6C" w14:textId="77777777" w:rsidR="00A81E83" w:rsidRPr="0058047D" w:rsidRDefault="00A81E83" w:rsidP="00346F4B">
      <w:pPr>
        <w:numPr>
          <w:ilvl w:val="1"/>
          <w:numId w:val="52"/>
        </w:numPr>
        <w:tabs>
          <w:tab w:val="left" w:pos="2160"/>
        </w:tabs>
        <w:spacing w:after="60"/>
        <w:ind w:left="2160"/>
      </w:pPr>
      <w:r w:rsidRPr="0058047D">
        <w:rPr>
          <w:rFonts w:eastAsia="Calibri" w:cs="Tahoma"/>
          <w:szCs w:val="18"/>
        </w:rPr>
        <w:t>L</w:t>
      </w:r>
      <w:r w:rsidR="001C4212">
        <w:rPr>
          <w:rFonts w:eastAsia="Calibri" w:cs="Tahoma"/>
          <w:szCs w:val="18"/>
        </w:rPr>
        <w:t>’</w:t>
      </w:r>
      <w:r w:rsidRPr="0058047D">
        <w:rPr>
          <w:rFonts w:eastAsia="Calibri" w:cs="Tahoma"/>
          <w:szCs w:val="18"/>
        </w:rPr>
        <w:t>equivalenza di licenze core stimata delle società non implica che esse possano cedere una licenza singola per processore a core attraverso due o più processori.</w:t>
      </w:r>
    </w:p>
    <w:p w14:paraId="0103168C" w14:textId="77777777" w:rsidR="00B06AAC" w:rsidRPr="0058047D" w:rsidRDefault="00B06AAC" w:rsidP="00B06AAC">
      <w:pPr>
        <w:tabs>
          <w:tab w:val="left" w:pos="2160"/>
        </w:tabs>
        <w:spacing w:after="60"/>
      </w:pPr>
    </w:p>
    <w:p w14:paraId="6E84AD02" w14:textId="77777777" w:rsidR="00B06AAC" w:rsidRPr="0058047D" w:rsidRDefault="00A81E83" w:rsidP="00B06AAC">
      <w:pPr>
        <w:tabs>
          <w:tab w:val="left" w:pos="720"/>
        </w:tabs>
        <w:spacing w:after="60"/>
        <w:ind w:left="720"/>
      </w:pPr>
      <w:r w:rsidRPr="0058047D">
        <w:rPr>
          <w:rFonts w:eastAsia="Calibri" w:cs="Tahoma"/>
          <w:b/>
          <w:szCs w:val="18"/>
        </w:rPr>
        <w:t>Per le Società con copertura Software Assurance in scadenza in data 1 aprile 2015 o successiva che scelgono di non effettuare il rinnovo</w:t>
      </w:r>
    </w:p>
    <w:p w14:paraId="72EE0FC0" w14:textId="77777777" w:rsidR="00A81E83" w:rsidRPr="0058047D" w:rsidRDefault="00A81E83" w:rsidP="00B06AAC">
      <w:pPr>
        <w:tabs>
          <w:tab w:val="left" w:pos="720"/>
        </w:tabs>
        <w:ind w:left="720"/>
        <w:contextualSpacing/>
      </w:pPr>
      <w:r w:rsidRPr="0058047D">
        <w:rPr>
          <w:rFonts w:eastAsia="Calibri" w:cs="Tahoma"/>
          <w:color w:val="000000"/>
          <w:szCs w:val="18"/>
        </w:rPr>
        <w:t xml:space="preserve">Alle società titolari di contratti Enterprise Subscription </w:t>
      </w:r>
      <w:r w:rsidRPr="0058047D">
        <w:rPr>
          <w:rFonts w:cs="Tahoma"/>
          <w:bCs/>
          <w:color w:val="000000"/>
          <w:szCs w:val="18"/>
        </w:rPr>
        <w:t xml:space="preserve">e Open Value Subscription </w:t>
      </w:r>
      <w:r w:rsidRPr="0058047D">
        <w:rPr>
          <w:rFonts w:eastAsia="Calibri" w:cs="Tahoma"/>
          <w:color w:val="000000"/>
          <w:szCs w:val="18"/>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14:paraId="31DF1F07" w14:textId="77777777" w:rsidR="00B06AAC" w:rsidRPr="0058047D" w:rsidRDefault="00B06AAC" w:rsidP="00B06AAC">
      <w:pPr>
        <w:tabs>
          <w:tab w:val="left" w:pos="720"/>
        </w:tabs>
        <w:ind w:left="720"/>
        <w:contextualSpacing/>
      </w:pPr>
    </w:p>
    <w:p w14:paraId="57B62722" w14:textId="77777777" w:rsidR="00A81E83" w:rsidRPr="0058047D" w:rsidRDefault="00A81E83" w:rsidP="00346F4B">
      <w:pPr>
        <w:numPr>
          <w:ilvl w:val="2"/>
          <w:numId w:val="50"/>
        </w:numPr>
        <w:spacing w:after="60"/>
        <w:ind w:left="1440"/>
      </w:pPr>
      <w:r w:rsidRPr="0058047D">
        <w:rPr>
          <w:rFonts w:eastAsia="Calibri" w:cs="Tahoma"/>
          <w:szCs w:val="18"/>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 </w:t>
      </w:r>
    </w:p>
    <w:p w14:paraId="02082A28" w14:textId="77777777" w:rsidR="00A81E83" w:rsidRPr="0058047D" w:rsidRDefault="00A81E83" w:rsidP="00346F4B">
      <w:pPr>
        <w:numPr>
          <w:ilvl w:val="2"/>
          <w:numId w:val="50"/>
        </w:numPr>
        <w:spacing w:after="60"/>
        <w:ind w:left="1440"/>
      </w:pPr>
      <w:r w:rsidRPr="0058047D">
        <w:rPr>
          <w:rFonts w:eastAsia="Calibri" w:cs="Tahoma"/>
          <w:szCs w:val="18"/>
        </w:rPr>
        <w:t>per le licenze acquistate dopo il 1 aprile 2015 la licenza per processore delle società avrà un</w:t>
      </w:r>
      <w:r w:rsidR="001C4212">
        <w:rPr>
          <w:rFonts w:eastAsia="Calibri" w:cs="Tahoma"/>
          <w:szCs w:val="18"/>
        </w:rPr>
        <w:t>’</w:t>
      </w:r>
      <w:r w:rsidRPr="0058047D">
        <w:rPr>
          <w:rFonts w:eastAsia="Calibri" w:cs="Tahoma"/>
          <w:szCs w:val="18"/>
        </w:rPr>
        <w:t>equivalenza core di quattro licenze core Standard per SQL Server 2012. Per l</w:t>
      </w:r>
      <w:r w:rsidR="001C4212">
        <w:rPr>
          <w:rFonts w:eastAsia="Calibri" w:cs="Tahoma"/>
          <w:szCs w:val="18"/>
        </w:rPr>
        <w:t>’</w:t>
      </w:r>
      <w:r w:rsidRPr="0058047D">
        <w:rPr>
          <w:rFonts w:eastAsia="Calibri" w:cs="Tahoma"/>
          <w:szCs w:val="18"/>
        </w:rPr>
        <w:t>utilizzo continuativo di SQL Server 2012 su processori che richiedono più di quattro licenze core per processore la società deve acquistare le licenze core aggiuntive.</w:t>
      </w:r>
    </w:p>
    <w:p w14:paraId="0E45FC1A" w14:textId="77777777" w:rsidR="002512D3" w:rsidRPr="0058047D" w:rsidRDefault="002512D3"/>
    <w:p w14:paraId="2DE5346F" w14:textId="77777777" w:rsidR="00B06AAC" w:rsidRPr="0058047D" w:rsidRDefault="00A81E83" w:rsidP="00B06AAC">
      <w:pPr>
        <w:tabs>
          <w:tab w:val="left" w:pos="720"/>
        </w:tabs>
        <w:spacing w:after="60"/>
        <w:ind w:left="720"/>
      </w:pPr>
      <w:r w:rsidRPr="0058047D">
        <w:rPr>
          <w:b/>
        </w:rPr>
        <w:t>Per le società con sede nella Repubblica popolare</w:t>
      </w:r>
      <w:r w:rsidRPr="0058047D">
        <w:t xml:space="preserve"> </w:t>
      </w:r>
      <w:r w:rsidRPr="0058047D">
        <w:rPr>
          <w:b/>
        </w:rPr>
        <w:t>cinese, dove acquistano licenze per processore e Software Assurance per SQL Server 2008 R2</w:t>
      </w:r>
    </w:p>
    <w:p w14:paraId="4D195FA3" w14:textId="77777777" w:rsidR="00A81E83" w:rsidRPr="0058047D" w:rsidRDefault="00A81E83" w:rsidP="00B06AAC">
      <w:pPr>
        <w:tabs>
          <w:tab w:val="left" w:pos="720"/>
        </w:tabs>
        <w:ind w:left="720"/>
        <w:contextualSpacing/>
      </w:pPr>
      <w:r w:rsidRPr="0058047D">
        <w:t>Non si applicano i riferimenti al 1 aprile 2012 e al 1 aprile 2015 presenti in questa nota relativa alla lista dei prodotti. Le date applicabili per queste società sarebbero rispettivamente il 1 luglio 2012 e il 1 luglio 2015.</w:t>
      </w:r>
    </w:p>
    <w:p w14:paraId="6176DDD5" w14:textId="77777777" w:rsidR="00FE6686" w:rsidRDefault="00FE6686" w:rsidP="008558DC"/>
    <w:p w14:paraId="28292A9E" w14:textId="77777777" w:rsidR="00FE6686" w:rsidRPr="0058047D" w:rsidRDefault="00FE6686" w:rsidP="008558DC"/>
    <w:p w14:paraId="4E54BB00" w14:textId="77777777" w:rsidR="00A81E83" w:rsidRPr="0058047D" w:rsidRDefault="00A560B6" w:rsidP="00BD4B91">
      <w:pPr>
        <w:pStyle w:val="Heading3"/>
      </w:pPr>
      <w:bookmarkStart w:id="1418" w:name="_85_84_SQL"/>
      <w:bookmarkStart w:id="1419" w:name="_78_76_SQL"/>
      <w:bookmarkStart w:id="1420" w:name="_83_SQL_Server®"/>
      <w:bookmarkStart w:id="1421" w:name="Srv_85SQL2008R2Workgroup5ClientAddon"/>
      <w:bookmarkStart w:id="1422" w:name="_Toc336338343"/>
      <w:bookmarkStart w:id="1423" w:name="_Toc371663735"/>
      <w:bookmarkEnd w:id="1418"/>
      <w:bookmarkEnd w:id="1419"/>
      <w:bookmarkEnd w:id="1420"/>
      <w:r w:rsidRPr="0058047D">
        <w:rPr>
          <w:rFonts w:ascii="Tahoma" w:hAnsi="Tahoma"/>
          <w:color w:val="F66400"/>
          <w:sz w:val="22"/>
          <w:vertAlign w:val="superscript"/>
        </w:rPr>
        <w:t>82</w:t>
      </w:r>
      <w:r w:rsidRPr="0058047D">
        <w:rPr>
          <w:rFonts w:ascii="Tahoma" w:hAnsi="Tahoma"/>
          <w:color w:val="F66400"/>
          <w:sz w:val="22"/>
        </w:rPr>
        <w:t xml:space="preserve"> SQL Server</w:t>
      </w:r>
      <w:r w:rsidR="00E53A46" w:rsidRPr="0058047D">
        <w:rPr>
          <w:rFonts w:ascii="Tahoma" w:hAnsi="Tahoma"/>
          <w:color w:val="F66400"/>
          <w:sz w:val="22"/>
          <w:vertAlign w:val="superscript"/>
        </w:rPr>
        <w:t>®</w:t>
      </w:r>
      <w:r w:rsidRPr="0058047D">
        <w:rPr>
          <w:rFonts w:ascii="Tahoma" w:hAnsi="Tahoma"/>
          <w:color w:val="F66400"/>
          <w:sz w:val="22"/>
        </w:rPr>
        <w:t xml:space="preserve"> 2008 R2 Workgroup (5 Add-On Client)</w:t>
      </w:r>
      <w:bookmarkEnd w:id="1421"/>
      <w:bookmarkEnd w:id="1422"/>
      <w:bookmarkEnd w:id="1423"/>
    </w:p>
    <w:p w14:paraId="2396D368" w14:textId="77777777" w:rsidR="00A81E83" w:rsidRPr="0058047D" w:rsidRDefault="00A81E83" w:rsidP="00DA46D5">
      <w:pPr>
        <w:pStyle w:val="EndnoteText"/>
        <w:ind w:left="0"/>
      </w:pPr>
    </w:p>
    <w:p w14:paraId="6C38FF8A" w14:textId="77777777" w:rsidR="00DA46D5" w:rsidRPr="0058047D" w:rsidRDefault="00A81E83" w:rsidP="00DA46D5">
      <w:pPr>
        <w:spacing w:after="60"/>
        <w:ind w:left="720"/>
      </w:pPr>
      <w:r w:rsidRPr="0058047D">
        <w:rPr>
          <w:b/>
        </w:rPr>
        <w:t>Concessioni di Licenza Associate alla fine del ciclo di vita di SQL Server Workgroup Edition</w:t>
      </w:r>
    </w:p>
    <w:p w14:paraId="61B04B44" w14:textId="77777777" w:rsidR="00A81E83" w:rsidRPr="0058047D" w:rsidRDefault="00A81E83" w:rsidP="00DA46D5">
      <w:pPr>
        <w:ind w:left="720"/>
      </w:pPr>
      <w:r w:rsidRPr="0058047D">
        <w:rPr>
          <w:rFonts w:eastAsia="Calibri" w:cs="Tahoma"/>
          <w:szCs w:val="18"/>
        </w:rPr>
        <w:t>SQL Server 2008 R2 Workgroup sarà l</w:t>
      </w:r>
      <w:r w:rsidR="001C4212">
        <w:rPr>
          <w:rFonts w:eastAsia="Calibri" w:cs="Tahoma"/>
          <w:szCs w:val="18"/>
        </w:rPr>
        <w:t>’</w:t>
      </w:r>
      <w:r w:rsidRPr="0058047D">
        <w:rPr>
          <w:rFonts w:eastAsia="Calibri" w:cs="Tahoma"/>
          <w:szCs w:val="18"/>
        </w:rPr>
        <w:t>ultima versione di SQL Server Workgroup Edition.</w:t>
      </w:r>
      <w:r w:rsidR="00E34ED3" w:rsidRPr="0058047D">
        <w:rPr>
          <w:rFonts w:eastAsia="Calibri" w:cs="Tahoma"/>
          <w:szCs w:val="18"/>
        </w:rPr>
        <w:t xml:space="preserve"> </w:t>
      </w:r>
      <w:r w:rsidRPr="0058047D">
        <w:rPr>
          <w:rFonts w:eastAsia="Calibri" w:cs="Tahoma"/>
          <w:szCs w:val="18"/>
        </w:rPr>
        <w:t>In via eccezionale, le società con Contratti Multilicenza e con copertura Software Assurance attiva per le licenze per SQL Server 2008 R2 Workgroup Server in data 1 aprile 2012 potranno effettuare l</w:t>
      </w:r>
      <w:r w:rsidR="001C4212">
        <w:rPr>
          <w:rFonts w:eastAsia="Calibri" w:cs="Tahoma"/>
          <w:szCs w:val="18"/>
        </w:rPr>
        <w:t>’</w:t>
      </w:r>
      <w:r w:rsidRPr="0058047D">
        <w:rPr>
          <w:rFonts w:eastAsia="Calibri" w:cs="Tahoma"/>
          <w:szCs w:val="18"/>
        </w:rPr>
        <w:t>aggiornamento a SQL Server 2012 Standard Server e utilizzarlo (o a qualsiasi versione successiva del prodotto resa disponibile durante la copertura) al posto di SQL Server Workgroup Edition, nonché acquistare Software Assurance per SQL Server Standard alla scadenza della copertura in corso. Inoltre, le società con Contratti Multilicenza e con copertura Software Assurance attiva per le CAL per SQL Server 2008 R2 Workgroup in data 1 aprile 2012 potranno effettuare l</w:t>
      </w:r>
      <w:r w:rsidR="001C4212">
        <w:rPr>
          <w:rFonts w:eastAsia="Calibri" w:cs="Tahoma"/>
          <w:szCs w:val="18"/>
        </w:rPr>
        <w:t>’</w:t>
      </w:r>
      <w:r w:rsidRPr="0058047D">
        <w:rPr>
          <w:rFonts w:eastAsia="Calibri" w:cs="Tahoma"/>
          <w:szCs w:val="18"/>
        </w:rPr>
        <w:t>aggiornamento alle CAL per SQL Server 2012 (o a qualsiasi versione successiva della CAL resa disponibile durante la copertura) e utilizzarle al posto delle loro CAL per SQL Server Workgroup, nonché acquistare Software Assurance per la CAL per SQL Server in occasione del loro prossimo rinnovo.</w:t>
      </w:r>
      <w:r w:rsidR="00E34ED3" w:rsidRPr="0058047D">
        <w:rPr>
          <w:rFonts w:eastAsia="Calibri" w:cs="Tahoma"/>
          <w:szCs w:val="18"/>
        </w:rPr>
        <w:t xml:space="preserve"> </w:t>
      </w:r>
      <w:r w:rsidRPr="0058047D">
        <w:rPr>
          <w:rFonts w:eastAsia="Calibri" w:cs="Tahoma"/>
          <w:szCs w:val="18"/>
        </w:rPr>
        <w:t>Le licenze per SQL Server Workgroup delle società non sono più valide quando acquistano la copertura Software Assurance per SQL Server Standard ai sensi della presente offerta.</w:t>
      </w:r>
    </w:p>
    <w:p w14:paraId="43444C8A" w14:textId="77777777" w:rsidR="000D5F24" w:rsidRDefault="000D5F24"/>
    <w:p w14:paraId="2E3925FF" w14:textId="77777777" w:rsidR="00112425" w:rsidRDefault="00112425"/>
    <w:p w14:paraId="617375A3" w14:textId="77777777" w:rsidR="00112425" w:rsidRPr="0058047D" w:rsidRDefault="00112425"/>
    <w:p w14:paraId="2574CB6D" w14:textId="77777777" w:rsidR="00DA46D5" w:rsidRPr="0058047D" w:rsidRDefault="00A81E83" w:rsidP="00DA46D5">
      <w:pPr>
        <w:spacing w:after="60"/>
        <w:ind w:left="720"/>
      </w:pPr>
      <w:r w:rsidRPr="0058047D">
        <w:rPr>
          <w:b/>
        </w:rPr>
        <w:t>Per le società con sede nella Repubblica popolare</w:t>
      </w:r>
      <w:r w:rsidRPr="0058047D">
        <w:t xml:space="preserve"> </w:t>
      </w:r>
      <w:r w:rsidRPr="0058047D">
        <w:rPr>
          <w:b/>
        </w:rPr>
        <w:t>cinese, dove acquistano licenze e Software Assurance per SQL Server 2008 R2</w:t>
      </w:r>
    </w:p>
    <w:p w14:paraId="0CACECF1" w14:textId="77777777" w:rsidR="00A81E83" w:rsidRPr="0058047D" w:rsidRDefault="00A81E83" w:rsidP="00DA46D5">
      <w:pPr>
        <w:ind w:left="720"/>
      </w:pPr>
      <w:r w:rsidRPr="0058047D">
        <w:t>Non si applicano i riferimenti al 1 aprile 2012 presenti in questa nota relativa alla lista dei prodotti. La data applicabile per queste società sarebbe il 1 luglio 2012.</w:t>
      </w:r>
    </w:p>
    <w:p w14:paraId="610A92F2" w14:textId="77777777" w:rsidR="00DA46D5" w:rsidRPr="0058047D" w:rsidRDefault="00DA46D5" w:rsidP="00DA46D5">
      <w:pPr>
        <w:ind w:left="720"/>
      </w:pPr>
    </w:p>
    <w:p w14:paraId="6DB42CFF" w14:textId="77777777" w:rsidR="00DA46D5" w:rsidRPr="0058047D" w:rsidRDefault="00DA46D5" w:rsidP="00DA46D5">
      <w:pPr>
        <w:ind w:left="720"/>
      </w:pPr>
    </w:p>
    <w:p w14:paraId="342F1FBC" w14:textId="77777777" w:rsidR="00586FCE" w:rsidRPr="0058047D" w:rsidRDefault="00D629A3" w:rsidP="00DA46D5">
      <w:pPr>
        <w:ind w:left="720"/>
      </w:pPr>
      <w:r w:rsidRPr="0058047D">
        <w:rPr>
          <w:rFonts w:eastAsia="Calibri" w:cs="Tahoma"/>
          <w:color w:val="000000"/>
          <w:sz w:val="2"/>
          <w:szCs w:val="18"/>
        </w:rPr>
        <w:t>3</w:t>
      </w:r>
    </w:p>
    <w:p w14:paraId="0EE134C2" w14:textId="77777777" w:rsidR="00A81E83" w:rsidRPr="0058047D" w:rsidRDefault="00A560B6" w:rsidP="001760D6">
      <w:pPr>
        <w:pStyle w:val="Heading3"/>
        <w:keepNext/>
        <w:ind w:left="720" w:hanging="720"/>
      </w:pPr>
      <w:bookmarkStart w:id="1424" w:name="_79_77_SQL"/>
      <w:bookmarkStart w:id="1425" w:name="_81_SQL_Server®"/>
      <w:bookmarkStart w:id="1426" w:name="_84_SQL_Server®"/>
      <w:bookmarkStart w:id="1427" w:name="_Toc336338344"/>
      <w:bookmarkStart w:id="1428" w:name="_Toc371663736"/>
      <w:bookmarkStart w:id="1429" w:name="Srv_72SQLSvr08R2WorkgroupProc"/>
      <w:bookmarkEnd w:id="1424"/>
      <w:bookmarkEnd w:id="1425"/>
      <w:bookmarkEnd w:id="1426"/>
      <w:r w:rsidRPr="0058047D">
        <w:rPr>
          <w:rFonts w:ascii="Tahoma" w:hAnsi="Tahoma" w:cs="Tahoma"/>
          <w:color w:val="F66400"/>
          <w:sz w:val="22"/>
          <w:vertAlign w:val="superscript"/>
        </w:rPr>
        <w:t>83</w:t>
      </w:r>
      <w:r w:rsidRPr="0058047D">
        <w:rPr>
          <w:rFonts w:ascii="Tahoma" w:hAnsi="Tahoma" w:cs="Tahoma"/>
          <w:color w:val="F66400"/>
          <w:sz w:val="22"/>
        </w:rPr>
        <w:t xml:space="preserve"> Licenza per Processore per SQL Server</w:t>
      </w:r>
      <w:r w:rsidR="00E53A46" w:rsidRPr="0058047D">
        <w:rPr>
          <w:rFonts w:ascii="Tahoma" w:hAnsi="Tahoma" w:cs="Tahoma"/>
          <w:color w:val="F66400"/>
          <w:sz w:val="22"/>
          <w:vertAlign w:val="superscript"/>
        </w:rPr>
        <w:t>®</w:t>
      </w:r>
      <w:r w:rsidRPr="0058047D">
        <w:rPr>
          <w:rFonts w:ascii="Tahoma" w:hAnsi="Tahoma" w:cs="Tahoma"/>
          <w:color w:val="F66400"/>
          <w:sz w:val="22"/>
        </w:rPr>
        <w:t xml:space="preserve"> 2008 R2 Workgroup</w:t>
      </w:r>
      <w:bookmarkEnd w:id="1427"/>
      <w:bookmarkEnd w:id="1428"/>
    </w:p>
    <w:bookmarkEnd w:id="1429"/>
    <w:p w14:paraId="70B1B890" w14:textId="77777777" w:rsidR="00A81E83" w:rsidRPr="0058047D" w:rsidRDefault="00A81E83" w:rsidP="000C03F3">
      <w:pPr>
        <w:ind w:left="720"/>
      </w:pPr>
    </w:p>
    <w:p w14:paraId="6D024E17" w14:textId="77777777" w:rsidR="000C03F3" w:rsidRPr="0058047D" w:rsidRDefault="00A81E83" w:rsidP="000C03F3">
      <w:pPr>
        <w:spacing w:after="60"/>
        <w:ind w:left="720"/>
      </w:pPr>
      <w:r w:rsidRPr="0058047D">
        <w:rPr>
          <w:rFonts w:eastAsia="Calibri" w:cs="Tahoma"/>
          <w:b/>
          <w:color w:val="000000"/>
          <w:szCs w:val="18"/>
        </w:rPr>
        <w:t>Concessioni di Licenza Associate alla Variazione del Modello di Licenza</w:t>
      </w:r>
    </w:p>
    <w:p w14:paraId="0C7ACA36" w14:textId="77777777" w:rsidR="00A81E83" w:rsidRPr="00112425" w:rsidRDefault="00A81E83" w:rsidP="000C03F3">
      <w:pPr>
        <w:ind w:left="720"/>
        <w:rPr>
          <w:spacing w:val="-2"/>
        </w:rPr>
      </w:pPr>
      <w:r w:rsidRPr="00112425">
        <w:rPr>
          <w:rFonts w:eastAsia="Calibri" w:cs="Tahoma"/>
          <w:color w:val="000000"/>
          <w:spacing w:val="-2"/>
          <w:szCs w:val="18"/>
        </w:rPr>
        <w:t>SQL Server 2008 R2 sarà l</w:t>
      </w:r>
      <w:r w:rsidR="001C4212" w:rsidRPr="00112425">
        <w:rPr>
          <w:rFonts w:eastAsia="Calibri" w:cs="Tahoma"/>
          <w:color w:val="000000"/>
          <w:spacing w:val="-2"/>
          <w:szCs w:val="18"/>
        </w:rPr>
        <w:t>’</w:t>
      </w:r>
      <w:r w:rsidRPr="00112425">
        <w:rPr>
          <w:rFonts w:eastAsia="Calibri" w:cs="Tahoma"/>
          <w:color w:val="000000"/>
          <w:spacing w:val="-2"/>
          <w:szCs w:val="18"/>
        </w:rPr>
        <w:t>ultima versione di SQL Server concessa in licenza ai sensi del modello di licenza per processore e l</w:t>
      </w:r>
      <w:r w:rsidR="001C4212" w:rsidRPr="00112425">
        <w:rPr>
          <w:rFonts w:eastAsia="Calibri" w:cs="Tahoma"/>
          <w:color w:val="000000"/>
          <w:spacing w:val="-2"/>
          <w:szCs w:val="18"/>
        </w:rPr>
        <w:t>’</w:t>
      </w:r>
      <w:r w:rsidRPr="00112425">
        <w:rPr>
          <w:rFonts w:eastAsia="Calibri" w:cs="Tahoma"/>
          <w:color w:val="000000"/>
          <w:spacing w:val="-2"/>
          <w:szCs w:val="18"/>
        </w:rPr>
        <w:t>ultima versione di SQL Server Workgroup Edition.</w:t>
      </w:r>
      <w:r w:rsidR="00E34ED3" w:rsidRPr="00112425">
        <w:rPr>
          <w:rFonts w:eastAsia="Calibri" w:cs="Tahoma"/>
          <w:color w:val="000000"/>
          <w:spacing w:val="-2"/>
          <w:szCs w:val="18"/>
        </w:rPr>
        <w:t xml:space="preserve"> </w:t>
      </w:r>
      <w:r w:rsidRPr="00112425">
        <w:rPr>
          <w:rFonts w:eastAsia="Calibri" w:cs="Tahoma"/>
          <w:color w:val="000000"/>
          <w:spacing w:val="-2"/>
          <w:szCs w:val="18"/>
        </w:rPr>
        <w:t xml:space="preserve">In via eccezionale, alle società con Contratti Multilicenza e copertura Software Assurance attiva per le licenze per processore per SQL Server 2008 R2 Workgroup in data 1 aprile 2012 (“licenze qualificanti”) </w:t>
      </w:r>
      <w:r w:rsidRPr="00112425">
        <w:rPr>
          <w:rFonts w:eastAsia="Calibri" w:cs="Tahoma"/>
          <w:spacing w:val="-2"/>
          <w:szCs w:val="18"/>
        </w:rPr>
        <w:t>vengono</w:t>
      </w:r>
      <w:r w:rsidRPr="00112425">
        <w:rPr>
          <w:rFonts w:eastAsia="Calibri" w:cs="Tahoma"/>
          <w:color w:val="000000"/>
          <w:spacing w:val="-2"/>
          <w:szCs w:val="18"/>
        </w:rPr>
        <w:t xml:space="preserve"> offerte le opzioni che seguono. Le licenze per processore per SQL Server 2008 R2 Workgroup</w:t>
      </w:r>
      <w:r w:rsidRPr="00112425">
        <w:rPr>
          <w:rFonts w:cs="Tahoma"/>
          <w:bCs/>
          <w:color w:val="000000"/>
          <w:spacing w:val="-2"/>
          <w:szCs w:val="18"/>
        </w:rPr>
        <w:t>, acquistate successivamente nello stesso periodo di validità dell</w:t>
      </w:r>
      <w:r w:rsidR="001C4212" w:rsidRPr="00112425">
        <w:rPr>
          <w:rFonts w:cs="Tahoma"/>
          <w:bCs/>
          <w:color w:val="000000"/>
          <w:spacing w:val="-2"/>
          <w:szCs w:val="18"/>
        </w:rPr>
        <w:t>’</w:t>
      </w:r>
      <w:r w:rsidRPr="00112425">
        <w:rPr>
          <w:rFonts w:cs="Tahoma"/>
          <w:bCs/>
          <w:color w:val="000000"/>
          <w:spacing w:val="-2"/>
          <w:szCs w:val="18"/>
        </w:rPr>
        <w:t>iscrizione, ma prima del 1° aprile 2015 nell</w:t>
      </w:r>
      <w:r w:rsidR="001C4212" w:rsidRPr="00112425">
        <w:rPr>
          <w:rFonts w:cs="Tahoma"/>
          <w:bCs/>
          <w:color w:val="000000"/>
          <w:spacing w:val="-2"/>
          <w:szCs w:val="18"/>
        </w:rPr>
        <w:t>’</w:t>
      </w:r>
      <w:r w:rsidRPr="00112425">
        <w:rPr>
          <w:rFonts w:cs="Tahoma"/>
          <w:bCs/>
          <w:color w:val="000000"/>
          <w:spacing w:val="-2"/>
          <w:szCs w:val="18"/>
        </w:rPr>
        <w:t>ambito di una procedura pianificata di true-up della società con contratto Enterprise, Enterprise Subscription, Open Value Subscription o Enrollment for Education Solutions, sono anch</w:t>
      </w:r>
      <w:r w:rsidR="001C4212" w:rsidRPr="00112425">
        <w:rPr>
          <w:rFonts w:cs="Tahoma"/>
          <w:bCs/>
          <w:color w:val="000000"/>
          <w:spacing w:val="-2"/>
          <w:szCs w:val="18"/>
        </w:rPr>
        <w:t>’</w:t>
      </w:r>
      <w:r w:rsidRPr="00112425">
        <w:rPr>
          <w:rFonts w:cs="Tahoma"/>
          <w:bCs/>
          <w:color w:val="000000"/>
          <w:spacing w:val="-2"/>
          <w:szCs w:val="18"/>
        </w:rPr>
        <w:t>esse licenze qualificanti per gli scopi previsti da tali opzioni.</w:t>
      </w:r>
      <w:r w:rsidR="00E34ED3" w:rsidRPr="00112425">
        <w:rPr>
          <w:rFonts w:cs="Tahoma"/>
          <w:bCs/>
          <w:color w:val="000000"/>
          <w:spacing w:val="-2"/>
          <w:szCs w:val="18"/>
        </w:rPr>
        <w:t xml:space="preserve"> </w:t>
      </w:r>
      <w:r w:rsidRPr="00112425">
        <w:rPr>
          <w:rFonts w:cs="Tahoma"/>
          <w:bCs/>
          <w:color w:val="000000"/>
          <w:spacing w:val="-2"/>
          <w:szCs w:val="18"/>
        </w:rPr>
        <w:t>Le licenze acquistate dopo il 1 aprile 2015, o in un periodo di validità dell</w:t>
      </w:r>
      <w:r w:rsidR="001C4212" w:rsidRPr="00112425">
        <w:rPr>
          <w:rFonts w:cs="Tahoma"/>
          <w:bCs/>
          <w:color w:val="000000"/>
          <w:spacing w:val="-2"/>
          <w:szCs w:val="18"/>
        </w:rPr>
        <w:t>’</w:t>
      </w:r>
      <w:r w:rsidRPr="00112425">
        <w:rPr>
          <w:rFonts w:cs="Tahoma"/>
          <w:bCs/>
          <w:color w:val="000000"/>
          <w:spacing w:val="-2"/>
          <w:szCs w:val="18"/>
        </w:rPr>
        <w:t>iscrizione successivo, ai sensi di un contratto distinto o di un</w:t>
      </w:r>
      <w:r w:rsidR="001C4212" w:rsidRPr="00112425">
        <w:rPr>
          <w:rFonts w:cs="Tahoma"/>
          <w:bCs/>
          <w:color w:val="000000"/>
          <w:spacing w:val="-2"/>
          <w:szCs w:val="18"/>
        </w:rPr>
        <w:t>’</w:t>
      </w:r>
      <w:r w:rsidRPr="00112425">
        <w:rPr>
          <w:rFonts w:cs="Tahoma"/>
          <w:bCs/>
          <w:color w:val="000000"/>
          <w:spacing w:val="-2"/>
          <w:szCs w:val="18"/>
        </w:rPr>
        <w:t>iscrizione con la data di entrata in vigore posteriore al 1 aprile 2012, non sono licenze qualificanti.</w:t>
      </w:r>
    </w:p>
    <w:p w14:paraId="5DAC24D9" w14:textId="77777777" w:rsidR="000C03F3" w:rsidRPr="0058047D" w:rsidRDefault="000C03F3" w:rsidP="000C03F3">
      <w:pPr>
        <w:ind w:left="720"/>
      </w:pPr>
    </w:p>
    <w:p w14:paraId="300E919E" w14:textId="77777777" w:rsidR="000C03F3" w:rsidRPr="0058047D" w:rsidRDefault="000C03F3" w:rsidP="000C03F3">
      <w:pPr>
        <w:spacing w:after="60"/>
        <w:ind w:left="720"/>
      </w:pPr>
      <w:r w:rsidRPr="0058047D">
        <w:rPr>
          <w:rFonts w:eastAsia="Calibri" w:cs="Tahoma"/>
          <w:b/>
          <w:color w:val="000000"/>
          <w:szCs w:val="18"/>
        </w:rPr>
        <w:t>Periodo di Validità Corrente</w:t>
      </w:r>
    </w:p>
    <w:p w14:paraId="39F52CBF" w14:textId="77777777" w:rsidR="00A81E83" w:rsidRPr="00112425" w:rsidRDefault="00A81E83" w:rsidP="000C03F3">
      <w:pPr>
        <w:tabs>
          <w:tab w:val="left" w:pos="720"/>
        </w:tabs>
        <w:ind w:left="720"/>
        <w:rPr>
          <w:spacing w:val="-2"/>
        </w:rPr>
      </w:pPr>
      <w:r w:rsidRPr="00112425">
        <w:rPr>
          <w:rFonts w:eastAsia="Calibri" w:cs="Tahoma"/>
          <w:spacing w:val="-2"/>
          <w:szCs w:val="18"/>
        </w:rPr>
        <w:t>durante il periodo di validità corrente della copertura Software Assurance a partire dal 1 aprile 2012 le società (incluse le società titolari di contratti “subscription”) potranno, ai sensi di una licenza qualificante, effettuare l</w:t>
      </w:r>
      <w:r w:rsidR="001C4212" w:rsidRPr="00112425">
        <w:rPr>
          <w:rFonts w:eastAsia="Calibri" w:cs="Tahoma"/>
          <w:spacing w:val="-2"/>
          <w:szCs w:val="18"/>
        </w:rPr>
        <w:t>’</w:t>
      </w:r>
      <w:r w:rsidRPr="00112425">
        <w:rPr>
          <w:rFonts w:eastAsia="Calibri" w:cs="Tahoma"/>
          <w:spacing w:val="-2"/>
          <w:szCs w:val="18"/>
        </w:rPr>
        <w:t>aggiornamento al software SQL Server 2012 Standard Core e utilizzarlo al posto di SQL Server 2008 R2 Workgroup in conformità ai diritti di utilizzo del prodotto previsti dalla licenza per processore SQL Server 2008 R2 Standard (come indicato nei Diritti di Utilizzo del Prodotto del mese di gennaio 2012). alle società vengono concessi diritti aggiuntivi ai sensi di Mobilità delle Licenze tramite Software Assurance e Mobilità delle Licenze all</w:t>
      </w:r>
      <w:r w:rsidR="001C4212" w:rsidRPr="00112425">
        <w:rPr>
          <w:rFonts w:eastAsia="Calibri" w:cs="Tahoma"/>
          <w:spacing w:val="-2"/>
          <w:szCs w:val="18"/>
        </w:rPr>
        <w:t>’</w:t>
      </w:r>
      <w:r w:rsidRPr="00112425">
        <w:rPr>
          <w:rFonts w:eastAsia="Calibri" w:cs="Tahoma"/>
          <w:spacing w:val="-2"/>
          <w:szCs w:val="18"/>
        </w:rPr>
        <w:t>interno di Server Farm. Le società dovranno fare riferimento ai Diritti di Utilizzo del Prodotto per SQL Server 2012 Standard Core per quanto riguarda le condizioni di licenza per Mobilità delle Licenze.</w:t>
      </w:r>
    </w:p>
    <w:p w14:paraId="0DC266C5" w14:textId="77777777" w:rsidR="000C03F3" w:rsidRPr="0058047D" w:rsidRDefault="000C03F3" w:rsidP="000C03F3">
      <w:pPr>
        <w:tabs>
          <w:tab w:val="left" w:pos="720"/>
        </w:tabs>
        <w:ind w:left="720"/>
      </w:pPr>
    </w:p>
    <w:p w14:paraId="75ED3CB3" w14:textId="77777777" w:rsidR="000C03F3" w:rsidRPr="0058047D" w:rsidRDefault="00A81E83" w:rsidP="000C03F3">
      <w:pPr>
        <w:spacing w:after="60"/>
        <w:ind w:left="720"/>
      </w:pPr>
      <w:r w:rsidRPr="0058047D">
        <w:rPr>
          <w:rFonts w:eastAsia="Calibri" w:cs="Tahoma"/>
          <w:b/>
          <w:color w:val="000000"/>
          <w:szCs w:val="18"/>
        </w:rPr>
        <w:t>Primo Periodo di Rinnovo (prima del 1 aprile 2015)</w:t>
      </w:r>
    </w:p>
    <w:p w14:paraId="293E9484" w14:textId="77777777" w:rsidR="00A81E83" w:rsidRPr="0058047D" w:rsidRDefault="00A81E83" w:rsidP="000C03F3">
      <w:pPr>
        <w:tabs>
          <w:tab w:val="left" w:pos="720"/>
        </w:tabs>
        <w:ind w:left="720"/>
      </w:pPr>
      <w:r w:rsidRPr="0058047D">
        <w:rPr>
          <w:rFonts w:eastAsia="Calibri" w:cs="Tahoma"/>
          <w:szCs w:val="18"/>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14:paraId="60D45E99" w14:textId="77777777" w:rsidR="00A81E83" w:rsidRPr="0058047D" w:rsidRDefault="00A81E83" w:rsidP="00346F4B">
      <w:pPr>
        <w:numPr>
          <w:ilvl w:val="0"/>
          <w:numId w:val="117"/>
        </w:numPr>
        <w:tabs>
          <w:tab w:val="left" w:pos="1440"/>
        </w:tabs>
        <w:ind w:left="1440"/>
      </w:pPr>
      <w:r w:rsidRPr="0058047D">
        <w:rPr>
          <w:rFonts w:eastAsia="Calibri" w:cs="Tahoma"/>
          <w:szCs w:val="18"/>
        </w:rPr>
        <w:t xml:space="preserve">un numero pari al numero minore delle licenze qualificanti cedute al server o al numero totale dei processori fisici sul server moltiplicato per il maggiore tra: </w:t>
      </w:r>
    </w:p>
    <w:p w14:paraId="4E3DFAD5" w14:textId="77777777" w:rsidR="00A81E83" w:rsidRPr="0058047D" w:rsidRDefault="00A81E83" w:rsidP="00346F4B">
      <w:pPr>
        <w:numPr>
          <w:ilvl w:val="0"/>
          <w:numId w:val="91"/>
        </w:numPr>
        <w:tabs>
          <w:tab w:val="left" w:pos="1800"/>
        </w:tabs>
        <w:ind w:left="1800"/>
      </w:pPr>
      <w:r w:rsidRPr="0058047D">
        <w:rPr>
          <w:rFonts w:eastAsia="Calibri" w:cs="Tahoma"/>
          <w:szCs w:val="18"/>
        </w:rPr>
        <w:t>quattro O</w:t>
      </w:r>
    </w:p>
    <w:p w14:paraId="3ACCA2C2" w14:textId="77777777" w:rsidR="00A81E83" w:rsidRPr="0058047D" w:rsidRDefault="00A81E83" w:rsidP="00346F4B">
      <w:pPr>
        <w:numPr>
          <w:ilvl w:val="0"/>
          <w:numId w:val="91"/>
        </w:numPr>
        <w:tabs>
          <w:tab w:val="left" w:pos="1800"/>
        </w:tabs>
        <w:ind w:left="1800"/>
      </w:pPr>
      <w:r w:rsidRPr="0058047D">
        <w:rPr>
          <w:rFonts w:eastAsia="Calibri" w:cs="Tahoma"/>
          <w:szCs w:val="18"/>
        </w:rPr>
        <w:t>il numero effettivo di core per processore fisico moltiplicato per il fattore core appropriato.</w:t>
      </w:r>
      <w:r w:rsidR="00E34ED3" w:rsidRPr="0058047D">
        <w:rPr>
          <w:rFonts w:eastAsia="Calibri" w:cs="Tahoma"/>
          <w:szCs w:val="18"/>
        </w:rPr>
        <w:t xml:space="preserve"> </w:t>
      </w:r>
      <w:r w:rsidRPr="0058047D">
        <w:rPr>
          <w:rFonts w:eastAsia="Calibri" w:cs="Tahoma"/>
          <w:szCs w:val="18"/>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1C4212">
        <w:rPr>
          <w:rFonts w:eastAsia="Calibri" w:cs="Tahoma"/>
          <w:szCs w:val="18"/>
        </w:rPr>
        <w:t>’</w:t>
      </w:r>
      <w:r w:rsidRPr="0058047D">
        <w:rPr>
          <w:rFonts w:eastAsia="Calibri" w:cs="Tahoma"/>
          <w:szCs w:val="18"/>
        </w:rPr>
        <w:t xml:space="preserve">hardware fisico che supporta tale software appena prima del rinnovo di Software Assurance utilizzando lo strumento MAP di Microsoft o un software equivalente). </w:t>
      </w:r>
    </w:p>
    <w:p w14:paraId="578CBD19" w14:textId="77777777" w:rsidR="00A81E83" w:rsidRPr="0058047D" w:rsidRDefault="00A81E83" w:rsidP="00346F4B">
      <w:pPr>
        <w:numPr>
          <w:ilvl w:val="0"/>
          <w:numId w:val="117"/>
        </w:numPr>
        <w:tabs>
          <w:tab w:val="left" w:pos="1440"/>
        </w:tabs>
        <w:ind w:left="1440"/>
      </w:pPr>
      <w:r w:rsidRPr="0058047D">
        <w:rPr>
          <w:rFonts w:eastAsia="Calibri" w:cs="Tahoma"/>
          <w:szCs w:val="18"/>
        </w:rPr>
        <w:t>un numero pari al numero di licenze qualificanti cedute al server oltre al numero effettivo di processori fisici sul server moltiplicato per quattro.</w:t>
      </w:r>
    </w:p>
    <w:p w14:paraId="4D3F5301" w14:textId="77777777" w:rsidR="000C03F3" w:rsidRPr="0058047D" w:rsidRDefault="000C03F3" w:rsidP="000C03F3">
      <w:pPr>
        <w:tabs>
          <w:tab w:val="left" w:pos="1440"/>
        </w:tabs>
      </w:pPr>
    </w:p>
    <w:p w14:paraId="11602EEC" w14:textId="77777777" w:rsidR="000C03F3" w:rsidRPr="0058047D" w:rsidRDefault="00A81E83" w:rsidP="000C03F3">
      <w:pPr>
        <w:spacing w:after="60"/>
        <w:ind w:left="720"/>
      </w:pPr>
      <w:r w:rsidRPr="0058047D">
        <w:rPr>
          <w:rFonts w:eastAsia="Calibri" w:cs="Tahoma"/>
          <w:b/>
          <w:szCs w:val="18"/>
        </w:rPr>
        <w:t>Primo Periodo di Rinnovo (in data 1 aprile 2015 o successiva)</w:t>
      </w:r>
    </w:p>
    <w:p w14:paraId="31F4DA3E" w14:textId="77777777" w:rsidR="00A81E83" w:rsidRPr="0058047D" w:rsidRDefault="00A81E83" w:rsidP="000C03F3">
      <w:pPr>
        <w:ind w:left="720"/>
      </w:pPr>
      <w:r w:rsidRPr="0058047D">
        <w:rPr>
          <w:rFonts w:eastAsia="Calibri" w:cs="Tahoma"/>
          <w:color w:val="000000"/>
          <w:szCs w:val="18"/>
        </w:rPr>
        <w:t>Le società che rinnovano per la prima volta la copertura in data 1 aprile 2015</w:t>
      </w:r>
      <w:r w:rsidRPr="0058047D">
        <w:rPr>
          <w:rFonts w:eastAsia="Calibri" w:cs="Tahoma"/>
          <w:szCs w:val="18"/>
        </w:rPr>
        <w:t xml:space="preserve"> potranno, per ogni server ottenuto in licenza in conformità ai diritti di utilizzo del prodotto previsti dalla licenza per processore SQL Server 2008 R2, acquistare la copertura Software Assurance come di seguito indicato:</w:t>
      </w:r>
    </w:p>
    <w:p w14:paraId="19655371" w14:textId="77777777" w:rsidR="000C03F3" w:rsidRPr="0058047D" w:rsidRDefault="000C03F3" w:rsidP="000C03F3">
      <w:pPr>
        <w:ind w:left="720"/>
      </w:pPr>
    </w:p>
    <w:p w14:paraId="5F3EE480" w14:textId="77777777" w:rsidR="00A81E83" w:rsidRPr="0058047D" w:rsidRDefault="00A81E83" w:rsidP="00346F4B">
      <w:pPr>
        <w:numPr>
          <w:ilvl w:val="3"/>
          <w:numId w:val="92"/>
        </w:numPr>
        <w:tabs>
          <w:tab w:val="left" w:pos="1170"/>
        </w:tabs>
        <w:spacing w:after="60"/>
        <w:ind w:left="1440" w:hanging="360"/>
      </w:pPr>
      <w:r w:rsidRPr="0058047D">
        <w:rPr>
          <w:rFonts w:eastAsia="Calibri" w:cs="Tahoma"/>
          <w:szCs w:val="18"/>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 del 1 aprile 2015)” e </w:t>
      </w:r>
    </w:p>
    <w:p w14:paraId="0AD0E329" w14:textId="77777777" w:rsidR="00A81E83" w:rsidRPr="0058047D" w:rsidRDefault="00A81E83" w:rsidP="00346F4B">
      <w:pPr>
        <w:numPr>
          <w:ilvl w:val="3"/>
          <w:numId w:val="92"/>
        </w:numPr>
        <w:tabs>
          <w:tab w:val="left" w:pos="1170"/>
        </w:tabs>
        <w:spacing w:after="60"/>
        <w:ind w:left="1440" w:hanging="360"/>
      </w:pPr>
      <w:r w:rsidRPr="0058047D">
        <w:rPr>
          <w:rFonts w:eastAsia="Calibri" w:cs="Tahoma"/>
          <w:szCs w:val="18"/>
        </w:rPr>
        <w:t>per le licenze acquistate dopo il 1 aprile 2015 le società potranno rinnovare la copertura Software Assurance per quattro licenze core per SQL Server Standard senza dover acquistare le licenze core sottostanti per ogni licenza per processore per SQL Server 2008 R2 Workgroup. Per l</w:t>
      </w:r>
      <w:r w:rsidR="001C4212">
        <w:rPr>
          <w:rFonts w:eastAsia="Calibri" w:cs="Tahoma"/>
          <w:szCs w:val="18"/>
        </w:rPr>
        <w:t>’</w:t>
      </w:r>
      <w:r w:rsidRPr="0058047D">
        <w:rPr>
          <w:rFonts w:eastAsia="Calibri" w:cs="Tahoma"/>
          <w:szCs w:val="18"/>
        </w:rPr>
        <w:t>utilizzo continuativo di SQL Server 2012 su processori che richiedono più di quattro licenze core per processore la società deve acquistare le licenze core aggiuntive.</w:t>
      </w:r>
    </w:p>
    <w:p w14:paraId="0AA75B83" w14:textId="77777777" w:rsidR="00A81E83" w:rsidRPr="0058047D" w:rsidRDefault="00A81E83" w:rsidP="00346F4B">
      <w:pPr>
        <w:numPr>
          <w:ilvl w:val="0"/>
          <w:numId w:val="50"/>
        </w:numPr>
        <w:tabs>
          <w:tab w:val="left" w:pos="720"/>
          <w:tab w:val="left" w:pos="1170"/>
        </w:tabs>
        <w:spacing w:after="60"/>
        <w:ind w:left="1440"/>
      </w:pPr>
      <w:r w:rsidRPr="0058047D">
        <w:rPr>
          <w:rFonts w:eastAsia="Calibri" w:cs="Tahoma"/>
          <w:szCs w:val="18"/>
        </w:rPr>
        <w:t>Le licenze per processore delle società non sono più valide se si acquista la copertura Software Assurance per licenze core ai sensi della presente offerta. L</w:t>
      </w:r>
      <w:r w:rsidR="001C4212">
        <w:rPr>
          <w:rFonts w:eastAsia="Calibri" w:cs="Tahoma"/>
          <w:szCs w:val="18"/>
        </w:rPr>
        <w:t>’</w:t>
      </w:r>
      <w:r w:rsidRPr="0058047D">
        <w:rPr>
          <w:rFonts w:eastAsia="Calibri" w:cs="Tahoma"/>
          <w:szCs w:val="18"/>
        </w:rPr>
        <w:t>opzione di acquistare Software Assurance per le licenze core per SQL Server non è applicabile al rinnovo della copertura ai sensi dei programmi di sottoscrizione.</w:t>
      </w:r>
      <w:r w:rsidR="00E34ED3" w:rsidRPr="0058047D">
        <w:rPr>
          <w:rFonts w:eastAsia="Calibri" w:cs="Tahoma"/>
          <w:szCs w:val="18"/>
        </w:rPr>
        <w:t xml:space="preserve"> </w:t>
      </w:r>
    </w:p>
    <w:p w14:paraId="516E6C3B" w14:textId="77777777" w:rsidR="000C03F3" w:rsidRPr="0058047D" w:rsidRDefault="000C03F3" w:rsidP="000C03F3">
      <w:pPr>
        <w:tabs>
          <w:tab w:val="left" w:pos="720"/>
        </w:tabs>
        <w:ind w:left="720"/>
      </w:pPr>
    </w:p>
    <w:p w14:paraId="143B03C1" w14:textId="77777777" w:rsidR="000C03F3" w:rsidRPr="0058047D" w:rsidRDefault="00A81E83" w:rsidP="001760D6">
      <w:pPr>
        <w:keepNext/>
        <w:tabs>
          <w:tab w:val="left" w:pos="720"/>
          <w:tab w:val="left" w:pos="1800"/>
        </w:tabs>
        <w:spacing w:after="60"/>
        <w:ind w:left="720"/>
      </w:pPr>
      <w:r w:rsidRPr="0058047D">
        <w:rPr>
          <w:rFonts w:eastAsia="Calibri" w:cs="Tahoma"/>
          <w:b/>
          <w:szCs w:val="18"/>
        </w:rPr>
        <w:t>Per le Società con copertura Software Assurance in scadenza prima del 1 aprile 2015 che scelgono di non effettuare il rinnovo</w:t>
      </w:r>
    </w:p>
    <w:p w14:paraId="370BC14E" w14:textId="77777777" w:rsidR="00A81E83" w:rsidRPr="0058047D" w:rsidRDefault="00A81E83" w:rsidP="000C03F3">
      <w:pPr>
        <w:tabs>
          <w:tab w:val="left" w:pos="720"/>
          <w:tab w:val="left" w:pos="1800"/>
        </w:tabs>
        <w:ind w:left="720"/>
      </w:pPr>
      <w:r w:rsidRPr="0058047D">
        <w:rPr>
          <w:rFonts w:eastAsia="Calibri" w:cs="Tahoma"/>
          <w:szCs w:val="18"/>
        </w:rPr>
        <w:t xml:space="preserve">Le società titolari di contratti Enterprise Subscription </w:t>
      </w:r>
      <w:r w:rsidRPr="0058047D">
        <w:rPr>
          <w:rFonts w:cs="Tahoma"/>
          <w:bCs/>
          <w:color w:val="000000"/>
          <w:szCs w:val="18"/>
        </w:rPr>
        <w:t xml:space="preserve">e Open Value Subscription </w:t>
      </w:r>
      <w:r w:rsidRPr="0058047D">
        <w:rPr>
          <w:rFonts w:eastAsia="Calibri" w:cs="Tahoma"/>
          <w:szCs w:val="18"/>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14:paraId="59039E08" w14:textId="77777777" w:rsidR="000C03F3" w:rsidRPr="0058047D" w:rsidRDefault="000C03F3" w:rsidP="000C03F3">
      <w:pPr>
        <w:tabs>
          <w:tab w:val="left" w:pos="720"/>
          <w:tab w:val="left" w:pos="1800"/>
        </w:tabs>
        <w:ind w:left="720"/>
      </w:pPr>
    </w:p>
    <w:p w14:paraId="7AD28ACB" w14:textId="77777777" w:rsidR="00A81E83" w:rsidRPr="0058047D" w:rsidRDefault="00A81E83" w:rsidP="00346F4B">
      <w:pPr>
        <w:numPr>
          <w:ilvl w:val="0"/>
          <w:numId w:val="58"/>
        </w:numPr>
        <w:tabs>
          <w:tab w:val="left" w:pos="1440"/>
        </w:tabs>
        <w:spacing w:after="60"/>
        <w:ind w:left="1440"/>
      </w:pPr>
      <w:r w:rsidRPr="0058047D">
        <w:rPr>
          <w:rFonts w:eastAsia="Calibri" w:cs="Tahoma"/>
          <w:b/>
          <w:szCs w:val="18"/>
        </w:rPr>
        <w:t>SQL Server 2008 R2 Workgroup:</w:t>
      </w:r>
      <w:r w:rsidRPr="0058047D">
        <w:rPr>
          <w:rFonts w:eastAsia="Calibri" w:cs="Tahoma"/>
          <w:szCs w:val="18"/>
        </w:rPr>
        <w:t xml:space="preserve"> l</w:t>
      </w:r>
      <w:r w:rsidR="001C4212">
        <w:rPr>
          <w:rFonts w:eastAsia="Calibri" w:cs="Tahoma"/>
          <w:szCs w:val="18"/>
        </w:rPr>
        <w:t>’</w:t>
      </w:r>
      <w:r w:rsidRPr="0058047D">
        <w:rPr>
          <w:rFonts w:eastAsia="Calibri" w:cs="Tahoma"/>
          <w:szCs w:val="18"/>
        </w:rPr>
        <w:t>utilizzo continuativo di tale versione del software è soggetto ai diritti di utilizzo del prodotto previsti dalla licenza per processore SQL Server 2008 R2 Workgroup. Le società non disporranno più di diritti ai sensi della Mobilità delle Licenze all</w:t>
      </w:r>
      <w:r w:rsidR="001C4212">
        <w:rPr>
          <w:rFonts w:eastAsia="Calibri" w:cs="Tahoma"/>
          <w:szCs w:val="18"/>
        </w:rPr>
        <w:t>’</w:t>
      </w:r>
      <w:r w:rsidRPr="0058047D">
        <w:rPr>
          <w:rFonts w:eastAsia="Calibri" w:cs="Tahoma"/>
          <w:szCs w:val="18"/>
        </w:rPr>
        <w:t xml:space="preserve">interno di Server Farm o della Mobilità delle Licenze tramite Software Assurance. </w:t>
      </w:r>
    </w:p>
    <w:p w14:paraId="7A23918B" w14:textId="77777777" w:rsidR="00A81E83" w:rsidRPr="0058047D" w:rsidRDefault="00A81E83" w:rsidP="00346F4B">
      <w:pPr>
        <w:numPr>
          <w:ilvl w:val="0"/>
          <w:numId w:val="58"/>
        </w:numPr>
        <w:tabs>
          <w:tab w:val="left" w:pos="1440"/>
        </w:tabs>
        <w:spacing w:after="60"/>
        <w:ind w:left="1440"/>
      </w:pPr>
      <w:r w:rsidRPr="0058047D">
        <w:rPr>
          <w:rFonts w:eastAsia="Calibri" w:cs="Tahoma"/>
          <w:b/>
          <w:szCs w:val="18"/>
        </w:rPr>
        <w:t xml:space="preserve">SQL Server 2012 Standard Core: </w:t>
      </w:r>
      <w:r w:rsidRPr="0058047D">
        <w:rPr>
          <w:rFonts w:eastAsia="Calibri" w:cs="Tahoma"/>
          <w:szCs w:val="18"/>
        </w:rPr>
        <w:t>l</w:t>
      </w:r>
      <w:r w:rsidR="001C4212">
        <w:rPr>
          <w:rFonts w:eastAsia="Calibri" w:cs="Tahoma"/>
          <w:szCs w:val="18"/>
        </w:rPr>
        <w:t>’</w:t>
      </w:r>
      <w:r w:rsidRPr="0058047D">
        <w:rPr>
          <w:rFonts w:eastAsia="Calibri" w:cs="Tahoma"/>
          <w:szCs w:val="18"/>
        </w:rPr>
        <w:t xml:space="preserve">utilizzo di tale versione del software è soggetto ai diritti di utilizzo del prodotto previsti dalla licenza per processore SQL Server 2008 R2 Standard, tuttavia: </w:t>
      </w:r>
    </w:p>
    <w:p w14:paraId="41936ED1" w14:textId="77777777" w:rsidR="00A81E83" w:rsidRPr="0058047D" w:rsidRDefault="00A81E83" w:rsidP="00346F4B">
      <w:pPr>
        <w:numPr>
          <w:ilvl w:val="1"/>
          <w:numId w:val="58"/>
        </w:numPr>
        <w:tabs>
          <w:tab w:val="left" w:pos="1800"/>
        </w:tabs>
        <w:spacing w:after="60"/>
        <w:ind w:left="1800"/>
      </w:pPr>
      <w:r w:rsidRPr="0058047D">
        <w:rPr>
          <w:rFonts w:eastAsia="Calibri" w:cs="Tahoma"/>
          <w:szCs w:val="18"/>
        </w:rPr>
        <w:t>le società non disporranno più di diritti ai sensi della Mobilità delle Licenze all</w:t>
      </w:r>
      <w:r w:rsidR="001C4212">
        <w:rPr>
          <w:rFonts w:eastAsia="Calibri" w:cs="Tahoma"/>
          <w:szCs w:val="18"/>
        </w:rPr>
        <w:t>’</w:t>
      </w:r>
      <w:r w:rsidRPr="0058047D">
        <w:rPr>
          <w:rFonts w:eastAsia="Calibri" w:cs="Tahoma"/>
          <w:szCs w:val="18"/>
        </w:rPr>
        <w:t xml:space="preserve">interno di Server Farm o della Mobilità delle Licenze tramite Software Assurance e </w:t>
      </w:r>
    </w:p>
    <w:p w14:paraId="500F225D" w14:textId="77777777" w:rsidR="00A81E83" w:rsidRPr="0058047D" w:rsidRDefault="00A81E83" w:rsidP="00346F4B">
      <w:pPr>
        <w:numPr>
          <w:ilvl w:val="1"/>
          <w:numId w:val="58"/>
        </w:numPr>
        <w:tabs>
          <w:tab w:val="left" w:pos="1800"/>
        </w:tabs>
        <w:spacing w:after="60"/>
        <w:ind w:left="1800"/>
      </w:pPr>
      <w:r w:rsidRPr="0058047D">
        <w:rPr>
          <w:rFonts w:eastAsia="Calibri" w:cs="Tahoma"/>
          <w:szCs w:val="18"/>
        </w:rPr>
        <w:t>l</w:t>
      </w:r>
      <w:r w:rsidR="001C4212">
        <w:rPr>
          <w:rFonts w:eastAsia="Calibri" w:cs="Tahoma"/>
          <w:szCs w:val="18"/>
        </w:rPr>
        <w:t>’</w:t>
      </w:r>
      <w:r w:rsidRPr="0058047D">
        <w:rPr>
          <w:rFonts w:eastAsia="Calibri" w:cs="Tahoma"/>
          <w:szCs w:val="18"/>
        </w:rPr>
        <w:t>eventuale riassegnazione di licenze è soggetta ai limiti indicati nei paragrafi (i) e (ii) che seguono relativi alla loro “equivalenza di licenze core”. L</w:t>
      </w:r>
      <w:r w:rsidR="001C4212">
        <w:rPr>
          <w:rFonts w:eastAsia="Calibri" w:cs="Tahoma"/>
          <w:szCs w:val="18"/>
        </w:rPr>
        <w:t>’</w:t>
      </w:r>
      <w:r w:rsidRPr="0058047D">
        <w:rPr>
          <w:rFonts w:eastAsia="Calibri" w:cs="Tahoma"/>
          <w:szCs w:val="18"/>
        </w:rPr>
        <w:t xml:space="preserve">equivalenza di licenze core è determinata come di seguito riportato. </w:t>
      </w:r>
    </w:p>
    <w:p w14:paraId="6FA62CD6" w14:textId="77777777" w:rsidR="00A81E83" w:rsidRPr="0058047D" w:rsidRDefault="00A81E83" w:rsidP="00346F4B">
      <w:pPr>
        <w:numPr>
          <w:ilvl w:val="2"/>
          <w:numId w:val="58"/>
        </w:numPr>
        <w:tabs>
          <w:tab w:val="left" w:pos="2160"/>
        </w:tabs>
        <w:spacing w:after="60"/>
      </w:pPr>
      <w:r w:rsidRPr="0058047D">
        <w:rPr>
          <w:rFonts w:eastAsia="Calibri" w:cs="Tahoma"/>
          <w:szCs w:val="18"/>
        </w:rPr>
        <w:t>Per un numero di licenze pari al numero inferiore tra (x) il numero totale di licenze per processore cedute a un server con licenza appena prima della scadenza di Software Assurance o (y) il numero totale di processori fisici su tale server, l</w:t>
      </w:r>
      <w:r w:rsidR="001C4212">
        <w:rPr>
          <w:rFonts w:eastAsia="Calibri" w:cs="Tahoma"/>
          <w:szCs w:val="18"/>
        </w:rPr>
        <w:t>’</w:t>
      </w:r>
      <w:r w:rsidRPr="0058047D">
        <w:rPr>
          <w:rFonts w:eastAsia="Calibri" w:cs="Tahoma"/>
          <w:szCs w:val="18"/>
        </w:rPr>
        <w:t xml:space="preserve">equivalenza di licenze core è il numero maggiore tra: </w:t>
      </w:r>
    </w:p>
    <w:p w14:paraId="551312E4" w14:textId="77777777" w:rsidR="00A81E83" w:rsidRPr="00FE6686" w:rsidRDefault="00A81E83" w:rsidP="00346F4B">
      <w:pPr>
        <w:numPr>
          <w:ilvl w:val="4"/>
          <w:numId w:val="50"/>
        </w:numPr>
        <w:tabs>
          <w:tab w:val="left" w:pos="2520"/>
        </w:tabs>
        <w:spacing w:after="60"/>
        <w:ind w:left="2520"/>
      </w:pPr>
      <w:r w:rsidRPr="0058047D">
        <w:rPr>
          <w:rFonts w:eastAsia="Calibri" w:cs="Tahoma"/>
          <w:szCs w:val="18"/>
        </w:rPr>
        <w:t xml:space="preserve">quattro core per licenza per processore O </w:t>
      </w:r>
    </w:p>
    <w:p w14:paraId="57C88620" w14:textId="77777777" w:rsidR="00A81E83" w:rsidRPr="0058047D" w:rsidRDefault="00A81E83" w:rsidP="00346F4B">
      <w:pPr>
        <w:numPr>
          <w:ilvl w:val="4"/>
          <w:numId w:val="50"/>
        </w:numPr>
        <w:tabs>
          <w:tab w:val="left" w:pos="2520"/>
        </w:tabs>
        <w:spacing w:after="60"/>
        <w:ind w:left="2520"/>
      </w:pPr>
      <w:r w:rsidRPr="0058047D">
        <w:rPr>
          <w:rFonts w:eastAsia="Calibri" w:cs="Tahoma"/>
          <w:szCs w:val="18"/>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1C4212">
        <w:rPr>
          <w:rFonts w:eastAsia="Calibri" w:cs="Tahoma"/>
          <w:szCs w:val="18"/>
        </w:rPr>
        <w:t>’</w:t>
      </w:r>
      <w:r w:rsidRPr="0058047D">
        <w:rPr>
          <w:rFonts w:eastAsia="Calibri" w:cs="Tahoma"/>
          <w:szCs w:val="18"/>
        </w:rPr>
        <w:t xml:space="preserve">hardware fisico che supporta tale software appena prima della scadenza di Software Assurance utilizzando lo strumento MAP di Microsoft o un software equivalente). </w:t>
      </w:r>
    </w:p>
    <w:p w14:paraId="42CE5689" w14:textId="77777777" w:rsidR="00A81E83" w:rsidRPr="0058047D" w:rsidRDefault="00A81E83" w:rsidP="00346F4B">
      <w:pPr>
        <w:numPr>
          <w:ilvl w:val="1"/>
          <w:numId w:val="58"/>
        </w:numPr>
        <w:tabs>
          <w:tab w:val="left" w:pos="1800"/>
        </w:tabs>
        <w:spacing w:after="60"/>
        <w:ind w:left="1800"/>
      </w:pPr>
      <w:r w:rsidRPr="0058047D">
        <w:rPr>
          <w:rFonts w:eastAsia="Calibri" w:cs="Tahoma"/>
          <w:szCs w:val="18"/>
        </w:rPr>
        <w:t>Per qualsiasi licenza per processore con la copertura Software Assurance in scadenza ceduta allo stesso server con licenza che ecceda il numero effettivo di processori fisici sul server, l</w:t>
      </w:r>
      <w:r w:rsidR="001C4212">
        <w:rPr>
          <w:rFonts w:eastAsia="Calibri" w:cs="Tahoma"/>
          <w:szCs w:val="18"/>
        </w:rPr>
        <w:t>’</w:t>
      </w:r>
      <w:r w:rsidRPr="0058047D">
        <w:rPr>
          <w:rFonts w:eastAsia="Calibri" w:cs="Tahoma"/>
          <w:szCs w:val="18"/>
        </w:rPr>
        <w:t>equivalenza core è di quattro core per licenza per processore.</w:t>
      </w:r>
    </w:p>
    <w:p w14:paraId="00DAA89B" w14:textId="77777777" w:rsidR="00A81E83" w:rsidRPr="0058047D" w:rsidRDefault="00A81E83" w:rsidP="00346F4B">
      <w:pPr>
        <w:numPr>
          <w:ilvl w:val="1"/>
          <w:numId w:val="58"/>
        </w:numPr>
        <w:tabs>
          <w:tab w:val="left" w:pos="1800"/>
        </w:tabs>
        <w:spacing w:after="60"/>
        <w:ind w:left="1800"/>
      </w:pPr>
      <w:r w:rsidRPr="0058047D">
        <w:rPr>
          <w:rFonts w:eastAsia="Calibri" w:cs="Tahoma"/>
          <w:szCs w:val="18"/>
        </w:rPr>
        <w:t>Le società potranno riassegnare le licenze a un altro server. Tuttavia, qualora la società riassegni una licenza a un altro server, dovrà attenersi ai diritti sull</w:t>
      </w:r>
      <w:r w:rsidR="001C4212">
        <w:rPr>
          <w:rFonts w:eastAsia="Calibri" w:cs="Tahoma"/>
          <w:szCs w:val="18"/>
        </w:rPr>
        <w:t>’</w:t>
      </w:r>
      <w:r w:rsidRPr="0058047D">
        <w:rPr>
          <w:rFonts w:eastAsia="Calibri" w:cs="Tahoma"/>
          <w:szCs w:val="18"/>
        </w:rPr>
        <w:t>utilizzo di SQL Server 2012. Quando cede licenze core a server ai sensi dei diritti sull</w:t>
      </w:r>
      <w:r w:rsidR="001C4212">
        <w:rPr>
          <w:rFonts w:eastAsia="Calibri" w:cs="Tahoma"/>
          <w:szCs w:val="18"/>
        </w:rPr>
        <w:t>’</w:t>
      </w:r>
      <w:r w:rsidRPr="0058047D">
        <w:rPr>
          <w:rFonts w:eastAsia="Calibri" w:cs="Tahoma"/>
          <w:szCs w:val="18"/>
        </w:rPr>
        <w:t>utilizzo per SQL 2012, la società potrà combinare l</w:t>
      </w:r>
      <w:r w:rsidR="001C4212">
        <w:rPr>
          <w:rFonts w:eastAsia="Calibri" w:cs="Tahoma"/>
          <w:szCs w:val="18"/>
        </w:rPr>
        <w:t>’</w:t>
      </w:r>
      <w:r w:rsidRPr="0058047D">
        <w:rPr>
          <w:rFonts w:eastAsia="Calibri" w:cs="Tahoma"/>
          <w:szCs w:val="18"/>
        </w:rPr>
        <w:t>equivalenza core delle licenze esistenti con le licenze core per SQL Server 2012 aggiuntive.</w:t>
      </w:r>
    </w:p>
    <w:p w14:paraId="5F82E5D3" w14:textId="77777777" w:rsidR="00A81E83" w:rsidRPr="0058047D" w:rsidRDefault="00A81E83" w:rsidP="00346F4B">
      <w:pPr>
        <w:numPr>
          <w:ilvl w:val="1"/>
          <w:numId w:val="58"/>
        </w:numPr>
        <w:tabs>
          <w:tab w:val="left" w:pos="1800"/>
        </w:tabs>
        <w:spacing w:after="60"/>
        <w:ind w:left="1800"/>
      </w:pPr>
      <w:r w:rsidRPr="0058047D">
        <w:rPr>
          <w:rFonts w:eastAsia="Calibri" w:cs="Tahoma"/>
          <w:szCs w:val="18"/>
        </w:rPr>
        <w:t>L</w:t>
      </w:r>
      <w:r w:rsidR="001C4212">
        <w:rPr>
          <w:rFonts w:eastAsia="Calibri" w:cs="Tahoma"/>
          <w:szCs w:val="18"/>
        </w:rPr>
        <w:t>’</w:t>
      </w:r>
      <w:r w:rsidRPr="0058047D">
        <w:rPr>
          <w:rFonts w:eastAsia="Calibri" w:cs="Tahoma"/>
          <w:szCs w:val="18"/>
        </w:rPr>
        <w:t>equivalenza di licenze core stimata delle società non implica che esse possano cedere una licenza singola per processore a core attraverso due o più processori.</w:t>
      </w:r>
    </w:p>
    <w:p w14:paraId="3BB7AD3D" w14:textId="77777777" w:rsidR="000C03F3" w:rsidRDefault="000C03F3" w:rsidP="000C03F3">
      <w:pPr>
        <w:tabs>
          <w:tab w:val="left" w:pos="1800"/>
        </w:tabs>
        <w:spacing w:after="60"/>
      </w:pPr>
    </w:p>
    <w:p w14:paraId="107DDD72" w14:textId="77777777" w:rsidR="00112425" w:rsidRDefault="00112425" w:rsidP="000C03F3">
      <w:pPr>
        <w:tabs>
          <w:tab w:val="left" w:pos="1800"/>
        </w:tabs>
        <w:spacing w:after="60"/>
      </w:pPr>
    </w:p>
    <w:p w14:paraId="47A5218D" w14:textId="77777777" w:rsidR="00112425" w:rsidRPr="0058047D" w:rsidRDefault="00112425" w:rsidP="000C03F3">
      <w:pPr>
        <w:tabs>
          <w:tab w:val="left" w:pos="1800"/>
        </w:tabs>
        <w:spacing w:after="60"/>
      </w:pPr>
    </w:p>
    <w:p w14:paraId="2504EE79" w14:textId="77777777" w:rsidR="000C03F3" w:rsidRPr="0058047D" w:rsidRDefault="00A81E83" w:rsidP="000C03F3">
      <w:pPr>
        <w:tabs>
          <w:tab w:val="left" w:pos="720"/>
        </w:tabs>
        <w:spacing w:after="60"/>
        <w:ind w:left="720"/>
      </w:pPr>
      <w:r w:rsidRPr="0058047D">
        <w:rPr>
          <w:rFonts w:eastAsia="Calibri" w:cs="Tahoma"/>
          <w:b/>
          <w:color w:val="000000"/>
          <w:szCs w:val="18"/>
        </w:rPr>
        <w:t>Per le Società con copertura Software Assurance in scadenza in data 1 aprile 2015 o successiva che scelgono di non effettuare il rinnovo</w:t>
      </w:r>
    </w:p>
    <w:p w14:paraId="493D600A" w14:textId="77777777" w:rsidR="00A81E83" w:rsidRPr="0058047D" w:rsidRDefault="00A81E83" w:rsidP="000C03F3">
      <w:pPr>
        <w:tabs>
          <w:tab w:val="left" w:pos="720"/>
        </w:tabs>
        <w:ind w:left="720"/>
      </w:pPr>
      <w:r w:rsidRPr="0058047D">
        <w:rPr>
          <w:rFonts w:eastAsia="Calibri" w:cs="Tahoma"/>
          <w:color w:val="000000"/>
          <w:szCs w:val="18"/>
        </w:rPr>
        <w:t xml:space="preserve">Alle società titolari di contratti Enterprise Subscription </w:t>
      </w:r>
      <w:r w:rsidRPr="0058047D">
        <w:rPr>
          <w:rFonts w:cs="Tahoma"/>
          <w:bCs/>
          <w:color w:val="000000"/>
          <w:szCs w:val="18"/>
        </w:rPr>
        <w:t xml:space="preserve">e Open Value Subscription </w:t>
      </w:r>
      <w:r w:rsidRPr="0058047D">
        <w:rPr>
          <w:rFonts w:eastAsia="Calibri" w:cs="Tahoma"/>
          <w:color w:val="000000"/>
          <w:szCs w:val="18"/>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14:paraId="529A2F6E" w14:textId="77777777" w:rsidR="000C03F3" w:rsidRPr="0058047D" w:rsidRDefault="000C03F3" w:rsidP="000C03F3">
      <w:pPr>
        <w:tabs>
          <w:tab w:val="left" w:pos="720"/>
        </w:tabs>
        <w:ind w:left="720"/>
      </w:pPr>
    </w:p>
    <w:p w14:paraId="001A79F6" w14:textId="77777777" w:rsidR="00A81E83" w:rsidRPr="0058047D" w:rsidRDefault="00A81E83" w:rsidP="00346F4B">
      <w:pPr>
        <w:numPr>
          <w:ilvl w:val="2"/>
          <w:numId w:val="50"/>
        </w:numPr>
        <w:spacing w:after="60"/>
        <w:ind w:left="1440"/>
      </w:pPr>
      <w:r w:rsidRPr="0058047D">
        <w:rPr>
          <w:rFonts w:eastAsia="Calibri" w:cs="Tahoma"/>
          <w:szCs w:val="18"/>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 </w:t>
      </w:r>
    </w:p>
    <w:p w14:paraId="12C59488" w14:textId="77777777" w:rsidR="00A81E83" w:rsidRPr="0058047D" w:rsidRDefault="00A81E83" w:rsidP="00346F4B">
      <w:pPr>
        <w:numPr>
          <w:ilvl w:val="2"/>
          <w:numId w:val="50"/>
        </w:numPr>
        <w:spacing w:after="60"/>
        <w:ind w:left="1440"/>
      </w:pPr>
      <w:r w:rsidRPr="0058047D">
        <w:rPr>
          <w:rFonts w:eastAsia="Calibri" w:cs="Tahoma"/>
          <w:color w:val="000000"/>
          <w:szCs w:val="18"/>
        </w:rPr>
        <w:t>per le licenze acquistate dopo il 1 aprile 2015 la licenza per processore delle società avrà un</w:t>
      </w:r>
      <w:r w:rsidR="001C4212">
        <w:rPr>
          <w:rFonts w:eastAsia="Calibri" w:cs="Tahoma"/>
          <w:color w:val="000000"/>
          <w:szCs w:val="18"/>
        </w:rPr>
        <w:t>’</w:t>
      </w:r>
      <w:r w:rsidRPr="0058047D">
        <w:rPr>
          <w:rFonts w:eastAsia="Calibri" w:cs="Tahoma"/>
          <w:color w:val="000000"/>
          <w:szCs w:val="18"/>
        </w:rPr>
        <w:t>equivalenza core di quattro licenze core Standard per SQL Server 2012. Per l</w:t>
      </w:r>
      <w:r w:rsidR="001C4212">
        <w:rPr>
          <w:rFonts w:eastAsia="Calibri" w:cs="Tahoma"/>
          <w:color w:val="000000"/>
          <w:szCs w:val="18"/>
        </w:rPr>
        <w:t>’</w:t>
      </w:r>
      <w:r w:rsidRPr="0058047D">
        <w:rPr>
          <w:rFonts w:eastAsia="Calibri" w:cs="Tahoma"/>
          <w:color w:val="000000"/>
          <w:szCs w:val="18"/>
        </w:rPr>
        <w:t>utilizzo continuativo di SQL Server 2012 su processori che richiedono più di quattro licenze core per processore la società deve acquistare le licenze core aggiuntive.</w:t>
      </w:r>
    </w:p>
    <w:p w14:paraId="40DFE7CB" w14:textId="77777777" w:rsidR="000C03F3" w:rsidRPr="0058047D" w:rsidRDefault="000C03F3" w:rsidP="000C03F3"/>
    <w:p w14:paraId="68CC3C67" w14:textId="77777777" w:rsidR="000C03F3" w:rsidRPr="0058047D" w:rsidRDefault="00A81E83" w:rsidP="000C03F3">
      <w:pPr>
        <w:pStyle w:val="ListParagraph"/>
        <w:tabs>
          <w:tab w:val="left" w:pos="720"/>
        </w:tabs>
        <w:spacing w:after="60"/>
        <w:contextualSpacing w:val="0"/>
      </w:pPr>
      <w:r w:rsidRPr="0058047D">
        <w:rPr>
          <w:rFonts w:ascii="Tahoma" w:hAnsi="Tahoma" w:cs="Tahoma"/>
          <w:b/>
          <w:color w:val="000000"/>
          <w:sz w:val="18"/>
          <w:szCs w:val="18"/>
        </w:rPr>
        <w:t>Per le società con sede nella Repubblica popolare</w:t>
      </w:r>
      <w:r w:rsidRPr="0058047D">
        <w:rPr>
          <w:rFonts w:ascii="Tahoma" w:hAnsi="Tahoma" w:cs="Tahoma"/>
          <w:color w:val="000000"/>
          <w:sz w:val="18"/>
          <w:szCs w:val="18"/>
        </w:rPr>
        <w:t xml:space="preserve"> </w:t>
      </w:r>
      <w:r w:rsidRPr="0058047D">
        <w:rPr>
          <w:rFonts w:ascii="Tahoma" w:hAnsi="Tahoma" w:cs="Tahoma"/>
          <w:b/>
          <w:color w:val="000000"/>
          <w:sz w:val="18"/>
          <w:szCs w:val="18"/>
        </w:rPr>
        <w:t>cinese, dove acquistano licenze per processore e Software Assurance per SQL Server 2008 R2</w:t>
      </w:r>
    </w:p>
    <w:p w14:paraId="7E362FC7" w14:textId="77777777" w:rsidR="00A81E83" w:rsidRPr="0058047D" w:rsidRDefault="00A81E83" w:rsidP="000C03F3">
      <w:pPr>
        <w:pStyle w:val="ListParagraph"/>
        <w:tabs>
          <w:tab w:val="left" w:pos="720"/>
        </w:tabs>
        <w:contextualSpacing w:val="0"/>
      </w:pPr>
      <w:r w:rsidRPr="0058047D">
        <w:rPr>
          <w:rFonts w:ascii="Tahoma" w:hAnsi="Tahoma" w:cs="Tahoma"/>
          <w:color w:val="000000"/>
          <w:sz w:val="18"/>
          <w:szCs w:val="18"/>
        </w:rPr>
        <w:t>Non si applicano i riferimenti al 1 aprile 2012 e al 1 aprile 2015 presenti in questa nota relativa alla lista dei prodotti. Le date applicabili per queste società sarebbero rispettivamente il 1 luglio 2012 e il 1 luglio 2015.</w:t>
      </w:r>
    </w:p>
    <w:p w14:paraId="7FD3E8DD" w14:textId="77777777" w:rsidR="00A81E83" w:rsidRPr="0058047D" w:rsidRDefault="00A81E83" w:rsidP="000C03F3">
      <w:pPr>
        <w:tabs>
          <w:tab w:val="left" w:pos="1080"/>
          <w:tab w:val="left" w:pos="1800"/>
        </w:tabs>
      </w:pPr>
      <w:bookmarkStart w:id="1430" w:name="Srv_87SQLServer2012Developer"/>
    </w:p>
    <w:p w14:paraId="7F9964FC" w14:textId="77777777" w:rsidR="00BE30E6" w:rsidRPr="0058047D" w:rsidRDefault="00BE30E6" w:rsidP="000C03F3">
      <w:pPr>
        <w:tabs>
          <w:tab w:val="left" w:pos="1080"/>
          <w:tab w:val="left" w:pos="1800"/>
        </w:tabs>
      </w:pPr>
    </w:p>
    <w:p w14:paraId="3AC41DBE" w14:textId="77777777" w:rsidR="00A81E83" w:rsidRPr="0058047D" w:rsidRDefault="00A560B6" w:rsidP="00EF5637">
      <w:pPr>
        <w:pStyle w:val="Heading3"/>
      </w:pPr>
      <w:bookmarkStart w:id="1431" w:name="_80_78_SQL"/>
      <w:bookmarkStart w:id="1432" w:name="_85_SQL_Server®"/>
      <w:bookmarkStart w:id="1433" w:name="_Toc336338345"/>
      <w:bookmarkStart w:id="1434" w:name="_Toc371663737"/>
      <w:bookmarkEnd w:id="1431"/>
      <w:bookmarkEnd w:id="1432"/>
      <w:r w:rsidRPr="0058047D">
        <w:rPr>
          <w:rFonts w:ascii="Tahoma" w:hAnsi="Tahoma"/>
          <w:color w:val="F66400"/>
          <w:sz w:val="22"/>
          <w:vertAlign w:val="superscript"/>
        </w:rPr>
        <w:t>84</w:t>
      </w:r>
      <w:r w:rsidRPr="0058047D">
        <w:rPr>
          <w:rFonts w:ascii="Tahoma" w:hAnsi="Tahoma"/>
          <w:color w:val="F66400"/>
          <w:sz w:val="22"/>
        </w:rPr>
        <w:t xml:space="preserve"> SQL Server</w:t>
      </w:r>
      <w:r w:rsidR="00E53A46" w:rsidRPr="0058047D">
        <w:rPr>
          <w:rFonts w:ascii="Tahoma" w:hAnsi="Tahoma"/>
          <w:color w:val="F66400"/>
          <w:sz w:val="22"/>
          <w:vertAlign w:val="superscript"/>
        </w:rPr>
        <w:t>®</w:t>
      </w:r>
      <w:r w:rsidRPr="0058047D">
        <w:rPr>
          <w:rFonts w:ascii="Tahoma" w:hAnsi="Tahoma"/>
          <w:color w:val="F66400"/>
          <w:sz w:val="22"/>
        </w:rPr>
        <w:t xml:space="preserve"> 2012 Developer</w:t>
      </w:r>
      <w:bookmarkEnd w:id="1433"/>
      <w:bookmarkEnd w:id="1434"/>
    </w:p>
    <w:bookmarkEnd w:id="1430"/>
    <w:p w14:paraId="10B5E827" w14:textId="77777777" w:rsidR="00A81E83" w:rsidRPr="0058047D" w:rsidRDefault="00A81E83" w:rsidP="00EF5637"/>
    <w:p w14:paraId="2D97E9C0" w14:textId="77777777" w:rsidR="000C03F3" w:rsidRPr="0058047D" w:rsidRDefault="00A81E83" w:rsidP="000C03F3">
      <w:pPr>
        <w:spacing w:after="60"/>
        <w:ind w:left="720"/>
      </w:pPr>
      <w:r w:rsidRPr="0058047D">
        <w:rPr>
          <w:b/>
          <w:color w:val="000000"/>
          <w:szCs w:val="18"/>
        </w:rPr>
        <w:t>Comunicazione Importante</w:t>
      </w:r>
    </w:p>
    <w:p w14:paraId="37EF2C77" w14:textId="77777777" w:rsidR="00A81E83" w:rsidRPr="0058047D" w:rsidRDefault="00A81E83" w:rsidP="00EF5637">
      <w:pPr>
        <w:ind w:left="720"/>
      </w:pPr>
      <w:r w:rsidRPr="0058047D">
        <w:rPr>
          <w:color w:val="000000"/>
          <w:szCs w:val="18"/>
        </w:rPr>
        <w:t>Aggiornamenti Automatici di SQL Server 2008, SQL Server 2005 e SQL Server 2000. Qualora questo software sia installato su server o dispositivi che eseguono una qualunque delle versioni di SQL Server 2008, SQL Server 2005 o SQL Server 2000 (o componenti di esse), il software aggiornerà e sostituirà automaticamente alcuni file o funzionalità presenti in tali versioni con file del software.</w:t>
      </w:r>
      <w:r w:rsidR="00E34ED3" w:rsidRPr="0058047D">
        <w:rPr>
          <w:color w:val="000000"/>
          <w:szCs w:val="18"/>
        </w:rPr>
        <w:t xml:space="preserve"> </w:t>
      </w:r>
      <w:r w:rsidRPr="0058047D">
        <w:rPr>
          <w:color w:val="000000"/>
          <w:szCs w:val="18"/>
        </w:rPr>
        <w:t>Questa funzionalità non può essere disattivata.</w:t>
      </w:r>
      <w:r w:rsidR="00E34ED3" w:rsidRPr="0058047D">
        <w:rPr>
          <w:color w:val="000000"/>
          <w:szCs w:val="18"/>
        </w:rPr>
        <w:t xml:space="preserve"> </w:t>
      </w:r>
      <w:r w:rsidRPr="0058047D">
        <w:rPr>
          <w:color w:val="000000"/>
          <w:szCs w:val="18"/>
        </w:rPr>
        <w:t>Non sarà possibile rimuovere i file aggiornati né recuperare i file originali.</w:t>
      </w:r>
      <w:r w:rsidR="00E34ED3" w:rsidRPr="0058047D">
        <w:rPr>
          <w:color w:val="000000"/>
          <w:szCs w:val="18"/>
        </w:rPr>
        <w:t xml:space="preserve"> </w:t>
      </w:r>
      <w:r w:rsidRPr="0058047D">
        <w:rPr>
          <w:color w:val="000000"/>
          <w:szCs w:val="18"/>
        </w:rPr>
        <w:t>L</w:t>
      </w:r>
      <w:r w:rsidR="001C4212">
        <w:rPr>
          <w:color w:val="000000"/>
          <w:szCs w:val="18"/>
        </w:rPr>
        <w:t>’</w:t>
      </w:r>
      <w:r w:rsidRPr="0058047D">
        <w:rPr>
          <w:color w:val="000000"/>
          <w:szCs w:val="18"/>
        </w:rPr>
        <w:t>installazione di questo software su un server o su un dispositivo che esegue una qualunque delle versioni di SQL Server 2008, SQL Server 2005 o SQL Server 2000 costituisce accettazione implicita di tali aggiornamenti per tutte le versioni e le copie di SQL Server (inclusi componenti di esse) che sono eseguite su tale server o dispositivo.</w:t>
      </w:r>
      <w:r w:rsidR="00E34ED3" w:rsidRPr="0058047D">
        <w:rPr>
          <w:color w:val="000000"/>
          <w:szCs w:val="18"/>
        </w:rPr>
        <w:t xml:space="preserve"> </w:t>
      </w:r>
    </w:p>
    <w:p w14:paraId="6D89902B" w14:textId="77777777" w:rsidR="00FE6686" w:rsidRDefault="00FE6686" w:rsidP="00EF5637">
      <w:pPr>
        <w:ind w:left="720"/>
      </w:pPr>
    </w:p>
    <w:p w14:paraId="516CB1A3" w14:textId="77777777" w:rsidR="00FE6686" w:rsidRPr="0058047D" w:rsidRDefault="00FE6686" w:rsidP="00EF5637">
      <w:pPr>
        <w:ind w:left="720"/>
      </w:pPr>
    </w:p>
    <w:p w14:paraId="51E7A955" w14:textId="77777777" w:rsidR="00A81E83" w:rsidRPr="0058047D" w:rsidRDefault="00A560B6" w:rsidP="00EF5637">
      <w:pPr>
        <w:pStyle w:val="Heading3"/>
      </w:pPr>
      <w:bookmarkStart w:id="1435" w:name="_81_79_SQL"/>
      <w:bookmarkStart w:id="1436" w:name="_86_SQL_Server®"/>
      <w:bookmarkStart w:id="1437" w:name="_Toc336338346"/>
      <w:bookmarkStart w:id="1438" w:name="_Toc371663738"/>
      <w:bookmarkStart w:id="1439" w:name="Srv_88SQLServer2012Enterprise"/>
      <w:bookmarkEnd w:id="1435"/>
      <w:bookmarkEnd w:id="1436"/>
      <w:r w:rsidRPr="0058047D">
        <w:rPr>
          <w:rFonts w:ascii="Tahoma" w:hAnsi="Tahoma"/>
          <w:color w:val="F66400"/>
          <w:sz w:val="22"/>
          <w:vertAlign w:val="superscript"/>
        </w:rPr>
        <w:t>85</w:t>
      </w:r>
      <w:r w:rsidRPr="0058047D">
        <w:rPr>
          <w:rFonts w:ascii="Tahoma" w:hAnsi="Tahoma"/>
          <w:color w:val="F66400"/>
          <w:sz w:val="22"/>
        </w:rPr>
        <w:t xml:space="preserve"> SQL Server</w:t>
      </w:r>
      <w:r w:rsidR="00E53A46" w:rsidRPr="0058047D">
        <w:rPr>
          <w:rFonts w:ascii="Tahoma" w:hAnsi="Tahoma"/>
          <w:color w:val="F66400"/>
          <w:sz w:val="22"/>
          <w:vertAlign w:val="superscript"/>
        </w:rPr>
        <w:t>®</w:t>
      </w:r>
      <w:r w:rsidRPr="0058047D">
        <w:rPr>
          <w:rFonts w:ascii="Tahoma" w:hAnsi="Tahoma"/>
          <w:color w:val="F66400"/>
          <w:sz w:val="22"/>
        </w:rPr>
        <w:t xml:space="preserve"> 2012 Enterprise</w:t>
      </w:r>
      <w:bookmarkEnd w:id="1437"/>
      <w:bookmarkEnd w:id="1438"/>
    </w:p>
    <w:bookmarkEnd w:id="1439"/>
    <w:p w14:paraId="3F580A08" w14:textId="77777777" w:rsidR="00A81E83" w:rsidRPr="00FE6686" w:rsidRDefault="00A81E83" w:rsidP="00C321B6">
      <w:pPr>
        <w:rPr>
          <w:sz w:val="14"/>
          <w:szCs w:val="14"/>
        </w:rPr>
      </w:pPr>
    </w:p>
    <w:p w14:paraId="2F859AD1" w14:textId="77777777" w:rsidR="00A81E83" w:rsidRPr="0058047D" w:rsidRDefault="00A81E83" w:rsidP="00C321B6">
      <w:pPr>
        <w:ind w:left="720"/>
      </w:pPr>
      <w:r w:rsidRPr="0058047D">
        <w:rPr>
          <w:rFonts w:eastAsia="Calibri" w:cs="Tahoma"/>
          <w:color w:val="000000"/>
          <w:szCs w:val="18"/>
        </w:rPr>
        <w:t>SQL Server 2012 Enterprise è la versione successiva di SQL Server Enterprise e la licenza CAL per SQL Server 2012 è la versione successiva della licenza CAL per SQL Server.</w:t>
      </w:r>
    </w:p>
    <w:p w14:paraId="33910976" w14:textId="77777777" w:rsidR="00C321B6" w:rsidRPr="00FE6686" w:rsidRDefault="00C321B6" w:rsidP="00C321B6">
      <w:pPr>
        <w:ind w:left="720"/>
        <w:rPr>
          <w:sz w:val="14"/>
          <w:szCs w:val="14"/>
        </w:rPr>
      </w:pPr>
    </w:p>
    <w:p w14:paraId="5E24BCEC" w14:textId="77777777" w:rsidR="00C321B6" w:rsidRPr="0058047D" w:rsidRDefault="00A81E83" w:rsidP="00C321B6">
      <w:pPr>
        <w:spacing w:after="60"/>
        <w:ind w:left="720"/>
      </w:pPr>
      <w:r w:rsidRPr="0058047D">
        <w:rPr>
          <w:rFonts w:eastAsia="Calibri" w:cs="Tahoma"/>
          <w:b/>
          <w:color w:val="000000"/>
          <w:szCs w:val="18"/>
        </w:rPr>
        <w:t>Società Titolari di Licenze CAL/Server per SQL Server Enterprise - Opzione Speciale di Rinnovo di Software Assurance</w:t>
      </w:r>
    </w:p>
    <w:p w14:paraId="42708765" w14:textId="77777777" w:rsidR="00A81E83" w:rsidRPr="0058047D" w:rsidRDefault="00A81E83" w:rsidP="00C321B6">
      <w:pPr>
        <w:ind w:left="720"/>
      </w:pPr>
      <w:r w:rsidRPr="0058047D">
        <w:rPr>
          <w:rFonts w:eastAsia="Calibri" w:cs="Tahoma"/>
          <w:color w:val="000000"/>
          <w:szCs w:val="18"/>
        </w:rPr>
        <w:t>Le società con copertura Software Assurance attiva per le licenze CAL/Server per SQL Server Enterprise alla data del 1 aprile 2012 potranno, in alternativa al rinnovo della loro copertura per Enterprise, acquistare Software Assurance per un numero uguale di licenze per SQL Server 2012 Business Intelligence senza dovere acquistare le licenze sottostanti.</w:t>
      </w:r>
      <w:r w:rsidR="00E34ED3" w:rsidRPr="0058047D">
        <w:rPr>
          <w:rFonts w:eastAsia="Calibri" w:cs="Tahoma"/>
          <w:color w:val="000000"/>
          <w:szCs w:val="18"/>
        </w:rPr>
        <w:t xml:space="preserve"> </w:t>
      </w:r>
      <w:r w:rsidRPr="0058047D">
        <w:rPr>
          <w:rFonts w:eastAsia="Calibri" w:cs="Tahoma"/>
          <w:color w:val="000000"/>
          <w:szCs w:val="18"/>
        </w:rPr>
        <w:t>Acquistando Software Assurance per SQL Server 2012 Business Intelligence in base alla presente offerta, le società non potranno più utilizzare SQL Server Enterprise ai sensi delle relative licenze qualificanti.</w:t>
      </w:r>
      <w:r w:rsidR="00E34ED3" w:rsidRPr="0058047D">
        <w:rPr>
          <w:rFonts w:eastAsia="Calibri" w:cs="Tahoma"/>
          <w:color w:val="000000"/>
          <w:szCs w:val="18"/>
        </w:rPr>
        <w:t xml:space="preserve"> </w:t>
      </w:r>
      <w:r w:rsidRPr="0058047D">
        <w:rPr>
          <w:rFonts w:eastAsia="Calibri" w:cs="Tahoma"/>
          <w:color w:val="000000"/>
          <w:szCs w:val="18"/>
        </w:rPr>
        <w:t>Le società che acquistano Software Assurance per SQL Server Business Intelligence in base alla presente offerta non avranno inoltre la possibilità di ritornare alla copertura SQL Server Enterprise per le loro licenze SQL Server Enterprise qualificanti.</w:t>
      </w:r>
    </w:p>
    <w:p w14:paraId="7207097A" w14:textId="77777777" w:rsidR="002512D3" w:rsidRPr="00FE6686" w:rsidRDefault="002512D3">
      <w:pPr>
        <w:rPr>
          <w:sz w:val="14"/>
          <w:szCs w:val="14"/>
        </w:rPr>
      </w:pPr>
    </w:p>
    <w:p w14:paraId="13037AB8" w14:textId="77777777" w:rsidR="00C321B6" w:rsidRPr="0058047D" w:rsidRDefault="00A81E83" w:rsidP="00C321B6">
      <w:pPr>
        <w:spacing w:after="60"/>
        <w:ind w:left="720"/>
      </w:pPr>
      <w:r w:rsidRPr="0058047D">
        <w:rPr>
          <w:rFonts w:eastAsia="Calibri" w:cs="Tahoma"/>
          <w:b/>
          <w:color w:val="000000"/>
          <w:szCs w:val="18"/>
        </w:rPr>
        <w:t>Opzioni di Adempimento per SQL Server 2012</w:t>
      </w:r>
    </w:p>
    <w:p w14:paraId="07879FD1" w14:textId="77777777" w:rsidR="00A81E83" w:rsidRPr="0058047D" w:rsidRDefault="00A81E83" w:rsidP="00C321B6">
      <w:pPr>
        <w:ind w:left="720"/>
      </w:pPr>
      <w:r w:rsidRPr="0058047D">
        <w:rPr>
          <w:rFonts w:eastAsia="Calibri" w:cs="Tahoma"/>
          <w:color w:val="000000"/>
          <w:szCs w:val="18"/>
        </w:rPr>
        <w:t>Le società potranno utilizzare solo il software che corrisponde al modello di licenza ai sensi del quale vengono acquistate le licenze per SQL Server.</w:t>
      </w:r>
      <w:r w:rsidR="00E34ED3" w:rsidRPr="0058047D">
        <w:rPr>
          <w:rFonts w:eastAsia="Calibri" w:cs="Tahoma"/>
          <w:color w:val="000000"/>
          <w:szCs w:val="18"/>
        </w:rPr>
        <w:t xml:space="preserve"> </w:t>
      </w:r>
    </w:p>
    <w:p w14:paraId="790AC686" w14:textId="77777777" w:rsidR="00C321B6" w:rsidRDefault="00C321B6" w:rsidP="00C321B6">
      <w:pPr>
        <w:ind w:left="720"/>
        <w:rPr>
          <w:sz w:val="14"/>
          <w:szCs w:val="14"/>
        </w:rPr>
      </w:pPr>
    </w:p>
    <w:p w14:paraId="2D6F0C53" w14:textId="77777777" w:rsidR="00112425" w:rsidRDefault="00112425" w:rsidP="00C321B6">
      <w:pPr>
        <w:ind w:left="720"/>
        <w:rPr>
          <w:sz w:val="14"/>
          <w:szCs w:val="14"/>
        </w:rPr>
      </w:pPr>
    </w:p>
    <w:p w14:paraId="1838998E" w14:textId="77777777" w:rsidR="00112425" w:rsidRDefault="00112425" w:rsidP="00C321B6">
      <w:pPr>
        <w:ind w:left="720"/>
        <w:rPr>
          <w:sz w:val="14"/>
          <w:szCs w:val="14"/>
        </w:rPr>
      </w:pPr>
    </w:p>
    <w:p w14:paraId="4E67A86A" w14:textId="77777777" w:rsidR="00112425" w:rsidRPr="00FE6686" w:rsidRDefault="00112425" w:rsidP="00C321B6">
      <w:pPr>
        <w:ind w:left="720"/>
        <w:rPr>
          <w:sz w:val="14"/>
          <w:szCs w:val="14"/>
        </w:rPr>
      </w:pPr>
    </w:p>
    <w:p w14:paraId="79B4BD73" w14:textId="77777777" w:rsidR="00C321B6" w:rsidRPr="0058047D" w:rsidRDefault="00A81E83" w:rsidP="00C321B6">
      <w:pPr>
        <w:spacing w:after="60"/>
        <w:ind w:left="720"/>
      </w:pPr>
      <w:r w:rsidRPr="0058047D">
        <w:rPr>
          <w:rFonts w:eastAsia="Calibri" w:cs="Tahoma"/>
          <w:b/>
          <w:color w:val="000000"/>
          <w:szCs w:val="18"/>
        </w:rPr>
        <w:t>Opzione Buy-out per SQL Server ai sensi di EAP</w:t>
      </w:r>
    </w:p>
    <w:p w14:paraId="25D4E7E7" w14:textId="77777777" w:rsidR="00A81E83" w:rsidRPr="0058047D" w:rsidRDefault="00A81E83" w:rsidP="00C321B6">
      <w:pPr>
        <w:ind w:left="720"/>
      </w:pPr>
      <w:r w:rsidRPr="0058047D">
        <w:rPr>
          <w:rFonts w:eastAsia="Calibri" w:cs="Tahoma"/>
          <w:color w:val="000000"/>
          <w:szCs w:val="18"/>
        </w:rPr>
        <w:t>Le società avranno la possibilità di rinnovare Software Assurance per le licenze CAL/Server per SQL Server Enterprise dopo il 30 giugno 2012,</w:t>
      </w:r>
      <w:r w:rsidRPr="0058047D">
        <w:rPr>
          <w:rFonts w:eastAsia="Calibri" w:cs="Tahoma"/>
          <w:b/>
          <w:bCs/>
          <w:color w:val="000000"/>
          <w:szCs w:val="18"/>
        </w:rPr>
        <w:t xml:space="preserve"> </w:t>
      </w:r>
      <w:r w:rsidRPr="0058047D">
        <w:rPr>
          <w:rFonts w:eastAsia="Calibri" w:cs="Tahoma"/>
          <w:color w:val="000000"/>
          <w:szCs w:val="18"/>
        </w:rPr>
        <w:t>tuttavia la loro unica opzione buy-out al termine del periodo di validità dell</w:t>
      </w:r>
      <w:r w:rsidR="001C4212">
        <w:rPr>
          <w:rFonts w:eastAsia="Calibri" w:cs="Tahoma"/>
          <w:color w:val="000000"/>
          <w:szCs w:val="18"/>
        </w:rPr>
        <w:t>’</w:t>
      </w:r>
      <w:r w:rsidRPr="0058047D">
        <w:rPr>
          <w:rFonts w:eastAsia="Calibri" w:cs="Tahoma"/>
          <w:color w:val="000000"/>
          <w:szCs w:val="18"/>
        </w:rPr>
        <w:t>iscrizione sarà per le licenze core.</w:t>
      </w:r>
    </w:p>
    <w:p w14:paraId="73D15DF5" w14:textId="77777777" w:rsidR="00C321B6" w:rsidRPr="00112425" w:rsidRDefault="00C321B6" w:rsidP="00C321B6">
      <w:pPr>
        <w:ind w:left="720"/>
        <w:rPr>
          <w:szCs w:val="18"/>
        </w:rPr>
      </w:pPr>
    </w:p>
    <w:p w14:paraId="420E866D" w14:textId="77777777" w:rsidR="00C321B6" w:rsidRPr="0058047D" w:rsidRDefault="00A81E83" w:rsidP="00C321B6">
      <w:pPr>
        <w:spacing w:after="60"/>
        <w:ind w:left="720"/>
      </w:pPr>
      <w:r w:rsidRPr="0058047D">
        <w:rPr>
          <w:rFonts w:eastAsia="Calibri" w:cs="Tahoma"/>
          <w:b/>
          <w:color w:val="000000"/>
          <w:szCs w:val="18"/>
        </w:rPr>
        <w:t>Utilizzo Continuativo di SQL Server 2008 R2 Enterprise</w:t>
      </w:r>
    </w:p>
    <w:p w14:paraId="4247D857" w14:textId="77777777" w:rsidR="00A81E83" w:rsidRPr="0058047D" w:rsidRDefault="00A81E83" w:rsidP="00C321B6">
      <w:pPr>
        <w:ind w:left="720"/>
      </w:pPr>
      <w:r w:rsidRPr="0058047D">
        <w:rPr>
          <w:rFonts w:eastAsia="Calibri" w:cs="Tahoma"/>
          <w:color w:val="000000"/>
          <w:szCs w:val="18"/>
        </w:rPr>
        <w:t>Le società con Software Assurance</w:t>
      </w:r>
      <w:r w:rsidRPr="0058047D">
        <w:rPr>
          <w:rFonts w:eastAsia="Calibri" w:cs="Tahoma"/>
          <w:b/>
          <w:bCs/>
          <w:color w:val="000000"/>
          <w:szCs w:val="18"/>
        </w:rPr>
        <w:t xml:space="preserve"> </w:t>
      </w:r>
      <w:r w:rsidRPr="0058047D">
        <w:rPr>
          <w:rFonts w:eastAsia="Calibri" w:cs="Tahoma"/>
          <w:color w:val="000000"/>
          <w:szCs w:val="18"/>
        </w:rPr>
        <w:t>che continuano a utilizzare SQL Server 2008 R2 Enterprise ai sensi di licenze acquistate in base al contratto o all</w:t>
      </w:r>
      <w:r w:rsidR="001C4212">
        <w:rPr>
          <w:rFonts w:eastAsia="Calibri" w:cs="Tahoma"/>
          <w:color w:val="000000"/>
          <w:szCs w:val="18"/>
        </w:rPr>
        <w:t>’</w:t>
      </w:r>
      <w:r w:rsidRPr="0058047D">
        <w:rPr>
          <w:rFonts w:eastAsia="Calibri" w:cs="Tahoma"/>
          <w:color w:val="000000"/>
          <w:szCs w:val="18"/>
        </w:rPr>
        <w:t>iscrizione in vigore il 1 aprile 2012 potranno usare il software in conformità ai diritti sull</w:t>
      </w:r>
      <w:r w:rsidR="001C4212">
        <w:rPr>
          <w:rFonts w:eastAsia="Calibri" w:cs="Tahoma"/>
          <w:color w:val="000000"/>
          <w:szCs w:val="18"/>
        </w:rPr>
        <w:t>’</w:t>
      </w:r>
      <w:r w:rsidRPr="0058047D">
        <w:rPr>
          <w:rFonts w:eastAsia="Calibri" w:cs="Tahoma"/>
          <w:color w:val="000000"/>
          <w:szCs w:val="18"/>
        </w:rPr>
        <w:t>utilizzo di SQL Server 2008 R2 Enterprise durante il periodo di validità corrente ed eventuali periodi di rinnovo.</w:t>
      </w:r>
      <w:r w:rsidR="00E34ED3" w:rsidRPr="0058047D">
        <w:rPr>
          <w:rFonts w:eastAsia="Calibri" w:cs="Tahoma"/>
          <w:color w:val="000000"/>
          <w:szCs w:val="18"/>
        </w:rPr>
        <w:t xml:space="preserve"> </w:t>
      </w:r>
      <w:r w:rsidRPr="0058047D">
        <w:rPr>
          <w:rFonts w:eastAsia="Calibri" w:cs="Tahoma"/>
          <w:color w:val="000000"/>
          <w:szCs w:val="18"/>
        </w:rPr>
        <w:t>Le società che utilizzano SQL Server 2008 R2 Enterprise in conformità ai diritti di downgrade ai sensi di licenze acquistate dopo il rinnovo della copertura dovranno utilizzare il software in base ai diritti sull</w:t>
      </w:r>
      <w:r w:rsidR="001C4212">
        <w:rPr>
          <w:rFonts w:eastAsia="Calibri" w:cs="Tahoma"/>
          <w:color w:val="000000"/>
          <w:szCs w:val="18"/>
        </w:rPr>
        <w:t>’</w:t>
      </w:r>
      <w:r w:rsidRPr="0058047D">
        <w:rPr>
          <w:rFonts w:eastAsia="Calibri" w:cs="Tahoma"/>
          <w:color w:val="000000"/>
          <w:szCs w:val="18"/>
        </w:rPr>
        <w:t>utilizzo per la versione ottenuta in licenza.</w:t>
      </w:r>
    </w:p>
    <w:p w14:paraId="59436C27" w14:textId="77777777" w:rsidR="00C321B6" w:rsidRPr="00112425" w:rsidRDefault="00C321B6" w:rsidP="00C321B6">
      <w:pPr>
        <w:ind w:left="720"/>
        <w:rPr>
          <w:szCs w:val="18"/>
        </w:rPr>
      </w:pPr>
    </w:p>
    <w:p w14:paraId="0A98F940" w14:textId="77777777" w:rsidR="00C321B6" w:rsidRPr="0058047D" w:rsidRDefault="00A81E83" w:rsidP="00C321B6">
      <w:pPr>
        <w:spacing w:after="60"/>
        <w:ind w:left="720"/>
      </w:pPr>
      <w:r w:rsidRPr="0058047D">
        <w:rPr>
          <w:rFonts w:eastAsia="Calibri" w:cs="Tahoma"/>
          <w:b/>
          <w:color w:val="000000"/>
          <w:szCs w:val="18"/>
        </w:rPr>
        <w:t>Per le società con sede nella Repubblica popolare cinese, dove acquistano licenze e Software Assurance per SQL Server 2008 R2</w:t>
      </w:r>
    </w:p>
    <w:p w14:paraId="299EC100" w14:textId="77777777" w:rsidR="00A81E83" w:rsidRPr="0058047D" w:rsidRDefault="00A81E83" w:rsidP="00C321B6">
      <w:pPr>
        <w:ind w:left="720"/>
      </w:pPr>
      <w:r w:rsidRPr="0058047D">
        <w:t>Non si applicano i riferimenti al 1 aprile 2012 presenti in questa nota relativa alla lista dei prodotti. La data applicabile per queste società sarebbe il 1 luglio 2012.</w:t>
      </w:r>
    </w:p>
    <w:p w14:paraId="4A5EF20B" w14:textId="77777777" w:rsidR="00A81E83" w:rsidRPr="00112425" w:rsidRDefault="00A81E83" w:rsidP="00C321B6">
      <w:pPr>
        <w:rPr>
          <w:szCs w:val="18"/>
        </w:rPr>
      </w:pPr>
    </w:p>
    <w:p w14:paraId="3778700E" w14:textId="77777777" w:rsidR="00A81E83" w:rsidRPr="00112425" w:rsidRDefault="00A81E83" w:rsidP="00C321B6">
      <w:pPr>
        <w:rPr>
          <w:szCs w:val="18"/>
        </w:rPr>
      </w:pPr>
    </w:p>
    <w:p w14:paraId="226F9DAF" w14:textId="77777777" w:rsidR="00A81E83" w:rsidRPr="0058047D" w:rsidRDefault="00A560B6" w:rsidP="001760D6">
      <w:pPr>
        <w:pStyle w:val="Heading3"/>
        <w:keepNext/>
      </w:pPr>
      <w:bookmarkStart w:id="1440" w:name="_80_SQL_Server®"/>
      <w:bookmarkStart w:id="1441" w:name="_87_SQL_Server®"/>
      <w:bookmarkStart w:id="1442" w:name="_Toc336338347"/>
      <w:bookmarkStart w:id="1443" w:name="_Toc371663739"/>
      <w:bookmarkStart w:id="1444" w:name="Srv_89SQLServer2012EnterpriseCore"/>
      <w:bookmarkEnd w:id="1440"/>
      <w:bookmarkEnd w:id="1441"/>
      <w:r w:rsidRPr="0058047D">
        <w:rPr>
          <w:rFonts w:ascii="Tahoma" w:hAnsi="Tahoma"/>
          <w:caps/>
          <w:color w:val="F66400"/>
          <w:sz w:val="22"/>
          <w:vertAlign w:val="superscript"/>
        </w:rPr>
        <w:t xml:space="preserve">86 </w:t>
      </w:r>
      <w:r w:rsidRPr="0058047D">
        <w:rPr>
          <w:rFonts w:ascii="Tahoma" w:hAnsi="Tahoma"/>
          <w:color w:val="F66400"/>
          <w:sz w:val="22"/>
        </w:rPr>
        <w:t>SQL Server</w:t>
      </w:r>
      <w:r w:rsidR="00E53A46" w:rsidRPr="0058047D">
        <w:rPr>
          <w:rFonts w:ascii="Tahoma" w:hAnsi="Tahoma"/>
          <w:color w:val="F66400"/>
          <w:sz w:val="22"/>
          <w:vertAlign w:val="superscript"/>
        </w:rPr>
        <w:t>®</w:t>
      </w:r>
      <w:r w:rsidRPr="0058047D">
        <w:rPr>
          <w:rFonts w:ascii="Tahoma" w:hAnsi="Tahoma"/>
          <w:color w:val="F66400"/>
          <w:sz w:val="22"/>
        </w:rPr>
        <w:t xml:space="preserve"> 2012 Enterprise Core</w:t>
      </w:r>
      <w:bookmarkEnd w:id="1442"/>
      <w:bookmarkEnd w:id="1443"/>
    </w:p>
    <w:bookmarkEnd w:id="1444"/>
    <w:p w14:paraId="2F00F8D3" w14:textId="77777777" w:rsidR="00A81E83" w:rsidRPr="00FE6686" w:rsidRDefault="00A81E83" w:rsidP="00C321B6">
      <w:pPr>
        <w:pStyle w:val="EndnoteText"/>
        <w:rPr>
          <w:sz w:val="14"/>
          <w:szCs w:val="14"/>
        </w:rPr>
      </w:pPr>
    </w:p>
    <w:p w14:paraId="53567D9C" w14:textId="77777777" w:rsidR="00C321B6" w:rsidRPr="0058047D" w:rsidRDefault="00A81E83" w:rsidP="00C321B6">
      <w:pPr>
        <w:spacing w:after="60"/>
        <w:ind w:left="720"/>
      </w:pPr>
      <w:r w:rsidRPr="0058047D">
        <w:rPr>
          <w:rFonts w:eastAsia="Calibri" w:cs="Tahoma"/>
          <w:b/>
          <w:color w:val="000000"/>
          <w:szCs w:val="18"/>
        </w:rPr>
        <w:t>Estensione dei Diritti sull</w:t>
      </w:r>
      <w:r w:rsidR="001C4212">
        <w:rPr>
          <w:rFonts w:eastAsia="Calibri" w:cs="Tahoma"/>
          <w:b/>
          <w:color w:val="000000"/>
          <w:szCs w:val="18"/>
        </w:rPr>
        <w:t>’</w:t>
      </w:r>
      <w:r w:rsidRPr="0058047D">
        <w:rPr>
          <w:rFonts w:eastAsia="Calibri" w:cs="Tahoma"/>
          <w:b/>
          <w:color w:val="000000"/>
          <w:szCs w:val="18"/>
        </w:rPr>
        <w:t>Utilizzo per la Virtualizzazione Illimitata per SQL Server 2008 R2 Enterprise (per processore)</w:t>
      </w:r>
    </w:p>
    <w:p w14:paraId="381DA409" w14:textId="77777777" w:rsidR="00A81E83" w:rsidRPr="0058047D" w:rsidRDefault="00A81E83" w:rsidP="00C321B6">
      <w:pPr>
        <w:ind w:left="720"/>
      </w:pPr>
      <w:r w:rsidRPr="0058047D">
        <w:rPr>
          <w:rFonts w:eastAsia="Calibri" w:cs="Tahoma"/>
          <w:color w:val="000000"/>
          <w:szCs w:val="18"/>
        </w:rPr>
        <w:t>Nonostante eventuali disposizioni contrarie previste nei Diritti di Utilizzo del Prodotto o nelle versioni precedenti della Lista dei Prodotti, qualora una società abbia ottenuto in licenza tutti i processori fisici su un</w:t>
      </w:r>
      <w:r w:rsidR="00FE6686">
        <w:rPr>
          <w:rFonts w:eastAsia="Calibri" w:cs="Tahoma"/>
          <w:color w:val="000000"/>
          <w:szCs w:val="18"/>
        </w:rPr>
        <w:t> </w:t>
      </w:r>
      <w:r w:rsidRPr="0058047D">
        <w:rPr>
          <w:rFonts w:eastAsia="Calibri" w:cs="Tahoma"/>
          <w:color w:val="000000"/>
          <w:szCs w:val="18"/>
        </w:rPr>
        <w:t>server con licenza e mantenga la copertura Software Assurance attiva su tali licenze, potrà continuare a</w:t>
      </w:r>
      <w:r w:rsidR="00FE6686">
        <w:rPr>
          <w:rFonts w:eastAsia="Calibri" w:cs="Tahoma"/>
          <w:color w:val="000000"/>
          <w:szCs w:val="18"/>
        </w:rPr>
        <w:t> </w:t>
      </w:r>
      <w:r w:rsidRPr="0058047D">
        <w:rPr>
          <w:rFonts w:eastAsia="Calibri" w:cs="Tahoma"/>
          <w:color w:val="000000"/>
          <w:szCs w:val="18"/>
        </w:rPr>
        <w:t xml:space="preserve">eseguire il software server in un numero illimitato di ambienti del sistema operativo su quel server. </w:t>
      </w:r>
    </w:p>
    <w:p w14:paraId="642AC95B" w14:textId="77777777" w:rsidR="00C321B6" w:rsidRPr="00112425" w:rsidRDefault="00C321B6" w:rsidP="00C321B6">
      <w:pPr>
        <w:ind w:left="720"/>
        <w:rPr>
          <w:szCs w:val="18"/>
        </w:rPr>
      </w:pPr>
    </w:p>
    <w:p w14:paraId="587B8AF6" w14:textId="77777777" w:rsidR="00C321B6" w:rsidRPr="0058047D" w:rsidRDefault="00A81E83" w:rsidP="00C321B6">
      <w:pPr>
        <w:spacing w:after="60"/>
        <w:ind w:left="720"/>
      </w:pPr>
      <w:r w:rsidRPr="0058047D">
        <w:rPr>
          <w:rFonts w:eastAsia="Calibri" w:cs="Tahoma"/>
          <w:b/>
          <w:color w:val="000000"/>
          <w:szCs w:val="18"/>
        </w:rPr>
        <w:t>Concessioni di Licenza Associate alla Variazione del Modello di Licenza</w:t>
      </w:r>
    </w:p>
    <w:p w14:paraId="168EF695" w14:textId="77777777" w:rsidR="00A81E83" w:rsidRDefault="00A81E83" w:rsidP="00C321B6">
      <w:pPr>
        <w:ind w:left="720"/>
        <w:rPr>
          <w:rFonts w:cs="Tahoma"/>
          <w:bCs/>
          <w:color w:val="000000"/>
          <w:spacing w:val="-4"/>
          <w:szCs w:val="18"/>
        </w:rPr>
      </w:pPr>
      <w:r w:rsidRPr="00FE6686">
        <w:rPr>
          <w:rFonts w:eastAsia="Calibri" w:cs="Tahoma"/>
          <w:color w:val="000000"/>
          <w:spacing w:val="-4"/>
          <w:szCs w:val="18"/>
        </w:rPr>
        <w:t>SQL Server 2008 R2 sarà l</w:t>
      </w:r>
      <w:r w:rsidR="001C4212">
        <w:rPr>
          <w:rFonts w:eastAsia="Calibri" w:cs="Tahoma"/>
          <w:color w:val="000000"/>
          <w:spacing w:val="-4"/>
          <w:szCs w:val="18"/>
        </w:rPr>
        <w:t>’</w:t>
      </w:r>
      <w:r w:rsidRPr="00FE6686">
        <w:rPr>
          <w:rFonts w:eastAsia="Calibri" w:cs="Tahoma"/>
          <w:color w:val="000000"/>
          <w:spacing w:val="-4"/>
          <w:szCs w:val="18"/>
        </w:rPr>
        <w:t>ultima versione di SQL Server concessa in licenza ai sensi del modello di licenza per processore.</w:t>
      </w:r>
      <w:r w:rsidR="00E34ED3" w:rsidRPr="00FE6686">
        <w:rPr>
          <w:rFonts w:eastAsia="Calibri" w:cs="Tahoma"/>
          <w:color w:val="000000"/>
          <w:spacing w:val="-4"/>
          <w:szCs w:val="18"/>
        </w:rPr>
        <w:t xml:space="preserve"> </w:t>
      </w:r>
      <w:r w:rsidRPr="00FE6686">
        <w:rPr>
          <w:rFonts w:eastAsia="Calibri" w:cs="Tahoma"/>
          <w:color w:val="000000"/>
          <w:spacing w:val="-4"/>
          <w:szCs w:val="18"/>
        </w:rPr>
        <w:t>In via eccezionale, alle società con Contratti Multilicenza e copertura Software Assurance attiva per le licenze per processore per SQL Server 2008 R2 Enterprise in data 1 aprile 2012 (“licenze qualificanti”) vengono offerte le opzioni che seguono. Le licenze per processore per SQL Server 2008 R2 Enterprise</w:t>
      </w:r>
      <w:r w:rsidRPr="00FE6686">
        <w:rPr>
          <w:rFonts w:cs="Tahoma"/>
          <w:bCs/>
          <w:color w:val="000000"/>
          <w:spacing w:val="-4"/>
          <w:szCs w:val="18"/>
        </w:rPr>
        <w:t>, acquistate successivamente nello stesso periodo di validità dell</w:t>
      </w:r>
      <w:r w:rsidR="001C4212">
        <w:rPr>
          <w:rFonts w:cs="Tahoma"/>
          <w:bCs/>
          <w:color w:val="000000"/>
          <w:spacing w:val="-4"/>
          <w:szCs w:val="18"/>
        </w:rPr>
        <w:t>’</w:t>
      </w:r>
      <w:r w:rsidRPr="00FE6686">
        <w:rPr>
          <w:rFonts w:cs="Tahoma"/>
          <w:bCs/>
          <w:color w:val="000000"/>
          <w:spacing w:val="-4"/>
          <w:szCs w:val="18"/>
        </w:rPr>
        <w:t>iscrizione, ma prima del 1° aprile 2015 nell</w:t>
      </w:r>
      <w:r w:rsidR="001C4212">
        <w:rPr>
          <w:rFonts w:cs="Tahoma"/>
          <w:bCs/>
          <w:color w:val="000000"/>
          <w:spacing w:val="-4"/>
          <w:szCs w:val="18"/>
        </w:rPr>
        <w:t>’</w:t>
      </w:r>
      <w:r w:rsidRPr="00FE6686">
        <w:rPr>
          <w:rFonts w:cs="Tahoma"/>
          <w:bCs/>
          <w:color w:val="000000"/>
          <w:spacing w:val="-4"/>
          <w:szCs w:val="18"/>
        </w:rPr>
        <w:t>ambito di una procedura pianificata di true-up della società con contratto Enterprise, Enterprise Subscription, Open Value Subscription o Enrollment for Education Solutions, sono anch</w:t>
      </w:r>
      <w:r w:rsidR="001C4212">
        <w:rPr>
          <w:rFonts w:cs="Tahoma"/>
          <w:bCs/>
          <w:color w:val="000000"/>
          <w:spacing w:val="-4"/>
          <w:szCs w:val="18"/>
        </w:rPr>
        <w:t>’</w:t>
      </w:r>
      <w:r w:rsidRPr="00FE6686">
        <w:rPr>
          <w:rFonts w:cs="Tahoma"/>
          <w:bCs/>
          <w:color w:val="000000"/>
          <w:spacing w:val="-4"/>
          <w:szCs w:val="18"/>
        </w:rPr>
        <w:t>esse licenze qualificanti per gli scopi previsti da tali opzioni.</w:t>
      </w:r>
      <w:r w:rsidR="00E34ED3" w:rsidRPr="00FE6686">
        <w:rPr>
          <w:rFonts w:cs="Tahoma"/>
          <w:bCs/>
          <w:color w:val="000000"/>
          <w:spacing w:val="-4"/>
          <w:szCs w:val="18"/>
        </w:rPr>
        <w:t xml:space="preserve"> </w:t>
      </w:r>
      <w:r w:rsidRPr="00FE6686">
        <w:rPr>
          <w:rFonts w:cs="Tahoma"/>
          <w:bCs/>
          <w:color w:val="000000"/>
          <w:spacing w:val="-4"/>
          <w:szCs w:val="18"/>
        </w:rPr>
        <w:t>Le licenze acquistate dopo il 1 aprile 2015, o in un periodo di validità dell</w:t>
      </w:r>
      <w:r w:rsidR="001C4212">
        <w:rPr>
          <w:rFonts w:cs="Tahoma"/>
          <w:bCs/>
          <w:color w:val="000000"/>
          <w:spacing w:val="-4"/>
          <w:szCs w:val="18"/>
        </w:rPr>
        <w:t>’</w:t>
      </w:r>
      <w:r w:rsidRPr="00FE6686">
        <w:rPr>
          <w:rFonts w:cs="Tahoma"/>
          <w:bCs/>
          <w:color w:val="000000"/>
          <w:spacing w:val="-4"/>
          <w:szCs w:val="18"/>
        </w:rPr>
        <w:t>iscrizione successivo, ai sensi di un contratto distinto o di un</w:t>
      </w:r>
      <w:r w:rsidR="001C4212">
        <w:rPr>
          <w:rFonts w:cs="Tahoma"/>
          <w:bCs/>
          <w:color w:val="000000"/>
          <w:spacing w:val="-4"/>
          <w:szCs w:val="18"/>
        </w:rPr>
        <w:t>’</w:t>
      </w:r>
      <w:r w:rsidRPr="00FE6686">
        <w:rPr>
          <w:rFonts w:cs="Tahoma"/>
          <w:bCs/>
          <w:color w:val="000000"/>
          <w:spacing w:val="-4"/>
          <w:szCs w:val="18"/>
        </w:rPr>
        <w:t>iscrizione con la data di entrata in vigore posteriore al 1 aprile 2012, non sono licenze qualificanti.</w:t>
      </w:r>
    </w:p>
    <w:p w14:paraId="0596653C" w14:textId="77777777" w:rsidR="00112425" w:rsidRPr="00FE6686" w:rsidRDefault="00112425" w:rsidP="00C321B6">
      <w:pPr>
        <w:ind w:left="720"/>
        <w:rPr>
          <w:spacing w:val="-4"/>
        </w:rPr>
      </w:pPr>
    </w:p>
    <w:p w14:paraId="75B65DA0" w14:textId="77777777" w:rsidR="00F94F25" w:rsidRPr="0058047D" w:rsidRDefault="00F94F25" w:rsidP="00F94F25">
      <w:pPr>
        <w:spacing w:after="60"/>
        <w:ind w:left="720"/>
      </w:pPr>
      <w:r w:rsidRPr="0058047D">
        <w:rPr>
          <w:rFonts w:eastAsia="Calibri" w:cs="Tahoma"/>
          <w:b/>
          <w:color w:val="000000"/>
          <w:szCs w:val="18"/>
        </w:rPr>
        <w:t>Periodo di Validità Corrente</w:t>
      </w:r>
    </w:p>
    <w:p w14:paraId="7032B11E" w14:textId="77777777" w:rsidR="00A81E83" w:rsidRPr="0058047D" w:rsidRDefault="00A81E83" w:rsidP="00F94F25">
      <w:pPr>
        <w:ind w:left="720"/>
      </w:pPr>
      <w:r w:rsidRPr="0058047D">
        <w:rPr>
          <w:rFonts w:eastAsia="Calibri" w:cs="Tahoma"/>
          <w:color w:val="000000"/>
          <w:szCs w:val="18"/>
        </w:rPr>
        <w:t>durante il periodo di validità corrente della copertura Software Assurance a partire dal 1 aprile 2012 le società (incluse le società titolari di contratti “subscription”) potranno, ai sensi di una licenza qualificante, effettuare l</w:t>
      </w:r>
      <w:r w:rsidR="001C4212">
        <w:rPr>
          <w:rFonts w:eastAsia="Calibri" w:cs="Tahoma"/>
          <w:color w:val="000000"/>
          <w:szCs w:val="18"/>
        </w:rPr>
        <w:t>’</w:t>
      </w:r>
      <w:r w:rsidRPr="0058047D">
        <w:rPr>
          <w:rFonts w:eastAsia="Calibri" w:cs="Tahoma"/>
          <w:color w:val="000000"/>
          <w:szCs w:val="18"/>
        </w:rPr>
        <w:t xml:space="preserve">aggiornamento al software SQL Server 2012 Enterprise Core e utilizzarlo al posto di SQL Server 2008 R2 Enterprise in conformità ai diritti di utilizzo del prodotto previsti dalla licenza per processore SQL Server 2008 R2 Enterprise (come indicato nei Diritti di Utilizzo del Prodotto del mese di gennaio 2012). </w:t>
      </w:r>
    </w:p>
    <w:p w14:paraId="63C1BE9D" w14:textId="77777777" w:rsidR="00F94F25" w:rsidRPr="00112425" w:rsidRDefault="00F94F25" w:rsidP="00F94F25">
      <w:pPr>
        <w:ind w:left="720"/>
        <w:rPr>
          <w:szCs w:val="18"/>
        </w:rPr>
      </w:pPr>
    </w:p>
    <w:p w14:paraId="1ABA6A79" w14:textId="77777777" w:rsidR="00F94F25" w:rsidRPr="0058047D" w:rsidRDefault="00A81E83" w:rsidP="00F94F25">
      <w:pPr>
        <w:spacing w:after="60"/>
        <w:ind w:left="720"/>
      </w:pPr>
      <w:r w:rsidRPr="0058047D">
        <w:rPr>
          <w:rFonts w:eastAsia="Calibri" w:cs="Tahoma"/>
          <w:b/>
          <w:color w:val="000000"/>
          <w:szCs w:val="18"/>
        </w:rPr>
        <w:t>Primo Periodo di Rinnovo (prima del 1 aprile 2015)</w:t>
      </w:r>
    </w:p>
    <w:p w14:paraId="7C936AD6" w14:textId="77777777" w:rsidR="00A81E83" w:rsidRPr="0058047D" w:rsidRDefault="00A81E83" w:rsidP="00F94F25">
      <w:pPr>
        <w:tabs>
          <w:tab w:val="left" w:pos="1440"/>
        </w:tabs>
        <w:ind w:left="720"/>
      </w:pPr>
      <w:r w:rsidRPr="0058047D">
        <w:rPr>
          <w:rFonts w:eastAsia="Calibri" w:cs="Tahoma"/>
          <w:color w:val="000000"/>
          <w:szCs w:val="18"/>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la società potrà acquistare la copertura Software Assurance per le licenze core per SQL Server Enterprise senza dovere acquistare le licenze core sottostanti per un numero di licenze core pari alla somma di (a) e (b):</w:t>
      </w:r>
    </w:p>
    <w:p w14:paraId="3E768D80" w14:textId="77777777" w:rsidR="002512D3" w:rsidRPr="0058047D" w:rsidRDefault="002512D3"/>
    <w:p w14:paraId="651F47C8" w14:textId="77777777" w:rsidR="00A81E83" w:rsidRPr="0058047D" w:rsidRDefault="00A81E83" w:rsidP="00346F4B">
      <w:pPr>
        <w:numPr>
          <w:ilvl w:val="0"/>
          <w:numId w:val="118"/>
        </w:numPr>
        <w:tabs>
          <w:tab w:val="left" w:pos="1800"/>
        </w:tabs>
        <w:spacing w:after="60"/>
        <w:ind w:left="1440"/>
      </w:pPr>
      <w:r w:rsidRPr="0058047D">
        <w:rPr>
          <w:rFonts w:eastAsia="Calibri" w:cs="Tahoma"/>
          <w:color w:val="000000"/>
          <w:szCs w:val="18"/>
        </w:rPr>
        <w:t xml:space="preserve">un numero pari al numero minore delle licenze qualificanti cedute al server o al numero totale dei processori fisici sul server moltiplicato per il maggiore tra: </w:t>
      </w:r>
    </w:p>
    <w:p w14:paraId="7C11AD27" w14:textId="77777777" w:rsidR="00A81E83" w:rsidRPr="0058047D" w:rsidRDefault="00A81E83" w:rsidP="00346F4B">
      <w:pPr>
        <w:numPr>
          <w:ilvl w:val="3"/>
          <w:numId w:val="93"/>
        </w:numPr>
        <w:tabs>
          <w:tab w:val="left" w:pos="2160"/>
        </w:tabs>
        <w:spacing w:after="60"/>
        <w:ind w:left="2160"/>
      </w:pPr>
      <w:r w:rsidRPr="0058047D">
        <w:rPr>
          <w:rFonts w:eastAsia="Calibri" w:cs="Tahoma"/>
          <w:color w:val="000000"/>
          <w:szCs w:val="18"/>
        </w:rPr>
        <w:t>quattro O</w:t>
      </w:r>
    </w:p>
    <w:p w14:paraId="4D2CA7C7" w14:textId="77777777" w:rsidR="00A81E83" w:rsidRPr="0058047D" w:rsidRDefault="00A81E83" w:rsidP="00346F4B">
      <w:pPr>
        <w:numPr>
          <w:ilvl w:val="3"/>
          <w:numId w:val="93"/>
        </w:numPr>
        <w:tabs>
          <w:tab w:val="left" w:pos="2160"/>
        </w:tabs>
        <w:spacing w:after="60"/>
        <w:ind w:left="2160"/>
      </w:pPr>
      <w:r w:rsidRPr="0058047D">
        <w:rPr>
          <w:rFonts w:eastAsia="Calibri" w:cs="Tahoma"/>
          <w:color w:val="000000"/>
          <w:szCs w:val="18"/>
        </w:rPr>
        <w:t>il numero effettivo di core per processore fisico moltiplicato per il fattore core appropriato.</w:t>
      </w:r>
      <w:r w:rsidR="00E34ED3" w:rsidRPr="0058047D">
        <w:rPr>
          <w:rFonts w:eastAsia="Calibri" w:cs="Tahoma"/>
          <w:color w:val="000000"/>
          <w:szCs w:val="18"/>
        </w:rPr>
        <w:t xml:space="preserve"> </w:t>
      </w:r>
      <w:r w:rsidRPr="0058047D">
        <w:rPr>
          <w:rFonts w:eastAsia="Calibri" w:cs="Tahoma"/>
          <w:color w:val="000000"/>
          <w:szCs w:val="18"/>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1C4212">
        <w:rPr>
          <w:rFonts w:eastAsia="Calibri" w:cs="Tahoma"/>
          <w:color w:val="000000"/>
          <w:szCs w:val="18"/>
        </w:rPr>
        <w:t>’</w:t>
      </w:r>
      <w:r w:rsidRPr="0058047D">
        <w:rPr>
          <w:rFonts w:eastAsia="Calibri" w:cs="Tahoma"/>
          <w:color w:val="000000"/>
          <w:szCs w:val="18"/>
        </w:rPr>
        <w:t xml:space="preserve">hardware fisico che supporta tale software appena prima del rinnovo di Software Assurance utilizzando lo strumento MAP di Microsoft o un software equivalente). </w:t>
      </w:r>
    </w:p>
    <w:p w14:paraId="452D6BD0" w14:textId="77777777" w:rsidR="00A81E83" w:rsidRPr="0058047D" w:rsidRDefault="00A81E83" w:rsidP="00346F4B">
      <w:pPr>
        <w:numPr>
          <w:ilvl w:val="0"/>
          <w:numId w:val="118"/>
        </w:numPr>
        <w:tabs>
          <w:tab w:val="left" w:pos="1800"/>
        </w:tabs>
        <w:spacing w:after="60"/>
        <w:ind w:left="1440"/>
      </w:pPr>
      <w:r w:rsidRPr="0058047D">
        <w:rPr>
          <w:rFonts w:eastAsia="Calibri" w:cs="Tahoma"/>
          <w:color w:val="000000"/>
          <w:szCs w:val="18"/>
        </w:rPr>
        <w:t>un numero pari al numero di licenze qualificanti cedute al server oltre al numero effettivo di processori fisici sul server moltiplicato per quattro.</w:t>
      </w:r>
    </w:p>
    <w:p w14:paraId="7A8DE154" w14:textId="77777777" w:rsidR="00F94F25" w:rsidRPr="0058047D" w:rsidRDefault="00F94F25" w:rsidP="00F94F25">
      <w:pPr>
        <w:tabs>
          <w:tab w:val="left" w:pos="1800"/>
        </w:tabs>
        <w:ind w:left="1080"/>
      </w:pPr>
    </w:p>
    <w:p w14:paraId="300A3A65" w14:textId="77777777" w:rsidR="00F94F25" w:rsidRPr="0058047D" w:rsidRDefault="007A34E3" w:rsidP="00F94F25">
      <w:pPr>
        <w:spacing w:after="60"/>
        <w:ind w:left="720"/>
      </w:pPr>
      <w:r w:rsidRPr="0058047D">
        <w:rPr>
          <w:rFonts w:eastAsia="Calibri" w:cs="Tahoma"/>
          <w:b/>
          <w:color w:val="000000"/>
          <w:szCs w:val="18"/>
        </w:rPr>
        <w:t>Primo Periodo di Rinnovo in data 1 aprile 2015 o successiva</w:t>
      </w:r>
    </w:p>
    <w:p w14:paraId="136EF74E" w14:textId="77777777" w:rsidR="00A81E83" w:rsidRPr="0058047D" w:rsidRDefault="00A81E83" w:rsidP="00F94F25">
      <w:pPr>
        <w:ind w:left="720"/>
      </w:pPr>
      <w:r w:rsidRPr="0058047D">
        <w:rPr>
          <w:rFonts w:eastAsia="Calibri" w:cs="Tahoma"/>
          <w:color w:val="000000"/>
          <w:szCs w:val="18"/>
        </w:rPr>
        <w:t>Le società che rinnovano per la prima volta la copertura in data 1 aprile 2015</w:t>
      </w:r>
      <w:r w:rsidRPr="0058047D">
        <w:rPr>
          <w:rFonts w:eastAsia="Calibri" w:cs="Tahoma"/>
          <w:szCs w:val="18"/>
        </w:rPr>
        <w:t xml:space="preserve"> potranno, per ogni server ottenuto in licenza in conformità ai diritti di utilizzo del prodotto previsti dalla licenza per processore SQL Server 2008 R2, acquistare la copertura Software Assurance come di seguito indicato:</w:t>
      </w:r>
    </w:p>
    <w:p w14:paraId="2312312C" w14:textId="77777777" w:rsidR="00F94F25" w:rsidRPr="0058047D" w:rsidRDefault="00F94F25" w:rsidP="00F94F25">
      <w:pPr>
        <w:ind w:left="720"/>
      </w:pPr>
    </w:p>
    <w:p w14:paraId="0BF5238E" w14:textId="77777777" w:rsidR="00A81E83" w:rsidRPr="0058047D" w:rsidRDefault="00A81E83" w:rsidP="00346F4B">
      <w:pPr>
        <w:numPr>
          <w:ilvl w:val="3"/>
          <w:numId w:val="94"/>
        </w:numPr>
        <w:spacing w:after="60"/>
        <w:ind w:left="1440" w:hanging="360"/>
      </w:pPr>
      <w:r w:rsidRPr="0058047D">
        <w:rPr>
          <w:rFonts w:eastAsia="Calibri" w:cs="Tahoma"/>
          <w:szCs w:val="18"/>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 del 1 aprile 2015)” e </w:t>
      </w:r>
    </w:p>
    <w:p w14:paraId="5661A566" w14:textId="77777777" w:rsidR="00A81E83" w:rsidRPr="0058047D" w:rsidRDefault="00A81E83" w:rsidP="00346F4B">
      <w:pPr>
        <w:numPr>
          <w:ilvl w:val="3"/>
          <w:numId w:val="94"/>
        </w:numPr>
        <w:spacing w:after="60"/>
        <w:ind w:left="1440" w:hanging="360"/>
      </w:pPr>
      <w:r w:rsidRPr="0058047D">
        <w:rPr>
          <w:rFonts w:eastAsia="Calibri" w:cs="Tahoma"/>
          <w:szCs w:val="18"/>
        </w:rPr>
        <w:t>per le licenze acquistate dopo il 1 aprile 2015 le società potranno rinnovare la copertura Software Assurance per quattro licenze core per SQL Server Enterprise senza dover acquistare le licenze core sottostanti per ogni licenza per processore per SQL Server 2008 R2 Enterprise. Per l</w:t>
      </w:r>
      <w:r w:rsidR="001C4212">
        <w:rPr>
          <w:rFonts w:eastAsia="Calibri" w:cs="Tahoma"/>
          <w:szCs w:val="18"/>
        </w:rPr>
        <w:t>’</w:t>
      </w:r>
      <w:r w:rsidRPr="0058047D">
        <w:rPr>
          <w:rFonts w:eastAsia="Calibri" w:cs="Tahoma"/>
          <w:szCs w:val="18"/>
        </w:rPr>
        <w:t>utilizzo continuativo di SQL Server 2012 su processori che richiedono più di quattro licenze core per processore la società deve acquistare le licenze core aggiuntive.</w:t>
      </w:r>
    </w:p>
    <w:p w14:paraId="7B131756" w14:textId="77777777" w:rsidR="00A81E83" w:rsidRPr="0058047D" w:rsidRDefault="00A81E83" w:rsidP="00346F4B">
      <w:pPr>
        <w:numPr>
          <w:ilvl w:val="0"/>
          <w:numId w:val="50"/>
        </w:numPr>
        <w:spacing w:after="60"/>
        <w:ind w:left="1440"/>
      </w:pPr>
      <w:r w:rsidRPr="0058047D">
        <w:rPr>
          <w:rFonts w:eastAsia="Calibri" w:cs="Tahoma"/>
          <w:color w:val="000000"/>
          <w:szCs w:val="18"/>
        </w:rPr>
        <w:t xml:space="preserve">Le licenze per processore delle società non sono più valide se si acquista la copertura Software Assurance per licenze core ai sensi della presente offerta. </w:t>
      </w:r>
      <w:r w:rsidRPr="0058047D">
        <w:rPr>
          <w:rFonts w:eastAsia="Calibri" w:cs="Tahoma"/>
          <w:szCs w:val="18"/>
        </w:rPr>
        <w:t>L</w:t>
      </w:r>
      <w:r w:rsidR="001C4212">
        <w:rPr>
          <w:rFonts w:eastAsia="Calibri" w:cs="Tahoma"/>
          <w:szCs w:val="18"/>
        </w:rPr>
        <w:t>’</w:t>
      </w:r>
      <w:r w:rsidRPr="0058047D">
        <w:rPr>
          <w:rFonts w:eastAsia="Calibri" w:cs="Tahoma"/>
          <w:szCs w:val="18"/>
        </w:rPr>
        <w:t>opzione di acquistare Software Assurance per le licenze core per SQL Server non è applicabile al rinnovo della copertura ai sensi dei programmi di sottoscrizione.</w:t>
      </w:r>
      <w:r w:rsidR="00E34ED3" w:rsidRPr="0058047D">
        <w:rPr>
          <w:rFonts w:eastAsia="Calibri" w:cs="Tahoma"/>
          <w:szCs w:val="18"/>
        </w:rPr>
        <w:t xml:space="preserve"> </w:t>
      </w:r>
    </w:p>
    <w:p w14:paraId="267343EB" w14:textId="77777777" w:rsidR="00FE6686" w:rsidRPr="0058047D" w:rsidRDefault="00FE6686" w:rsidP="00F94F25">
      <w:pPr>
        <w:ind w:left="1440"/>
      </w:pPr>
    </w:p>
    <w:p w14:paraId="2F0143A5" w14:textId="77777777" w:rsidR="00204D6D" w:rsidRPr="0058047D" w:rsidRDefault="00A81E83" w:rsidP="00204D6D">
      <w:pPr>
        <w:tabs>
          <w:tab w:val="left" w:pos="1440"/>
        </w:tabs>
        <w:spacing w:after="60"/>
        <w:ind w:left="720"/>
      </w:pPr>
      <w:r w:rsidRPr="0058047D">
        <w:rPr>
          <w:rFonts w:eastAsia="Calibri" w:cs="Tahoma"/>
          <w:b/>
          <w:color w:val="000000"/>
          <w:szCs w:val="18"/>
        </w:rPr>
        <w:t>Per le Società con copertura Software Assurance in scadenza prima del 1 aprile 2015 che scelgono di non effettuare il rinnovo</w:t>
      </w:r>
    </w:p>
    <w:p w14:paraId="5E8CF066" w14:textId="77777777" w:rsidR="00A81E83" w:rsidRPr="0058047D" w:rsidRDefault="00A81E83" w:rsidP="00204D6D">
      <w:pPr>
        <w:tabs>
          <w:tab w:val="left" w:pos="1440"/>
        </w:tabs>
        <w:ind w:left="720"/>
      </w:pPr>
      <w:r w:rsidRPr="0058047D">
        <w:rPr>
          <w:rFonts w:eastAsia="Calibri" w:cs="Tahoma"/>
          <w:color w:val="000000"/>
          <w:szCs w:val="18"/>
        </w:rPr>
        <w:t xml:space="preserve">Le società titolari di contratti Enterprise Subscription </w:t>
      </w:r>
      <w:r w:rsidRPr="0058047D">
        <w:rPr>
          <w:rFonts w:cs="Tahoma"/>
          <w:bCs/>
          <w:color w:val="000000"/>
          <w:szCs w:val="18"/>
        </w:rPr>
        <w:t xml:space="preserve">e Open Value Subscription </w:t>
      </w:r>
      <w:r w:rsidRPr="0058047D">
        <w:rPr>
          <w:rFonts w:eastAsia="Calibri" w:cs="Tahoma"/>
          <w:color w:val="000000"/>
          <w:szCs w:val="18"/>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14:paraId="5FEF62A1" w14:textId="77777777" w:rsidR="00204D6D" w:rsidRPr="0058047D" w:rsidRDefault="00204D6D" w:rsidP="00204D6D">
      <w:pPr>
        <w:tabs>
          <w:tab w:val="left" w:pos="1440"/>
        </w:tabs>
        <w:ind w:left="720"/>
      </w:pPr>
    </w:p>
    <w:p w14:paraId="7DA791B4" w14:textId="77777777" w:rsidR="00A81E83" w:rsidRPr="0058047D" w:rsidRDefault="00A81E83" w:rsidP="00346F4B">
      <w:pPr>
        <w:numPr>
          <w:ilvl w:val="0"/>
          <w:numId w:val="53"/>
        </w:numPr>
        <w:spacing w:after="60"/>
        <w:ind w:left="1440"/>
      </w:pPr>
      <w:r w:rsidRPr="0058047D">
        <w:rPr>
          <w:rFonts w:eastAsia="Calibri" w:cs="Tahoma"/>
          <w:b/>
          <w:color w:val="000000"/>
          <w:szCs w:val="18"/>
        </w:rPr>
        <w:t>SQL Server 2008 R2 Enterprise:</w:t>
      </w:r>
      <w:r w:rsidRPr="0058047D">
        <w:rPr>
          <w:rFonts w:eastAsia="Calibri" w:cs="Tahoma"/>
          <w:color w:val="000000"/>
          <w:szCs w:val="18"/>
        </w:rPr>
        <w:t xml:space="preserve"> l</w:t>
      </w:r>
      <w:r w:rsidR="001C4212">
        <w:rPr>
          <w:rFonts w:eastAsia="Calibri" w:cs="Tahoma"/>
          <w:color w:val="000000"/>
          <w:szCs w:val="18"/>
        </w:rPr>
        <w:t>’</w:t>
      </w:r>
      <w:r w:rsidRPr="0058047D">
        <w:rPr>
          <w:rFonts w:eastAsia="Calibri" w:cs="Tahoma"/>
          <w:color w:val="000000"/>
          <w:szCs w:val="18"/>
        </w:rPr>
        <w:t>utilizzo continuativo di questo software è soggetto ai diritti di utilizzo del prodotto previsti dalla licenza per processore per SQL Server 2008 R2 Enterprise; tuttavia, le società non disporranno più di diritti sull</w:t>
      </w:r>
      <w:r w:rsidR="001C4212">
        <w:rPr>
          <w:rFonts w:eastAsia="Calibri" w:cs="Tahoma"/>
          <w:color w:val="000000"/>
          <w:szCs w:val="18"/>
        </w:rPr>
        <w:t>’</w:t>
      </w:r>
      <w:r w:rsidRPr="0058047D">
        <w:rPr>
          <w:rFonts w:eastAsia="Calibri" w:cs="Tahoma"/>
          <w:color w:val="000000"/>
          <w:szCs w:val="18"/>
        </w:rPr>
        <w:t xml:space="preserve">utilizzo per la Virtualizzazione Illimitata o di Mobilità delle Licenze tramite Software Assurance. </w:t>
      </w:r>
    </w:p>
    <w:p w14:paraId="208D90B7" w14:textId="77777777" w:rsidR="00A81E83" w:rsidRPr="0058047D" w:rsidRDefault="00A81E83" w:rsidP="00346F4B">
      <w:pPr>
        <w:numPr>
          <w:ilvl w:val="0"/>
          <w:numId w:val="53"/>
        </w:numPr>
        <w:tabs>
          <w:tab w:val="left" w:pos="1800"/>
        </w:tabs>
        <w:spacing w:after="60"/>
        <w:ind w:left="1440"/>
      </w:pPr>
      <w:r w:rsidRPr="0058047D">
        <w:rPr>
          <w:rFonts w:eastAsia="Calibri" w:cs="Tahoma"/>
          <w:b/>
          <w:color w:val="000000"/>
          <w:szCs w:val="18"/>
        </w:rPr>
        <w:t xml:space="preserve">SQL Server 2012 Enterprise Core: </w:t>
      </w:r>
      <w:r w:rsidRPr="0058047D">
        <w:rPr>
          <w:rFonts w:eastAsia="Calibri" w:cs="Tahoma"/>
          <w:color w:val="000000"/>
          <w:szCs w:val="18"/>
        </w:rPr>
        <w:t>l</w:t>
      </w:r>
      <w:r w:rsidR="001C4212">
        <w:rPr>
          <w:rFonts w:eastAsia="Calibri" w:cs="Tahoma"/>
          <w:color w:val="000000"/>
          <w:szCs w:val="18"/>
        </w:rPr>
        <w:t>’</w:t>
      </w:r>
      <w:r w:rsidRPr="0058047D">
        <w:rPr>
          <w:rFonts w:eastAsia="Calibri" w:cs="Tahoma"/>
          <w:color w:val="000000"/>
          <w:szCs w:val="18"/>
        </w:rPr>
        <w:t xml:space="preserve">utilizzo di tale versione del software è soggetto ai diritti di utilizzo del prodotto previsti dalla licenza per processore SQL Server 2008 R2 Enterprise, tuttavia: </w:t>
      </w:r>
    </w:p>
    <w:p w14:paraId="71F58CBA" w14:textId="77777777" w:rsidR="00A81E83" w:rsidRPr="0058047D" w:rsidRDefault="00A81E83" w:rsidP="00346F4B">
      <w:pPr>
        <w:numPr>
          <w:ilvl w:val="1"/>
          <w:numId w:val="53"/>
        </w:numPr>
        <w:tabs>
          <w:tab w:val="left" w:pos="2160"/>
        </w:tabs>
        <w:spacing w:after="60"/>
        <w:ind w:left="2160"/>
      </w:pPr>
      <w:r w:rsidRPr="0058047D">
        <w:rPr>
          <w:rFonts w:eastAsia="Calibri" w:cs="Tahoma"/>
          <w:color w:val="000000"/>
          <w:szCs w:val="18"/>
        </w:rPr>
        <w:t>le società non disporranno più di diritti sull</w:t>
      </w:r>
      <w:r w:rsidR="001C4212">
        <w:rPr>
          <w:rFonts w:eastAsia="Calibri" w:cs="Tahoma"/>
          <w:color w:val="000000"/>
          <w:szCs w:val="18"/>
        </w:rPr>
        <w:t>’</w:t>
      </w:r>
      <w:r w:rsidRPr="0058047D">
        <w:rPr>
          <w:rFonts w:eastAsia="Calibri" w:cs="Tahoma"/>
          <w:color w:val="000000"/>
          <w:szCs w:val="18"/>
        </w:rPr>
        <w:t>utilizzo per la Virtualizzazione Illimitata, Mobilità delle Licenze all</w:t>
      </w:r>
      <w:r w:rsidR="001C4212">
        <w:rPr>
          <w:rFonts w:eastAsia="Calibri" w:cs="Tahoma"/>
          <w:color w:val="000000"/>
          <w:szCs w:val="18"/>
        </w:rPr>
        <w:t>’</w:t>
      </w:r>
      <w:r w:rsidRPr="0058047D">
        <w:rPr>
          <w:rFonts w:eastAsia="Calibri" w:cs="Tahoma"/>
          <w:color w:val="000000"/>
          <w:szCs w:val="18"/>
        </w:rPr>
        <w:t xml:space="preserve">interno di Server Farm o Mobilità delle Licenze tramite Software Assurance e </w:t>
      </w:r>
    </w:p>
    <w:p w14:paraId="7424AA03" w14:textId="77777777" w:rsidR="00A81E83" w:rsidRPr="0058047D" w:rsidRDefault="00A81E83" w:rsidP="00346F4B">
      <w:pPr>
        <w:numPr>
          <w:ilvl w:val="1"/>
          <w:numId w:val="53"/>
        </w:numPr>
        <w:tabs>
          <w:tab w:val="left" w:pos="2160"/>
          <w:tab w:val="left" w:pos="2970"/>
        </w:tabs>
        <w:spacing w:after="60"/>
        <w:ind w:left="2160"/>
      </w:pPr>
      <w:r w:rsidRPr="0058047D">
        <w:rPr>
          <w:rFonts w:eastAsia="Calibri" w:cs="Tahoma"/>
          <w:color w:val="000000"/>
          <w:szCs w:val="18"/>
        </w:rPr>
        <w:t>l</w:t>
      </w:r>
      <w:r w:rsidR="001C4212">
        <w:rPr>
          <w:rFonts w:eastAsia="Calibri" w:cs="Tahoma"/>
          <w:color w:val="000000"/>
          <w:szCs w:val="18"/>
        </w:rPr>
        <w:t>’</w:t>
      </w:r>
      <w:r w:rsidRPr="0058047D">
        <w:rPr>
          <w:rFonts w:eastAsia="Calibri" w:cs="Tahoma"/>
          <w:color w:val="000000"/>
          <w:szCs w:val="18"/>
        </w:rPr>
        <w:t>eventuale riassegnazione di licenze è soggetta ai limiti indicati nei paragrafi (i) e (ii) che seguono relativi alla loro “equivalenza di licenze core”. L</w:t>
      </w:r>
      <w:r w:rsidR="001C4212">
        <w:rPr>
          <w:rFonts w:eastAsia="Calibri" w:cs="Tahoma"/>
          <w:color w:val="000000"/>
          <w:szCs w:val="18"/>
        </w:rPr>
        <w:t>’</w:t>
      </w:r>
      <w:r w:rsidRPr="0058047D">
        <w:rPr>
          <w:rFonts w:eastAsia="Calibri" w:cs="Tahoma"/>
          <w:color w:val="000000"/>
          <w:szCs w:val="18"/>
        </w:rPr>
        <w:t xml:space="preserve">equivalenza di licenze core è determinata come di seguito riportato. </w:t>
      </w:r>
    </w:p>
    <w:p w14:paraId="3D9B2B67" w14:textId="77777777" w:rsidR="00A81E83" w:rsidRPr="0058047D" w:rsidRDefault="00A81E83" w:rsidP="00346F4B">
      <w:pPr>
        <w:numPr>
          <w:ilvl w:val="2"/>
          <w:numId w:val="53"/>
        </w:numPr>
        <w:tabs>
          <w:tab w:val="left" w:pos="2520"/>
        </w:tabs>
        <w:spacing w:after="60"/>
        <w:ind w:left="2520"/>
      </w:pPr>
      <w:r w:rsidRPr="0058047D">
        <w:rPr>
          <w:rFonts w:eastAsia="Calibri" w:cs="Tahoma"/>
          <w:color w:val="000000"/>
          <w:szCs w:val="18"/>
        </w:rPr>
        <w:t>Per un numero di licenze pari al numero inferiore tra (x) il numero totale di licenze per processore cedute a un server con licenza appena prima della scadenza di Software Assurance o (y) il numero totale di processori fisici su tale server, l</w:t>
      </w:r>
      <w:r w:rsidR="001C4212">
        <w:rPr>
          <w:rFonts w:eastAsia="Calibri" w:cs="Tahoma"/>
          <w:color w:val="000000"/>
          <w:szCs w:val="18"/>
        </w:rPr>
        <w:t>’</w:t>
      </w:r>
      <w:r w:rsidRPr="0058047D">
        <w:rPr>
          <w:rFonts w:eastAsia="Calibri" w:cs="Tahoma"/>
          <w:color w:val="000000"/>
          <w:szCs w:val="18"/>
        </w:rPr>
        <w:t xml:space="preserve">equivalenza di licenze core è il numero maggiore tra: </w:t>
      </w:r>
    </w:p>
    <w:p w14:paraId="04DCE111" w14:textId="77777777" w:rsidR="00A81E83" w:rsidRPr="0058047D" w:rsidRDefault="00A81E83" w:rsidP="00346F4B">
      <w:pPr>
        <w:numPr>
          <w:ilvl w:val="4"/>
          <w:numId w:val="50"/>
        </w:numPr>
        <w:tabs>
          <w:tab w:val="left" w:pos="2880"/>
        </w:tabs>
        <w:spacing w:after="60"/>
        <w:ind w:left="2880"/>
      </w:pPr>
      <w:r w:rsidRPr="0058047D">
        <w:rPr>
          <w:rFonts w:eastAsia="Calibri" w:cs="Tahoma"/>
          <w:color w:val="000000"/>
          <w:szCs w:val="18"/>
        </w:rPr>
        <w:t xml:space="preserve">quattro core per licenza per processore O </w:t>
      </w:r>
    </w:p>
    <w:p w14:paraId="28B30A11" w14:textId="77777777" w:rsidR="00A81E83" w:rsidRPr="0058047D" w:rsidRDefault="00A81E83" w:rsidP="00346F4B">
      <w:pPr>
        <w:numPr>
          <w:ilvl w:val="4"/>
          <w:numId w:val="50"/>
        </w:numPr>
        <w:tabs>
          <w:tab w:val="left" w:pos="2880"/>
        </w:tabs>
        <w:spacing w:after="60"/>
        <w:ind w:left="2880"/>
      </w:pPr>
      <w:r w:rsidRPr="0058047D">
        <w:rPr>
          <w:rFonts w:eastAsia="Calibri" w:cs="Tahoma"/>
          <w:color w:val="000000"/>
          <w:szCs w:val="18"/>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1C4212">
        <w:rPr>
          <w:rFonts w:eastAsia="Calibri" w:cs="Tahoma"/>
          <w:color w:val="000000"/>
          <w:szCs w:val="18"/>
        </w:rPr>
        <w:t>’</w:t>
      </w:r>
      <w:r w:rsidRPr="0058047D">
        <w:rPr>
          <w:rFonts w:eastAsia="Calibri" w:cs="Tahoma"/>
          <w:color w:val="000000"/>
          <w:szCs w:val="18"/>
        </w:rPr>
        <w:t xml:space="preserve">hardware fisico che supporta tale software appena prima della scadenza di Software Assurance utilizzando lo strumento MAP di Microsoft o un software equivalente). </w:t>
      </w:r>
    </w:p>
    <w:p w14:paraId="7795ED30" w14:textId="77777777" w:rsidR="00A81E83" w:rsidRPr="0058047D" w:rsidRDefault="00A81E83" w:rsidP="00346F4B">
      <w:pPr>
        <w:numPr>
          <w:ilvl w:val="2"/>
          <w:numId w:val="53"/>
        </w:numPr>
        <w:tabs>
          <w:tab w:val="left" w:pos="2520"/>
        </w:tabs>
        <w:spacing w:after="60"/>
        <w:ind w:left="2520"/>
      </w:pPr>
      <w:r w:rsidRPr="0058047D">
        <w:rPr>
          <w:rFonts w:eastAsia="Calibri" w:cs="Tahoma"/>
          <w:color w:val="000000"/>
          <w:szCs w:val="18"/>
        </w:rPr>
        <w:t>Per qualsiasi licenza per processore con la copertura Software Assurance in scadenza ceduta allo stesso server con licenza che ecceda il numero effettivo di processori fisici sul server, l</w:t>
      </w:r>
      <w:r w:rsidR="001C4212">
        <w:rPr>
          <w:rFonts w:eastAsia="Calibri" w:cs="Tahoma"/>
          <w:color w:val="000000"/>
          <w:szCs w:val="18"/>
        </w:rPr>
        <w:t>’</w:t>
      </w:r>
      <w:r w:rsidRPr="0058047D">
        <w:rPr>
          <w:rFonts w:eastAsia="Calibri" w:cs="Tahoma"/>
          <w:color w:val="000000"/>
          <w:szCs w:val="18"/>
        </w:rPr>
        <w:t>equivalenza core è di quattro core per licenza per processore.</w:t>
      </w:r>
    </w:p>
    <w:p w14:paraId="4DB9416C" w14:textId="77777777" w:rsidR="00A81E83" w:rsidRPr="0058047D" w:rsidRDefault="00A81E83" w:rsidP="00346F4B">
      <w:pPr>
        <w:numPr>
          <w:ilvl w:val="1"/>
          <w:numId w:val="53"/>
        </w:numPr>
        <w:tabs>
          <w:tab w:val="left" w:pos="1800"/>
        </w:tabs>
        <w:spacing w:after="60"/>
        <w:ind w:left="1800"/>
      </w:pPr>
      <w:r w:rsidRPr="0058047D">
        <w:rPr>
          <w:rFonts w:eastAsia="Calibri" w:cs="Tahoma"/>
          <w:color w:val="000000"/>
          <w:szCs w:val="18"/>
        </w:rPr>
        <w:t xml:space="preserve">Le società </w:t>
      </w:r>
      <w:r w:rsidRPr="0058047D">
        <w:rPr>
          <w:rFonts w:eastAsia="Calibri" w:cs="Tahoma"/>
          <w:szCs w:val="18"/>
        </w:rPr>
        <w:t>potranno riassegnare le licenze a un altro server. Tuttavia, qualora la società riassegni una licenza a un altro server, dovrà attenersi ai diritti sull</w:t>
      </w:r>
      <w:r w:rsidR="001C4212">
        <w:rPr>
          <w:rFonts w:eastAsia="Calibri" w:cs="Tahoma"/>
          <w:szCs w:val="18"/>
        </w:rPr>
        <w:t>’</w:t>
      </w:r>
      <w:r w:rsidRPr="0058047D">
        <w:rPr>
          <w:rFonts w:eastAsia="Calibri" w:cs="Tahoma"/>
          <w:szCs w:val="18"/>
        </w:rPr>
        <w:t>utilizzo di SQL Server 2012. Quando cede licenze core a server ai sensi dei diritti sull</w:t>
      </w:r>
      <w:r w:rsidR="001C4212">
        <w:rPr>
          <w:rFonts w:eastAsia="Calibri" w:cs="Tahoma"/>
          <w:szCs w:val="18"/>
        </w:rPr>
        <w:t>’</w:t>
      </w:r>
      <w:r w:rsidRPr="0058047D">
        <w:rPr>
          <w:rFonts w:eastAsia="Calibri" w:cs="Tahoma"/>
          <w:szCs w:val="18"/>
        </w:rPr>
        <w:t>utilizzo per SQL 2012, la società potrà combinare l</w:t>
      </w:r>
      <w:r w:rsidR="001C4212">
        <w:rPr>
          <w:rFonts w:eastAsia="Calibri" w:cs="Tahoma"/>
          <w:szCs w:val="18"/>
        </w:rPr>
        <w:t>’</w:t>
      </w:r>
      <w:r w:rsidRPr="0058047D">
        <w:rPr>
          <w:rFonts w:eastAsia="Calibri" w:cs="Tahoma"/>
          <w:szCs w:val="18"/>
        </w:rPr>
        <w:t>equivalenza core delle licenze esistenti con le licenze core per SQL Server 2012 aggiuntive.</w:t>
      </w:r>
    </w:p>
    <w:p w14:paraId="570FB728" w14:textId="77777777" w:rsidR="00A81E83" w:rsidRPr="0058047D" w:rsidRDefault="00A81E83" w:rsidP="00346F4B">
      <w:pPr>
        <w:numPr>
          <w:ilvl w:val="1"/>
          <w:numId w:val="53"/>
        </w:numPr>
        <w:tabs>
          <w:tab w:val="left" w:pos="1800"/>
          <w:tab w:val="left" w:pos="2970"/>
        </w:tabs>
        <w:spacing w:after="60"/>
        <w:ind w:left="1800"/>
      </w:pPr>
      <w:r w:rsidRPr="0058047D">
        <w:rPr>
          <w:rFonts w:eastAsia="Calibri" w:cs="Tahoma"/>
          <w:color w:val="000000"/>
          <w:szCs w:val="18"/>
        </w:rPr>
        <w:t>L</w:t>
      </w:r>
      <w:r w:rsidR="001C4212">
        <w:rPr>
          <w:rFonts w:eastAsia="Calibri" w:cs="Tahoma"/>
          <w:color w:val="000000"/>
          <w:szCs w:val="18"/>
        </w:rPr>
        <w:t>’</w:t>
      </w:r>
      <w:r w:rsidRPr="0058047D">
        <w:rPr>
          <w:rFonts w:eastAsia="Calibri" w:cs="Tahoma"/>
          <w:color w:val="000000"/>
          <w:szCs w:val="18"/>
        </w:rPr>
        <w:t>equivalenza di licenze core stimata delle società non implica che esse possano cedere una licenza singola per processore a core attraverso due o più processori.</w:t>
      </w:r>
    </w:p>
    <w:p w14:paraId="10F25B17" w14:textId="77777777" w:rsidR="00FE6686" w:rsidRPr="0058047D" w:rsidRDefault="00FE6686" w:rsidP="00204D6D">
      <w:pPr>
        <w:tabs>
          <w:tab w:val="left" w:pos="1800"/>
          <w:tab w:val="left" w:pos="2970"/>
        </w:tabs>
      </w:pPr>
    </w:p>
    <w:p w14:paraId="3C9D47DD" w14:textId="77777777" w:rsidR="00204D6D" w:rsidRPr="0058047D" w:rsidRDefault="00A81E83" w:rsidP="00204D6D">
      <w:pPr>
        <w:tabs>
          <w:tab w:val="left" w:pos="720"/>
        </w:tabs>
        <w:spacing w:after="60"/>
        <w:ind w:left="720"/>
      </w:pPr>
      <w:r w:rsidRPr="0058047D">
        <w:rPr>
          <w:rFonts w:eastAsia="Calibri" w:cs="Tahoma"/>
          <w:b/>
          <w:color w:val="000000"/>
          <w:szCs w:val="18"/>
        </w:rPr>
        <w:t>Per le Società con copertura Software Assurance in scadenza in data 1 aprile 2015 o successiva che scelgono di non effettuare il rinnovo</w:t>
      </w:r>
    </w:p>
    <w:p w14:paraId="78DAC033" w14:textId="77777777" w:rsidR="00A81E83" w:rsidRPr="0058047D" w:rsidRDefault="00A81E83" w:rsidP="00204D6D">
      <w:pPr>
        <w:tabs>
          <w:tab w:val="left" w:pos="720"/>
        </w:tabs>
        <w:ind w:left="720"/>
      </w:pPr>
      <w:r w:rsidRPr="0058047D">
        <w:rPr>
          <w:rFonts w:eastAsia="Calibri" w:cs="Tahoma"/>
          <w:color w:val="000000"/>
          <w:szCs w:val="18"/>
        </w:rPr>
        <w:t xml:space="preserve">Alle società titolari di contratti Enterprise Subscription </w:t>
      </w:r>
      <w:r w:rsidRPr="0058047D">
        <w:rPr>
          <w:rFonts w:cs="Tahoma"/>
          <w:bCs/>
          <w:color w:val="000000"/>
          <w:szCs w:val="18"/>
        </w:rPr>
        <w:t xml:space="preserve">e Open Value Subscription </w:t>
      </w:r>
      <w:r w:rsidRPr="0058047D">
        <w:rPr>
          <w:rFonts w:eastAsia="Calibri" w:cs="Tahoma"/>
          <w:color w:val="000000"/>
          <w:szCs w:val="18"/>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14:paraId="7B0C5956" w14:textId="77777777" w:rsidR="00204D6D" w:rsidRPr="0058047D" w:rsidRDefault="00204D6D" w:rsidP="00204D6D">
      <w:pPr>
        <w:tabs>
          <w:tab w:val="left" w:pos="720"/>
        </w:tabs>
        <w:ind w:left="720"/>
      </w:pPr>
    </w:p>
    <w:p w14:paraId="23CC3F57" w14:textId="77777777" w:rsidR="00A81E83" w:rsidRPr="0058047D" w:rsidRDefault="00A81E83" w:rsidP="00346F4B">
      <w:pPr>
        <w:numPr>
          <w:ilvl w:val="2"/>
          <w:numId w:val="50"/>
        </w:numPr>
        <w:spacing w:after="60"/>
        <w:ind w:left="1440"/>
      </w:pPr>
      <w:r w:rsidRPr="0058047D">
        <w:rPr>
          <w:rFonts w:eastAsia="Calibri" w:cs="Tahoma"/>
          <w:szCs w:val="18"/>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 </w:t>
      </w:r>
    </w:p>
    <w:p w14:paraId="6DA6B343" w14:textId="77777777" w:rsidR="00A81E83" w:rsidRPr="0058047D" w:rsidRDefault="00A81E83" w:rsidP="00346F4B">
      <w:pPr>
        <w:numPr>
          <w:ilvl w:val="2"/>
          <w:numId w:val="50"/>
        </w:numPr>
        <w:spacing w:after="60"/>
        <w:ind w:left="1440"/>
      </w:pPr>
      <w:r w:rsidRPr="0058047D">
        <w:rPr>
          <w:rFonts w:eastAsia="Calibri" w:cs="Tahoma"/>
          <w:szCs w:val="18"/>
        </w:rPr>
        <w:t>per le licenze acquistate dopo il 1 aprile 2015 la licenza per processore delle società avrà un</w:t>
      </w:r>
      <w:r w:rsidR="001C4212">
        <w:rPr>
          <w:rFonts w:eastAsia="Calibri" w:cs="Tahoma"/>
          <w:szCs w:val="18"/>
        </w:rPr>
        <w:t>’</w:t>
      </w:r>
      <w:r w:rsidRPr="0058047D">
        <w:rPr>
          <w:rFonts w:eastAsia="Calibri" w:cs="Tahoma"/>
          <w:szCs w:val="18"/>
        </w:rPr>
        <w:t>equivalenza core di quattro licenze core Enterprise per SQL Server 2012. Per l</w:t>
      </w:r>
      <w:r w:rsidR="001C4212">
        <w:rPr>
          <w:rFonts w:eastAsia="Calibri" w:cs="Tahoma"/>
          <w:szCs w:val="18"/>
        </w:rPr>
        <w:t>’</w:t>
      </w:r>
      <w:r w:rsidRPr="0058047D">
        <w:rPr>
          <w:rFonts w:eastAsia="Calibri" w:cs="Tahoma"/>
          <w:szCs w:val="18"/>
        </w:rPr>
        <w:t>utilizzo continuativo di SQL Server 2012 su processori che richiedono più di quattro licenze core per processore la società deve acquistare le licenze core aggiuntive.</w:t>
      </w:r>
    </w:p>
    <w:p w14:paraId="2F37F632" w14:textId="77777777" w:rsidR="00204D6D" w:rsidRPr="0058047D" w:rsidRDefault="00204D6D" w:rsidP="00204D6D">
      <w:pPr>
        <w:ind w:left="1440"/>
      </w:pPr>
    </w:p>
    <w:p w14:paraId="10ECA286" w14:textId="77777777" w:rsidR="00204D6D" w:rsidRPr="0058047D" w:rsidRDefault="00A81E83" w:rsidP="00204D6D">
      <w:pPr>
        <w:tabs>
          <w:tab w:val="left" w:pos="720"/>
        </w:tabs>
        <w:spacing w:after="60"/>
        <w:ind w:left="720"/>
      </w:pPr>
      <w:r w:rsidRPr="0058047D">
        <w:rPr>
          <w:b/>
        </w:rPr>
        <w:t>Per le società con sede nella Repubblica popolare</w:t>
      </w:r>
      <w:r w:rsidRPr="0058047D">
        <w:t xml:space="preserve"> </w:t>
      </w:r>
      <w:r w:rsidRPr="0058047D">
        <w:rPr>
          <w:b/>
        </w:rPr>
        <w:t>cinese, dove acquistano licenze per processore e Software Assurance per SQL Server 2008 R2</w:t>
      </w:r>
    </w:p>
    <w:p w14:paraId="6123B7A8" w14:textId="77777777" w:rsidR="00A81E83" w:rsidRPr="0058047D" w:rsidRDefault="00A81E83" w:rsidP="00204D6D">
      <w:pPr>
        <w:tabs>
          <w:tab w:val="left" w:pos="720"/>
        </w:tabs>
        <w:ind w:left="720"/>
      </w:pPr>
      <w:r w:rsidRPr="0058047D">
        <w:t>Non si applicano i riferimenti al 1 aprile 2012 e al 1 aprile 2015 presenti in questa nota relativa alla lista dei prodotti. Le date applicabili per queste società sarebbero rispettivamente il 1 luglio 2012 e il 1 luglio 2015.</w:t>
      </w:r>
    </w:p>
    <w:p w14:paraId="3249A516" w14:textId="77777777" w:rsidR="006E28CC" w:rsidRPr="0058047D" w:rsidRDefault="006E28CC" w:rsidP="00204D6D">
      <w:pPr>
        <w:tabs>
          <w:tab w:val="left" w:pos="720"/>
        </w:tabs>
        <w:ind w:left="720"/>
      </w:pPr>
    </w:p>
    <w:p w14:paraId="4E4F1CE6" w14:textId="77777777" w:rsidR="006E28CC" w:rsidRPr="0058047D" w:rsidRDefault="006E28CC" w:rsidP="00204D6D">
      <w:pPr>
        <w:tabs>
          <w:tab w:val="left" w:pos="720"/>
        </w:tabs>
        <w:ind w:left="720"/>
      </w:pPr>
    </w:p>
    <w:p w14:paraId="4C149093" w14:textId="77777777" w:rsidR="006E28CC" w:rsidRPr="0058047D" w:rsidRDefault="00A560B6" w:rsidP="006E28CC">
      <w:pPr>
        <w:pStyle w:val="Heading3"/>
      </w:pPr>
      <w:bookmarkStart w:id="1445" w:name="_80_SQL_Server"/>
      <w:bookmarkStart w:id="1446" w:name="_81_SQL_Server"/>
      <w:bookmarkStart w:id="1447" w:name="_88_SQL_Server"/>
      <w:bookmarkStart w:id="1448" w:name="_Toc371663740"/>
      <w:bookmarkEnd w:id="1445"/>
      <w:bookmarkEnd w:id="1446"/>
      <w:bookmarkEnd w:id="1447"/>
      <w:r w:rsidRPr="0058047D">
        <w:rPr>
          <w:rFonts w:ascii="Tahoma" w:hAnsi="Tahoma"/>
          <w:caps/>
          <w:color w:val="F66400"/>
          <w:sz w:val="22"/>
          <w:vertAlign w:val="superscript"/>
        </w:rPr>
        <w:t>87</w:t>
      </w:r>
      <w:r w:rsidR="00E53A46" w:rsidRPr="0058047D">
        <w:rPr>
          <w:rFonts w:ascii="Tahoma" w:hAnsi="Tahoma"/>
          <w:color w:val="F66400"/>
          <w:sz w:val="22"/>
        </w:rPr>
        <w:t xml:space="preserve"> SQL Server</w:t>
      </w:r>
      <w:r w:rsidR="00E53A46" w:rsidRPr="0058047D">
        <w:rPr>
          <w:rFonts w:ascii="Tahoma" w:hAnsi="Tahoma"/>
          <w:color w:val="F66400"/>
          <w:sz w:val="22"/>
          <w:vertAlign w:val="superscript"/>
        </w:rPr>
        <w:t>®</w:t>
      </w:r>
      <w:r w:rsidRPr="0058047D">
        <w:rPr>
          <w:rFonts w:ascii="Tahoma" w:hAnsi="Tahoma"/>
          <w:color w:val="F66400"/>
          <w:sz w:val="22"/>
        </w:rPr>
        <w:t xml:space="preserve"> 2012 Parallel Data Warehouse</w:t>
      </w:r>
      <w:bookmarkEnd w:id="1448"/>
    </w:p>
    <w:p w14:paraId="4BFB3C41" w14:textId="77777777" w:rsidR="006E28CC" w:rsidRPr="0058047D" w:rsidRDefault="006E28CC" w:rsidP="006E28CC">
      <w:pPr>
        <w:pStyle w:val="EndnoteText"/>
      </w:pPr>
    </w:p>
    <w:p w14:paraId="00437630" w14:textId="77777777" w:rsidR="000A30EE" w:rsidRPr="0058047D" w:rsidRDefault="000A30EE" w:rsidP="000A30EE">
      <w:pPr>
        <w:spacing w:after="60"/>
        <w:ind w:left="720"/>
      </w:pPr>
      <w:r w:rsidRPr="0058047D">
        <w:rPr>
          <w:rFonts w:eastAsia="Calibri" w:cs="Tahoma"/>
          <w:b/>
          <w:color w:val="000000"/>
          <w:szCs w:val="18"/>
        </w:rPr>
        <w:t>Concessioni di Licenza Associate alla Variazione del Modello di Licenza</w:t>
      </w:r>
    </w:p>
    <w:p w14:paraId="3719CA7B" w14:textId="77777777" w:rsidR="000A30EE" w:rsidRPr="0058047D" w:rsidRDefault="000A30EE" w:rsidP="000A30EE">
      <w:pPr>
        <w:ind w:left="720"/>
      </w:pPr>
      <w:r w:rsidRPr="0058047D">
        <w:rPr>
          <w:rFonts w:eastAsia="Calibri" w:cs="Tahoma"/>
          <w:color w:val="000000"/>
          <w:szCs w:val="18"/>
        </w:rPr>
        <w:t>SQL Server 2008 R2 sarà l</w:t>
      </w:r>
      <w:r w:rsidR="001C4212">
        <w:rPr>
          <w:rFonts w:eastAsia="Calibri" w:cs="Tahoma"/>
          <w:color w:val="000000"/>
          <w:szCs w:val="18"/>
        </w:rPr>
        <w:t>’</w:t>
      </w:r>
      <w:r w:rsidRPr="0058047D">
        <w:rPr>
          <w:rFonts w:eastAsia="Calibri" w:cs="Tahoma"/>
          <w:color w:val="000000"/>
          <w:szCs w:val="18"/>
        </w:rPr>
        <w:t>ultima versione di SQL Server Parallel Data Warehouse concessa in licenza ai sensi del modello di licenza per processore.</w:t>
      </w:r>
      <w:r w:rsidR="00E34ED3" w:rsidRPr="0058047D">
        <w:rPr>
          <w:rFonts w:eastAsia="Calibri" w:cs="Tahoma"/>
          <w:color w:val="000000"/>
          <w:szCs w:val="18"/>
        </w:rPr>
        <w:t xml:space="preserve"> </w:t>
      </w:r>
      <w:r w:rsidRPr="0058047D">
        <w:rPr>
          <w:rFonts w:eastAsia="Calibri" w:cs="Tahoma"/>
          <w:color w:val="000000"/>
          <w:szCs w:val="18"/>
        </w:rPr>
        <w:t xml:space="preserve">In via eccezionale, alle società con Contratti Multilicenza e copertura Software Assurance attiva per le licenze per SQL Server 2008 R2 Parallel Data Warehouse in data 1 marzo 2013 (“licenze qualificanti”) vengono offerte le opzioni che seguono. Le licenze per SQL Server 2008 R2 Parallel Data Warehouse </w:t>
      </w:r>
      <w:r w:rsidRPr="0058047D">
        <w:rPr>
          <w:rFonts w:cs="Tahoma"/>
          <w:bCs/>
          <w:color w:val="000000"/>
          <w:szCs w:val="18"/>
        </w:rPr>
        <w:t>acquistate successivamente nello stesso periodo di validità dell</w:t>
      </w:r>
      <w:r w:rsidR="001C4212">
        <w:rPr>
          <w:rFonts w:cs="Tahoma"/>
          <w:bCs/>
          <w:color w:val="000000"/>
          <w:szCs w:val="18"/>
        </w:rPr>
        <w:t>’</w:t>
      </w:r>
      <w:r w:rsidRPr="0058047D">
        <w:rPr>
          <w:rFonts w:cs="Tahoma"/>
          <w:bCs/>
          <w:color w:val="000000"/>
          <w:szCs w:val="18"/>
        </w:rPr>
        <w:t>iscrizione nell</w:t>
      </w:r>
      <w:r w:rsidR="001C4212">
        <w:rPr>
          <w:rFonts w:cs="Tahoma"/>
          <w:bCs/>
          <w:color w:val="000000"/>
          <w:szCs w:val="18"/>
        </w:rPr>
        <w:t>’</w:t>
      </w:r>
      <w:r w:rsidRPr="0058047D">
        <w:rPr>
          <w:rFonts w:cs="Tahoma"/>
          <w:bCs/>
          <w:color w:val="000000"/>
          <w:szCs w:val="18"/>
        </w:rPr>
        <w:t>ambito di una procedura pianificata di true-up della società Enterprise o Enterprise Subscription sono anch</w:t>
      </w:r>
      <w:r w:rsidR="001C4212">
        <w:rPr>
          <w:rFonts w:cs="Tahoma"/>
          <w:bCs/>
          <w:color w:val="000000"/>
          <w:szCs w:val="18"/>
        </w:rPr>
        <w:t>’</w:t>
      </w:r>
      <w:r w:rsidRPr="0058047D">
        <w:rPr>
          <w:rFonts w:cs="Tahoma"/>
          <w:bCs/>
          <w:color w:val="000000"/>
          <w:szCs w:val="18"/>
        </w:rPr>
        <w:t>esse licenze qualificanti per gli scopi previsti da tali opzioni.</w:t>
      </w:r>
    </w:p>
    <w:p w14:paraId="7379AF9E" w14:textId="77777777" w:rsidR="000A30EE" w:rsidRPr="0058047D" w:rsidRDefault="000A30EE" w:rsidP="000A30EE">
      <w:pPr>
        <w:ind w:left="720"/>
      </w:pPr>
    </w:p>
    <w:p w14:paraId="1E532DF2" w14:textId="77777777" w:rsidR="000A30EE" w:rsidRPr="0058047D" w:rsidRDefault="000A30EE" w:rsidP="00346F4B">
      <w:pPr>
        <w:numPr>
          <w:ilvl w:val="0"/>
          <w:numId w:val="53"/>
        </w:numPr>
        <w:spacing w:after="60"/>
        <w:ind w:left="1440"/>
      </w:pPr>
      <w:r w:rsidRPr="0058047D">
        <w:rPr>
          <w:rFonts w:eastAsia="Calibri" w:cs="Tahoma"/>
          <w:color w:val="000000"/>
          <w:szCs w:val="18"/>
        </w:rPr>
        <w:t>Per ogni licenza qualificante in suo possesso, la società potrà eseguire l</w:t>
      </w:r>
      <w:r w:rsidR="001C4212">
        <w:rPr>
          <w:rFonts w:eastAsia="Calibri" w:cs="Tahoma"/>
          <w:color w:val="000000"/>
          <w:szCs w:val="18"/>
        </w:rPr>
        <w:t>’</w:t>
      </w:r>
      <w:r w:rsidRPr="0058047D">
        <w:rPr>
          <w:rFonts w:eastAsia="Calibri" w:cs="Tahoma"/>
          <w:color w:val="000000"/>
          <w:szCs w:val="18"/>
        </w:rPr>
        <w:t>aggiornamento a 8 licenze core per SQL Server 2012 Parallel Data Warehouse. Eseguendo l</w:t>
      </w:r>
      <w:r w:rsidR="001C4212">
        <w:rPr>
          <w:rFonts w:eastAsia="Calibri" w:cs="Tahoma"/>
          <w:color w:val="000000"/>
          <w:szCs w:val="18"/>
        </w:rPr>
        <w:t>’</w:t>
      </w:r>
      <w:r w:rsidRPr="0058047D">
        <w:rPr>
          <w:rFonts w:eastAsia="Calibri" w:cs="Tahoma"/>
          <w:color w:val="000000"/>
          <w:szCs w:val="18"/>
        </w:rPr>
        <w:t>aggiornamento a SQL Server 2012, le licenze per SQL Server 2008 R2 sottostanti delle società non saranno più valide.</w:t>
      </w:r>
    </w:p>
    <w:p w14:paraId="781665F7" w14:textId="77777777" w:rsidR="000A30EE" w:rsidRDefault="000A30EE" w:rsidP="000A30EE"/>
    <w:p w14:paraId="0E52B8C2" w14:textId="77777777" w:rsidR="00112425" w:rsidRDefault="00112425" w:rsidP="000A30EE"/>
    <w:p w14:paraId="1686A00E" w14:textId="77777777" w:rsidR="00112425" w:rsidRDefault="00112425" w:rsidP="000A30EE"/>
    <w:p w14:paraId="45B6E7B1" w14:textId="77777777" w:rsidR="00112425" w:rsidRPr="0058047D" w:rsidRDefault="00112425" w:rsidP="000A30EE"/>
    <w:p w14:paraId="14E34A65" w14:textId="77777777" w:rsidR="000A30EE" w:rsidRPr="0058047D" w:rsidRDefault="000A30EE" w:rsidP="000A30EE">
      <w:pPr>
        <w:spacing w:after="60"/>
        <w:ind w:left="720"/>
      </w:pPr>
      <w:r w:rsidRPr="0058047D">
        <w:rPr>
          <w:rFonts w:eastAsia="Calibri" w:cs="Tahoma"/>
          <w:b/>
          <w:color w:val="000000"/>
          <w:szCs w:val="18"/>
        </w:rPr>
        <w:t>Concessione di Licenza Standard per System Center</w:t>
      </w:r>
    </w:p>
    <w:p w14:paraId="6EA9B70A" w14:textId="77777777" w:rsidR="000A30EE" w:rsidRPr="0058047D" w:rsidRDefault="000A30EE" w:rsidP="000A30EE">
      <w:pPr>
        <w:spacing w:after="60"/>
        <w:ind w:left="720"/>
      </w:pPr>
      <w:r w:rsidRPr="0058047D">
        <w:rPr>
          <w:rFonts w:eastAsia="Calibri" w:cs="Tahoma"/>
          <w:color w:val="000000"/>
          <w:szCs w:val="18"/>
        </w:rPr>
        <w:t>Le società che eseguono l</w:t>
      </w:r>
      <w:r w:rsidR="001C4212">
        <w:rPr>
          <w:rFonts w:eastAsia="Calibri" w:cs="Tahoma"/>
          <w:color w:val="000000"/>
          <w:szCs w:val="18"/>
        </w:rPr>
        <w:t>’</w:t>
      </w:r>
      <w:r w:rsidRPr="0058047D">
        <w:rPr>
          <w:rFonts w:eastAsia="Calibri" w:cs="Tahoma"/>
          <w:color w:val="000000"/>
          <w:szCs w:val="18"/>
        </w:rPr>
        <w:t>aggiornamento a SQL Server 2012 Parallel Data Warehouse ai sensi delle licenze qualificanti saranno inoltre idonee alle seguenti concessioni di licenza per System Center:</w:t>
      </w:r>
    </w:p>
    <w:p w14:paraId="7FDFFD3B" w14:textId="77777777" w:rsidR="000A30EE" w:rsidRPr="0058047D" w:rsidRDefault="000A30EE" w:rsidP="00346F4B">
      <w:pPr>
        <w:numPr>
          <w:ilvl w:val="0"/>
          <w:numId w:val="53"/>
        </w:numPr>
        <w:spacing w:after="60"/>
        <w:ind w:left="1440"/>
      </w:pPr>
      <w:r w:rsidRPr="0058047D">
        <w:rPr>
          <w:rFonts w:eastAsia="Calibri" w:cs="Tahoma"/>
          <w:color w:val="000000"/>
          <w:szCs w:val="18"/>
        </w:rPr>
        <w:t>una licenza Standard per System Center 2012 per server per ogni server su cui è in esecuzione il software SQL Server 2012 Parallel Data Warehouse</w:t>
      </w:r>
    </w:p>
    <w:p w14:paraId="4F02B15A" w14:textId="77777777" w:rsidR="000A30EE" w:rsidRPr="0058047D" w:rsidRDefault="000A30EE" w:rsidP="00346F4B">
      <w:pPr>
        <w:numPr>
          <w:ilvl w:val="0"/>
          <w:numId w:val="53"/>
        </w:numPr>
        <w:spacing w:after="60"/>
        <w:ind w:left="1440"/>
      </w:pPr>
      <w:r w:rsidRPr="0058047D">
        <w:rPr>
          <w:rFonts w:eastAsia="Calibri" w:cs="Tahoma"/>
          <w:color w:val="000000"/>
          <w:szCs w:val="18"/>
        </w:rPr>
        <w:t>due licenze Standard per System Center 2012 per server per tutti i server restanti dell</w:t>
      </w:r>
      <w:r w:rsidR="001C4212">
        <w:rPr>
          <w:rFonts w:eastAsia="Calibri" w:cs="Tahoma"/>
          <w:color w:val="000000"/>
          <w:szCs w:val="18"/>
        </w:rPr>
        <w:t>’</w:t>
      </w:r>
      <w:r w:rsidRPr="0058047D">
        <w:rPr>
          <w:rFonts w:eastAsia="Calibri" w:cs="Tahoma"/>
          <w:color w:val="000000"/>
          <w:szCs w:val="18"/>
        </w:rPr>
        <w:t>Applicazione SQL Server 2012 Parallel Data Warehouse.</w:t>
      </w:r>
    </w:p>
    <w:p w14:paraId="355A9958" w14:textId="77777777" w:rsidR="000A30EE" w:rsidRPr="0058047D" w:rsidRDefault="000A30EE" w:rsidP="00FE6686">
      <w:pPr>
        <w:spacing w:after="60"/>
        <w:ind w:left="720"/>
      </w:pPr>
      <w:r w:rsidRPr="0058047D">
        <w:rPr>
          <w:rFonts w:eastAsia="Calibri" w:cs="Tahoma"/>
          <w:color w:val="000000"/>
          <w:szCs w:val="18"/>
        </w:rPr>
        <w:t>Il software potrà essere utilizzato esclusivamente per supportare l</w:t>
      </w:r>
      <w:r w:rsidR="001C4212">
        <w:rPr>
          <w:rFonts w:eastAsia="Calibri" w:cs="Tahoma"/>
          <w:color w:val="000000"/>
          <w:szCs w:val="18"/>
        </w:rPr>
        <w:t>’</w:t>
      </w:r>
      <w:r w:rsidRPr="0058047D">
        <w:rPr>
          <w:rFonts w:eastAsia="Calibri" w:cs="Tahoma"/>
          <w:color w:val="000000"/>
          <w:szCs w:val="18"/>
        </w:rPr>
        <w:t>Applicazione SQL Server 2012 Parallel Data Warehouse.</w:t>
      </w:r>
    </w:p>
    <w:p w14:paraId="6FB9A207" w14:textId="77777777" w:rsidR="00FE6686" w:rsidRPr="0058047D" w:rsidRDefault="00FE6686" w:rsidP="00112425">
      <w:pPr>
        <w:ind w:firstLine="720"/>
      </w:pPr>
    </w:p>
    <w:p w14:paraId="3F89D74F" w14:textId="77777777" w:rsidR="000A30EE" w:rsidRPr="0058047D" w:rsidRDefault="000A30EE" w:rsidP="000A30EE">
      <w:pPr>
        <w:tabs>
          <w:tab w:val="left" w:pos="1440"/>
        </w:tabs>
        <w:spacing w:after="60"/>
        <w:ind w:left="720"/>
      </w:pPr>
      <w:r w:rsidRPr="0058047D">
        <w:rPr>
          <w:rFonts w:eastAsia="Calibri" w:cs="Tahoma"/>
          <w:b/>
          <w:color w:val="000000"/>
          <w:szCs w:val="18"/>
        </w:rPr>
        <w:t>Per le Società con copertura Software Assurance che scelgono di non effettuare il rinnovo</w:t>
      </w:r>
    </w:p>
    <w:p w14:paraId="2615D9C7" w14:textId="77777777" w:rsidR="000A30EE" w:rsidRPr="0058047D" w:rsidRDefault="000A30EE" w:rsidP="000A30EE">
      <w:pPr>
        <w:tabs>
          <w:tab w:val="left" w:pos="1440"/>
        </w:tabs>
        <w:ind w:left="720"/>
      </w:pPr>
      <w:r w:rsidRPr="0058047D">
        <w:rPr>
          <w:rFonts w:eastAsia="Calibri" w:cs="Tahoma"/>
          <w:color w:val="000000"/>
          <w:szCs w:val="18"/>
        </w:rPr>
        <w:t>Le società titolari di contratti Enterprise Subscription con copertura a partire dal 1 marzo 2013 che scelgono di effettuare il buy-out delle licenze per processore e altre società che acquistano licenze perpetue qualificanti ai sensi del loro contratto e scelgono di non rinnovare Software Assurance potranno eseguire SQL Server 2008 R2 o SQL Server 2012 ai sensi di tali licenze come indicato sotto:</w:t>
      </w:r>
    </w:p>
    <w:p w14:paraId="2F50663C" w14:textId="77777777" w:rsidR="000A30EE" w:rsidRPr="0058047D" w:rsidRDefault="000A30EE" w:rsidP="000A30EE">
      <w:pPr>
        <w:tabs>
          <w:tab w:val="left" w:pos="1440"/>
        </w:tabs>
        <w:ind w:left="720"/>
      </w:pPr>
    </w:p>
    <w:p w14:paraId="3A6ED574" w14:textId="77777777" w:rsidR="000A30EE" w:rsidRPr="0058047D" w:rsidRDefault="000A30EE" w:rsidP="00346F4B">
      <w:pPr>
        <w:numPr>
          <w:ilvl w:val="0"/>
          <w:numId w:val="53"/>
        </w:numPr>
        <w:spacing w:after="60"/>
        <w:ind w:left="1440"/>
      </w:pPr>
      <w:r w:rsidRPr="0058047D">
        <w:rPr>
          <w:rFonts w:eastAsia="Calibri" w:cs="Tahoma"/>
          <w:b/>
          <w:color w:val="000000"/>
          <w:szCs w:val="18"/>
        </w:rPr>
        <w:t>SQL Server 2008 R2 Parallel Data Warehouse:</w:t>
      </w:r>
      <w:r w:rsidRPr="0058047D">
        <w:rPr>
          <w:rFonts w:eastAsia="Calibri" w:cs="Tahoma"/>
          <w:color w:val="000000"/>
          <w:szCs w:val="18"/>
        </w:rPr>
        <w:t xml:space="preserve"> l</w:t>
      </w:r>
      <w:r w:rsidR="001C4212">
        <w:rPr>
          <w:rFonts w:eastAsia="Calibri" w:cs="Tahoma"/>
          <w:color w:val="000000"/>
          <w:szCs w:val="18"/>
        </w:rPr>
        <w:t>’</w:t>
      </w:r>
      <w:r w:rsidRPr="0058047D">
        <w:rPr>
          <w:rFonts w:eastAsia="Calibri" w:cs="Tahoma"/>
          <w:color w:val="000000"/>
          <w:szCs w:val="18"/>
        </w:rPr>
        <w:t xml:space="preserve">utilizzo continuativo di tale versione del software è soggetto ai diritti di utilizzo del prodotto previsti dalla licenza per SQL Server 2008 R2. </w:t>
      </w:r>
    </w:p>
    <w:p w14:paraId="48FF8BD2" w14:textId="77777777" w:rsidR="000A30EE" w:rsidRPr="0058047D" w:rsidRDefault="000A30EE" w:rsidP="00346F4B">
      <w:pPr>
        <w:numPr>
          <w:ilvl w:val="0"/>
          <w:numId w:val="53"/>
        </w:numPr>
        <w:tabs>
          <w:tab w:val="left" w:pos="1800"/>
        </w:tabs>
        <w:spacing w:after="60"/>
        <w:ind w:left="1440"/>
      </w:pPr>
      <w:r w:rsidRPr="0058047D">
        <w:rPr>
          <w:rFonts w:eastAsia="Calibri" w:cs="Tahoma"/>
          <w:b/>
          <w:color w:val="000000"/>
          <w:szCs w:val="18"/>
        </w:rPr>
        <w:t xml:space="preserve">SQL Server 2012 Parallel Data Warehouse: </w:t>
      </w:r>
      <w:r w:rsidRPr="0058047D">
        <w:rPr>
          <w:rFonts w:eastAsia="Calibri" w:cs="Tahoma"/>
          <w:color w:val="000000"/>
          <w:szCs w:val="18"/>
        </w:rPr>
        <w:t>l</w:t>
      </w:r>
      <w:r w:rsidR="001C4212">
        <w:rPr>
          <w:rFonts w:eastAsia="Calibri" w:cs="Tahoma"/>
          <w:color w:val="000000"/>
          <w:szCs w:val="18"/>
        </w:rPr>
        <w:t>’</w:t>
      </w:r>
      <w:r w:rsidRPr="0058047D">
        <w:rPr>
          <w:rFonts w:eastAsia="Calibri" w:cs="Tahoma"/>
          <w:color w:val="000000"/>
          <w:szCs w:val="18"/>
        </w:rPr>
        <w:t xml:space="preserve">utilizzo continuativo di tale versione del software è soggetto ai diritti di utilizzo del prodotto previsti dalla licenza per SQL Server 2012 Parallel Data Warehouse. </w:t>
      </w:r>
    </w:p>
    <w:p w14:paraId="0EA3D879" w14:textId="77777777" w:rsidR="000A30EE" w:rsidRPr="0058047D" w:rsidRDefault="000A30EE" w:rsidP="00112425">
      <w:pPr>
        <w:ind w:firstLine="720"/>
      </w:pPr>
    </w:p>
    <w:p w14:paraId="3EB463FD" w14:textId="77777777" w:rsidR="000A30EE" w:rsidRPr="0058047D" w:rsidRDefault="000A30EE" w:rsidP="000A30EE">
      <w:pPr>
        <w:ind w:left="720"/>
      </w:pPr>
      <w:r w:rsidRPr="0058047D">
        <w:rPr>
          <w:rFonts w:cs="Tahoma"/>
          <w:color w:val="000000"/>
          <w:szCs w:val="24"/>
        </w:rPr>
        <w:t xml:space="preserve">Tutte le licenze per SQL Server Parallel Data Warehouse e System Center concesse ai sensi della presente offerta includeranno la copertura Software Assurance. Tale copertura cesserà alla scadenza della copertura Software Assurance qualificante corrispondente. Alla scadenza della copertura, le società potranno rinnovare Software Assurance sulle licenze concesse. </w:t>
      </w:r>
    </w:p>
    <w:p w14:paraId="296CA612" w14:textId="77777777" w:rsidR="000A30EE" w:rsidRPr="0058047D" w:rsidRDefault="000A30EE" w:rsidP="000A30EE">
      <w:pPr>
        <w:ind w:left="720"/>
      </w:pPr>
    </w:p>
    <w:p w14:paraId="482BCD1E" w14:textId="77777777" w:rsidR="000A30EE" w:rsidRPr="0058047D" w:rsidRDefault="000A30EE" w:rsidP="000A30EE">
      <w:pPr>
        <w:ind w:left="720"/>
      </w:pPr>
      <w:r w:rsidRPr="0058047D">
        <w:rPr>
          <w:rFonts w:cs="Tahoma"/>
          <w:color w:val="000000"/>
          <w:szCs w:val="24"/>
        </w:rPr>
        <w:t>L</w:t>
      </w:r>
      <w:r w:rsidR="001C4212">
        <w:rPr>
          <w:rFonts w:cs="Tahoma"/>
          <w:color w:val="000000"/>
          <w:szCs w:val="24"/>
        </w:rPr>
        <w:t>’</w:t>
      </w:r>
      <w:r w:rsidRPr="0058047D">
        <w:rPr>
          <w:rFonts w:cs="Tahoma"/>
          <w:color w:val="000000"/>
          <w:szCs w:val="24"/>
        </w:rPr>
        <w:t>utilizzo di software da parte della società ai sensi della presente offerta sarà soggetto alle condizioni del relativo contratto di licenza e ai diritti di utilizzo del prodotto relativi al software. Il diritto di utilizzo del software cesserà alla scadenza del diritto di utilizzo del software ai sensi delle licenze qualificanti. Questa Nota relativa al Prodotto insieme alla prova delle licenze qualificanti attesteranno il diritto della società di utilizzare SQL Server 2012 Parallel Data Warehouse e System Center 2012 ai sensi delle condizioni della presente offerta. Le società non potranno trasferire le licenze concesse in virtù della presente offerta separatamente dalle licenze qualificanti corrispondenti.</w:t>
      </w:r>
    </w:p>
    <w:p w14:paraId="5368C3CD" w14:textId="77777777" w:rsidR="00A81E83" w:rsidRPr="0058047D" w:rsidRDefault="00A81E83" w:rsidP="00C321B6">
      <w:pPr>
        <w:tabs>
          <w:tab w:val="left" w:pos="2970"/>
        </w:tabs>
        <w:ind w:left="1440"/>
      </w:pPr>
      <w:bookmarkStart w:id="1449" w:name="Srv_90SQLServer2012Standard"/>
    </w:p>
    <w:p w14:paraId="752C6962" w14:textId="77777777" w:rsidR="004815F3" w:rsidRPr="0058047D" w:rsidRDefault="004815F3" w:rsidP="00C321B6">
      <w:pPr>
        <w:tabs>
          <w:tab w:val="left" w:pos="2970"/>
        </w:tabs>
        <w:ind w:left="1440"/>
      </w:pPr>
    </w:p>
    <w:p w14:paraId="43D3D39B" w14:textId="77777777" w:rsidR="00A81E83" w:rsidRPr="0058047D" w:rsidRDefault="00152E1B" w:rsidP="00EF5637">
      <w:pPr>
        <w:pStyle w:val="Heading3"/>
      </w:pPr>
      <w:bookmarkStart w:id="1450" w:name="_82_SQL_Server®"/>
      <w:bookmarkStart w:id="1451" w:name="_89_SQL_Server®"/>
      <w:bookmarkStart w:id="1452" w:name="_Toc336338348"/>
      <w:bookmarkStart w:id="1453" w:name="_Toc371663741"/>
      <w:bookmarkEnd w:id="1450"/>
      <w:bookmarkEnd w:id="1451"/>
      <w:r w:rsidRPr="0058047D">
        <w:rPr>
          <w:rFonts w:ascii="Tahoma" w:hAnsi="Tahoma"/>
          <w:caps/>
          <w:color w:val="F66400"/>
          <w:sz w:val="22"/>
          <w:vertAlign w:val="superscript"/>
        </w:rPr>
        <w:t>88</w:t>
      </w:r>
      <w:r w:rsidRPr="0058047D">
        <w:rPr>
          <w:rFonts w:ascii="Tahoma" w:hAnsi="Tahoma"/>
          <w:color w:val="F66400"/>
          <w:sz w:val="22"/>
        </w:rPr>
        <w:t xml:space="preserve"> SQL Server</w:t>
      </w:r>
      <w:r w:rsidR="00E53A46" w:rsidRPr="0058047D">
        <w:rPr>
          <w:rFonts w:ascii="Tahoma" w:hAnsi="Tahoma"/>
          <w:color w:val="F66400"/>
          <w:sz w:val="22"/>
          <w:vertAlign w:val="superscript"/>
        </w:rPr>
        <w:t>®</w:t>
      </w:r>
      <w:r w:rsidRPr="0058047D">
        <w:rPr>
          <w:rFonts w:ascii="Tahoma" w:hAnsi="Tahoma"/>
          <w:color w:val="F66400"/>
          <w:sz w:val="22"/>
        </w:rPr>
        <w:t xml:space="preserve"> 2012 Standard</w:t>
      </w:r>
      <w:bookmarkEnd w:id="1452"/>
      <w:bookmarkEnd w:id="1453"/>
      <w:r w:rsidRPr="0058047D">
        <w:rPr>
          <w:rFonts w:ascii="Tahoma" w:hAnsi="Tahoma"/>
          <w:color w:val="F66400"/>
          <w:sz w:val="22"/>
        </w:rPr>
        <w:t xml:space="preserve"> </w:t>
      </w:r>
    </w:p>
    <w:bookmarkEnd w:id="1449"/>
    <w:p w14:paraId="3069B6A7" w14:textId="77777777" w:rsidR="00A81E83" w:rsidRPr="0058047D" w:rsidRDefault="00A81E83" w:rsidP="00204D6D">
      <w:pPr>
        <w:pStyle w:val="EndnoteText"/>
        <w:ind w:left="0"/>
      </w:pPr>
    </w:p>
    <w:p w14:paraId="6290FA3C" w14:textId="77777777" w:rsidR="00A81E83" w:rsidRPr="0058047D" w:rsidRDefault="00A81E83" w:rsidP="00204D6D">
      <w:pPr>
        <w:ind w:left="720"/>
      </w:pPr>
      <w:r w:rsidRPr="0058047D">
        <w:rPr>
          <w:rFonts w:eastAsia="Calibri" w:cs="Tahoma"/>
          <w:szCs w:val="18"/>
        </w:rPr>
        <w:t>SQL Server 2012 Standard è la versione successiva di SQL Server Standard e la licenza CAL per SQL Server 2012 è la versione successiva della licenza CAL per SQL Server.</w:t>
      </w:r>
    </w:p>
    <w:p w14:paraId="6EDCBA44" w14:textId="77777777" w:rsidR="00204D6D" w:rsidRPr="0058047D" w:rsidRDefault="00204D6D" w:rsidP="00204D6D">
      <w:pPr>
        <w:ind w:left="720"/>
      </w:pPr>
    </w:p>
    <w:p w14:paraId="24E2C72E" w14:textId="77777777" w:rsidR="00204D6D" w:rsidRPr="0058047D" w:rsidRDefault="00204D6D" w:rsidP="00204D6D">
      <w:pPr>
        <w:ind w:left="720"/>
      </w:pPr>
    </w:p>
    <w:p w14:paraId="2AFFE895" w14:textId="77777777" w:rsidR="00A81E83" w:rsidRPr="0058047D" w:rsidRDefault="00162ADA" w:rsidP="00EF5637">
      <w:pPr>
        <w:pStyle w:val="Heading3"/>
      </w:pPr>
      <w:bookmarkStart w:id="1454" w:name="_85_83_SQL"/>
      <w:bookmarkStart w:id="1455" w:name="_90_SQL_Server®"/>
      <w:bookmarkStart w:id="1456" w:name="_Toc336338349"/>
      <w:bookmarkStart w:id="1457" w:name="_Toc371663742"/>
      <w:bookmarkStart w:id="1458" w:name="Srv_91SQLServer2012StandardCore"/>
      <w:bookmarkEnd w:id="1454"/>
      <w:bookmarkEnd w:id="1455"/>
      <w:r w:rsidRPr="0058047D">
        <w:rPr>
          <w:rFonts w:ascii="Tahoma" w:hAnsi="Tahoma" w:cs="Tahoma"/>
          <w:caps/>
          <w:color w:val="F66400"/>
          <w:sz w:val="22"/>
          <w:vertAlign w:val="superscript"/>
        </w:rPr>
        <w:t>89</w:t>
      </w:r>
      <w:r w:rsidRPr="0058047D">
        <w:rPr>
          <w:rFonts w:ascii="Tahoma" w:hAnsi="Tahoma" w:cs="Tahoma"/>
          <w:color w:val="F66400"/>
          <w:sz w:val="22"/>
        </w:rPr>
        <w:t xml:space="preserve"> SQL Server</w:t>
      </w:r>
      <w:r w:rsidR="00E53A46" w:rsidRPr="0058047D">
        <w:rPr>
          <w:rFonts w:ascii="Tahoma" w:hAnsi="Tahoma" w:cs="Tahoma"/>
          <w:color w:val="F66400"/>
          <w:sz w:val="22"/>
          <w:vertAlign w:val="superscript"/>
        </w:rPr>
        <w:t>®</w:t>
      </w:r>
      <w:r w:rsidRPr="0058047D">
        <w:rPr>
          <w:rFonts w:ascii="Tahoma" w:hAnsi="Tahoma" w:cs="Tahoma"/>
          <w:color w:val="F66400"/>
          <w:sz w:val="22"/>
        </w:rPr>
        <w:t xml:space="preserve"> 2012 Standard</w:t>
      </w:r>
      <w:r w:rsidRPr="0058047D">
        <w:rPr>
          <w:rFonts w:ascii="Tahoma" w:eastAsia="Calibri" w:hAnsi="Tahoma" w:cs="Tahoma"/>
          <w:color w:val="F66400"/>
          <w:sz w:val="22"/>
          <w:szCs w:val="18"/>
        </w:rPr>
        <w:t xml:space="preserve"> Core</w:t>
      </w:r>
      <w:bookmarkEnd w:id="1456"/>
      <w:bookmarkEnd w:id="1457"/>
    </w:p>
    <w:bookmarkEnd w:id="1458"/>
    <w:p w14:paraId="368A70CC" w14:textId="77777777" w:rsidR="00A81E83" w:rsidRPr="0058047D" w:rsidRDefault="00A81E83" w:rsidP="0026723A"/>
    <w:p w14:paraId="781625B0" w14:textId="77777777" w:rsidR="0026723A" w:rsidRPr="0058047D" w:rsidRDefault="00A81E83" w:rsidP="0026723A">
      <w:pPr>
        <w:spacing w:after="60"/>
        <w:ind w:left="720"/>
      </w:pPr>
      <w:r w:rsidRPr="0058047D">
        <w:rPr>
          <w:rFonts w:eastAsia="Calibri" w:cs="Tahoma"/>
          <w:b/>
          <w:szCs w:val="18"/>
        </w:rPr>
        <w:t>Concessioni di Licenza Associate alla Variazione del Modello di Licenza</w:t>
      </w:r>
    </w:p>
    <w:p w14:paraId="04B0BA24" w14:textId="77777777" w:rsidR="00A81E83" w:rsidRPr="0058047D" w:rsidRDefault="00A81E83" w:rsidP="0026723A">
      <w:pPr>
        <w:ind w:left="720"/>
      </w:pPr>
      <w:r w:rsidRPr="0058047D">
        <w:rPr>
          <w:rFonts w:eastAsia="Calibri" w:cs="Tahoma"/>
          <w:color w:val="000000"/>
          <w:szCs w:val="18"/>
        </w:rPr>
        <w:t>SQL Server 2008 R2 sarà l</w:t>
      </w:r>
      <w:r w:rsidR="001C4212">
        <w:rPr>
          <w:rFonts w:eastAsia="Calibri" w:cs="Tahoma"/>
          <w:color w:val="000000"/>
          <w:szCs w:val="18"/>
        </w:rPr>
        <w:t>’</w:t>
      </w:r>
      <w:r w:rsidRPr="0058047D">
        <w:rPr>
          <w:rFonts w:eastAsia="Calibri" w:cs="Tahoma"/>
          <w:color w:val="000000"/>
          <w:szCs w:val="18"/>
        </w:rPr>
        <w:t>ultima versione di SQL Server concessa in licenza ai sensi del modello di licenza per processore.</w:t>
      </w:r>
      <w:r w:rsidR="00E34ED3" w:rsidRPr="0058047D">
        <w:rPr>
          <w:rFonts w:eastAsia="Calibri" w:cs="Tahoma"/>
          <w:color w:val="000000"/>
          <w:szCs w:val="18"/>
        </w:rPr>
        <w:t xml:space="preserve"> </w:t>
      </w:r>
      <w:r w:rsidRPr="0058047D">
        <w:rPr>
          <w:rFonts w:eastAsia="Calibri" w:cs="Tahoma"/>
          <w:color w:val="000000"/>
          <w:szCs w:val="18"/>
        </w:rPr>
        <w:t>In via eccezionale, alle società con Contratti Multilicenza e copertura Software Assurance attiva per le licenze per processore per SQL Server 2008 R2 Standard in data 1 aprile 2012 (“licenze qualificanti”) vengono offerte le opzioni che seguono. Le licenze per processore per SQL Server 2008 R2 Standard</w:t>
      </w:r>
      <w:r w:rsidRPr="0058047D">
        <w:rPr>
          <w:rFonts w:cs="Tahoma"/>
          <w:bCs/>
          <w:color w:val="000000"/>
          <w:szCs w:val="18"/>
        </w:rPr>
        <w:t xml:space="preserve"> acquistate successivamente nello stesso periodo di validità dell</w:t>
      </w:r>
      <w:r w:rsidR="001C4212">
        <w:rPr>
          <w:rFonts w:cs="Tahoma"/>
          <w:bCs/>
          <w:color w:val="000000"/>
          <w:szCs w:val="18"/>
        </w:rPr>
        <w:t>’</w:t>
      </w:r>
      <w:r w:rsidRPr="0058047D">
        <w:rPr>
          <w:rFonts w:cs="Tahoma"/>
          <w:bCs/>
          <w:color w:val="000000"/>
          <w:szCs w:val="18"/>
        </w:rPr>
        <w:t>iscrizione, ma prima del 1° aprile 2015 nell</w:t>
      </w:r>
      <w:r w:rsidR="001C4212">
        <w:rPr>
          <w:rFonts w:cs="Tahoma"/>
          <w:bCs/>
          <w:color w:val="000000"/>
          <w:szCs w:val="18"/>
        </w:rPr>
        <w:t>’</w:t>
      </w:r>
      <w:r w:rsidRPr="0058047D">
        <w:rPr>
          <w:rFonts w:cs="Tahoma"/>
          <w:bCs/>
          <w:color w:val="000000"/>
          <w:szCs w:val="18"/>
        </w:rPr>
        <w:t>ambito di una procedura pianificata di true-up della società con contratto Enterprise, Enterprise Subscription, Open Value Subscription o Enrollment for Education Solutions, sono anch</w:t>
      </w:r>
      <w:r w:rsidR="001C4212">
        <w:rPr>
          <w:rFonts w:cs="Tahoma"/>
          <w:bCs/>
          <w:color w:val="000000"/>
          <w:szCs w:val="18"/>
        </w:rPr>
        <w:t>’</w:t>
      </w:r>
      <w:r w:rsidRPr="0058047D">
        <w:rPr>
          <w:rFonts w:cs="Tahoma"/>
          <w:bCs/>
          <w:color w:val="000000"/>
          <w:szCs w:val="18"/>
        </w:rPr>
        <w:t>esse licenze qualificanti per gli scopi previsti da tali opzioni.</w:t>
      </w:r>
      <w:r w:rsidR="00E34ED3" w:rsidRPr="0058047D">
        <w:rPr>
          <w:rFonts w:cs="Tahoma"/>
          <w:bCs/>
          <w:color w:val="000000"/>
          <w:szCs w:val="18"/>
        </w:rPr>
        <w:t xml:space="preserve"> </w:t>
      </w:r>
      <w:r w:rsidRPr="0058047D">
        <w:rPr>
          <w:rFonts w:cs="Tahoma"/>
          <w:bCs/>
          <w:color w:val="000000"/>
          <w:szCs w:val="18"/>
        </w:rPr>
        <w:t>Le licenze acquistate dopo il 1 aprile 2015, o in un periodo di</w:t>
      </w:r>
      <w:r w:rsidR="00FE6686">
        <w:rPr>
          <w:rFonts w:cs="Tahoma"/>
          <w:bCs/>
          <w:color w:val="000000"/>
          <w:szCs w:val="18"/>
        </w:rPr>
        <w:t> </w:t>
      </w:r>
      <w:r w:rsidRPr="0058047D">
        <w:rPr>
          <w:rFonts w:cs="Tahoma"/>
          <w:bCs/>
          <w:color w:val="000000"/>
          <w:szCs w:val="18"/>
        </w:rPr>
        <w:t>validità dell</w:t>
      </w:r>
      <w:r w:rsidR="001C4212">
        <w:rPr>
          <w:rFonts w:cs="Tahoma"/>
          <w:bCs/>
          <w:color w:val="000000"/>
          <w:szCs w:val="18"/>
        </w:rPr>
        <w:t>’</w:t>
      </w:r>
      <w:r w:rsidRPr="0058047D">
        <w:rPr>
          <w:rFonts w:cs="Tahoma"/>
          <w:bCs/>
          <w:color w:val="000000"/>
          <w:szCs w:val="18"/>
        </w:rPr>
        <w:t>iscrizione successivo, ai sensi di un contratto distinto o di un</w:t>
      </w:r>
      <w:r w:rsidR="001C4212">
        <w:rPr>
          <w:rFonts w:cs="Tahoma"/>
          <w:bCs/>
          <w:color w:val="000000"/>
          <w:szCs w:val="18"/>
        </w:rPr>
        <w:t>’</w:t>
      </w:r>
      <w:r w:rsidRPr="0058047D">
        <w:rPr>
          <w:rFonts w:cs="Tahoma"/>
          <w:bCs/>
          <w:color w:val="000000"/>
          <w:szCs w:val="18"/>
        </w:rPr>
        <w:t>iscrizione con la data di entrata in vigore posteriore al 1 aprile 2012, non sono licenze qualificanti.</w:t>
      </w:r>
    </w:p>
    <w:p w14:paraId="0AE1AB75" w14:textId="77777777" w:rsidR="0026723A" w:rsidRPr="0058047D" w:rsidRDefault="0026723A" w:rsidP="0026723A">
      <w:pPr>
        <w:ind w:left="720"/>
      </w:pPr>
    </w:p>
    <w:p w14:paraId="0E7B59B6" w14:textId="77777777" w:rsidR="0026723A" w:rsidRPr="0058047D" w:rsidRDefault="0026723A" w:rsidP="0026723A">
      <w:pPr>
        <w:spacing w:after="60"/>
        <w:ind w:left="720"/>
      </w:pPr>
      <w:r w:rsidRPr="0058047D">
        <w:rPr>
          <w:rFonts w:eastAsia="Calibri" w:cs="Tahoma"/>
          <w:b/>
          <w:szCs w:val="18"/>
        </w:rPr>
        <w:t>Periodo di Validità Corrente</w:t>
      </w:r>
    </w:p>
    <w:p w14:paraId="2D2D430E" w14:textId="77777777" w:rsidR="00A81E83" w:rsidRPr="0058047D" w:rsidRDefault="00A81E83" w:rsidP="00112425">
      <w:pPr>
        <w:ind w:left="720"/>
      </w:pPr>
      <w:r w:rsidRPr="0058047D">
        <w:rPr>
          <w:rFonts w:eastAsia="Calibri" w:cs="Tahoma"/>
          <w:szCs w:val="18"/>
        </w:rPr>
        <w:t>durante il periodo di validità corrente della copertura Software Assurance a partire dal 1 aprile 2012 le società (incluse le società titolari di contratti “subscription”) potranno, ai sensi di una licenza qualificante, effettuare l</w:t>
      </w:r>
      <w:r w:rsidR="001C4212">
        <w:rPr>
          <w:rFonts w:eastAsia="Calibri" w:cs="Tahoma"/>
          <w:szCs w:val="18"/>
        </w:rPr>
        <w:t>’</w:t>
      </w:r>
      <w:r w:rsidRPr="0058047D">
        <w:rPr>
          <w:rFonts w:eastAsia="Calibri" w:cs="Tahoma"/>
          <w:szCs w:val="18"/>
        </w:rPr>
        <w:t xml:space="preserve">aggiornamento al software SQL Server 2012 Standard Core e utilizzarlo al posto di SQL Server 2008 R2 Standard in conformità ai diritti di utilizzo del prodotto previsti dalla licenza per processore SQL Server 2008 R2 Standard (come indicato nei Diritti di Utilizzo del Prodotto del mese di gennaio 2012). </w:t>
      </w:r>
      <w:r w:rsidR="00112425" w:rsidRPr="0058047D">
        <w:rPr>
          <w:rFonts w:eastAsia="Calibri" w:cs="Tahoma"/>
          <w:szCs w:val="18"/>
        </w:rPr>
        <w:t>A</w:t>
      </w:r>
      <w:r w:rsidRPr="0058047D">
        <w:rPr>
          <w:rFonts w:eastAsia="Calibri" w:cs="Tahoma"/>
          <w:szCs w:val="18"/>
        </w:rPr>
        <w:t>lle</w:t>
      </w:r>
      <w:r w:rsidR="00112425">
        <w:rPr>
          <w:rFonts w:eastAsia="Calibri" w:cs="Tahoma"/>
          <w:szCs w:val="18"/>
        </w:rPr>
        <w:t> </w:t>
      </w:r>
      <w:r w:rsidRPr="0058047D">
        <w:rPr>
          <w:rFonts w:eastAsia="Calibri" w:cs="Tahoma"/>
          <w:szCs w:val="18"/>
        </w:rPr>
        <w:t>società vengono concessi diritti aggiuntivi ai sensi di Mobilità delle Licenze tramite Software Assurance e</w:t>
      </w:r>
      <w:r w:rsidR="00112425">
        <w:rPr>
          <w:rFonts w:eastAsia="Calibri" w:cs="Tahoma"/>
          <w:szCs w:val="18"/>
        </w:rPr>
        <w:t> </w:t>
      </w:r>
      <w:r w:rsidRPr="0058047D">
        <w:rPr>
          <w:rFonts w:eastAsia="Calibri" w:cs="Tahoma"/>
          <w:szCs w:val="18"/>
        </w:rPr>
        <w:t>Mobilità delle Licenze all</w:t>
      </w:r>
      <w:r w:rsidR="001C4212">
        <w:rPr>
          <w:rFonts w:eastAsia="Calibri" w:cs="Tahoma"/>
          <w:szCs w:val="18"/>
        </w:rPr>
        <w:t>’</w:t>
      </w:r>
      <w:r w:rsidRPr="0058047D">
        <w:rPr>
          <w:rFonts w:eastAsia="Calibri" w:cs="Tahoma"/>
          <w:szCs w:val="18"/>
        </w:rPr>
        <w:t>interno di Server Farm.</w:t>
      </w:r>
      <w:r w:rsidR="00E34ED3" w:rsidRPr="0058047D">
        <w:rPr>
          <w:rFonts w:eastAsia="Calibri" w:cs="Tahoma"/>
          <w:szCs w:val="18"/>
        </w:rPr>
        <w:t xml:space="preserve"> </w:t>
      </w:r>
      <w:r w:rsidRPr="0058047D">
        <w:rPr>
          <w:rFonts w:eastAsia="Calibri" w:cs="Tahoma"/>
          <w:szCs w:val="18"/>
        </w:rPr>
        <w:t>Le società dovranno fare riferimento ai Diritti di Utilizzo del Prodotto per SQL Server 2012 Standard Core per quanto riguarda le condizioni di licenza per Mobilità delle Licenze.</w:t>
      </w:r>
    </w:p>
    <w:p w14:paraId="3C7242CF" w14:textId="77777777" w:rsidR="0026723A" w:rsidRPr="0058047D" w:rsidRDefault="0026723A" w:rsidP="0026723A">
      <w:pPr>
        <w:ind w:left="720"/>
      </w:pPr>
    </w:p>
    <w:p w14:paraId="0679C70F" w14:textId="77777777" w:rsidR="0026723A" w:rsidRPr="0058047D" w:rsidRDefault="00A81E83" w:rsidP="0026723A">
      <w:pPr>
        <w:spacing w:after="60"/>
        <w:ind w:left="720"/>
      </w:pPr>
      <w:r w:rsidRPr="0058047D">
        <w:rPr>
          <w:rFonts w:eastAsia="Calibri" w:cs="Tahoma"/>
          <w:b/>
          <w:szCs w:val="18"/>
        </w:rPr>
        <w:t>Primo Periodo di Rinnovo (prima del 1 aprile 2015)</w:t>
      </w:r>
    </w:p>
    <w:p w14:paraId="08D64559" w14:textId="77777777" w:rsidR="00A81E83" w:rsidRPr="0058047D" w:rsidRDefault="00A81E83" w:rsidP="0026723A">
      <w:pPr>
        <w:ind w:left="720"/>
      </w:pPr>
      <w:r w:rsidRPr="0058047D">
        <w:rPr>
          <w:rFonts w:eastAsia="Calibri" w:cs="Tahoma"/>
          <w:szCs w:val="18"/>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14:paraId="1F2F11F8" w14:textId="77777777" w:rsidR="0026723A" w:rsidRPr="0058047D" w:rsidRDefault="0026723A" w:rsidP="0026723A">
      <w:pPr>
        <w:ind w:left="720"/>
      </w:pPr>
    </w:p>
    <w:p w14:paraId="6BD11821" w14:textId="77777777" w:rsidR="0026723A" w:rsidRPr="0058047D" w:rsidRDefault="00A81E83" w:rsidP="00346F4B">
      <w:pPr>
        <w:numPr>
          <w:ilvl w:val="0"/>
          <w:numId w:val="119"/>
        </w:numPr>
        <w:tabs>
          <w:tab w:val="left" w:pos="1440"/>
        </w:tabs>
        <w:spacing w:after="60"/>
        <w:ind w:left="1440"/>
      </w:pPr>
      <w:r w:rsidRPr="0058047D">
        <w:rPr>
          <w:rFonts w:eastAsia="Calibri" w:cs="Tahoma"/>
          <w:szCs w:val="18"/>
        </w:rPr>
        <w:t xml:space="preserve">un numero pari al numero minore delle licenze qualificanti cedute al server o al numero totale dei processori fisici sul server moltiplicato per il maggiore tra: </w:t>
      </w:r>
    </w:p>
    <w:p w14:paraId="4F979D4D" w14:textId="77777777" w:rsidR="00A81E83" w:rsidRPr="0058047D" w:rsidRDefault="00A81E83" w:rsidP="00346F4B">
      <w:pPr>
        <w:numPr>
          <w:ilvl w:val="3"/>
          <w:numId w:val="57"/>
        </w:numPr>
        <w:spacing w:after="60"/>
        <w:ind w:left="1800"/>
      </w:pPr>
      <w:r w:rsidRPr="0058047D">
        <w:rPr>
          <w:rFonts w:eastAsia="Calibri" w:cs="Tahoma"/>
          <w:szCs w:val="18"/>
        </w:rPr>
        <w:t>quattro O</w:t>
      </w:r>
    </w:p>
    <w:p w14:paraId="067A81CC" w14:textId="77777777" w:rsidR="00A81E83" w:rsidRPr="0058047D" w:rsidRDefault="00A81E83" w:rsidP="00346F4B">
      <w:pPr>
        <w:numPr>
          <w:ilvl w:val="3"/>
          <w:numId w:val="57"/>
        </w:numPr>
        <w:spacing w:after="60"/>
        <w:ind w:left="1800"/>
      </w:pPr>
      <w:r w:rsidRPr="0058047D">
        <w:rPr>
          <w:rFonts w:eastAsia="Calibri" w:cs="Tahoma"/>
          <w:szCs w:val="18"/>
        </w:rPr>
        <w:t>il numero effettivo di core per processore fisico moltiplicato per il fattore core appropriato.</w:t>
      </w:r>
      <w:r w:rsidR="00E34ED3" w:rsidRPr="0058047D">
        <w:rPr>
          <w:rFonts w:eastAsia="Calibri" w:cs="Tahoma"/>
          <w:szCs w:val="18"/>
        </w:rPr>
        <w:t xml:space="preserve"> </w:t>
      </w:r>
      <w:r w:rsidRPr="0058047D">
        <w:rPr>
          <w:rFonts w:eastAsia="Calibri" w:cs="Tahoma"/>
          <w:szCs w:val="18"/>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1C4212">
        <w:rPr>
          <w:rFonts w:eastAsia="Calibri" w:cs="Tahoma"/>
          <w:szCs w:val="18"/>
        </w:rPr>
        <w:t>’</w:t>
      </w:r>
      <w:r w:rsidRPr="0058047D">
        <w:rPr>
          <w:rFonts w:eastAsia="Calibri" w:cs="Tahoma"/>
          <w:szCs w:val="18"/>
        </w:rPr>
        <w:t xml:space="preserve">hardware fisico che supporta tale software appena prima del rinnovo di Software Assurance utilizzando lo strumento MAP di Microsoft o un software equivalente). </w:t>
      </w:r>
    </w:p>
    <w:p w14:paraId="24D21506" w14:textId="77777777" w:rsidR="00A81E83" w:rsidRPr="0058047D" w:rsidRDefault="00A81E83" w:rsidP="00346F4B">
      <w:pPr>
        <w:numPr>
          <w:ilvl w:val="0"/>
          <w:numId w:val="119"/>
        </w:numPr>
        <w:tabs>
          <w:tab w:val="left" w:pos="1440"/>
        </w:tabs>
        <w:spacing w:after="60"/>
        <w:ind w:left="1440"/>
      </w:pPr>
      <w:r w:rsidRPr="0058047D">
        <w:rPr>
          <w:rFonts w:eastAsia="Calibri" w:cs="Tahoma"/>
          <w:szCs w:val="18"/>
        </w:rPr>
        <w:t>un numero pari al numero di licenze qualificanti cedute al server oltre al numero effettivo di processori fisici sul server moltiplicato per quattro.</w:t>
      </w:r>
    </w:p>
    <w:p w14:paraId="2A7D5D93" w14:textId="77777777" w:rsidR="0026723A" w:rsidRPr="0058047D" w:rsidRDefault="0026723A" w:rsidP="0026723A">
      <w:pPr>
        <w:tabs>
          <w:tab w:val="left" w:pos="1440"/>
        </w:tabs>
        <w:ind w:left="1080"/>
      </w:pPr>
    </w:p>
    <w:p w14:paraId="267B9470" w14:textId="77777777" w:rsidR="0026723A" w:rsidRPr="0058047D" w:rsidRDefault="00A81E83" w:rsidP="0026723A">
      <w:pPr>
        <w:spacing w:after="60"/>
        <w:ind w:left="720"/>
      </w:pPr>
      <w:r w:rsidRPr="0058047D">
        <w:rPr>
          <w:rFonts w:eastAsia="Calibri" w:cs="Tahoma"/>
          <w:b/>
          <w:szCs w:val="18"/>
        </w:rPr>
        <w:t>Primo Periodo di Rinnovo (in data 1 aprile 2015 o successiva)</w:t>
      </w:r>
    </w:p>
    <w:p w14:paraId="6DFA63D4" w14:textId="77777777" w:rsidR="00A81E83" w:rsidRPr="0058047D" w:rsidRDefault="00A81E83" w:rsidP="0026723A">
      <w:pPr>
        <w:ind w:left="720"/>
      </w:pPr>
      <w:r w:rsidRPr="0058047D">
        <w:rPr>
          <w:rFonts w:eastAsia="Calibri" w:cs="Tahoma"/>
          <w:color w:val="000000"/>
          <w:szCs w:val="18"/>
        </w:rPr>
        <w:t>Le società che rinnovano per la prima volta la copertura in data 1 aprile 2015</w:t>
      </w:r>
      <w:r w:rsidRPr="0058047D">
        <w:rPr>
          <w:rFonts w:eastAsia="Calibri" w:cs="Tahoma"/>
          <w:szCs w:val="18"/>
        </w:rPr>
        <w:t xml:space="preserve"> potranno, per ogni server ottenuto in licenza in conformità ai diritti di utilizzo del prodotto previsti dalla licenza per processore SQL Server 2008 R2, acquistare la copertura Software Assurance come di seguito indicato:</w:t>
      </w:r>
    </w:p>
    <w:p w14:paraId="39D49F5F" w14:textId="77777777" w:rsidR="0026723A" w:rsidRPr="0058047D" w:rsidRDefault="0026723A" w:rsidP="0026723A">
      <w:pPr>
        <w:ind w:left="720"/>
      </w:pPr>
    </w:p>
    <w:p w14:paraId="2CF2D3F5" w14:textId="77777777" w:rsidR="00A81E83" w:rsidRPr="0058047D" w:rsidRDefault="00A81E83" w:rsidP="00346F4B">
      <w:pPr>
        <w:numPr>
          <w:ilvl w:val="3"/>
          <w:numId w:val="95"/>
        </w:numPr>
        <w:spacing w:after="60"/>
        <w:ind w:left="1440"/>
      </w:pPr>
      <w:r w:rsidRPr="0058047D">
        <w:rPr>
          <w:rFonts w:eastAsia="Calibri" w:cs="Tahoma"/>
          <w:szCs w:val="18"/>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 del 1 aprile 2015)” e </w:t>
      </w:r>
    </w:p>
    <w:p w14:paraId="7ABA2CAD" w14:textId="77777777" w:rsidR="00A81E83" w:rsidRPr="0058047D" w:rsidRDefault="00A81E83" w:rsidP="00346F4B">
      <w:pPr>
        <w:numPr>
          <w:ilvl w:val="3"/>
          <w:numId w:val="95"/>
        </w:numPr>
        <w:spacing w:after="60"/>
        <w:ind w:left="1440"/>
      </w:pPr>
      <w:r w:rsidRPr="0058047D">
        <w:rPr>
          <w:rFonts w:eastAsia="Calibri" w:cs="Tahoma"/>
          <w:szCs w:val="18"/>
        </w:rPr>
        <w:t>per le licenze acquistate dopo il 1 aprile 2015 le società potranno rinnovare la copertura Software Assurance per quattro licenze core per SQL Server Standard senza dover acquistare le licenze core sottostanti per ogni licenza per processore per SQL Server 2008 R2 Standard. Per l</w:t>
      </w:r>
      <w:r w:rsidR="001C4212">
        <w:rPr>
          <w:rFonts w:eastAsia="Calibri" w:cs="Tahoma"/>
          <w:szCs w:val="18"/>
        </w:rPr>
        <w:t>’</w:t>
      </w:r>
      <w:r w:rsidRPr="0058047D">
        <w:rPr>
          <w:rFonts w:eastAsia="Calibri" w:cs="Tahoma"/>
          <w:szCs w:val="18"/>
        </w:rPr>
        <w:t>utilizzo continuativo di SQL Server 2012 su processori che richiedono più di quattro licenze core per processore la società deve acquistare le licenze core aggiuntive.</w:t>
      </w:r>
    </w:p>
    <w:p w14:paraId="5350DE69" w14:textId="77777777" w:rsidR="00A81E83" w:rsidRPr="0058047D" w:rsidRDefault="00A81E83" w:rsidP="00346F4B">
      <w:pPr>
        <w:numPr>
          <w:ilvl w:val="0"/>
          <w:numId w:val="50"/>
        </w:numPr>
        <w:spacing w:after="60"/>
        <w:ind w:left="1440"/>
      </w:pPr>
      <w:r w:rsidRPr="0058047D">
        <w:rPr>
          <w:rFonts w:eastAsia="Calibri" w:cs="Tahoma"/>
          <w:szCs w:val="18"/>
        </w:rPr>
        <w:t>Le licenze per processore delle società non sono più valide se si acquista la copertura Software Assurance per licenze core ai sensi della presente offerta. L</w:t>
      </w:r>
      <w:r w:rsidR="001C4212">
        <w:rPr>
          <w:rFonts w:eastAsia="Calibri" w:cs="Tahoma"/>
          <w:szCs w:val="18"/>
        </w:rPr>
        <w:t>’</w:t>
      </w:r>
      <w:r w:rsidRPr="0058047D">
        <w:rPr>
          <w:rFonts w:eastAsia="Calibri" w:cs="Tahoma"/>
          <w:szCs w:val="18"/>
        </w:rPr>
        <w:t>opzione di acquistare Software Assurance per le licenze core per SQL Server non è applicabile al rinnovo della copertura ai sensi dei programmi di sottoscrizione.</w:t>
      </w:r>
      <w:r w:rsidR="00E34ED3" w:rsidRPr="0058047D">
        <w:rPr>
          <w:rFonts w:eastAsia="Calibri" w:cs="Tahoma"/>
          <w:szCs w:val="18"/>
        </w:rPr>
        <w:t xml:space="preserve"> </w:t>
      </w:r>
    </w:p>
    <w:p w14:paraId="60713BD5" w14:textId="77777777" w:rsidR="0026723A" w:rsidRDefault="0026723A" w:rsidP="0026723A">
      <w:pPr>
        <w:tabs>
          <w:tab w:val="left" w:pos="1080"/>
        </w:tabs>
        <w:ind w:left="1080"/>
      </w:pPr>
    </w:p>
    <w:p w14:paraId="73114479" w14:textId="77777777" w:rsidR="00112425" w:rsidRDefault="00112425" w:rsidP="0026723A">
      <w:pPr>
        <w:tabs>
          <w:tab w:val="left" w:pos="1080"/>
        </w:tabs>
        <w:ind w:left="1080"/>
      </w:pPr>
    </w:p>
    <w:p w14:paraId="787CDDF3" w14:textId="77777777" w:rsidR="00112425" w:rsidRDefault="00112425" w:rsidP="0026723A">
      <w:pPr>
        <w:tabs>
          <w:tab w:val="left" w:pos="1080"/>
        </w:tabs>
        <w:ind w:left="1080"/>
      </w:pPr>
    </w:p>
    <w:p w14:paraId="695BA730" w14:textId="77777777" w:rsidR="00112425" w:rsidRDefault="00112425" w:rsidP="0026723A">
      <w:pPr>
        <w:tabs>
          <w:tab w:val="left" w:pos="1080"/>
        </w:tabs>
        <w:ind w:left="1080"/>
      </w:pPr>
    </w:p>
    <w:p w14:paraId="7C29DCA3" w14:textId="77777777" w:rsidR="00112425" w:rsidRDefault="00112425" w:rsidP="0026723A">
      <w:pPr>
        <w:tabs>
          <w:tab w:val="left" w:pos="1080"/>
        </w:tabs>
        <w:ind w:left="1080"/>
      </w:pPr>
    </w:p>
    <w:p w14:paraId="6D02513F" w14:textId="77777777" w:rsidR="00112425" w:rsidRDefault="00112425" w:rsidP="0026723A">
      <w:pPr>
        <w:tabs>
          <w:tab w:val="left" w:pos="1080"/>
        </w:tabs>
        <w:ind w:left="1080"/>
      </w:pPr>
    </w:p>
    <w:p w14:paraId="0CF3DDCB" w14:textId="77777777" w:rsidR="00112425" w:rsidRPr="0058047D" w:rsidRDefault="00112425" w:rsidP="0026723A">
      <w:pPr>
        <w:tabs>
          <w:tab w:val="left" w:pos="1080"/>
        </w:tabs>
        <w:ind w:left="1080"/>
      </w:pPr>
    </w:p>
    <w:p w14:paraId="02906AA0" w14:textId="77777777" w:rsidR="0026723A" w:rsidRPr="0058047D" w:rsidRDefault="00A431D5" w:rsidP="0026723A">
      <w:pPr>
        <w:spacing w:after="60"/>
        <w:ind w:left="720"/>
      </w:pPr>
      <w:r w:rsidRPr="0058047D">
        <w:rPr>
          <w:rFonts w:eastAsia="Calibri" w:cs="Tahoma"/>
          <w:b/>
          <w:szCs w:val="18"/>
        </w:rPr>
        <w:t>Per le società che desiderano eseguire lo step-up da SQL Server Standard a SQL Server Enterprise Core</w:t>
      </w:r>
    </w:p>
    <w:p w14:paraId="7957203D" w14:textId="77777777" w:rsidR="00A431D5" w:rsidRPr="0058047D" w:rsidRDefault="00A431D5" w:rsidP="0026723A">
      <w:pPr>
        <w:ind w:left="720"/>
      </w:pPr>
      <w:r w:rsidRPr="0058047D">
        <w:rPr>
          <w:rFonts w:eastAsia="Calibri" w:cs="Tahoma"/>
          <w:szCs w:val="18"/>
        </w:rPr>
        <w:t xml:space="preserve">Le società in possesso di licenze qualificanti per SQL Server 2008 R2 Standard possono eseguire lo step-up di tali licenze a SQL Server Enterprise (Per Core) in qualsiasi momento durante il periodo di validità corrente della copertura Software Assurance. Per ogni server ottenuto validamente in licenza in conformità ai diritti di utilizzo del prodotto previsti dalla licenza per processore SQL Server 2008 R2 Standard, la società potrà acquistare un numero di Licenze di Step-Up per SQL Server Enterprise Core pari al numero totale dei processori fisici sul server moltiplicato per il maggiore tra: </w:t>
      </w:r>
    </w:p>
    <w:p w14:paraId="1E7CB322" w14:textId="77777777" w:rsidR="0026723A" w:rsidRPr="0058047D" w:rsidRDefault="0026723A" w:rsidP="0026723A">
      <w:pPr>
        <w:tabs>
          <w:tab w:val="left" w:pos="1080"/>
        </w:tabs>
        <w:ind w:left="1080"/>
      </w:pPr>
    </w:p>
    <w:p w14:paraId="30F0EA35" w14:textId="77777777" w:rsidR="00A431D5" w:rsidRPr="0058047D" w:rsidRDefault="00A431D5" w:rsidP="00346F4B">
      <w:pPr>
        <w:numPr>
          <w:ilvl w:val="3"/>
          <w:numId w:val="96"/>
        </w:numPr>
        <w:tabs>
          <w:tab w:val="left" w:pos="1440"/>
        </w:tabs>
        <w:spacing w:after="60"/>
        <w:ind w:left="1440"/>
      </w:pPr>
      <w:r w:rsidRPr="0058047D">
        <w:rPr>
          <w:rFonts w:eastAsia="Calibri" w:cs="Tahoma"/>
          <w:szCs w:val="18"/>
        </w:rPr>
        <w:t>quattro O</w:t>
      </w:r>
    </w:p>
    <w:p w14:paraId="2555B857" w14:textId="77777777" w:rsidR="00A431D5" w:rsidRPr="0058047D" w:rsidRDefault="00A431D5" w:rsidP="00346F4B">
      <w:pPr>
        <w:numPr>
          <w:ilvl w:val="3"/>
          <w:numId w:val="96"/>
        </w:numPr>
        <w:tabs>
          <w:tab w:val="left" w:pos="1440"/>
        </w:tabs>
        <w:spacing w:after="60"/>
        <w:ind w:left="1440"/>
      </w:pPr>
      <w:r w:rsidRPr="0058047D">
        <w:rPr>
          <w:rFonts w:eastAsia="Calibri" w:cs="Tahoma"/>
          <w:szCs w:val="18"/>
        </w:rPr>
        <w:t>il numero effettivo di core per processore fisico moltiplicato per il fattore core appropriato.</w:t>
      </w:r>
      <w:r w:rsidR="00E34ED3" w:rsidRPr="0058047D">
        <w:rPr>
          <w:rFonts w:eastAsia="Calibri" w:cs="Tahoma"/>
          <w:szCs w:val="18"/>
        </w:rPr>
        <w:t xml:space="preserve"> </w:t>
      </w:r>
      <w:r w:rsidRPr="0058047D">
        <w:rPr>
          <w:rFonts w:eastAsia="Calibri" w:cs="Tahoma"/>
          <w:szCs w:val="18"/>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1C4212">
        <w:rPr>
          <w:rFonts w:eastAsia="Calibri" w:cs="Tahoma"/>
          <w:szCs w:val="18"/>
        </w:rPr>
        <w:t>’</w:t>
      </w:r>
      <w:r w:rsidRPr="0058047D">
        <w:rPr>
          <w:rFonts w:eastAsia="Calibri" w:cs="Tahoma"/>
          <w:szCs w:val="18"/>
        </w:rPr>
        <w:t>hardware fisico che supporta tale software appena prima dell</w:t>
      </w:r>
      <w:r w:rsidR="001C4212">
        <w:rPr>
          <w:rFonts w:eastAsia="Calibri" w:cs="Tahoma"/>
          <w:szCs w:val="18"/>
        </w:rPr>
        <w:t>’</w:t>
      </w:r>
      <w:r w:rsidRPr="0058047D">
        <w:rPr>
          <w:rFonts w:eastAsia="Calibri" w:cs="Tahoma"/>
          <w:szCs w:val="18"/>
        </w:rPr>
        <w:t xml:space="preserve">acquisto delle licenze di Step-Up utilizzando lo strumento MAP di Microsoft o un software equivalente). </w:t>
      </w:r>
    </w:p>
    <w:p w14:paraId="648DA736" w14:textId="77777777" w:rsidR="0026723A" w:rsidRPr="0058047D" w:rsidRDefault="0026723A" w:rsidP="0026723A">
      <w:pPr>
        <w:tabs>
          <w:tab w:val="left" w:pos="1440"/>
        </w:tabs>
        <w:ind w:left="1440"/>
      </w:pPr>
    </w:p>
    <w:p w14:paraId="2954B901" w14:textId="77777777" w:rsidR="00A431D5" w:rsidRPr="0058047D" w:rsidRDefault="00A431D5" w:rsidP="0026723A">
      <w:pPr>
        <w:ind w:left="720"/>
      </w:pPr>
      <w:r w:rsidRPr="0058047D">
        <w:rPr>
          <w:rFonts w:eastAsia="Calibri" w:cs="Tahoma"/>
          <w:szCs w:val="18"/>
        </w:rPr>
        <w:t>All</w:t>
      </w:r>
      <w:r w:rsidR="001C4212">
        <w:rPr>
          <w:rFonts w:eastAsia="Calibri" w:cs="Tahoma"/>
          <w:szCs w:val="18"/>
        </w:rPr>
        <w:t>’</w:t>
      </w:r>
      <w:r w:rsidRPr="0058047D">
        <w:rPr>
          <w:rFonts w:eastAsia="Calibri" w:cs="Tahoma"/>
          <w:szCs w:val="18"/>
        </w:rPr>
        <w:t>acquisto nel numero appropriato di licenze di Step-Up per SQL Server Enterprise Core, la società potrà distribuire e utilizzare il software ai sensi dei diritti di utilizzo di SQL Server Enterprise Core.</w:t>
      </w:r>
      <w:r w:rsidR="00E34ED3" w:rsidRPr="0058047D">
        <w:rPr>
          <w:rFonts w:eastAsia="Calibri" w:cs="Tahoma"/>
          <w:szCs w:val="18"/>
        </w:rPr>
        <w:t xml:space="preserve"> </w:t>
      </w:r>
      <w:r w:rsidRPr="0058047D">
        <w:rPr>
          <w:rFonts w:eastAsia="Calibri" w:cs="Tahoma"/>
          <w:szCs w:val="18"/>
        </w:rPr>
        <w:t>Salvo per quanto previsto al presente Articolo “Per le società che desiderano eseguire lo step-up da SQL Server Standard a SQL Server Enterprise Core”</w:t>
      </w:r>
      <w:r w:rsidRPr="0058047D">
        <w:rPr>
          <w:rFonts w:eastAsia="Calibri" w:cs="Tahoma"/>
          <w:b/>
          <w:szCs w:val="18"/>
        </w:rPr>
        <w:t xml:space="preserve">, </w:t>
      </w:r>
      <w:r w:rsidRPr="0058047D">
        <w:rPr>
          <w:rFonts w:eastAsia="Calibri" w:cs="Tahoma"/>
          <w:szCs w:val="18"/>
        </w:rPr>
        <w:t>si applicano le condizioni relative all</w:t>
      </w:r>
      <w:r w:rsidR="001C4212">
        <w:rPr>
          <w:rFonts w:eastAsia="Calibri" w:cs="Tahoma"/>
          <w:szCs w:val="18"/>
        </w:rPr>
        <w:t>’</w:t>
      </w:r>
      <w:r w:rsidRPr="0058047D">
        <w:rPr>
          <w:rFonts w:eastAsia="Calibri" w:cs="Tahoma"/>
          <w:szCs w:val="18"/>
        </w:rPr>
        <w:t>acquisto di licenze di Step-Up, come descritte nell</w:t>
      </w:r>
      <w:r w:rsidR="001C4212">
        <w:rPr>
          <w:rFonts w:eastAsia="Calibri" w:cs="Tahoma"/>
          <w:szCs w:val="18"/>
        </w:rPr>
        <w:t>’</w:t>
      </w:r>
      <w:r w:rsidRPr="0058047D">
        <w:rPr>
          <w:rFonts w:eastAsia="Calibri" w:cs="Tahoma"/>
          <w:szCs w:val="18"/>
        </w:rPr>
        <w:t>Articolo relativo a Software Assurance in questa Lista dei Prodotti.</w:t>
      </w:r>
      <w:r w:rsidRPr="0058047D">
        <w:rPr>
          <w:rFonts w:eastAsia="Calibri" w:cs="Tahoma"/>
          <w:b/>
          <w:szCs w:val="18"/>
        </w:rPr>
        <w:t xml:space="preserve"> </w:t>
      </w:r>
    </w:p>
    <w:p w14:paraId="324A34E7" w14:textId="77777777" w:rsidR="0026723A" w:rsidRPr="0058047D" w:rsidRDefault="0026723A" w:rsidP="0026723A">
      <w:pPr>
        <w:tabs>
          <w:tab w:val="left" w:pos="1080"/>
        </w:tabs>
        <w:ind w:left="1080"/>
      </w:pPr>
    </w:p>
    <w:p w14:paraId="63DC5E14" w14:textId="77777777" w:rsidR="0026723A" w:rsidRPr="0058047D" w:rsidRDefault="00A81E83" w:rsidP="0026723A">
      <w:pPr>
        <w:spacing w:after="60"/>
        <w:ind w:left="720"/>
      </w:pPr>
      <w:r w:rsidRPr="0058047D">
        <w:rPr>
          <w:rFonts w:eastAsia="Calibri" w:cs="Tahoma"/>
          <w:b/>
          <w:szCs w:val="18"/>
        </w:rPr>
        <w:t>Per le Società con copertura Software Assurance in scadenza prima del 1 aprile 2015 che scelgono di non effettuare il rinnovo</w:t>
      </w:r>
    </w:p>
    <w:p w14:paraId="18120F24" w14:textId="77777777" w:rsidR="00A81E83" w:rsidRPr="0058047D" w:rsidRDefault="00A81E83" w:rsidP="0026723A">
      <w:pPr>
        <w:ind w:left="720"/>
      </w:pPr>
      <w:r w:rsidRPr="0058047D">
        <w:rPr>
          <w:rFonts w:eastAsia="Calibri" w:cs="Tahoma"/>
          <w:szCs w:val="18"/>
        </w:rPr>
        <w:t>Le società titolari di contratti Enterprise Subscription e Open Value Subscription 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14:paraId="07DBA4CF" w14:textId="77777777" w:rsidR="009C7505" w:rsidRPr="0058047D" w:rsidRDefault="009C7505" w:rsidP="0026723A">
      <w:pPr>
        <w:ind w:left="720"/>
      </w:pPr>
    </w:p>
    <w:p w14:paraId="104E4CAE" w14:textId="77777777" w:rsidR="00A81E83" w:rsidRPr="0058047D" w:rsidRDefault="00A81E83" w:rsidP="00112425">
      <w:pPr>
        <w:numPr>
          <w:ilvl w:val="0"/>
          <w:numId w:val="97"/>
        </w:numPr>
        <w:tabs>
          <w:tab w:val="left" w:pos="1440"/>
        </w:tabs>
        <w:spacing w:after="60"/>
        <w:ind w:left="1440"/>
      </w:pPr>
      <w:r w:rsidRPr="0058047D">
        <w:rPr>
          <w:rFonts w:eastAsia="Calibri" w:cs="Tahoma"/>
          <w:b/>
          <w:szCs w:val="18"/>
        </w:rPr>
        <w:t>SQL Server 2008 R2 Standard:</w:t>
      </w:r>
      <w:r w:rsidRPr="0058047D">
        <w:rPr>
          <w:rFonts w:eastAsia="Calibri" w:cs="Tahoma"/>
          <w:szCs w:val="18"/>
        </w:rPr>
        <w:t xml:space="preserve"> l</w:t>
      </w:r>
      <w:r w:rsidR="001C4212">
        <w:rPr>
          <w:rFonts w:eastAsia="Calibri" w:cs="Tahoma"/>
          <w:szCs w:val="18"/>
        </w:rPr>
        <w:t>’</w:t>
      </w:r>
      <w:r w:rsidRPr="0058047D">
        <w:rPr>
          <w:rFonts w:eastAsia="Calibri" w:cs="Tahoma"/>
          <w:szCs w:val="18"/>
        </w:rPr>
        <w:t>utilizzo continuativo di tale versione del software è soggetto ai</w:t>
      </w:r>
      <w:r w:rsidR="00112425">
        <w:rPr>
          <w:rFonts w:eastAsia="Calibri" w:cs="Tahoma"/>
          <w:szCs w:val="18"/>
        </w:rPr>
        <w:t> </w:t>
      </w:r>
      <w:r w:rsidRPr="0058047D">
        <w:rPr>
          <w:rFonts w:eastAsia="Calibri" w:cs="Tahoma"/>
          <w:szCs w:val="18"/>
        </w:rPr>
        <w:t>diritti di utilizzo del prodotto previsti dalla licenza per processore SQL Server 2008 R2 Standard. Le società non disporranno più di diritti ai sensi della Mobilità delle Licenze all</w:t>
      </w:r>
      <w:r w:rsidR="001C4212">
        <w:rPr>
          <w:rFonts w:eastAsia="Calibri" w:cs="Tahoma"/>
          <w:szCs w:val="18"/>
        </w:rPr>
        <w:t>’</w:t>
      </w:r>
      <w:r w:rsidRPr="0058047D">
        <w:rPr>
          <w:rFonts w:eastAsia="Calibri" w:cs="Tahoma"/>
          <w:szCs w:val="18"/>
        </w:rPr>
        <w:t xml:space="preserve">interno di Server Farm o della Mobilità delle Licenze tramite Software Assurance. </w:t>
      </w:r>
    </w:p>
    <w:p w14:paraId="26E05A85" w14:textId="77777777" w:rsidR="00A81E83" w:rsidRPr="0058047D" w:rsidRDefault="00A81E83" w:rsidP="00346F4B">
      <w:pPr>
        <w:numPr>
          <w:ilvl w:val="0"/>
          <w:numId w:val="97"/>
        </w:numPr>
        <w:tabs>
          <w:tab w:val="left" w:pos="1440"/>
        </w:tabs>
        <w:spacing w:after="60"/>
        <w:ind w:left="1440"/>
      </w:pPr>
      <w:r w:rsidRPr="0058047D">
        <w:rPr>
          <w:rFonts w:eastAsia="Calibri" w:cs="Tahoma"/>
          <w:b/>
          <w:szCs w:val="18"/>
        </w:rPr>
        <w:t xml:space="preserve">SQL Server 2012 Standard Core: </w:t>
      </w:r>
      <w:r w:rsidRPr="0058047D">
        <w:rPr>
          <w:rFonts w:eastAsia="Calibri" w:cs="Tahoma"/>
          <w:szCs w:val="18"/>
        </w:rPr>
        <w:t>l</w:t>
      </w:r>
      <w:r w:rsidR="001C4212">
        <w:rPr>
          <w:rFonts w:eastAsia="Calibri" w:cs="Tahoma"/>
          <w:szCs w:val="18"/>
        </w:rPr>
        <w:t>’</w:t>
      </w:r>
      <w:r w:rsidRPr="0058047D">
        <w:rPr>
          <w:rFonts w:eastAsia="Calibri" w:cs="Tahoma"/>
          <w:szCs w:val="18"/>
        </w:rPr>
        <w:t xml:space="preserve">utilizzo di tale versione del software è soggetto ai diritti di utilizzo del prodotto previsti dalla licenza per processore SQL Server 2008 R2 Standard, tuttavia: </w:t>
      </w:r>
    </w:p>
    <w:p w14:paraId="07FD79B6" w14:textId="77777777" w:rsidR="00A81E83" w:rsidRPr="0058047D" w:rsidRDefault="00A81E83" w:rsidP="00346F4B">
      <w:pPr>
        <w:numPr>
          <w:ilvl w:val="1"/>
          <w:numId w:val="98"/>
        </w:numPr>
        <w:tabs>
          <w:tab w:val="left" w:pos="1800"/>
        </w:tabs>
        <w:spacing w:after="60"/>
        <w:ind w:left="1800"/>
      </w:pPr>
      <w:r w:rsidRPr="0058047D">
        <w:rPr>
          <w:rFonts w:eastAsia="Calibri" w:cs="Tahoma"/>
          <w:szCs w:val="18"/>
        </w:rPr>
        <w:t>le società non disporranno più di diritti ai sensi della Mobilità delle Licenze all</w:t>
      </w:r>
      <w:r w:rsidR="001C4212">
        <w:rPr>
          <w:rFonts w:eastAsia="Calibri" w:cs="Tahoma"/>
          <w:szCs w:val="18"/>
        </w:rPr>
        <w:t>’</w:t>
      </w:r>
      <w:r w:rsidRPr="0058047D">
        <w:rPr>
          <w:rFonts w:eastAsia="Calibri" w:cs="Tahoma"/>
          <w:szCs w:val="18"/>
        </w:rPr>
        <w:t xml:space="preserve">interno di Server Farm o della Mobilità delle Licenze tramite Software Assurance e </w:t>
      </w:r>
    </w:p>
    <w:p w14:paraId="2232E2FB" w14:textId="77777777" w:rsidR="00A81E83" w:rsidRPr="0058047D" w:rsidRDefault="00A81E83" w:rsidP="00346F4B">
      <w:pPr>
        <w:numPr>
          <w:ilvl w:val="1"/>
          <w:numId w:val="98"/>
        </w:numPr>
        <w:tabs>
          <w:tab w:val="left" w:pos="1800"/>
        </w:tabs>
        <w:spacing w:after="60"/>
        <w:ind w:left="1800"/>
      </w:pPr>
      <w:r w:rsidRPr="0058047D">
        <w:rPr>
          <w:rFonts w:eastAsia="Calibri" w:cs="Tahoma"/>
          <w:szCs w:val="18"/>
        </w:rPr>
        <w:t>l</w:t>
      </w:r>
      <w:r w:rsidR="001C4212">
        <w:rPr>
          <w:rFonts w:eastAsia="Calibri" w:cs="Tahoma"/>
          <w:szCs w:val="18"/>
        </w:rPr>
        <w:t>’</w:t>
      </w:r>
      <w:r w:rsidRPr="0058047D">
        <w:rPr>
          <w:rFonts w:eastAsia="Calibri" w:cs="Tahoma"/>
          <w:szCs w:val="18"/>
        </w:rPr>
        <w:t>eventuale riassegnazione di licenze è soggetta ai limiti indicati nei paragrafi (i) e (ii) che seguono relativi alla loro “equivalenza di licenze core”. L</w:t>
      </w:r>
      <w:r w:rsidR="001C4212">
        <w:rPr>
          <w:rFonts w:eastAsia="Calibri" w:cs="Tahoma"/>
          <w:szCs w:val="18"/>
        </w:rPr>
        <w:t>’</w:t>
      </w:r>
      <w:r w:rsidRPr="0058047D">
        <w:rPr>
          <w:rFonts w:eastAsia="Calibri" w:cs="Tahoma"/>
          <w:szCs w:val="18"/>
        </w:rPr>
        <w:t xml:space="preserve">equivalenza di licenze core è determinata come di seguito riportato. </w:t>
      </w:r>
    </w:p>
    <w:p w14:paraId="153A82F0" w14:textId="77777777" w:rsidR="00A81E83" w:rsidRPr="0058047D" w:rsidRDefault="00A81E83" w:rsidP="00346F4B">
      <w:pPr>
        <w:numPr>
          <w:ilvl w:val="2"/>
          <w:numId w:val="97"/>
        </w:numPr>
        <w:tabs>
          <w:tab w:val="left" w:pos="2160"/>
        </w:tabs>
        <w:spacing w:after="60"/>
        <w:ind w:hanging="360"/>
      </w:pPr>
      <w:r w:rsidRPr="0058047D">
        <w:rPr>
          <w:rFonts w:eastAsia="Calibri" w:cs="Tahoma"/>
          <w:szCs w:val="18"/>
        </w:rPr>
        <w:t>Per un numero di licenze pari al numero inferiore tra (x) il numero totale di licenze per processore cedute a un server con licenza appena prima della scadenza di Software Assurance o (y) il numero totale di processori fisici su tale server, l</w:t>
      </w:r>
      <w:r w:rsidR="001C4212">
        <w:rPr>
          <w:rFonts w:eastAsia="Calibri" w:cs="Tahoma"/>
          <w:szCs w:val="18"/>
        </w:rPr>
        <w:t>’</w:t>
      </w:r>
      <w:r w:rsidRPr="0058047D">
        <w:rPr>
          <w:rFonts w:eastAsia="Calibri" w:cs="Tahoma"/>
          <w:szCs w:val="18"/>
        </w:rPr>
        <w:t xml:space="preserve">equivalenza di licenze core è il numero maggiore tra: </w:t>
      </w:r>
    </w:p>
    <w:p w14:paraId="00BDFD2B" w14:textId="77777777" w:rsidR="00A81E83" w:rsidRPr="0058047D" w:rsidRDefault="00A81E83" w:rsidP="00346F4B">
      <w:pPr>
        <w:numPr>
          <w:ilvl w:val="4"/>
          <w:numId w:val="50"/>
        </w:numPr>
        <w:tabs>
          <w:tab w:val="left" w:pos="2520"/>
        </w:tabs>
        <w:spacing w:after="60"/>
        <w:ind w:left="2880"/>
      </w:pPr>
      <w:r w:rsidRPr="0058047D">
        <w:rPr>
          <w:rFonts w:eastAsia="Calibri" w:cs="Tahoma"/>
          <w:szCs w:val="18"/>
        </w:rPr>
        <w:t xml:space="preserve">quattro core per licenza per processore O </w:t>
      </w:r>
    </w:p>
    <w:p w14:paraId="13A61525" w14:textId="77777777" w:rsidR="00A81E83" w:rsidRPr="0058047D" w:rsidRDefault="00A81E83" w:rsidP="00346F4B">
      <w:pPr>
        <w:numPr>
          <w:ilvl w:val="4"/>
          <w:numId w:val="50"/>
        </w:numPr>
        <w:tabs>
          <w:tab w:val="left" w:pos="2520"/>
        </w:tabs>
        <w:spacing w:after="60"/>
        <w:ind w:left="2880"/>
      </w:pPr>
      <w:r w:rsidRPr="0058047D">
        <w:rPr>
          <w:rFonts w:eastAsia="Calibri" w:cs="Tahoma"/>
          <w:szCs w:val="18"/>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1C4212">
        <w:rPr>
          <w:rFonts w:eastAsia="Calibri" w:cs="Tahoma"/>
          <w:szCs w:val="18"/>
        </w:rPr>
        <w:t>’</w:t>
      </w:r>
      <w:r w:rsidRPr="0058047D">
        <w:rPr>
          <w:rFonts w:eastAsia="Calibri" w:cs="Tahoma"/>
          <w:szCs w:val="18"/>
        </w:rPr>
        <w:t>hardware fisico che supporta tale software appena prima della scadenza di Software Assurance utilizzando lo strumento MAP di Microsoft o un software equivalente).</w:t>
      </w:r>
    </w:p>
    <w:p w14:paraId="6585DA99" w14:textId="77777777" w:rsidR="00A81E83" w:rsidRPr="0058047D" w:rsidRDefault="00A81E83" w:rsidP="00346F4B">
      <w:pPr>
        <w:numPr>
          <w:ilvl w:val="2"/>
          <w:numId w:val="97"/>
        </w:numPr>
        <w:tabs>
          <w:tab w:val="left" w:pos="2160"/>
        </w:tabs>
        <w:spacing w:after="60"/>
        <w:ind w:hanging="360"/>
      </w:pPr>
      <w:r w:rsidRPr="0058047D">
        <w:rPr>
          <w:rFonts w:eastAsia="Calibri" w:cs="Tahoma"/>
          <w:szCs w:val="18"/>
        </w:rPr>
        <w:t>Per qualsiasi licenza per processore con la copertura Software Assurance in scadenza ceduta allo stesso server con licenza che ecceda il numero effettivo di processori fisici sul server, l</w:t>
      </w:r>
      <w:r w:rsidR="001C4212">
        <w:rPr>
          <w:rFonts w:eastAsia="Calibri" w:cs="Tahoma"/>
          <w:szCs w:val="18"/>
        </w:rPr>
        <w:t>’</w:t>
      </w:r>
      <w:r w:rsidRPr="0058047D">
        <w:rPr>
          <w:rFonts w:eastAsia="Calibri" w:cs="Tahoma"/>
          <w:szCs w:val="18"/>
        </w:rPr>
        <w:t>equivalenza core è di quattro core per licenza per processore.</w:t>
      </w:r>
    </w:p>
    <w:p w14:paraId="5B2000BA" w14:textId="77777777" w:rsidR="00A81E83" w:rsidRPr="0058047D" w:rsidRDefault="00A81E83" w:rsidP="00346F4B">
      <w:pPr>
        <w:numPr>
          <w:ilvl w:val="0"/>
          <w:numId w:val="53"/>
        </w:numPr>
        <w:tabs>
          <w:tab w:val="left" w:pos="1440"/>
        </w:tabs>
        <w:spacing w:after="60"/>
        <w:ind w:left="1440"/>
      </w:pPr>
      <w:r w:rsidRPr="0058047D">
        <w:rPr>
          <w:rFonts w:eastAsia="Calibri" w:cs="Tahoma"/>
          <w:szCs w:val="18"/>
        </w:rPr>
        <w:t>Le società potranno riassegnare le licenze a un altro server. Tuttavia, qualora la società riassegni una licenza a un altro server, dovrà attenersi ai diritti sull</w:t>
      </w:r>
      <w:r w:rsidR="001C4212">
        <w:rPr>
          <w:rFonts w:eastAsia="Calibri" w:cs="Tahoma"/>
          <w:szCs w:val="18"/>
        </w:rPr>
        <w:t>’</w:t>
      </w:r>
      <w:r w:rsidRPr="0058047D">
        <w:rPr>
          <w:rFonts w:eastAsia="Calibri" w:cs="Tahoma"/>
          <w:szCs w:val="18"/>
        </w:rPr>
        <w:t>utilizzo di SQL Server 2012. Quando cede licenze core a server ai sensi dei diritti sull</w:t>
      </w:r>
      <w:r w:rsidR="001C4212">
        <w:rPr>
          <w:rFonts w:eastAsia="Calibri" w:cs="Tahoma"/>
          <w:szCs w:val="18"/>
        </w:rPr>
        <w:t>’</w:t>
      </w:r>
      <w:r w:rsidRPr="0058047D">
        <w:rPr>
          <w:rFonts w:eastAsia="Calibri" w:cs="Tahoma"/>
          <w:szCs w:val="18"/>
        </w:rPr>
        <w:t>utilizzo per SQL 2012, la società potrà combinare l</w:t>
      </w:r>
      <w:r w:rsidR="001C4212">
        <w:rPr>
          <w:rFonts w:eastAsia="Calibri" w:cs="Tahoma"/>
          <w:szCs w:val="18"/>
        </w:rPr>
        <w:t>’</w:t>
      </w:r>
      <w:r w:rsidRPr="0058047D">
        <w:rPr>
          <w:rFonts w:eastAsia="Calibri" w:cs="Tahoma"/>
          <w:szCs w:val="18"/>
        </w:rPr>
        <w:t>equivalenza core delle licenze esistenti con le licenze core per SQL Server 2012 aggiuntive.</w:t>
      </w:r>
    </w:p>
    <w:p w14:paraId="75C8B955" w14:textId="77777777" w:rsidR="00A81E83" w:rsidRPr="0058047D" w:rsidRDefault="00A81E83" w:rsidP="00346F4B">
      <w:pPr>
        <w:numPr>
          <w:ilvl w:val="0"/>
          <w:numId w:val="53"/>
        </w:numPr>
        <w:tabs>
          <w:tab w:val="left" w:pos="1440"/>
        </w:tabs>
        <w:spacing w:after="60"/>
        <w:ind w:left="1440"/>
      </w:pPr>
      <w:r w:rsidRPr="0058047D">
        <w:rPr>
          <w:rFonts w:eastAsia="Calibri" w:cs="Tahoma"/>
          <w:szCs w:val="18"/>
        </w:rPr>
        <w:t>L</w:t>
      </w:r>
      <w:r w:rsidR="001C4212">
        <w:rPr>
          <w:rFonts w:eastAsia="Calibri" w:cs="Tahoma"/>
          <w:szCs w:val="18"/>
        </w:rPr>
        <w:t>’</w:t>
      </w:r>
      <w:r w:rsidRPr="0058047D">
        <w:rPr>
          <w:rFonts w:eastAsia="Calibri" w:cs="Tahoma"/>
          <w:szCs w:val="18"/>
        </w:rPr>
        <w:t>equivalenza di licenze core stimata delle società non implica che esse possano cedere una licenza singola per processore a core attraverso due o più processori.</w:t>
      </w:r>
    </w:p>
    <w:p w14:paraId="307AE2F2" w14:textId="77777777" w:rsidR="00FE6686" w:rsidRPr="0058047D" w:rsidRDefault="00FE6686" w:rsidP="009C7505">
      <w:pPr>
        <w:tabs>
          <w:tab w:val="left" w:pos="1440"/>
        </w:tabs>
        <w:ind w:left="1080"/>
      </w:pPr>
    </w:p>
    <w:p w14:paraId="75613B7F" w14:textId="77777777" w:rsidR="009C7505" w:rsidRPr="0058047D" w:rsidRDefault="00A81E83" w:rsidP="009C7505">
      <w:pPr>
        <w:tabs>
          <w:tab w:val="left" w:pos="720"/>
        </w:tabs>
        <w:spacing w:after="60"/>
        <w:ind w:left="720"/>
      </w:pPr>
      <w:r w:rsidRPr="0058047D">
        <w:rPr>
          <w:rFonts w:eastAsia="Calibri" w:cs="Tahoma"/>
          <w:b/>
          <w:szCs w:val="18"/>
        </w:rPr>
        <w:t>Per le Società con copertura Software Assurance in scadenza in data 1 aprile 2015 o successiva che scelgono di non effettuare il rinnovo</w:t>
      </w:r>
    </w:p>
    <w:p w14:paraId="2E347252" w14:textId="77777777" w:rsidR="00A81E83" w:rsidRPr="0058047D" w:rsidRDefault="00A81E83" w:rsidP="009C7505">
      <w:pPr>
        <w:tabs>
          <w:tab w:val="left" w:pos="720"/>
        </w:tabs>
        <w:ind w:left="720"/>
      </w:pPr>
      <w:r w:rsidRPr="0058047D">
        <w:rPr>
          <w:rFonts w:eastAsia="Calibri" w:cs="Tahoma"/>
          <w:color w:val="000000"/>
          <w:szCs w:val="18"/>
        </w:rPr>
        <w:t xml:space="preserve">Alle società titolari di contratti Enterprise Subscription </w:t>
      </w:r>
      <w:r w:rsidRPr="0058047D">
        <w:rPr>
          <w:rFonts w:eastAsia="Calibri" w:cs="Tahoma"/>
          <w:szCs w:val="18"/>
        </w:rPr>
        <w:t xml:space="preserve">e Open Value Subscription </w:t>
      </w:r>
      <w:r w:rsidRPr="0058047D">
        <w:rPr>
          <w:rFonts w:eastAsia="Calibri" w:cs="Tahoma"/>
          <w:color w:val="000000"/>
          <w:szCs w:val="18"/>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14:paraId="2D127EF2" w14:textId="77777777" w:rsidR="009C7505" w:rsidRPr="00FE6686" w:rsidRDefault="009C7505" w:rsidP="009C7505">
      <w:pPr>
        <w:tabs>
          <w:tab w:val="left" w:pos="720"/>
        </w:tabs>
        <w:ind w:left="720"/>
        <w:rPr>
          <w:szCs w:val="18"/>
        </w:rPr>
      </w:pPr>
    </w:p>
    <w:p w14:paraId="399CC482" w14:textId="77777777" w:rsidR="00A81E83" w:rsidRPr="0058047D" w:rsidRDefault="00A81E83" w:rsidP="00346F4B">
      <w:pPr>
        <w:numPr>
          <w:ilvl w:val="2"/>
          <w:numId w:val="50"/>
        </w:numPr>
        <w:spacing w:after="60"/>
        <w:ind w:left="1440"/>
      </w:pPr>
      <w:r w:rsidRPr="0058047D">
        <w:rPr>
          <w:rFonts w:eastAsia="Calibri" w:cs="Tahoma"/>
          <w:szCs w:val="18"/>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 </w:t>
      </w:r>
    </w:p>
    <w:p w14:paraId="4E2B8AB7" w14:textId="77777777" w:rsidR="00A81E83" w:rsidRPr="0058047D" w:rsidRDefault="00A81E83" w:rsidP="00346F4B">
      <w:pPr>
        <w:numPr>
          <w:ilvl w:val="2"/>
          <w:numId w:val="50"/>
        </w:numPr>
        <w:spacing w:after="60"/>
        <w:ind w:left="1440"/>
      </w:pPr>
      <w:r w:rsidRPr="0058047D">
        <w:rPr>
          <w:rFonts w:eastAsia="Calibri" w:cs="Tahoma"/>
          <w:szCs w:val="18"/>
        </w:rPr>
        <w:t>per le licenze acquistate dopo il 1 aprile 2015 la licenza per processore delle società avrà un</w:t>
      </w:r>
      <w:r w:rsidR="001C4212">
        <w:rPr>
          <w:rFonts w:eastAsia="Calibri" w:cs="Tahoma"/>
          <w:szCs w:val="18"/>
        </w:rPr>
        <w:t>’</w:t>
      </w:r>
      <w:r w:rsidRPr="0058047D">
        <w:rPr>
          <w:rFonts w:eastAsia="Calibri" w:cs="Tahoma"/>
          <w:szCs w:val="18"/>
        </w:rPr>
        <w:t>equivalenza core di quattro licenze core Standard per SQL Server 2012. Per l</w:t>
      </w:r>
      <w:r w:rsidR="001C4212">
        <w:rPr>
          <w:rFonts w:eastAsia="Calibri" w:cs="Tahoma"/>
          <w:szCs w:val="18"/>
        </w:rPr>
        <w:t>’</w:t>
      </w:r>
      <w:r w:rsidRPr="0058047D">
        <w:rPr>
          <w:rFonts w:eastAsia="Calibri" w:cs="Tahoma"/>
          <w:szCs w:val="18"/>
        </w:rPr>
        <w:t>utilizzo continuativo di SQL Server 2012 su processori che richiedono più di quattro licenze core per processore la società deve acquistare le licenze core aggiuntive.</w:t>
      </w:r>
    </w:p>
    <w:p w14:paraId="77756000" w14:textId="77777777" w:rsidR="009C7505" w:rsidRPr="00FE6686" w:rsidRDefault="009C7505" w:rsidP="009C7505">
      <w:pPr>
        <w:ind w:left="1440"/>
        <w:rPr>
          <w:szCs w:val="18"/>
        </w:rPr>
      </w:pPr>
    </w:p>
    <w:p w14:paraId="6CF0D1D0" w14:textId="77777777" w:rsidR="009C7505" w:rsidRPr="0058047D" w:rsidRDefault="00A81E83" w:rsidP="009C7505">
      <w:pPr>
        <w:spacing w:after="60"/>
        <w:ind w:left="720"/>
      </w:pPr>
      <w:r w:rsidRPr="0058047D">
        <w:rPr>
          <w:b/>
        </w:rPr>
        <w:t>Per le società con sede nella Repubblica popolare</w:t>
      </w:r>
      <w:r w:rsidRPr="0058047D">
        <w:t xml:space="preserve"> </w:t>
      </w:r>
      <w:r w:rsidRPr="0058047D">
        <w:rPr>
          <w:b/>
        </w:rPr>
        <w:t>cinese, dove acquistano licenze per processore e Software Assurance per SQL Server 2008 R2</w:t>
      </w:r>
    </w:p>
    <w:p w14:paraId="6DAE1577" w14:textId="77777777" w:rsidR="001D7A2C" w:rsidRPr="0058047D" w:rsidRDefault="00A81E83" w:rsidP="009C7505">
      <w:pPr>
        <w:ind w:left="720"/>
      </w:pPr>
      <w:r w:rsidRPr="0058047D">
        <w:t>Non si applicano i riferimenti al 1 aprile 2012 e al 1 aprile 2015 presenti in questa nota relativa alla lista dei prodotti. Le date applicabili per queste società sarebbero rispettivamente il 1 luglio 2012 e il 1 luglio 2015.</w:t>
      </w:r>
      <w:bookmarkStart w:id="1459" w:name="_821_SQL_Server®"/>
      <w:bookmarkEnd w:id="1406"/>
      <w:bookmarkEnd w:id="1407"/>
      <w:bookmarkEnd w:id="1408"/>
      <w:bookmarkEnd w:id="1409"/>
      <w:bookmarkEnd w:id="1459"/>
    </w:p>
    <w:p w14:paraId="4A7A6EA4" w14:textId="77777777" w:rsidR="009C7505" w:rsidRPr="00FE6686" w:rsidRDefault="009C7505" w:rsidP="009C7505">
      <w:pPr>
        <w:rPr>
          <w:szCs w:val="18"/>
        </w:rPr>
      </w:pPr>
    </w:p>
    <w:p w14:paraId="55F35F85" w14:textId="77777777" w:rsidR="00602EF4" w:rsidRPr="00FE6686" w:rsidRDefault="00602EF4" w:rsidP="00602EF4">
      <w:pPr>
        <w:rPr>
          <w:szCs w:val="18"/>
        </w:rPr>
      </w:pPr>
      <w:bookmarkStart w:id="1460" w:name="Srv_82SysCtrDataProMgr07StdSvrMgmtML"/>
      <w:bookmarkStart w:id="1461" w:name="Srv_78SysCtrDataProMgr07StdSvrMgmtML"/>
      <w:bookmarkStart w:id="1462" w:name="Srv_79SysCtrDataProMgr07StdSvrMgmtML"/>
    </w:p>
    <w:p w14:paraId="74A45844" w14:textId="77777777" w:rsidR="00023FE7" w:rsidRPr="0058047D" w:rsidRDefault="00A560B6" w:rsidP="0037081F">
      <w:pPr>
        <w:pStyle w:val="Heading3"/>
      </w:pPr>
      <w:bookmarkStart w:id="1463" w:name="_79_System_Center"/>
      <w:bookmarkStart w:id="1464" w:name="_86_84_System"/>
      <w:bookmarkStart w:id="1465" w:name="_Toc336338351"/>
      <w:bookmarkStart w:id="1466" w:name="_Toc371663743"/>
      <w:bookmarkStart w:id="1467" w:name="Srv_79SystemCenterEssentials07"/>
      <w:bookmarkStart w:id="1468" w:name="Srv_80SystemCenterEssentials07"/>
      <w:bookmarkStart w:id="1469" w:name="Srv_83SystemCenterEssentials07"/>
      <w:bookmarkEnd w:id="1460"/>
      <w:bookmarkEnd w:id="1461"/>
      <w:bookmarkEnd w:id="1462"/>
      <w:bookmarkEnd w:id="1463"/>
      <w:bookmarkEnd w:id="1464"/>
      <w:r w:rsidRPr="0058047D">
        <w:rPr>
          <w:rFonts w:ascii="Tahoma" w:hAnsi="Tahoma"/>
          <w:caps/>
          <w:color w:val="F66400"/>
          <w:sz w:val="22"/>
          <w:vertAlign w:val="superscript"/>
        </w:rPr>
        <w:t>90</w:t>
      </w:r>
      <w:r w:rsidRPr="0058047D">
        <w:rPr>
          <w:rFonts w:ascii="Tahoma" w:hAnsi="Tahoma"/>
          <w:color w:val="F66400"/>
          <w:sz w:val="22"/>
        </w:rPr>
        <w:t xml:space="preserve"> System Center Essentials 2010</w:t>
      </w:r>
      <w:bookmarkEnd w:id="1465"/>
      <w:bookmarkEnd w:id="1466"/>
    </w:p>
    <w:bookmarkEnd w:id="1467"/>
    <w:bookmarkEnd w:id="1468"/>
    <w:bookmarkEnd w:id="1469"/>
    <w:p w14:paraId="5FDB1892" w14:textId="77777777" w:rsidR="00A30254" w:rsidRPr="00FE6686" w:rsidRDefault="00A30254" w:rsidP="00602EF4">
      <w:pPr>
        <w:spacing w:after="60"/>
        <w:ind w:left="720"/>
        <w:rPr>
          <w:szCs w:val="18"/>
        </w:rPr>
      </w:pPr>
    </w:p>
    <w:p w14:paraId="734A7A38" w14:textId="77777777" w:rsidR="00A30254" w:rsidRPr="0058047D" w:rsidRDefault="00A30254" w:rsidP="00A30254">
      <w:pPr>
        <w:spacing w:after="60"/>
        <w:ind w:left="720"/>
      </w:pPr>
      <w:r w:rsidRPr="0058047D">
        <w:rPr>
          <w:rFonts w:cs="Tahoma"/>
          <w:b/>
          <w:color w:val="000000"/>
          <w:szCs w:val="20"/>
        </w:rPr>
        <w:t>Concessione di Licenza per le Società in possesso di Software Assurance per System Center Essentials 2010</w:t>
      </w:r>
    </w:p>
    <w:p w14:paraId="0B3FA6BD" w14:textId="77777777" w:rsidR="00A30254" w:rsidRPr="0058047D" w:rsidRDefault="00A30254" w:rsidP="00A30254">
      <w:pPr>
        <w:pStyle w:val="EndnoteText"/>
        <w:ind w:left="720"/>
      </w:pPr>
      <w:r w:rsidRPr="0058047D">
        <w:rPr>
          <w:rFonts w:ascii="Tahoma" w:hAnsi="Tahoma" w:cs="Tahoma"/>
          <w:sz w:val="18"/>
        </w:rPr>
        <w:t>La versione 2010 di System Center Essentials (SCE) sarà l</w:t>
      </w:r>
      <w:r w:rsidR="001C4212">
        <w:rPr>
          <w:rFonts w:ascii="Tahoma" w:hAnsi="Tahoma" w:cs="Tahoma"/>
          <w:sz w:val="18"/>
        </w:rPr>
        <w:t>’</w:t>
      </w:r>
      <w:r w:rsidRPr="0058047D">
        <w:rPr>
          <w:rFonts w:ascii="Tahoma" w:hAnsi="Tahoma" w:cs="Tahoma"/>
          <w:sz w:val="18"/>
        </w:rPr>
        <w:t>ultima versione del prodotto.</w:t>
      </w:r>
      <w:r w:rsidR="00E34ED3" w:rsidRPr="0058047D">
        <w:rPr>
          <w:rFonts w:ascii="Tahoma" w:hAnsi="Tahoma" w:cs="Tahoma"/>
          <w:sz w:val="18"/>
        </w:rPr>
        <w:t xml:space="preserve"> </w:t>
      </w:r>
      <w:r w:rsidRPr="0058047D">
        <w:rPr>
          <w:rFonts w:ascii="Tahoma" w:hAnsi="Tahoma" w:cs="Tahoma"/>
          <w:sz w:val="18"/>
        </w:rPr>
        <w:t>Alle società in possesso della copertura Software Assurance per SCE in data 1 marzo 2013 verranno concesse le licenze per System Center 2012 senza alcuna spesa aggiuntiva che non siano i costi (eventuali) dei supporti di memorizzazione.</w:t>
      </w:r>
      <w:r w:rsidR="00E34ED3" w:rsidRPr="0058047D">
        <w:rPr>
          <w:rFonts w:ascii="Tahoma" w:hAnsi="Tahoma" w:cs="Tahoma"/>
          <w:sz w:val="18"/>
        </w:rPr>
        <w:t xml:space="preserve"> </w:t>
      </w:r>
      <w:r w:rsidRPr="0058047D">
        <w:rPr>
          <w:rFonts w:ascii="Tahoma" w:hAnsi="Tahoma" w:cs="Tahoma"/>
          <w:sz w:val="18"/>
        </w:rPr>
        <w:t>Il numero di licenze per System Center 2012, di cui sarà idonea una società ai sensi della presente offerta, varia sulla base del numero e del tipo di licenze per SCE dotate di copertura Software Assurance che la società ha acquistato.</w:t>
      </w:r>
      <w:r w:rsidR="00E34ED3" w:rsidRPr="0058047D">
        <w:rPr>
          <w:rFonts w:ascii="Tahoma" w:hAnsi="Tahoma" w:cs="Tahoma"/>
          <w:sz w:val="18"/>
        </w:rPr>
        <w:t xml:space="preserve"> </w:t>
      </w:r>
      <w:r w:rsidRPr="0058047D">
        <w:rPr>
          <w:rFonts w:ascii="Tahoma" w:hAnsi="Tahoma" w:cs="Tahoma"/>
          <w:sz w:val="18"/>
        </w:rPr>
        <w:t>Per informazioni, vedere la tabella che segue.</w:t>
      </w:r>
    </w:p>
    <w:p w14:paraId="23EC65D2" w14:textId="77777777" w:rsidR="00A30254" w:rsidRPr="00FE6686" w:rsidRDefault="00A30254" w:rsidP="00A30254">
      <w:pPr>
        <w:pStyle w:val="EndnoteText"/>
        <w:rPr>
          <w:sz w:val="18"/>
          <w:szCs w:val="18"/>
        </w:rPr>
      </w:pPr>
    </w:p>
    <w:tbl>
      <w:tblPr>
        <w:tblStyle w:val="TableGrid1"/>
        <w:tblW w:w="8553" w:type="dxa"/>
        <w:tblInd w:w="824" w:type="dxa"/>
        <w:tblLook w:val="04A0" w:firstRow="1" w:lastRow="0" w:firstColumn="1" w:lastColumn="0" w:noHBand="0" w:noVBand="1"/>
      </w:tblPr>
      <w:tblGrid>
        <w:gridCol w:w="3604"/>
        <w:gridCol w:w="4949"/>
      </w:tblGrid>
      <w:tr w:rsidR="00A30254" w:rsidRPr="0058047D" w14:paraId="32B92823" w14:textId="77777777" w:rsidTr="00FE6686">
        <w:tc>
          <w:tcPr>
            <w:tcW w:w="3604" w:type="dxa"/>
            <w:shd w:val="clear" w:color="auto" w:fill="FABF8F"/>
            <w:hideMark/>
          </w:tcPr>
          <w:p w14:paraId="3F0AF5DE" w14:textId="77777777" w:rsidR="00A30254" w:rsidRPr="0058047D" w:rsidRDefault="00A30254" w:rsidP="00CE334A">
            <w:pPr>
              <w:ind w:left="162"/>
              <w:jc w:val="center"/>
              <w:rPr>
                <w:rFonts w:cs="Tahoma"/>
                <w:b/>
                <w:bCs/>
                <w:color w:val="000000"/>
                <w:szCs w:val="18"/>
              </w:rPr>
            </w:pPr>
            <w:r w:rsidRPr="0058047D">
              <w:rPr>
                <w:rFonts w:cs="Tahoma"/>
                <w:b/>
                <w:bCs/>
                <w:color w:val="000000"/>
                <w:szCs w:val="18"/>
              </w:rPr>
              <w:t>Licenze Qualificanti con Software Assurance</w:t>
            </w:r>
          </w:p>
        </w:tc>
        <w:tc>
          <w:tcPr>
            <w:tcW w:w="4949" w:type="dxa"/>
            <w:shd w:val="clear" w:color="auto" w:fill="FABF8F"/>
            <w:hideMark/>
          </w:tcPr>
          <w:p w14:paraId="2287118E" w14:textId="77777777" w:rsidR="00A30254" w:rsidRPr="0058047D" w:rsidRDefault="00A30254" w:rsidP="00CE334A">
            <w:pPr>
              <w:ind w:left="162"/>
              <w:jc w:val="center"/>
              <w:rPr>
                <w:rFonts w:cs="Tahoma"/>
                <w:b/>
                <w:bCs/>
                <w:color w:val="000000"/>
                <w:szCs w:val="18"/>
              </w:rPr>
            </w:pPr>
            <w:r w:rsidRPr="0058047D">
              <w:rPr>
                <w:rFonts w:cs="Tahoma"/>
                <w:b/>
                <w:bCs/>
                <w:color w:val="000000"/>
                <w:szCs w:val="18"/>
              </w:rPr>
              <w:t>Concessione di Licenza per System Center 2012</w:t>
            </w:r>
          </w:p>
        </w:tc>
      </w:tr>
      <w:tr w:rsidR="00A30254" w:rsidRPr="0058047D" w14:paraId="4393D41E" w14:textId="77777777" w:rsidTr="00FE6686">
        <w:tc>
          <w:tcPr>
            <w:tcW w:w="3604" w:type="dxa"/>
            <w:hideMark/>
          </w:tcPr>
          <w:p w14:paraId="04459F5C" w14:textId="77777777" w:rsidR="00A30254" w:rsidRPr="0058047D" w:rsidRDefault="00A30254" w:rsidP="00CE334A">
            <w:pPr>
              <w:ind w:left="162"/>
              <w:rPr>
                <w:rFonts w:cs="Tahoma"/>
                <w:bCs/>
                <w:color w:val="000000"/>
                <w:szCs w:val="18"/>
              </w:rPr>
            </w:pPr>
            <w:r w:rsidRPr="0058047D">
              <w:rPr>
                <w:rFonts w:cs="Tahoma"/>
                <w:bCs/>
                <w:color w:val="000000"/>
                <w:szCs w:val="18"/>
              </w:rPr>
              <w:t>System Center Essentials 2010</w:t>
            </w:r>
          </w:p>
        </w:tc>
        <w:tc>
          <w:tcPr>
            <w:tcW w:w="4949" w:type="dxa"/>
            <w:hideMark/>
          </w:tcPr>
          <w:p w14:paraId="7DFF3B53" w14:textId="77777777" w:rsidR="00A30254" w:rsidRPr="0058047D" w:rsidRDefault="00A30254" w:rsidP="00CE334A">
            <w:pPr>
              <w:ind w:left="162"/>
              <w:rPr>
                <w:rFonts w:cs="Tahoma"/>
                <w:bCs/>
                <w:color w:val="000000"/>
                <w:szCs w:val="18"/>
              </w:rPr>
            </w:pPr>
            <w:r w:rsidRPr="0058047D">
              <w:rPr>
                <w:rFonts w:cs="Tahoma"/>
                <w:bCs/>
                <w:color w:val="000000"/>
                <w:szCs w:val="18"/>
              </w:rPr>
              <w:t>una Licenza di Gestione Server per System Center 2012 Standard per ogni otto* licenze qualificanti</w:t>
            </w:r>
          </w:p>
        </w:tc>
      </w:tr>
      <w:tr w:rsidR="00A30254" w:rsidRPr="0058047D" w14:paraId="0A201BDB" w14:textId="77777777" w:rsidTr="00FE6686">
        <w:tc>
          <w:tcPr>
            <w:tcW w:w="3604" w:type="dxa"/>
            <w:hideMark/>
          </w:tcPr>
          <w:p w14:paraId="193D4B35" w14:textId="77777777" w:rsidR="00A30254" w:rsidRPr="0058047D" w:rsidRDefault="00A30254" w:rsidP="00CE334A">
            <w:pPr>
              <w:ind w:left="162"/>
              <w:rPr>
                <w:rFonts w:cs="Tahoma"/>
                <w:bCs/>
                <w:color w:val="000000"/>
                <w:szCs w:val="18"/>
              </w:rPr>
            </w:pPr>
            <w:r w:rsidRPr="0058047D">
              <w:rPr>
                <w:rFonts w:cs="Tahoma"/>
                <w:bCs/>
                <w:color w:val="000000"/>
                <w:szCs w:val="18"/>
              </w:rPr>
              <w:t>System Center Essentials 2010 con SQL</w:t>
            </w:r>
          </w:p>
        </w:tc>
        <w:tc>
          <w:tcPr>
            <w:tcW w:w="4949" w:type="dxa"/>
            <w:hideMark/>
          </w:tcPr>
          <w:p w14:paraId="5F7AEE98" w14:textId="77777777" w:rsidR="00A30254" w:rsidRPr="0058047D" w:rsidRDefault="00A30254" w:rsidP="00CE334A">
            <w:pPr>
              <w:ind w:left="162"/>
              <w:rPr>
                <w:rFonts w:cs="Tahoma"/>
                <w:bCs/>
                <w:color w:val="000000"/>
                <w:szCs w:val="18"/>
              </w:rPr>
            </w:pPr>
            <w:r w:rsidRPr="0058047D">
              <w:rPr>
                <w:rFonts w:cs="Tahoma"/>
                <w:bCs/>
                <w:color w:val="000000"/>
                <w:szCs w:val="18"/>
              </w:rPr>
              <w:t>una Licenza di Gestione Server per System Center 2012 Standard per ogni licenza qualificante</w:t>
            </w:r>
          </w:p>
        </w:tc>
      </w:tr>
      <w:tr w:rsidR="00A30254" w:rsidRPr="0058047D" w14:paraId="234273DF" w14:textId="77777777" w:rsidTr="00FE6686">
        <w:tc>
          <w:tcPr>
            <w:tcW w:w="3604" w:type="dxa"/>
            <w:hideMark/>
          </w:tcPr>
          <w:p w14:paraId="0CD963D9" w14:textId="77777777" w:rsidR="00A30254" w:rsidRPr="0058047D" w:rsidRDefault="00A30254" w:rsidP="00CE334A">
            <w:pPr>
              <w:ind w:left="162"/>
              <w:rPr>
                <w:rFonts w:cs="Tahoma"/>
                <w:bCs/>
                <w:color w:val="000000"/>
                <w:szCs w:val="18"/>
              </w:rPr>
            </w:pPr>
            <w:r w:rsidRPr="0058047D">
              <w:rPr>
                <w:rFonts w:cs="Tahoma"/>
                <w:bCs/>
                <w:color w:val="000000"/>
                <w:szCs w:val="18"/>
              </w:rPr>
              <w:t>Licenza di Gestione Server per System Center Essentials 2010</w:t>
            </w:r>
          </w:p>
        </w:tc>
        <w:tc>
          <w:tcPr>
            <w:tcW w:w="4949" w:type="dxa"/>
            <w:hideMark/>
          </w:tcPr>
          <w:p w14:paraId="0AD833A8" w14:textId="77777777" w:rsidR="00A30254" w:rsidRPr="0058047D" w:rsidRDefault="00A30254" w:rsidP="00CE334A">
            <w:pPr>
              <w:ind w:left="162"/>
              <w:rPr>
                <w:rFonts w:cs="Tahoma"/>
                <w:bCs/>
                <w:color w:val="000000"/>
                <w:szCs w:val="18"/>
              </w:rPr>
            </w:pPr>
            <w:r w:rsidRPr="0058047D">
              <w:rPr>
                <w:rFonts w:cs="Tahoma"/>
                <w:bCs/>
                <w:color w:val="000000"/>
                <w:szCs w:val="18"/>
              </w:rPr>
              <w:t>una Licenza di Gestione Server per System Center 2012 Standard per ogni otto* licenze qualificanti</w:t>
            </w:r>
          </w:p>
        </w:tc>
      </w:tr>
      <w:tr w:rsidR="00A30254" w:rsidRPr="0058047D" w14:paraId="481AEDB7" w14:textId="77777777" w:rsidTr="00FE6686">
        <w:tc>
          <w:tcPr>
            <w:tcW w:w="3604" w:type="dxa"/>
            <w:hideMark/>
          </w:tcPr>
          <w:p w14:paraId="4764028F" w14:textId="77777777" w:rsidR="00A30254" w:rsidRPr="0058047D" w:rsidRDefault="00A30254" w:rsidP="00CE334A">
            <w:pPr>
              <w:ind w:left="162"/>
            </w:pPr>
            <w:r w:rsidRPr="0058047D">
              <w:rPr>
                <w:rFonts w:cs="Tahoma"/>
                <w:bCs/>
                <w:color w:val="000000"/>
                <w:szCs w:val="18"/>
              </w:rPr>
              <w:t>System Center Essentials 2010 Plus</w:t>
            </w:r>
          </w:p>
          <w:p w14:paraId="62C30BE7" w14:textId="77777777" w:rsidR="00A30254" w:rsidRPr="0058047D" w:rsidRDefault="00A30254" w:rsidP="00CE334A">
            <w:pPr>
              <w:ind w:left="162"/>
              <w:rPr>
                <w:rFonts w:cs="Tahoma"/>
                <w:bCs/>
                <w:color w:val="000000"/>
                <w:szCs w:val="18"/>
              </w:rPr>
            </w:pPr>
            <w:r w:rsidRPr="0058047D">
              <w:rPr>
                <w:rFonts w:cs="Tahoma"/>
                <w:bCs/>
                <w:color w:val="000000"/>
                <w:szCs w:val="18"/>
              </w:rPr>
              <w:t>Suite di Licenze di Gestione Server</w:t>
            </w:r>
          </w:p>
        </w:tc>
        <w:tc>
          <w:tcPr>
            <w:tcW w:w="4949" w:type="dxa"/>
            <w:hideMark/>
          </w:tcPr>
          <w:p w14:paraId="6FAC8298" w14:textId="77777777" w:rsidR="00A30254" w:rsidRPr="0058047D" w:rsidRDefault="00A30254" w:rsidP="00CE334A">
            <w:pPr>
              <w:ind w:left="162"/>
              <w:rPr>
                <w:rFonts w:cs="Tahoma"/>
                <w:bCs/>
                <w:color w:val="000000"/>
                <w:szCs w:val="18"/>
              </w:rPr>
            </w:pPr>
            <w:r w:rsidRPr="0058047D">
              <w:rPr>
                <w:rFonts w:cs="Tahoma"/>
                <w:bCs/>
                <w:color w:val="000000"/>
                <w:szCs w:val="18"/>
              </w:rPr>
              <w:t>una Licenza di Gestione Server per System Center 2012 Standard per ogni due** licenze qualificanti</w:t>
            </w:r>
          </w:p>
        </w:tc>
      </w:tr>
      <w:tr w:rsidR="00A30254" w:rsidRPr="0058047D" w14:paraId="306E3D62" w14:textId="77777777" w:rsidTr="00FE6686">
        <w:tc>
          <w:tcPr>
            <w:tcW w:w="3604" w:type="dxa"/>
            <w:hideMark/>
          </w:tcPr>
          <w:p w14:paraId="4C1E5FEB" w14:textId="77777777" w:rsidR="00A30254" w:rsidRPr="0058047D" w:rsidRDefault="00A30254" w:rsidP="00CE334A">
            <w:pPr>
              <w:ind w:left="162"/>
              <w:rPr>
                <w:rFonts w:cs="Tahoma"/>
                <w:bCs/>
                <w:color w:val="000000"/>
                <w:szCs w:val="18"/>
              </w:rPr>
            </w:pPr>
            <w:r w:rsidRPr="0058047D">
              <w:rPr>
                <w:rFonts w:cs="Tahoma"/>
                <w:bCs/>
                <w:color w:val="000000"/>
                <w:szCs w:val="18"/>
              </w:rPr>
              <w:t>Licenza di Gestione Client per System Center Essentials 2010</w:t>
            </w:r>
          </w:p>
        </w:tc>
        <w:tc>
          <w:tcPr>
            <w:tcW w:w="4949" w:type="dxa"/>
            <w:hideMark/>
          </w:tcPr>
          <w:p w14:paraId="44529D6D" w14:textId="77777777" w:rsidR="00A30254" w:rsidRPr="0058047D" w:rsidRDefault="00A30254" w:rsidP="00CE334A">
            <w:pPr>
              <w:ind w:left="162"/>
              <w:rPr>
                <w:rFonts w:cs="Tahoma"/>
                <w:bCs/>
                <w:color w:val="000000"/>
                <w:szCs w:val="18"/>
              </w:rPr>
            </w:pPr>
            <w:r w:rsidRPr="0058047D">
              <w:rPr>
                <w:rFonts w:cs="Tahoma"/>
                <w:bCs/>
                <w:color w:val="000000"/>
                <w:szCs w:val="18"/>
              </w:rPr>
              <w:t>una Licenza di Gestione Client per System Center 2012 Configuration Manager per ogni licenza qualificante</w:t>
            </w:r>
          </w:p>
        </w:tc>
      </w:tr>
      <w:tr w:rsidR="00A30254" w:rsidRPr="0058047D" w14:paraId="0268832D" w14:textId="77777777" w:rsidTr="00112425">
        <w:trPr>
          <w:cantSplit/>
        </w:trPr>
        <w:tc>
          <w:tcPr>
            <w:tcW w:w="3604" w:type="dxa"/>
            <w:hideMark/>
          </w:tcPr>
          <w:p w14:paraId="1035A9D4" w14:textId="77777777" w:rsidR="00A30254" w:rsidRPr="0058047D" w:rsidRDefault="00A30254" w:rsidP="00112425">
            <w:pPr>
              <w:keepNext/>
              <w:keepLines/>
              <w:ind w:left="158"/>
              <w:rPr>
                <w:rFonts w:cs="Tahoma"/>
                <w:bCs/>
                <w:color w:val="000000"/>
                <w:szCs w:val="18"/>
              </w:rPr>
            </w:pPr>
            <w:r w:rsidRPr="0058047D">
              <w:rPr>
                <w:rFonts w:cs="Tahoma"/>
                <w:bCs/>
                <w:color w:val="000000"/>
                <w:szCs w:val="18"/>
              </w:rPr>
              <w:t>Licenza di Gestione Client per System Center Essentials 2010 Plus</w:t>
            </w:r>
          </w:p>
        </w:tc>
        <w:tc>
          <w:tcPr>
            <w:tcW w:w="4949" w:type="dxa"/>
            <w:hideMark/>
          </w:tcPr>
          <w:p w14:paraId="75C0D998" w14:textId="77777777" w:rsidR="00A30254" w:rsidRPr="0058047D" w:rsidRDefault="00A30254" w:rsidP="00112425">
            <w:pPr>
              <w:keepNext/>
              <w:keepLines/>
              <w:ind w:left="158"/>
              <w:rPr>
                <w:rFonts w:cs="Tahoma"/>
                <w:bCs/>
                <w:color w:val="000000"/>
                <w:szCs w:val="18"/>
              </w:rPr>
            </w:pPr>
            <w:r w:rsidRPr="0058047D">
              <w:rPr>
                <w:rFonts w:cs="Tahoma"/>
                <w:bCs/>
                <w:color w:val="000000"/>
                <w:szCs w:val="18"/>
              </w:rPr>
              <w:t>una Licenza di Gestione Client per System Center 2012 Configuration Manager per ogni licenza qualificante</w:t>
            </w:r>
          </w:p>
        </w:tc>
      </w:tr>
      <w:tr w:rsidR="00A30254" w:rsidRPr="0058047D" w14:paraId="1E88003D" w14:textId="77777777" w:rsidTr="00112425">
        <w:trPr>
          <w:cantSplit/>
        </w:trPr>
        <w:tc>
          <w:tcPr>
            <w:tcW w:w="3604" w:type="dxa"/>
            <w:hideMark/>
          </w:tcPr>
          <w:p w14:paraId="7E7CF8A3" w14:textId="77777777" w:rsidR="00A30254" w:rsidRPr="0058047D" w:rsidRDefault="00A30254" w:rsidP="00112425">
            <w:pPr>
              <w:keepNext/>
              <w:keepLines/>
              <w:ind w:left="158"/>
              <w:rPr>
                <w:rFonts w:cs="Tahoma"/>
                <w:bCs/>
                <w:color w:val="000000"/>
                <w:szCs w:val="18"/>
              </w:rPr>
            </w:pPr>
            <w:r w:rsidRPr="0058047D">
              <w:rPr>
                <w:rFonts w:cs="Tahoma"/>
                <w:bCs/>
                <w:color w:val="000000"/>
                <w:szCs w:val="18"/>
              </w:rPr>
              <w:t>Licenza Server per Virtual Machine Manager Workgroup Edition</w:t>
            </w:r>
          </w:p>
        </w:tc>
        <w:tc>
          <w:tcPr>
            <w:tcW w:w="4949" w:type="dxa"/>
            <w:hideMark/>
          </w:tcPr>
          <w:p w14:paraId="1B5B7443" w14:textId="77777777" w:rsidR="00A30254" w:rsidRPr="0058047D" w:rsidRDefault="00A30254" w:rsidP="00112425">
            <w:pPr>
              <w:keepNext/>
              <w:keepLines/>
              <w:ind w:left="158"/>
              <w:rPr>
                <w:rFonts w:cs="Tahoma"/>
                <w:bCs/>
                <w:color w:val="000000"/>
                <w:szCs w:val="18"/>
              </w:rPr>
            </w:pPr>
            <w:r w:rsidRPr="0058047D">
              <w:rPr>
                <w:rFonts w:cs="Tahoma"/>
                <w:bCs/>
                <w:color w:val="000000"/>
                <w:szCs w:val="18"/>
              </w:rPr>
              <w:t>una Licenza di Gestione Server per System Center 2012 Standard per ogni due** licenze qualificanti</w:t>
            </w:r>
          </w:p>
        </w:tc>
      </w:tr>
    </w:tbl>
    <w:p w14:paraId="627DEC17" w14:textId="77777777" w:rsidR="00A30254" w:rsidRPr="0058047D" w:rsidRDefault="00A30254" w:rsidP="00A30254">
      <w:pPr>
        <w:pStyle w:val="EndnoteText"/>
      </w:pPr>
      <w:r w:rsidRPr="0058047D">
        <w:rPr>
          <w:rFonts w:ascii="Tahoma" w:hAnsi="Tahoma" w:cs="Tahoma"/>
          <w:i/>
          <w:sz w:val="16"/>
          <w:szCs w:val="16"/>
        </w:rPr>
        <w:t>*Il numero di licenze per le società con meno di otto licenze qualificanti verrà arrotondato a otto ai fini di determinare la loro concessione di licenza ai sensi della presente offerta.</w:t>
      </w:r>
      <w:r w:rsidR="00E34ED3" w:rsidRPr="0058047D">
        <w:rPr>
          <w:rFonts w:ascii="Tahoma" w:hAnsi="Tahoma" w:cs="Tahoma"/>
          <w:i/>
          <w:sz w:val="16"/>
          <w:szCs w:val="16"/>
        </w:rPr>
        <w:t xml:space="preserve"> </w:t>
      </w:r>
      <w:r w:rsidRPr="0058047D">
        <w:rPr>
          <w:rFonts w:ascii="Tahoma" w:hAnsi="Tahoma" w:cs="Tahoma"/>
          <w:i/>
          <w:sz w:val="16"/>
          <w:szCs w:val="16"/>
        </w:rPr>
        <w:t>Analogamente, il numero di licenze per le società con una quantità di licenze superiori a otto verrà arrotondato al multiplo di otto più vicino ai fini di determinare la loro concessione di licenza ai sensi della presente offerta.</w:t>
      </w:r>
    </w:p>
    <w:p w14:paraId="13D71695" w14:textId="77777777" w:rsidR="00A30254" w:rsidRPr="00FE6686" w:rsidRDefault="00A30254" w:rsidP="00A30254">
      <w:pPr>
        <w:pStyle w:val="EndnoteText"/>
        <w:rPr>
          <w:sz w:val="18"/>
          <w:szCs w:val="18"/>
        </w:rPr>
      </w:pPr>
    </w:p>
    <w:p w14:paraId="3D8A1F01" w14:textId="77777777" w:rsidR="00A30254" w:rsidRPr="00FE6686" w:rsidRDefault="00A30254" w:rsidP="00A30254">
      <w:pPr>
        <w:pStyle w:val="EndnoteText"/>
        <w:rPr>
          <w:spacing w:val="-4"/>
        </w:rPr>
      </w:pPr>
      <w:r w:rsidRPr="00FE6686">
        <w:rPr>
          <w:rFonts w:ascii="Tahoma" w:hAnsi="Tahoma" w:cs="Tahoma"/>
          <w:i/>
          <w:spacing w:val="-4"/>
          <w:sz w:val="16"/>
          <w:szCs w:val="16"/>
        </w:rPr>
        <w:t>**Il numero di licenze per le società con meno di due licenze qualificanti verrà arrotondato a due ai fini di determinare la loro concessione di licenza ai sensi della presente offerta.</w:t>
      </w:r>
      <w:r w:rsidR="00E34ED3" w:rsidRPr="00FE6686">
        <w:rPr>
          <w:rFonts w:ascii="Tahoma" w:hAnsi="Tahoma" w:cs="Tahoma"/>
          <w:i/>
          <w:spacing w:val="-4"/>
          <w:sz w:val="16"/>
          <w:szCs w:val="16"/>
        </w:rPr>
        <w:t xml:space="preserve"> </w:t>
      </w:r>
      <w:r w:rsidRPr="00FE6686">
        <w:rPr>
          <w:rFonts w:ascii="Tahoma" w:hAnsi="Tahoma" w:cs="Tahoma"/>
          <w:i/>
          <w:spacing w:val="-4"/>
          <w:sz w:val="16"/>
          <w:szCs w:val="16"/>
        </w:rPr>
        <w:t>Analogamente, il numero di licenze per le società con una quantità di licenze superiori a due verrà arrotondato al multiplo di due più vicino ai fini di determinare la loro concessione di licenza ai sensi della presente offerta.</w:t>
      </w:r>
    </w:p>
    <w:p w14:paraId="76D45123" w14:textId="77777777" w:rsidR="00A30254" w:rsidRPr="0058047D" w:rsidRDefault="00A30254" w:rsidP="00CE334A">
      <w:pPr>
        <w:spacing w:line="276" w:lineRule="auto"/>
      </w:pPr>
    </w:p>
    <w:p w14:paraId="4A399B82" w14:textId="77777777" w:rsidR="00A30254" w:rsidRPr="0058047D" w:rsidRDefault="00A30254" w:rsidP="00CE334A">
      <w:pPr>
        <w:pStyle w:val="EndnoteText"/>
        <w:ind w:left="720"/>
      </w:pPr>
      <w:r w:rsidRPr="0058047D">
        <w:rPr>
          <w:rFonts w:ascii="Tahoma" w:hAnsi="Tahoma" w:cs="Tahoma"/>
          <w:sz w:val="18"/>
          <w:szCs w:val="18"/>
        </w:rPr>
        <w:t>Tutte le licenze concesse ai sensi della presente offerta includeranno la copertura Software Assurance. Tale</w:t>
      </w:r>
      <w:r w:rsidR="00FE6686">
        <w:rPr>
          <w:rFonts w:ascii="Tahoma" w:hAnsi="Tahoma" w:cs="Tahoma"/>
          <w:sz w:val="18"/>
          <w:szCs w:val="18"/>
        </w:rPr>
        <w:t> </w:t>
      </w:r>
      <w:r w:rsidRPr="0058047D">
        <w:rPr>
          <w:rFonts w:ascii="Tahoma" w:hAnsi="Tahoma" w:cs="Tahoma"/>
          <w:sz w:val="18"/>
          <w:szCs w:val="18"/>
        </w:rPr>
        <w:t xml:space="preserve">copertura cesserà alla scadenza della copertura per le licenze per SCE qualificanti. Alla scadenza della copertura, le società potranno rinnovare Software Assurance per le licenze per System Center 2012. </w:t>
      </w:r>
    </w:p>
    <w:p w14:paraId="1F0FA45E" w14:textId="77777777" w:rsidR="00A30254" w:rsidRPr="0058047D" w:rsidRDefault="00A30254" w:rsidP="00CE334A">
      <w:pPr>
        <w:spacing w:line="276" w:lineRule="auto"/>
      </w:pPr>
    </w:p>
    <w:p w14:paraId="36217155" w14:textId="77777777" w:rsidR="00A30254" w:rsidRPr="0058047D" w:rsidRDefault="00A30254" w:rsidP="00CE334A">
      <w:pPr>
        <w:pStyle w:val="EndnoteText"/>
        <w:ind w:left="720"/>
      </w:pPr>
      <w:r w:rsidRPr="0058047D">
        <w:rPr>
          <w:rFonts w:ascii="Tahoma" w:hAnsi="Tahoma" w:cs="Tahoma"/>
          <w:sz w:val="18"/>
          <w:szCs w:val="18"/>
        </w:rPr>
        <w:t>L</w:t>
      </w:r>
      <w:r w:rsidR="001C4212">
        <w:rPr>
          <w:rFonts w:ascii="Tahoma" w:hAnsi="Tahoma" w:cs="Tahoma"/>
          <w:sz w:val="18"/>
          <w:szCs w:val="18"/>
        </w:rPr>
        <w:t>’</w:t>
      </w:r>
      <w:r w:rsidRPr="0058047D">
        <w:rPr>
          <w:rFonts w:ascii="Tahoma" w:hAnsi="Tahoma" w:cs="Tahoma"/>
          <w:sz w:val="18"/>
          <w:szCs w:val="18"/>
        </w:rPr>
        <w:t>utilizzo del software da parte della società ai sensi della presente offerta sarà soggetto alle condizioni del relativo contratto di licenza e ai diritti di utilizzo del prodotto relativi al software. Il diritto di utilizzo del software in concessione cesserà alla scadenza del diritto di utilizzo della licenza per SCE qualificante. Le società non potranno trasferire le licenze concesse ai sensi della presente offerta separatamente dalle licenze per SCE qualificanti corrispondenti.</w:t>
      </w:r>
    </w:p>
    <w:p w14:paraId="3C0592C9" w14:textId="77777777" w:rsidR="00A30254" w:rsidRPr="0058047D" w:rsidRDefault="00A30254" w:rsidP="00CE334A">
      <w:pPr>
        <w:pStyle w:val="EndnoteText"/>
        <w:ind w:left="720"/>
      </w:pPr>
    </w:p>
    <w:p w14:paraId="3CDCF8BE" w14:textId="77777777" w:rsidR="00A30254" w:rsidRPr="0058047D" w:rsidRDefault="00A30254" w:rsidP="00CE334A">
      <w:pPr>
        <w:ind w:left="720"/>
      </w:pPr>
      <w:r w:rsidRPr="0058047D">
        <w:rPr>
          <w:rFonts w:eastAsia="Calibri" w:cs="Tahoma"/>
          <w:color w:val="000000"/>
          <w:szCs w:val="18"/>
        </w:rPr>
        <w:t>Le licenze per SCE,</w:t>
      </w:r>
      <w:r w:rsidRPr="0058047D">
        <w:rPr>
          <w:rFonts w:cs="Tahoma"/>
          <w:bCs/>
          <w:szCs w:val="18"/>
        </w:rPr>
        <w:t xml:space="preserve"> acquistate dopo il 1 marzo 2013 nell</w:t>
      </w:r>
      <w:r w:rsidR="001C4212">
        <w:rPr>
          <w:rFonts w:cs="Tahoma"/>
          <w:bCs/>
          <w:szCs w:val="18"/>
        </w:rPr>
        <w:t>’</w:t>
      </w:r>
      <w:r w:rsidRPr="0058047D">
        <w:rPr>
          <w:rFonts w:cs="Tahoma"/>
          <w:bCs/>
          <w:szCs w:val="18"/>
        </w:rPr>
        <w:t xml:space="preserve">ambito di una procedura annuale di true-up della società per le Iscrizioni Enterprise o Enrollment for Education Solutions ai sensi delle quali le licenze per </w:t>
      </w:r>
      <w:r w:rsidRPr="0058047D">
        <w:rPr>
          <w:rFonts w:eastAsia="Calibri" w:cs="Tahoma"/>
          <w:color w:val="000000"/>
          <w:szCs w:val="18"/>
        </w:rPr>
        <w:t>SCE</w:t>
      </w:r>
      <w:r w:rsidRPr="0058047D">
        <w:rPr>
          <w:rFonts w:cs="Tahoma"/>
          <w:bCs/>
          <w:szCs w:val="18"/>
        </w:rPr>
        <w:t xml:space="preserve"> sono state inizialmente acquistate prima del 1 marzo 2013, sono anch</w:t>
      </w:r>
      <w:r w:rsidR="001C4212">
        <w:rPr>
          <w:rFonts w:cs="Tahoma"/>
          <w:bCs/>
          <w:szCs w:val="18"/>
        </w:rPr>
        <w:t>’</w:t>
      </w:r>
      <w:r w:rsidRPr="0058047D">
        <w:rPr>
          <w:rFonts w:cs="Tahoma"/>
          <w:bCs/>
          <w:szCs w:val="18"/>
        </w:rPr>
        <w:t>esse licenze per SCE qualificanti ai fini della presente concessione.</w:t>
      </w:r>
    </w:p>
    <w:p w14:paraId="043F750F" w14:textId="77777777" w:rsidR="00A30254" w:rsidRPr="0058047D" w:rsidRDefault="00A30254" w:rsidP="00CE334A">
      <w:pPr>
        <w:ind w:left="720"/>
      </w:pPr>
    </w:p>
    <w:p w14:paraId="117A605F" w14:textId="77777777" w:rsidR="00A30254" w:rsidRPr="0058047D" w:rsidRDefault="00A30254" w:rsidP="00CE334A">
      <w:pPr>
        <w:ind w:left="720"/>
      </w:pPr>
      <w:r w:rsidRPr="0058047D">
        <w:rPr>
          <w:rFonts w:cs="Tahoma"/>
          <w:bCs/>
          <w:szCs w:val="18"/>
        </w:rPr>
        <w:t>Per le società titolari di Contratti Enrollment for Education Solutions, Enterprise Subscription, Campus e School e Open Value Subscription, gli stessi diritti verranno concessi temporaneamente fino al termine del periodo di validità dell</w:t>
      </w:r>
      <w:r w:rsidR="001C4212">
        <w:rPr>
          <w:rFonts w:cs="Tahoma"/>
          <w:bCs/>
          <w:szCs w:val="18"/>
        </w:rPr>
        <w:t>’</w:t>
      </w:r>
      <w:r w:rsidRPr="0058047D">
        <w:rPr>
          <w:rFonts w:cs="Tahoma"/>
          <w:bCs/>
          <w:szCs w:val="18"/>
        </w:rPr>
        <w:t>iscrizione della licenza, purché le Licenze e la copertura Software Assurance siano valide durante il periodo di concessione e la società mantenga la copertura della sottoscrizione in via continuativa.</w:t>
      </w:r>
      <w:r w:rsidR="00E34ED3" w:rsidRPr="0058047D">
        <w:rPr>
          <w:rFonts w:cs="Tahoma"/>
          <w:bCs/>
          <w:szCs w:val="18"/>
        </w:rPr>
        <w:t xml:space="preserve"> </w:t>
      </w:r>
      <w:r w:rsidRPr="0058047D">
        <w:rPr>
          <w:rFonts w:cs="Tahoma"/>
          <w:bCs/>
          <w:szCs w:val="18"/>
        </w:rPr>
        <w:t>Tali diritti diventeranno permanenti soltanto all</w:t>
      </w:r>
      <w:r w:rsidR="001C4212">
        <w:rPr>
          <w:rFonts w:cs="Tahoma"/>
          <w:bCs/>
          <w:szCs w:val="18"/>
        </w:rPr>
        <w:t>’</w:t>
      </w:r>
      <w:r w:rsidRPr="0058047D">
        <w:rPr>
          <w:rFonts w:cs="Tahoma"/>
          <w:bCs/>
          <w:szCs w:val="18"/>
        </w:rPr>
        <w:t>esercizio dell</w:t>
      </w:r>
      <w:r w:rsidR="001C4212">
        <w:rPr>
          <w:rFonts w:cs="Tahoma"/>
          <w:bCs/>
          <w:szCs w:val="18"/>
        </w:rPr>
        <w:t>’</w:t>
      </w:r>
      <w:r w:rsidRPr="0058047D">
        <w:rPr>
          <w:rFonts w:cs="Tahoma"/>
          <w:bCs/>
          <w:szCs w:val="18"/>
        </w:rPr>
        <w:t>opzione buy-out e resteranno soggetti a tutte le condizioni del contratto di licenza della società.</w:t>
      </w:r>
    </w:p>
    <w:p w14:paraId="1ECFDE87" w14:textId="77777777" w:rsidR="00A30254" w:rsidRPr="0058047D" w:rsidRDefault="00A30254" w:rsidP="00602EF4">
      <w:pPr>
        <w:spacing w:after="60"/>
        <w:ind w:left="720"/>
      </w:pPr>
    </w:p>
    <w:p w14:paraId="2798957F" w14:textId="77777777" w:rsidR="00CE2BD2" w:rsidRPr="0058047D" w:rsidRDefault="00CE2BD2" w:rsidP="006D6A83">
      <w:pPr>
        <w:spacing w:after="60"/>
        <w:ind w:left="720"/>
      </w:pPr>
      <w:r w:rsidRPr="0058047D">
        <w:rPr>
          <w:rFonts w:cs="Tahoma"/>
          <w:b/>
          <w:color w:val="000000"/>
          <w:szCs w:val="20"/>
        </w:rPr>
        <w:t>Percorso di Migrazione da System Center Essentials 2007 (SCE 2007) a System Center Essentials 2010 (SCE 2010)</w:t>
      </w:r>
    </w:p>
    <w:p w14:paraId="23ABE24F" w14:textId="77777777" w:rsidR="00A30254" w:rsidRPr="0058047D" w:rsidRDefault="00A30254" w:rsidP="00A30254">
      <w:pPr>
        <w:ind w:left="720"/>
      </w:pPr>
      <w:r w:rsidRPr="0058047D">
        <w:rPr>
          <w:rFonts w:cs="Tahoma"/>
          <w:color w:val="000000"/>
          <w:szCs w:val="20"/>
        </w:rPr>
        <w:t>Per le condizioni che disciplinano il diritto delle società di eseguire l</w:t>
      </w:r>
      <w:r w:rsidR="001C4212">
        <w:rPr>
          <w:rFonts w:cs="Tahoma"/>
          <w:color w:val="000000"/>
          <w:szCs w:val="20"/>
        </w:rPr>
        <w:t>’</w:t>
      </w:r>
      <w:r w:rsidRPr="0058047D">
        <w:rPr>
          <w:rFonts w:cs="Tahoma"/>
          <w:color w:val="000000"/>
          <w:szCs w:val="20"/>
        </w:rPr>
        <w:t>aggiornamento a SCE 2010 da SCE 2007 ai sensi della copertura Software Assurance, vedere la Lista dei Prodotti del mese di febbraio 2013.</w:t>
      </w:r>
    </w:p>
    <w:p w14:paraId="1415BAE2" w14:textId="77777777" w:rsidR="00CE2BD2" w:rsidRPr="0058047D" w:rsidRDefault="00CE2BD2" w:rsidP="0037081F">
      <w:pPr>
        <w:ind w:left="720"/>
      </w:pPr>
    </w:p>
    <w:p w14:paraId="20AF1CD6" w14:textId="77777777" w:rsidR="00CE2BD2" w:rsidRPr="0058047D" w:rsidRDefault="00CE2BD2" w:rsidP="00CE2BD2">
      <w:pPr>
        <w:ind w:left="720"/>
      </w:pPr>
    </w:p>
    <w:p w14:paraId="78F20213" w14:textId="77777777" w:rsidR="00ED5504" w:rsidRPr="0058047D" w:rsidRDefault="00A560B6" w:rsidP="00ED5504">
      <w:pPr>
        <w:pStyle w:val="Heading3"/>
      </w:pPr>
      <w:bookmarkStart w:id="1470" w:name="_80_System_Center"/>
      <w:bookmarkStart w:id="1471" w:name="_95_System_Center"/>
      <w:bookmarkStart w:id="1472" w:name="_81_System_Center"/>
      <w:bookmarkStart w:id="1473" w:name="_82_System_Center"/>
      <w:bookmarkStart w:id="1474" w:name="_83_System_Center"/>
      <w:bookmarkStart w:id="1475" w:name="_84__System"/>
      <w:bookmarkStart w:id="1476" w:name="_87_85_System"/>
      <w:bookmarkStart w:id="1477" w:name="_92_System_Center"/>
      <w:bookmarkStart w:id="1478" w:name="_Toc336338353"/>
      <w:bookmarkStart w:id="1479" w:name="_Toc371663744"/>
      <w:bookmarkStart w:id="1480" w:name="Srv_88SystemCtrReportMgr2006"/>
      <w:bookmarkStart w:id="1481" w:name="Srv_89SysCtrSvrMgmtSuiteEnterprise"/>
      <w:bookmarkEnd w:id="1470"/>
      <w:bookmarkEnd w:id="1471"/>
      <w:bookmarkEnd w:id="1472"/>
      <w:bookmarkEnd w:id="1473"/>
      <w:bookmarkEnd w:id="1474"/>
      <w:bookmarkEnd w:id="1475"/>
      <w:bookmarkEnd w:id="1476"/>
      <w:bookmarkEnd w:id="1477"/>
      <w:r w:rsidRPr="0058047D">
        <w:rPr>
          <w:rFonts w:ascii="Tahoma" w:hAnsi="Tahoma"/>
          <w:caps/>
          <w:color w:val="F66400"/>
          <w:sz w:val="22"/>
          <w:vertAlign w:val="superscript"/>
        </w:rPr>
        <w:t>91</w:t>
      </w:r>
      <w:r w:rsidRPr="0058047D">
        <w:rPr>
          <w:rFonts w:ascii="Tahoma" w:hAnsi="Tahoma"/>
          <w:color w:val="F66400"/>
          <w:sz w:val="22"/>
        </w:rPr>
        <w:t xml:space="preserve"> System Center Reporting Manager 2006</w:t>
      </w:r>
      <w:bookmarkEnd w:id="1478"/>
      <w:bookmarkEnd w:id="1479"/>
    </w:p>
    <w:bookmarkEnd w:id="1480"/>
    <w:p w14:paraId="774685EA" w14:textId="77777777" w:rsidR="00ED5504" w:rsidRPr="0058047D" w:rsidRDefault="00ED5504" w:rsidP="00D511CC">
      <w:pPr>
        <w:pStyle w:val="EndnoteText"/>
        <w:ind w:left="0"/>
      </w:pPr>
    </w:p>
    <w:p w14:paraId="678C5B51" w14:textId="77777777" w:rsidR="00ED5504" w:rsidRPr="0058047D" w:rsidRDefault="00ED5504" w:rsidP="00D511CC">
      <w:pPr>
        <w:pStyle w:val="EndnoteText"/>
        <w:ind w:left="720"/>
      </w:pPr>
      <w:r w:rsidRPr="0058047D">
        <w:rPr>
          <w:rFonts w:ascii="Tahoma" w:hAnsi="Tahoma" w:cs="Tahoma"/>
          <w:sz w:val="18"/>
        </w:rPr>
        <w:t>Prodotto End-Of-Life (EOL) che non verrà più offerto.</w:t>
      </w:r>
    </w:p>
    <w:p w14:paraId="0E980F44" w14:textId="77777777" w:rsidR="00ED5504" w:rsidRPr="0058047D" w:rsidRDefault="00ED5504" w:rsidP="00D511CC">
      <w:pPr>
        <w:pStyle w:val="EndnoteText"/>
        <w:ind w:left="720"/>
      </w:pPr>
    </w:p>
    <w:p w14:paraId="7A8E5933" w14:textId="77777777" w:rsidR="00ED5504" w:rsidRPr="0058047D" w:rsidRDefault="00ED5504" w:rsidP="00D511CC">
      <w:pPr>
        <w:pStyle w:val="EndnoteText"/>
        <w:spacing w:after="60"/>
        <w:ind w:left="720"/>
      </w:pPr>
      <w:r w:rsidRPr="0058047D">
        <w:rPr>
          <w:rFonts w:ascii="Tahoma" w:hAnsi="Tahoma" w:cs="Tahoma"/>
          <w:b/>
          <w:sz w:val="18"/>
        </w:rPr>
        <w:t>Concessione di una Licenza Una Tantum ai Titolari di Licenza per System Center Reporting Manager 2006</w:t>
      </w:r>
    </w:p>
    <w:p w14:paraId="4200EDE4" w14:textId="77777777" w:rsidR="00ED5504" w:rsidRPr="0058047D" w:rsidRDefault="00ED5504" w:rsidP="00D511CC">
      <w:pPr>
        <w:pStyle w:val="EndnoteText"/>
        <w:ind w:left="720"/>
      </w:pPr>
      <w:r w:rsidRPr="0058047D">
        <w:rPr>
          <w:rFonts w:ascii="Tahoma" w:hAnsi="Tahoma" w:cs="Tahoma"/>
          <w:sz w:val="18"/>
        </w:rPr>
        <w:t>Come eccezione una tantum legata all</w:t>
      </w:r>
      <w:r w:rsidR="001C4212">
        <w:rPr>
          <w:rFonts w:ascii="Tahoma" w:hAnsi="Tahoma" w:cs="Tahoma"/>
          <w:sz w:val="18"/>
        </w:rPr>
        <w:t>’</w:t>
      </w:r>
      <w:r w:rsidRPr="0058047D">
        <w:rPr>
          <w:rFonts w:ascii="Tahoma" w:hAnsi="Tahoma" w:cs="Tahoma"/>
          <w:sz w:val="18"/>
        </w:rPr>
        <w:t>interruzione di System Center Reporting Manager 2006, Microsoft concederà alle società in possesso di contratti Select, Enterprise, Open License, Open Value e Campus e School e con copertura Software Assurance attiva per ogni licenza di System Center Reporting Manager 2006 al 31 maggio 2010, le seguenti licenze senza alcuna spesa aggiuntiva che non siano i costi (eventuali) dei supporti di memorizzazione</w:t>
      </w:r>
      <w:r w:rsidRPr="0058047D">
        <w:rPr>
          <w:rFonts w:ascii="Tahoma" w:hAnsi="Tahoma" w:cs="Tahoma"/>
          <w:color w:val="000000"/>
          <w:sz w:val="18"/>
          <w:szCs w:val="20"/>
        </w:rPr>
        <w:t>:</w:t>
      </w:r>
    </w:p>
    <w:p w14:paraId="38B3211D" w14:textId="77777777" w:rsidR="00ED5504" w:rsidRPr="0058047D" w:rsidRDefault="00ED5504" w:rsidP="00D511CC">
      <w:pPr>
        <w:pStyle w:val="EndnoteText"/>
      </w:pPr>
    </w:p>
    <w:p w14:paraId="4B0A34D8" w14:textId="77777777" w:rsidR="00ED5504" w:rsidRPr="0058047D" w:rsidRDefault="00ED5504" w:rsidP="00D511CC">
      <w:pPr>
        <w:pStyle w:val="EndnoteText"/>
        <w:numPr>
          <w:ilvl w:val="0"/>
          <w:numId w:val="7"/>
        </w:numPr>
        <w:tabs>
          <w:tab w:val="left" w:pos="1440"/>
        </w:tabs>
        <w:spacing w:after="60"/>
        <w:ind w:left="1440"/>
      </w:pPr>
      <w:r w:rsidRPr="0058047D">
        <w:rPr>
          <w:rFonts w:ascii="Tahoma" w:hAnsi="Tahoma" w:cs="Tahoma"/>
          <w:sz w:val="18"/>
        </w:rPr>
        <w:t>Una licenza di Gestione Server per System Center Service Manager 2010 (senza Tecnologia SQL)</w:t>
      </w:r>
    </w:p>
    <w:p w14:paraId="619A1E1B" w14:textId="77777777" w:rsidR="00ED5504" w:rsidRPr="0058047D" w:rsidRDefault="00ED5504" w:rsidP="00D511CC">
      <w:pPr>
        <w:pStyle w:val="EndnoteText"/>
        <w:numPr>
          <w:ilvl w:val="0"/>
          <w:numId w:val="7"/>
        </w:numPr>
        <w:spacing w:after="60"/>
        <w:ind w:left="1440"/>
      </w:pPr>
      <w:r w:rsidRPr="0058047D">
        <w:rPr>
          <w:rFonts w:ascii="Tahoma" w:hAnsi="Tahoma" w:cs="Tahoma"/>
          <w:sz w:val="18"/>
        </w:rPr>
        <w:t>Cinque licenze di Gestione Server per System Center Service Manager 2010</w:t>
      </w:r>
    </w:p>
    <w:p w14:paraId="7081D144" w14:textId="77777777" w:rsidR="00ED5504" w:rsidRPr="0058047D" w:rsidRDefault="00ED5504" w:rsidP="00D511CC">
      <w:pPr>
        <w:pStyle w:val="EndnoteText"/>
        <w:numPr>
          <w:ilvl w:val="0"/>
          <w:numId w:val="7"/>
        </w:numPr>
        <w:spacing w:after="60"/>
        <w:ind w:left="1440"/>
      </w:pPr>
      <w:r w:rsidRPr="0058047D">
        <w:rPr>
          <w:rFonts w:ascii="Tahoma" w:hAnsi="Tahoma" w:cs="Tahoma"/>
          <w:sz w:val="18"/>
        </w:rPr>
        <w:t>Trenta licenze di Gestione Client per System Center Service Manager 2010</w:t>
      </w:r>
    </w:p>
    <w:p w14:paraId="3F460747" w14:textId="77777777" w:rsidR="00ED5504" w:rsidRPr="0058047D" w:rsidRDefault="00ED5504" w:rsidP="00D511CC">
      <w:pPr>
        <w:pStyle w:val="EndnoteText"/>
        <w:ind w:left="720"/>
      </w:pPr>
      <w:r w:rsidRPr="0058047D">
        <w:rPr>
          <w:rFonts w:ascii="Tahoma" w:hAnsi="Tahoma" w:cs="Tahoma"/>
          <w:sz w:val="18"/>
        </w:rPr>
        <w:t xml:space="preserve">Tutte le licenze concesse ai sensi della presente offerta includeranno la copertura Software Assurance. Tale copertura cesserà alla scadenza della copertura System Center Reporting Manager 2006 corrispondente. Alla scadenza della copertura, le società potranno rinnovare Software Assurance sulle licenze concesse. </w:t>
      </w:r>
    </w:p>
    <w:p w14:paraId="7C920615" w14:textId="77777777" w:rsidR="00ED5504" w:rsidRPr="0058047D" w:rsidRDefault="00ED5504" w:rsidP="00D511CC">
      <w:pPr>
        <w:pStyle w:val="EndnoteText"/>
        <w:ind w:left="720"/>
      </w:pPr>
    </w:p>
    <w:p w14:paraId="090044ED" w14:textId="77777777" w:rsidR="00ED5504" w:rsidRPr="0058047D" w:rsidRDefault="00ED5504" w:rsidP="00D511CC">
      <w:pPr>
        <w:pStyle w:val="EndnoteText"/>
        <w:ind w:left="720"/>
      </w:pPr>
      <w:r w:rsidRPr="0058047D">
        <w:rPr>
          <w:rFonts w:ascii="Tahoma" w:hAnsi="Tahoma" w:cs="Tahoma"/>
          <w:sz w:val="18"/>
        </w:rPr>
        <w:t>L</w:t>
      </w:r>
      <w:r w:rsidR="001C4212">
        <w:rPr>
          <w:rFonts w:ascii="Tahoma" w:hAnsi="Tahoma" w:cs="Tahoma"/>
          <w:sz w:val="18"/>
        </w:rPr>
        <w:t>’</w:t>
      </w:r>
      <w:r w:rsidRPr="0058047D">
        <w:rPr>
          <w:rFonts w:ascii="Tahoma" w:hAnsi="Tahoma" w:cs="Tahoma"/>
          <w:sz w:val="18"/>
        </w:rPr>
        <w:t>utilizzo del software da parte della società ai sensi della presente offerta sarà soggetto alle condizioni del</w:t>
      </w:r>
      <w:r w:rsidR="00FE6686">
        <w:rPr>
          <w:rFonts w:ascii="Tahoma" w:hAnsi="Tahoma" w:cs="Tahoma"/>
          <w:sz w:val="18"/>
        </w:rPr>
        <w:t> </w:t>
      </w:r>
      <w:r w:rsidRPr="0058047D">
        <w:rPr>
          <w:rFonts w:ascii="Tahoma" w:hAnsi="Tahoma" w:cs="Tahoma"/>
          <w:sz w:val="18"/>
        </w:rPr>
        <w:t>relativo contratto di licenza e ai diritti di utilizzo del prodotto relativi al software. Il diritto di utilizzo del</w:t>
      </w:r>
      <w:r w:rsidR="00FE6686">
        <w:rPr>
          <w:rFonts w:ascii="Tahoma" w:hAnsi="Tahoma" w:cs="Tahoma"/>
          <w:sz w:val="18"/>
        </w:rPr>
        <w:t> </w:t>
      </w:r>
      <w:r w:rsidRPr="0058047D">
        <w:rPr>
          <w:rFonts w:ascii="Tahoma" w:hAnsi="Tahoma" w:cs="Tahoma"/>
          <w:sz w:val="18"/>
        </w:rPr>
        <w:t>software concesso scadrà alla scadenza del diritto di utilizzo della licenza per System Center Reporting Manager 2006 qualificante. Le società non potranno trasferire le licenze concesse in virtù della presente offerta separatamente dalle licenze qualificanti corrispondenti.</w:t>
      </w:r>
    </w:p>
    <w:p w14:paraId="6A60DDC9" w14:textId="77777777" w:rsidR="00ED5504" w:rsidRDefault="00ED5504" w:rsidP="00D511CC">
      <w:pPr>
        <w:pStyle w:val="EndnoteText"/>
        <w:ind w:left="720"/>
      </w:pPr>
    </w:p>
    <w:p w14:paraId="21294FDF" w14:textId="77777777" w:rsidR="00ED5504" w:rsidRPr="0058047D" w:rsidRDefault="00ED5504" w:rsidP="00D511CC">
      <w:pPr>
        <w:ind w:left="720"/>
      </w:pPr>
      <w:r w:rsidRPr="0058047D">
        <w:rPr>
          <w:rFonts w:eastAsia="Calibri" w:cs="Tahoma"/>
          <w:color w:val="000000"/>
          <w:szCs w:val="18"/>
        </w:rPr>
        <w:t>Le licenze per System Center Reporting Manager 2006,</w:t>
      </w:r>
      <w:r w:rsidRPr="0058047D">
        <w:rPr>
          <w:rFonts w:cs="Tahoma"/>
          <w:bCs/>
          <w:szCs w:val="18"/>
        </w:rPr>
        <w:t xml:space="preserve"> acquistate dopo il 31 maggio 2010 nell</w:t>
      </w:r>
      <w:r w:rsidR="001C4212">
        <w:rPr>
          <w:rFonts w:cs="Tahoma"/>
          <w:bCs/>
          <w:szCs w:val="18"/>
        </w:rPr>
        <w:t>’</w:t>
      </w:r>
      <w:r w:rsidRPr="0058047D">
        <w:rPr>
          <w:rFonts w:cs="Tahoma"/>
          <w:bCs/>
          <w:szCs w:val="18"/>
        </w:rPr>
        <w:t xml:space="preserve">ambito del processo annuale di true-up per le Iscrizioni Enterprise ai sensi delle quali le licenze per </w:t>
      </w:r>
      <w:r w:rsidRPr="0058047D">
        <w:rPr>
          <w:rFonts w:eastAsia="Calibri" w:cs="Tahoma"/>
          <w:color w:val="000000"/>
          <w:szCs w:val="18"/>
        </w:rPr>
        <w:t>System Center Reporting Manager 2006</w:t>
      </w:r>
      <w:r w:rsidRPr="0058047D">
        <w:rPr>
          <w:rFonts w:cs="Tahoma"/>
          <w:bCs/>
          <w:szCs w:val="18"/>
        </w:rPr>
        <w:t xml:space="preserve"> sono state inizialmente acquistate prima del 31 maggio 2010, sono anch</w:t>
      </w:r>
      <w:r w:rsidR="001C4212">
        <w:rPr>
          <w:rFonts w:cs="Tahoma"/>
          <w:bCs/>
          <w:szCs w:val="18"/>
        </w:rPr>
        <w:t>’</w:t>
      </w:r>
      <w:r w:rsidRPr="0058047D">
        <w:rPr>
          <w:rFonts w:cs="Tahoma"/>
          <w:bCs/>
          <w:szCs w:val="18"/>
        </w:rPr>
        <w:t>esse idonee a ricevere le licenze Server di Gestione per System Center Service Manager 2010 e le licenze di Gestione Client/Server in base alla presente offerta.</w:t>
      </w:r>
    </w:p>
    <w:p w14:paraId="48E9EE69" w14:textId="77777777" w:rsidR="00ED5504" w:rsidRPr="0058047D" w:rsidRDefault="00ED5504" w:rsidP="00D511CC">
      <w:pPr>
        <w:ind w:left="720"/>
      </w:pPr>
    </w:p>
    <w:p w14:paraId="516C0829" w14:textId="77777777" w:rsidR="00ED5504" w:rsidRPr="00112425" w:rsidRDefault="00ED5504" w:rsidP="00D511CC">
      <w:pPr>
        <w:pStyle w:val="EndnoteText"/>
        <w:ind w:left="720"/>
        <w:rPr>
          <w:spacing w:val="-2"/>
        </w:rPr>
      </w:pPr>
      <w:r w:rsidRPr="00112425">
        <w:rPr>
          <w:rFonts w:ascii="Tahoma" w:hAnsi="Tahoma" w:cs="Tahoma"/>
          <w:bCs/>
          <w:spacing w:val="-2"/>
          <w:sz w:val="18"/>
          <w:szCs w:val="18"/>
        </w:rPr>
        <w:t>Per Contratti Enterprise Subscription, Campus e School e Open Value Subscription, gli stessi diritti verranno concessi temporaneamente fino al termine del periodo di validità dell</w:t>
      </w:r>
      <w:r w:rsidR="001C4212" w:rsidRPr="00112425">
        <w:rPr>
          <w:rFonts w:ascii="Tahoma" w:hAnsi="Tahoma" w:cs="Tahoma"/>
          <w:bCs/>
          <w:spacing w:val="-2"/>
          <w:sz w:val="18"/>
          <w:szCs w:val="18"/>
        </w:rPr>
        <w:t>’</w:t>
      </w:r>
      <w:r w:rsidRPr="00112425">
        <w:rPr>
          <w:rFonts w:ascii="Tahoma" w:hAnsi="Tahoma" w:cs="Tahoma"/>
          <w:bCs/>
          <w:spacing w:val="-2"/>
          <w:sz w:val="18"/>
          <w:szCs w:val="18"/>
        </w:rPr>
        <w:t>iscrizione della licenza, qualora le Licenze e la copertura Software Assurance siano valide durante il periodo di concessione e la società mantenga la copertura dell</w:t>
      </w:r>
      <w:r w:rsidR="001C4212" w:rsidRPr="00112425">
        <w:rPr>
          <w:rFonts w:ascii="Tahoma" w:hAnsi="Tahoma" w:cs="Tahoma"/>
          <w:bCs/>
          <w:spacing w:val="-2"/>
          <w:sz w:val="18"/>
          <w:szCs w:val="18"/>
        </w:rPr>
        <w:t>’</w:t>
      </w:r>
      <w:r w:rsidRPr="00112425">
        <w:rPr>
          <w:rFonts w:ascii="Tahoma" w:hAnsi="Tahoma" w:cs="Tahoma"/>
          <w:bCs/>
          <w:spacing w:val="-2"/>
          <w:sz w:val="18"/>
          <w:szCs w:val="18"/>
        </w:rPr>
        <w:t>abbonamento in via continuativa.</w:t>
      </w:r>
      <w:r w:rsidR="00E34ED3" w:rsidRPr="00112425">
        <w:rPr>
          <w:rFonts w:ascii="Tahoma" w:hAnsi="Tahoma" w:cs="Tahoma"/>
          <w:bCs/>
          <w:spacing w:val="-2"/>
          <w:sz w:val="18"/>
          <w:szCs w:val="18"/>
        </w:rPr>
        <w:t xml:space="preserve"> </w:t>
      </w:r>
      <w:r w:rsidRPr="00112425">
        <w:rPr>
          <w:rFonts w:ascii="Tahoma" w:hAnsi="Tahoma" w:cs="Tahoma"/>
          <w:bCs/>
          <w:spacing w:val="-2"/>
          <w:sz w:val="18"/>
          <w:szCs w:val="18"/>
        </w:rPr>
        <w:t>Tali diritti diventeranno permanenti soltanto all</w:t>
      </w:r>
      <w:r w:rsidR="001C4212" w:rsidRPr="00112425">
        <w:rPr>
          <w:rFonts w:ascii="Tahoma" w:hAnsi="Tahoma" w:cs="Tahoma"/>
          <w:bCs/>
          <w:spacing w:val="-2"/>
          <w:sz w:val="18"/>
          <w:szCs w:val="18"/>
        </w:rPr>
        <w:t>’</w:t>
      </w:r>
      <w:r w:rsidRPr="00112425">
        <w:rPr>
          <w:rFonts w:ascii="Tahoma" w:hAnsi="Tahoma" w:cs="Tahoma"/>
          <w:bCs/>
          <w:spacing w:val="-2"/>
          <w:sz w:val="18"/>
          <w:szCs w:val="18"/>
        </w:rPr>
        <w:t>esercizio dell</w:t>
      </w:r>
      <w:r w:rsidR="001C4212" w:rsidRPr="00112425">
        <w:rPr>
          <w:rFonts w:ascii="Tahoma" w:hAnsi="Tahoma" w:cs="Tahoma"/>
          <w:bCs/>
          <w:spacing w:val="-2"/>
          <w:sz w:val="18"/>
          <w:szCs w:val="18"/>
        </w:rPr>
        <w:t>’</w:t>
      </w:r>
      <w:r w:rsidRPr="00112425">
        <w:rPr>
          <w:rFonts w:ascii="Tahoma" w:hAnsi="Tahoma" w:cs="Tahoma"/>
          <w:bCs/>
          <w:spacing w:val="-2"/>
          <w:sz w:val="18"/>
          <w:szCs w:val="18"/>
        </w:rPr>
        <w:t>opzione buy-out e resteranno soggetti a tutte le condizioni del contratto di licenza della società.</w:t>
      </w:r>
    </w:p>
    <w:p w14:paraId="3881FAD1" w14:textId="77777777" w:rsidR="00023FE7" w:rsidRPr="0058047D" w:rsidRDefault="00023FE7" w:rsidP="00D511CC">
      <w:pPr>
        <w:pStyle w:val="EndnoteText"/>
      </w:pPr>
    </w:p>
    <w:p w14:paraId="6D7FE94F" w14:textId="77777777" w:rsidR="00ED5504" w:rsidRPr="0058047D" w:rsidRDefault="00ED5504">
      <w:pPr>
        <w:pStyle w:val="EndnoteText"/>
      </w:pPr>
    </w:p>
    <w:p w14:paraId="5F265D2E" w14:textId="77777777" w:rsidR="00023FE7" w:rsidRPr="0058047D" w:rsidRDefault="00A560B6">
      <w:pPr>
        <w:pStyle w:val="Heading3"/>
      </w:pPr>
      <w:bookmarkStart w:id="1482" w:name="Srv_85SysCtrSvrMgmtSuiteEnterprise"/>
      <w:bookmarkStart w:id="1483" w:name="_85_System_Center"/>
      <w:bookmarkStart w:id="1484" w:name="_98_System_Center"/>
      <w:bookmarkStart w:id="1485" w:name="_93_System_Center"/>
      <w:bookmarkStart w:id="1486" w:name="_Toc336338354"/>
      <w:bookmarkStart w:id="1487" w:name="_Toc371663745"/>
      <w:bookmarkEnd w:id="1482"/>
      <w:bookmarkEnd w:id="1483"/>
      <w:bookmarkEnd w:id="1484"/>
      <w:bookmarkEnd w:id="1485"/>
      <w:r w:rsidRPr="0058047D">
        <w:rPr>
          <w:rFonts w:ascii="Tahoma" w:hAnsi="Tahoma"/>
          <w:caps/>
          <w:color w:val="F66400"/>
          <w:sz w:val="22"/>
          <w:vertAlign w:val="superscript"/>
        </w:rPr>
        <w:t xml:space="preserve">92 </w:t>
      </w:r>
      <w:r w:rsidRPr="0058047D">
        <w:rPr>
          <w:rFonts w:ascii="Tahoma" w:hAnsi="Tahoma"/>
          <w:color w:val="F66400"/>
          <w:sz w:val="22"/>
        </w:rPr>
        <w:t>System Center Server Management Suite Enterprise</w:t>
      </w:r>
      <w:bookmarkEnd w:id="1486"/>
      <w:bookmarkEnd w:id="1487"/>
    </w:p>
    <w:bookmarkEnd w:id="1481"/>
    <w:p w14:paraId="5DD193B0" w14:textId="77777777" w:rsidR="00023FE7" w:rsidRPr="0058047D" w:rsidRDefault="00023FE7" w:rsidP="00D511CC">
      <w:pPr>
        <w:pStyle w:val="EndnoteText"/>
        <w:ind w:left="720"/>
      </w:pPr>
    </w:p>
    <w:p w14:paraId="4C1BA8F1" w14:textId="77777777" w:rsidR="00FF4CAB" w:rsidRPr="0058047D" w:rsidRDefault="00FF4CAB" w:rsidP="00D511CC">
      <w:pPr>
        <w:pStyle w:val="EndnoteText"/>
        <w:ind w:left="720"/>
      </w:pPr>
      <w:r w:rsidRPr="0058047D">
        <w:rPr>
          <w:rFonts w:ascii="Tahoma" w:hAnsi="Tahoma" w:cs="Tahoma"/>
          <w:color w:val="000000"/>
          <w:sz w:val="18"/>
        </w:rPr>
        <w:t>Prodotto End-Of-Life (EOL) che non verrà più offerto.</w:t>
      </w:r>
    </w:p>
    <w:p w14:paraId="5C2D15DE" w14:textId="77777777" w:rsidR="00D511CC" w:rsidRPr="0058047D" w:rsidRDefault="00D511CC" w:rsidP="00D511CC">
      <w:pPr>
        <w:pStyle w:val="EndnoteText"/>
        <w:ind w:left="720"/>
      </w:pPr>
    </w:p>
    <w:p w14:paraId="48ACCA34" w14:textId="77777777" w:rsidR="00FF4CAB" w:rsidRPr="0058047D" w:rsidRDefault="00FF4CAB" w:rsidP="00112425">
      <w:pPr>
        <w:pStyle w:val="FootnoteBulletLevel1"/>
        <w:tabs>
          <w:tab w:val="clear" w:pos="900"/>
        </w:tabs>
        <w:spacing w:before="0" w:after="60"/>
        <w:ind w:left="720" w:firstLine="0"/>
      </w:pPr>
      <w:r w:rsidRPr="0058047D">
        <w:rPr>
          <w:rFonts w:ascii="Tahoma" w:hAnsi="Tahoma" w:cs="Tahoma"/>
          <w:b/>
          <w:sz w:val="18"/>
        </w:rPr>
        <w:t>Dettagli relativi alla Concessione di una Licenza Transitoria Una Tantum per System Center</w:t>
      </w:r>
      <w:r w:rsidR="00112425">
        <w:rPr>
          <w:rFonts w:ascii="Tahoma" w:hAnsi="Tahoma" w:cs="Tahoma"/>
          <w:b/>
          <w:sz w:val="18"/>
        </w:rPr>
        <w:t> </w:t>
      </w:r>
      <w:r w:rsidRPr="0058047D">
        <w:rPr>
          <w:rFonts w:ascii="Tahoma" w:hAnsi="Tahoma" w:cs="Tahoma"/>
          <w:b/>
          <w:sz w:val="18"/>
        </w:rPr>
        <w:t>2012</w:t>
      </w:r>
    </w:p>
    <w:p w14:paraId="27D5FD97" w14:textId="77777777" w:rsidR="00FF4CAB" w:rsidRPr="0058047D" w:rsidRDefault="00FF4CAB" w:rsidP="00D511CC">
      <w:pPr>
        <w:ind w:left="720"/>
      </w:pPr>
      <w:r w:rsidRPr="0058047D">
        <w:t>Per dettagli sulle concessioni di licenze transitorie, fare riferimento alla nota relativa al prodotto presente nelle offerte di System Center 2012.</w:t>
      </w:r>
    </w:p>
    <w:p w14:paraId="576E5562" w14:textId="77777777" w:rsidR="00FF4CAB" w:rsidRPr="0058047D" w:rsidRDefault="00FF4CAB" w:rsidP="00D511CC">
      <w:pPr>
        <w:ind w:left="720"/>
      </w:pPr>
    </w:p>
    <w:p w14:paraId="3ECE6E0A" w14:textId="77777777" w:rsidR="00023FE7" w:rsidRPr="0058047D" w:rsidRDefault="00023FE7" w:rsidP="00D511CC">
      <w:pPr>
        <w:ind w:left="720"/>
      </w:pPr>
      <w:r w:rsidRPr="0058047D">
        <w:rPr>
          <w:rFonts w:cs="Tahoma"/>
          <w:szCs w:val="20"/>
        </w:rPr>
        <w:t xml:space="preserve">System Center Server Management Suite Enterprise </w:t>
      </w:r>
      <w:r w:rsidRPr="0058047D">
        <w:rPr>
          <w:rFonts w:cs="Tahoma"/>
          <w:color w:val="000000"/>
          <w:szCs w:val="20"/>
        </w:rPr>
        <w:t>non dispone di versioni e i diritti di utilizzo del prodotto sono determinati dallo stato della copertura Software Assurance per System Center Server Management Suite Enterprise. Qualora la copertura sia scaduta, i diritti di accesso attribuiti da licenze perpetue sono determinati sulla base dei diritti di utilizzo del prodotto in vigore prima della scadenza della copertura.</w:t>
      </w:r>
      <w:r w:rsidR="00E34ED3" w:rsidRPr="0058047D">
        <w:rPr>
          <w:rFonts w:cs="Tahoma"/>
          <w:color w:val="000000"/>
          <w:szCs w:val="20"/>
        </w:rPr>
        <w:t xml:space="preserve"> </w:t>
      </w:r>
    </w:p>
    <w:p w14:paraId="10603C85" w14:textId="77777777" w:rsidR="00E72B93" w:rsidRPr="0058047D" w:rsidRDefault="00E72B93" w:rsidP="00D511CC">
      <w:pPr>
        <w:ind w:left="720"/>
      </w:pPr>
    </w:p>
    <w:p w14:paraId="56FE6759" w14:textId="77777777" w:rsidR="005C164D" w:rsidRPr="0058047D" w:rsidRDefault="005C164D" w:rsidP="00D511CC">
      <w:pPr>
        <w:ind w:left="720"/>
        <w:jc w:val="both"/>
      </w:pPr>
      <w:r w:rsidRPr="0058047D">
        <w:rPr>
          <w:rFonts w:cs="Tahoma"/>
          <w:color w:val="000000"/>
          <w:szCs w:val="18"/>
        </w:rPr>
        <w:t>Al 1 novembre 2010 una licenza per System Center Server Management Suite Enterprise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 Inoltre, è inclusa anche la licenza server per Virtual Machine Manager 2008 R2 e Data Protection Manager 2010. La società dovrà riesaminare il documento PUR per verificare i diritti sull</w:t>
      </w:r>
      <w:r w:rsidR="001C4212">
        <w:rPr>
          <w:rFonts w:cs="Tahoma"/>
          <w:color w:val="000000"/>
          <w:szCs w:val="18"/>
        </w:rPr>
        <w:t>’</w:t>
      </w:r>
      <w:r w:rsidRPr="0058047D">
        <w:rPr>
          <w:rFonts w:cs="Tahoma"/>
          <w:color w:val="000000"/>
          <w:szCs w:val="18"/>
        </w:rPr>
        <w:t>utilizzo.</w:t>
      </w:r>
    </w:p>
    <w:p w14:paraId="78CFA189" w14:textId="77777777" w:rsidR="00023FE7" w:rsidRPr="0058047D" w:rsidRDefault="00023FE7" w:rsidP="00D511CC">
      <w:pPr>
        <w:ind w:left="720"/>
      </w:pPr>
    </w:p>
    <w:p w14:paraId="50750DAA" w14:textId="77777777" w:rsidR="004323B9" w:rsidRPr="0058047D" w:rsidRDefault="00D511CC" w:rsidP="00D511CC">
      <w:pPr>
        <w:spacing w:after="60"/>
        <w:ind w:left="720"/>
      </w:pPr>
      <w:r w:rsidRPr="0058047D">
        <w:rPr>
          <w:rFonts w:cs="Tahoma"/>
          <w:b/>
          <w:szCs w:val="20"/>
        </w:rPr>
        <w:t>Concessione di Licenza</w:t>
      </w:r>
    </w:p>
    <w:p w14:paraId="359A0734" w14:textId="77777777" w:rsidR="004323B9" w:rsidRPr="0058047D" w:rsidRDefault="004323B9" w:rsidP="00D511CC">
      <w:pPr>
        <w:pStyle w:val="FootnoteBulletLevel1"/>
        <w:tabs>
          <w:tab w:val="left" w:pos="900"/>
        </w:tabs>
        <w:spacing w:before="0" w:after="0"/>
        <w:ind w:left="720" w:firstLine="0"/>
      </w:pPr>
      <w:r w:rsidRPr="0058047D">
        <w:rPr>
          <w:rFonts w:ascii="Tahoma" w:hAnsi="Tahoma" w:cs="Tahoma"/>
          <w:sz w:val="18"/>
        </w:rPr>
        <w:t>Concessione di una Licenza Una Tantum per System Center Server Management Suite Datacenter (SMSD) ai Titolari di Licenza per System Center Server Management Suite Enterprise (SMSE).</w:t>
      </w:r>
    </w:p>
    <w:p w14:paraId="71132490" w14:textId="77777777" w:rsidR="000A18AA" w:rsidRPr="0058047D" w:rsidRDefault="000A18AA" w:rsidP="00D511CC">
      <w:pPr>
        <w:pStyle w:val="FootnoteBulletLevel1"/>
        <w:tabs>
          <w:tab w:val="left" w:pos="900"/>
        </w:tabs>
        <w:spacing w:before="0" w:after="0"/>
        <w:ind w:left="720" w:firstLine="0"/>
      </w:pPr>
    </w:p>
    <w:p w14:paraId="066E9DE1" w14:textId="77777777" w:rsidR="004323B9" w:rsidRPr="0058047D" w:rsidRDefault="004323B9" w:rsidP="00D511CC">
      <w:pPr>
        <w:pStyle w:val="FootnoteBulletLevel1"/>
        <w:tabs>
          <w:tab w:val="clear" w:pos="900"/>
          <w:tab w:val="left" w:pos="720"/>
        </w:tabs>
        <w:spacing w:before="0" w:after="0"/>
        <w:ind w:left="720" w:firstLine="0"/>
      </w:pPr>
      <w:r w:rsidRPr="0058047D">
        <w:rPr>
          <w:rFonts w:ascii="Tahoma" w:hAnsi="Tahoma" w:cs="Tahoma"/>
          <w:sz w:val="18"/>
        </w:rPr>
        <w:t>Come eccezione una tantum legata alla transizione di SMSE* da una suite che consente la gestione di qualunque numero di OSE su un dispositivo con licenza a un suite che consente la gestione di un massimo di quattro OSE su un dispositivo con licenza, Microsoft concede alle società che hanno concluso contratti Select, Enterprise, Open License, Open Value e Campus e School e che dispongono di una copertura Software Assurance attiva su SMSE in data 1 luglio 2009 le seguenti licenze</w:t>
      </w:r>
      <w:r w:rsidRPr="0058047D">
        <w:rPr>
          <w:rFonts w:ascii="Tahoma" w:hAnsi="Tahoma" w:cs="Tahoma"/>
          <w:color w:val="000000"/>
          <w:sz w:val="18"/>
        </w:rPr>
        <w:t>:</w:t>
      </w:r>
    </w:p>
    <w:p w14:paraId="5CAB7410" w14:textId="77777777" w:rsidR="000A18AA" w:rsidRPr="0058047D" w:rsidRDefault="000A18AA" w:rsidP="00D511CC">
      <w:pPr>
        <w:pStyle w:val="FootnoteBulletLevel1"/>
        <w:tabs>
          <w:tab w:val="clear" w:pos="900"/>
          <w:tab w:val="left" w:pos="720"/>
        </w:tabs>
        <w:spacing w:before="0" w:after="0"/>
        <w:ind w:left="720" w:firstLine="0"/>
      </w:pPr>
    </w:p>
    <w:p w14:paraId="389073E9" w14:textId="77777777" w:rsidR="004323B9" w:rsidRPr="0058047D" w:rsidRDefault="004323B9" w:rsidP="00D511CC">
      <w:pPr>
        <w:numPr>
          <w:ilvl w:val="0"/>
          <w:numId w:val="3"/>
        </w:numPr>
        <w:ind w:left="1440"/>
      </w:pPr>
      <w:r w:rsidRPr="0058047D">
        <w:rPr>
          <w:rFonts w:cs="Tahoma"/>
          <w:color w:val="000000"/>
          <w:szCs w:val="20"/>
        </w:rPr>
        <w:t>Quattro licenze gratuite SMSD per ogni licenza SMSE qualificante con copertura Software Assurance attiva di cui la società sia titolare al 1 luglio 2009. Ogni gruppo di quattro licenze SMSD concesse deve essere assegnato a un unico dispositivo e non può essere separato per un utilizzo su due o più dispostivi.</w:t>
      </w:r>
    </w:p>
    <w:p w14:paraId="18BB9347" w14:textId="77777777" w:rsidR="004323B9" w:rsidRPr="0058047D" w:rsidRDefault="004323B9" w:rsidP="00D511CC">
      <w:pPr>
        <w:pStyle w:val="FootnoteBulletLevel1"/>
        <w:tabs>
          <w:tab w:val="clear" w:pos="900"/>
        </w:tabs>
        <w:spacing w:before="0" w:after="0"/>
        <w:ind w:left="720" w:firstLine="0"/>
      </w:pPr>
      <w:r w:rsidRPr="0058047D">
        <w:rPr>
          <w:rFonts w:ascii="Tahoma" w:hAnsi="Tahoma" w:cs="Tahoma"/>
          <w:sz w:val="18"/>
        </w:rPr>
        <w:t>I diritti di gestione associati alle licenze gratuite SMSD sono concessi al posto dei diritti di gestione associati alla licenza SMSE qualificante.</w:t>
      </w:r>
      <w:r w:rsidR="00E34ED3" w:rsidRPr="0058047D">
        <w:rPr>
          <w:rFonts w:ascii="Tahoma" w:hAnsi="Tahoma" w:cs="Tahoma"/>
          <w:sz w:val="18"/>
        </w:rPr>
        <w:t xml:space="preserve"> </w:t>
      </w:r>
      <w:r w:rsidRPr="0058047D">
        <w:rPr>
          <w:rFonts w:ascii="Tahoma" w:hAnsi="Tahoma" w:cs="Tahoma"/>
          <w:sz w:val="18"/>
        </w:rPr>
        <w:t>All</w:t>
      </w:r>
      <w:r w:rsidR="001C4212">
        <w:rPr>
          <w:rFonts w:ascii="Tahoma" w:hAnsi="Tahoma" w:cs="Tahoma"/>
          <w:sz w:val="18"/>
        </w:rPr>
        <w:t>’</w:t>
      </w:r>
      <w:r w:rsidRPr="0058047D">
        <w:rPr>
          <w:rFonts w:ascii="Tahoma" w:hAnsi="Tahoma" w:cs="Tahoma"/>
          <w:sz w:val="18"/>
        </w:rPr>
        <w:t>assegnazione delle licenze SMSD concesse, la società perderà i diritti di gestione ai sensi della corrispondente licenza SMSE.</w:t>
      </w:r>
    </w:p>
    <w:p w14:paraId="6F0DD844" w14:textId="77777777" w:rsidR="004323B9" w:rsidRPr="0058047D" w:rsidRDefault="004323B9" w:rsidP="00D511CC">
      <w:pPr>
        <w:pStyle w:val="FootnoteBulletLevel1"/>
        <w:tabs>
          <w:tab w:val="clear" w:pos="900"/>
        </w:tabs>
        <w:spacing w:before="0" w:after="0"/>
        <w:ind w:left="720" w:firstLine="0"/>
      </w:pPr>
      <w:r w:rsidRPr="0058047D">
        <w:rPr>
          <w:rFonts w:ascii="Tahoma" w:hAnsi="Tahoma" w:cs="Tahoma"/>
          <w:sz w:val="18"/>
        </w:rPr>
        <w:t>Tutte le licenze concesse ai sensi della presente offerta sono soggette alla seguente limitazione:</w:t>
      </w:r>
      <w:r w:rsidRPr="0058047D">
        <w:rPr>
          <w:rFonts w:ascii="Tahoma" w:hAnsi="Tahoma" w:cs="Tahoma"/>
          <w:color w:val="000000"/>
          <w:sz w:val="18"/>
        </w:rPr>
        <w:t xml:space="preserve"> Ogni gruppo di licenze per SMSD concesse dovrà essere ceduto a un unico dispositivo</w:t>
      </w:r>
      <w:r w:rsidRPr="0058047D">
        <w:rPr>
          <w:rFonts w:ascii="Tahoma" w:hAnsi="Tahoma" w:cs="Tahoma"/>
          <w:sz w:val="18"/>
        </w:rPr>
        <w:t>.</w:t>
      </w:r>
    </w:p>
    <w:p w14:paraId="012EA1DE" w14:textId="77777777" w:rsidR="000A18AA" w:rsidRDefault="000A18AA" w:rsidP="00D511CC">
      <w:pPr>
        <w:pStyle w:val="FootnoteBulletLevel1"/>
        <w:tabs>
          <w:tab w:val="clear" w:pos="900"/>
        </w:tabs>
        <w:spacing w:before="0" w:after="0"/>
        <w:ind w:left="720" w:firstLine="0"/>
      </w:pPr>
    </w:p>
    <w:p w14:paraId="75046A2F" w14:textId="77777777" w:rsidR="00CF7343" w:rsidRPr="0058047D" w:rsidRDefault="004323B9" w:rsidP="000A18AA">
      <w:pPr>
        <w:pStyle w:val="FootnoteBulletLevel1"/>
        <w:tabs>
          <w:tab w:val="clear" w:pos="900"/>
        </w:tabs>
        <w:spacing w:before="0" w:after="60"/>
        <w:ind w:left="720" w:firstLine="0"/>
      </w:pPr>
      <w:r w:rsidRPr="0058047D">
        <w:rPr>
          <w:rFonts w:ascii="Tahoma" w:hAnsi="Tahoma" w:cs="Tahoma"/>
          <w:b/>
          <w:color w:val="000000"/>
          <w:sz w:val="18"/>
        </w:rPr>
        <w:t>Opzioni di Rinnovo di Software Assurance</w:t>
      </w:r>
      <w:r w:rsidR="00E34ED3" w:rsidRPr="0058047D">
        <w:rPr>
          <w:rFonts w:ascii="Tahoma" w:hAnsi="Tahoma" w:cs="Tahoma"/>
          <w:b/>
          <w:color w:val="000000"/>
          <w:sz w:val="18"/>
        </w:rPr>
        <w:t xml:space="preserve"> </w:t>
      </w:r>
    </w:p>
    <w:p w14:paraId="456A712E" w14:textId="77777777" w:rsidR="004323B9" w:rsidRPr="0058047D" w:rsidRDefault="004323B9" w:rsidP="00D511CC">
      <w:pPr>
        <w:pStyle w:val="FootnoteBulletLevel1"/>
        <w:tabs>
          <w:tab w:val="clear" w:pos="900"/>
        </w:tabs>
        <w:spacing w:before="0" w:after="0"/>
        <w:ind w:left="720" w:firstLine="0"/>
      </w:pPr>
      <w:r w:rsidRPr="0058047D">
        <w:rPr>
          <w:rFonts w:ascii="Tahoma" w:hAnsi="Tahoma" w:cs="Tahoma"/>
          <w:color w:val="000000"/>
          <w:sz w:val="18"/>
        </w:rPr>
        <w:t xml:space="preserve">Le licenze concesse ai sensi della presente offerta includono la Copertura Software Assurance, che cesserà alla scadenza della copertura sulle corrispondenti licenze qualificanti. </w:t>
      </w:r>
      <w:r w:rsidRPr="0058047D">
        <w:rPr>
          <w:rFonts w:ascii="Tahoma" w:hAnsi="Tahoma" w:cs="Tahoma"/>
          <w:sz w:val="18"/>
        </w:rPr>
        <w:t>Alla scadenza della copertura Software Assurance, le società potranno rinnovarla scegliendo tra le seguenti opzioni:</w:t>
      </w:r>
    </w:p>
    <w:p w14:paraId="1F84CA81" w14:textId="77777777" w:rsidR="000A18AA" w:rsidRPr="0058047D" w:rsidRDefault="000A18AA" w:rsidP="00D511CC">
      <w:pPr>
        <w:pStyle w:val="FootnoteBulletLevel1"/>
        <w:tabs>
          <w:tab w:val="clear" w:pos="900"/>
        </w:tabs>
        <w:spacing w:before="0" w:after="0"/>
        <w:ind w:left="720" w:firstLine="0"/>
      </w:pPr>
    </w:p>
    <w:p w14:paraId="445973B5" w14:textId="77777777" w:rsidR="004323B9" w:rsidRPr="0058047D" w:rsidRDefault="004323B9" w:rsidP="000A18AA">
      <w:pPr>
        <w:pStyle w:val="FootnoteBulletLevel1"/>
        <w:numPr>
          <w:ilvl w:val="0"/>
          <w:numId w:val="13"/>
        </w:numPr>
        <w:tabs>
          <w:tab w:val="left" w:pos="720"/>
        </w:tabs>
        <w:spacing w:before="0" w:after="60"/>
        <w:ind w:left="1440"/>
      </w:pPr>
      <w:r w:rsidRPr="0058047D">
        <w:rPr>
          <w:rFonts w:ascii="Tahoma" w:hAnsi="Tahoma" w:cs="Tahoma"/>
          <w:sz w:val="18"/>
        </w:rPr>
        <w:t>Le società potranno rinnovare la copertura sulla licenza SMSE originale. I diritti di gestione ai sensi della copertura Software Assurance sulla licenza SMSE saranno determinati in base ai diritti applicabili alla licenza SMSE all</w:t>
      </w:r>
      <w:r w:rsidR="001C4212">
        <w:rPr>
          <w:rFonts w:ascii="Tahoma" w:hAnsi="Tahoma" w:cs="Tahoma"/>
          <w:sz w:val="18"/>
        </w:rPr>
        <w:t>’</w:t>
      </w:r>
      <w:r w:rsidRPr="0058047D">
        <w:rPr>
          <w:rFonts w:ascii="Tahoma" w:hAnsi="Tahoma" w:cs="Tahoma"/>
          <w:sz w:val="18"/>
        </w:rPr>
        <w:t>epoca del rinnovo. Rinnovando la licenza SMSE originale, la società perderà i diritti relativi alle quattro licenze SMSD gratuite.</w:t>
      </w:r>
    </w:p>
    <w:p w14:paraId="36B8AD1D" w14:textId="77777777" w:rsidR="004323B9" w:rsidRPr="0058047D" w:rsidRDefault="004323B9" w:rsidP="000A18AA">
      <w:pPr>
        <w:pStyle w:val="FootnoteBulletLevel1"/>
        <w:numPr>
          <w:ilvl w:val="0"/>
          <w:numId w:val="14"/>
        </w:numPr>
        <w:tabs>
          <w:tab w:val="left" w:pos="720"/>
        </w:tabs>
        <w:spacing w:before="0" w:after="60"/>
        <w:ind w:left="1440"/>
      </w:pPr>
      <w:r w:rsidRPr="0058047D">
        <w:rPr>
          <w:rFonts w:ascii="Tahoma" w:hAnsi="Tahoma" w:cs="Tahoma"/>
          <w:sz w:val="18"/>
        </w:rPr>
        <w:t>Le società potranno rinnovare la copertura sulle licenze SMSD gratuite.</w:t>
      </w:r>
    </w:p>
    <w:p w14:paraId="65D5FA83" w14:textId="77777777" w:rsidR="004323B9" w:rsidRPr="00FE6686" w:rsidRDefault="004323B9" w:rsidP="000A18AA">
      <w:pPr>
        <w:pStyle w:val="FootnoteBulletLevel1"/>
        <w:numPr>
          <w:ilvl w:val="2"/>
          <w:numId w:val="15"/>
        </w:numPr>
        <w:tabs>
          <w:tab w:val="left" w:pos="720"/>
        </w:tabs>
        <w:spacing w:before="0" w:after="60"/>
        <w:ind w:left="1980"/>
        <w:rPr>
          <w:sz w:val="18"/>
          <w:szCs w:val="18"/>
        </w:rPr>
      </w:pPr>
      <w:r w:rsidRPr="00FE6686">
        <w:rPr>
          <w:rFonts w:ascii="Tahoma" w:hAnsi="Tahoma" w:cs="Tahoma"/>
          <w:sz w:val="18"/>
          <w:szCs w:val="18"/>
        </w:rPr>
        <w:t>Le società potranno rinnovare la copertura per tutte le licenze SMSD del gruppo di quattro licenze SMSD gratuite concesse in virtù dell</w:t>
      </w:r>
      <w:r w:rsidR="001C4212">
        <w:rPr>
          <w:rFonts w:ascii="Tahoma" w:hAnsi="Tahoma" w:cs="Tahoma"/>
          <w:sz w:val="18"/>
          <w:szCs w:val="18"/>
        </w:rPr>
        <w:t>’</w:t>
      </w:r>
      <w:r w:rsidRPr="00FE6686">
        <w:rPr>
          <w:rFonts w:ascii="Tahoma" w:hAnsi="Tahoma" w:cs="Tahoma"/>
          <w:sz w:val="18"/>
          <w:szCs w:val="18"/>
        </w:rPr>
        <w:t>offerta. Qualora si scelta questa opzione, il requisito dell</w:t>
      </w:r>
      <w:r w:rsidR="001C4212">
        <w:rPr>
          <w:rFonts w:ascii="Tahoma" w:hAnsi="Tahoma" w:cs="Tahoma"/>
          <w:sz w:val="18"/>
          <w:szCs w:val="18"/>
        </w:rPr>
        <w:t>’</w:t>
      </w:r>
      <w:r w:rsidRPr="00FE6686">
        <w:rPr>
          <w:rFonts w:ascii="Tahoma" w:hAnsi="Tahoma" w:cs="Tahoma"/>
          <w:sz w:val="18"/>
          <w:szCs w:val="18"/>
        </w:rPr>
        <w:t>assegnazione del gruppo di quattro licenze a un unico dispositivo non ha più validità.</w:t>
      </w:r>
    </w:p>
    <w:p w14:paraId="5CF870A5" w14:textId="77777777" w:rsidR="004323B9" w:rsidRPr="00FE6686" w:rsidRDefault="004323B9" w:rsidP="000A18AA">
      <w:pPr>
        <w:pStyle w:val="FootnoteBulletLevel1"/>
        <w:numPr>
          <w:ilvl w:val="2"/>
          <w:numId w:val="15"/>
        </w:numPr>
        <w:tabs>
          <w:tab w:val="left" w:pos="720"/>
        </w:tabs>
        <w:spacing w:before="0" w:after="60"/>
        <w:ind w:left="1980"/>
        <w:rPr>
          <w:sz w:val="18"/>
          <w:szCs w:val="18"/>
        </w:rPr>
      </w:pPr>
      <w:r w:rsidRPr="00FE6686">
        <w:rPr>
          <w:rFonts w:ascii="Tahoma" w:hAnsi="Tahoma" w:cs="Tahoma"/>
          <w:sz w:val="18"/>
          <w:szCs w:val="18"/>
        </w:rPr>
        <w:t>Le società che rinnoveranno Software Assurance prima del 1 luglio 2011 potranno rinnovare la copertura per due licenze del gruppo di quattro licenze per SMSD gratuite concesse ai sensi della presente offerta. In questo caso, rinnoveranno automaticamente la copertura per le quattro licenze SMSD dello stesso gruppo.</w:t>
      </w:r>
      <w:r w:rsidR="00E34ED3" w:rsidRPr="00FE6686">
        <w:rPr>
          <w:rFonts w:ascii="Tahoma" w:hAnsi="Tahoma" w:cs="Tahoma"/>
          <w:sz w:val="18"/>
          <w:szCs w:val="18"/>
        </w:rPr>
        <w:t xml:space="preserve"> </w:t>
      </w:r>
      <w:r w:rsidRPr="00FE6686">
        <w:rPr>
          <w:rFonts w:ascii="Tahoma" w:hAnsi="Tahoma" w:cs="Tahoma"/>
          <w:sz w:val="18"/>
          <w:szCs w:val="18"/>
        </w:rPr>
        <w:t>Qualora si scelga questa opzione, il requisito dell</w:t>
      </w:r>
      <w:r w:rsidR="001C4212">
        <w:rPr>
          <w:rFonts w:ascii="Tahoma" w:hAnsi="Tahoma" w:cs="Tahoma"/>
          <w:sz w:val="18"/>
          <w:szCs w:val="18"/>
        </w:rPr>
        <w:t>’</w:t>
      </w:r>
      <w:r w:rsidRPr="00FE6686">
        <w:rPr>
          <w:rFonts w:ascii="Tahoma" w:hAnsi="Tahoma" w:cs="Tahoma"/>
          <w:sz w:val="18"/>
          <w:szCs w:val="18"/>
        </w:rPr>
        <w:t>assegnazione del gruppo di quattro licenze a un unico dispositivo resterà valido anche dopo il rinnovo.</w:t>
      </w:r>
      <w:r w:rsidR="00E34ED3" w:rsidRPr="00FE6686">
        <w:rPr>
          <w:rFonts w:ascii="Tahoma" w:hAnsi="Tahoma" w:cs="Tahoma"/>
          <w:sz w:val="18"/>
          <w:szCs w:val="18"/>
        </w:rPr>
        <w:t xml:space="preserve"> </w:t>
      </w:r>
      <w:r w:rsidRPr="00FE6686">
        <w:rPr>
          <w:rFonts w:ascii="Tahoma" w:hAnsi="Tahoma" w:cs="Tahoma"/>
          <w:sz w:val="18"/>
          <w:szCs w:val="18"/>
        </w:rPr>
        <w:t>In occasione del successivo rinnovo di Software Assurance, le società potranno rinnovare la copertura sulle licenze SMSD gratuite di ciascun gruppo di quattro licenze che occorreranno loro. In tale rinnovo successivo, diverso dal primo rinnovo, la copertura Software Assurance si estinguerà per qualsiasi licenza SMSD la cui copertura non sia stata rinnovata. Il requisito di assegnare un gruppo di quattro licenze SMSD gratuite a un unico dispositivo non si applicherà più in occasione del successivo rinnovo soltanto se verrà rinnovata la copertura per tutte e quattro le licenze SMSD.</w:t>
      </w:r>
    </w:p>
    <w:p w14:paraId="420649DA" w14:textId="77777777" w:rsidR="00D63733" w:rsidRPr="0058047D" w:rsidRDefault="00D63733" w:rsidP="00D511CC">
      <w:pPr>
        <w:pStyle w:val="FootnoteBulletLevel1"/>
        <w:tabs>
          <w:tab w:val="clear" w:pos="900"/>
          <w:tab w:val="left" w:pos="720"/>
        </w:tabs>
        <w:spacing w:before="0" w:after="0"/>
        <w:ind w:firstLine="0"/>
      </w:pPr>
    </w:p>
    <w:p w14:paraId="064BF6DB" w14:textId="77777777" w:rsidR="00CF7343" w:rsidRPr="0058047D" w:rsidRDefault="004323B9" w:rsidP="000A18AA">
      <w:pPr>
        <w:pStyle w:val="FootnoteBulletLevel1"/>
        <w:tabs>
          <w:tab w:val="clear" w:pos="900"/>
          <w:tab w:val="left" w:pos="720"/>
        </w:tabs>
        <w:spacing w:before="0" w:after="60"/>
        <w:ind w:left="720" w:firstLine="0"/>
      </w:pPr>
      <w:r w:rsidRPr="0058047D">
        <w:rPr>
          <w:rFonts w:ascii="Tahoma" w:hAnsi="Tahoma" w:cs="Tahoma"/>
          <w:b/>
          <w:sz w:val="18"/>
        </w:rPr>
        <w:t xml:space="preserve">Eliminazione del vincolo di </w:t>
      </w:r>
      <w:r w:rsidRPr="0058047D">
        <w:rPr>
          <w:rFonts w:ascii="Tahoma" w:hAnsi="Tahoma" w:cs="Tahoma"/>
          <w:b/>
          <w:color w:val="000000"/>
          <w:sz w:val="18"/>
        </w:rPr>
        <w:t>dover cedere a un unico dispositivo ogni gruppo di licenze per SMSD concesse</w:t>
      </w:r>
    </w:p>
    <w:p w14:paraId="2B49EE0D" w14:textId="77777777" w:rsidR="004323B9" w:rsidRPr="0058047D" w:rsidRDefault="004323B9" w:rsidP="00D511CC">
      <w:pPr>
        <w:pStyle w:val="FootnoteBulletLevel1"/>
        <w:tabs>
          <w:tab w:val="clear" w:pos="900"/>
          <w:tab w:val="left" w:pos="720"/>
        </w:tabs>
        <w:spacing w:before="0" w:after="0"/>
        <w:ind w:left="720" w:firstLine="0"/>
      </w:pPr>
      <w:r w:rsidRPr="0058047D">
        <w:rPr>
          <w:rFonts w:ascii="Tahoma" w:hAnsi="Tahoma" w:cs="Tahoma"/>
          <w:sz w:val="18"/>
        </w:rPr>
        <w:t xml:space="preserve">In qualunque momento precedente al primo rinnovo di Software Assurance dopo la presente concessione le società potranno eliminare il vincolo </w:t>
      </w:r>
      <w:r w:rsidRPr="0058047D">
        <w:rPr>
          <w:rFonts w:ascii="Tahoma" w:hAnsi="Tahoma" w:cs="Tahoma"/>
          <w:color w:val="000000"/>
          <w:sz w:val="18"/>
        </w:rPr>
        <w:t>della cessione a un unico dispositivo di ogni gruppo di licenze per SMSD concesse. A tale scopo</w:t>
      </w:r>
      <w:r w:rsidRPr="0058047D">
        <w:rPr>
          <w:rFonts w:ascii="Tahoma" w:hAnsi="Tahoma" w:cs="Tahoma"/>
          <w:sz w:val="18"/>
        </w:rPr>
        <w:t xml:space="preserve"> potranno acquistare la copertura Software Assurance per due licenze per SMSD appartenenti a un dato gruppo di quattro licenze per SMSD gratuite.</w:t>
      </w:r>
      <w:r w:rsidR="00E34ED3" w:rsidRPr="0058047D">
        <w:rPr>
          <w:rFonts w:ascii="Tahoma" w:hAnsi="Tahoma" w:cs="Tahoma"/>
          <w:sz w:val="18"/>
        </w:rPr>
        <w:t xml:space="preserve"> </w:t>
      </w:r>
    </w:p>
    <w:p w14:paraId="4E3E2EEE" w14:textId="77777777" w:rsidR="000A18AA" w:rsidRPr="0058047D" w:rsidRDefault="000A18AA" w:rsidP="00D511CC">
      <w:pPr>
        <w:pStyle w:val="FootnoteBulletLevel1"/>
        <w:tabs>
          <w:tab w:val="clear" w:pos="900"/>
          <w:tab w:val="left" w:pos="720"/>
        </w:tabs>
        <w:spacing w:before="0" w:after="0"/>
        <w:ind w:left="720" w:firstLine="0"/>
      </w:pPr>
    </w:p>
    <w:p w14:paraId="429B41DE" w14:textId="77777777" w:rsidR="004323B9" w:rsidRPr="0058047D" w:rsidRDefault="004323B9" w:rsidP="00D511CC">
      <w:pPr>
        <w:pStyle w:val="FootnoteBulletLevel1"/>
        <w:tabs>
          <w:tab w:val="clear" w:pos="900"/>
          <w:tab w:val="left" w:pos="720"/>
        </w:tabs>
        <w:spacing w:before="0" w:after="0"/>
        <w:ind w:left="720" w:firstLine="0"/>
      </w:pPr>
      <w:r w:rsidRPr="0058047D">
        <w:rPr>
          <w:rFonts w:ascii="Tahoma" w:hAnsi="Tahoma" w:cs="Tahoma"/>
          <w:sz w:val="18"/>
        </w:rPr>
        <w:t>Il diritto di utilizzo del software da parte della società ai sensi delle licenze SMSD gratuite è attestato dalla presente nota relativa alle condizioni del prodotto e dalla prova delle licenze qualificanti corrispondenti.</w:t>
      </w:r>
      <w:r w:rsidR="00E34ED3" w:rsidRPr="0058047D">
        <w:rPr>
          <w:rFonts w:ascii="Tahoma" w:hAnsi="Tahoma" w:cs="Tahoma"/>
          <w:sz w:val="18"/>
        </w:rPr>
        <w:t xml:space="preserve"> </w:t>
      </w:r>
      <w:r w:rsidRPr="0058047D">
        <w:rPr>
          <w:rFonts w:ascii="Tahoma" w:hAnsi="Tahoma" w:cs="Tahoma"/>
          <w:sz w:val="18"/>
        </w:rPr>
        <w:t>L</w:t>
      </w:r>
      <w:r w:rsidR="001C4212">
        <w:rPr>
          <w:rFonts w:ascii="Tahoma" w:hAnsi="Tahoma" w:cs="Tahoma"/>
          <w:sz w:val="18"/>
        </w:rPr>
        <w:t>’</w:t>
      </w:r>
      <w:r w:rsidRPr="0058047D">
        <w:rPr>
          <w:rFonts w:ascii="Tahoma" w:hAnsi="Tahoma" w:cs="Tahoma"/>
          <w:sz w:val="18"/>
        </w:rPr>
        <w:t>utilizzo del software da parte della società ai sensi della presente offerta sarà soggetto alle condizioni del relativo contratto di licenza e ai diritti di utilizzo del prodotto relativi al software. Il diritto di utilizzo del software ai sensi delle licenze gratuite scadrà alla scadenza del diritto di utilizzo del software ai sensi delle licenze qualificanti. Le società non potranno trasferire le licenze concesse in virtù della presente offerta separatamente dalle licenze qualificanti corrispondenti.</w:t>
      </w:r>
    </w:p>
    <w:p w14:paraId="593AC095" w14:textId="77777777" w:rsidR="000A18AA" w:rsidRPr="0058047D" w:rsidRDefault="000A18AA" w:rsidP="00D511CC">
      <w:pPr>
        <w:pStyle w:val="FootnoteBulletLevel1"/>
        <w:tabs>
          <w:tab w:val="clear" w:pos="900"/>
          <w:tab w:val="left" w:pos="720"/>
        </w:tabs>
        <w:spacing w:before="0" w:after="0"/>
        <w:ind w:left="720" w:firstLine="0"/>
      </w:pPr>
    </w:p>
    <w:p w14:paraId="3DFAF34A" w14:textId="77777777" w:rsidR="00F23A1B" w:rsidRPr="0058047D" w:rsidRDefault="004323B9" w:rsidP="000A18AA">
      <w:pPr>
        <w:pStyle w:val="FootnoteBulletLevel1"/>
        <w:tabs>
          <w:tab w:val="clear" w:pos="900"/>
          <w:tab w:val="left" w:pos="720"/>
        </w:tabs>
        <w:spacing w:before="0" w:after="0"/>
        <w:ind w:left="720" w:firstLine="0"/>
      </w:pPr>
      <w:r w:rsidRPr="0058047D">
        <w:rPr>
          <w:rFonts w:ascii="Tahoma" w:hAnsi="Tahoma" w:cs="Tahoma"/>
          <w:sz w:val="18"/>
        </w:rPr>
        <w:t>* Le modifiche alla concessione delle licenze SMSE si applicheranno a System Center Operations Manager 2007 R2 e alle nuove versioni degli altri prodotti inclusi in System Center Server Management Suite Enterprise (ad esempio System Center Virtual Machine Manager 2008 R2).</w:t>
      </w:r>
    </w:p>
    <w:p w14:paraId="5F542B95" w14:textId="77777777" w:rsidR="000A18AA" w:rsidRDefault="000A18AA" w:rsidP="000A18AA">
      <w:pPr>
        <w:pStyle w:val="FootnoteBulletLevel1"/>
        <w:tabs>
          <w:tab w:val="clear" w:pos="900"/>
          <w:tab w:val="left" w:pos="720"/>
        </w:tabs>
        <w:spacing w:before="0" w:after="0"/>
      </w:pPr>
    </w:p>
    <w:p w14:paraId="3B18DAD5" w14:textId="77777777" w:rsidR="00DB2CD3" w:rsidRDefault="00DB2CD3" w:rsidP="000A18AA">
      <w:pPr>
        <w:pStyle w:val="FootnoteBulletLevel1"/>
        <w:tabs>
          <w:tab w:val="clear" w:pos="900"/>
          <w:tab w:val="left" w:pos="720"/>
        </w:tabs>
        <w:spacing w:before="0" w:after="0"/>
      </w:pPr>
    </w:p>
    <w:p w14:paraId="438FDFD7" w14:textId="77777777" w:rsidR="00DB2CD3" w:rsidRDefault="00DB2CD3" w:rsidP="000A18AA">
      <w:pPr>
        <w:pStyle w:val="FootnoteBulletLevel1"/>
        <w:tabs>
          <w:tab w:val="clear" w:pos="900"/>
          <w:tab w:val="left" w:pos="720"/>
        </w:tabs>
        <w:spacing w:before="0" w:after="0"/>
      </w:pPr>
    </w:p>
    <w:p w14:paraId="018B195F" w14:textId="77777777" w:rsidR="00DB2CD3" w:rsidRPr="0058047D" w:rsidRDefault="00DB2CD3" w:rsidP="000A18AA">
      <w:pPr>
        <w:pStyle w:val="FootnoteBulletLevel1"/>
        <w:tabs>
          <w:tab w:val="clear" w:pos="900"/>
          <w:tab w:val="left" w:pos="720"/>
        </w:tabs>
        <w:spacing w:before="0" w:after="0"/>
      </w:pPr>
    </w:p>
    <w:p w14:paraId="5058F1F4" w14:textId="77777777" w:rsidR="000A18AA" w:rsidRPr="0058047D" w:rsidRDefault="000A18AA" w:rsidP="000A18AA">
      <w:pPr>
        <w:pStyle w:val="FootnoteBulletLevel1"/>
        <w:tabs>
          <w:tab w:val="clear" w:pos="900"/>
          <w:tab w:val="left" w:pos="720"/>
        </w:tabs>
        <w:spacing w:before="0" w:after="0"/>
      </w:pPr>
    </w:p>
    <w:p w14:paraId="7F47106E" w14:textId="77777777" w:rsidR="00F411FE" w:rsidRPr="0058047D" w:rsidRDefault="00A560B6" w:rsidP="0097015A">
      <w:pPr>
        <w:pStyle w:val="Heading3"/>
      </w:pPr>
      <w:bookmarkStart w:id="1488" w:name="_86_System_Center"/>
      <w:bookmarkStart w:id="1489" w:name="_94_System_Center"/>
      <w:bookmarkStart w:id="1490" w:name="_Toc336338355"/>
      <w:bookmarkStart w:id="1491" w:name="_Toc371663746"/>
      <w:bookmarkStart w:id="1492" w:name="Srv_90SysCtrSvrMgmtSuiteDatacenter"/>
      <w:bookmarkEnd w:id="1488"/>
      <w:bookmarkEnd w:id="1489"/>
      <w:r w:rsidRPr="0058047D">
        <w:rPr>
          <w:rFonts w:ascii="Tahoma" w:hAnsi="Tahoma" w:cs="Tahoma"/>
          <w:caps/>
          <w:color w:val="FF7415"/>
          <w:sz w:val="22"/>
          <w:szCs w:val="22"/>
          <w:vertAlign w:val="superscript"/>
        </w:rPr>
        <w:t xml:space="preserve">93 </w:t>
      </w:r>
      <w:r w:rsidRPr="0058047D">
        <w:rPr>
          <w:rFonts w:ascii="Tahoma" w:hAnsi="Tahoma" w:cs="Tahoma"/>
          <w:color w:val="FF7415"/>
          <w:sz w:val="22"/>
          <w:szCs w:val="22"/>
        </w:rPr>
        <w:t>System Center Server Management Suite Datacenter</w:t>
      </w:r>
      <w:bookmarkEnd w:id="1490"/>
      <w:bookmarkEnd w:id="1491"/>
    </w:p>
    <w:bookmarkEnd w:id="1492"/>
    <w:p w14:paraId="644E3BC1" w14:textId="77777777" w:rsidR="00F411FE" w:rsidRPr="0058047D" w:rsidRDefault="00F411FE" w:rsidP="00F411FE">
      <w:pPr>
        <w:ind w:left="360"/>
      </w:pPr>
    </w:p>
    <w:p w14:paraId="28573541" w14:textId="77777777" w:rsidR="00FF4CAB" w:rsidRPr="0058047D" w:rsidRDefault="00FF4CAB" w:rsidP="000A18AA">
      <w:pPr>
        <w:pStyle w:val="EndnoteText"/>
        <w:ind w:left="720"/>
      </w:pPr>
      <w:r w:rsidRPr="0058047D">
        <w:rPr>
          <w:rFonts w:ascii="Tahoma" w:hAnsi="Tahoma" w:cs="Tahoma"/>
          <w:color w:val="000000"/>
          <w:sz w:val="18"/>
        </w:rPr>
        <w:t xml:space="preserve">Prodotto End-Of-Life (EOL) che non verrà più offerto. </w:t>
      </w:r>
    </w:p>
    <w:p w14:paraId="34A2C5CC" w14:textId="77777777" w:rsidR="004F0CAE" w:rsidRPr="0058047D" w:rsidRDefault="004F0CAE" w:rsidP="000A18AA">
      <w:pPr>
        <w:pStyle w:val="EndnoteText"/>
        <w:ind w:left="720"/>
      </w:pPr>
    </w:p>
    <w:p w14:paraId="638AEC03" w14:textId="77777777" w:rsidR="00FF4CAB" w:rsidRPr="006B4FA4" w:rsidRDefault="00FF4CAB" w:rsidP="004F0CAE">
      <w:pPr>
        <w:pStyle w:val="FootnoteBulletLevel1"/>
        <w:tabs>
          <w:tab w:val="clear" w:pos="900"/>
        </w:tabs>
        <w:spacing w:before="0" w:after="60"/>
        <w:ind w:left="720" w:firstLine="0"/>
        <w:rPr>
          <w:spacing w:val="-2"/>
        </w:rPr>
      </w:pPr>
      <w:r w:rsidRPr="006B4FA4">
        <w:rPr>
          <w:rFonts w:ascii="Tahoma" w:hAnsi="Tahoma" w:cs="Tahoma"/>
          <w:b/>
          <w:spacing w:val="-2"/>
          <w:sz w:val="18"/>
        </w:rPr>
        <w:t>Dettagli relativi alla Concessione di una Licenza Transitoria Una Tantum per System Center 2012</w:t>
      </w:r>
    </w:p>
    <w:p w14:paraId="638D252D" w14:textId="77777777" w:rsidR="00FF4CAB" w:rsidRPr="0058047D" w:rsidRDefault="00FF4CAB" w:rsidP="000A18AA">
      <w:pPr>
        <w:ind w:left="720"/>
      </w:pPr>
      <w:r w:rsidRPr="0058047D">
        <w:t>Per dettagli sulle concessioni di licenze transitorie, fare riferimento alla nota relativa al prodotto presente nelle offerte di System Center 2012.</w:t>
      </w:r>
    </w:p>
    <w:p w14:paraId="38D81361" w14:textId="77777777" w:rsidR="00FF4CAB" w:rsidRPr="0058047D" w:rsidRDefault="00FF4CAB" w:rsidP="000A18AA">
      <w:pPr>
        <w:ind w:left="720"/>
      </w:pPr>
    </w:p>
    <w:p w14:paraId="546C3685" w14:textId="77777777" w:rsidR="00F411FE" w:rsidRPr="0058047D" w:rsidRDefault="00F411FE" w:rsidP="000A18AA">
      <w:pPr>
        <w:ind w:left="720"/>
      </w:pPr>
      <w:r w:rsidRPr="0058047D">
        <w:rPr>
          <w:rFonts w:cs="Tahoma"/>
          <w:szCs w:val="20"/>
        </w:rPr>
        <w:t>System Center Server Management Suite Datacenter non dispone di versioni e i diritti di utilizzo del prodotto sono determinati dallo stato della copertura Software Assurance per System Center Server Management Suite Datacenter. Qualora la copertura sia scaduta, i diritti di accesso attribuiti da licenze perpetue sono determinati sulla base dei diritti di utilizzo del prodotto in vigore prima della scadenza della copertura.</w:t>
      </w:r>
      <w:r w:rsidR="00E34ED3" w:rsidRPr="0058047D">
        <w:rPr>
          <w:rFonts w:cs="Tahoma"/>
          <w:szCs w:val="20"/>
        </w:rPr>
        <w:t xml:space="preserve"> </w:t>
      </w:r>
    </w:p>
    <w:p w14:paraId="567474B1" w14:textId="77777777" w:rsidR="00E72B93" w:rsidRPr="0058047D" w:rsidRDefault="00E72B93" w:rsidP="000A18AA">
      <w:pPr>
        <w:ind w:left="720"/>
      </w:pPr>
    </w:p>
    <w:p w14:paraId="4CAD851D" w14:textId="77777777" w:rsidR="00143CF6" w:rsidRPr="0058047D" w:rsidRDefault="005C164D" w:rsidP="003165D6">
      <w:pPr>
        <w:ind w:left="720"/>
      </w:pPr>
      <w:r w:rsidRPr="0058047D">
        <w:rPr>
          <w:rFonts w:cs="Tahoma"/>
          <w:color w:val="000000"/>
          <w:szCs w:val="18"/>
        </w:rPr>
        <w:t>Al 1 novembre 2010 una licenza per System Center Server Management Suite Datacenter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 Inoltre, è inclusa anche la licenza server per Virtual Machine Manager 2008 R2 e Data Protection Manager 2010. La società dovrà riesaminare il documento PUR per verificare i diritti sull</w:t>
      </w:r>
      <w:r w:rsidR="001C4212">
        <w:rPr>
          <w:rFonts w:cs="Tahoma"/>
          <w:color w:val="000000"/>
          <w:szCs w:val="18"/>
        </w:rPr>
        <w:t>’</w:t>
      </w:r>
      <w:r w:rsidRPr="0058047D">
        <w:rPr>
          <w:rFonts w:cs="Tahoma"/>
          <w:color w:val="000000"/>
          <w:szCs w:val="18"/>
        </w:rPr>
        <w:t>utilizzo.</w:t>
      </w:r>
      <w:bookmarkStart w:id="1493" w:name="_90_System_Center"/>
      <w:bookmarkEnd w:id="1493"/>
    </w:p>
    <w:p w14:paraId="37D88912" w14:textId="77777777" w:rsidR="004F0CAE" w:rsidRPr="0058047D" w:rsidRDefault="004F0CAE" w:rsidP="004F0CAE">
      <w:bookmarkStart w:id="1494" w:name="_87_System_Center"/>
      <w:bookmarkStart w:id="1495" w:name="_Toc336338358"/>
      <w:bookmarkStart w:id="1496" w:name="Srv_101SystemCenter2012"/>
      <w:bookmarkStart w:id="1497" w:name="Srv_92TechNetPlusSingleUser"/>
      <w:bookmarkEnd w:id="1494"/>
    </w:p>
    <w:p w14:paraId="090F41B9" w14:textId="77777777" w:rsidR="004F0CAE" w:rsidRPr="0058047D" w:rsidRDefault="004F0CAE" w:rsidP="004F0CAE"/>
    <w:p w14:paraId="295902F1" w14:textId="77777777" w:rsidR="00FF4CAB" w:rsidRPr="0058047D" w:rsidRDefault="00A560B6" w:rsidP="00FF4CAB">
      <w:pPr>
        <w:pStyle w:val="Heading3"/>
      </w:pPr>
      <w:bookmarkStart w:id="1498" w:name="_91_89_System"/>
      <w:bookmarkStart w:id="1499" w:name="_96_System_Center"/>
      <w:bookmarkStart w:id="1500" w:name="_Toc371663747"/>
      <w:bookmarkEnd w:id="1498"/>
      <w:bookmarkEnd w:id="1499"/>
      <w:r w:rsidRPr="0058047D">
        <w:rPr>
          <w:rFonts w:ascii="Tahoma" w:hAnsi="Tahoma" w:cs="Tahoma"/>
          <w:caps/>
          <w:color w:val="FF6F0D"/>
          <w:sz w:val="22"/>
          <w:szCs w:val="22"/>
          <w:vertAlign w:val="superscript"/>
        </w:rPr>
        <w:t>94</w:t>
      </w:r>
      <w:r w:rsidRPr="0058047D">
        <w:rPr>
          <w:rFonts w:ascii="Tahoma" w:hAnsi="Tahoma" w:cs="Tahoma"/>
          <w:color w:val="FF6F0D"/>
          <w:sz w:val="22"/>
          <w:szCs w:val="22"/>
        </w:rPr>
        <w:t xml:space="preserve"> System Center 2012</w:t>
      </w:r>
      <w:bookmarkEnd w:id="1495"/>
      <w:r w:rsidRPr="0058047D">
        <w:rPr>
          <w:rFonts w:ascii="Tahoma" w:hAnsi="Tahoma" w:cs="Tahoma"/>
          <w:color w:val="FF6F0D"/>
          <w:sz w:val="22"/>
          <w:szCs w:val="22"/>
        </w:rPr>
        <w:t xml:space="preserve"> R2 Datacenter</w:t>
      </w:r>
      <w:bookmarkEnd w:id="1500"/>
    </w:p>
    <w:bookmarkEnd w:id="1496"/>
    <w:p w14:paraId="56D29BE2" w14:textId="77777777" w:rsidR="00FF4CAB" w:rsidRPr="0058047D" w:rsidRDefault="00FF4CAB" w:rsidP="004F0CAE"/>
    <w:p w14:paraId="68B3201D" w14:textId="77777777" w:rsidR="00A83EBB" w:rsidRPr="0058047D" w:rsidRDefault="00A83EBB" w:rsidP="00E077BC">
      <w:pPr>
        <w:numPr>
          <w:ilvl w:val="0"/>
          <w:numId w:val="52"/>
        </w:numPr>
        <w:spacing w:afterLines="60" w:after="144"/>
        <w:ind w:left="1440" w:hanging="274"/>
      </w:pPr>
      <w:r w:rsidRPr="0058047D">
        <w:rPr>
          <w:rFonts w:eastAsia="Calibri" w:cs="Tahoma"/>
          <w:szCs w:val="18"/>
        </w:rPr>
        <w:t>La versione successiva di System Center 2012 Datacenter è System Center 2012 R2 Datacenter.</w:t>
      </w:r>
      <w:r w:rsidRPr="0058047D">
        <w:rPr>
          <w:b/>
          <w:color w:val="000000"/>
        </w:rPr>
        <w:t xml:space="preserve"> </w:t>
      </w:r>
    </w:p>
    <w:p w14:paraId="3AE3F1C5" w14:textId="77777777" w:rsidR="00A83EBB" w:rsidRPr="0058047D" w:rsidRDefault="00A83EBB" w:rsidP="00E077BC">
      <w:pPr>
        <w:numPr>
          <w:ilvl w:val="0"/>
          <w:numId w:val="52"/>
        </w:numPr>
        <w:spacing w:afterLines="60" w:after="144"/>
        <w:ind w:left="1440" w:hanging="274"/>
      </w:pPr>
      <w:r w:rsidRPr="0058047D">
        <w:rPr>
          <w:color w:val="000000"/>
        </w:rPr>
        <w:t xml:space="preserve">Ciascuna licenza per System Center 2012 R2 Datacenter copre fino a due processori fisici. </w:t>
      </w:r>
    </w:p>
    <w:p w14:paraId="55BEE85C" w14:textId="77777777" w:rsidR="00A83EBB" w:rsidRPr="0058047D" w:rsidRDefault="00A83EBB" w:rsidP="00A83EBB"/>
    <w:p w14:paraId="17E4EA71" w14:textId="77777777" w:rsidR="00A83EBB" w:rsidRPr="0058047D" w:rsidRDefault="00162ADA" w:rsidP="00A83EBB">
      <w:pPr>
        <w:pStyle w:val="Heading3"/>
      </w:pPr>
      <w:bookmarkStart w:id="1501" w:name="_Toc371663748"/>
      <w:r w:rsidRPr="0058047D">
        <w:rPr>
          <w:rFonts w:ascii="Tahoma" w:hAnsi="Tahoma" w:cs="Tahoma"/>
          <w:caps/>
          <w:color w:val="FF6F0D"/>
          <w:sz w:val="22"/>
          <w:szCs w:val="22"/>
          <w:vertAlign w:val="superscript"/>
        </w:rPr>
        <w:t>95</w:t>
      </w:r>
      <w:r w:rsidRPr="0058047D">
        <w:rPr>
          <w:rFonts w:ascii="Tahoma" w:hAnsi="Tahoma" w:cs="Tahoma"/>
          <w:color w:val="FF6F0D"/>
          <w:sz w:val="22"/>
          <w:szCs w:val="22"/>
        </w:rPr>
        <w:t xml:space="preserve"> System Center 2012 R2 Standard</w:t>
      </w:r>
      <w:bookmarkEnd w:id="1501"/>
    </w:p>
    <w:p w14:paraId="44029C6F" w14:textId="77777777" w:rsidR="00A83EBB" w:rsidRPr="0058047D" w:rsidRDefault="00A83EBB" w:rsidP="00A83EBB"/>
    <w:p w14:paraId="33382EAF" w14:textId="77777777" w:rsidR="00A83EBB" w:rsidRPr="0058047D" w:rsidRDefault="00A83EBB" w:rsidP="00E077BC">
      <w:pPr>
        <w:numPr>
          <w:ilvl w:val="0"/>
          <w:numId w:val="52"/>
        </w:numPr>
        <w:spacing w:afterLines="60" w:after="144"/>
        <w:ind w:left="1440" w:hanging="274"/>
      </w:pPr>
      <w:r w:rsidRPr="0058047D">
        <w:rPr>
          <w:rFonts w:eastAsia="Calibri" w:cs="Tahoma"/>
          <w:szCs w:val="18"/>
        </w:rPr>
        <w:t>La versione successiva di System Center 2012 Standard è System Center 2012 R2 Standard.</w:t>
      </w:r>
    </w:p>
    <w:p w14:paraId="0D63B9AF" w14:textId="77777777" w:rsidR="00A83EBB" w:rsidRPr="0058047D" w:rsidRDefault="00A83EBB" w:rsidP="00E077BC">
      <w:pPr>
        <w:numPr>
          <w:ilvl w:val="0"/>
          <w:numId w:val="52"/>
        </w:numPr>
        <w:spacing w:afterLines="60" w:after="144"/>
        <w:ind w:left="1440" w:hanging="274"/>
      </w:pPr>
      <w:r w:rsidRPr="0058047D">
        <w:rPr>
          <w:b/>
          <w:color w:val="000000"/>
        </w:rPr>
        <w:t xml:space="preserve"> </w:t>
      </w:r>
      <w:r w:rsidRPr="0058047D">
        <w:rPr>
          <w:color w:val="000000"/>
        </w:rPr>
        <w:t xml:space="preserve">Ciascuna licenza per System Center 2012 R2 Standard copre fino a due processori fisici. </w:t>
      </w:r>
    </w:p>
    <w:p w14:paraId="45D71457" w14:textId="77777777" w:rsidR="00FE6686" w:rsidRPr="0058047D" w:rsidRDefault="00FE6686" w:rsidP="00FE6686"/>
    <w:p w14:paraId="6734160F" w14:textId="77777777" w:rsidR="00A83EBB" w:rsidRPr="0058047D" w:rsidRDefault="00162ADA" w:rsidP="00A83EBB">
      <w:pPr>
        <w:pStyle w:val="Heading3"/>
      </w:pPr>
      <w:bookmarkStart w:id="1502" w:name="_96_System_Center_1"/>
      <w:bookmarkStart w:id="1503" w:name="_Toc371663749"/>
      <w:bookmarkEnd w:id="1502"/>
      <w:r w:rsidRPr="0058047D">
        <w:rPr>
          <w:rFonts w:ascii="Tahoma" w:hAnsi="Tahoma" w:cs="Tahoma"/>
          <w:caps/>
          <w:color w:val="FF6F0D"/>
          <w:sz w:val="22"/>
          <w:szCs w:val="22"/>
          <w:vertAlign w:val="superscript"/>
        </w:rPr>
        <w:t>96</w:t>
      </w:r>
      <w:r w:rsidRPr="0058047D">
        <w:rPr>
          <w:rFonts w:ascii="Tahoma" w:hAnsi="Tahoma" w:cs="Tahoma"/>
          <w:color w:val="FF6F0D"/>
          <w:sz w:val="22"/>
          <w:szCs w:val="22"/>
        </w:rPr>
        <w:t xml:space="preserve"> System Center 2012 R2 Client Management Suite</w:t>
      </w:r>
      <w:bookmarkEnd w:id="1503"/>
    </w:p>
    <w:p w14:paraId="543F3017" w14:textId="77777777" w:rsidR="00A83EBB" w:rsidRPr="0058047D" w:rsidRDefault="00A83EBB" w:rsidP="00A83EBB"/>
    <w:p w14:paraId="1724B8C0" w14:textId="77777777" w:rsidR="00A83EBB" w:rsidRPr="0058047D" w:rsidRDefault="00A83EBB" w:rsidP="00E077BC">
      <w:pPr>
        <w:numPr>
          <w:ilvl w:val="0"/>
          <w:numId w:val="52"/>
        </w:numPr>
        <w:spacing w:afterLines="60" w:after="144"/>
        <w:ind w:left="1440" w:hanging="274"/>
      </w:pPr>
      <w:r w:rsidRPr="0058047D">
        <w:rPr>
          <w:rFonts w:eastAsia="Calibri" w:cs="Tahoma"/>
          <w:szCs w:val="18"/>
        </w:rPr>
        <w:t>La versione successiva di System Center 2012 Client Management Suite è System Center 2012 R2 Client Management Suite.</w:t>
      </w:r>
    </w:p>
    <w:p w14:paraId="76D061C8" w14:textId="77777777" w:rsidR="00A83EBB" w:rsidRPr="0058047D" w:rsidRDefault="00A83EBB" w:rsidP="00E077BC">
      <w:pPr>
        <w:numPr>
          <w:ilvl w:val="0"/>
          <w:numId w:val="52"/>
        </w:numPr>
        <w:spacing w:afterLines="60" w:after="144"/>
        <w:ind w:left="1440" w:hanging="274"/>
      </w:pPr>
      <w:r w:rsidRPr="0058047D">
        <w:rPr>
          <w:rFonts w:eastAsia="Calibri" w:cs="Tahoma"/>
          <w:szCs w:val="18"/>
        </w:rPr>
        <w:t xml:space="preserve">Le società con System Center Client Management Suite </w:t>
      </w:r>
      <w:r w:rsidRPr="0058047D">
        <w:rPr>
          <w:color w:val="000000"/>
        </w:rPr>
        <w:t>che disponevano della copertura Software Assurance per System Center Client Management Suite in data 1 aprile 2012 potranno essere idonee a eseguire l</w:t>
      </w:r>
      <w:r w:rsidR="001C4212">
        <w:rPr>
          <w:color w:val="000000"/>
        </w:rPr>
        <w:t>’</w:t>
      </w:r>
      <w:r w:rsidRPr="0058047D">
        <w:rPr>
          <w:color w:val="000000"/>
        </w:rPr>
        <w:t>aggiornamento alla versione 2012 in base a condizioni speciali</w:t>
      </w:r>
      <w:r w:rsidRPr="0058047D">
        <w:rPr>
          <w:rFonts w:eastAsia="Calibri" w:cs="Tahoma"/>
          <w:szCs w:val="18"/>
        </w:rPr>
        <w:t>.</w:t>
      </w:r>
      <w:r w:rsidR="00E34ED3" w:rsidRPr="0058047D">
        <w:rPr>
          <w:rFonts w:eastAsia="Calibri" w:cs="Tahoma"/>
          <w:szCs w:val="18"/>
        </w:rPr>
        <w:t xml:space="preserve"> </w:t>
      </w:r>
      <w:r w:rsidRPr="0058047D">
        <w:rPr>
          <w:rFonts w:eastAsia="Calibri" w:cs="Tahoma"/>
          <w:szCs w:val="18"/>
        </w:rPr>
        <w:t>Ulteriori informazioni dettagliate sono disponibili nella Lista dei Prodotti del mese di ottobre 2013.</w:t>
      </w:r>
    </w:p>
    <w:p w14:paraId="3344332A" w14:textId="77777777" w:rsidR="00A83EBB" w:rsidRPr="0058047D" w:rsidRDefault="00A83EBB" w:rsidP="00A83EBB"/>
    <w:p w14:paraId="5A6B8F53" w14:textId="77777777" w:rsidR="00A83EBB" w:rsidRPr="0058047D" w:rsidRDefault="00162ADA" w:rsidP="00A83EBB">
      <w:pPr>
        <w:pStyle w:val="Heading3"/>
      </w:pPr>
      <w:bookmarkStart w:id="1504" w:name="_97_System_Center_1"/>
      <w:bookmarkStart w:id="1505" w:name="_Toc371663750"/>
      <w:bookmarkEnd w:id="1504"/>
      <w:r w:rsidRPr="0058047D">
        <w:rPr>
          <w:rFonts w:ascii="Tahoma" w:hAnsi="Tahoma" w:cs="Tahoma"/>
          <w:caps/>
          <w:color w:val="FF6F0D"/>
          <w:sz w:val="22"/>
          <w:szCs w:val="22"/>
          <w:vertAlign w:val="superscript"/>
        </w:rPr>
        <w:t>97</w:t>
      </w:r>
      <w:r w:rsidRPr="0058047D">
        <w:rPr>
          <w:rFonts w:ascii="Tahoma" w:hAnsi="Tahoma" w:cs="Tahoma"/>
          <w:color w:val="FF6F0D"/>
          <w:sz w:val="22"/>
          <w:szCs w:val="22"/>
        </w:rPr>
        <w:t xml:space="preserve"> System Center 2012 R2 Configuration Manager</w:t>
      </w:r>
      <w:bookmarkEnd w:id="1505"/>
    </w:p>
    <w:p w14:paraId="6B663E6A" w14:textId="77777777" w:rsidR="00A83EBB" w:rsidRPr="0058047D" w:rsidRDefault="00A83EBB" w:rsidP="00A83EBB"/>
    <w:p w14:paraId="4C754B7D" w14:textId="77777777" w:rsidR="00A83EBB" w:rsidRPr="0058047D" w:rsidRDefault="00A83EBB" w:rsidP="00E077BC">
      <w:pPr>
        <w:numPr>
          <w:ilvl w:val="0"/>
          <w:numId w:val="52"/>
        </w:numPr>
        <w:spacing w:afterLines="60" w:after="144"/>
        <w:ind w:left="1440" w:hanging="274"/>
      </w:pPr>
      <w:r w:rsidRPr="0058047D">
        <w:rPr>
          <w:rFonts w:eastAsia="Calibri" w:cs="Tahoma"/>
          <w:szCs w:val="18"/>
        </w:rPr>
        <w:t>La versione successiva di System Center 2012 Configuration Manager è System Center 2012 R2 Configuration Manager.</w:t>
      </w:r>
    </w:p>
    <w:p w14:paraId="4ADDD24D" w14:textId="77777777" w:rsidR="00A83EBB" w:rsidRPr="0058047D" w:rsidRDefault="00A83EBB" w:rsidP="004F2A4E">
      <w:pPr>
        <w:numPr>
          <w:ilvl w:val="0"/>
          <w:numId w:val="52"/>
        </w:numPr>
        <w:ind w:left="1440" w:hanging="274"/>
      </w:pPr>
      <w:r w:rsidRPr="0058047D">
        <w:rPr>
          <w:b/>
          <w:color w:val="000000"/>
        </w:rPr>
        <w:t xml:space="preserve"> </w:t>
      </w:r>
      <w:r w:rsidRPr="0058047D">
        <w:rPr>
          <w:rFonts w:eastAsia="Calibri" w:cs="Tahoma"/>
          <w:szCs w:val="18"/>
        </w:rPr>
        <w:t xml:space="preserve">Le società con System Center Configuration Manager </w:t>
      </w:r>
      <w:r w:rsidRPr="0058047D">
        <w:rPr>
          <w:color w:val="000000"/>
        </w:rPr>
        <w:t>che disponevano della copertura Software Assurance per System Center Configuration Manager in data 1 aprile 2012 potranno essere idonee a eseguire l</w:t>
      </w:r>
      <w:r w:rsidR="001C4212">
        <w:rPr>
          <w:color w:val="000000"/>
        </w:rPr>
        <w:t>’</w:t>
      </w:r>
      <w:r w:rsidRPr="0058047D">
        <w:rPr>
          <w:color w:val="000000"/>
        </w:rPr>
        <w:t>aggiornamento alla versione 2012 in base a condizioni speciali</w:t>
      </w:r>
      <w:r w:rsidRPr="0058047D">
        <w:rPr>
          <w:rFonts w:eastAsia="Calibri" w:cs="Tahoma"/>
          <w:szCs w:val="18"/>
        </w:rPr>
        <w:t>.</w:t>
      </w:r>
      <w:r w:rsidR="00E34ED3" w:rsidRPr="0058047D">
        <w:rPr>
          <w:rFonts w:eastAsia="Calibri" w:cs="Tahoma"/>
          <w:szCs w:val="18"/>
        </w:rPr>
        <w:t xml:space="preserve"> </w:t>
      </w:r>
      <w:r w:rsidRPr="0058047D">
        <w:rPr>
          <w:rFonts w:eastAsia="Calibri" w:cs="Tahoma"/>
          <w:szCs w:val="18"/>
        </w:rPr>
        <w:t>Ulteriori informazioni dettagliate sono disponibili nella Lista dei Prodotti del mese di ottobre 2013.</w:t>
      </w:r>
    </w:p>
    <w:p w14:paraId="3AD9B049" w14:textId="77777777" w:rsidR="00FF4CAB" w:rsidRDefault="00E822D9" w:rsidP="004F2A4E">
      <w:pPr>
        <w:ind w:left="720"/>
        <w:rPr>
          <w:rFonts w:cs="Tahoma"/>
          <w:szCs w:val="18"/>
        </w:rPr>
      </w:pPr>
      <w:r w:rsidRPr="0058047D">
        <w:rPr>
          <w:rFonts w:cs="Tahoma"/>
          <w:szCs w:val="18"/>
        </w:rPr>
        <w:t xml:space="preserve"> </w:t>
      </w:r>
    </w:p>
    <w:p w14:paraId="4C4CB1F7" w14:textId="77777777" w:rsidR="00DB2CD3" w:rsidRDefault="00DB2CD3" w:rsidP="004F2A4E">
      <w:pPr>
        <w:ind w:left="720"/>
        <w:rPr>
          <w:rFonts w:cs="Tahoma"/>
          <w:szCs w:val="18"/>
        </w:rPr>
      </w:pPr>
    </w:p>
    <w:p w14:paraId="35543B94" w14:textId="77777777" w:rsidR="00DB2CD3" w:rsidRDefault="00DB2CD3" w:rsidP="004F2A4E">
      <w:pPr>
        <w:ind w:left="720"/>
        <w:rPr>
          <w:rFonts w:cs="Tahoma"/>
          <w:szCs w:val="18"/>
        </w:rPr>
      </w:pPr>
    </w:p>
    <w:p w14:paraId="7B7E775A" w14:textId="77777777" w:rsidR="00DB2CD3" w:rsidRPr="0058047D" w:rsidRDefault="00DB2CD3" w:rsidP="004F2A4E">
      <w:pPr>
        <w:ind w:left="720"/>
      </w:pPr>
    </w:p>
    <w:p w14:paraId="3DB5A8B0" w14:textId="77777777" w:rsidR="00FF4CAB" w:rsidRPr="0058047D" w:rsidRDefault="00FF4CAB" w:rsidP="00FF4CAB"/>
    <w:p w14:paraId="7D153E7A" w14:textId="77777777" w:rsidR="00916E81" w:rsidRPr="0058047D" w:rsidRDefault="00A560B6" w:rsidP="002D35ED">
      <w:pPr>
        <w:pStyle w:val="Heading3"/>
      </w:pPr>
      <w:bookmarkStart w:id="1506" w:name="_103_System_Center"/>
      <w:bookmarkStart w:id="1507" w:name="_91_System_Center"/>
      <w:bookmarkStart w:id="1508" w:name="_97_System_Center"/>
      <w:bookmarkStart w:id="1509" w:name="Srv_102SysCtr2012EndpointProt"/>
      <w:bookmarkStart w:id="1510" w:name="_Toc336338359"/>
      <w:bookmarkStart w:id="1511" w:name="_Toc371663751"/>
      <w:bookmarkEnd w:id="1506"/>
      <w:bookmarkEnd w:id="1507"/>
      <w:bookmarkEnd w:id="1508"/>
      <w:r w:rsidRPr="0058047D">
        <w:rPr>
          <w:rFonts w:ascii="Tahoma" w:hAnsi="Tahoma" w:cs="Tahoma"/>
          <w:caps/>
          <w:color w:val="F66400"/>
          <w:sz w:val="22"/>
          <w:szCs w:val="22"/>
          <w:vertAlign w:val="superscript"/>
        </w:rPr>
        <w:t>98</w:t>
      </w:r>
      <w:r w:rsidRPr="0058047D">
        <w:rPr>
          <w:rFonts w:ascii="Tahoma" w:hAnsi="Tahoma" w:cs="Tahoma"/>
          <w:color w:val="F66400"/>
          <w:sz w:val="22"/>
          <w:szCs w:val="22"/>
        </w:rPr>
        <w:t xml:space="preserve"> System Center 2012 R2 Endpoint Protection</w:t>
      </w:r>
      <w:bookmarkEnd w:id="1509"/>
      <w:bookmarkEnd w:id="1510"/>
      <w:bookmarkEnd w:id="1511"/>
    </w:p>
    <w:p w14:paraId="330AC6A8" w14:textId="77777777" w:rsidR="00916E81" w:rsidRPr="00DB2CD3" w:rsidRDefault="00916E81" w:rsidP="00C21BCF">
      <w:pPr>
        <w:ind w:left="720"/>
        <w:rPr>
          <w:sz w:val="16"/>
          <w:szCs w:val="16"/>
        </w:rPr>
      </w:pPr>
    </w:p>
    <w:p w14:paraId="3F73EA15" w14:textId="77777777" w:rsidR="00C21BCF" w:rsidRPr="0058047D" w:rsidRDefault="00A0581B" w:rsidP="00A0581B">
      <w:pPr>
        <w:spacing w:after="60"/>
        <w:ind w:left="720"/>
      </w:pPr>
      <w:r w:rsidRPr="0058047D">
        <w:rPr>
          <w:rFonts w:eastAsia="Calibri" w:cs="Tahoma"/>
          <w:b/>
          <w:szCs w:val="18"/>
        </w:rPr>
        <w:t>Aggiornamenti/Downgrade</w:t>
      </w:r>
    </w:p>
    <w:p w14:paraId="5CE7F34E" w14:textId="77777777" w:rsidR="00C21BCF" w:rsidRPr="0058047D" w:rsidRDefault="00C21BCF" w:rsidP="00C21BCF">
      <w:pPr>
        <w:ind w:left="720"/>
      </w:pPr>
      <w:r w:rsidRPr="0058047D">
        <w:rPr>
          <w:rFonts w:eastAsia="Calibri" w:cs="Tahoma"/>
          <w:szCs w:val="18"/>
        </w:rPr>
        <w:t>A partire dal 1 aprile 2012 l</w:t>
      </w:r>
      <w:r w:rsidR="001C4212">
        <w:rPr>
          <w:rFonts w:eastAsia="Calibri" w:cs="Tahoma"/>
          <w:szCs w:val="18"/>
        </w:rPr>
        <w:t>’</w:t>
      </w:r>
      <w:r w:rsidRPr="0058047D">
        <w:rPr>
          <w:rFonts w:eastAsia="Calibri" w:cs="Tahoma"/>
          <w:szCs w:val="18"/>
        </w:rPr>
        <w:t>applicazione Forefront Endpoint Protection è diventata System Center 2012 Endpoint Protection. System Center 2012 R2 Endpoint Protection, trattandosi di un</w:t>
      </w:r>
      <w:r w:rsidR="001C4212">
        <w:rPr>
          <w:rFonts w:eastAsia="Calibri" w:cs="Tahoma"/>
          <w:szCs w:val="18"/>
        </w:rPr>
        <w:t>’</w:t>
      </w:r>
      <w:r w:rsidRPr="0058047D">
        <w:rPr>
          <w:rFonts w:eastAsia="Calibri" w:cs="Tahoma"/>
          <w:szCs w:val="18"/>
        </w:rPr>
        <w:t>offerta standalone, conferisce diritti sull</w:t>
      </w:r>
      <w:r w:rsidR="001C4212">
        <w:rPr>
          <w:rFonts w:eastAsia="Calibri" w:cs="Tahoma"/>
          <w:szCs w:val="18"/>
        </w:rPr>
        <w:t>’</w:t>
      </w:r>
      <w:r w:rsidRPr="0058047D">
        <w:rPr>
          <w:rFonts w:eastAsia="Calibri" w:cs="Tahoma"/>
          <w:szCs w:val="18"/>
        </w:rPr>
        <w:t>utilizzo solo per proteggere i dispositivi client. I diritti sull</w:t>
      </w:r>
      <w:r w:rsidR="001C4212">
        <w:rPr>
          <w:rFonts w:eastAsia="Calibri" w:cs="Tahoma"/>
          <w:szCs w:val="18"/>
        </w:rPr>
        <w:t>’</w:t>
      </w:r>
      <w:r w:rsidRPr="0058047D">
        <w:rPr>
          <w:rFonts w:eastAsia="Calibri" w:cs="Tahoma"/>
          <w:szCs w:val="18"/>
        </w:rPr>
        <w:t>utilizzo per la protezione dei dispositivi server possono essere acquistati solo tramite l</w:t>
      </w:r>
      <w:r w:rsidR="001C4212">
        <w:rPr>
          <w:rFonts w:eastAsia="Calibri" w:cs="Tahoma"/>
          <w:szCs w:val="18"/>
        </w:rPr>
        <w:t>’</w:t>
      </w:r>
      <w:r w:rsidRPr="0058047D">
        <w:rPr>
          <w:rFonts w:eastAsia="Calibri" w:cs="Tahoma"/>
          <w:szCs w:val="18"/>
        </w:rPr>
        <w:t>acquisto di licenze di gestione server per System Center 2012 R2 Standard o Datacenter.</w:t>
      </w:r>
    </w:p>
    <w:p w14:paraId="496DE2B5" w14:textId="77777777" w:rsidR="00C21BCF" w:rsidRPr="00DB2CD3" w:rsidRDefault="00C21BCF" w:rsidP="00C21BCF">
      <w:pPr>
        <w:ind w:left="720"/>
        <w:rPr>
          <w:sz w:val="16"/>
          <w:szCs w:val="16"/>
        </w:rPr>
      </w:pPr>
    </w:p>
    <w:p w14:paraId="179F1EC3" w14:textId="77777777" w:rsidR="00C21BCF" w:rsidRPr="0058047D" w:rsidRDefault="00C21BCF" w:rsidP="00C21BCF">
      <w:pPr>
        <w:ind w:left="720"/>
      </w:pPr>
      <w:r w:rsidRPr="0058047D">
        <w:rPr>
          <w:rFonts w:eastAsia="Calibri" w:cs="Tahoma"/>
          <w:szCs w:val="18"/>
        </w:rPr>
        <w:t>Gli utenti con sottoscrizioni di Forefront Endpoint Protection attive che utilizzano il servizio per proteggere i dispositivi client possono effettuare l</w:t>
      </w:r>
      <w:r w:rsidR="001C4212">
        <w:rPr>
          <w:rFonts w:eastAsia="Calibri" w:cs="Tahoma"/>
          <w:szCs w:val="18"/>
        </w:rPr>
        <w:t>’</w:t>
      </w:r>
      <w:r w:rsidRPr="0058047D">
        <w:rPr>
          <w:rFonts w:eastAsia="Calibri" w:cs="Tahoma"/>
          <w:szCs w:val="18"/>
        </w:rPr>
        <w:t>aggiornamento a System Center 2012 Endpoint Protection e utilizzare l</w:t>
      </w:r>
      <w:r w:rsidR="001C4212">
        <w:rPr>
          <w:rFonts w:eastAsia="Calibri" w:cs="Tahoma"/>
          <w:szCs w:val="18"/>
        </w:rPr>
        <w:t>’</w:t>
      </w:r>
      <w:r w:rsidRPr="0058047D">
        <w:rPr>
          <w:rFonts w:eastAsia="Calibri" w:cs="Tahoma"/>
          <w:szCs w:val="18"/>
        </w:rPr>
        <w:t>applicazione per lo stesso scopo. Le società in possesso di sottoscrizioni di System Center 2012 Endpoint Protection potranno anche effettuare il downgrade a Forefront Endpoint Protection.</w:t>
      </w:r>
    </w:p>
    <w:p w14:paraId="4E6BCC9F" w14:textId="77777777" w:rsidR="00C21BCF" w:rsidRPr="00DB2CD3" w:rsidRDefault="00C21BCF" w:rsidP="00C21BCF">
      <w:pPr>
        <w:ind w:left="720"/>
        <w:rPr>
          <w:sz w:val="16"/>
          <w:szCs w:val="16"/>
        </w:rPr>
      </w:pPr>
    </w:p>
    <w:p w14:paraId="1895C8EE" w14:textId="77777777" w:rsidR="00C21BCF" w:rsidRPr="0058047D" w:rsidRDefault="00C21BCF" w:rsidP="00C21BCF">
      <w:pPr>
        <w:ind w:left="720"/>
      </w:pPr>
      <w:r w:rsidRPr="0058047D">
        <w:rPr>
          <w:rFonts w:eastAsia="Calibri" w:cs="Tahoma"/>
          <w:szCs w:val="18"/>
        </w:rPr>
        <w:t>System Center 2012 R2 Configuration Manager è la console di gestione di System Center 2012 Endpoint Protection. Le società dovranno avere la licenza per System Center 2012 R2 Configuration Manager per fornire funzionalità di gestione a System Center 2012 R2 Endpoint Protection. In alternativa, System Center 2012 R2 Endpoint Protection può essere utilizzato senza funzionalità di gestione e senza dovere acquistare la licenza per System Center 2012 R2 Configuration Manager.</w:t>
      </w:r>
      <w:r w:rsidR="00E34ED3" w:rsidRPr="0058047D">
        <w:rPr>
          <w:rFonts w:eastAsia="Calibri" w:cs="Tahoma"/>
          <w:szCs w:val="18"/>
        </w:rPr>
        <w:t xml:space="preserve"> </w:t>
      </w:r>
    </w:p>
    <w:p w14:paraId="454A0BC8" w14:textId="77777777" w:rsidR="00C21BCF" w:rsidRPr="00DB2CD3" w:rsidRDefault="00C21BCF" w:rsidP="00C21BCF">
      <w:pPr>
        <w:ind w:left="720"/>
        <w:rPr>
          <w:sz w:val="16"/>
          <w:szCs w:val="16"/>
        </w:rPr>
      </w:pPr>
    </w:p>
    <w:p w14:paraId="44B2CFC6" w14:textId="77777777" w:rsidR="00C21BCF" w:rsidRPr="0058047D" w:rsidRDefault="00A0581B" w:rsidP="00A0581B">
      <w:pPr>
        <w:spacing w:after="60"/>
        <w:ind w:left="720"/>
      </w:pPr>
      <w:r w:rsidRPr="0058047D">
        <w:rPr>
          <w:rFonts w:eastAsia="Calibri" w:cs="Tahoma"/>
          <w:b/>
          <w:szCs w:val="18"/>
        </w:rPr>
        <w:t>Home Use Program</w:t>
      </w:r>
    </w:p>
    <w:p w14:paraId="1AD9A9C9" w14:textId="77777777" w:rsidR="00FF4CAB" w:rsidRPr="0058047D" w:rsidRDefault="00C21BCF" w:rsidP="00A0581B">
      <w:pPr>
        <w:ind w:left="720"/>
      </w:pPr>
      <w:r w:rsidRPr="0058047D">
        <w:rPr>
          <w:rFonts w:eastAsia="Calibri" w:cs="Tahoma"/>
          <w:szCs w:val="18"/>
        </w:rPr>
        <w:t>Le società in possesso di Licenze “Subscription” per Utente attive per System Center 2012 Endpoint Protection si qualificano per il programma Home Use Program.</w:t>
      </w:r>
    </w:p>
    <w:p w14:paraId="2B53491B" w14:textId="77777777" w:rsidR="00A0581B" w:rsidRPr="00DB2CD3" w:rsidRDefault="00A0581B" w:rsidP="00A0581B">
      <w:pPr>
        <w:rPr>
          <w:sz w:val="16"/>
          <w:szCs w:val="16"/>
        </w:rPr>
      </w:pPr>
    </w:p>
    <w:p w14:paraId="3528566B" w14:textId="77777777" w:rsidR="001704C2" w:rsidRPr="00DB2CD3" w:rsidRDefault="001704C2" w:rsidP="001704C2">
      <w:pPr>
        <w:rPr>
          <w:sz w:val="16"/>
          <w:szCs w:val="16"/>
        </w:rPr>
      </w:pPr>
      <w:bookmarkStart w:id="1512" w:name="_91_TechNet_Plus"/>
      <w:bookmarkStart w:id="1513" w:name="_98_TechNet_Plus"/>
      <w:bookmarkEnd w:id="1497"/>
      <w:bookmarkEnd w:id="1512"/>
      <w:bookmarkEnd w:id="1513"/>
    </w:p>
    <w:p w14:paraId="678816E4" w14:textId="77777777" w:rsidR="00981B58" w:rsidRPr="0058047D" w:rsidRDefault="005B4D93" w:rsidP="00E8145C">
      <w:pPr>
        <w:pStyle w:val="Heading2"/>
        <w:ind w:left="0"/>
      </w:pPr>
      <w:bookmarkStart w:id="1514" w:name="_92_Visual_Studio"/>
      <w:bookmarkStart w:id="1515" w:name="_90_VDI_Standard"/>
      <w:bookmarkStart w:id="1516" w:name="_99_VDI_Standard"/>
      <w:bookmarkStart w:id="1517" w:name="_91_Vexcel_Server,"/>
      <w:bookmarkStart w:id="1518" w:name="_105_Windows_Azure"/>
      <w:bookmarkStart w:id="1519" w:name="_100_Windows_Azure"/>
      <w:bookmarkStart w:id="1520" w:name="_99_Visual_Studio"/>
      <w:bookmarkStart w:id="1521" w:name="_Toc371663752"/>
      <w:bookmarkStart w:id="1522" w:name="_Toc336338362"/>
      <w:bookmarkStart w:id="1523" w:name="Srv_94VSLoadTestVirtualUserPack10"/>
      <w:bookmarkEnd w:id="1514"/>
      <w:bookmarkEnd w:id="1515"/>
      <w:bookmarkEnd w:id="1516"/>
      <w:bookmarkEnd w:id="1517"/>
      <w:bookmarkEnd w:id="1518"/>
      <w:bookmarkEnd w:id="1519"/>
      <w:bookmarkEnd w:id="1520"/>
      <w:r w:rsidRPr="0058047D">
        <w:rPr>
          <w:rFonts w:ascii="Tahoma" w:hAnsi="Tahoma" w:cs="Tahoma"/>
          <w:caps/>
          <w:color w:val="EE6000"/>
          <w:sz w:val="22"/>
          <w:szCs w:val="18"/>
          <w:vertAlign w:val="superscript"/>
        </w:rPr>
        <w:t xml:space="preserve">99 </w:t>
      </w:r>
      <w:r w:rsidRPr="0058047D">
        <w:rPr>
          <w:rFonts w:ascii="Tahoma" w:hAnsi="Tahoma" w:cs="Tahoma"/>
          <w:color w:val="F8701C"/>
          <w:sz w:val="22"/>
          <w:szCs w:val="22"/>
        </w:rPr>
        <w:t>Visual Studio Deployment 2013 Datacenter</w:t>
      </w:r>
      <w:bookmarkEnd w:id="1521"/>
    </w:p>
    <w:p w14:paraId="6AE328BA" w14:textId="77777777" w:rsidR="00981B58" w:rsidRPr="00DB2CD3" w:rsidRDefault="00981B58" w:rsidP="00981B58">
      <w:pPr>
        <w:rPr>
          <w:sz w:val="16"/>
          <w:szCs w:val="16"/>
        </w:rPr>
      </w:pPr>
    </w:p>
    <w:p w14:paraId="279E6A19" w14:textId="77777777" w:rsidR="00981B58" w:rsidRPr="0058047D" w:rsidRDefault="00981B58" w:rsidP="00981B58">
      <w:pPr>
        <w:spacing w:after="60"/>
        <w:ind w:left="720"/>
      </w:pPr>
      <w:r w:rsidRPr="0058047D">
        <w:rPr>
          <w:rFonts w:cs="Tahoma"/>
          <w:b/>
        </w:rPr>
        <w:t>Requisiti di Idoneità per i Supporti di Memorizzazione per Visual Studio Deployment 2013</w:t>
      </w:r>
    </w:p>
    <w:p w14:paraId="035904BF" w14:textId="77777777" w:rsidR="00981B58" w:rsidRPr="0058047D" w:rsidRDefault="003C5AFC" w:rsidP="00981B58">
      <w:pPr>
        <w:ind w:left="720"/>
      </w:pPr>
      <w:r w:rsidRPr="0058047D">
        <w:rPr>
          <w:rFonts w:cs="Tahoma"/>
          <w:szCs w:val="18"/>
        </w:rPr>
        <w:t>Il software concesso in licenza sarà disponibile solo tramite il download elettronico insieme all</w:t>
      </w:r>
      <w:r w:rsidR="001C4212">
        <w:rPr>
          <w:rFonts w:cs="Tahoma"/>
          <w:szCs w:val="18"/>
        </w:rPr>
        <w:t>’</w:t>
      </w:r>
      <w:r w:rsidRPr="0058047D">
        <w:rPr>
          <w:rFonts w:cs="Tahoma"/>
          <w:szCs w:val="18"/>
        </w:rPr>
        <w:t>introduzione delle edizioni Data Center e Standard di Visual Studio Deployment 2013.</w:t>
      </w:r>
      <w:r w:rsidR="00E34ED3" w:rsidRPr="0058047D">
        <w:rPr>
          <w:rFonts w:cs="Tahoma"/>
          <w:szCs w:val="18"/>
        </w:rPr>
        <w:t xml:space="preserve"> </w:t>
      </w:r>
      <w:r w:rsidRPr="0058047D">
        <w:rPr>
          <w:rFonts w:cs="Tahoma"/>
          <w:szCs w:val="18"/>
        </w:rPr>
        <w:t>Non saranno offerte altre opzioni che prevedano supporti di memorizzazione fisici.</w:t>
      </w:r>
      <w:r w:rsidR="00E34ED3" w:rsidRPr="0058047D">
        <w:rPr>
          <w:rFonts w:cs="Tahoma"/>
          <w:szCs w:val="18"/>
        </w:rPr>
        <w:t xml:space="preserve"> </w:t>
      </w:r>
    </w:p>
    <w:p w14:paraId="0917C7B1" w14:textId="77777777" w:rsidR="00981B58" w:rsidRPr="00DB2CD3" w:rsidRDefault="00981B58" w:rsidP="00981B58">
      <w:pPr>
        <w:rPr>
          <w:sz w:val="16"/>
          <w:szCs w:val="16"/>
        </w:rPr>
      </w:pPr>
    </w:p>
    <w:p w14:paraId="70547C88" w14:textId="77777777" w:rsidR="00981B58" w:rsidRPr="00DB2CD3" w:rsidRDefault="00981B58" w:rsidP="00981B58">
      <w:pPr>
        <w:rPr>
          <w:sz w:val="16"/>
          <w:szCs w:val="16"/>
        </w:rPr>
      </w:pPr>
    </w:p>
    <w:p w14:paraId="743A6630" w14:textId="77777777" w:rsidR="00981B58" w:rsidRPr="0058047D" w:rsidRDefault="00981B58" w:rsidP="00981B58">
      <w:pPr>
        <w:pStyle w:val="Heading2"/>
        <w:ind w:left="0"/>
      </w:pPr>
      <w:bookmarkStart w:id="1524" w:name="_100_Visual_Studio"/>
      <w:bookmarkStart w:id="1525" w:name="_Toc371663753"/>
      <w:bookmarkEnd w:id="1524"/>
      <w:r w:rsidRPr="0058047D">
        <w:rPr>
          <w:rFonts w:ascii="Tahoma" w:hAnsi="Tahoma" w:cs="Tahoma"/>
          <w:caps/>
          <w:color w:val="EE6000"/>
          <w:sz w:val="22"/>
          <w:szCs w:val="18"/>
          <w:vertAlign w:val="superscript"/>
        </w:rPr>
        <w:t xml:space="preserve">100 </w:t>
      </w:r>
      <w:r w:rsidRPr="0058047D">
        <w:rPr>
          <w:rFonts w:ascii="Tahoma" w:hAnsi="Tahoma" w:cs="Tahoma"/>
          <w:color w:val="F8701C"/>
          <w:sz w:val="22"/>
          <w:szCs w:val="22"/>
        </w:rPr>
        <w:t>Visual Studio Deployment 2013 Standard</w:t>
      </w:r>
      <w:bookmarkEnd w:id="1525"/>
    </w:p>
    <w:p w14:paraId="7F6F3825" w14:textId="77777777" w:rsidR="00981B58" w:rsidRPr="00DB2CD3" w:rsidRDefault="00981B58" w:rsidP="00981B58">
      <w:pPr>
        <w:widowControl w:val="0"/>
        <w:jc w:val="both"/>
        <w:rPr>
          <w:sz w:val="16"/>
          <w:szCs w:val="16"/>
        </w:rPr>
      </w:pPr>
    </w:p>
    <w:p w14:paraId="68C9D541" w14:textId="77777777" w:rsidR="00981B58" w:rsidRPr="0058047D" w:rsidRDefault="00981B58" w:rsidP="00981B58">
      <w:pPr>
        <w:spacing w:after="60"/>
        <w:ind w:left="720"/>
      </w:pPr>
      <w:r w:rsidRPr="0058047D">
        <w:rPr>
          <w:rFonts w:cs="Tahoma"/>
          <w:b/>
        </w:rPr>
        <w:t>Requisiti di Idoneità per i Supporti di Memorizzazione per Visual Studio Deployment 2013</w:t>
      </w:r>
    </w:p>
    <w:p w14:paraId="22071B85" w14:textId="77777777" w:rsidR="00981B58" w:rsidRPr="0058047D" w:rsidRDefault="003C5AFC" w:rsidP="00981B58">
      <w:pPr>
        <w:ind w:left="720"/>
      </w:pPr>
      <w:r w:rsidRPr="0058047D">
        <w:rPr>
          <w:rFonts w:cs="Tahoma"/>
          <w:szCs w:val="18"/>
        </w:rPr>
        <w:t>Il software concesso in licenza sarà disponibile solo tramite il download elettronico insieme all</w:t>
      </w:r>
      <w:r w:rsidR="001C4212">
        <w:rPr>
          <w:rFonts w:cs="Tahoma"/>
          <w:szCs w:val="18"/>
        </w:rPr>
        <w:t>’</w:t>
      </w:r>
      <w:r w:rsidRPr="0058047D">
        <w:rPr>
          <w:rFonts w:cs="Tahoma"/>
          <w:szCs w:val="18"/>
        </w:rPr>
        <w:t>introduzione delle edizioni Data Center e Standard di Visual Studio Deployment 2013.</w:t>
      </w:r>
      <w:r w:rsidR="00E34ED3" w:rsidRPr="0058047D">
        <w:rPr>
          <w:rFonts w:cs="Tahoma"/>
          <w:szCs w:val="18"/>
        </w:rPr>
        <w:t xml:space="preserve"> </w:t>
      </w:r>
      <w:r w:rsidRPr="0058047D">
        <w:rPr>
          <w:rFonts w:cs="Tahoma"/>
          <w:szCs w:val="18"/>
        </w:rPr>
        <w:t xml:space="preserve">Non saranno offerte altre opzioni che prevedano supporti di memorizzazione fisici. </w:t>
      </w:r>
    </w:p>
    <w:p w14:paraId="05B78F4B" w14:textId="77777777" w:rsidR="00981B58" w:rsidRPr="00DB2CD3" w:rsidRDefault="00981B58" w:rsidP="00981B58">
      <w:pPr>
        <w:rPr>
          <w:sz w:val="16"/>
          <w:szCs w:val="16"/>
        </w:rPr>
      </w:pPr>
    </w:p>
    <w:p w14:paraId="6E00D8C8" w14:textId="77777777" w:rsidR="00981B58" w:rsidRPr="00DB2CD3" w:rsidRDefault="00981B58" w:rsidP="00981B58">
      <w:pPr>
        <w:rPr>
          <w:sz w:val="16"/>
          <w:szCs w:val="16"/>
        </w:rPr>
      </w:pPr>
    </w:p>
    <w:p w14:paraId="318954C3" w14:textId="77777777" w:rsidR="00E8145C" w:rsidRPr="0058047D" w:rsidRDefault="00981B58" w:rsidP="00E8145C">
      <w:pPr>
        <w:pStyle w:val="Heading2"/>
        <w:ind w:left="0"/>
      </w:pPr>
      <w:bookmarkStart w:id="1526" w:name="_101_Servizi_di"/>
      <w:bookmarkStart w:id="1527" w:name="_Toc371663754"/>
      <w:bookmarkEnd w:id="1526"/>
      <w:r w:rsidRPr="0058047D">
        <w:rPr>
          <w:rFonts w:ascii="Tahoma" w:hAnsi="Tahoma" w:cs="Tahoma"/>
          <w:caps/>
          <w:color w:val="FF6600"/>
          <w:sz w:val="22"/>
          <w:vertAlign w:val="superscript"/>
        </w:rPr>
        <w:t xml:space="preserve">101 </w:t>
      </w:r>
      <w:r w:rsidRPr="0058047D">
        <w:rPr>
          <w:rFonts w:ascii="Tahoma" w:hAnsi="Tahoma" w:cs="Tahoma"/>
          <w:color w:val="F8701C"/>
          <w:sz w:val="22"/>
          <w:szCs w:val="22"/>
        </w:rPr>
        <w:t>Servizi di Windows Azure</w:t>
      </w:r>
      <w:bookmarkEnd w:id="1522"/>
      <w:bookmarkEnd w:id="1527"/>
    </w:p>
    <w:p w14:paraId="7C858A16" w14:textId="77777777" w:rsidR="00E8145C" w:rsidRPr="00DB2CD3" w:rsidRDefault="00E8145C" w:rsidP="00B76943">
      <w:pPr>
        <w:widowControl w:val="0"/>
        <w:jc w:val="both"/>
        <w:rPr>
          <w:sz w:val="16"/>
          <w:szCs w:val="16"/>
        </w:rPr>
      </w:pPr>
    </w:p>
    <w:p w14:paraId="2A0F789C" w14:textId="77777777" w:rsidR="00B76943" w:rsidRPr="0058047D" w:rsidRDefault="00E8145C" w:rsidP="00B76943">
      <w:pPr>
        <w:widowControl w:val="0"/>
        <w:spacing w:after="60"/>
        <w:ind w:left="720"/>
        <w:jc w:val="both"/>
      </w:pPr>
      <w:r w:rsidRPr="0058047D">
        <w:rPr>
          <w:b/>
          <w:color w:val="000000"/>
        </w:rPr>
        <w:t>Impegno in termini di Risorse di Calcolo per Windows Azure</w:t>
      </w:r>
    </w:p>
    <w:p w14:paraId="2E92D403" w14:textId="77777777" w:rsidR="00E8145C" w:rsidRPr="0058047D" w:rsidRDefault="00E8145C" w:rsidP="00B76943">
      <w:pPr>
        <w:widowControl w:val="0"/>
        <w:ind w:left="720"/>
        <w:jc w:val="both"/>
      </w:pPr>
      <w:r w:rsidRPr="0058047D">
        <w:t>Per il servizio Calcolo di Windows Azure, Microsoft accetta di fornire alla società un Impegno in termini di</w:t>
      </w:r>
      <w:r w:rsidR="00FE6686">
        <w:t> </w:t>
      </w:r>
      <w:r w:rsidRPr="0058047D">
        <w:t>Risorse di Calcolo. L</w:t>
      </w:r>
      <w:r w:rsidR="001C4212">
        <w:t>’</w:t>
      </w:r>
      <w:r w:rsidRPr="0058047D">
        <w:t xml:space="preserve">Impegno in termini di Risorse di Calcolo sarà pari al maggiore tra (1) </w:t>
      </w:r>
      <w:r w:rsidRPr="0058047D">
        <w:rPr>
          <w:rFonts w:eastAsia="Times New Roman"/>
          <w:color w:val="000000"/>
        </w:rPr>
        <w:t>50 istanze di</w:t>
      </w:r>
      <w:r w:rsidR="00FE6686">
        <w:rPr>
          <w:rFonts w:eastAsia="Times New Roman"/>
          <w:color w:val="000000"/>
        </w:rPr>
        <w:t> </w:t>
      </w:r>
      <w:r w:rsidRPr="0058047D">
        <w:rPr>
          <w:rFonts w:eastAsia="Times New Roman"/>
          <w:color w:val="000000"/>
        </w:rPr>
        <w:t xml:space="preserve">calcolo di piccole dimensioni concorrenti al mese oppure (2) </w:t>
      </w:r>
      <w:r w:rsidRPr="0058047D">
        <w:t>il 125% dell</w:t>
      </w:r>
      <w:r w:rsidR="001C4212">
        <w:t>’</w:t>
      </w:r>
      <w:r w:rsidRPr="0058047D">
        <w:t xml:space="preserve">Utilizzo Stimato del Calcolo della società (come indicato di seguito). </w:t>
      </w:r>
    </w:p>
    <w:p w14:paraId="51DC3AAD" w14:textId="77777777" w:rsidR="00B76943" w:rsidRPr="00DB2CD3" w:rsidRDefault="00B76943" w:rsidP="00B76943">
      <w:pPr>
        <w:widowControl w:val="0"/>
        <w:ind w:left="720"/>
        <w:jc w:val="both"/>
        <w:rPr>
          <w:sz w:val="16"/>
          <w:szCs w:val="16"/>
        </w:rPr>
      </w:pPr>
    </w:p>
    <w:p w14:paraId="08C3D28C" w14:textId="77777777" w:rsidR="00E8145C" w:rsidRPr="0058047D" w:rsidRDefault="00E8145C" w:rsidP="00B76943">
      <w:pPr>
        <w:widowControl w:val="0"/>
        <w:ind w:left="720"/>
        <w:jc w:val="both"/>
      </w:pPr>
      <w:r w:rsidRPr="0058047D">
        <w:t>L</w:t>
      </w:r>
      <w:r w:rsidR="001C4212">
        <w:t>’</w:t>
      </w:r>
      <w:r w:rsidRPr="0058047D">
        <w:t>“Utilizzo Stimato del Calcolo” viene calcolato dividendo l</w:t>
      </w:r>
      <w:r w:rsidR="001C4212">
        <w:t>’</w:t>
      </w:r>
      <w:r w:rsidRPr="0058047D">
        <w:t>Impegno Monetario della società per il numero di</w:t>
      </w:r>
      <w:r w:rsidR="00FE6686">
        <w:t> </w:t>
      </w:r>
      <w:r w:rsidRPr="0058047D">
        <w:t>mesi coperti da tale Impegno Monetario (12 mesi oppure il numero di mesi residui dell</w:t>
      </w:r>
      <w:r w:rsidR="001C4212">
        <w:t>’</w:t>
      </w:r>
      <w:r w:rsidRPr="0058047D">
        <w:t>Iscrizione della società, a seconda che la società scelga l</w:t>
      </w:r>
      <w:r w:rsidR="001C4212">
        <w:t>’</w:t>
      </w:r>
      <w:r w:rsidRPr="0058047D">
        <w:t>Opzione “Subscription” annuale o l</w:t>
      </w:r>
      <w:r w:rsidR="001C4212">
        <w:t>’</w:t>
      </w:r>
      <w:r w:rsidRPr="0058047D">
        <w:t xml:space="preserve">opzione “Subscription” </w:t>
      </w:r>
      <w:r w:rsidRPr="0058047D">
        <w:rPr>
          <w:rFonts w:cs="Tahoma"/>
          <w:szCs w:val="18"/>
        </w:rPr>
        <w:t>con scadenza identica</w:t>
      </w:r>
      <w:r w:rsidRPr="0058047D">
        <w:t>) e dividendo la cifra risultante per la Tariffa di Impegno relativa al Calcolo di Windows Azure. Qualora, nel corso del periodo di validità dell</w:t>
      </w:r>
      <w:r w:rsidR="001C4212">
        <w:t>’</w:t>
      </w:r>
      <w:r w:rsidRPr="0058047D">
        <w:t>iscrizione, la società aggiunga fondi al proprio Impegno Monetario, l</w:t>
      </w:r>
      <w:r w:rsidR="001C4212">
        <w:t>’</w:t>
      </w:r>
      <w:r w:rsidRPr="0058047D">
        <w:t>Utilizzo Stimato del Calcolo verrà ricalcolato di conseguenza. Qualora l</w:t>
      </w:r>
      <w:r w:rsidR="001C4212">
        <w:t>’</w:t>
      </w:r>
      <w:r w:rsidRPr="0058047D">
        <w:t>Impegno Monetario residuo della società scenda al di sotto del valore monetario dell</w:t>
      </w:r>
      <w:r w:rsidR="001C4212">
        <w:t>’</w:t>
      </w:r>
      <w:r w:rsidRPr="0058047D">
        <w:t>Utilizzo Stimato del Calcolo, l</w:t>
      </w:r>
      <w:r w:rsidR="001C4212">
        <w:t>’</w:t>
      </w:r>
      <w:r w:rsidRPr="0058047D">
        <w:t>Utilizzo Stimato del Calcolo verrà ridotto proporzionalmente in modo che l</w:t>
      </w:r>
      <w:r w:rsidR="001C4212">
        <w:t>’</w:t>
      </w:r>
      <w:r w:rsidRPr="0058047D">
        <w:t>Impegno Monetario residuo sia pari al</w:t>
      </w:r>
      <w:r w:rsidR="00FE6686">
        <w:t> </w:t>
      </w:r>
      <w:r w:rsidRPr="0058047D">
        <w:t>valore monetario dell</w:t>
      </w:r>
      <w:r w:rsidR="001C4212">
        <w:t>’</w:t>
      </w:r>
      <w:r w:rsidRPr="0058047D">
        <w:t>Utilizzo Stimato del Calcolo.</w:t>
      </w:r>
    </w:p>
    <w:p w14:paraId="5B70F436" w14:textId="77777777" w:rsidR="00E8145C" w:rsidRPr="0058047D" w:rsidRDefault="00E8145C" w:rsidP="00B76943">
      <w:pPr>
        <w:widowControl w:val="0"/>
        <w:ind w:left="720"/>
        <w:jc w:val="both"/>
      </w:pPr>
      <w:r w:rsidRPr="0058047D">
        <w:t>Qualora Microsoft non faccia fronte all</w:t>
      </w:r>
      <w:r w:rsidR="001C4212">
        <w:t>’</w:t>
      </w:r>
      <w:r w:rsidRPr="0058047D">
        <w:t>Impegno in termini di Risorse di Calcolo, la società riceverà un credito pari al 25% del valore monetario del servizio Calcolo di Windows Azure in questione, alla Tariffa di Impegno. Tale credito non potrà superare il valore monetario totale dell</w:t>
      </w:r>
      <w:r w:rsidR="001C4212">
        <w:t>’</w:t>
      </w:r>
      <w:r w:rsidRPr="0058047D">
        <w:t>Impegno Monetario residuo della società. Qualora tale indisponibilità qualifichi la società anche per un Credito di Servizio ai sensi del Contratto di</w:t>
      </w:r>
      <w:r w:rsidR="00FE6686">
        <w:t> </w:t>
      </w:r>
      <w:r w:rsidRPr="0058047D">
        <w:t>Servizio (vedere il precedente l</w:t>
      </w:r>
      <w:r w:rsidR="001C4212">
        <w:t>’</w:t>
      </w:r>
      <w:r w:rsidRPr="0058047D">
        <w:t>Articolo 2.c), la società riceverà esclusivamente il rimedio con il valore monetario più elevato.</w:t>
      </w:r>
    </w:p>
    <w:p w14:paraId="1755B408" w14:textId="77777777" w:rsidR="00E8145C" w:rsidRPr="0058047D" w:rsidRDefault="00E8145C" w:rsidP="00B76943">
      <w:pPr>
        <w:widowControl w:val="0"/>
        <w:ind w:left="720"/>
        <w:jc w:val="both"/>
      </w:pPr>
      <w:r w:rsidRPr="0058047D">
        <w:t>L</w:t>
      </w:r>
      <w:r w:rsidR="001C4212">
        <w:t>’</w:t>
      </w:r>
      <w:r w:rsidRPr="0058047D">
        <w:t>utilizzo globale del Calcolo di Windows Azure al di sopra dell</w:t>
      </w:r>
      <w:r w:rsidR="001C4212">
        <w:t>’</w:t>
      </w:r>
      <w:r w:rsidRPr="0058047D">
        <w:t>Impegno in termini di Risorse di Calcolo avverrà in base alla disponibilità. L</w:t>
      </w:r>
      <w:r w:rsidR="001C4212">
        <w:t>’</w:t>
      </w:r>
      <w:r w:rsidRPr="0058047D">
        <w:t xml:space="preserve">utilizzo globale di qualsiasi Servizio di Windows Azure diverso dal Calcolo di Windows Azure avverrà in base alla disponibilità. </w:t>
      </w:r>
    </w:p>
    <w:p w14:paraId="4DE84669" w14:textId="77777777" w:rsidR="00152361" w:rsidRPr="0058047D" w:rsidRDefault="00152361" w:rsidP="00B76943">
      <w:pPr>
        <w:pStyle w:val="EndnoteText"/>
        <w:ind w:left="720"/>
      </w:pPr>
    </w:p>
    <w:p w14:paraId="62E20A20" w14:textId="77777777" w:rsidR="00FF4CAB" w:rsidRPr="0058047D" w:rsidRDefault="00FF4CAB" w:rsidP="00376D4B">
      <w:pPr>
        <w:pStyle w:val="EndnoteText"/>
        <w:ind w:left="720"/>
      </w:pPr>
    </w:p>
    <w:p w14:paraId="14AB619E" w14:textId="77777777" w:rsidR="00ED12C0" w:rsidRPr="0058047D" w:rsidRDefault="00A560B6" w:rsidP="00ED12C0">
      <w:pPr>
        <w:pStyle w:val="Heading2"/>
        <w:ind w:left="0"/>
      </w:pPr>
      <w:bookmarkStart w:id="1528" w:name="_98_Windows_Embedded"/>
      <w:bookmarkStart w:id="1529" w:name="_101_Windows_Embedded"/>
      <w:bookmarkStart w:id="1530" w:name="Srv_107WindowsEmbeddedDeviceMgr2011"/>
      <w:bookmarkStart w:id="1531" w:name="_Toc336338363"/>
      <w:bookmarkStart w:id="1532" w:name="_Toc371663755"/>
      <w:bookmarkStart w:id="1533" w:name="Srv_93SBS2008PremiumEdition"/>
      <w:bookmarkEnd w:id="1523"/>
      <w:bookmarkEnd w:id="1528"/>
      <w:bookmarkEnd w:id="1529"/>
      <w:r w:rsidRPr="0058047D">
        <w:rPr>
          <w:rFonts w:ascii="Tahoma" w:hAnsi="Tahoma" w:cs="Tahoma"/>
          <w:caps/>
          <w:color w:val="FF6600"/>
          <w:sz w:val="22"/>
          <w:vertAlign w:val="superscript"/>
        </w:rPr>
        <w:t>102</w:t>
      </w:r>
      <w:r w:rsidRPr="0058047D">
        <w:rPr>
          <w:rFonts w:ascii="Tahoma" w:hAnsi="Tahoma" w:cs="Tahoma"/>
          <w:color w:val="FF6600"/>
        </w:rPr>
        <w:t xml:space="preserve"> </w:t>
      </w:r>
      <w:r w:rsidRPr="0058047D">
        <w:rPr>
          <w:rFonts w:ascii="Tahoma" w:hAnsi="Tahoma" w:cs="Tahoma"/>
          <w:color w:val="FF6600"/>
          <w:sz w:val="22"/>
        </w:rPr>
        <w:t>Licenza di Server di Gestione per Windows Embedded Device Manager 2011</w:t>
      </w:r>
      <w:bookmarkEnd w:id="1530"/>
      <w:bookmarkEnd w:id="1531"/>
      <w:bookmarkEnd w:id="1532"/>
    </w:p>
    <w:p w14:paraId="0DCCA4C5" w14:textId="77777777" w:rsidR="00ED12C0" w:rsidRPr="0058047D" w:rsidRDefault="00ED12C0" w:rsidP="00B76943"/>
    <w:p w14:paraId="7ED9E025" w14:textId="77777777" w:rsidR="00ED12C0" w:rsidRPr="0058047D" w:rsidRDefault="00ED12C0" w:rsidP="00B76943">
      <w:pPr>
        <w:pStyle w:val="EndnoteText"/>
        <w:ind w:left="720"/>
      </w:pPr>
      <w:r w:rsidRPr="0058047D">
        <w:rPr>
          <w:rFonts w:ascii="Tahoma" w:hAnsi="Tahoma" w:cs="Tahoma"/>
          <w:color w:val="000000"/>
          <w:sz w:val="18"/>
        </w:rPr>
        <w:t>Prodotto End-Of-Life (EOL) che non verrà più offerto.</w:t>
      </w:r>
    </w:p>
    <w:p w14:paraId="0778EFB2" w14:textId="77777777" w:rsidR="00ED12C0" w:rsidRPr="0058047D" w:rsidRDefault="00ED12C0" w:rsidP="00B76943">
      <w:pPr>
        <w:pStyle w:val="EndnoteText"/>
        <w:ind w:left="720"/>
      </w:pPr>
    </w:p>
    <w:p w14:paraId="459023B4" w14:textId="77777777" w:rsidR="00ED12C0" w:rsidRPr="0058047D" w:rsidRDefault="00ED12C0" w:rsidP="00B76943">
      <w:pPr>
        <w:pStyle w:val="EndnoteText"/>
        <w:spacing w:after="60"/>
        <w:ind w:left="720"/>
      </w:pPr>
      <w:r w:rsidRPr="0058047D">
        <w:rPr>
          <w:rFonts w:ascii="Tahoma" w:hAnsi="Tahoma" w:cs="Tahoma"/>
          <w:b/>
          <w:color w:val="000000"/>
          <w:sz w:val="18"/>
        </w:rPr>
        <w:t>Concessione di una Licenza Una Tantum ai Titolari di Licenza per Windows Embedded Device Manager 2011 con Software Assurance Attiva</w:t>
      </w:r>
    </w:p>
    <w:p w14:paraId="45B69864" w14:textId="77777777" w:rsidR="002512D3" w:rsidRPr="0058047D" w:rsidRDefault="00ED12C0" w:rsidP="003165D6">
      <w:pPr>
        <w:pStyle w:val="EndnoteText"/>
        <w:ind w:left="720"/>
      </w:pPr>
      <w:r w:rsidRPr="0058047D">
        <w:rPr>
          <w:rFonts w:ascii="Tahoma" w:hAnsi="Tahoma" w:cs="Tahoma"/>
          <w:color w:val="000000"/>
          <w:sz w:val="18"/>
        </w:rPr>
        <w:t>In via di eccezione una tantum legata all</w:t>
      </w:r>
      <w:r w:rsidR="001C4212">
        <w:rPr>
          <w:rFonts w:ascii="Tahoma" w:hAnsi="Tahoma" w:cs="Tahoma"/>
          <w:color w:val="000000"/>
          <w:sz w:val="18"/>
        </w:rPr>
        <w:t>’</w:t>
      </w:r>
      <w:r w:rsidRPr="0058047D">
        <w:rPr>
          <w:rFonts w:ascii="Tahoma" w:hAnsi="Tahoma" w:cs="Tahoma"/>
          <w:color w:val="000000"/>
          <w:sz w:val="18"/>
        </w:rPr>
        <w:t>interruzione di licenze di server di gestione per Windows Embedded Device Manager 2011, alle società in possesso di Software Assurance con copertura attiva al 1 aprile 2012 verranno fornite le licenze di gestione client come di seguito indicato</w:t>
      </w:r>
      <w:r w:rsidRPr="0058047D">
        <w:rPr>
          <w:rFonts w:ascii="Tahoma" w:hAnsi="Tahoma" w:cs="Tahoma"/>
          <w:color w:val="000000"/>
          <w:sz w:val="18"/>
          <w:szCs w:val="20"/>
        </w:rPr>
        <w:t>:</w:t>
      </w:r>
    </w:p>
    <w:p w14:paraId="090112AB" w14:textId="77777777" w:rsidR="00ED12C0" w:rsidRPr="0058047D" w:rsidRDefault="00ED12C0" w:rsidP="00B76943">
      <w:pPr>
        <w:pStyle w:val="EndnoteText"/>
        <w:ind w:left="720"/>
      </w:pPr>
    </w:p>
    <w:p w14:paraId="0935D189" w14:textId="77777777" w:rsidR="00ED12C0" w:rsidRPr="0058047D" w:rsidRDefault="00ED12C0" w:rsidP="00B76943">
      <w:pPr>
        <w:pStyle w:val="EndnoteText"/>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58047D" w14:paraId="5776A6F1" w14:textId="77777777" w:rsidTr="00CA14C9">
        <w:tc>
          <w:tcPr>
            <w:tcW w:w="3960" w:type="dxa"/>
            <w:tcBorders>
              <w:top w:val="single" w:sz="4" w:space="0" w:color="000000"/>
              <w:bottom w:val="single" w:sz="6" w:space="0" w:color="000000"/>
            </w:tcBorders>
            <w:shd w:val="clear" w:color="auto" w:fill="FABF8F"/>
          </w:tcPr>
          <w:p w14:paraId="70B43D13" w14:textId="77777777" w:rsidR="00ED12C0" w:rsidRPr="0058047D" w:rsidRDefault="00ED12C0" w:rsidP="004342E4">
            <w:pPr>
              <w:jc w:val="center"/>
              <w:rPr>
                <w:rFonts w:cs="Tahoma"/>
                <w:b/>
                <w:color w:val="000000"/>
                <w:szCs w:val="20"/>
              </w:rPr>
            </w:pPr>
            <w:r w:rsidRPr="0058047D">
              <w:rPr>
                <w:rFonts w:cs="Tahoma"/>
                <w:b/>
                <w:color w:val="000000"/>
                <w:szCs w:val="20"/>
              </w:rPr>
              <w:t>Licenze Qualificanti</w:t>
            </w:r>
          </w:p>
        </w:tc>
        <w:tc>
          <w:tcPr>
            <w:tcW w:w="4050" w:type="dxa"/>
            <w:tcBorders>
              <w:top w:val="single" w:sz="4" w:space="0" w:color="000000"/>
              <w:bottom w:val="single" w:sz="6" w:space="0" w:color="000000"/>
            </w:tcBorders>
            <w:shd w:val="clear" w:color="auto" w:fill="FABF8F"/>
          </w:tcPr>
          <w:p w14:paraId="4D97E69B" w14:textId="77777777" w:rsidR="00ED12C0" w:rsidRPr="0058047D" w:rsidRDefault="00ED12C0" w:rsidP="004342E4">
            <w:pPr>
              <w:jc w:val="center"/>
              <w:rPr>
                <w:rFonts w:cs="Tahoma"/>
                <w:b/>
                <w:color w:val="000000"/>
                <w:szCs w:val="20"/>
              </w:rPr>
            </w:pPr>
            <w:r w:rsidRPr="0058047D">
              <w:rPr>
                <w:rFonts w:cs="Tahoma"/>
                <w:color w:val="000000"/>
              </w:rPr>
              <w:t>Licenze di Gestione Client per Windows Embedded Device Manager 2011</w:t>
            </w:r>
          </w:p>
        </w:tc>
      </w:tr>
      <w:tr w:rsidR="00ED12C0" w:rsidRPr="0058047D" w14:paraId="7A922364" w14:textId="77777777" w:rsidTr="00CA14C9">
        <w:tc>
          <w:tcPr>
            <w:tcW w:w="3960" w:type="dxa"/>
            <w:tcBorders>
              <w:top w:val="single" w:sz="6" w:space="0" w:color="000000"/>
            </w:tcBorders>
            <w:shd w:val="clear" w:color="auto" w:fill="FFFFFF"/>
          </w:tcPr>
          <w:p w14:paraId="7DEF5532" w14:textId="77777777" w:rsidR="00ED12C0" w:rsidRPr="0058047D" w:rsidRDefault="00ED12C0" w:rsidP="004342E4">
            <w:pPr>
              <w:rPr>
                <w:rFonts w:cs="Tahoma"/>
                <w:color w:val="000000"/>
                <w:szCs w:val="20"/>
              </w:rPr>
            </w:pPr>
            <w:r w:rsidRPr="0058047D">
              <w:rPr>
                <w:rFonts w:cs="Tahoma"/>
                <w:color w:val="000000"/>
                <w:szCs w:val="20"/>
              </w:rPr>
              <w:t>Licenza per Windows Embedded Device Manager 2011 Server</w:t>
            </w:r>
          </w:p>
        </w:tc>
        <w:tc>
          <w:tcPr>
            <w:tcW w:w="4050" w:type="dxa"/>
            <w:tcBorders>
              <w:top w:val="single" w:sz="6" w:space="0" w:color="000000"/>
            </w:tcBorders>
            <w:shd w:val="clear" w:color="auto" w:fill="FFFFFF"/>
          </w:tcPr>
          <w:p w14:paraId="61A463B6" w14:textId="77777777" w:rsidR="00ED12C0" w:rsidRPr="0058047D" w:rsidRDefault="00ED12C0" w:rsidP="004342E4">
            <w:pPr>
              <w:rPr>
                <w:rFonts w:cs="Tahoma"/>
                <w:color w:val="000000"/>
                <w:szCs w:val="20"/>
              </w:rPr>
            </w:pPr>
            <w:r w:rsidRPr="0058047D">
              <w:rPr>
                <w:rFonts w:cs="Tahoma"/>
                <w:color w:val="000000"/>
                <w:szCs w:val="20"/>
              </w:rPr>
              <w:t>13 Licenze di Gestione Client per Windows Embedded Device Manager 2011</w:t>
            </w:r>
          </w:p>
        </w:tc>
      </w:tr>
      <w:tr w:rsidR="00ED12C0" w:rsidRPr="0058047D" w14:paraId="6862180B" w14:textId="77777777" w:rsidTr="00CA14C9">
        <w:tc>
          <w:tcPr>
            <w:tcW w:w="3960" w:type="dxa"/>
            <w:shd w:val="clear" w:color="auto" w:fill="FFFFFF"/>
          </w:tcPr>
          <w:p w14:paraId="5364B135" w14:textId="77777777" w:rsidR="00ED12C0" w:rsidRPr="0058047D" w:rsidRDefault="00ED12C0" w:rsidP="006B4FA4">
            <w:pPr>
              <w:rPr>
                <w:rFonts w:cs="Tahoma"/>
                <w:color w:val="000000"/>
                <w:szCs w:val="20"/>
              </w:rPr>
            </w:pPr>
            <w:r w:rsidRPr="0058047D">
              <w:rPr>
                <w:rFonts w:cs="Tahoma"/>
                <w:color w:val="000000"/>
                <w:szCs w:val="20"/>
              </w:rPr>
              <w:t>Licenza per Windows Embedded Device Manager 2011 Server con Tecnologia SQL</w:t>
            </w:r>
            <w:r w:rsidR="006B4FA4">
              <w:rPr>
                <w:rFonts w:cs="Tahoma"/>
                <w:color w:val="000000"/>
                <w:szCs w:val="20"/>
              </w:rPr>
              <w:t> </w:t>
            </w:r>
            <w:r w:rsidRPr="0058047D">
              <w:rPr>
                <w:rFonts w:cs="Tahoma"/>
                <w:color w:val="000000"/>
                <w:szCs w:val="20"/>
              </w:rPr>
              <w:t>Server 2008</w:t>
            </w:r>
          </w:p>
        </w:tc>
        <w:tc>
          <w:tcPr>
            <w:tcW w:w="4050" w:type="dxa"/>
            <w:shd w:val="clear" w:color="auto" w:fill="FFFFFF"/>
          </w:tcPr>
          <w:p w14:paraId="58EF1E16" w14:textId="77777777" w:rsidR="00ED12C0" w:rsidRPr="0058047D" w:rsidRDefault="00ED12C0" w:rsidP="004342E4">
            <w:pPr>
              <w:rPr>
                <w:rFonts w:cs="Tahoma"/>
                <w:color w:val="000000"/>
                <w:szCs w:val="20"/>
              </w:rPr>
            </w:pPr>
            <w:r w:rsidRPr="0058047D">
              <w:rPr>
                <w:rFonts w:cs="Tahoma"/>
                <w:color w:val="000000"/>
                <w:szCs w:val="20"/>
              </w:rPr>
              <w:t>30 Licenze di Gestione Client per Windows Embedded Device Manager 2011</w:t>
            </w:r>
          </w:p>
        </w:tc>
      </w:tr>
    </w:tbl>
    <w:p w14:paraId="164146F9" w14:textId="77777777" w:rsidR="00ED12C0" w:rsidRPr="0058047D" w:rsidRDefault="00ED12C0" w:rsidP="00ED12C0">
      <w:pPr>
        <w:pStyle w:val="EndnoteText"/>
        <w:ind w:left="0"/>
      </w:pPr>
    </w:p>
    <w:p w14:paraId="614C844A" w14:textId="77777777" w:rsidR="00ED12C0" w:rsidRPr="0058047D" w:rsidRDefault="00ED12C0" w:rsidP="00376D4B">
      <w:pPr>
        <w:pStyle w:val="EndnoteText"/>
        <w:ind w:left="720"/>
      </w:pPr>
      <w:r w:rsidRPr="0058047D">
        <w:rPr>
          <w:rFonts w:ascii="Tahoma" w:hAnsi="Tahoma" w:cs="Tahoma"/>
          <w:color w:val="000000"/>
          <w:sz w:val="18"/>
        </w:rPr>
        <w:t xml:space="preserve">Tutte le licenze concesse ai sensi della presente offerta includeranno la copertura Software Assurance. Tale copertura cesserà alla scadenza della copertura per le licenze qualificanti. Alla scadenza della copertura, le società potranno rinnovare Software Assurance sulle licenze concesse. </w:t>
      </w:r>
    </w:p>
    <w:p w14:paraId="4F7BEFD0" w14:textId="77777777" w:rsidR="00ED12C0" w:rsidRPr="0058047D" w:rsidRDefault="00ED12C0" w:rsidP="00376D4B">
      <w:pPr>
        <w:pStyle w:val="EndnoteText"/>
        <w:ind w:left="720"/>
      </w:pPr>
    </w:p>
    <w:p w14:paraId="60ABCBBD" w14:textId="77777777" w:rsidR="00ED12C0" w:rsidRPr="0058047D" w:rsidRDefault="00ED12C0" w:rsidP="00376D4B">
      <w:pPr>
        <w:pStyle w:val="EndnoteText"/>
        <w:ind w:left="720"/>
      </w:pPr>
      <w:r w:rsidRPr="0058047D">
        <w:rPr>
          <w:rFonts w:ascii="Tahoma" w:hAnsi="Tahoma" w:cs="Tahoma"/>
          <w:color w:val="000000"/>
          <w:sz w:val="18"/>
        </w:rPr>
        <w:t>L</w:t>
      </w:r>
      <w:r w:rsidR="001C4212">
        <w:rPr>
          <w:rFonts w:ascii="Tahoma" w:hAnsi="Tahoma" w:cs="Tahoma"/>
          <w:color w:val="000000"/>
          <w:sz w:val="18"/>
        </w:rPr>
        <w:t>’</w:t>
      </w:r>
      <w:r w:rsidRPr="0058047D">
        <w:rPr>
          <w:rFonts w:ascii="Tahoma" w:hAnsi="Tahoma" w:cs="Tahoma"/>
          <w:color w:val="000000"/>
          <w:sz w:val="18"/>
        </w:rPr>
        <w:t>utilizzo del software da parte della società ai sensi della presente offerta sarà soggetto alle condizioni del relativo contratto di licenza e ai diritti di utilizzo del prodotto relativi al software. Il diritto di utilizzo del software in concessione scadrà alla scadenza del diritto di utilizzo del software ai sensi della licenza qualificante per Windows Embedded Device Manager 2011. Questa Nota relativa al Prodotto insieme alla prova delle licenze qualificanti attesteranno il diritto della società di utilizzare Windows Embedded Device Manager 2011 ai sensi delle condizioni della presente offerta. La società non avrà più il diritto di utilizzo del software ai sensi di licenze qualificanti cedute al server al momento dell</w:t>
      </w:r>
      <w:r w:rsidR="001C4212">
        <w:rPr>
          <w:rFonts w:ascii="Tahoma" w:hAnsi="Tahoma" w:cs="Tahoma"/>
          <w:color w:val="000000"/>
          <w:sz w:val="18"/>
        </w:rPr>
        <w:t>’</w:t>
      </w:r>
      <w:r w:rsidRPr="0058047D">
        <w:rPr>
          <w:rFonts w:ascii="Tahoma" w:hAnsi="Tahoma" w:cs="Tahoma"/>
          <w:color w:val="000000"/>
          <w:sz w:val="18"/>
        </w:rPr>
        <w:t>uso del software in base alla presente offerta. Le società non potranno trasferire le licenze concesse in virtù della presente offerta separatamente dalle licenze qualificanti corrispondenti.</w:t>
      </w:r>
    </w:p>
    <w:p w14:paraId="39B3EEF2" w14:textId="77777777" w:rsidR="00ED12C0" w:rsidRPr="0058047D" w:rsidRDefault="00ED12C0" w:rsidP="00376D4B">
      <w:pPr>
        <w:pStyle w:val="EndnoteText"/>
        <w:ind w:left="720"/>
      </w:pPr>
    </w:p>
    <w:p w14:paraId="46E29939" w14:textId="77777777" w:rsidR="00ED12C0" w:rsidRPr="0058047D" w:rsidRDefault="00ED12C0" w:rsidP="00DB2CD3">
      <w:pPr>
        <w:ind w:left="720"/>
      </w:pPr>
      <w:r w:rsidRPr="0058047D">
        <w:rPr>
          <w:rFonts w:cs="Tahoma"/>
          <w:color w:val="000000"/>
          <w:szCs w:val="24"/>
        </w:rPr>
        <w:t>Le licenze per Windows Embedded Device Manager 2011, acquistate dopo il 1 aprile 2012 nell</w:t>
      </w:r>
      <w:r w:rsidR="001C4212">
        <w:rPr>
          <w:rFonts w:cs="Tahoma"/>
          <w:color w:val="000000"/>
          <w:szCs w:val="24"/>
        </w:rPr>
        <w:t>’</w:t>
      </w:r>
      <w:r w:rsidRPr="0058047D">
        <w:rPr>
          <w:rFonts w:cs="Tahoma"/>
          <w:color w:val="000000"/>
          <w:szCs w:val="24"/>
        </w:rPr>
        <w:t>ambito della procedura annuale di true-up di una società per le Iscrizioni Enterprise, ai sensi delle quali le licenze per Windows Embedded Device Manager 2011 sono state inizialmente acquistate prima del 1 aprile 2012, sono</w:t>
      </w:r>
      <w:r w:rsidR="00DB2CD3">
        <w:rPr>
          <w:rFonts w:cs="Tahoma"/>
          <w:color w:val="000000"/>
          <w:szCs w:val="24"/>
        </w:rPr>
        <w:t> </w:t>
      </w:r>
      <w:r w:rsidRPr="0058047D">
        <w:rPr>
          <w:rFonts w:cs="Tahoma"/>
          <w:color w:val="000000"/>
          <w:szCs w:val="24"/>
        </w:rPr>
        <w:t>anch</w:t>
      </w:r>
      <w:r w:rsidR="001C4212">
        <w:rPr>
          <w:rFonts w:cs="Tahoma"/>
          <w:color w:val="000000"/>
          <w:szCs w:val="24"/>
        </w:rPr>
        <w:t>’</w:t>
      </w:r>
      <w:r w:rsidRPr="0058047D">
        <w:rPr>
          <w:rFonts w:cs="Tahoma"/>
          <w:color w:val="000000"/>
          <w:szCs w:val="24"/>
        </w:rPr>
        <w:t>esse idonee a ricevere Client ML per Windows Embedded Device Manager 2011 in base alla presente offerta.</w:t>
      </w:r>
    </w:p>
    <w:p w14:paraId="7E1CFB57" w14:textId="77777777" w:rsidR="00ED12C0" w:rsidRPr="0058047D" w:rsidRDefault="00ED12C0" w:rsidP="00376D4B">
      <w:pPr>
        <w:ind w:left="720"/>
      </w:pPr>
    </w:p>
    <w:p w14:paraId="38E33E6E" w14:textId="77777777" w:rsidR="00ED12C0" w:rsidRPr="0058047D" w:rsidRDefault="00ED12C0" w:rsidP="00376D4B">
      <w:pPr>
        <w:ind w:left="720"/>
      </w:pPr>
      <w:r w:rsidRPr="0058047D">
        <w:rPr>
          <w:rFonts w:cs="Tahoma"/>
          <w:color w:val="000000"/>
          <w:szCs w:val="24"/>
        </w:rPr>
        <w:t>Per Contratti Enterprise Subscription, Campus e School e Open Value Subscription, gli stessi diritti verranno concessi temporaneamente fino al termine del periodo di validità dell</w:t>
      </w:r>
      <w:r w:rsidR="001C4212">
        <w:rPr>
          <w:rFonts w:cs="Tahoma"/>
          <w:color w:val="000000"/>
          <w:szCs w:val="24"/>
        </w:rPr>
        <w:t>’</w:t>
      </w:r>
      <w:r w:rsidRPr="0058047D">
        <w:rPr>
          <w:rFonts w:cs="Tahoma"/>
          <w:color w:val="000000"/>
          <w:szCs w:val="24"/>
        </w:rPr>
        <w:t>iscrizione della licenza, qualora le Licenze e la copertura Software Assurance siano valide durante il periodo di concessione e la società mantenga la copertura dell</w:t>
      </w:r>
      <w:r w:rsidR="001C4212">
        <w:rPr>
          <w:rFonts w:cs="Tahoma"/>
          <w:color w:val="000000"/>
          <w:szCs w:val="24"/>
        </w:rPr>
        <w:t>’</w:t>
      </w:r>
      <w:r w:rsidRPr="0058047D">
        <w:rPr>
          <w:rFonts w:cs="Tahoma"/>
          <w:color w:val="000000"/>
          <w:szCs w:val="24"/>
        </w:rPr>
        <w:t>abbonamento in via continuativa.</w:t>
      </w:r>
      <w:r w:rsidR="00E34ED3" w:rsidRPr="0058047D">
        <w:rPr>
          <w:rFonts w:cs="Tahoma"/>
          <w:color w:val="000000"/>
          <w:szCs w:val="24"/>
        </w:rPr>
        <w:t xml:space="preserve"> </w:t>
      </w:r>
      <w:r w:rsidRPr="0058047D">
        <w:rPr>
          <w:rFonts w:cs="Tahoma"/>
          <w:color w:val="000000"/>
          <w:szCs w:val="24"/>
        </w:rPr>
        <w:t>Tali diritti diventeranno permanenti soltanto all</w:t>
      </w:r>
      <w:r w:rsidR="001C4212">
        <w:rPr>
          <w:rFonts w:cs="Tahoma"/>
          <w:color w:val="000000"/>
          <w:szCs w:val="24"/>
        </w:rPr>
        <w:t>’</w:t>
      </w:r>
      <w:r w:rsidRPr="0058047D">
        <w:rPr>
          <w:rFonts w:cs="Tahoma"/>
          <w:color w:val="000000"/>
          <w:szCs w:val="24"/>
        </w:rPr>
        <w:t>esercizio dell</w:t>
      </w:r>
      <w:r w:rsidR="001C4212">
        <w:rPr>
          <w:rFonts w:cs="Tahoma"/>
          <w:color w:val="000000"/>
          <w:szCs w:val="24"/>
        </w:rPr>
        <w:t>’</w:t>
      </w:r>
      <w:r w:rsidRPr="0058047D">
        <w:rPr>
          <w:rFonts w:cs="Tahoma"/>
          <w:color w:val="000000"/>
          <w:szCs w:val="24"/>
        </w:rPr>
        <w:t>opzione buy-out e resteranno soggetti a tutte le condizioni del contratto di licenza della società.</w:t>
      </w:r>
    </w:p>
    <w:p w14:paraId="00DEC553" w14:textId="77777777" w:rsidR="00A40838" w:rsidRPr="0058047D" w:rsidRDefault="00A40838" w:rsidP="00376D4B">
      <w:pPr>
        <w:ind w:left="720"/>
      </w:pPr>
    </w:p>
    <w:p w14:paraId="7D44BFF0" w14:textId="77777777" w:rsidR="005D5C95" w:rsidRPr="0058047D" w:rsidRDefault="005D5C95" w:rsidP="00376D4B">
      <w:pPr>
        <w:ind w:left="720"/>
      </w:pPr>
    </w:p>
    <w:p w14:paraId="518462A2" w14:textId="77777777" w:rsidR="005D5C95" w:rsidRPr="0058047D" w:rsidRDefault="00A560B6" w:rsidP="00076947">
      <w:pPr>
        <w:pStyle w:val="Heading2"/>
        <w:keepNext/>
        <w:ind w:left="0"/>
      </w:pPr>
      <w:bookmarkStart w:id="1534" w:name="_96_Windows_Embedded"/>
      <w:bookmarkStart w:id="1535" w:name="_99_Windows_Embedded"/>
      <w:bookmarkStart w:id="1536" w:name="_102_Windows_Embedded"/>
      <w:bookmarkStart w:id="1537" w:name="_Toc371663756"/>
      <w:bookmarkStart w:id="1538" w:name="Srv_108EBS2008StandardPrem"/>
      <w:bookmarkEnd w:id="1534"/>
      <w:bookmarkEnd w:id="1535"/>
      <w:bookmarkEnd w:id="1536"/>
      <w:r w:rsidRPr="0058047D">
        <w:rPr>
          <w:rFonts w:ascii="Tahoma" w:hAnsi="Tahoma" w:cs="Tahoma"/>
          <w:caps/>
          <w:color w:val="FF6600"/>
          <w:sz w:val="22"/>
          <w:vertAlign w:val="superscript"/>
        </w:rPr>
        <w:t>103</w:t>
      </w:r>
      <w:r w:rsidRPr="0058047D">
        <w:rPr>
          <w:rFonts w:ascii="Tahoma" w:hAnsi="Tahoma" w:cs="Tahoma"/>
          <w:color w:val="FF6600"/>
        </w:rPr>
        <w:t xml:space="preserve"> </w:t>
      </w:r>
      <w:r w:rsidRPr="0058047D">
        <w:rPr>
          <w:rFonts w:ascii="Tahoma" w:hAnsi="Tahoma" w:cs="Tahoma"/>
          <w:color w:val="FF6600"/>
          <w:sz w:val="22"/>
        </w:rPr>
        <w:t>Licenza di Gestione Client per Windows Embedded Device Manager 2011</w:t>
      </w:r>
      <w:bookmarkEnd w:id="1537"/>
    </w:p>
    <w:p w14:paraId="5EC8BD63" w14:textId="77777777" w:rsidR="005D5C95" w:rsidRPr="0058047D" w:rsidRDefault="005D5C95" w:rsidP="00076947">
      <w:pPr>
        <w:keepNext/>
      </w:pPr>
    </w:p>
    <w:p w14:paraId="56166551" w14:textId="77777777" w:rsidR="005D5C95" w:rsidRPr="0058047D" w:rsidRDefault="005D5C95" w:rsidP="00076947">
      <w:pPr>
        <w:pStyle w:val="EndnoteText"/>
        <w:keepNext/>
        <w:ind w:left="720"/>
      </w:pPr>
      <w:r w:rsidRPr="0058047D">
        <w:rPr>
          <w:rFonts w:ascii="Tahoma" w:hAnsi="Tahoma" w:cs="Tahoma"/>
          <w:color w:val="000000"/>
          <w:sz w:val="18"/>
        </w:rPr>
        <w:t>Prodotto End-Of-Life (EOL) che non verrà più offerto.</w:t>
      </w:r>
    </w:p>
    <w:p w14:paraId="3439B2E9" w14:textId="77777777" w:rsidR="005D5C95" w:rsidRPr="0058047D" w:rsidRDefault="005D5C95" w:rsidP="005D5C95">
      <w:pPr>
        <w:pStyle w:val="EndnoteText"/>
        <w:ind w:left="720"/>
      </w:pPr>
    </w:p>
    <w:p w14:paraId="2491705C" w14:textId="77777777" w:rsidR="005D5C95" w:rsidRPr="0058047D" w:rsidRDefault="005D5C95" w:rsidP="007A34E3">
      <w:pPr>
        <w:pStyle w:val="EndnoteText"/>
        <w:spacing w:after="60"/>
        <w:ind w:left="720"/>
      </w:pPr>
      <w:r w:rsidRPr="0058047D">
        <w:rPr>
          <w:rFonts w:ascii="Tahoma" w:hAnsi="Tahoma" w:cs="Tahoma"/>
          <w:b/>
          <w:color w:val="000000"/>
          <w:sz w:val="18"/>
        </w:rPr>
        <w:t>Concessione di una Licenza di Gestione Client Una Tantum ai Titolari di Licenza per Windows Embedded Device Manager 2011 con Software Assurance Attiva</w:t>
      </w:r>
    </w:p>
    <w:p w14:paraId="7A90397B" w14:textId="77777777" w:rsidR="005D5C95" w:rsidRPr="0058047D" w:rsidRDefault="005D5C95" w:rsidP="005D5C95">
      <w:pPr>
        <w:pStyle w:val="EndnoteText"/>
        <w:ind w:left="720"/>
      </w:pPr>
      <w:r w:rsidRPr="0058047D">
        <w:rPr>
          <w:rFonts w:ascii="Tahoma" w:hAnsi="Tahoma" w:cs="Tahoma"/>
          <w:color w:val="000000"/>
          <w:sz w:val="18"/>
        </w:rPr>
        <w:t>In via di eccezione una tantum legata all</w:t>
      </w:r>
      <w:r w:rsidR="001C4212">
        <w:rPr>
          <w:rFonts w:ascii="Tahoma" w:hAnsi="Tahoma" w:cs="Tahoma"/>
          <w:color w:val="000000"/>
          <w:sz w:val="18"/>
        </w:rPr>
        <w:t>’</w:t>
      </w:r>
      <w:r w:rsidRPr="0058047D">
        <w:rPr>
          <w:rFonts w:ascii="Tahoma" w:hAnsi="Tahoma" w:cs="Tahoma"/>
          <w:color w:val="000000"/>
          <w:sz w:val="18"/>
        </w:rPr>
        <w:t>interruzione di licenze di Gestione Client per Windows Embedded Device Manager 2011 (per OSE/Utente), alle società in possesso di Software Assurance con copertura attiva al 1 gennaio 2013 verrà fornito lo stesso numero di licenze di Gestione Client per System Center 2012 Configuration Manager (per OSE/Utente).</w:t>
      </w:r>
    </w:p>
    <w:p w14:paraId="09FA2F81" w14:textId="77777777" w:rsidR="005D5C95" w:rsidRPr="0058047D" w:rsidRDefault="005D5C95" w:rsidP="005D5C95">
      <w:pPr>
        <w:pStyle w:val="EndnoteText"/>
        <w:ind w:left="0"/>
      </w:pPr>
    </w:p>
    <w:p w14:paraId="5DFD193D" w14:textId="77777777" w:rsidR="005D5C95" w:rsidRPr="0058047D" w:rsidRDefault="005D5C95" w:rsidP="005D5C95">
      <w:pPr>
        <w:pStyle w:val="EndnoteText"/>
        <w:ind w:left="720"/>
      </w:pPr>
      <w:r w:rsidRPr="0058047D">
        <w:rPr>
          <w:rFonts w:ascii="Tahoma" w:hAnsi="Tahoma" w:cs="Tahoma"/>
          <w:color w:val="000000"/>
          <w:sz w:val="18"/>
        </w:rPr>
        <w:t xml:space="preserve">Tutte le licenze concesse ai sensi della presente offerta includeranno la copertura Software Assurance. Tale copertura cesserà alla scadenza della copertura per le licenze qualificanti. Alla scadenza della copertura, le società potranno rinnovare Software Assurance sulle licenze concesse. </w:t>
      </w:r>
    </w:p>
    <w:p w14:paraId="51BE2DE6" w14:textId="77777777" w:rsidR="005D5C95" w:rsidRPr="0058047D" w:rsidRDefault="005D5C95" w:rsidP="005D5C95">
      <w:pPr>
        <w:pStyle w:val="EndnoteText"/>
        <w:ind w:left="720"/>
      </w:pPr>
    </w:p>
    <w:p w14:paraId="07F3AA3F" w14:textId="77777777" w:rsidR="005D5C95" w:rsidRPr="0058047D" w:rsidRDefault="005D5C95" w:rsidP="005D5C95">
      <w:pPr>
        <w:pStyle w:val="EndnoteText"/>
        <w:ind w:left="720"/>
      </w:pPr>
      <w:r w:rsidRPr="0058047D">
        <w:rPr>
          <w:rFonts w:ascii="Tahoma" w:hAnsi="Tahoma" w:cs="Tahoma"/>
          <w:color w:val="000000"/>
          <w:sz w:val="18"/>
        </w:rPr>
        <w:t>L</w:t>
      </w:r>
      <w:r w:rsidR="001C4212">
        <w:rPr>
          <w:rFonts w:ascii="Tahoma" w:hAnsi="Tahoma" w:cs="Tahoma"/>
          <w:color w:val="000000"/>
          <w:sz w:val="18"/>
        </w:rPr>
        <w:t>’</w:t>
      </w:r>
      <w:r w:rsidRPr="0058047D">
        <w:rPr>
          <w:rFonts w:ascii="Tahoma" w:hAnsi="Tahoma" w:cs="Tahoma"/>
          <w:color w:val="000000"/>
          <w:sz w:val="18"/>
        </w:rPr>
        <w:t>utilizzo del software da parte della società ai sensi della presente offerta sarà soggetto alle condizioni del relativo contratto di licenza e ai diritti di utilizzo del prodotto relativi al software. Il diritto di utilizzo del software in concessione scadrà alla scadenza del diritto di utilizzo del software ai sensi della licenza qualificante di Gestione Client per Windows Embedded Device Manager 2011. Questa Nota relativa al Prodotto insieme alla prova delle licenze qualificanti attesteranno il diritto della società di utilizzare la licenza di Gestione Client per System Center 2012 Configuration Manager ai sensi delle condizioni della presente offerta. La società non avrà più il diritto di utilizzo del software ai sensi di licenze qualificanti cedute al server al momento dell</w:t>
      </w:r>
      <w:r w:rsidR="001C4212">
        <w:rPr>
          <w:rFonts w:ascii="Tahoma" w:hAnsi="Tahoma" w:cs="Tahoma"/>
          <w:color w:val="000000"/>
          <w:sz w:val="18"/>
        </w:rPr>
        <w:t>’</w:t>
      </w:r>
      <w:r w:rsidRPr="0058047D">
        <w:rPr>
          <w:rFonts w:ascii="Tahoma" w:hAnsi="Tahoma" w:cs="Tahoma"/>
          <w:color w:val="000000"/>
          <w:sz w:val="18"/>
        </w:rPr>
        <w:t>uso del software in base alla presente offerta. Le società non potranno trasferire le licenze concesse in virtù della presente offerta separatamente dalle licenze qualificanti corrispondenti.</w:t>
      </w:r>
    </w:p>
    <w:p w14:paraId="29D6F6A0" w14:textId="77777777" w:rsidR="005D5C95" w:rsidRPr="0058047D" w:rsidRDefault="005D5C95" w:rsidP="005D5C95">
      <w:pPr>
        <w:pStyle w:val="EndnoteText"/>
        <w:ind w:left="720"/>
      </w:pPr>
    </w:p>
    <w:p w14:paraId="36C01365" w14:textId="77777777" w:rsidR="005D5C95" w:rsidRPr="0058047D" w:rsidRDefault="005D5C95" w:rsidP="005D5C95">
      <w:pPr>
        <w:ind w:left="720"/>
      </w:pPr>
      <w:r w:rsidRPr="0058047D">
        <w:rPr>
          <w:rFonts w:cs="Tahoma"/>
          <w:color w:val="000000"/>
          <w:szCs w:val="24"/>
        </w:rPr>
        <w:t>Le licenze di Gestione Client per Windows Embedded Device Manager 2011, acquistate dopo il 1 gennaio 2013 nell</w:t>
      </w:r>
      <w:r w:rsidR="001C4212">
        <w:rPr>
          <w:rFonts w:cs="Tahoma"/>
          <w:color w:val="000000"/>
          <w:szCs w:val="24"/>
        </w:rPr>
        <w:t>’</w:t>
      </w:r>
      <w:r w:rsidRPr="0058047D">
        <w:rPr>
          <w:rFonts w:cs="Tahoma"/>
          <w:color w:val="000000"/>
          <w:szCs w:val="24"/>
        </w:rPr>
        <w:t>ambito della procedura annuale di true-up di una società per le Iscrizioni Enterprise ai sensi delle quali le licenze di Gestione Client per Windows Embedded Device Manager 2011 sono state inizialmente acquistate prima del 1 gennaio 2013, sono anch</w:t>
      </w:r>
      <w:r w:rsidR="001C4212">
        <w:rPr>
          <w:rFonts w:cs="Tahoma"/>
          <w:color w:val="000000"/>
          <w:szCs w:val="24"/>
        </w:rPr>
        <w:t>’</w:t>
      </w:r>
      <w:r w:rsidRPr="0058047D">
        <w:rPr>
          <w:rFonts w:cs="Tahoma"/>
          <w:color w:val="000000"/>
          <w:szCs w:val="24"/>
        </w:rPr>
        <w:t>esse idonee a ricevere le Client ML per System Center 2012 Configuration Manager in base alla presente offerta.</w:t>
      </w:r>
    </w:p>
    <w:p w14:paraId="01B4D72C" w14:textId="77777777" w:rsidR="005D5C95" w:rsidRPr="0058047D" w:rsidRDefault="005D5C95" w:rsidP="005D5C95">
      <w:pPr>
        <w:ind w:left="720"/>
      </w:pPr>
    </w:p>
    <w:p w14:paraId="11AF5F6C" w14:textId="77777777" w:rsidR="005D5C95" w:rsidRPr="0058047D" w:rsidRDefault="005D5C95" w:rsidP="005D5C95">
      <w:pPr>
        <w:ind w:left="720"/>
      </w:pPr>
      <w:r w:rsidRPr="0058047D">
        <w:rPr>
          <w:rFonts w:cs="Tahoma"/>
          <w:color w:val="000000"/>
          <w:szCs w:val="24"/>
        </w:rPr>
        <w:t>Per Contratti Enterprise Subscription, Campus e School e Open Value Subscription, gli stessi diritti verranno concessi temporaneamente fino al termine del periodo di validità dell</w:t>
      </w:r>
      <w:r w:rsidR="001C4212">
        <w:rPr>
          <w:rFonts w:cs="Tahoma"/>
          <w:color w:val="000000"/>
          <w:szCs w:val="24"/>
        </w:rPr>
        <w:t>’</w:t>
      </w:r>
      <w:r w:rsidRPr="0058047D">
        <w:rPr>
          <w:rFonts w:cs="Tahoma"/>
          <w:color w:val="000000"/>
          <w:szCs w:val="24"/>
        </w:rPr>
        <w:t>iscrizione della licenza, qualora le Licenze e la copertura Software Assurance siano valide durante il periodo di concessione e la società mantenga la copertura dell</w:t>
      </w:r>
      <w:r w:rsidR="001C4212">
        <w:rPr>
          <w:rFonts w:cs="Tahoma"/>
          <w:color w:val="000000"/>
          <w:szCs w:val="24"/>
        </w:rPr>
        <w:t>’</w:t>
      </w:r>
      <w:r w:rsidRPr="0058047D">
        <w:rPr>
          <w:rFonts w:cs="Tahoma"/>
          <w:color w:val="000000"/>
          <w:szCs w:val="24"/>
        </w:rPr>
        <w:t>abbonamento in via continuativa.</w:t>
      </w:r>
      <w:r w:rsidR="00E34ED3" w:rsidRPr="0058047D">
        <w:rPr>
          <w:rFonts w:cs="Tahoma"/>
          <w:color w:val="000000"/>
          <w:szCs w:val="24"/>
        </w:rPr>
        <w:t xml:space="preserve"> </w:t>
      </w:r>
      <w:r w:rsidRPr="0058047D">
        <w:rPr>
          <w:rFonts w:cs="Tahoma"/>
          <w:color w:val="000000"/>
          <w:szCs w:val="24"/>
        </w:rPr>
        <w:t>Tali diritti diventeranno permanenti soltanto all</w:t>
      </w:r>
      <w:r w:rsidR="001C4212">
        <w:rPr>
          <w:rFonts w:cs="Tahoma"/>
          <w:color w:val="000000"/>
          <w:szCs w:val="24"/>
        </w:rPr>
        <w:t>’</w:t>
      </w:r>
      <w:r w:rsidRPr="0058047D">
        <w:rPr>
          <w:rFonts w:cs="Tahoma"/>
          <w:color w:val="000000"/>
          <w:szCs w:val="24"/>
        </w:rPr>
        <w:t>esercizio dell</w:t>
      </w:r>
      <w:r w:rsidR="001C4212">
        <w:rPr>
          <w:rFonts w:cs="Tahoma"/>
          <w:color w:val="000000"/>
          <w:szCs w:val="24"/>
        </w:rPr>
        <w:t>’</w:t>
      </w:r>
      <w:r w:rsidRPr="0058047D">
        <w:rPr>
          <w:rFonts w:cs="Tahoma"/>
          <w:color w:val="000000"/>
          <w:szCs w:val="24"/>
        </w:rPr>
        <w:t>opzione buy-out e resteranno soggetti a tutte le condizioni del contratto di licenza della società.</w:t>
      </w:r>
    </w:p>
    <w:p w14:paraId="0FEC5AB4" w14:textId="77777777" w:rsidR="005D5C95" w:rsidRPr="0058047D" w:rsidRDefault="005D5C95" w:rsidP="005D5C95">
      <w:pPr>
        <w:ind w:left="720"/>
      </w:pPr>
    </w:p>
    <w:p w14:paraId="796052CD" w14:textId="77777777" w:rsidR="005D5C95" w:rsidRPr="0058047D" w:rsidRDefault="005D5C95" w:rsidP="005D5C95">
      <w:pPr>
        <w:ind w:left="720"/>
      </w:pPr>
      <w:r w:rsidRPr="0058047D">
        <w:rPr>
          <w:rFonts w:cs="Tahoma"/>
          <w:color w:val="000000"/>
          <w:szCs w:val="24"/>
        </w:rPr>
        <w:t>I diritti di downgrade della versione sono applicabili a tutte le licenze di Gestione Client per System Center 2012 Configuration Manager concesse.</w:t>
      </w:r>
    </w:p>
    <w:p w14:paraId="7F557123" w14:textId="77777777" w:rsidR="00ED12C0" w:rsidRPr="0058047D" w:rsidRDefault="00ED12C0" w:rsidP="00ED12C0">
      <w:pPr>
        <w:ind w:left="900"/>
      </w:pPr>
    </w:p>
    <w:p w14:paraId="0BE256DC" w14:textId="77777777" w:rsidR="007B35CE" w:rsidRPr="0058047D" w:rsidRDefault="007B35CE" w:rsidP="00ED12C0">
      <w:pPr>
        <w:ind w:left="900"/>
      </w:pPr>
    </w:p>
    <w:p w14:paraId="052AF53D" w14:textId="77777777" w:rsidR="00A6493D" w:rsidRPr="0058047D" w:rsidRDefault="00A560B6" w:rsidP="00A6493D">
      <w:pPr>
        <w:pStyle w:val="Heading3"/>
      </w:pPr>
      <w:bookmarkStart w:id="1539" w:name="_100_Windows_EBS"/>
      <w:bookmarkStart w:id="1540" w:name="_103_Windows_EBS"/>
      <w:bookmarkStart w:id="1541" w:name="_Toc336338364"/>
      <w:bookmarkStart w:id="1542" w:name="_Toc371663757"/>
      <w:bookmarkStart w:id="1543" w:name="Srv_101WindowsEssBusSvrStdPrem"/>
      <w:bookmarkEnd w:id="1539"/>
      <w:bookmarkEnd w:id="1540"/>
      <w:r w:rsidRPr="0058047D">
        <w:rPr>
          <w:rFonts w:ascii="Tahoma" w:hAnsi="Tahoma" w:cs="Tahoma"/>
          <w:caps/>
          <w:color w:val="FF6600"/>
          <w:sz w:val="22"/>
          <w:szCs w:val="24"/>
          <w:vertAlign w:val="superscript"/>
        </w:rPr>
        <w:t>104</w:t>
      </w:r>
      <w:r w:rsidRPr="0058047D">
        <w:rPr>
          <w:rFonts w:ascii="Tahoma" w:hAnsi="Tahoma"/>
          <w:caps/>
          <w:color w:val="F66400"/>
          <w:sz w:val="24"/>
          <w:vertAlign w:val="superscript"/>
        </w:rPr>
        <w:t xml:space="preserve"> </w:t>
      </w:r>
      <w:r w:rsidRPr="0058047D">
        <w:rPr>
          <w:rFonts w:ascii="Tahoma" w:hAnsi="Tahoma"/>
          <w:color w:val="F66400"/>
          <w:sz w:val="22"/>
          <w:szCs w:val="22"/>
        </w:rPr>
        <w:t>Windows EBS 2008 Standard ed EBS 2008 Premium</w:t>
      </w:r>
      <w:bookmarkEnd w:id="1538"/>
      <w:bookmarkEnd w:id="1541"/>
      <w:bookmarkEnd w:id="1542"/>
    </w:p>
    <w:bookmarkEnd w:id="1533"/>
    <w:bookmarkEnd w:id="1543"/>
    <w:p w14:paraId="5C0EEB4B" w14:textId="77777777" w:rsidR="00113634" w:rsidRPr="0058047D" w:rsidRDefault="00113634" w:rsidP="00113634"/>
    <w:p w14:paraId="436576AF" w14:textId="77777777" w:rsidR="00113634" w:rsidRPr="0058047D" w:rsidRDefault="00113634" w:rsidP="00376D4B">
      <w:pPr>
        <w:pStyle w:val="EndnoteText"/>
        <w:ind w:left="720"/>
      </w:pPr>
      <w:r w:rsidRPr="0058047D">
        <w:rPr>
          <w:rFonts w:ascii="Tahoma" w:hAnsi="Tahoma" w:cs="Tahoma"/>
          <w:sz w:val="18"/>
          <w:szCs w:val="18"/>
        </w:rPr>
        <w:t>Prodotti End-Of-Life (EOL) che non verranno più offerti.</w:t>
      </w:r>
    </w:p>
    <w:p w14:paraId="2686FAA2" w14:textId="77777777" w:rsidR="00113634" w:rsidRPr="0058047D" w:rsidRDefault="00113634" w:rsidP="00376D4B">
      <w:pPr>
        <w:pStyle w:val="EndnoteText"/>
        <w:ind w:left="720"/>
      </w:pPr>
    </w:p>
    <w:p w14:paraId="2349D146" w14:textId="77777777" w:rsidR="00113634" w:rsidRPr="0058047D" w:rsidRDefault="00113634" w:rsidP="00B76943">
      <w:pPr>
        <w:pStyle w:val="EndnoteText"/>
        <w:spacing w:after="60"/>
        <w:ind w:left="720"/>
      </w:pPr>
      <w:r w:rsidRPr="0058047D">
        <w:rPr>
          <w:rFonts w:ascii="Tahoma" w:hAnsi="Tahoma" w:cs="Tahoma"/>
          <w:b/>
          <w:sz w:val="18"/>
          <w:szCs w:val="18"/>
        </w:rPr>
        <w:t>Concessione di una Licenza Una Tantum ai Titolari di Licenza per EBS 2008 Standard ed EBS 2008 Premium</w:t>
      </w:r>
    </w:p>
    <w:p w14:paraId="61EE3BA6" w14:textId="77777777" w:rsidR="00113634" w:rsidRPr="0058047D" w:rsidRDefault="00113634" w:rsidP="00B76943">
      <w:pPr>
        <w:pStyle w:val="ListParagraph"/>
        <w:contextualSpacing w:val="0"/>
      </w:pPr>
      <w:r w:rsidRPr="0058047D">
        <w:rPr>
          <w:rFonts w:ascii="Tahoma" w:hAnsi="Tahoma" w:cs="Tahoma"/>
          <w:sz w:val="18"/>
          <w:szCs w:val="18"/>
          <w:u w:val="single"/>
        </w:rPr>
        <w:t>Tutte le società che hanno stipulato Contratti Multilicenza per Windows Essential Business Server 2008 (EBS) Standard e Premium</w:t>
      </w:r>
      <w:r w:rsidRPr="0058047D">
        <w:rPr>
          <w:rFonts w:ascii="Tahoma" w:hAnsi="Tahoma" w:cs="Tahoma"/>
          <w:b/>
          <w:sz w:val="18"/>
          <w:szCs w:val="18"/>
        </w:rPr>
        <w:t xml:space="preserve"> </w:t>
      </w:r>
      <w:r w:rsidRPr="0058047D">
        <w:rPr>
          <w:rFonts w:ascii="Tahoma" w:hAnsi="Tahoma" w:cs="Tahoma"/>
          <w:sz w:val="18"/>
          <w:szCs w:val="18"/>
        </w:rPr>
        <w:t>sono idonee a ricevere le seguenti licenze gratuite per ogni licenza per EBS 2008 Standard o Premium posseduta al 1 luglio 2010:</w:t>
      </w:r>
    </w:p>
    <w:p w14:paraId="0B734B9D" w14:textId="77777777" w:rsidR="00A6493D" w:rsidRPr="0058047D" w:rsidRDefault="00A6493D" w:rsidP="00E63984">
      <w:pPr>
        <w:pStyle w:val="ListParagraph"/>
        <w:ind w:left="1260"/>
        <w:contextualSpacing w:val="0"/>
      </w:pPr>
    </w:p>
    <w:p w14:paraId="6128869F" w14:textId="77777777" w:rsidR="00113634" w:rsidRPr="0058047D" w:rsidRDefault="00113634" w:rsidP="00346F4B">
      <w:pPr>
        <w:pStyle w:val="ListParagraph"/>
        <w:numPr>
          <w:ilvl w:val="0"/>
          <w:numId w:val="24"/>
        </w:numPr>
        <w:spacing w:after="60"/>
        <w:ind w:left="1440"/>
        <w:contextualSpacing w:val="0"/>
      </w:pPr>
      <w:r w:rsidRPr="0058047D">
        <w:rPr>
          <w:rFonts w:ascii="Tahoma" w:hAnsi="Tahoma" w:cs="Tahoma"/>
          <w:sz w:val="18"/>
          <w:szCs w:val="18"/>
        </w:rPr>
        <w:t>3 licenze software per Windows Server 2008 Standard</w:t>
      </w:r>
    </w:p>
    <w:p w14:paraId="6AC171A1" w14:textId="77777777" w:rsidR="00113634" w:rsidRPr="0058047D" w:rsidRDefault="00113634" w:rsidP="00346F4B">
      <w:pPr>
        <w:pStyle w:val="ListParagraph"/>
        <w:numPr>
          <w:ilvl w:val="0"/>
          <w:numId w:val="24"/>
        </w:numPr>
        <w:spacing w:after="60"/>
        <w:ind w:left="1440"/>
        <w:contextualSpacing w:val="0"/>
      </w:pPr>
      <w:r w:rsidRPr="0058047D">
        <w:rPr>
          <w:rFonts w:ascii="Tahoma" w:hAnsi="Tahoma" w:cs="Tahoma"/>
          <w:sz w:val="18"/>
          <w:szCs w:val="18"/>
        </w:rPr>
        <w:t>2 licenze software per Exchange Server 2007 Standard</w:t>
      </w:r>
    </w:p>
    <w:p w14:paraId="1A310E99" w14:textId="77777777" w:rsidR="00113634" w:rsidRPr="0058047D" w:rsidRDefault="00113634" w:rsidP="00346F4B">
      <w:pPr>
        <w:pStyle w:val="ListParagraph"/>
        <w:numPr>
          <w:ilvl w:val="0"/>
          <w:numId w:val="24"/>
        </w:numPr>
        <w:spacing w:after="60"/>
        <w:ind w:left="1440"/>
        <w:contextualSpacing w:val="0"/>
      </w:pPr>
      <w:r w:rsidRPr="0058047D">
        <w:rPr>
          <w:rFonts w:ascii="Tahoma" w:hAnsi="Tahoma" w:cs="Tahoma"/>
          <w:sz w:val="18"/>
          <w:szCs w:val="18"/>
        </w:rPr>
        <w:t>1 licenza software per System Center Essentials 2007 e 10 licenze di gestione Server e 50 di gestione Client</w:t>
      </w:r>
    </w:p>
    <w:p w14:paraId="6709C6A4" w14:textId="77777777" w:rsidR="00113634" w:rsidRPr="0058047D" w:rsidRDefault="00113634" w:rsidP="00B76943">
      <w:pPr>
        <w:ind w:left="720"/>
      </w:pPr>
      <w:r w:rsidRPr="0058047D">
        <w:rPr>
          <w:rFonts w:cs="Tahoma"/>
          <w:szCs w:val="18"/>
        </w:rPr>
        <w:t>Le licenze gratuite sono attestate dal Contratto Multilicenza della società e dalla presente nota relativa alle condizioni del prodotto.</w:t>
      </w:r>
      <w:r w:rsidR="00E34ED3" w:rsidRPr="0058047D">
        <w:rPr>
          <w:rFonts w:cs="Tahoma"/>
          <w:szCs w:val="18"/>
        </w:rPr>
        <w:t xml:space="preserve"> </w:t>
      </w:r>
      <w:r w:rsidRPr="0058047D">
        <w:rPr>
          <w:rFonts w:cs="Tahoma"/>
          <w:szCs w:val="18"/>
        </w:rPr>
        <w:t>L</w:t>
      </w:r>
      <w:r w:rsidR="001C4212">
        <w:rPr>
          <w:rFonts w:cs="Tahoma"/>
          <w:szCs w:val="18"/>
        </w:rPr>
        <w:t>’</w:t>
      </w:r>
      <w:r w:rsidRPr="0058047D">
        <w:rPr>
          <w:rFonts w:cs="Tahoma"/>
          <w:szCs w:val="18"/>
        </w:rPr>
        <w:t>utilizzo del software ai sensi delle licenze gratuite è soggetto alle condizioni del contratto della società e ai diritti di utilizzo del prodotto per i prodotti individuali.</w:t>
      </w:r>
      <w:r w:rsidR="00E34ED3" w:rsidRPr="0058047D">
        <w:rPr>
          <w:rFonts w:cs="Tahoma"/>
          <w:szCs w:val="18"/>
        </w:rPr>
        <w:t xml:space="preserve"> </w:t>
      </w:r>
      <w:r w:rsidRPr="0058047D">
        <w:rPr>
          <w:rFonts w:cs="Tahoma"/>
          <w:szCs w:val="18"/>
        </w:rPr>
        <w:t>Il diritto di utilizzo del software ai sensi delle licenze gratuite scadrà alla scadenza del diritto di utilizzo del software ai sensi delle licenze qualificanti.</w:t>
      </w:r>
      <w:r w:rsidR="00E34ED3" w:rsidRPr="0058047D">
        <w:rPr>
          <w:rFonts w:cs="Tahoma"/>
          <w:szCs w:val="18"/>
        </w:rPr>
        <w:t xml:space="preserve"> </w:t>
      </w:r>
      <w:r w:rsidRPr="0058047D">
        <w:rPr>
          <w:rFonts w:cs="Tahoma"/>
          <w:szCs w:val="18"/>
        </w:rPr>
        <w:t>Le licenze gratuite non possono essere trasferite separatamente dalle licenze qualificanti.</w:t>
      </w:r>
    </w:p>
    <w:p w14:paraId="7D167138" w14:textId="77777777" w:rsidR="00113634" w:rsidRPr="0058047D" w:rsidRDefault="00113634" w:rsidP="00957DE8">
      <w:pPr>
        <w:ind w:left="720"/>
      </w:pPr>
    </w:p>
    <w:p w14:paraId="610263E8" w14:textId="77777777" w:rsidR="00113634" w:rsidRPr="0058047D" w:rsidRDefault="00113634" w:rsidP="00957DE8">
      <w:pPr>
        <w:pStyle w:val="ListParagraph"/>
        <w:contextualSpacing w:val="0"/>
      </w:pPr>
      <w:r w:rsidRPr="0058047D">
        <w:rPr>
          <w:rFonts w:ascii="Tahoma" w:hAnsi="Tahoma" w:cs="Tahoma"/>
          <w:sz w:val="18"/>
          <w:szCs w:val="18"/>
          <w:u w:val="single"/>
        </w:rPr>
        <w:t>Le società con Contratti Multilicenza per Windows Essential Business Server (EBS) 2008 Standard</w:t>
      </w:r>
      <w:r w:rsidRPr="0058047D">
        <w:rPr>
          <w:rFonts w:ascii="Tahoma" w:hAnsi="Tahoma" w:cs="Tahoma"/>
          <w:b/>
          <w:sz w:val="18"/>
          <w:szCs w:val="18"/>
        </w:rPr>
        <w:t xml:space="preserve"> </w:t>
      </w:r>
      <w:r w:rsidRPr="0058047D">
        <w:rPr>
          <w:rFonts w:ascii="Tahoma" w:hAnsi="Tahoma" w:cs="Tahoma"/>
          <w:sz w:val="18"/>
          <w:szCs w:val="18"/>
        </w:rPr>
        <w:t>sono anche idonee a ricevere le seguenti licenze gratuite per ogni licenza per EBS 2008 Standard con Software Assurance attiva posseduta al 1 luglio 2010:</w:t>
      </w:r>
    </w:p>
    <w:p w14:paraId="33BFB125" w14:textId="77777777" w:rsidR="00A6493D" w:rsidRPr="0058047D" w:rsidRDefault="00A6493D" w:rsidP="00E63984">
      <w:pPr>
        <w:pStyle w:val="ListParagraph"/>
        <w:ind w:left="1260"/>
        <w:contextualSpacing w:val="0"/>
      </w:pPr>
    </w:p>
    <w:p w14:paraId="5BFBA790" w14:textId="77777777" w:rsidR="00113634" w:rsidRPr="0058047D" w:rsidRDefault="00113634" w:rsidP="00346F4B">
      <w:pPr>
        <w:pStyle w:val="ListParagraph"/>
        <w:numPr>
          <w:ilvl w:val="0"/>
          <w:numId w:val="25"/>
        </w:numPr>
        <w:spacing w:after="60"/>
        <w:ind w:left="1440"/>
        <w:contextualSpacing w:val="0"/>
      </w:pPr>
      <w:r w:rsidRPr="0058047D">
        <w:rPr>
          <w:rFonts w:ascii="Tahoma" w:hAnsi="Tahoma" w:cs="Tahoma"/>
          <w:sz w:val="18"/>
          <w:szCs w:val="18"/>
        </w:rPr>
        <w:t>3 licenze software per Windows Server 2008 R2 Standard</w:t>
      </w:r>
    </w:p>
    <w:p w14:paraId="60583852" w14:textId="77777777" w:rsidR="00113634" w:rsidRPr="0058047D" w:rsidRDefault="00113634" w:rsidP="00346F4B">
      <w:pPr>
        <w:pStyle w:val="ListParagraph"/>
        <w:numPr>
          <w:ilvl w:val="0"/>
          <w:numId w:val="25"/>
        </w:numPr>
        <w:spacing w:after="60"/>
        <w:ind w:left="1440"/>
        <w:contextualSpacing w:val="0"/>
      </w:pPr>
      <w:r w:rsidRPr="0058047D">
        <w:rPr>
          <w:rFonts w:ascii="Tahoma" w:hAnsi="Tahoma" w:cs="Tahoma"/>
          <w:sz w:val="18"/>
          <w:szCs w:val="18"/>
        </w:rPr>
        <w:t>1 licenza software per Exchange Server 2010 Standard</w:t>
      </w:r>
    </w:p>
    <w:p w14:paraId="3375890B" w14:textId="77777777" w:rsidR="00113634" w:rsidRPr="0058047D" w:rsidRDefault="00113634" w:rsidP="00346F4B">
      <w:pPr>
        <w:pStyle w:val="ListParagraph"/>
        <w:numPr>
          <w:ilvl w:val="0"/>
          <w:numId w:val="25"/>
        </w:numPr>
        <w:spacing w:after="60"/>
        <w:ind w:left="1440"/>
        <w:contextualSpacing w:val="0"/>
      </w:pPr>
      <w:r w:rsidRPr="0058047D">
        <w:rPr>
          <w:rFonts w:ascii="Tahoma" w:hAnsi="Tahoma" w:cs="Tahoma"/>
          <w:sz w:val="18"/>
          <w:szCs w:val="18"/>
        </w:rPr>
        <w:t>1 licenza software per System Center Essentials 2010 e 10 licenze di gestione Server e 50 di gestione Client</w:t>
      </w:r>
    </w:p>
    <w:p w14:paraId="3F172A03" w14:textId="77777777" w:rsidR="00113634" w:rsidRPr="0058047D" w:rsidRDefault="00113634" w:rsidP="00346F4B">
      <w:pPr>
        <w:pStyle w:val="ListParagraph"/>
        <w:numPr>
          <w:ilvl w:val="0"/>
          <w:numId w:val="25"/>
        </w:numPr>
        <w:spacing w:after="60"/>
        <w:ind w:left="1440"/>
        <w:contextualSpacing w:val="0"/>
      </w:pPr>
      <w:r w:rsidRPr="0058047D">
        <w:rPr>
          <w:rFonts w:ascii="Tahoma" w:hAnsi="Tahoma" w:cs="Tahoma"/>
          <w:sz w:val="18"/>
          <w:szCs w:val="18"/>
        </w:rPr>
        <w:t>1 licenza software per Forefront Threat Management Gateway Medium Business Edition 2010</w:t>
      </w:r>
    </w:p>
    <w:p w14:paraId="76B385B6" w14:textId="77777777" w:rsidR="00113634" w:rsidRPr="00FE6686" w:rsidRDefault="00113634" w:rsidP="00E63984">
      <w:pPr>
        <w:pStyle w:val="ListParagraph"/>
        <w:ind w:left="1260"/>
        <w:rPr>
          <w:rFonts w:ascii="Tahoma" w:hAnsi="Tahoma" w:cs="Tahoma"/>
          <w:sz w:val="18"/>
          <w:szCs w:val="18"/>
        </w:rPr>
      </w:pPr>
    </w:p>
    <w:p w14:paraId="601D820A" w14:textId="77777777" w:rsidR="00113634" w:rsidRPr="0058047D" w:rsidRDefault="00113634" w:rsidP="00957DE8">
      <w:pPr>
        <w:pStyle w:val="ListParagraph"/>
      </w:pPr>
      <w:r w:rsidRPr="0058047D">
        <w:rPr>
          <w:rFonts w:ascii="Tahoma" w:hAnsi="Tahoma" w:cs="Tahoma"/>
          <w:sz w:val="18"/>
          <w:szCs w:val="18"/>
        </w:rPr>
        <w:t>(qualora sia disponibile una nuova versione di uno qualsiasi dei prodotti di cui sopra in base al Programma per i Contratti Multilicenza ai sensi del quale una società ha acquistato le licenze qualificanti prima della fine della copertura Software Assurance attiva per la licenza per EBS 2008 Standard, la società sarà idonea a utilizzare la nuova versione al posto della versione specificata sopra).</w:t>
      </w:r>
    </w:p>
    <w:p w14:paraId="67129B43" w14:textId="77777777" w:rsidR="00113634" w:rsidRPr="0058047D" w:rsidRDefault="00113634" w:rsidP="00957DE8">
      <w:pPr>
        <w:pStyle w:val="ListParagraph"/>
      </w:pPr>
    </w:p>
    <w:p w14:paraId="4FDB4D2E" w14:textId="77777777" w:rsidR="00113634" w:rsidRPr="0058047D" w:rsidRDefault="00113634" w:rsidP="00957DE8">
      <w:pPr>
        <w:ind w:left="720"/>
      </w:pPr>
      <w:r w:rsidRPr="0058047D">
        <w:rPr>
          <w:rFonts w:cs="Tahoma"/>
          <w:szCs w:val="18"/>
        </w:rPr>
        <w:t>Le licenze gratuite sono attestate dal Contratto Multilicenza della società e dalla presente nota relativa alle condizioni del prodotto.</w:t>
      </w:r>
      <w:r w:rsidR="00E34ED3" w:rsidRPr="0058047D">
        <w:rPr>
          <w:rFonts w:cs="Tahoma"/>
          <w:szCs w:val="18"/>
        </w:rPr>
        <w:t xml:space="preserve"> </w:t>
      </w:r>
      <w:r w:rsidRPr="0058047D">
        <w:rPr>
          <w:rFonts w:cs="Tahoma"/>
          <w:szCs w:val="18"/>
        </w:rPr>
        <w:t>L</w:t>
      </w:r>
      <w:r w:rsidR="001C4212">
        <w:rPr>
          <w:rFonts w:cs="Tahoma"/>
          <w:szCs w:val="18"/>
        </w:rPr>
        <w:t>’</w:t>
      </w:r>
      <w:r w:rsidRPr="0058047D">
        <w:rPr>
          <w:rFonts w:cs="Tahoma"/>
          <w:szCs w:val="18"/>
        </w:rPr>
        <w:t>utilizzo del software ai sensi delle licenze gratuite è soggetto alle condizioni del contratto della società e ai diritti di utilizzo del prodotto per i prodotti individuali.</w:t>
      </w:r>
      <w:r w:rsidR="00E34ED3" w:rsidRPr="0058047D">
        <w:rPr>
          <w:rFonts w:cs="Tahoma"/>
          <w:szCs w:val="18"/>
        </w:rPr>
        <w:t xml:space="preserve"> </w:t>
      </w:r>
      <w:r w:rsidRPr="0058047D">
        <w:rPr>
          <w:rFonts w:cs="Tahoma"/>
          <w:szCs w:val="18"/>
        </w:rPr>
        <w:t>Tranne per Forefront Protection for Exchange Server 2010, il diritto di utilizzo del software ai sensi delle licenze gratuite scadrà alla scadenza del diritto di utilizzo del software ai sensi delle licenze qualificanti.</w:t>
      </w:r>
      <w:r w:rsidR="00E34ED3" w:rsidRPr="0058047D">
        <w:rPr>
          <w:rFonts w:cs="Tahoma"/>
          <w:szCs w:val="18"/>
        </w:rPr>
        <w:t xml:space="preserve"> </w:t>
      </w:r>
      <w:r w:rsidRPr="0058047D">
        <w:rPr>
          <w:rFonts w:cs="Tahoma"/>
          <w:szCs w:val="18"/>
        </w:rPr>
        <w:t>Il diritto di utilizzo di Forefront Protection for Exchange Server 2010 scadrà alla scadenza della copertura Software Assurance sulle licenze qualificanti.</w:t>
      </w:r>
      <w:r w:rsidR="00E34ED3" w:rsidRPr="0058047D">
        <w:rPr>
          <w:rFonts w:cs="Tahoma"/>
          <w:szCs w:val="18"/>
        </w:rPr>
        <w:t xml:space="preserve"> </w:t>
      </w:r>
      <w:r w:rsidRPr="0058047D">
        <w:rPr>
          <w:rFonts w:cs="Tahoma"/>
          <w:szCs w:val="18"/>
        </w:rPr>
        <w:t>Le licenze gratuite non possono in nessun caso essere trasferite separatamente dalle licenze qualificanti.</w:t>
      </w:r>
    </w:p>
    <w:p w14:paraId="2B2CB082" w14:textId="77777777" w:rsidR="00113634" w:rsidRPr="00FE6686" w:rsidRDefault="00113634" w:rsidP="00E63984">
      <w:pPr>
        <w:pStyle w:val="ListParagraph"/>
        <w:ind w:left="1260"/>
        <w:rPr>
          <w:rFonts w:ascii="Tahoma" w:hAnsi="Tahoma" w:cs="Tahoma"/>
          <w:sz w:val="18"/>
          <w:szCs w:val="18"/>
        </w:rPr>
      </w:pPr>
    </w:p>
    <w:p w14:paraId="6C7C3A0C" w14:textId="77777777" w:rsidR="00113634" w:rsidRPr="0058047D" w:rsidRDefault="00113634" w:rsidP="00957DE8">
      <w:pPr>
        <w:tabs>
          <w:tab w:val="left" w:pos="1260"/>
        </w:tabs>
        <w:ind w:left="720"/>
      </w:pPr>
      <w:r w:rsidRPr="0058047D">
        <w:rPr>
          <w:rFonts w:cs="Tahoma"/>
          <w:szCs w:val="18"/>
          <w:u w:val="single"/>
        </w:rPr>
        <w:t xml:space="preserve">Le società con Contratti Multilicenza per Windows Essential Business Server (EBS) 2008 Premium </w:t>
      </w:r>
      <w:r w:rsidRPr="0058047D">
        <w:rPr>
          <w:rFonts w:cs="Tahoma"/>
          <w:szCs w:val="18"/>
        </w:rPr>
        <w:t>sono anche idonee a ricevere le seguenti licenze gratuite per ogni licenza per EBS 2008 Premium con copertura Software Assurance attiva posseduta al 1 luglio 2010:</w:t>
      </w:r>
    </w:p>
    <w:p w14:paraId="74CBE1DB" w14:textId="77777777" w:rsidR="00A6493D" w:rsidRPr="00FE6686" w:rsidRDefault="00A6493D" w:rsidP="00E63984">
      <w:pPr>
        <w:pStyle w:val="ListParagraph"/>
        <w:ind w:left="1620"/>
        <w:contextualSpacing w:val="0"/>
        <w:rPr>
          <w:rFonts w:ascii="Tahoma" w:hAnsi="Tahoma" w:cs="Tahoma"/>
          <w:sz w:val="18"/>
          <w:szCs w:val="18"/>
        </w:rPr>
      </w:pPr>
    </w:p>
    <w:p w14:paraId="4CA4865E" w14:textId="77777777" w:rsidR="00113634" w:rsidRPr="0058047D" w:rsidRDefault="00113634" w:rsidP="00346F4B">
      <w:pPr>
        <w:pStyle w:val="ListParagraph"/>
        <w:numPr>
          <w:ilvl w:val="0"/>
          <w:numId w:val="26"/>
        </w:numPr>
        <w:spacing w:after="60"/>
        <w:contextualSpacing w:val="0"/>
      </w:pPr>
      <w:r w:rsidRPr="0058047D">
        <w:rPr>
          <w:rFonts w:ascii="Tahoma" w:hAnsi="Tahoma" w:cs="Tahoma"/>
          <w:sz w:val="18"/>
          <w:szCs w:val="18"/>
        </w:rPr>
        <w:t>4 licenze software per Windows Server 2008 R2 Standard</w:t>
      </w:r>
    </w:p>
    <w:p w14:paraId="5EC3AF12" w14:textId="77777777" w:rsidR="00113634" w:rsidRPr="0058047D" w:rsidRDefault="00113634" w:rsidP="00346F4B">
      <w:pPr>
        <w:pStyle w:val="ListParagraph"/>
        <w:numPr>
          <w:ilvl w:val="0"/>
          <w:numId w:val="26"/>
        </w:numPr>
        <w:spacing w:after="60"/>
        <w:contextualSpacing w:val="0"/>
      </w:pPr>
      <w:r w:rsidRPr="0058047D">
        <w:rPr>
          <w:rFonts w:ascii="Tahoma" w:hAnsi="Tahoma" w:cs="Tahoma"/>
          <w:sz w:val="18"/>
          <w:szCs w:val="18"/>
        </w:rPr>
        <w:t>1 licenza software per SQL Server 2008 R2 Standard</w:t>
      </w:r>
    </w:p>
    <w:p w14:paraId="14202719" w14:textId="77777777" w:rsidR="00113634" w:rsidRPr="0058047D" w:rsidRDefault="00113634" w:rsidP="00346F4B">
      <w:pPr>
        <w:pStyle w:val="ListParagraph"/>
        <w:numPr>
          <w:ilvl w:val="0"/>
          <w:numId w:val="26"/>
        </w:numPr>
        <w:spacing w:after="60"/>
        <w:contextualSpacing w:val="0"/>
      </w:pPr>
      <w:r w:rsidRPr="0058047D">
        <w:rPr>
          <w:rFonts w:ascii="Tahoma" w:hAnsi="Tahoma" w:cs="Tahoma"/>
          <w:sz w:val="18"/>
          <w:szCs w:val="18"/>
        </w:rPr>
        <w:t>2 licenze software per Exchange Server 2010 Standard</w:t>
      </w:r>
    </w:p>
    <w:p w14:paraId="3088B097" w14:textId="77777777" w:rsidR="00113634" w:rsidRPr="0058047D" w:rsidRDefault="00113634" w:rsidP="00346F4B">
      <w:pPr>
        <w:pStyle w:val="ListParagraph"/>
        <w:numPr>
          <w:ilvl w:val="0"/>
          <w:numId w:val="26"/>
        </w:numPr>
        <w:spacing w:after="60"/>
        <w:contextualSpacing w:val="0"/>
      </w:pPr>
      <w:r w:rsidRPr="0058047D">
        <w:rPr>
          <w:rFonts w:ascii="Tahoma" w:hAnsi="Tahoma" w:cs="Tahoma"/>
          <w:sz w:val="18"/>
          <w:szCs w:val="18"/>
        </w:rPr>
        <w:t>1 licenza software per System Center Essentials 2010 e 10 licenze di gestione Server e 50 di gestione Client</w:t>
      </w:r>
    </w:p>
    <w:p w14:paraId="06EB67C7" w14:textId="77777777" w:rsidR="00113634" w:rsidRPr="0058047D" w:rsidRDefault="00113634" w:rsidP="00346F4B">
      <w:pPr>
        <w:pStyle w:val="ListParagraph"/>
        <w:numPr>
          <w:ilvl w:val="0"/>
          <w:numId w:val="26"/>
        </w:numPr>
        <w:spacing w:after="60"/>
        <w:contextualSpacing w:val="0"/>
      </w:pPr>
      <w:r w:rsidRPr="0058047D">
        <w:rPr>
          <w:rFonts w:ascii="Tahoma" w:hAnsi="Tahoma" w:cs="Tahoma"/>
          <w:sz w:val="18"/>
          <w:szCs w:val="18"/>
        </w:rPr>
        <w:t>1 licenza software per Forefront Threat Management Gateway Medium Business Edition 2010</w:t>
      </w:r>
    </w:p>
    <w:p w14:paraId="0FF8E562" w14:textId="77777777" w:rsidR="00113634" w:rsidRPr="00FE6686" w:rsidRDefault="00113634" w:rsidP="00E63984">
      <w:pPr>
        <w:pStyle w:val="ListParagraph"/>
        <w:ind w:left="1620"/>
        <w:contextualSpacing w:val="0"/>
        <w:rPr>
          <w:rFonts w:ascii="Tahoma" w:hAnsi="Tahoma" w:cs="Tahoma"/>
          <w:sz w:val="18"/>
          <w:szCs w:val="18"/>
        </w:rPr>
      </w:pPr>
    </w:p>
    <w:p w14:paraId="5A849AE5" w14:textId="77777777" w:rsidR="00113634" w:rsidRPr="0058047D" w:rsidRDefault="00113634" w:rsidP="00957DE8">
      <w:pPr>
        <w:pStyle w:val="ListParagraph"/>
      </w:pPr>
      <w:r w:rsidRPr="0058047D">
        <w:rPr>
          <w:rFonts w:ascii="Tahoma" w:hAnsi="Tahoma" w:cs="Tahoma"/>
          <w:sz w:val="18"/>
          <w:szCs w:val="18"/>
        </w:rPr>
        <w:t>(Qualora sia disponibile una nuova versione di uno qualsiasi dei prodotti di cui sopra in base al Programma per i Contratti Multilicenza ai sensi del quale una società ha acquistato le licenze qualificanti prima della fine della copertura Software Assurance attiva per la licenza per EBS 2008 Premium, la società sarà idonea a utilizzare la nuova versione al posto della versione specificata sopra).</w:t>
      </w:r>
    </w:p>
    <w:p w14:paraId="2C37292C" w14:textId="77777777" w:rsidR="00113634" w:rsidRPr="00FE6686" w:rsidRDefault="00113634" w:rsidP="00FE6686">
      <w:pPr>
        <w:pStyle w:val="ListParagraph"/>
        <w:ind w:left="1620"/>
        <w:contextualSpacing w:val="0"/>
        <w:rPr>
          <w:rFonts w:ascii="Tahoma" w:hAnsi="Tahoma" w:cs="Tahoma"/>
          <w:sz w:val="18"/>
          <w:szCs w:val="18"/>
        </w:rPr>
      </w:pPr>
    </w:p>
    <w:p w14:paraId="5B3338A0" w14:textId="77777777" w:rsidR="00113634" w:rsidRPr="0058047D" w:rsidRDefault="00113634" w:rsidP="00957DE8">
      <w:pPr>
        <w:ind w:left="720"/>
      </w:pPr>
      <w:r w:rsidRPr="0058047D">
        <w:rPr>
          <w:rFonts w:cs="Tahoma"/>
          <w:szCs w:val="18"/>
        </w:rPr>
        <w:t>Le licenze gratuite sono attestate dal Contratto Multilicenza della società e dalla presente nota relativa alle condizioni del prodotto.</w:t>
      </w:r>
      <w:r w:rsidR="00E34ED3" w:rsidRPr="0058047D">
        <w:rPr>
          <w:rFonts w:cs="Tahoma"/>
          <w:szCs w:val="18"/>
        </w:rPr>
        <w:t xml:space="preserve"> </w:t>
      </w:r>
      <w:r w:rsidRPr="0058047D">
        <w:rPr>
          <w:rFonts w:cs="Tahoma"/>
          <w:szCs w:val="18"/>
        </w:rPr>
        <w:t>L</w:t>
      </w:r>
      <w:r w:rsidR="001C4212">
        <w:rPr>
          <w:rFonts w:cs="Tahoma"/>
          <w:szCs w:val="18"/>
        </w:rPr>
        <w:t>’</w:t>
      </w:r>
      <w:r w:rsidRPr="0058047D">
        <w:rPr>
          <w:rFonts w:cs="Tahoma"/>
          <w:szCs w:val="18"/>
        </w:rPr>
        <w:t>utilizzo del software ai sensi delle licenze gratuite è soggetto alle condizioni del contratto della società e ai diritti di utilizzo del prodotto per i prodotti individuali.</w:t>
      </w:r>
      <w:r w:rsidR="00E34ED3" w:rsidRPr="0058047D">
        <w:rPr>
          <w:rFonts w:cs="Tahoma"/>
          <w:szCs w:val="18"/>
        </w:rPr>
        <w:t xml:space="preserve"> </w:t>
      </w:r>
      <w:r w:rsidRPr="0058047D">
        <w:rPr>
          <w:rFonts w:cs="Tahoma"/>
          <w:szCs w:val="18"/>
        </w:rPr>
        <w:t>Tranne per Forefront Protection for Exchange Server 2010, il diritto di utilizzo del software ai sensi delle licenze gratuite scadrà alla scadenza del diritto di utilizzo del software ai sensi delle licenze qualificanti.</w:t>
      </w:r>
      <w:r w:rsidR="00E34ED3" w:rsidRPr="0058047D">
        <w:rPr>
          <w:rFonts w:cs="Tahoma"/>
          <w:szCs w:val="18"/>
        </w:rPr>
        <w:t xml:space="preserve"> </w:t>
      </w:r>
      <w:r w:rsidRPr="0058047D">
        <w:rPr>
          <w:rFonts w:cs="Tahoma"/>
          <w:szCs w:val="18"/>
        </w:rPr>
        <w:t>Il diritto di utilizzo di Forefront Protection for Exchange Server 2010 scadrà alla scadenza della copertura Software Assurance sulle licenze qualificanti.</w:t>
      </w:r>
      <w:r w:rsidR="00E34ED3" w:rsidRPr="0058047D">
        <w:rPr>
          <w:rFonts w:cs="Tahoma"/>
          <w:szCs w:val="18"/>
        </w:rPr>
        <w:t xml:space="preserve"> </w:t>
      </w:r>
      <w:r w:rsidRPr="0058047D">
        <w:rPr>
          <w:rFonts w:cs="Tahoma"/>
          <w:szCs w:val="18"/>
        </w:rPr>
        <w:t>Le licenze gratuite non possono in nessun caso essere trasferite separatamente dalle licenze qualificanti.</w:t>
      </w:r>
    </w:p>
    <w:p w14:paraId="57104271" w14:textId="77777777" w:rsidR="00C41189" w:rsidRPr="0058047D" w:rsidRDefault="00C41189"/>
    <w:p w14:paraId="25D1CD9B" w14:textId="77777777" w:rsidR="00113634" w:rsidRPr="0058047D" w:rsidRDefault="00113634" w:rsidP="00957DE8">
      <w:pPr>
        <w:pStyle w:val="ListParagraph"/>
        <w:spacing w:after="60"/>
        <w:contextualSpacing w:val="0"/>
      </w:pPr>
      <w:r w:rsidRPr="0058047D">
        <w:rPr>
          <w:rFonts w:ascii="Tahoma" w:hAnsi="Tahoma" w:cs="Tahoma"/>
          <w:b/>
          <w:sz w:val="18"/>
          <w:szCs w:val="18"/>
        </w:rPr>
        <w:t>Diritti di utilizzo aggiuntivi per le licenze CAL per Windows Essential Business Server (EBS)</w:t>
      </w:r>
      <w:r w:rsidR="00FE6686">
        <w:rPr>
          <w:rFonts w:ascii="Tahoma" w:hAnsi="Tahoma" w:cs="Tahoma"/>
          <w:b/>
          <w:sz w:val="18"/>
          <w:szCs w:val="18"/>
        </w:rPr>
        <w:t> </w:t>
      </w:r>
      <w:r w:rsidRPr="0058047D">
        <w:rPr>
          <w:rFonts w:ascii="Tahoma" w:hAnsi="Tahoma" w:cs="Tahoma"/>
          <w:b/>
          <w:sz w:val="18"/>
          <w:szCs w:val="18"/>
        </w:rPr>
        <w:t>2008</w:t>
      </w:r>
    </w:p>
    <w:p w14:paraId="7CC98401" w14:textId="77777777" w:rsidR="00113634" w:rsidRPr="0058047D" w:rsidRDefault="00113634" w:rsidP="00957DE8">
      <w:pPr>
        <w:ind w:left="720"/>
      </w:pPr>
      <w:r w:rsidRPr="0058047D">
        <w:rPr>
          <w:rFonts w:cs="Tahoma"/>
          <w:szCs w:val="18"/>
        </w:rPr>
        <w:t>Nonostante eventuali disposizioni contrarie dei diritti di utilizzo del prodotto per Windows Server 2008 ed Exchange Server 2007 Standard, le società possono utilizzare EBS 2008 CAL Suite ed EBS 2008 CAL Suite per Utenti o Dispositivi Premium per accedere alle istanze in licenza del software all</w:t>
      </w:r>
      <w:r w:rsidR="001C4212">
        <w:rPr>
          <w:rFonts w:cs="Tahoma"/>
          <w:szCs w:val="18"/>
        </w:rPr>
        <w:t>’</w:t>
      </w:r>
      <w:r w:rsidRPr="0058047D">
        <w:rPr>
          <w:rFonts w:cs="Tahoma"/>
          <w:szCs w:val="18"/>
        </w:rPr>
        <w:t>interno o all</w:t>
      </w:r>
      <w:r w:rsidR="001C4212">
        <w:rPr>
          <w:rFonts w:cs="Tahoma"/>
          <w:szCs w:val="18"/>
        </w:rPr>
        <w:t>’</w:t>
      </w:r>
      <w:r w:rsidRPr="0058047D">
        <w:rPr>
          <w:rFonts w:cs="Tahoma"/>
          <w:szCs w:val="18"/>
        </w:rPr>
        <w:t>esterno del loro dominio EBS 2008. Inoltre, nonostante eventuali disposizioni contrarie dei diritti di utilizzo del prodotto per SQL Server 2008 Standard, le società possono utilizzare EBS 2008 CAL Suite per Utenti o Dispositivi Premium per accedere alle istanze in licenza di SQL Server 2008 Standard all</w:t>
      </w:r>
      <w:r w:rsidR="001C4212">
        <w:rPr>
          <w:rFonts w:cs="Tahoma"/>
          <w:szCs w:val="18"/>
        </w:rPr>
        <w:t>’</w:t>
      </w:r>
      <w:r w:rsidRPr="0058047D">
        <w:rPr>
          <w:rFonts w:cs="Tahoma"/>
          <w:szCs w:val="18"/>
        </w:rPr>
        <w:t>interno o all</w:t>
      </w:r>
      <w:r w:rsidR="001C4212">
        <w:rPr>
          <w:rFonts w:cs="Tahoma"/>
          <w:szCs w:val="18"/>
        </w:rPr>
        <w:t>’</w:t>
      </w:r>
      <w:r w:rsidRPr="0058047D">
        <w:rPr>
          <w:rFonts w:cs="Tahoma"/>
          <w:szCs w:val="18"/>
        </w:rPr>
        <w:t>esterno del loro dominio EBS 2008.</w:t>
      </w:r>
    </w:p>
    <w:p w14:paraId="59DA0C41" w14:textId="77777777" w:rsidR="00113634" w:rsidRPr="0058047D" w:rsidRDefault="00113634" w:rsidP="00EF2279">
      <w:pPr>
        <w:tabs>
          <w:tab w:val="left" w:pos="1260"/>
        </w:tabs>
        <w:ind w:left="1260"/>
      </w:pPr>
    </w:p>
    <w:p w14:paraId="1D14F70D" w14:textId="77777777" w:rsidR="00113634" w:rsidRPr="0058047D" w:rsidRDefault="00113634" w:rsidP="00957DE8">
      <w:pPr>
        <w:tabs>
          <w:tab w:val="left" w:pos="1260"/>
        </w:tabs>
        <w:ind w:left="720"/>
      </w:pPr>
      <w:r w:rsidRPr="0058047D">
        <w:rPr>
          <w:rFonts w:cs="Tahoma"/>
          <w:szCs w:val="18"/>
        </w:rPr>
        <w:t>Per le società con copertura Software Assurance attiva per CAL per Windows Essential Business Server (EBS) 2008 al 1 luglio 2010 è previsto quanto segue:</w:t>
      </w:r>
    </w:p>
    <w:p w14:paraId="4856749B" w14:textId="77777777" w:rsidR="00A6493D" w:rsidRPr="00FE6686" w:rsidRDefault="00A6493D" w:rsidP="00FE6686">
      <w:pPr>
        <w:pStyle w:val="ListParagraph"/>
        <w:ind w:left="1620"/>
        <w:contextualSpacing w:val="0"/>
        <w:rPr>
          <w:rFonts w:ascii="Tahoma" w:hAnsi="Tahoma" w:cs="Tahoma"/>
          <w:sz w:val="18"/>
          <w:szCs w:val="18"/>
        </w:rPr>
      </w:pPr>
    </w:p>
    <w:p w14:paraId="37C431B4" w14:textId="77777777" w:rsidR="00113634" w:rsidRPr="0058047D" w:rsidRDefault="00113634" w:rsidP="00346F4B">
      <w:pPr>
        <w:pStyle w:val="ListParagraph"/>
        <w:numPr>
          <w:ilvl w:val="0"/>
          <w:numId w:val="120"/>
        </w:numPr>
        <w:tabs>
          <w:tab w:val="left" w:pos="1440"/>
        </w:tabs>
        <w:spacing w:after="60"/>
        <w:contextualSpacing w:val="0"/>
      </w:pPr>
      <w:r w:rsidRPr="0058047D">
        <w:rPr>
          <w:rFonts w:ascii="Tahoma" w:hAnsi="Tahoma" w:cs="Tahoma"/>
          <w:sz w:val="18"/>
          <w:szCs w:val="18"/>
        </w:rPr>
        <w:t>Per ogni EBS 2008 CAL Suite con copertura Software Assurance attiva in data 1 luglio 2010 in possesso di una società, tale società sarà idonea a ricevere le seguenti licenze gratuite:</w:t>
      </w:r>
    </w:p>
    <w:p w14:paraId="7CB3A698" w14:textId="77777777" w:rsidR="00113634" w:rsidRPr="0058047D" w:rsidRDefault="00113634" w:rsidP="00346F4B">
      <w:pPr>
        <w:pStyle w:val="ListParagraph"/>
        <w:numPr>
          <w:ilvl w:val="1"/>
          <w:numId w:val="121"/>
        </w:numPr>
        <w:tabs>
          <w:tab w:val="clear" w:pos="720"/>
        </w:tabs>
        <w:spacing w:after="60"/>
        <w:ind w:left="1980"/>
        <w:contextualSpacing w:val="0"/>
      </w:pPr>
      <w:r w:rsidRPr="0058047D">
        <w:rPr>
          <w:rFonts w:ascii="Tahoma" w:hAnsi="Tahoma" w:cs="Tahoma"/>
          <w:sz w:val="18"/>
          <w:szCs w:val="18"/>
        </w:rPr>
        <w:t>1 licenza CAL per Windows Server 2008</w:t>
      </w:r>
    </w:p>
    <w:p w14:paraId="130B1E1E" w14:textId="77777777" w:rsidR="00113634" w:rsidRPr="0058047D" w:rsidRDefault="00113634" w:rsidP="00346F4B">
      <w:pPr>
        <w:pStyle w:val="ListParagraph"/>
        <w:numPr>
          <w:ilvl w:val="1"/>
          <w:numId w:val="121"/>
        </w:numPr>
        <w:tabs>
          <w:tab w:val="clear" w:pos="720"/>
        </w:tabs>
        <w:spacing w:after="60"/>
        <w:ind w:left="1980"/>
        <w:contextualSpacing w:val="0"/>
      </w:pPr>
      <w:r w:rsidRPr="0058047D">
        <w:rPr>
          <w:rFonts w:ascii="Tahoma" w:hAnsi="Tahoma" w:cs="Tahoma"/>
          <w:sz w:val="18"/>
          <w:szCs w:val="18"/>
        </w:rPr>
        <w:t>1 Standard CAL per Exchange Server 2010</w:t>
      </w:r>
    </w:p>
    <w:p w14:paraId="2C8F12FB" w14:textId="77777777" w:rsidR="00113634" w:rsidRPr="0058047D" w:rsidRDefault="00113634" w:rsidP="00346F4B">
      <w:pPr>
        <w:pStyle w:val="ListParagraph"/>
        <w:numPr>
          <w:ilvl w:val="1"/>
          <w:numId w:val="121"/>
        </w:numPr>
        <w:tabs>
          <w:tab w:val="clear" w:pos="720"/>
        </w:tabs>
        <w:spacing w:after="60"/>
        <w:ind w:left="1980"/>
        <w:contextualSpacing w:val="0"/>
      </w:pPr>
      <w:r w:rsidRPr="0058047D">
        <w:rPr>
          <w:rFonts w:ascii="Tahoma" w:hAnsi="Tahoma" w:cs="Tahoma"/>
          <w:sz w:val="18"/>
          <w:szCs w:val="18"/>
        </w:rPr>
        <w:t>1 licenza “Subscription” per utente o dispositivo per Forefront Protection for Exchange Server 2010</w:t>
      </w:r>
    </w:p>
    <w:p w14:paraId="07D7F5DD" w14:textId="77777777" w:rsidR="00A6493D" w:rsidRPr="00FE6686" w:rsidRDefault="00A6493D" w:rsidP="00FE6686">
      <w:pPr>
        <w:pStyle w:val="ListParagraph"/>
        <w:ind w:left="1620"/>
        <w:contextualSpacing w:val="0"/>
        <w:rPr>
          <w:rFonts w:ascii="Tahoma" w:hAnsi="Tahoma" w:cs="Tahoma"/>
          <w:sz w:val="18"/>
          <w:szCs w:val="18"/>
        </w:rPr>
      </w:pPr>
    </w:p>
    <w:p w14:paraId="02FFC820" w14:textId="77777777" w:rsidR="00113634" w:rsidRPr="0058047D" w:rsidRDefault="00113634" w:rsidP="00346F4B">
      <w:pPr>
        <w:pStyle w:val="ListParagraph"/>
        <w:numPr>
          <w:ilvl w:val="0"/>
          <w:numId w:val="120"/>
        </w:numPr>
        <w:tabs>
          <w:tab w:val="left" w:pos="1440"/>
        </w:tabs>
        <w:spacing w:after="60"/>
        <w:contextualSpacing w:val="0"/>
      </w:pPr>
      <w:r w:rsidRPr="0058047D">
        <w:rPr>
          <w:rFonts w:ascii="Tahoma" w:hAnsi="Tahoma" w:cs="Tahoma"/>
          <w:sz w:val="18"/>
          <w:szCs w:val="18"/>
        </w:rPr>
        <w:t>Per ogni EBS 2008 CAL Suite per Utenti e Dispositivi Premium con copertura Software Assurance attiva in data 1 luglio 2010 in possesso di una società, tale società sarà idonea a ricevere le seguenti licenze gratuite:</w:t>
      </w:r>
    </w:p>
    <w:p w14:paraId="29AD26E1" w14:textId="77777777" w:rsidR="00113634" w:rsidRPr="0058047D" w:rsidRDefault="00113634" w:rsidP="00346F4B">
      <w:pPr>
        <w:pStyle w:val="ListParagraph"/>
        <w:numPr>
          <w:ilvl w:val="1"/>
          <w:numId w:val="121"/>
        </w:numPr>
        <w:tabs>
          <w:tab w:val="clear" w:pos="720"/>
        </w:tabs>
        <w:spacing w:after="60"/>
        <w:ind w:left="1980"/>
        <w:contextualSpacing w:val="0"/>
      </w:pPr>
      <w:r w:rsidRPr="0058047D">
        <w:rPr>
          <w:rFonts w:ascii="Tahoma" w:hAnsi="Tahoma" w:cs="Tahoma"/>
          <w:sz w:val="18"/>
          <w:szCs w:val="18"/>
        </w:rPr>
        <w:t>licenza CAL per Windows Server 2008</w:t>
      </w:r>
    </w:p>
    <w:p w14:paraId="72B94281" w14:textId="77777777" w:rsidR="00113634" w:rsidRPr="0058047D" w:rsidRDefault="00113634" w:rsidP="00346F4B">
      <w:pPr>
        <w:pStyle w:val="ListParagraph"/>
        <w:numPr>
          <w:ilvl w:val="1"/>
          <w:numId w:val="121"/>
        </w:numPr>
        <w:tabs>
          <w:tab w:val="clear" w:pos="720"/>
        </w:tabs>
        <w:spacing w:after="60"/>
        <w:ind w:left="1980"/>
        <w:contextualSpacing w:val="0"/>
      </w:pPr>
      <w:r w:rsidRPr="0058047D">
        <w:rPr>
          <w:rFonts w:ascii="Tahoma" w:hAnsi="Tahoma" w:cs="Tahoma"/>
          <w:sz w:val="18"/>
          <w:szCs w:val="18"/>
        </w:rPr>
        <w:t>Standard CAL per Exchange Server 2010</w:t>
      </w:r>
    </w:p>
    <w:p w14:paraId="48394B9E" w14:textId="77777777" w:rsidR="002512D3" w:rsidRPr="0058047D" w:rsidRDefault="00113634" w:rsidP="00346F4B">
      <w:pPr>
        <w:pStyle w:val="ListParagraph"/>
        <w:numPr>
          <w:ilvl w:val="1"/>
          <w:numId w:val="121"/>
        </w:numPr>
        <w:tabs>
          <w:tab w:val="clear" w:pos="720"/>
        </w:tabs>
        <w:spacing w:after="60"/>
        <w:ind w:left="1980"/>
        <w:contextualSpacing w:val="0"/>
      </w:pPr>
      <w:r w:rsidRPr="0058047D">
        <w:rPr>
          <w:rFonts w:ascii="Tahoma" w:hAnsi="Tahoma" w:cs="Tahoma"/>
          <w:sz w:val="18"/>
          <w:szCs w:val="18"/>
        </w:rPr>
        <w:t>licenza CAL per SQL Server 2008 R2</w:t>
      </w:r>
    </w:p>
    <w:p w14:paraId="5916D6DF" w14:textId="77777777" w:rsidR="00113634" w:rsidRPr="0058047D" w:rsidRDefault="00113634" w:rsidP="00346F4B">
      <w:pPr>
        <w:pStyle w:val="ListParagraph"/>
        <w:numPr>
          <w:ilvl w:val="1"/>
          <w:numId w:val="121"/>
        </w:numPr>
        <w:tabs>
          <w:tab w:val="clear" w:pos="720"/>
        </w:tabs>
        <w:spacing w:after="60"/>
        <w:ind w:left="1980"/>
        <w:contextualSpacing w:val="0"/>
      </w:pPr>
      <w:r w:rsidRPr="0058047D">
        <w:rPr>
          <w:rFonts w:ascii="Tahoma" w:hAnsi="Tahoma" w:cs="Tahoma"/>
          <w:sz w:val="18"/>
          <w:szCs w:val="18"/>
        </w:rPr>
        <w:t>1 licenza “Subscription” per utente o dispositivo per Forefront Protection for Exchange Server 2010</w:t>
      </w:r>
    </w:p>
    <w:p w14:paraId="5C3E071F" w14:textId="77777777" w:rsidR="00113634" w:rsidRPr="0058047D" w:rsidRDefault="00113634" w:rsidP="00A434A4">
      <w:pPr>
        <w:pStyle w:val="ListParagraph"/>
        <w:spacing w:after="60"/>
        <w:ind w:left="1980"/>
        <w:contextualSpacing w:val="0"/>
      </w:pPr>
      <w:r w:rsidRPr="0058047D">
        <w:rPr>
          <w:rFonts w:ascii="Tahoma" w:hAnsi="Tahoma" w:cs="Tahoma"/>
          <w:sz w:val="18"/>
          <w:szCs w:val="18"/>
        </w:rPr>
        <w:t>(Qualora sia disponibile una nuova versione di tali prodotti ai sensi del Programma per i Contratti Multilicenza in base al quale una società ha acquistato le licenze qualificanti prima della fine della copertura Software Assurance attiva per la licenza CAL qualificante per EBS 2008, la società invece sarà idonea a ricevere le licenze CAL corrispondenti a quella versione).</w:t>
      </w:r>
    </w:p>
    <w:p w14:paraId="52A40F7F" w14:textId="77777777" w:rsidR="00113634" w:rsidRPr="0058047D" w:rsidRDefault="00113634" w:rsidP="00113634"/>
    <w:p w14:paraId="7AF34FCD" w14:textId="77777777" w:rsidR="001E3F07" w:rsidRPr="0058047D" w:rsidRDefault="00113634" w:rsidP="00A434A4">
      <w:pPr>
        <w:ind w:left="720"/>
      </w:pPr>
      <w:r w:rsidRPr="0058047D">
        <w:rPr>
          <w:rFonts w:cs="Tahoma"/>
          <w:szCs w:val="18"/>
        </w:rPr>
        <w:t>Le CAL gratuite sono attestate dal contratto multilicenza (Volume Licensing) della società e dalla presente nota relativa alle condizioni del prodotto.</w:t>
      </w:r>
      <w:r w:rsidR="00E34ED3" w:rsidRPr="0058047D">
        <w:rPr>
          <w:rFonts w:cs="Tahoma"/>
          <w:szCs w:val="18"/>
        </w:rPr>
        <w:t xml:space="preserve"> </w:t>
      </w:r>
      <w:r w:rsidRPr="0058047D">
        <w:rPr>
          <w:rFonts w:cs="Tahoma"/>
          <w:szCs w:val="18"/>
        </w:rPr>
        <w:t>L</w:t>
      </w:r>
      <w:r w:rsidR="001C4212">
        <w:rPr>
          <w:rFonts w:cs="Tahoma"/>
          <w:szCs w:val="18"/>
        </w:rPr>
        <w:t>’</w:t>
      </w:r>
      <w:r w:rsidRPr="0058047D">
        <w:rPr>
          <w:rFonts w:cs="Tahoma"/>
          <w:szCs w:val="18"/>
        </w:rPr>
        <w:t>utilizzo del software ai sensi delle CAL gratuite è soggetto alle condizioni del contratto della società e ai diritti di utilizzo del prodotto per i prodotti individuali.</w:t>
      </w:r>
      <w:r w:rsidR="00E34ED3" w:rsidRPr="0058047D">
        <w:rPr>
          <w:rFonts w:cs="Tahoma"/>
          <w:szCs w:val="18"/>
        </w:rPr>
        <w:t xml:space="preserve"> </w:t>
      </w:r>
      <w:r w:rsidRPr="0058047D">
        <w:rPr>
          <w:rFonts w:cs="Tahoma"/>
          <w:szCs w:val="18"/>
        </w:rPr>
        <w:t>Il diritto di utilizzo del software ai sensi delle CAL gratuite scadrà alla scadenza del diritto di utilizzo del software ai sensi delle CAL qualificanti.</w:t>
      </w:r>
      <w:r w:rsidR="00E34ED3" w:rsidRPr="0058047D">
        <w:rPr>
          <w:rFonts w:cs="Tahoma"/>
          <w:szCs w:val="18"/>
        </w:rPr>
        <w:t xml:space="preserve"> </w:t>
      </w:r>
      <w:r w:rsidRPr="0058047D">
        <w:rPr>
          <w:rFonts w:cs="Tahoma"/>
          <w:szCs w:val="18"/>
        </w:rPr>
        <w:t>Le CAL gratuite non possono in nessun caso essere trasferite separatamente dalle CAL qualificanti.</w:t>
      </w:r>
      <w:bookmarkStart w:id="1544" w:name="_107_Windows_Azure"/>
      <w:bookmarkEnd w:id="1544"/>
    </w:p>
    <w:p w14:paraId="6349756A" w14:textId="77777777" w:rsidR="00113634" w:rsidRPr="0058047D" w:rsidRDefault="00113634" w:rsidP="00113634"/>
    <w:p w14:paraId="142A4CC9" w14:textId="77777777" w:rsidR="00DE0D10" w:rsidRPr="0058047D" w:rsidRDefault="00DE0D10" w:rsidP="00957DE8"/>
    <w:p w14:paraId="35D0765D" w14:textId="77777777" w:rsidR="00023FE7" w:rsidRPr="0058047D" w:rsidRDefault="00A560B6" w:rsidP="00EF2279">
      <w:pPr>
        <w:pStyle w:val="Heading3"/>
      </w:pPr>
      <w:bookmarkStart w:id="1545" w:name="_104_Windows_HPC"/>
      <w:bookmarkStart w:id="1546" w:name="_105_Windows_HPC"/>
      <w:bookmarkStart w:id="1547" w:name="Srv_109HPCServer2008_R2Suite"/>
      <w:bookmarkStart w:id="1548" w:name="_Toc336338365"/>
      <w:bookmarkStart w:id="1549" w:name="_Toc371663758"/>
      <w:bookmarkStart w:id="1550" w:name="Srv_96WindowsHighPerfCompSvr08"/>
      <w:bookmarkStart w:id="1551" w:name="Srv_94HPCServer2008_R2Suite"/>
      <w:bookmarkStart w:id="1552" w:name="Srv_106HPCServer2008_R2Suite"/>
      <w:bookmarkEnd w:id="1545"/>
      <w:bookmarkEnd w:id="1546"/>
      <w:r w:rsidRPr="0058047D">
        <w:rPr>
          <w:rFonts w:ascii="Tahoma" w:hAnsi="Tahoma"/>
          <w:caps/>
          <w:color w:val="F66400"/>
          <w:sz w:val="22"/>
          <w:vertAlign w:val="superscript"/>
        </w:rPr>
        <w:t xml:space="preserve">105 </w:t>
      </w:r>
      <w:r w:rsidRPr="0058047D">
        <w:rPr>
          <w:rFonts w:ascii="Tahoma" w:hAnsi="Tahoma"/>
          <w:color w:val="F66400"/>
          <w:sz w:val="22"/>
        </w:rPr>
        <w:t>Windows HPC Server 2008 R2 Suite</w:t>
      </w:r>
      <w:bookmarkEnd w:id="1547"/>
      <w:bookmarkEnd w:id="1548"/>
      <w:bookmarkEnd w:id="1549"/>
    </w:p>
    <w:bookmarkEnd w:id="1550"/>
    <w:bookmarkEnd w:id="1551"/>
    <w:bookmarkEnd w:id="1552"/>
    <w:p w14:paraId="1959A23B" w14:textId="77777777" w:rsidR="00023FE7" w:rsidRPr="0058047D" w:rsidRDefault="00023FE7" w:rsidP="00A434A4">
      <w:pPr>
        <w:pStyle w:val="EndnoteText"/>
      </w:pPr>
    </w:p>
    <w:p w14:paraId="1EB1801C" w14:textId="77777777" w:rsidR="00A434A4" w:rsidRPr="0058047D" w:rsidRDefault="001978C7" w:rsidP="00A434A4">
      <w:pPr>
        <w:spacing w:after="60"/>
        <w:ind w:left="720"/>
      </w:pPr>
      <w:r w:rsidRPr="0058047D">
        <w:rPr>
          <w:b/>
          <w:color w:val="000000"/>
        </w:rPr>
        <w:t>Concessioni di licenza associate alla fine del ciclo di vita di HPC Server Suite</w:t>
      </w:r>
    </w:p>
    <w:p w14:paraId="1A8C8160" w14:textId="77777777" w:rsidR="001978C7" w:rsidRPr="0058047D" w:rsidRDefault="001978C7" w:rsidP="00A434A4">
      <w:pPr>
        <w:ind w:left="720"/>
      </w:pPr>
      <w:r w:rsidRPr="0058047D">
        <w:rPr>
          <w:color w:val="000000"/>
        </w:rPr>
        <w:t>HPC Server Suite 2008 R2 sarà l</w:t>
      </w:r>
      <w:r w:rsidR="001C4212">
        <w:rPr>
          <w:color w:val="000000"/>
        </w:rPr>
        <w:t>’</w:t>
      </w:r>
      <w:r w:rsidRPr="0058047D">
        <w:rPr>
          <w:color w:val="000000"/>
        </w:rPr>
        <w:t>ultima versione di HPC Server Suite. Le società titolari di Contratti Multilicenza con copertura Software Assurance attiva per le licenze per HPC Server Suite in data 1 settembre 2012 o in occasione della prima disponibilità di Windows Server 2012 per il download dal sito Web Volume Licensing Service Center, a seconda di quale evento si verificherà per primo, (“Licenze Qualificanti”) saranno autorizzate a</w:t>
      </w:r>
      <w:r w:rsidRPr="0058047D">
        <w:rPr>
          <w:rFonts w:eastAsia="Calibri" w:cs="Tahoma"/>
          <w:szCs w:val="18"/>
        </w:rPr>
        <w:t xml:space="preserve"> effettuare l</w:t>
      </w:r>
      <w:r w:rsidR="001C4212">
        <w:rPr>
          <w:rFonts w:eastAsia="Calibri" w:cs="Tahoma"/>
          <w:szCs w:val="18"/>
        </w:rPr>
        <w:t>’</w:t>
      </w:r>
      <w:r w:rsidRPr="0058047D">
        <w:rPr>
          <w:rFonts w:eastAsia="Calibri" w:cs="Tahoma"/>
          <w:szCs w:val="18"/>
        </w:rPr>
        <w:t>aggiornamento al software Windows Server 2012 Standard e a utilizzarlo al posto di HPC Server Suite. Per agevolare tale aggiornamento, per ogni Licenza Qualificante in suo possesso, alla società verrà concessa una licenza per processore per Windows Server 2012 Standard in base alla disponibilità di Windows Server 2012.</w:t>
      </w:r>
    </w:p>
    <w:p w14:paraId="1B4BF321" w14:textId="77777777" w:rsidR="00A434A4" w:rsidRPr="0058047D" w:rsidRDefault="00A434A4" w:rsidP="00A434A4">
      <w:pPr>
        <w:ind w:left="720"/>
      </w:pPr>
    </w:p>
    <w:p w14:paraId="4BBAF5C1" w14:textId="77777777" w:rsidR="001978C7" w:rsidRPr="0058047D" w:rsidRDefault="001978C7" w:rsidP="00346F4B">
      <w:pPr>
        <w:numPr>
          <w:ilvl w:val="0"/>
          <w:numId w:val="52"/>
        </w:numPr>
        <w:tabs>
          <w:tab w:val="left" w:pos="1440"/>
        </w:tabs>
        <w:spacing w:after="60"/>
        <w:ind w:left="1440"/>
      </w:pPr>
      <w:r w:rsidRPr="0058047D">
        <w:rPr>
          <w:rFonts w:eastAsia="Calibri" w:cs="Tahoma"/>
          <w:szCs w:val="18"/>
        </w:rPr>
        <w:t>Le licenze acquistate ai sensi della presente concessione includono la copertura Software Assurance.</w:t>
      </w:r>
      <w:r w:rsidR="00E34ED3" w:rsidRPr="0058047D">
        <w:rPr>
          <w:rFonts w:eastAsia="Calibri" w:cs="Tahoma"/>
          <w:szCs w:val="18"/>
        </w:rPr>
        <w:t xml:space="preserve"> </w:t>
      </w:r>
      <w:r w:rsidRPr="0058047D">
        <w:rPr>
          <w:rFonts w:eastAsia="Calibri" w:cs="Tahoma"/>
          <w:szCs w:val="18"/>
        </w:rPr>
        <w:t>Tale copertura cessa alla scadenza della corrispondente copertura per le Licenze Qualificanti.</w:t>
      </w:r>
    </w:p>
    <w:p w14:paraId="5E72D2DD" w14:textId="77777777" w:rsidR="001978C7" w:rsidRPr="0058047D" w:rsidRDefault="001978C7" w:rsidP="00346F4B">
      <w:pPr>
        <w:numPr>
          <w:ilvl w:val="0"/>
          <w:numId w:val="52"/>
        </w:numPr>
        <w:tabs>
          <w:tab w:val="left" w:pos="1440"/>
        </w:tabs>
        <w:spacing w:after="60"/>
        <w:ind w:left="1440"/>
      </w:pPr>
      <w:r w:rsidRPr="0058047D">
        <w:rPr>
          <w:rFonts w:eastAsia="Calibri" w:cs="Tahoma"/>
          <w:szCs w:val="18"/>
        </w:rPr>
        <w:t>Nel caso in cui le società abbiano acquistato diritti perpetui di utilizzo del software ai sensi di Licenze Qualificanti, le licenze acquistate ai sensi della presente concessione saranno anch</w:t>
      </w:r>
      <w:r w:rsidR="001C4212">
        <w:rPr>
          <w:rFonts w:eastAsia="Calibri" w:cs="Tahoma"/>
          <w:szCs w:val="18"/>
        </w:rPr>
        <w:t>’</w:t>
      </w:r>
      <w:r w:rsidRPr="0058047D">
        <w:rPr>
          <w:rFonts w:eastAsia="Calibri" w:cs="Tahoma"/>
          <w:szCs w:val="18"/>
        </w:rPr>
        <w:t>esse perpetue; diversamente, le licenze acquistate ai sensi della presente concessione cesseranno alla scadenza delle Licenze Qualificanti sottostanti.</w:t>
      </w:r>
    </w:p>
    <w:p w14:paraId="76105BBF" w14:textId="77777777" w:rsidR="001978C7" w:rsidRPr="0058047D" w:rsidRDefault="001978C7" w:rsidP="00346F4B">
      <w:pPr>
        <w:numPr>
          <w:ilvl w:val="0"/>
          <w:numId w:val="52"/>
        </w:numPr>
        <w:tabs>
          <w:tab w:val="left" w:pos="1440"/>
        </w:tabs>
        <w:spacing w:after="60"/>
        <w:ind w:left="1440"/>
      </w:pPr>
      <w:r w:rsidRPr="0058047D">
        <w:rPr>
          <w:rFonts w:eastAsia="Calibri" w:cs="Tahoma"/>
          <w:szCs w:val="18"/>
        </w:rPr>
        <w:t>Eseguendo l</w:t>
      </w:r>
      <w:r w:rsidR="001C4212">
        <w:rPr>
          <w:rFonts w:eastAsia="Calibri" w:cs="Tahoma"/>
          <w:szCs w:val="18"/>
        </w:rPr>
        <w:t>’</w:t>
      </w:r>
      <w:r w:rsidRPr="0058047D">
        <w:rPr>
          <w:rFonts w:eastAsia="Calibri" w:cs="Tahoma"/>
          <w:szCs w:val="18"/>
        </w:rPr>
        <w:t>aggiornamento a Windows Server 2012 Standard ai sensi della presente concessione, le Licenze Qualificanti in essere per HPC Server Suite non saranno più valide.</w:t>
      </w:r>
    </w:p>
    <w:p w14:paraId="6C9CAB11" w14:textId="77777777" w:rsidR="001978C7" w:rsidRPr="0058047D" w:rsidRDefault="001978C7" w:rsidP="00346F4B">
      <w:pPr>
        <w:numPr>
          <w:ilvl w:val="0"/>
          <w:numId w:val="56"/>
        </w:numPr>
        <w:tabs>
          <w:tab w:val="left" w:pos="1440"/>
        </w:tabs>
        <w:spacing w:after="60"/>
        <w:ind w:left="1440"/>
      </w:pPr>
      <w:r w:rsidRPr="0058047D">
        <w:t xml:space="preserve">Le licenze per la </w:t>
      </w:r>
      <w:r w:rsidRPr="0058047D">
        <w:rPr>
          <w:color w:val="000000"/>
        </w:rPr>
        <w:t>Famiglia di Prodotti HPC Server</w:t>
      </w:r>
      <w:r w:rsidRPr="0058047D">
        <w:rPr>
          <w:rFonts w:cs="Tahoma"/>
          <w:bCs/>
          <w:color w:val="000000"/>
          <w:szCs w:val="18"/>
        </w:rPr>
        <w:t>, acquistate successivamente nello stesso periodo di validità dell</w:t>
      </w:r>
      <w:r w:rsidR="001C4212">
        <w:rPr>
          <w:rFonts w:cs="Tahoma"/>
          <w:bCs/>
          <w:color w:val="000000"/>
          <w:szCs w:val="18"/>
        </w:rPr>
        <w:t>’</w:t>
      </w:r>
      <w:r w:rsidRPr="0058047D">
        <w:rPr>
          <w:rFonts w:cs="Tahoma"/>
          <w:bCs/>
          <w:color w:val="000000"/>
          <w:szCs w:val="18"/>
        </w:rPr>
        <w:t>iscrizione nell</w:t>
      </w:r>
      <w:r w:rsidR="001C4212">
        <w:rPr>
          <w:rFonts w:cs="Tahoma"/>
          <w:bCs/>
          <w:color w:val="000000"/>
          <w:szCs w:val="18"/>
        </w:rPr>
        <w:t>’</w:t>
      </w:r>
      <w:r w:rsidRPr="0058047D">
        <w:rPr>
          <w:rFonts w:cs="Tahoma"/>
          <w:bCs/>
          <w:color w:val="000000"/>
          <w:szCs w:val="18"/>
        </w:rPr>
        <w:t>ambito di una procedura pianificata di true-up di una società con contratto Enterprise, Enterprise Subscription, Open Value Subscription o Enrollment for Education Solutions, sono anch</w:t>
      </w:r>
      <w:r w:rsidR="001C4212">
        <w:rPr>
          <w:rFonts w:cs="Tahoma"/>
          <w:bCs/>
          <w:color w:val="000000"/>
          <w:szCs w:val="18"/>
        </w:rPr>
        <w:t>’</w:t>
      </w:r>
      <w:r w:rsidRPr="0058047D">
        <w:rPr>
          <w:rFonts w:cs="Tahoma"/>
          <w:bCs/>
          <w:color w:val="000000"/>
          <w:szCs w:val="18"/>
        </w:rPr>
        <w:t xml:space="preserve">esse Licenze Qualificanti per gli scopi previsti dalla suddetta concessione. </w:t>
      </w:r>
    </w:p>
    <w:p w14:paraId="515B8E9B" w14:textId="77777777" w:rsidR="001978C7" w:rsidRPr="0058047D" w:rsidRDefault="001978C7" w:rsidP="00346F4B">
      <w:pPr>
        <w:numPr>
          <w:ilvl w:val="0"/>
          <w:numId w:val="56"/>
        </w:numPr>
        <w:tabs>
          <w:tab w:val="left" w:pos="1440"/>
        </w:tabs>
        <w:spacing w:after="60"/>
        <w:ind w:left="1440"/>
      </w:pPr>
      <w:r w:rsidRPr="0058047D">
        <w:rPr>
          <w:rFonts w:cs="Tahoma"/>
          <w:bCs/>
          <w:color w:val="000000"/>
          <w:szCs w:val="18"/>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407AABA5" w14:textId="77777777" w:rsidR="00DE4110" w:rsidRPr="0058047D" w:rsidRDefault="001978C7" w:rsidP="00346F4B">
      <w:pPr>
        <w:numPr>
          <w:ilvl w:val="0"/>
          <w:numId w:val="56"/>
        </w:numPr>
        <w:tabs>
          <w:tab w:val="left" w:pos="1440"/>
        </w:tabs>
        <w:spacing w:after="60"/>
        <w:ind w:left="1440"/>
      </w:pPr>
      <w:r w:rsidRPr="0058047D">
        <w:rPr>
          <w:rFonts w:cs="Tahoma"/>
          <w:bCs/>
          <w:color w:val="000000"/>
          <w:szCs w:val="18"/>
        </w:rPr>
        <w:t>Fare anche riferimento alle note della lista dei prodotti per Windows Server 2008 R2 HPC Edition e HPC Pack 2008 R2 Enterprise.</w:t>
      </w:r>
      <w:bookmarkStart w:id="1553" w:name="_109_Windows®_Intune"/>
      <w:bookmarkEnd w:id="1553"/>
    </w:p>
    <w:p w14:paraId="3D17C2E4" w14:textId="77777777" w:rsidR="00A434A4" w:rsidRPr="0058047D" w:rsidRDefault="00A434A4" w:rsidP="00A434A4">
      <w:pPr>
        <w:tabs>
          <w:tab w:val="left" w:pos="1440"/>
        </w:tabs>
        <w:ind w:left="1080"/>
        <w:contextualSpacing/>
      </w:pPr>
    </w:p>
    <w:p w14:paraId="539C7886" w14:textId="77777777" w:rsidR="00A434A4" w:rsidRPr="0058047D" w:rsidRDefault="00A434A4" w:rsidP="00376D4B">
      <w:pPr>
        <w:ind w:left="720"/>
      </w:pPr>
    </w:p>
    <w:p w14:paraId="34C88266" w14:textId="77777777" w:rsidR="008779BC" w:rsidRPr="0058047D" w:rsidRDefault="00A560B6" w:rsidP="00A434A4">
      <w:pPr>
        <w:pStyle w:val="Heading2"/>
        <w:ind w:left="0"/>
      </w:pPr>
      <w:bookmarkStart w:id="1554" w:name="_105_Windows_Multipoint"/>
      <w:bookmarkStart w:id="1555" w:name="_Toc336338367"/>
      <w:bookmarkStart w:id="1556" w:name="_Toc371663759"/>
      <w:bookmarkEnd w:id="1554"/>
      <w:r w:rsidRPr="0058047D">
        <w:rPr>
          <w:rFonts w:ascii="Tahoma" w:hAnsi="Tahoma" w:cs="Tahoma"/>
          <w:caps/>
          <w:color w:val="FA6500"/>
          <w:sz w:val="22"/>
          <w:vertAlign w:val="superscript"/>
        </w:rPr>
        <w:t xml:space="preserve">106 </w:t>
      </w:r>
      <w:r w:rsidRPr="0058047D">
        <w:rPr>
          <w:rFonts w:ascii="Tahoma" w:hAnsi="Tahoma" w:cs="Tahoma"/>
          <w:color w:val="FA6500"/>
          <w:sz w:val="22"/>
        </w:rPr>
        <w:t xml:space="preserve">Windows Multipoint Server </w:t>
      </w:r>
      <w:bookmarkEnd w:id="1555"/>
      <w:r w:rsidRPr="0058047D">
        <w:rPr>
          <w:rFonts w:ascii="Tahoma" w:hAnsi="Tahoma" w:cs="Tahoma"/>
          <w:color w:val="FA6500"/>
          <w:sz w:val="22"/>
        </w:rPr>
        <w:t>2012 Standard</w:t>
      </w:r>
      <w:bookmarkEnd w:id="1556"/>
      <w:r w:rsidRPr="0058047D">
        <w:rPr>
          <w:rFonts w:ascii="Tahoma" w:hAnsi="Tahoma" w:cs="Tahoma"/>
          <w:color w:val="FA6500"/>
          <w:sz w:val="22"/>
        </w:rPr>
        <w:t xml:space="preserve"> </w:t>
      </w:r>
    </w:p>
    <w:p w14:paraId="0B3F551B" w14:textId="77777777" w:rsidR="00A434A4" w:rsidRPr="0058047D" w:rsidRDefault="00A434A4" w:rsidP="00A434A4"/>
    <w:p w14:paraId="17B09C51" w14:textId="77777777" w:rsidR="00F745E1" w:rsidRPr="0058047D" w:rsidRDefault="008779BC" w:rsidP="00A434A4">
      <w:pPr>
        <w:ind w:left="720"/>
      </w:pPr>
      <w:r w:rsidRPr="0058047D">
        <w:rPr>
          <w:rFonts w:eastAsia="Calibri" w:cs="Tahoma"/>
          <w:color w:val="000000"/>
          <w:szCs w:val="18"/>
        </w:rPr>
        <w:t>Windows Multipoint Server 2012 Standard è la versione successiva di Windows Multipoint Server 2011 Standard.</w:t>
      </w:r>
    </w:p>
    <w:p w14:paraId="6D69890B" w14:textId="77777777" w:rsidR="00A434A4" w:rsidRPr="0058047D" w:rsidRDefault="00A434A4" w:rsidP="00A434A4"/>
    <w:p w14:paraId="04BB5EFD" w14:textId="77777777" w:rsidR="00A434A4" w:rsidRPr="0058047D" w:rsidRDefault="00A434A4" w:rsidP="00A434A4"/>
    <w:p w14:paraId="2337CA48" w14:textId="77777777" w:rsidR="00092F30" w:rsidRPr="0058047D" w:rsidRDefault="00A560B6" w:rsidP="00A434A4">
      <w:pPr>
        <w:pStyle w:val="Heading2"/>
        <w:ind w:left="0"/>
      </w:pPr>
      <w:bookmarkStart w:id="1557" w:name="_106_Windows_Multipoint"/>
      <w:bookmarkStart w:id="1558" w:name="_107_Windows_Multipoint"/>
      <w:bookmarkStart w:id="1559" w:name="_Toc336338368"/>
      <w:bookmarkStart w:id="1560" w:name="_Toc371663760"/>
      <w:bookmarkStart w:id="1561" w:name="Srv_103WinMultipointSvr2011Premium"/>
      <w:bookmarkStart w:id="1562" w:name="Srv_107WinMultipointSvr2011Premium"/>
      <w:bookmarkStart w:id="1563" w:name="Srv_111WinMultipointSvr2011Premium"/>
      <w:bookmarkEnd w:id="1557"/>
      <w:bookmarkEnd w:id="1558"/>
      <w:r w:rsidRPr="0058047D">
        <w:rPr>
          <w:rFonts w:ascii="Tahoma" w:hAnsi="Tahoma" w:cs="Tahoma"/>
          <w:caps/>
          <w:color w:val="FA6500"/>
          <w:sz w:val="22"/>
          <w:szCs w:val="22"/>
          <w:vertAlign w:val="superscript"/>
        </w:rPr>
        <w:t>107</w:t>
      </w:r>
      <w:r w:rsidRPr="0058047D">
        <w:rPr>
          <w:rFonts w:ascii="Tahoma" w:hAnsi="Tahoma" w:cs="Tahoma"/>
          <w:caps/>
          <w:color w:val="FA6500"/>
          <w:sz w:val="22"/>
          <w:vertAlign w:val="superscript"/>
        </w:rPr>
        <w:t xml:space="preserve"> </w:t>
      </w:r>
      <w:r w:rsidRPr="0058047D">
        <w:rPr>
          <w:rFonts w:ascii="Tahoma" w:hAnsi="Tahoma" w:cs="Tahoma"/>
          <w:color w:val="FA6500"/>
          <w:sz w:val="22"/>
        </w:rPr>
        <w:t xml:space="preserve">Windows Multipoint Server </w:t>
      </w:r>
      <w:bookmarkEnd w:id="1559"/>
      <w:r w:rsidRPr="0058047D">
        <w:rPr>
          <w:rFonts w:ascii="Tahoma" w:hAnsi="Tahoma" w:cs="Tahoma"/>
          <w:color w:val="FA6500"/>
          <w:sz w:val="22"/>
        </w:rPr>
        <w:t>2012 Premium</w:t>
      </w:r>
      <w:bookmarkEnd w:id="1560"/>
      <w:r w:rsidRPr="0058047D">
        <w:rPr>
          <w:rFonts w:ascii="Tahoma" w:hAnsi="Tahoma" w:cs="Tahoma"/>
          <w:color w:val="FA6500"/>
          <w:sz w:val="22"/>
        </w:rPr>
        <w:t xml:space="preserve"> </w:t>
      </w:r>
      <w:bookmarkEnd w:id="1561"/>
      <w:bookmarkEnd w:id="1562"/>
      <w:bookmarkEnd w:id="1563"/>
    </w:p>
    <w:p w14:paraId="2E57F2BD" w14:textId="77777777" w:rsidR="00A434A4" w:rsidRPr="0058047D" w:rsidRDefault="00A434A4" w:rsidP="00A434A4"/>
    <w:p w14:paraId="7F081A8B" w14:textId="77777777" w:rsidR="00F745E1" w:rsidRPr="0058047D" w:rsidRDefault="00092F30" w:rsidP="00A434A4">
      <w:pPr>
        <w:ind w:left="720"/>
      </w:pPr>
      <w:r w:rsidRPr="0058047D">
        <w:rPr>
          <w:rFonts w:eastAsia="Calibri" w:cs="Tahoma"/>
          <w:color w:val="000000"/>
          <w:szCs w:val="18"/>
        </w:rPr>
        <w:t>Windows Multipoint Server 2012 Premium è la versione successiva di Windows Multipoint Server 2011 Premium.</w:t>
      </w:r>
      <w:bookmarkStart w:id="1564" w:name="_Toc280612355"/>
    </w:p>
    <w:p w14:paraId="74EF372F" w14:textId="77777777" w:rsidR="00A434A4" w:rsidRPr="0058047D" w:rsidRDefault="00A434A4" w:rsidP="00A434A4"/>
    <w:p w14:paraId="18250D79" w14:textId="77777777" w:rsidR="00A434A4" w:rsidRPr="0058047D" w:rsidRDefault="00A434A4" w:rsidP="00A434A4"/>
    <w:p w14:paraId="6082971F" w14:textId="77777777" w:rsidR="00092F30" w:rsidRPr="0058047D" w:rsidRDefault="00A560B6" w:rsidP="00092F30">
      <w:pPr>
        <w:pStyle w:val="Heading2"/>
        <w:ind w:left="0"/>
      </w:pPr>
      <w:bookmarkStart w:id="1565" w:name="_108_Licenza_CAL"/>
      <w:bookmarkStart w:id="1566" w:name="_Toc371663761"/>
      <w:bookmarkStart w:id="1567" w:name="Srv_104WinMultipointSvr2011CAL"/>
      <w:bookmarkStart w:id="1568" w:name="Srv_108WinMultipointSvr2011CAL"/>
      <w:bookmarkStart w:id="1569" w:name="Srv_112WinMultipointSvr2011CAL"/>
      <w:bookmarkEnd w:id="1565"/>
      <w:r w:rsidRPr="0058047D">
        <w:rPr>
          <w:rFonts w:ascii="Tahoma" w:hAnsi="Tahoma" w:cs="Tahoma"/>
          <w:caps/>
          <w:color w:val="FA6500"/>
          <w:sz w:val="22"/>
          <w:szCs w:val="22"/>
          <w:vertAlign w:val="superscript"/>
        </w:rPr>
        <w:t>108</w:t>
      </w:r>
      <w:r w:rsidRPr="0058047D">
        <w:rPr>
          <w:rFonts w:ascii="Tahoma" w:hAnsi="Tahoma" w:cs="Tahoma"/>
          <w:color w:val="FA6500"/>
          <w:sz w:val="22"/>
          <w:szCs w:val="22"/>
        </w:rPr>
        <w:t xml:space="preserve"> Licenza CAL per Windows </w:t>
      </w:r>
      <w:bookmarkEnd w:id="1564"/>
      <w:r w:rsidRPr="0058047D">
        <w:rPr>
          <w:rFonts w:ascii="Tahoma" w:hAnsi="Tahoma" w:cs="Tahoma"/>
          <w:color w:val="FA6500"/>
          <w:sz w:val="22"/>
          <w:szCs w:val="22"/>
        </w:rPr>
        <w:t>Multipoint Server 2012</w:t>
      </w:r>
      <w:bookmarkEnd w:id="1566"/>
    </w:p>
    <w:bookmarkEnd w:id="1567"/>
    <w:bookmarkEnd w:id="1568"/>
    <w:bookmarkEnd w:id="1569"/>
    <w:p w14:paraId="0CEC7AFF" w14:textId="77777777" w:rsidR="00092F30" w:rsidRPr="0058047D" w:rsidRDefault="00092F30" w:rsidP="00092F30">
      <w:pPr>
        <w:ind w:firstLine="360"/>
      </w:pPr>
    </w:p>
    <w:p w14:paraId="67375057" w14:textId="77777777" w:rsidR="0008452D" w:rsidRPr="0058047D" w:rsidRDefault="00092F30" w:rsidP="00A434A4">
      <w:pPr>
        <w:ind w:left="720"/>
      </w:pPr>
      <w:r w:rsidRPr="0058047D">
        <w:rPr>
          <w:rFonts w:eastAsia="Calibri" w:cs="Tahoma"/>
          <w:color w:val="000000"/>
          <w:szCs w:val="18"/>
        </w:rPr>
        <w:t>La CAL per Windows MultiPoint Server 2012 è la versione successiva della CAL per Windows Multipoint Server 2011.</w:t>
      </w:r>
    </w:p>
    <w:p w14:paraId="5012134A" w14:textId="77777777" w:rsidR="00A434A4" w:rsidRPr="0058047D" w:rsidRDefault="00A434A4" w:rsidP="00A434A4"/>
    <w:p w14:paraId="607AD71F" w14:textId="77777777" w:rsidR="00A434A4" w:rsidRPr="0058047D" w:rsidRDefault="00A434A4" w:rsidP="00A434A4"/>
    <w:p w14:paraId="639BA6E9" w14:textId="77777777" w:rsidR="00023FE7" w:rsidRPr="0058047D" w:rsidRDefault="00A560B6" w:rsidP="00EF2279">
      <w:pPr>
        <w:pStyle w:val="Heading3"/>
        <w:ind w:left="360" w:hanging="360"/>
      </w:pPr>
      <w:bookmarkStart w:id="1570" w:name="_108_Windows_Server"/>
      <w:bookmarkStart w:id="1571" w:name="_Toc336338369"/>
      <w:bookmarkStart w:id="1572" w:name="_Toc371663762"/>
      <w:bookmarkStart w:id="1573" w:name="Srv_97WinSvr08HighPerfCompandHyperV"/>
      <w:bookmarkStart w:id="1574" w:name="Srv_98WinSvr08HighPerfCompandHyperV"/>
      <w:bookmarkStart w:id="1575" w:name="Srv_110WinSvr08R2HPC"/>
      <w:bookmarkStart w:id="1576" w:name="Srv_114WinSvr08R2HPC"/>
      <w:bookmarkEnd w:id="1570"/>
      <w:r w:rsidRPr="0058047D">
        <w:rPr>
          <w:rFonts w:ascii="Tahoma" w:hAnsi="Tahoma"/>
          <w:caps/>
          <w:color w:val="F66400"/>
          <w:sz w:val="22"/>
          <w:vertAlign w:val="superscript"/>
        </w:rPr>
        <w:t>109</w:t>
      </w:r>
      <w:r w:rsidRPr="0058047D">
        <w:rPr>
          <w:rFonts w:ascii="Tahoma" w:hAnsi="Tahoma"/>
          <w:color w:val="F66400"/>
          <w:sz w:val="22"/>
        </w:rPr>
        <w:t xml:space="preserve"> Windows Server 2008 R2 HPC</w:t>
      </w:r>
      <w:r w:rsidRPr="0058047D">
        <w:rPr>
          <w:rStyle w:val="Heading3Char"/>
          <w:rFonts w:ascii="Tahoma" w:hAnsi="Tahoma"/>
          <w:b/>
          <w:color w:val="F66400"/>
          <w:sz w:val="22"/>
        </w:rPr>
        <w:t xml:space="preserve"> Edition</w:t>
      </w:r>
      <w:bookmarkEnd w:id="1571"/>
      <w:bookmarkEnd w:id="1572"/>
      <w:r w:rsidRPr="0058047D">
        <w:rPr>
          <w:rStyle w:val="Heading3Char"/>
          <w:rFonts w:ascii="Tahoma" w:hAnsi="Tahoma"/>
          <w:b/>
          <w:color w:val="F66400"/>
          <w:sz w:val="22"/>
        </w:rPr>
        <w:t xml:space="preserve"> </w:t>
      </w:r>
    </w:p>
    <w:bookmarkEnd w:id="1573"/>
    <w:bookmarkEnd w:id="1574"/>
    <w:bookmarkEnd w:id="1575"/>
    <w:bookmarkEnd w:id="1576"/>
    <w:p w14:paraId="655F3300" w14:textId="77777777" w:rsidR="00023FE7" w:rsidRPr="0058047D" w:rsidRDefault="00023FE7" w:rsidP="00A434A4"/>
    <w:p w14:paraId="10347898" w14:textId="77777777" w:rsidR="00A434A4" w:rsidRPr="0058047D" w:rsidRDefault="001978C7" w:rsidP="00A434A4">
      <w:pPr>
        <w:spacing w:after="60"/>
        <w:ind w:left="720"/>
      </w:pPr>
      <w:r w:rsidRPr="0058047D">
        <w:rPr>
          <w:b/>
          <w:color w:val="000000"/>
        </w:rPr>
        <w:t>Concessioni di licenza associate alla fine del ciclo di vita di Windows Server HPC Edition</w:t>
      </w:r>
    </w:p>
    <w:p w14:paraId="480320C8" w14:textId="77777777" w:rsidR="001978C7" w:rsidRPr="0058047D" w:rsidRDefault="001978C7" w:rsidP="00A434A4">
      <w:pPr>
        <w:ind w:left="720"/>
      </w:pPr>
      <w:r w:rsidRPr="0058047D">
        <w:rPr>
          <w:color w:val="000000"/>
        </w:rPr>
        <w:t>Windows Server 2008 R2 sarà l</w:t>
      </w:r>
      <w:r w:rsidR="001C4212">
        <w:rPr>
          <w:color w:val="000000"/>
        </w:rPr>
        <w:t>’</w:t>
      </w:r>
      <w:r w:rsidRPr="0058047D">
        <w:rPr>
          <w:color w:val="000000"/>
        </w:rPr>
        <w:t xml:space="preserve">ultima versione di Windows Server HPC Edition. Le società titolari di Contratti Multilicenza con copertura Software Assurance attiva per le licenze per Windows Server 2008 R2 HPC Edition in data 1 settembre 2012 o in occasione della prima disponibilità di Windows Server 2012 per il download dal sito Web Volume Licensing Service Center, a seconda di quale evento si verificherà per primo, (“Licenze Qualificanti”) saranno autorizzate a </w:t>
      </w:r>
      <w:r w:rsidRPr="0058047D">
        <w:rPr>
          <w:rFonts w:eastAsia="Calibri" w:cs="Tahoma"/>
          <w:szCs w:val="18"/>
        </w:rPr>
        <w:t xml:space="preserve">utilizzare il software Windows Server 2012 Standard. Per agevolare tale utilizzo, per ogni due Licenze Qualificanti in suo possesso, alla società verrà concessa una licenza per processore per Windows Server 2012 Standard in base alla disponibilità di Windows Server 2012. </w:t>
      </w:r>
    </w:p>
    <w:p w14:paraId="3B0D7006" w14:textId="77777777" w:rsidR="00A434A4" w:rsidRPr="0058047D" w:rsidRDefault="00A434A4" w:rsidP="00A434A4">
      <w:pPr>
        <w:ind w:left="720"/>
      </w:pPr>
    </w:p>
    <w:p w14:paraId="0D8F6814" w14:textId="77777777" w:rsidR="001978C7" w:rsidRPr="0058047D" w:rsidRDefault="001978C7" w:rsidP="00346F4B">
      <w:pPr>
        <w:numPr>
          <w:ilvl w:val="0"/>
          <w:numId w:val="56"/>
        </w:numPr>
        <w:tabs>
          <w:tab w:val="clear" w:pos="360"/>
          <w:tab w:val="num" w:pos="1440"/>
        </w:tabs>
        <w:spacing w:after="60"/>
        <w:ind w:left="1440"/>
      </w:pPr>
      <w:r w:rsidRPr="0058047D">
        <w:rPr>
          <w:color w:val="000000"/>
        </w:rPr>
        <w:t>Qualora una società disponga di un numero dispari di licenze per Windows Server HPC Edition, dovrà arrotondarle al successivo numero pari per determinare la quantità concessa.</w:t>
      </w:r>
      <w:r w:rsidR="00E34ED3" w:rsidRPr="0058047D">
        <w:rPr>
          <w:color w:val="000000"/>
        </w:rPr>
        <w:t xml:space="preserve"> </w:t>
      </w:r>
      <w:r w:rsidRPr="0058047D">
        <w:rPr>
          <w:color w:val="000000"/>
        </w:rPr>
        <w:t>Ad esempio, una società titolare di tre licenze per Windows Server HPC Edition riceverà in totale due licenze per Windows Server 2012 Standard.</w:t>
      </w:r>
    </w:p>
    <w:p w14:paraId="51988F32" w14:textId="77777777" w:rsidR="001978C7" w:rsidRPr="0058047D" w:rsidRDefault="001978C7" w:rsidP="00346F4B">
      <w:pPr>
        <w:pStyle w:val="ListParagraph"/>
        <w:numPr>
          <w:ilvl w:val="0"/>
          <w:numId w:val="56"/>
        </w:numPr>
        <w:tabs>
          <w:tab w:val="clear" w:pos="360"/>
          <w:tab w:val="num" w:pos="1440"/>
        </w:tabs>
        <w:spacing w:after="60"/>
        <w:ind w:left="1440"/>
        <w:contextualSpacing w:val="0"/>
      </w:pPr>
      <w:r w:rsidRPr="0058047D">
        <w:rPr>
          <w:rFonts w:ascii="Tahoma" w:eastAsia="Calibri" w:hAnsi="Tahoma" w:cs="Tahoma"/>
          <w:sz w:val="18"/>
          <w:szCs w:val="18"/>
        </w:rPr>
        <w:t>Le licenze acquistate ai sensi della presente concessione includono la copertura Software Assurance.</w:t>
      </w:r>
      <w:r w:rsidR="00E34ED3" w:rsidRPr="0058047D">
        <w:rPr>
          <w:rFonts w:ascii="Tahoma" w:eastAsia="Calibri" w:hAnsi="Tahoma" w:cs="Tahoma"/>
          <w:sz w:val="18"/>
          <w:szCs w:val="18"/>
        </w:rPr>
        <w:t xml:space="preserve"> </w:t>
      </w:r>
      <w:r w:rsidRPr="0058047D">
        <w:rPr>
          <w:rFonts w:ascii="Tahoma" w:eastAsia="Calibri" w:hAnsi="Tahoma" w:cs="Tahoma"/>
          <w:sz w:val="18"/>
          <w:szCs w:val="18"/>
        </w:rPr>
        <w:t>Tale copertura cessa alla scadenza della corrispondente copertura per le Licenze Qualificanti.</w:t>
      </w:r>
    </w:p>
    <w:p w14:paraId="64BA5963" w14:textId="77777777" w:rsidR="001978C7" w:rsidRPr="0058047D" w:rsidRDefault="001978C7" w:rsidP="00346F4B">
      <w:pPr>
        <w:pStyle w:val="ListParagraph"/>
        <w:numPr>
          <w:ilvl w:val="0"/>
          <w:numId w:val="56"/>
        </w:numPr>
        <w:tabs>
          <w:tab w:val="clear" w:pos="360"/>
          <w:tab w:val="num" w:pos="1440"/>
        </w:tabs>
        <w:spacing w:after="60"/>
        <w:ind w:left="1440"/>
        <w:contextualSpacing w:val="0"/>
      </w:pPr>
      <w:r w:rsidRPr="0058047D">
        <w:rPr>
          <w:rFonts w:ascii="Tahoma" w:eastAsia="Calibri" w:hAnsi="Tahoma" w:cs="Tahoma"/>
          <w:sz w:val="18"/>
          <w:szCs w:val="18"/>
        </w:rPr>
        <w:t>Nel caso in cui le società abbiano acquistato diritti perpetui per utilizzare software ai sensi di Licenze Qualificanti, le licenze acquistate ai sensi della presente concessione saranno anch</w:t>
      </w:r>
      <w:r w:rsidR="001C4212">
        <w:rPr>
          <w:rFonts w:ascii="Tahoma" w:eastAsia="Calibri" w:hAnsi="Tahoma" w:cs="Tahoma"/>
          <w:sz w:val="18"/>
          <w:szCs w:val="18"/>
        </w:rPr>
        <w:t>’</w:t>
      </w:r>
      <w:r w:rsidRPr="0058047D">
        <w:rPr>
          <w:rFonts w:ascii="Tahoma" w:eastAsia="Calibri" w:hAnsi="Tahoma" w:cs="Tahoma"/>
          <w:sz w:val="18"/>
          <w:szCs w:val="18"/>
        </w:rPr>
        <w:t>esse perpetue; diversamente, le licenze acquistate ai sensi della presente concessione cesseranno alla scadenza delle Licenze Qualificanti sottostanti.</w:t>
      </w:r>
    </w:p>
    <w:p w14:paraId="5C041E34" w14:textId="77777777" w:rsidR="001978C7" w:rsidRPr="0058047D" w:rsidRDefault="001978C7" w:rsidP="00346F4B">
      <w:pPr>
        <w:numPr>
          <w:ilvl w:val="0"/>
          <w:numId w:val="56"/>
        </w:numPr>
        <w:tabs>
          <w:tab w:val="clear" w:pos="360"/>
          <w:tab w:val="num" w:pos="1440"/>
          <w:tab w:val="left" w:pos="2160"/>
        </w:tabs>
        <w:spacing w:after="60"/>
        <w:ind w:left="1440"/>
      </w:pPr>
      <w:r w:rsidRPr="0058047D">
        <w:rPr>
          <w:rFonts w:eastAsia="Calibri" w:cs="Tahoma"/>
          <w:szCs w:val="18"/>
        </w:rPr>
        <w:t>Eseguendo l</w:t>
      </w:r>
      <w:r w:rsidR="001C4212">
        <w:rPr>
          <w:rFonts w:eastAsia="Calibri" w:cs="Tahoma"/>
          <w:szCs w:val="18"/>
        </w:rPr>
        <w:t>’</w:t>
      </w:r>
      <w:r w:rsidRPr="0058047D">
        <w:rPr>
          <w:rFonts w:eastAsia="Calibri" w:cs="Tahoma"/>
          <w:szCs w:val="18"/>
        </w:rPr>
        <w:t xml:space="preserve">aggiornamento a Windows Server 2012 Standard ai sensi della presente concessione, le licenze in essere per </w:t>
      </w:r>
      <w:r w:rsidRPr="0058047D">
        <w:rPr>
          <w:color w:val="000000"/>
        </w:rPr>
        <w:t>Windows Server 2008 R2 HPC Edition</w:t>
      </w:r>
      <w:r w:rsidRPr="0058047D">
        <w:rPr>
          <w:rFonts w:eastAsia="Calibri" w:cs="Tahoma"/>
          <w:szCs w:val="18"/>
        </w:rPr>
        <w:t xml:space="preserve"> rimangono valide.</w:t>
      </w:r>
    </w:p>
    <w:p w14:paraId="250798AB" w14:textId="77777777" w:rsidR="001978C7" w:rsidRPr="0058047D" w:rsidRDefault="001978C7" w:rsidP="00346F4B">
      <w:pPr>
        <w:numPr>
          <w:ilvl w:val="0"/>
          <w:numId w:val="56"/>
        </w:numPr>
        <w:tabs>
          <w:tab w:val="clear" w:pos="360"/>
          <w:tab w:val="num" w:pos="1440"/>
        </w:tabs>
        <w:spacing w:after="60"/>
        <w:ind w:left="1440"/>
      </w:pPr>
      <w:r w:rsidRPr="0058047D">
        <w:t xml:space="preserve">Le licenze per </w:t>
      </w:r>
      <w:r w:rsidRPr="0058047D">
        <w:rPr>
          <w:color w:val="000000"/>
        </w:rPr>
        <w:t>Windows Server 2008 R2 HPC Edition</w:t>
      </w:r>
      <w:r w:rsidRPr="0058047D">
        <w:rPr>
          <w:rFonts w:cs="Tahoma"/>
          <w:bCs/>
          <w:color w:val="000000"/>
          <w:szCs w:val="18"/>
        </w:rPr>
        <w:t>, acquistate successivamente nello stesso periodo di validità dell</w:t>
      </w:r>
      <w:r w:rsidR="001C4212">
        <w:rPr>
          <w:rFonts w:cs="Tahoma"/>
          <w:bCs/>
          <w:color w:val="000000"/>
          <w:szCs w:val="18"/>
        </w:rPr>
        <w:t>’</w:t>
      </w:r>
      <w:r w:rsidRPr="0058047D">
        <w:rPr>
          <w:rFonts w:cs="Tahoma"/>
          <w:bCs/>
          <w:color w:val="000000"/>
          <w:szCs w:val="18"/>
        </w:rPr>
        <w:t>iscrizione nell</w:t>
      </w:r>
      <w:r w:rsidR="001C4212">
        <w:rPr>
          <w:rFonts w:cs="Tahoma"/>
          <w:bCs/>
          <w:color w:val="000000"/>
          <w:szCs w:val="18"/>
        </w:rPr>
        <w:t>’</w:t>
      </w:r>
      <w:r w:rsidRPr="0058047D">
        <w:rPr>
          <w:rFonts w:cs="Tahoma"/>
          <w:bCs/>
          <w:color w:val="000000"/>
          <w:szCs w:val="18"/>
        </w:rPr>
        <w:t>ambito di una procedura pianificata di true-up di una società con contratto Enterprise, Enterprise Subscription, Open Value Subscription o Enrollment for Education Solutions, sono anch</w:t>
      </w:r>
      <w:r w:rsidR="001C4212">
        <w:rPr>
          <w:rFonts w:cs="Tahoma"/>
          <w:bCs/>
          <w:color w:val="000000"/>
          <w:szCs w:val="18"/>
        </w:rPr>
        <w:t>’</w:t>
      </w:r>
      <w:r w:rsidRPr="0058047D">
        <w:rPr>
          <w:rFonts w:cs="Tahoma"/>
          <w:bCs/>
          <w:color w:val="000000"/>
          <w:szCs w:val="18"/>
        </w:rPr>
        <w:t xml:space="preserve">esse Licenze Qualificanti per gli scopi previsti dalla suddetta concessione. </w:t>
      </w:r>
    </w:p>
    <w:p w14:paraId="2F78A18D" w14:textId="77777777" w:rsidR="001978C7" w:rsidRPr="0058047D" w:rsidRDefault="001978C7" w:rsidP="00346F4B">
      <w:pPr>
        <w:numPr>
          <w:ilvl w:val="0"/>
          <w:numId w:val="56"/>
        </w:numPr>
        <w:tabs>
          <w:tab w:val="clear" w:pos="360"/>
          <w:tab w:val="num" w:pos="1440"/>
        </w:tabs>
        <w:spacing w:after="60"/>
        <w:ind w:left="1440"/>
      </w:pPr>
      <w:r w:rsidRPr="0058047D">
        <w:rPr>
          <w:rFonts w:cs="Tahoma"/>
          <w:bCs/>
          <w:color w:val="000000"/>
          <w:szCs w:val="18"/>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41DA785D" w14:textId="77777777" w:rsidR="00A434A4" w:rsidRPr="0058047D" w:rsidRDefault="00A434A4" w:rsidP="00A434A4">
      <w:pPr>
        <w:contextualSpacing/>
      </w:pPr>
    </w:p>
    <w:p w14:paraId="75484EF7" w14:textId="77777777" w:rsidR="008C2FF8" w:rsidRPr="0058047D" w:rsidRDefault="001978C7" w:rsidP="002F549B">
      <w:pPr>
        <w:spacing w:after="60"/>
        <w:ind w:left="720"/>
      </w:pPr>
      <w:r w:rsidRPr="0058047D">
        <w:rPr>
          <w:rFonts w:eastAsia="Calibri" w:cs="Tahoma"/>
          <w:b/>
          <w:szCs w:val="18"/>
        </w:rPr>
        <w:t>Informazioni aggiuntive sull</w:t>
      </w:r>
      <w:r w:rsidR="001C4212">
        <w:rPr>
          <w:rFonts w:eastAsia="Calibri" w:cs="Tahoma"/>
          <w:b/>
          <w:szCs w:val="18"/>
        </w:rPr>
        <w:t>’</w:t>
      </w:r>
      <w:r w:rsidRPr="0058047D">
        <w:rPr>
          <w:rFonts w:eastAsia="Calibri" w:cs="Tahoma"/>
          <w:b/>
          <w:szCs w:val="18"/>
        </w:rPr>
        <w:t>utilizzo di Windows Server 2012 High Performance Computing</w:t>
      </w:r>
      <w:r w:rsidR="002F549B">
        <w:rPr>
          <w:rFonts w:eastAsia="Calibri" w:cs="Tahoma"/>
          <w:b/>
          <w:szCs w:val="18"/>
        </w:rPr>
        <w:t> </w:t>
      </w:r>
      <w:r w:rsidRPr="0058047D">
        <w:rPr>
          <w:rFonts w:eastAsia="Calibri" w:cs="Tahoma"/>
          <w:b/>
          <w:szCs w:val="18"/>
        </w:rPr>
        <w:t>(HPC)</w:t>
      </w:r>
    </w:p>
    <w:p w14:paraId="720A48FF" w14:textId="77777777" w:rsidR="002F7203" w:rsidRPr="0058047D" w:rsidRDefault="001978C7" w:rsidP="008C2FF8">
      <w:pPr>
        <w:ind w:left="720"/>
        <w:contextualSpacing/>
      </w:pPr>
      <w:r w:rsidRPr="0058047D">
        <w:rPr>
          <w:rFonts w:eastAsia="Calibri" w:cs="Tahoma"/>
          <w:szCs w:val="18"/>
        </w:rPr>
        <w:t>Quando Windows Server 2012 Standard o Datacenter viene utilizzato per High Performance Computing, non servono licenze CAL per accedere al software. Un “</w:t>
      </w:r>
      <w:r w:rsidRPr="0058047D">
        <w:t>Carico di Lavoro High Performance Computing (“HPC”)”</w:t>
      </w:r>
      <w:r w:rsidRPr="0058047D">
        <w:rPr>
          <w:b/>
          <w:bCs/>
        </w:rPr>
        <w:t xml:space="preserve"> </w:t>
      </w:r>
      <w:r w:rsidRPr="0058047D">
        <w:t xml:space="preserve">indica un carico di lavoro nel quale il software server </w:t>
      </w:r>
      <w:r w:rsidRPr="0058047D">
        <w:rPr>
          <w:u w:val="single"/>
        </w:rPr>
        <w:t>viene utilizzato</w:t>
      </w:r>
      <w:r w:rsidRPr="002D0340">
        <w:t xml:space="preserve"> </w:t>
      </w:r>
      <w:r w:rsidRPr="0058047D">
        <w:t>per eseguire un Nodo del Cluster e per consentire, insieme ad altro software, la gestione dei sistemi, la gestione della protezione e dell</w:t>
      </w:r>
      <w:r w:rsidR="001C4212">
        <w:t>’</w:t>
      </w:r>
      <w:r w:rsidRPr="0058047D">
        <w:t>archiviazione o il miglioramento delle prestazioni in un nodo del cluster allo scopo di supportare le Applicazioni HPC con cluster.</w:t>
      </w:r>
      <w:r w:rsidRPr="0058047D">
        <w:rPr>
          <w:rFonts w:eastAsia="Calibri" w:cs="Tahoma"/>
          <w:szCs w:val="18"/>
        </w:rPr>
        <w:t xml:space="preserve"> Ulteriori dettagli sono disponibili nei Diritti di Utilizzo del Prodotto.</w:t>
      </w:r>
      <w:bookmarkStart w:id="1577" w:name="Srv_1120WinSvr08R2Enterprise"/>
    </w:p>
    <w:p w14:paraId="0F9F54CD" w14:textId="77777777" w:rsidR="008C2FF8" w:rsidRPr="0058047D" w:rsidRDefault="008C2FF8" w:rsidP="008C2FF8">
      <w:pPr>
        <w:contextualSpacing/>
      </w:pPr>
    </w:p>
    <w:p w14:paraId="6E85012E" w14:textId="77777777" w:rsidR="002512D3" w:rsidRPr="0058047D" w:rsidRDefault="002512D3">
      <w:bookmarkStart w:id="1578" w:name="_97_Windows_Server"/>
      <w:bookmarkStart w:id="1579" w:name="_98_Windows_Server"/>
      <w:bookmarkStart w:id="1580" w:name="_Toc336338370"/>
      <w:bookmarkStart w:id="1581" w:name="Srv_116WinSvr08R2Enterprise"/>
      <w:bookmarkStart w:id="1582" w:name="Srv_100WinSvr08R2Enterprise"/>
      <w:bookmarkEnd w:id="1578"/>
      <w:bookmarkEnd w:id="1579"/>
    </w:p>
    <w:p w14:paraId="7F8B3133" w14:textId="77777777" w:rsidR="006D0B36" w:rsidRPr="0058047D" w:rsidRDefault="00A560B6" w:rsidP="007B35CE">
      <w:pPr>
        <w:pStyle w:val="Heading3"/>
        <w:keepNext/>
        <w:ind w:left="360" w:hanging="360"/>
      </w:pPr>
      <w:bookmarkStart w:id="1583" w:name="_109_Windows_Server"/>
      <w:bookmarkStart w:id="1584" w:name="_Toc371663763"/>
      <w:bookmarkEnd w:id="1583"/>
      <w:r w:rsidRPr="0058047D">
        <w:rPr>
          <w:rFonts w:ascii="Tahoma" w:hAnsi="Tahoma"/>
          <w:caps/>
          <w:color w:val="F66400"/>
          <w:sz w:val="22"/>
          <w:vertAlign w:val="superscript"/>
        </w:rPr>
        <w:t>110</w:t>
      </w:r>
      <w:r w:rsidRPr="0058047D">
        <w:rPr>
          <w:rFonts w:ascii="Tahoma" w:hAnsi="Tahoma"/>
          <w:color w:val="F66400"/>
          <w:sz w:val="22"/>
        </w:rPr>
        <w:t xml:space="preserve"> Windows Server 2008 R2 Enterprise</w:t>
      </w:r>
      <w:bookmarkEnd w:id="1580"/>
      <w:bookmarkEnd w:id="1584"/>
      <w:r w:rsidRPr="0058047D">
        <w:rPr>
          <w:rFonts w:ascii="Tahoma" w:hAnsi="Tahoma"/>
          <w:color w:val="F66400"/>
          <w:sz w:val="22"/>
        </w:rPr>
        <w:t xml:space="preserve"> </w:t>
      </w:r>
      <w:bookmarkEnd w:id="1581"/>
    </w:p>
    <w:bookmarkEnd w:id="1577"/>
    <w:bookmarkEnd w:id="1582"/>
    <w:p w14:paraId="19EB7C86" w14:textId="77777777" w:rsidR="00156AE7" w:rsidRPr="0058047D" w:rsidRDefault="00156AE7" w:rsidP="008C2FF8">
      <w:pPr>
        <w:ind w:left="900"/>
      </w:pPr>
    </w:p>
    <w:p w14:paraId="7A14D20E" w14:textId="77777777" w:rsidR="00171927" w:rsidRPr="0058047D" w:rsidRDefault="00156AE7" w:rsidP="00171927">
      <w:pPr>
        <w:spacing w:after="60"/>
        <w:ind w:left="720"/>
      </w:pPr>
      <w:r w:rsidRPr="0058047D">
        <w:rPr>
          <w:b/>
          <w:color w:val="000000"/>
        </w:rPr>
        <w:t>Concessioni di licenza associate alla fine del ciclo di vita di Windows Server Enterprise</w:t>
      </w:r>
    </w:p>
    <w:p w14:paraId="0BCB57D4" w14:textId="77777777" w:rsidR="00156AE7" w:rsidRPr="0058047D" w:rsidRDefault="00156AE7" w:rsidP="008C2FF8">
      <w:pPr>
        <w:ind w:left="720"/>
      </w:pPr>
      <w:r w:rsidRPr="0058047D">
        <w:rPr>
          <w:color w:val="000000"/>
        </w:rPr>
        <w:t>Windows Server 2008 R2 sarà l</w:t>
      </w:r>
      <w:r w:rsidR="001C4212">
        <w:rPr>
          <w:color w:val="000000"/>
        </w:rPr>
        <w:t>’</w:t>
      </w:r>
      <w:r w:rsidRPr="0058047D">
        <w:rPr>
          <w:color w:val="000000"/>
        </w:rPr>
        <w:t>ultima versione di Windows Server Enterprise.</w:t>
      </w:r>
      <w:r w:rsidR="00E34ED3" w:rsidRPr="0058047D">
        <w:rPr>
          <w:color w:val="000000"/>
        </w:rPr>
        <w:t xml:space="preserve"> </w:t>
      </w:r>
      <w:r w:rsidRPr="0058047D">
        <w:rPr>
          <w:color w:val="000000"/>
        </w:rPr>
        <w:t xml:space="preserve">Le società titolari di Contratti Multilicenza con copertura Software Assurance attiva per le licenze per Windows Server 2008 R2 Enterprise in data 1 settembre 2012 o in occasione della prima disponibilità di Windows Server 2012 per il download dal sito Web Volume Licensing Service Center, a seconda di quale evento si verificherà per primo, (“Licenze Qualificanti”) </w:t>
      </w:r>
      <w:r w:rsidRPr="0058047D">
        <w:rPr>
          <w:rFonts w:eastAsia="Calibri" w:cs="Tahoma"/>
          <w:szCs w:val="18"/>
        </w:rPr>
        <w:t>saranno autorizzate a effettuare l</w:t>
      </w:r>
      <w:r w:rsidR="001C4212">
        <w:rPr>
          <w:rFonts w:eastAsia="Calibri" w:cs="Tahoma"/>
          <w:szCs w:val="18"/>
        </w:rPr>
        <w:t>’</w:t>
      </w:r>
      <w:r w:rsidRPr="0058047D">
        <w:rPr>
          <w:rFonts w:eastAsia="Calibri" w:cs="Tahoma"/>
          <w:szCs w:val="18"/>
        </w:rPr>
        <w:t>aggiornamento al software Windows Server 2012 Standard e a utilizzarlo al posto di Windows Server 2008 R2 Enterprise. Per agevolare tale aggiornamento, per ogni Licenza Qualificante in suo possesso, alla società verrà concesso quanto segue in base alla disponibilità di Windows Server 2012:</w:t>
      </w:r>
    </w:p>
    <w:p w14:paraId="12F5137F" w14:textId="77777777" w:rsidR="00171927" w:rsidRPr="0058047D" w:rsidRDefault="00171927" w:rsidP="00171927">
      <w:pPr>
        <w:spacing w:after="60"/>
        <w:ind w:left="720"/>
      </w:pPr>
    </w:p>
    <w:p w14:paraId="5EF99A72" w14:textId="77777777" w:rsidR="00156AE7" w:rsidRPr="0058047D" w:rsidRDefault="00156AE7" w:rsidP="00346F4B">
      <w:pPr>
        <w:numPr>
          <w:ilvl w:val="0"/>
          <w:numId w:val="52"/>
        </w:numPr>
        <w:spacing w:after="60"/>
        <w:ind w:left="1440"/>
      </w:pPr>
      <w:r w:rsidRPr="0058047D">
        <w:rPr>
          <w:rFonts w:eastAsia="Calibri" w:cs="Tahoma"/>
          <w:szCs w:val="18"/>
        </w:rPr>
        <w:t>due licenze per Windows Server 2012 Standard o</w:t>
      </w:r>
    </w:p>
    <w:p w14:paraId="28A6E0CE" w14:textId="77777777" w:rsidR="00156AE7" w:rsidRPr="0058047D" w:rsidRDefault="00156AE7" w:rsidP="00346F4B">
      <w:pPr>
        <w:numPr>
          <w:ilvl w:val="0"/>
          <w:numId w:val="52"/>
        </w:numPr>
        <w:spacing w:after="60"/>
        <w:ind w:left="1440"/>
      </w:pPr>
      <w:r w:rsidRPr="0058047D">
        <w:rPr>
          <w:rFonts w:eastAsia="Calibri" w:cs="Tahoma"/>
          <w:szCs w:val="18"/>
        </w:rPr>
        <w:t>tre, nel caso di Licenze Qualificanti acquistate con la copertura SA o rinnovate nel periodo 1 aprile - 31 agosto 2012 o</w:t>
      </w:r>
    </w:p>
    <w:p w14:paraId="250B0D10" w14:textId="77777777" w:rsidR="00156AE7" w:rsidRPr="0058047D" w:rsidRDefault="00156AE7" w:rsidP="00346F4B">
      <w:pPr>
        <w:numPr>
          <w:ilvl w:val="0"/>
          <w:numId w:val="52"/>
        </w:numPr>
        <w:spacing w:after="60"/>
        <w:ind w:left="1440"/>
      </w:pPr>
      <w:r w:rsidRPr="0058047D">
        <w:rPr>
          <w:rFonts w:eastAsia="Calibri" w:cs="Tahoma"/>
          <w:szCs w:val="18"/>
        </w:rPr>
        <w:t>quatto licenze per Windows Server 2012 Standard, qualora il numero effettivo di processori fisici sul server al quale viene ceduta la Licenza Qualificante sia maggiore di quattro. (In questi casi le società dovranno creare un record della configurazione dell</w:t>
      </w:r>
      <w:r w:rsidR="001C4212">
        <w:rPr>
          <w:rFonts w:eastAsia="Calibri" w:cs="Tahoma"/>
          <w:szCs w:val="18"/>
        </w:rPr>
        <w:t>’</w:t>
      </w:r>
      <w:r w:rsidRPr="0058047D">
        <w:rPr>
          <w:rFonts w:eastAsia="Calibri" w:cs="Tahoma"/>
          <w:szCs w:val="18"/>
        </w:rPr>
        <w:t>hardware fisico che supporta tale software prima della scadenza della copertura Software Assurance per le Licenze Qualificanti ai sensi del presente contratto, utilizzando lo strumento MAP di Microsoft o qualsiasi software equivalente. La presente concessione è disponibile solo per una Licenza Qualificante per server).</w:t>
      </w:r>
    </w:p>
    <w:p w14:paraId="3400EA91" w14:textId="77777777" w:rsidR="00156AE7" w:rsidRPr="0058047D" w:rsidRDefault="00156AE7" w:rsidP="00346F4B">
      <w:pPr>
        <w:numPr>
          <w:ilvl w:val="0"/>
          <w:numId w:val="52"/>
        </w:numPr>
        <w:spacing w:after="60"/>
        <w:ind w:left="1440"/>
      </w:pPr>
      <w:r w:rsidRPr="0058047D">
        <w:rPr>
          <w:rFonts w:eastAsia="Calibri" w:cs="Tahoma"/>
          <w:szCs w:val="18"/>
        </w:rPr>
        <w:t>Le licenze acquistate ai sensi della presente concessione includono la copertura Software Assurance.</w:t>
      </w:r>
      <w:r w:rsidR="00E34ED3" w:rsidRPr="0058047D">
        <w:rPr>
          <w:rFonts w:eastAsia="Calibri" w:cs="Tahoma"/>
          <w:szCs w:val="18"/>
        </w:rPr>
        <w:t xml:space="preserve"> </w:t>
      </w:r>
      <w:r w:rsidRPr="0058047D">
        <w:rPr>
          <w:rFonts w:eastAsia="Calibri" w:cs="Tahoma"/>
          <w:szCs w:val="18"/>
        </w:rPr>
        <w:t>Tale copertura cessa alla scadenza della corrispondente copertura per le Licenze Qualificanti.</w:t>
      </w:r>
    </w:p>
    <w:p w14:paraId="223388A8" w14:textId="77777777" w:rsidR="00156AE7" w:rsidRPr="0058047D" w:rsidRDefault="00156AE7" w:rsidP="00346F4B">
      <w:pPr>
        <w:numPr>
          <w:ilvl w:val="0"/>
          <w:numId w:val="52"/>
        </w:numPr>
        <w:spacing w:after="60"/>
        <w:ind w:left="1440"/>
      </w:pPr>
      <w:r w:rsidRPr="0058047D">
        <w:rPr>
          <w:rFonts w:eastAsia="Calibri" w:cs="Tahoma"/>
          <w:szCs w:val="18"/>
        </w:rPr>
        <w:t>Nel caso in cui le società abbiano acquistato diritti perpetui di utilizzo del software ai sensi di Licenze Qualificanti, le licenze acquistate ai sensi della presente concessione saranno anch</w:t>
      </w:r>
      <w:r w:rsidR="001C4212">
        <w:rPr>
          <w:rFonts w:eastAsia="Calibri" w:cs="Tahoma"/>
          <w:szCs w:val="18"/>
        </w:rPr>
        <w:t>’</w:t>
      </w:r>
      <w:r w:rsidRPr="0058047D">
        <w:rPr>
          <w:rFonts w:eastAsia="Calibri" w:cs="Tahoma"/>
          <w:szCs w:val="18"/>
        </w:rPr>
        <w:t>esse perpetue; diversamente, le licenze acquistate ai sensi della presente concessione cesseranno alla scadenza delle Licenze Qualificanti sottostanti.</w:t>
      </w:r>
      <w:r w:rsidR="00E34ED3" w:rsidRPr="0058047D">
        <w:rPr>
          <w:rFonts w:eastAsia="Calibri" w:cs="Tahoma"/>
          <w:szCs w:val="18"/>
        </w:rPr>
        <w:t xml:space="preserve"> </w:t>
      </w:r>
    </w:p>
    <w:p w14:paraId="2E0E4F8D" w14:textId="77777777" w:rsidR="00156AE7" w:rsidRPr="0058047D" w:rsidRDefault="00156AE7" w:rsidP="00346F4B">
      <w:pPr>
        <w:numPr>
          <w:ilvl w:val="0"/>
          <w:numId w:val="52"/>
        </w:numPr>
        <w:spacing w:after="60"/>
        <w:ind w:left="1440"/>
      </w:pPr>
      <w:r w:rsidRPr="0058047D">
        <w:rPr>
          <w:rFonts w:eastAsia="Calibri" w:cs="Tahoma"/>
          <w:szCs w:val="18"/>
        </w:rPr>
        <w:t>Eseguendo l</w:t>
      </w:r>
      <w:r w:rsidR="001C4212">
        <w:rPr>
          <w:rFonts w:eastAsia="Calibri" w:cs="Tahoma"/>
          <w:szCs w:val="18"/>
        </w:rPr>
        <w:t>’</w:t>
      </w:r>
      <w:r w:rsidRPr="0058047D">
        <w:rPr>
          <w:rFonts w:eastAsia="Calibri" w:cs="Tahoma"/>
          <w:szCs w:val="18"/>
        </w:rPr>
        <w:t>aggiornamento a Windows Server 2012 Standard ai sensi della presente concessione, le Licenze Qualificanti in essere per Windows Server Enterprise non saranno più valide.</w:t>
      </w:r>
    </w:p>
    <w:p w14:paraId="760EA8BD" w14:textId="77777777" w:rsidR="00156AE7" w:rsidRPr="0058047D" w:rsidRDefault="00156AE7" w:rsidP="00346F4B">
      <w:pPr>
        <w:numPr>
          <w:ilvl w:val="0"/>
          <w:numId w:val="52"/>
        </w:numPr>
        <w:spacing w:after="60"/>
        <w:ind w:left="1440"/>
      </w:pPr>
      <w:r w:rsidRPr="0058047D">
        <w:rPr>
          <w:rFonts w:eastAsia="Calibri" w:cs="Tahoma"/>
          <w:szCs w:val="18"/>
        </w:rPr>
        <w:t>Le licenze per Windows Server 2008 R2 Enterprise, acquistate successivamente nello stesso periodo di validità dell</w:t>
      </w:r>
      <w:r w:rsidR="001C4212">
        <w:rPr>
          <w:rFonts w:eastAsia="Calibri" w:cs="Tahoma"/>
          <w:szCs w:val="18"/>
        </w:rPr>
        <w:t>’</w:t>
      </w:r>
      <w:r w:rsidRPr="0058047D">
        <w:rPr>
          <w:rFonts w:eastAsia="Calibri" w:cs="Tahoma"/>
          <w:szCs w:val="18"/>
        </w:rPr>
        <w:t>iscrizione nell</w:t>
      </w:r>
      <w:r w:rsidR="001C4212">
        <w:rPr>
          <w:rFonts w:eastAsia="Calibri" w:cs="Tahoma"/>
          <w:szCs w:val="18"/>
        </w:rPr>
        <w:t>’</w:t>
      </w:r>
      <w:r w:rsidRPr="0058047D">
        <w:rPr>
          <w:rFonts w:eastAsia="Calibri" w:cs="Tahoma"/>
          <w:szCs w:val="18"/>
        </w:rPr>
        <w:t>ambito di una procedura pianificata di true-up di una società con contratto Enterprise, Enterprise Subscription, Open Value Subscription o Enrollment for Education Solutions, sono anch</w:t>
      </w:r>
      <w:r w:rsidR="001C4212">
        <w:rPr>
          <w:rFonts w:eastAsia="Calibri" w:cs="Tahoma"/>
          <w:szCs w:val="18"/>
        </w:rPr>
        <w:t>’</w:t>
      </w:r>
      <w:r w:rsidRPr="0058047D">
        <w:rPr>
          <w:rFonts w:eastAsia="Calibri" w:cs="Tahoma"/>
          <w:szCs w:val="18"/>
        </w:rPr>
        <w:t>esse Licenze Qualificanti per gli scopi previsti dalla suddetta concessione di licenza.</w:t>
      </w:r>
      <w:r w:rsidR="00E34ED3" w:rsidRPr="0058047D">
        <w:rPr>
          <w:rFonts w:eastAsia="Calibri" w:cs="Tahoma"/>
          <w:szCs w:val="18"/>
        </w:rPr>
        <w:t xml:space="preserve"> </w:t>
      </w:r>
    </w:p>
    <w:p w14:paraId="2B6C56AB" w14:textId="77777777" w:rsidR="00156AE7" w:rsidRPr="0058047D" w:rsidRDefault="00156AE7" w:rsidP="00346F4B">
      <w:pPr>
        <w:numPr>
          <w:ilvl w:val="0"/>
          <w:numId w:val="52"/>
        </w:numPr>
        <w:spacing w:after="60"/>
        <w:ind w:left="1440"/>
      </w:pPr>
      <w:r w:rsidRPr="0058047D">
        <w:rPr>
          <w:rFonts w:eastAsia="Calibri" w:cs="Tahoma"/>
          <w:szCs w:val="18"/>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7645A945" w14:textId="77777777" w:rsidR="00047339" w:rsidRPr="0058047D" w:rsidRDefault="00047339" w:rsidP="00171927">
      <w:pPr>
        <w:pStyle w:val="EndnoteText"/>
        <w:ind w:left="0"/>
      </w:pPr>
    </w:p>
    <w:p w14:paraId="697BC362" w14:textId="77777777" w:rsidR="00171927" w:rsidRPr="0058047D" w:rsidRDefault="00171927" w:rsidP="00171927">
      <w:pPr>
        <w:pStyle w:val="EndnoteText"/>
        <w:ind w:left="0"/>
      </w:pPr>
    </w:p>
    <w:p w14:paraId="4C03889A" w14:textId="77777777" w:rsidR="00EF1978" w:rsidRPr="0058047D" w:rsidRDefault="00A560B6" w:rsidP="00A9151E">
      <w:pPr>
        <w:pStyle w:val="Heading3"/>
        <w:keepNext/>
        <w:ind w:left="360" w:hanging="360"/>
      </w:pPr>
      <w:bookmarkStart w:id="1585" w:name="_110_Windows_Server_1"/>
      <w:bookmarkStart w:id="1586" w:name="Srv_1102WinSvr08R2Itanium"/>
      <w:bookmarkStart w:id="1587" w:name="_Toc336338371"/>
      <w:bookmarkStart w:id="1588" w:name="_Toc371663764"/>
      <w:bookmarkStart w:id="1589" w:name="Srv_1132WinSvr08R2Itanium"/>
      <w:bookmarkStart w:id="1590" w:name="Srv_117WinSvr08R2Itanium"/>
      <w:bookmarkStart w:id="1591" w:name="Srv_98WinSvr08StdandHyperV"/>
      <w:bookmarkStart w:id="1592" w:name="Srv_99WinSvr08StdandHyperV"/>
      <w:bookmarkEnd w:id="1585"/>
      <w:r w:rsidRPr="0058047D">
        <w:rPr>
          <w:rFonts w:ascii="Tahoma" w:hAnsi="Tahoma"/>
          <w:caps/>
          <w:color w:val="F66400"/>
          <w:sz w:val="22"/>
          <w:vertAlign w:val="superscript"/>
        </w:rPr>
        <w:t>111</w:t>
      </w:r>
      <w:r w:rsidRPr="0058047D">
        <w:rPr>
          <w:b w:val="0"/>
          <w:caps/>
          <w:vertAlign w:val="superscript"/>
        </w:rPr>
        <w:t xml:space="preserve"> </w:t>
      </w:r>
      <w:r w:rsidRPr="0058047D">
        <w:rPr>
          <w:rFonts w:ascii="Tahoma" w:hAnsi="Tahoma"/>
          <w:color w:val="F66400"/>
          <w:sz w:val="22"/>
        </w:rPr>
        <w:t>Windows Server 2008 R2 per Sistemi Itanium</w:t>
      </w:r>
      <w:bookmarkEnd w:id="1586"/>
      <w:bookmarkEnd w:id="1587"/>
      <w:bookmarkEnd w:id="1588"/>
    </w:p>
    <w:bookmarkEnd w:id="1589"/>
    <w:bookmarkEnd w:id="1590"/>
    <w:p w14:paraId="3E9C5B68" w14:textId="77777777" w:rsidR="00376D4B" w:rsidRPr="0058047D" w:rsidRDefault="00376D4B" w:rsidP="007E3162">
      <w:pPr>
        <w:ind w:left="360"/>
      </w:pPr>
    </w:p>
    <w:p w14:paraId="0F6B67FF" w14:textId="77777777" w:rsidR="007E3162" w:rsidRPr="0058047D" w:rsidRDefault="006533DF" w:rsidP="007E3162">
      <w:pPr>
        <w:spacing w:after="60"/>
        <w:ind w:left="720"/>
      </w:pPr>
      <w:r w:rsidRPr="0058047D">
        <w:rPr>
          <w:b/>
          <w:color w:val="000000"/>
        </w:rPr>
        <w:t>Concessioni di licenza associate alla fine del ciclo di vita di Windows Server per i Sistemi Itanium</w:t>
      </w:r>
    </w:p>
    <w:p w14:paraId="2681527E" w14:textId="77777777" w:rsidR="006533DF" w:rsidRPr="0058047D" w:rsidRDefault="006533DF" w:rsidP="007E3162">
      <w:pPr>
        <w:ind w:left="720"/>
      </w:pPr>
      <w:r w:rsidRPr="0058047D">
        <w:rPr>
          <w:color w:val="000000"/>
        </w:rPr>
        <w:t>Windows Server 2008 R2 sarà l</w:t>
      </w:r>
      <w:r w:rsidR="001C4212">
        <w:rPr>
          <w:color w:val="000000"/>
        </w:rPr>
        <w:t>’</w:t>
      </w:r>
      <w:r w:rsidRPr="0058047D">
        <w:rPr>
          <w:color w:val="000000"/>
        </w:rPr>
        <w:t>ultima versione di Windows Server per Sistemi Itanium.</w:t>
      </w:r>
      <w:r w:rsidR="00E34ED3" w:rsidRPr="0058047D">
        <w:rPr>
          <w:color w:val="000000"/>
        </w:rPr>
        <w:t xml:space="preserve"> </w:t>
      </w:r>
      <w:r w:rsidRPr="0058047D">
        <w:rPr>
          <w:color w:val="000000"/>
        </w:rPr>
        <w:t>Le società titolari di Contratti Multilicenza con copertura Software Assurance attiva per le licenze per Windows Server 2008 R2 per Sistemi Itanium in data 1 settembre 2012 o in occasione della prima disponibilità di Windows Server 2012 per il download dal sito Web Volume Licensing Service Center, a seconda di quale evento si verificherà per primo, (“Licenze Qualificanti”) saranno autorizzate a</w:t>
      </w:r>
      <w:r w:rsidRPr="0058047D">
        <w:rPr>
          <w:rFonts w:eastAsia="Calibri" w:cs="Tahoma"/>
          <w:szCs w:val="18"/>
        </w:rPr>
        <w:t xml:space="preserve"> effettuare l</w:t>
      </w:r>
      <w:r w:rsidR="001C4212">
        <w:rPr>
          <w:rFonts w:eastAsia="Calibri" w:cs="Tahoma"/>
          <w:szCs w:val="18"/>
        </w:rPr>
        <w:t>’</w:t>
      </w:r>
      <w:r w:rsidRPr="0058047D">
        <w:rPr>
          <w:rFonts w:eastAsia="Calibri" w:cs="Tahoma"/>
          <w:szCs w:val="18"/>
        </w:rPr>
        <w:t>aggiornamento al software Windows Server 2012 Datacenter e a utilizzarlo al posto di Windows Server 2008 R2 per Sistemi Itanium. Per agevolare tale aggiornamento, per due Licenze Qualificanti in suo possesso, alla società verrà concessa una</w:t>
      </w:r>
      <w:r w:rsidR="00FE6686">
        <w:rPr>
          <w:rFonts w:eastAsia="Calibri" w:cs="Tahoma"/>
          <w:szCs w:val="18"/>
        </w:rPr>
        <w:t> </w:t>
      </w:r>
      <w:r w:rsidRPr="0058047D">
        <w:rPr>
          <w:rFonts w:eastAsia="Calibri" w:cs="Tahoma"/>
          <w:szCs w:val="18"/>
        </w:rPr>
        <w:t>licenza per processore per Windows Server 2012 Datacenter in base alla disponibilità di Windows Server</w:t>
      </w:r>
      <w:r w:rsidR="00FE6686">
        <w:rPr>
          <w:rFonts w:eastAsia="Calibri" w:cs="Tahoma"/>
          <w:szCs w:val="18"/>
        </w:rPr>
        <w:t> </w:t>
      </w:r>
      <w:r w:rsidRPr="0058047D">
        <w:rPr>
          <w:rFonts w:eastAsia="Calibri" w:cs="Tahoma"/>
          <w:szCs w:val="18"/>
        </w:rPr>
        <w:t xml:space="preserve">2012. </w:t>
      </w:r>
    </w:p>
    <w:p w14:paraId="4A466FBC" w14:textId="77777777" w:rsidR="007E3162" w:rsidRPr="0058047D" w:rsidRDefault="007E3162" w:rsidP="007E3162">
      <w:pPr>
        <w:ind w:left="720"/>
      </w:pPr>
    </w:p>
    <w:p w14:paraId="0B394F79" w14:textId="77777777" w:rsidR="006533DF" w:rsidRPr="0058047D" w:rsidRDefault="006533DF" w:rsidP="00346F4B">
      <w:pPr>
        <w:numPr>
          <w:ilvl w:val="0"/>
          <w:numId w:val="56"/>
        </w:numPr>
        <w:tabs>
          <w:tab w:val="clear" w:pos="360"/>
          <w:tab w:val="num" w:pos="1440"/>
        </w:tabs>
        <w:spacing w:after="60"/>
        <w:ind w:left="1440"/>
      </w:pPr>
      <w:r w:rsidRPr="0058047D">
        <w:rPr>
          <w:color w:val="000000"/>
        </w:rPr>
        <w:t>Qualora una società disponga di un numero dispari di Licenze Qualificanti, dovrà arrotondarle per difetto al numero pari più vicino per determinare la quantità concessa.</w:t>
      </w:r>
      <w:r w:rsidR="00E34ED3" w:rsidRPr="0058047D">
        <w:rPr>
          <w:color w:val="000000"/>
        </w:rPr>
        <w:t xml:space="preserve"> </w:t>
      </w:r>
      <w:r w:rsidRPr="0058047D">
        <w:rPr>
          <w:color w:val="000000"/>
        </w:rPr>
        <w:t xml:space="preserve">Ad esempio, una società titolare di tre Licenze Qualificanti riceverà in totale una licenza per Windows Server 2012 Datacenter. </w:t>
      </w:r>
    </w:p>
    <w:p w14:paraId="30AA9612" w14:textId="77777777" w:rsidR="006533DF" w:rsidRPr="0058047D" w:rsidRDefault="006533DF" w:rsidP="00346F4B">
      <w:pPr>
        <w:pStyle w:val="ListParagraph"/>
        <w:numPr>
          <w:ilvl w:val="0"/>
          <w:numId w:val="56"/>
        </w:numPr>
        <w:tabs>
          <w:tab w:val="clear" w:pos="360"/>
          <w:tab w:val="num" w:pos="1440"/>
        </w:tabs>
        <w:spacing w:after="60"/>
        <w:ind w:left="1440"/>
        <w:contextualSpacing w:val="0"/>
      </w:pPr>
      <w:r w:rsidRPr="0058047D">
        <w:rPr>
          <w:rFonts w:ascii="Tahoma" w:eastAsia="Calibri" w:hAnsi="Tahoma" w:cs="Tahoma"/>
          <w:sz w:val="18"/>
          <w:szCs w:val="18"/>
        </w:rPr>
        <w:t>Le licenze acquistate ai sensi della presente concessione includono la copertura Software Assurance.</w:t>
      </w:r>
      <w:r w:rsidR="00E34ED3" w:rsidRPr="0058047D">
        <w:rPr>
          <w:rFonts w:ascii="Tahoma" w:eastAsia="Calibri" w:hAnsi="Tahoma" w:cs="Tahoma"/>
          <w:sz w:val="18"/>
          <w:szCs w:val="18"/>
        </w:rPr>
        <w:t xml:space="preserve"> </w:t>
      </w:r>
      <w:r w:rsidRPr="0058047D">
        <w:rPr>
          <w:rFonts w:ascii="Tahoma" w:eastAsia="Calibri" w:hAnsi="Tahoma" w:cs="Tahoma"/>
          <w:sz w:val="18"/>
          <w:szCs w:val="18"/>
        </w:rPr>
        <w:t>Tale copertura cessa alla scadenza della corrispondente copertura per le Licenze Qualificanti.</w:t>
      </w:r>
    </w:p>
    <w:p w14:paraId="1B4C0476" w14:textId="77777777" w:rsidR="006533DF" w:rsidRPr="0058047D" w:rsidRDefault="006533DF" w:rsidP="00346F4B">
      <w:pPr>
        <w:pStyle w:val="ListParagraph"/>
        <w:numPr>
          <w:ilvl w:val="0"/>
          <w:numId w:val="56"/>
        </w:numPr>
        <w:tabs>
          <w:tab w:val="clear" w:pos="360"/>
          <w:tab w:val="num" w:pos="1440"/>
        </w:tabs>
        <w:spacing w:after="60"/>
        <w:ind w:left="1440"/>
        <w:contextualSpacing w:val="0"/>
      </w:pPr>
      <w:r w:rsidRPr="0058047D">
        <w:rPr>
          <w:rFonts w:ascii="Tahoma" w:eastAsia="Calibri" w:hAnsi="Tahoma" w:cs="Tahoma"/>
          <w:sz w:val="18"/>
          <w:szCs w:val="18"/>
        </w:rPr>
        <w:t>Nel caso in cui le società abbiano acquistato diritti perpetui di utilizzo del software ai sensi di Licenze Qualificanti, le licenze acquistate ai sensi della presente concessione saranno anch</w:t>
      </w:r>
      <w:r w:rsidR="001C4212">
        <w:rPr>
          <w:rFonts w:ascii="Tahoma" w:eastAsia="Calibri" w:hAnsi="Tahoma" w:cs="Tahoma"/>
          <w:sz w:val="18"/>
          <w:szCs w:val="18"/>
        </w:rPr>
        <w:t>’</w:t>
      </w:r>
      <w:r w:rsidRPr="0058047D">
        <w:rPr>
          <w:rFonts w:ascii="Tahoma" w:eastAsia="Calibri" w:hAnsi="Tahoma" w:cs="Tahoma"/>
          <w:sz w:val="18"/>
          <w:szCs w:val="18"/>
        </w:rPr>
        <w:t>esse perpetue; diversamente, le licenze acquistate ai sensi della presente concessione cesseranno alla scadenza delle Licenze Qualificanti sottostanti.</w:t>
      </w:r>
    </w:p>
    <w:p w14:paraId="4E53E720" w14:textId="77777777" w:rsidR="006533DF" w:rsidRPr="0058047D" w:rsidRDefault="006533DF" w:rsidP="00346F4B">
      <w:pPr>
        <w:numPr>
          <w:ilvl w:val="0"/>
          <w:numId w:val="56"/>
        </w:numPr>
        <w:tabs>
          <w:tab w:val="clear" w:pos="360"/>
          <w:tab w:val="num" w:pos="1440"/>
        </w:tabs>
        <w:spacing w:after="60"/>
        <w:ind w:left="1440"/>
      </w:pPr>
      <w:r w:rsidRPr="0058047D">
        <w:rPr>
          <w:rFonts w:eastAsia="Calibri" w:cs="Tahoma"/>
          <w:szCs w:val="18"/>
        </w:rPr>
        <w:t>Eseguendo l</w:t>
      </w:r>
      <w:r w:rsidR="001C4212">
        <w:rPr>
          <w:rFonts w:eastAsia="Calibri" w:cs="Tahoma"/>
          <w:szCs w:val="18"/>
        </w:rPr>
        <w:t>’</w:t>
      </w:r>
      <w:r w:rsidRPr="0058047D">
        <w:rPr>
          <w:rFonts w:eastAsia="Calibri" w:cs="Tahoma"/>
          <w:szCs w:val="18"/>
        </w:rPr>
        <w:t>aggiornamento a Windows Server 2012 Datacenter ai sensi della presente concessione, le Licenze Qualificanti in essere per Windows Server 2008 R2 per Sistemi Itanium non saranno più valide.</w:t>
      </w:r>
    </w:p>
    <w:p w14:paraId="03D6A2AD" w14:textId="77777777" w:rsidR="006533DF" w:rsidRPr="0058047D" w:rsidRDefault="006533DF" w:rsidP="00346F4B">
      <w:pPr>
        <w:numPr>
          <w:ilvl w:val="0"/>
          <w:numId w:val="56"/>
        </w:numPr>
        <w:tabs>
          <w:tab w:val="clear" w:pos="360"/>
          <w:tab w:val="num" w:pos="1440"/>
        </w:tabs>
        <w:spacing w:after="60"/>
        <w:ind w:left="1440"/>
      </w:pPr>
      <w:r w:rsidRPr="0058047D">
        <w:t xml:space="preserve">Le licenze per </w:t>
      </w:r>
      <w:r w:rsidRPr="0058047D">
        <w:rPr>
          <w:color w:val="000000"/>
        </w:rPr>
        <w:t>Windows Server 2008 R2 per Sistemi Itanium</w:t>
      </w:r>
      <w:r w:rsidRPr="0058047D">
        <w:rPr>
          <w:rFonts w:cs="Tahoma"/>
          <w:bCs/>
          <w:color w:val="000000"/>
          <w:szCs w:val="18"/>
        </w:rPr>
        <w:t>, acquistate successivamente nello stesso periodo di validità dell</w:t>
      </w:r>
      <w:r w:rsidR="001C4212">
        <w:rPr>
          <w:rFonts w:cs="Tahoma"/>
          <w:bCs/>
          <w:color w:val="000000"/>
          <w:szCs w:val="18"/>
        </w:rPr>
        <w:t>’</w:t>
      </w:r>
      <w:r w:rsidRPr="0058047D">
        <w:rPr>
          <w:rFonts w:cs="Tahoma"/>
          <w:bCs/>
          <w:color w:val="000000"/>
          <w:szCs w:val="18"/>
        </w:rPr>
        <w:t>iscrizione nell</w:t>
      </w:r>
      <w:r w:rsidR="001C4212">
        <w:rPr>
          <w:rFonts w:cs="Tahoma"/>
          <w:bCs/>
          <w:color w:val="000000"/>
          <w:szCs w:val="18"/>
        </w:rPr>
        <w:t>’</w:t>
      </w:r>
      <w:r w:rsidRPr="0058047D">
        <w:rPr>
          <w:rFonts w:cs="Tahoma"/>
          <w:bCs/>
          <w:color w:val="000000"/>
          <w:szCs w:val="18"/>
        </w:rPr>
        <w:t>ambito di una procedura pianificata di true-up della società con contratto Enterprise, Enterprise Subscription, Open Value Subscription o Enrollment for Education Solutions, sono anch</w:t>
      </w:r>
      <w:r w:rsidR="001C4212">
        <w:rPr>
          <w:rFonts w:cs="Tahoma"/>
          <w:bCs/>
          <w:color w:val="000000"/>
          <w:szCs w:val="18"/>
        </w:rPr>
        <w:t>’</w:t>
      </w:r>
      <w:r w:rsidRPr="0058047D">
        <w:rPr>
          <w:rFonts w:cs="Tahoma"/>
          <w:bCs/>
          <w:color w:val="000000"/>
          <w:szCs w:val="18"/>
        </w:rPr>
        <w:t>esse Licenze Qualificanti per gli scopi previsti dalla suddetta concessione.</w:t>
      </w:r>
      <w:r w:rsidR="00E34ED3" w:rsidRPr="0058047D">
        <w:rPr>
          <w:rFonts w:cs="Tahoma"/>
          <w:bCs/>
          <w:color w:val="000000"/>
          <w:szCs w:val="18"/>
        </w:rPr>
        <w:t xml:space="preserve"> </w:t>
      </w:r>
    </w:p>
    <w:p w14:paraId="5C2B777A" w14:textId="77777777" w:rsidR="006533DF" w:rsidRPr="0058047D" w:rsidRDefault="006533DF" w:rsidP="00346F4B">
      <w:pPr>
        <w:numPr>
          <w:ilvl w:val="0"/>
          <w:numId w:val="56"/>
        </w:numPr>
        <w:tabs>
          <w:tab w:val="clear" w:pos="360"/>
          <w:tab w:val="num" w:pos="1440"/>
        </w:tabs>
        <w:spacing w:after="60"/>
        <w:ind w:left="1440"/>
      </w:pPr>
      <w:r w:rsidRPr="0058047D">
        <w:rPr>
          <w:rFonts w:cs="Tahoma"/>
          <w:bCs/>
          <w:color w:val="000000"/>
          <w:szCs w:val="18"/>
        </w:rPr>
        <w:t>Nonostante la concessione di licenze per Windows Server 2012 Datacenter e di aggiornamenti per tale versione, le obbligazioni di pagamento degli importi scaduti e dovuti per le Licenze Qualificanti e la copertura rimangono pienamente vincolanti ed efficaci.</w:t>
      </w:r>
    </w:p>
    <w:p w14:paraId="0A9358BE" w14:textId="77777777" w:rsidR="00D63C1B" w:rsidRPr="0058047D" w:rsidRDefault="00D63C1B" w:rsidP="007E3162">
      <w:bookmarkStart w:id="1593" w:name="_117_Windows_Server"/>
      <w:bookmarkEnd w:id="1591"/>
      <w:bookmarkEnd w:id="1592"/>
      <w:bookmarkEnd w:id="1593"/>
    </w:p>
    <w:p w14:paraId="51C02732" w14:textId="77777777" w:rsidR="00586FCE" w:rsidRDefault="00586FCE" w:rsidP="00EF2279"/>
    <w:p w14:paraId="53AC8F84" w14:textId="77777777" w:rsidR="00FE1A01" w:rsidRPr="0058047D" w:rsidRDefault="00A560B6" w:rsidP="00EF2279">
      <w:pPr>
        <w:pStyle w:val="Heading3"/>
      </w:pPr>
      <w:bookmarkStart w:id="1594" w:name="_116_Windows_Server"/>
      <w:bookmarkStart w:id="1595" w:name="_111_Windows_Server"/>
      <w:bookmarkStart w:id="1596" w:name="_Toc336338372"/>
      <w:bookmarkStart w:id="1597" w:name="_Toc371663765"/>
      <w:bookmarkStart w:id="1598" w:name="Srv_101Win2008RemoteCALandExtConn"/>
      <w:bookmarkStart w:id="1599" w:name="Srv_115Win2008RemoteCALandExtConn"/>
      <w:bookmarkStart w:id="1600" w:name="Srv_119Win2008RemoteCALandExtConn"/>
      <w:bookmarkStart w:id="1601" w:name="Srv_101WindowsSvr2008RemoteDesktop"/>
      <w:bookmarkEnd w:id="1594"/>
      <w:bookmarkEnd w:id="1595"/>
      <w:r w:rsidRPr="0058047D">
        <w:rPr>
          <w:rStyle w:val="Heading3Char"/>
          <w:rFonts w:ascii="Tahoma" w:hAnsi="Tahoma"/>
          <w:b/>
          <w:caps/>
          <w:color w:val="F66400"/>
          <w:sz w:val="22"/>
          <w:vertAlign w:val="superscript"/>
        </w:rPr>
        <w:t xml:space="preserve">112 </w:t>
      </w:r>
      <w:r w:rsidRPr="0058047D">
        <w:rPr>
          <w:rFonts w:ascii="Tahoma" w:hAnsi="Tahoma"/>
          <w:color w:val="F66400"/>
          <w:sz w:val="22"/>
        </w:rPr>
        <w:t>CAL per Windows Server 2012</w:t>
      </w:r>
      <w:bookmarkEnd w:id="1596"/>
      <w:bookmarkEnd w:id="1597"/>
    </w:p>
    <w:p w14:paraId="1E0A9971" w14:textId="77777777" w:rsidR="00FE1A01" w:rsidRPr="0058047D" w:rsidRDefault="00FE1A01" w:rsidP="002A01C2"/>
    <w:p w14:paraId="17AD3967" w14:textId="77777777" w:rsidR="00FE1A01" w:rsidRPr="0058047D" w:rsidRDefault="00FE1A01" w:rsidP="002A01C2">
      <w:pPr>
        <w:ind w:left="720"/>
      </w:pPr>
      <w:r w:rsidRPr="0058047D">
        <w:rPr>
          <w:rFonts w:cs="Tahoma"/>
          <w:szCs w:val="18"/>
        </w:rPr>
        <w:t>La CAL per Windows Server 2012 può essere utilizzata per accedere a Windows Server 2012 R2.</w:t>
      </w:r>
    </w:p>
    <w:p w14:paraId="6B7FE47B" w14:textId="77777777" w:rsidR="002A01C2" w:rsidRPr="0058047D" w:rsidRDefault="002A01C2" w:rsidP="002A01C2">
      <w:pPr>
        <w:ind w:left="720"/>
      </w:pPr>
    </w:p>
    <w:p w14:paraId="246D2823" w14:textId="77777777" w:rsidR="002A01C2" w:rsidRPr="0058047D" w:rsidRDefault="00FE1A01" w:rsidP="002A01C2">
      <w:pPr>
        <w:spacing w:after="60"/>
        <w:ind w:left="720"/>
      </w:pPr>
      <w:r w:rsidRPr="0058047D">
        <w:rPr>
          <w:rFonts w:eastAsia="Calibri" w:cs="Tahoma"/>
          <w:b/>
          <w:szCs w:val="18"/>
        </w:rPr>
        <w:t>Utilizzo di Windows Server 2012 R2 come Server Web</w:t>
      </w:r>
    </w:p>
    <w:p w14:paraId="0AA99E76" w14:textId="77777777" w:rsidR="00FE1A01" w:rsidRPr="0058047D" w:rsidRDefault="00FE1A01" w:rsidP="002A01C2">
      <w:pPr>
        <w:ind w:left="720"/>
      </w:pPr>
      <w:r w:rsidRPr="0058047D">
        <w:rPr>
          <w:rFonts w:cs="Tahoma"/>
          <w:color w:val="000000"/>
          <w:szCs w:val="18"/>
        </w:rPr>
        <w:t>Quando Windows Server 2012 R2 Standard o Datacenter viene utilizzato come Server Web, non servono licenze CAL per accedere al software. Un “Carico di Lavoro Web” indica:</w:t>
      </w:r>
    </w:p>
    <w:p w14:paraId="2830BCE1" w14:textId="77777777" w:rsidR="002A01C2" w:rsidRPr="0058047D" w:rsidRDefault="006707A3" w:rsidP="002A01C2">
      <w:pPr>
        <w:pStyle w:val="PURBody-Indented"/>
        <w:spacing w:after="60"/>
        <w:ind w:left="720"/>
      </w:pPr>
      <w:r w:rsidRPr="0058047D">
        <w:rPr>
          <w:rFonts w:ascii="Tahoma" w:hAnsi="Tahoma" w:cs="Tahoma"/>
          <w:b/>
          <w:bCs/>
          <w:sz w:val="18"/>
          <w:szCs w:val="18"/>
        </w:rPr>
        <w:t>Carico di Lavoro Web</w:t>
      </w:r>
      <w:r w:rsidRPr="0058047D">
        <w:rPr>
          <w:rFonts w:ascii="Tahoma" w:hAnsi="Tahoma" w:cs="Tahoma"/>
          <w:b/>
          <w:sz w:val="18"/>
          <w:szCs w:val="18"/>
        </w:rPr>
        <w:t xml:space="preserve"> (Soluzioni per il Web su Internet)</w:t>
      </w:r>
    </w:p>
    <w:p w14:paraId="70CADD6D" w14:textId="77777777" w:rsidR="006707A3" w:rsidRPr="0058047D" w:rsidRDefault="006707A3" w:rsidP="002A01C2">
      <w:pPr>
        <w:pStyle w:val="PURBody-Indented"/>
        <w:spacing w:after="0"/>
        <w:ind w:left="720"/>
      </w:pPr>
      <w:r w:rsidRPr="0058047D">
        <w:rPr>
          <w:rFonts w:ascii="Tahoma" w:hAnsi="Tahoma" w:cs="Tahoma"/>
          <w:sz w:val="18"/>
          <w:szCs w:val="18"/>
        </w:rPr>
        <w:t>Le “soluzioni per il Web su Internet” sono accessibili pubblicamente e consistono esclusivamente di pagine Web, siti Web, applicazioni Web, servizi Web e/o servizi di posta POP3. Per maggiore chiarezza, l</w:t>
      </w:r>
      <w:r w:rsidR="001C4212">
        <w:rPr>
          <w:rFonts w:ascii="Tahoma" w:hAnsi="Tahoma" w:cs="Tahoma"/>
          <w:sz w:val="18"/>
          <w:szCs w:val="18"/>
        </w:rPr>
        <w:t>’</w:t>
      </w:r>
      <w:r w:rsidRPr="0058047D">
        <w:rPr>
          <w:rFonts w:ascii="Tahoma" w:hAnsi="Tahoma" w:cs="Tahoma"/>
          <w:sz w:val="18"/>
          <w:szCs w:val="18"/>
        </w:rPr>
        <w:t xml:space="preserve">accesso al contenuto, alle informazioni e alle applicazioni gestiti dal software in una soluzione per il Web su Internet non è limitata ai dipendenti del licenziatario o delle consociate del licenziatario. </w:t>
      </w:r>
    </w:p>
    <w:p w14:paraId="319D88B3" w14:textId="77777777" w:rsidR="002A01C2" w:rsidRPr="00371969" w:rsidRDefault="002A01C2" w:rsidP="002A01C2">
      <w:pPr>
        <w:pStyle w:val="PURBody-Indented"/>
        <w:spacing w:after="0"/>
        <w:ind w:firstLine="450"/>
        <w:rPr>
          <w:sz w:val="16"/>
          <w:szCs w:val="16"/>
        </w:rPr>
      </w:pPr>
    </w:p>
    <w:p w14:paraId="0391F64D" w14:textId="77777777" w:rsidR="006707A3" w:rsidRPr="0058047D" w:rsidRDefault="006707A3" w:rsidP="002A01C2">
      <w:pPr>
        <w:pStyle w:val="PURBody-Indented"/>
        <w:spacing w:after="0"/>
        <w:ind w:firstLine="450"/>
      </w:pPr>
      <w:r w:rsidRPr="0058047D">
        <w:rPr>
          <w:rFonts w:ascii="Tahoma" w:hAnsi="Tahoma" w:cs="Tahoma"/>
          <w:sz w:val="18"/>
          <w:szCs w:val="18"/>
        </w:rPr>
        <w:t>Il licenziatario potrà utilizzare il software delle “Soluzioni per il Web su Internet” per eseguire:</w:t>
      </w:r>
    </w:p>
    <w:p w14:paraId="11A28F17" w14:textId="77777777" w:rsidR="002A01C2" w:rsidRPr="00371969" w:rsidRDefault="002A01C2" w:rsidP="002A01C2">
      <w:pPr>
        <w:pStyle w:val="PURBody-Indented"/>
        <w:spacing w:after="0"/>
        <w:ind w:firstLine="450"/>
        <w:rPr>
          <w:sz w:val="16"/>
          <w:szCs w:val="16"/>
        </w:rPr>
      </w:pPr>
    </w:p>
    <w:p w14:paraId="245811CA" w14:textId="77777777" w:rsidR="006707A3" w:rsidRPr="0058047D" w:rsidRDefault="006707A3" w:rsidP="00346F4B">
      <w:pPr>
        <w:pStyle w:val="PURBullet-Indented"/>
        <w:numPr>
          <w:ilvl w:val="0"/>
          <w:numId w:val="122"/>
        </w:numPr>
        <w:spacing w:after="60" w:line="240" w:lineRule="auto"/>
        <w:ind w:left="1440" w:hanging="360"/>
        <w:contextualSpacing w:val="0"/>
      </w:pPr>
      <w:r w:rsidRPr="0058047D">
        <w:rPr>
          <w:rFonts w:ascii="Tahoma" w:hAnsi="Tahoma" w:cs="Tahoma"/>
          <w:sz w:val="18"/>
          <w:szCs w:val="18"/>
        </w:rPr>
        <w:t>software server Web (ad esempio, Microsoft Internet Information Services) e agenti di gestione o di sicurezza (ad esempio l</w:t>
      </w:r>
      <w:r w:rsidR="001C4212">
        <w:rPr>
          <w:rFonts w:ascii="Tahoma" w:hAnsi="Tahoma" w:cs="Tahoma"/>
          <w:sz w:val="18"/>
          <w:szCs w:val="18"/>
        </w:rPr>
        <w:t>’</w:t>
      </w:r>
      <w:r w:rsidRPr="0058047D">
        <w:rPr>
          <w:rFonts w:ascii="Tahoma" w:hAnsi="Tahoma" w:cs="Tahoma"/>
          <w:sz w:val="18"/>
          <w:szCs w:val="18"/>
        </w:rPr>
        <w:t>agente System Center Operations Manager);</w:t>
      </w:r>
    </w:p>
    <w:p w14:paraId="61AF4135" w14:textId="77777777" w:rsidR="006707A3" w:rsidRPr="0058047D" w:rsidRDefault="006707A3" w:rsidP="00346F4B">
      <w:pPr>
        <w:pStyle w:val="PURBullet-Indented"/>
        <w:numPr>
          <w:ilvl w:val="0"/>
          <w:numId w:val="122"/>
        </w:numPr>
        <w:spacing w:after="60" w:line="240" w:lineRule="auto"/>
        <w:ind w:left="1440" w:hanging="360"/>
        <w:contextualSpacing w:val="0"/>
      </w:pPr>
      <w:r w:rsidRPr="0058047D">
        <w:rPr>
          <w:rFonts w:ascii="Tahoma" w:hAnsi="Tahoma" w:cs="Tahoma"/>
          <w:sz w:val="18"/>
          <w:szCs w:val="18"/>
        </w:rPr>
        <w:t xml:space="preserve">software del motore di database (ad esempio, Microsoft SQL Server) esclusivamente per supportare le soluzioni per il Web su Internet; </w:t>
      </w:r>
    </w:p>
    <w:p w14:paraId="1B656B64" w14:textId="77777777" w:rsidR="006707A3" w:rsidRPr="0058047D" w:rsidRDefault="006707A3" w:rsidP="00346F4B">
      <w:pPr>
        <w:pStyle w:val="PURBullet-Indented"/>
        <w:numPr>
          <w:ilvl w:val="0"/>
          <w:numId w:val="122"/>
        </w:numPr>
        <w:spacing w:after="60" w:line="240" w:lineRule="auto"/>
        <w:ind w:left="1440" w:hanging="360"/>
        <w:contextualSpacing w:val="0"/>
      </w:pPr>
      <w:r w:rsidRPr="0058047D">
        <w:rPr>
          <w:rFonts w:ascii="Tahoma" w:hAnsi="Tahoma" w:cs="Tahoma"/>
          <w:sz w:val="18"/>
          <w:szCs w:val="18"/>
        </w:rPr>
        <w:t>il servizio Domain Name System (DNS) per fornire la risoluzione dei nomi Internet agli indirizzi IP a condizione che non sia l</w:t>
      </w:r>
      <w:r w:rsidR="001C4212">
        <w:rPr>
          <w:rFonts w:ascii="Tahoma" w:hAnsi="Tahoma" w:cs="Tahoma"/>
          <w:sz w:val="18"/>
          <w:szCs w:val="18"/>
        </w:rPr>
        <w:t>’</w:t>
      </w:r>
      <w:r w:rsidRPr="0058047D">
        <w:rPr>
          <w:rFonts w:ascii="Tahoma" w:hAnsi="Tahoma" w:cs="Tahoma"/>
          <w:sz w:val="18"/>
          <w:szCs w:val="18"/>
        </w:rPr>
        <w:t>unica funzione di quell</w:t>
      </w:r>
      <w:r w:rsidR="001C4212">
        <w:rPr>
          <w:rFonts w:ascii="Tahoma" w:hAnsi="Tahoma" w:cs="Tahoma"/>
          <w:sz w:val="18"/>
          <w:szCs w:val="18"/>
        </w:rPr>
        <w:t>’</w:t>
      </w:r>
      <w:r w:rsidRPr="0058047D">
        <w:rPr>
          <w:rFonts w:ascii="Tahoma" w:hAnsi="Tahoma" w:cs="Tahoma"/>
          <w:sz w:val="18"/>
          <w:szCs w:val="18"/>
        </w:rPr>
        <w:t>istanza del software.</w:t>
      </w:r>
    </w:p>
    <w:p w14:paraId="1CD5ACB4" w14:textId="77777777" w:rsidR="00F1020A" w:rsidRPr="00371969" w:rsidRDefault="00F1020A">
      <w:pPr>
        <w:rPr>
          <w:sz w:val="16"/>
          <w:szCs w:val="16"/>
        </w:rPr>
      </w:pPr>
    </w:p>
    <w:p w14:paraId="4C4F32E8" w14:textId="77777777" w:rsidR="002A01C2" w:rsidRPr="0058047D" w:rsidRDefault="00FE1A01" w:rsidP="002A01C2">
      <w:pPr>
        <w:spacing w:after="60"/>
        <w:ind w:left="720"/>
      </w:pPr>
      <w:r w:rsidRPr="0058047D">
        <w:rPr>
          <w:rFonts w:eastAsia="Calibri" w:cs="Tahoma"/>
          <w:b/>
          <w:szCs w:val="18"/>
        </w:rPr>
        <w:t>Utilizzo di Windows Server 2012 R2 per High Performance Computing (HPC)</w:t>
      </w:r>
    </w:p>
    <w:p w14:paraId="1560CCFE" w14:textId="77777777" w:rsidR="00376D4B" w:rsidRPr="0058047D" w:rsidRDefault="00FE1A01" w:rsidP="002A01C2">
      <w:pPr>
        <w:ind w:left="720"/>
      </w:pPr>
      <w:r w:rsidRPr="0058047D">
        <w:rPr>
          <w:color w:val="000000"/>
        </w:rPr>
        <w:t>Quando Windows Server 2012 R2 Standard o Datacenter viene utilizzato per High Performance Computing, non servono licenze CAL per accedere al software. Un “Carico di Lavoro High Performance Computing (“HPC”)” indica un carico di lavoro nel quale il software server viene utilizzato per eseguire un Nodo del Cluster e per consentire, insieme ad altro software, la gestione dei sistemi, la gestione della protezione e dell</w:t>
      </w:r>
      <w:r w:rsidR="001C4212">
        <w:rPr>
          <w:color w:val="000000"/>
        </w:rPr>
        <w:t>’</w:t>
      </w:r>
      <w:r w:rsidRPr="0058047D">
        <w:rPr>
          <w:color w:val="000000"/>
        </w:rPr>
        <w:t>archiviazione o il miglioramento delle prestazioni in un nodo del cluster allo scopo di supportare le Applicazioni HPC con cluster. Ulteriori dettagli sono disponibili nei Diritti di Utilizzo del Prodotto.</w:t>
      </w:r>
      <w:bookmarkEnd w:id="1598"/>
      <w:bookmarkEnd w:id="1599"/>
      <w:bookmarkEnd w:id="1600"/>
    </w:p>
    <w:p w14:paraId="3DA4F687" w14:textId="77777777" w:rsidR="00376D4B" w:rsidRPr="00371969" w:rsidRDefault="00376D4B" w:rsidP="002A01C2">
      <w:pPr>
        <w:pStyle w:val="ListParagraph"/>
        <w:ind w:left="0"/>
        <w:contextualSpacing w:val="0"/>
        <w:rPr>
          <w:sz w:val="16"/>
          <w:szCs w:val="16"/>
        </w:rPr>
      </w:pPr>
    </w:p>
    <w:p w14:paraId="7C92731A" w14:textId="77777777" w:rsidR="00F745E1" w:rsidRPr="00371969" w:rsidRDefault="00F745E1" w:rsidP="002A01C2">
      <w:pPr>
        <w:rPr>
          <w:sz w:val="16"/>
          <w:szCs w:val="16"/>
        </w:rPr>
      </w:pPr>
    </w:p>
    <w:p w14:paraId="1956B963" w14:textId="77777777" w:rsidR="00F745E1" w:rsidRDefault="00A560B6" w:rsidP="00F745E1">
      <w:pPr>
        <w:pStyle w:val="Heading3"/>
        <w:ind w:left="360" w:hanging="360"/>
        <w:rPr>
          <w:rFonts w:ascii="Tahoma" w:hAnsi="Tahoma"/>
          <w:color w:val="F66400"/>
          <w:sz w:val="22"/>
        </w:rPr>
      </w:pPr>
      <w:bookmarkStart w:id="1602" w:name="_114_Windows_Server"/>
      <w:bookmarkStart w:id="1603" w:name="_112_Windows_Server"/>
      <w:bookmarkStart w:id="1604" w:name="_Toc336338373"/>
      <w:bookmarkStart w:id="1605" w:name="_Toc371663766"/>
      <w:bookmarkStart w:id="1606" w:name="Srv_111WinSvr08R2Datacenter"/>
      <w:bookmarkStart w:id="1607" w:name="Srv_115WinSvr08R2Datacenter"/>
      <w:bookmarkEnd w:id="1602"/>
      <w:bookmarkEnd w:id="1603"/>
      <w:r w:rsidRPr="0058047D">
        <w:rPr>
          <w:rFonts w:ascii="Tahoma" w:hAnsi="Tahoma"/>
          <w:caps/>
          <w:color w:val="F66400"/>
          <w:sz w:val="22"/>
          <w:vertAlign w:val="superscript"/>
        </w:rPr>
        <w:t xml:space="preserve">113 </w:t>
      </w:r>
      <w:r w:rsidRPr="0058047D">
        <w:rPr>
          <w:rFonts w:ascii="Tahoma" w:hAnsi="Tahoma"/>
          <w:color w:val="F66400"/>
          <w:sz w:val="22"/>
        </w:rPr>
        <w:t>Windows Server 2012 R2 Datacenter</w:t>
      </w:r>
      <w:bookmarkEnd w:id="1604"/>
      <w:bookmarkEnd w:id="1605"/>
      <w:r w:rsidRPr="0058047D">
        <w:rPr>
          <w:rFonts w:ascii="Tahoma" w:hAnsi="Tahoma"/>
          <w:color w:val="F66400"/>
          <w:sz w:val="22"/>
        </w:rPr>
        <w:t xml:space="preserve"> </w:t>
      </w:r>
    </w:p>
    <w:p w14:paraId="2F12D811" w14:textId="77777777" w:rsidR="00371969" w:rsidRPr="00371969" w:rsidRDefault="00371969" w:rsidP="00371969">
      <w:pPr>
        <w:rPr>
          <w:sz w:val="16"/>
          <w:szCs w:val="16"/>
        </w:rPr>
      </w:pPr>
    </w:p>
    <w:bookmarkEnd w:id="1606"/>
    <w:bookmarkEnd w:id="1607"/>
    <w:p w14:paraId="00F7DA7F" w14:textId="77777777" w:rsidR="00A83EBB" w:rsidRPr="0058047D" w:rsidRDefault="00A83EBB" w:rsidP="00E077BC">
      <w:pPr>
        <w:spacing w:afterLines="60" w:after="144"/>
        <w:ind w:left="720"/>
      </w:pPr>
      <w:r w:rsidRPr="0058047D">
        <w:rPr>
          <w:color w:val="000000"/>
        </w:rPr>
        <w:t xml:space="preserve">La versione successiva di Windows Server 2012 Datacenter è Windows Server 2012 R2 Datacenter. Ciascuna licenza per Windows Server 2012 R2 Datacenter copre fino a due processori fisici. </w:t>
      </w:r>
    </w:p>
    <w:p w14:paraId="3F85F734" w14:textId="77777777" w:rsidR="00A83EBB" w:rsidRPr="0058047D" w:rsidRDefault="00A83EBB" w:rsidP="00E077BC">
      <w:pPr>
        <w:numPr>
          <w:ilvl w:val="0"/>
          <w:numId w:val="52"/>
        </w:numPr>
        <w:spacing w:afterLines="60" w:after="144"/>
        <w:ind w:left="1440" w:hanging="274"/>
      </w:pPr>
      <w:r w:rsidRPr="0058047D">
        <w:rPr>
          <w:rFonts w:eastAsia="Calibri" w:cs="Tahoma"/>
          <w:szCs w:val="18"/>
        </w:rPr>
        <w:t>Le società con CAL per Windows Server 2012 saranno in grado di utilizzarle con Windows Server 2012 R2 Datacenter.</w:t>
      </w:r>
    </w:p>
    <w:p w14:paraId="11696128" w14:textId="77777777" w:rsidR="00A83EBB" w:rsidRPr="0058047D" w:rsidRDefault="00A83EBB" w:rsidP="004F2A4E">
      <w:pPr>
        <w:numPr>
          <w:ilvl w:val="0"/>
          <w:numId w:val="52"/>
        </w:numPr>
        <w:ind w:left="1440" w:hanging="274"/>
      </w:pPr>
      <w:r w:rsidRPr="0058047D">
        <w:rPr>
          <w:color w:val="000000"/>
        </w:rPr>
        <w:t>Le società con Windows Server 2008 R2 Datacenter che disponevano della copertura Software Assurance per Windows Server Datacenter in data 1 settembre 2012 potranno essere idonee a eseguire l</w:t>
      </w:r>
      <w:r w:rsidR="001C4212">
        <w:rPr>
          <w:color w:val="000000"/>
        </w:rPr>
        <w:t>’</w:t>
      </w:r>
      <w:r w:rsidRPr="0058047D">
        <w:rPr>
          <w:color w:val="000000"/>
        </w:rPr>
        <w:t>aggiornamento alla versione 2012 in base a condizioni specifiche</w:t>
      </w:r>
      <w:r w:rsidRPr="0058047D">
        <w:rPr>
          <w:rFonts w:eastAsia="Calibri" w:cs="Tahoma"/>
          <w:szCs w:val="18"/>
        </w:rPr>
        <w:t>.</w:t>
      </w:r>
      <w:r w:rsidR="00E34ED3" w:rsidRPr="0058047D">
        <w:rPr>
          <w:rFonts w:eastAsia="Calibri" w:cs="Tahoma"/>
          <w:szCs w:val="18"/>
        </w:rPr>
        <w:t xml:space="preserve"> </w:t>
      </w:r>
      <w:r w:rsidRPr="0058047D">
        <w:rPr>
          <w:rFonts w:eastAsia="Calibri" w:cs="Tahoma"/>
          <w:szCs w:val="18"/>
        </w:rPr>
        <w:t xml:space="preserve">Ulteriori informazioni dettagliate sono disponibili nella Lista dei Prodotti del mese di ottobre 2013. </w:t>
      </w:r>
    </w:p>
    <w:p w14:paraId="12C1039E" w14:textId="77777777" w:rsidR="00BF7C75" w:rsidRPr="00371969" w:rsidRDefault="00BF7C75" w:rsidP="004F2A4E">
      <w:pPr>
        <w:pStyle w:val="ListParagraph"/>
        <w:ind w:left="0"/>
        <w:contextualSpacing w:val="0"/>
        <w:rPr>
          <w:rFonts w:ascii="Tahoma" w:hAnsi="Tahoma" w:cs="Tahoma"/>
          <w:sz w:val="16"/>
          <w:szCs w:val="16"/>
        </w:rPr>
      </w:pPr>
    </w:p>
    <w:p w14:paraId="11B46DD6" w14:textId="77777777" w:rsidR="002A01C2" w:rsidRPr="00371969" w:rsidRDefault="002A01C2" w:rsidP="004F2A4E">
      <w:pPr>
        <w:pStyle w:val="ListParagraph"/>
        <w:ind w:left="0"/>
        <w:contextualSpacing w:val="0"/>
        <w:rPr>
          <w:rFonts w:ascii="Tahoma" w:hAnsi="Tahoma" w:cs="Tahoma"/>
          <w:sz w:val="16"/>
          <w:szCs w:val="16"/>
        </w:rPr>
      </w:pPr>
    </w:p>
    <w:p w14:paraId="51E66F60" w14:textId="77777777" w:rsidR="00F745E1" w:rsidRPr="0058047D" w:rsidRDefault="00A560B6" w:rsidP="00F745E1">
      <w:pPr>
        <w:pStyle w:val="Heading3"/>
      </w:pPr>
      <w:bookmarkStart w:id="1608" w:name="_118_Windows_Server"/>
      <w:bookmarkStart w:id="1609" w:name="_110_Windows_Server"/>
      <w:bookmarkStart w:id="1610" w:name="_113_Windows_Server"/>
      <w:bookmarkStart w:id="1611" w:name="_Toc336338374"/>
      <w:bookmarkStart w:id="1612" w:name="_Toc371663767"/>
      <w:bookmarkStart w:id="1613" w:name="Srv_102WindowsSvr08R2Std"/>
      <w:bookmarkStart w:id="1614" w:name="Srv_114WindowsSvr08R2Std"/>
      <w:bookmarkStart w:id="1615" w:name="Srv_118WindowsSvr08R2Std"/>
      <w:bookmarkStart w:id="1616" w:name="Srv_99WindowsSvr08R2ItaniumSys"/>
      <w:bookmarkStart w:id="1617" w:name="Srv_100WindowsSvr08R2ItaniumSys"/>
      <w:bookmarkEnd w:id="1608"/>
      <w:bookmarkEnd w:id="1609"/>
      <w:bookmarkEnd w:id="1610"/>
      <w:r w:rsidRPr="0058047D">
        <w:rPr>
          <w:rStyle w:val="Heading3Char"/>
          <w:rFonts w:ascii="Tahoma" w:hAnsi="Tahoma"/>
          <w:b/>
          <w:caps/>
          <w:color w:val="F66400"/>
          <w:sz w:val="22"/>
          <w:vertAlign w:val="superscript"/>
        </w:rPr>
        <w:t xml:space="preserve">114 </w:t>
      </w:r>
      <w:r w:rsidRPr="0058047D">
        <w:rPr>
          <w:rStyle w:val="Heading3Char"/>
          <w:rFonts w:ascii="Tahoma" w:hAnsi="Tahoma"/>
          <w:b/>
          <w:color w:val="F66400"/>
          <w:sz w:val="22"/>
        </w:rPr>
        <w:t>Windows Server 2012 R2 Standard</w:t>
      </w:r>
      <w:bookmarkEnd w:id="1611"/>
      <w:bookmarkEnd w:id="1612"/>
      <w:r w:rsidRPr="0058047D">
        <w:rPr>
          <w:rStyle w:val="Heading3Char"/>
          <w:rFonts w:ascii="Tahoma" w:hAnsi="Tahoma"/>
          <w:b/>
          <w:color w:val="F66400"/>
          <w:sz w:val="22"/>
        </w:rPr>
        <w:t xml:space="preserve"> </w:t>
      </w:r>
    </w:p>
    <w:bookmarkEnd w:id="1613"/>
    <w:bookmarkEnd w:id="1614"/>
    <w:bookmarkEnd w:id="1615"/>
    <w:p w14:paraId="104B9E67" w14:textId="77777777" w:rsidR="00376D4B" w:rsidRPr="00371969" w:rsidRDefault="00376D4B" w:rsidP="002A01C2">
      <w:pPr>
        <w:tabs>
          <w:tab w:val="left" w:pos="360"/>
        </w:tabs>
        <w:ind w:left="360"/>
        <w:rPr>
          <w:sz w:val="16"/>
          <w:szCs w:val="16"/>
        </w:rPr>
      </w:pPr>
    </w:p>
    <w:p w14:paraId="400897CE" w14:textId="77777777" w:rsidR="00A83EBB" w:rsidRPr="0058047D" w:rsidRDefault="00A83EBB" w:rsidP="00E077BC">
      <w:pPr>
        <w:numPr>
          <w:ilvl w:val="0"/>
          <w:numId w:val="52"/>
        </w:numPr>
        <w:spacing w:afterLines="60" w:after="144"/>
        <w:ind w:left="1440" w:hanging="274"/>
      </w:pPr>
      <w:r w:rsidRPr="0058047D">
        <w:rPr>
          <w:rFonts w:eastAsia="Calibri" w:cs="Tahoma"/>
          <w:szCs w:val="18"/>
        </w:rPr>
        <w:t>La versione successiva di Windows Server 2012 Standard è Windows Server 2012 R2 Standard.</w:t>
      </w:r>
    </w:p>
    <w:p w14:paraId="24B49121" w14:textId="77777777" w:rsidR="00A83EBB" w:rsidRPr="0058047D" w:rsidRDefault="00A83EBB" w:rsidP="00E077BC">
      <w:pPr>
        <w:numPr>
          <w:ilvl w:val="0"/>
          <w:numId w:val="52"/>
        </w:numPr>
        <w:spacing w:afterLines="60" w:after="144"/>
        <w:ind w:left="1440" w:hanging="274"/>
      </w:pPr>
      <w:r w:rsidRPr="0058047D">
        <w:rPr>
          <w:rFonts w:eastAsia="Calibri" w:cs="Tahoma"/>
          <w:szCs w:val="18"/>
        </w:rPr>
        <w:t>Le società con una CAL per Windows Server 2012 saranno in grado di utilizzarla con Windows Server 2012 R2 Standard.</w:t>
      </w:r>
    </w:p>
    <w:p w14:paraId="3E3069EB" w14:textId="77777777" w:rsidR="00A83EBB" w:rsidRPr="00371969" w:rsidRDefault="00A83EBB" w:rsidP="004F2A4E">
      <w:pPr>
        <w:numPr>
          <w:ilvl w:val="0"/>
          <w:numId w:val="52"/>
        </w:numPr>
        <w:ind w:left="1440" w:hanging="274"/>
      </w:pPr>
      <w:r w:rsidRPr="0058047D">
        <w:rPr>
          <w:color w:val="000000"/>
        </w:rPr>
        <w:t>Le società con Windows Server 2008 R2 Standard che disponevano della copertura Software Assurance per Windows Server Standard in data 1 settembre 2012 potranno essere idonee a eseguire l</w:t>
      </w:r>
      <w:r w:rsidR="001C4212">
        <w:rPr>
          <w:color w:val="000000"/>
        </w:rPr>
        <w:t>’</w:t>
      </w:r>
      <w:r w:rsidRPr="0058047D">
        <w:rPr>
          <w:color w:val="000000"/>
        </w:rPr>
        <w:t>aggiornamento alla versione 2012 in base a condizioni specifiche</w:t>
      </w:r>
      <w:r w:rsidRPr="0058047D">
        <w:rPr>
          <w:rFonts w:eastAsia="Calibri" w:cs="Tahoma"/>
          <w:szCs w:val="18"/>
        </w:rPr>
        <w:t>.</w:t>
      </w:r>
      <w:r w:rsidR="00E34ED3" w:rsidRPr="0058047D">
        <w:rPr>
          <w:rFonts w:eastAsia="Calibri" w:cs="Tahoma"/>
          <w:szCs w:val="18"/>
        </w:rPr>
        <w:t xml:space="preserve"> </w:t>
      </w:r>
      <w:r w:rsidRPr="0058047D">
        <w:rPr>
          <w:rFonts w:eastAsia="Calibri" w:cs="Tahoma"/>
          <w:szCs w:val="18"/>
        </w:rPr>
        <w:t>Ulteriori informazioni dettagliate sono disponibili nella Lista dei Prodotti del mese di ottobre 2013.</w:t>
      </w:r>
    </w:p>
    <w:p w14:paraId="625C286C" w14:textId="77777777" w:rsidR="00371969" w:rsidRPr="00371969" w:rsidRDefault="00371969" w:rsidP="00371969">
      <w:pPr>
        <w:ind w:left="1166"/>
        <w:rPr>
          <w:sz w:val="16"/>
          <w:szCs w:val="16"/>
        </w:rPr>
      </w:pPr>
    </w:p>
    <w:p w14:paraId="04879F17" w14:textId="77777777" w:rsidR="00816F76" w:rsidRPr="00371969" w:rsidRDefault="00A83EBB" w:rsidP="004F2A4E">
      <w:pPr>
        <w:rPr>
          <w:sz w:val="16"/>
          <w:szCs w:val="16"/>
        </w:rPr>
      </w:pPr>
      <w:r w:rsidRPr="00371969">
        <w:rPr>
          <w:b/>
          <w:color w:val="000000"/>
          <w:sz w:val="16"/>
          <w:szCs w:val="16"/>
        </w:rPr>
        <w:t xml:space="preserve"> </w:t>
      </w:r>
      <w:bookmarkStart w:id="1618" w:name="_119_Windows_Web"/>
      <w:bookmarkStart w:id="1619" w:name="_111_Windows_Web"/>
      <w:bookmarkStart w:id="1620" w:name="_114_Windows_Web"/>
      <w:bookmarkStart w:id="1621" w:name="Srv_111WinSmallBizSVR2011Addon"/>
      <w:bookmarkStart w:id="1622" w:name="Srv_116WinSmallBizSVR2011Addon"/>
      <w:bookmarkStart w:id="1623" w:name="Srv_120WinSmallBizSVR2011Addon"/>
      <w:bookmarkEnd w:id="1601"/>
      <w:bookmarkEnd w:id="1616"/>
      <w:bookmarkEnd w:id="1617"/>
      <w:bookmarkEnd w:id="1618"/>
      <w:bookmarkEnd w:id="1619"/>
      <w:bookmarkEnd w:id="1620"/>
    </w:p>
    <w:p w14:paraId="61EEDF63" w14:textId="77777777" w:rsidR="00532ABF" w:rsidRPr="0058047D" w:rsidRDefault="00A560B6" w:rsidP="007B35CE">
      <w:pPr>
        <w:pStyle w:val="Heading2"/>
        <w:keepNext/>
        <w:ind w:hanging="720"/>
      </w:pPr>
      <w:bookmarkStart w:id="1624" w:name="_112_Windows_Small_1"/>
      <w:bookmarkStart w:id="1625" w:name="_115_Windows_Small"/>
      <w:bookmarkStart w:id="1626" w:name="_Toc336338376"/>
      <w:bookmarkStart w:id="1627" w:name="_Toc371663768"/>
      <w:bookmarkEnd w:id="1624"/>
      <w:bookmarkEnd w:id="1625"/>
      <w:r w:rsidRPr="0058047D">
        <w:rPr>
          <w:rFonts w:ascii="Tahoma" w:hAnsi="Tahoma" w:cs="Tahoma"/>
          <w:caps/>
          <w:color w:val="F8701C"/>
          <w:sz w:val="22"/>
          <w:szCs w:val="22"/>
          <w:vertAlign w:val="superscript"/>
        </w:rPr>
        <w:t>115</w:t>
      </w:r>
      <w:r w:rsidRPr="0058047D">
        <w:rPr>
          <w:rFonts w:ascii="Tahoma" w:hAnsi="Tahoma" w:cs="Tahoma"/>
          <w:color w:val="F8701C"/>
          <w:sz w:val="22"/>
          <w:szCs w:val="22"/>
        </w:rPr>
        <w:t xml:space="preserve"> Windows Small Business Server (SBS) 2008 Premium</w:t>
      </w:r>
      <w:bookmarkEnd w:id="1626"/>
      <w:bookmarkEnd w:id="1627"/>
    </w:p>
    <w:bookmarkEnd w:id="1621"/>
    <w:bookmarkEnd w:id="1622"/>
    <w:bookmarkEnd w:id="1623"/>
    <w:p w14:paraId="23FCD559" w14:textId="77777777" w:rsidR="00515A83" w:rsidRPr="0058047D" w:rsidRDefault="00515A83" w:rsidP="007B35CE">
      <w:pPr>
        <w:keepNext/>
        <w:ind w:left="907"/>
      </w:pPr>
    </w:p>
    <w:p w14:paraId="35917EE4" w14:textId="77777777" w:rsidR="00532ABF" w:rsidRPr="0058047D" w:rsidRDefault="00532ABF" w:rsidP="00376D4B">
      <w:pPr>
        <w:ind w:left="720"/>
      </w:pPr>
      <w:r w:rsidRPr="0058047D">
        <w:t>Le società con copertura Software Assurance attiva per licenze di SBS 2008 Premium in data 1 gennaio 2011, sono idonee a effettuare l</w:t>
      </w:r>
      <w:r w:rsidR="001C4212">
        <w:t>’</w:t>
      </w:r>
      <w:r w:rsidRPr="0058047D">
        <w:t>aggiornamento a e utilizzare i software SBS 2011 Standard e Premium Add-on per Windows SBS 2011 (o per una qualsiasi versione successiva resa disponibile durante il periodo di validità della copertura Software Assurance) al posto del software SBS2008 Premium. Per ogni licenza qualificata posseduta al 1 gennaio 2011, le società saranno considerate titolari di una licenza SBS 2011 Standard e di una licenza per Add-on Premium per SBS 2011 con copertura Software Assurance attiva.</w:t>
      </w:r>
      <w:r w:rsidR="00E34ED3" w:rsidRPr="0058047D">
        <w:t xml:space="preserve"> </w:t>
      </w:r>
    </w:p>
    <w:p w14:paraId="29BDB637" w14:textId="77777777" w:rsidR="00532ABF" w:rsidRPr="0058047D" w:rsidRDefault="00532ABF" w:rsidP="00376D4B">
      <w:pPr>
        <w:ind w:left="720"/>
      </w:pPr>
      <w:r w:rsidRPr="0058047D">
        <w:t xml:space="preserve">Le società con copertura Software Assurance attiva per le CAL Suite per SBS 2008 per Utenti e Dispositivi Premium in data 1 gennaio 2011 sono idonee ad accedere a SBS 2011 Standard e Premium Add-on per Windows SBS 2011 (o per una qualsiasi versione successiva resa disponibile durante il periodo di validità della copertura Software Assurance). Per ogni licenza qualificante CAL Suite per SBS 2008 per Utenti e Dispositivi Premium posseduta al 1 gennaio 2011, le società saranno considerate titolari di una licenza CAL Suite per SBS 2011 e di una licenza per Premium Add-on CAL Suite per SBS 2011 con copertura Software Assurance attiva. </w:t>
      </w:r>
    </w:p>
    <w:p w14:paraId="6E041719" w14:textId="77777777" w:rsidR="00532ABF" w:rsidRPr="0058047D" w:rsidRDefault="00532ABF" w:rsidP="00376D4B">
      <w:pPr>
        <w:ind w:left="720"/>
      </w:pPr>
    </w:p>
    <w:p w14:paraId="2DF6FFFC" w14:textId="77777777" w:rsidR="00532ABF" w:rsidRPr="0058047D" w:rsidRDefault="00532ABF" w:rsidP="00376D4B">
      <w:pPr>
        <w:ind w:left="720"/>
      </w:pPr>
      <w:r w:rsidRPr="0058047D">
        <w:t>Il diritto di utilizzo del software ai sensi della presente offerta scadrà alla scadenza del diritto di utilizzo del software ai sensi della Licenza Qualificante. L</w:t>
      </w:r>
      <w:r w:rsidR="001C4212">
        <w:t>’</w:t>
      </w:r>
      <w:r w:rsidRPr="0058047D">
        <w:t>utilizzo del software da parte della società è soggetto alle condizioni del Contratto Multilicenza e ai diritti di utilizzo del prodotto per il software SBS 2011 Standard e</w:t>
      </w:r>
      <w:r w:rsidR="006B4FA4">
        <w:t> </w:t>
      </w:r>
      <w:r w:rsidRPr="0058047D">
        <w:t>Premium Add-on per SBS 2011 e alle presenti condizioni. La presente nota, relativa alle condizioni del prodotto, unitamente alla prova delle licenze qualificanti attestano i diritti concessi ai sensi della presente offerta. Allo scadere della copertura della licenza qualificante, la società avrà diritto di rinnovare Software Assurance per le licenze degli Add-on SBS Premium e per le Suite CAL.</w:t>
      </w:r>
    </w:p>
    <w:p w14:paraId="77C74195" w14:textId="77777777" w:rsidR="00296B89" w:rsidRPr="0058047D" w:rsidRDefault="00296B89" w:rsidP="00EF2279">
      <w:pPr>
        <w:ind w:left="900"/>
      </w:pPr>
    </w:p>
    <w:p w14:paraId="322BE592" w14:textId="77777777" w:rsidR="00D16723" w:rsidRPr="0058047D" w:rsidRDefault="00D16723">
      <w:bookmarkStart w:id="1628" w:name="_119_Windows_Small"/>
      <w:bookmarkStart w:id="1629" w:name="_100_SBS_2008"/>
      <w:bookmarkStart w:id="1630" w:name="_101_SBS_2008"/>
      <w:bookmarkStart w:id="1631" w:name="_105_SBS_2008"/>
      <w:bookmarkStart w:id="1632" w:name="_125_Windows_Web"/>
      <w:bookmarkEnd w:id="1628"/>
      <w:bookmarkEnd w:id="1629"/>
      <w:bookmarkEnd w:id="1630"/>
      <w:bookmarkEnd w:id="1631"/>
      <w:bookmarkEnd w:id="1632"/>
    </w:p>
    <w:p w14:paraId="5912D001" w14:textId="77777777" w:rsidR="00C066B5" w:rsidRPr="0058047D" w:rsidRDefault="00C066B5" w:rsidP="00C066B5">
      <w:pPr>
        <w:pStyle w:val="Heading3"/>
      </w:pPr>
      <w:bookmarkStart w:id="1633" w:name="_116_Windows_Small_1"/>
      <w:bookmarkStart w:id="1634" w:name="_Toc336338377"/>
      <w:bookmarkStart w:id="1635" w:name="_Toc357669625"/>
      <w:bookmarkStart w:id="1636" w:name="_Toc371663769"/>
      <w:bookmarkStart w:id="1637" w:name="Srv_117WinSmallBizSVR2011Addon"/>
      <w:bookmarkStart w:id="1638" w:name="Srv_121WinSmallBizSVR2011Addon"/>
      <w:bookmarkEnd w:id="1633"/>
      <w:r w:rsidRPr="0058047D">
        <w:rPr>
          <w:rFonts w:ascii="Tahoma" w:hAnsi="Tahoma" w:cs="Tahoma"/>
          <w:caps/>
          <w:color w:val="FF6D09"/>
          <w:sz w:val="22"/>
          <w:vertAlign w:val="superscript"/>
        </w:rPr>
        <w:t>116</w:t>
      </w:r>
      <w:r w:rsidRPr="0058047D">
        <w:rPr>
          <w:rFonts w:ascii="Tahoma" w:hAnsi="Tahoma" w:cs="Tahoma"/>
          <w:color w:val="FF6D09"/>
          <w:sz w:val="22"/>
        </w:rPr>
        <w:t xml:space="preserve"> Windows Small Business Server (2011) Standard</w:t>
      </w:r>
      <w:bookmarkEnd w:id="1634"/>
      <w:bookmarkEnd w:id="1635"/>
      <w:bookmarkEnd w:id="1636"/>
    </w:p>
    <w:bookmarkEnd w:id="1637"/>
    <w:bookmarkEnd w:id="1638"/>
    <w:p w14:paraId="41C29885" w14:textId="77777777" w:rsidR="00C066B5" w:rsidRPr="0058047D" w:rsidRDefault="00C066B5" w:rsidP="00C066B5">
      <w:pPr>
        <w:ind w:left="900"/>
      </w:pPr>
    </w:p>
    <w:p w14:paraId="6161FE35" w14:textId="77777777" w:rsidR="00C066B5" w:rsidRPr="0058047D" w:rsidRDefault="00C066B5" w:rsidP="00C066B5">
      <w:pPr>
        <w:spacing w:after="60"/>
        <w:ind w:left="720"/>
      </w:pPr>
      <w:r w:rsidRPr="0058047D">
        <w:rPr>
          <w:b/>
          <w:color w:val="000000"/>
        </w:rPr>
        <w:t>Concessioni di licenza associate alla fine del ciclo di vita di SBS 2011 Standard</w:t>
      </w:r>
    </w:p>
    <w:p w14:paraId="07621392" w14:textId="77777777" w:rsidR="00C066B5" w:rsidRPr="0058047D" w:rsidRDefault="00C066B5" w:rsidP="00C066B5">
      <w:pPr>
        <w:ind w:left="720"/>
      </w:pPr>
      <w:r w:rsidRPr="0058047D">
        <w:rPr>
          <w:color w:val="000000"/>
        </w:rPr>
        <w:t>SBS 2011 Standard sarà l</w:t>
      </w:r>
      <w:r w:rsidR="001C4212">
        <w:rPr>
          <w:color w:val="000000"/>
        </w:rPr>
        <w:t>’</w:t>
      </w:r>
      <w:r w:rsidRPr="0058047D">
        <w:rPr>
          <w:color w:val="000000"/>
        </w:rPr>
        <w:t>ultima versione di SBS Standard. Alle società titolari di contratti multilicenza con copertura Software Assurance attiva per le licenze Standard per SBS 2011 (“Licenze Qualificanti”) sarà consentito effettuare l</w:t>
      </w:r>
      <w:r w:rsidR="001C4212">
        <w:rPr>
          <w:color w:val="000000"/>
        </w:rPr>
        <w:t>’</w:t>
      </w:r>
      <w:r w:rsidRPr="0058047D">
        <w:rPr>
          <w:color w:val="000000"/>
        </w:rPr>
        <w:t xml:space="preserve">aggiornamento ai prodotti software Windows Server Standard ed Exchange Server Standard e a </w:t>
      </w:r>
      <w:r w:rsidRPr="0058047D">
        <w:rPr>
          <w:rFonts w:eastAsia="Calibri" w:cs="Tahoma"/>
          <w:szCs w:val="18"/>
        </w:rPr>
        <w:t xml:space="preserve">utilizzarli al posto di SBS 2011. Per agevolare tale utilizzo, per ogni Licenza Qualificante in suo possesso, alla società verranno concesse due licenze per Windows Server Standard e una licenza per Exchange Server 2010 Standard, come illustrato nella tabella che segue. </w:t>
      </w:r>
    </w:p>
    <w:p w14:paraId="5895731F" w14:textId="77777777" w:rsidR="00C066B5" w:rsidRPr="0058047D" w:rsidRDefault="00C066B5" w:rsidP="00C066B5">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1"/>
        <w:gridCol w:w="4661"/>
      </w:tblGrid>
      <w:tr w:rsidR="00C066B5" w:rsidRPr="0058047D" w14:paraId="6600AE8B"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86E571B" w14:textId="77777777" w:rsidR="00C066B5" w:rsidRPr="0058047D" w:rsidRDefault="00C066B5" w:rsidP="00FC0808">
            <w:pPr>
              <w:spacing w:after="200" w:line="276" w:lineRule="auto"/>
              <w:rPr>
                <w:rFonts w:eastAsia="Calibri" w:cs="Tahoma"/>
                <w:szCs w:val="18"/>
              </w:rPr>
            </w:pPr>
            <w:r w:rsidRPr="0058047D">
              <w:rPr>
                <w:b/>
                <w:color w:val="000000"/>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C10A7C3" w14:textId="77777777" w:rsidR="00C066B5" w:rsidRPr="0058047D" w:rsidRDefault="00C066B5" w:rsidP="00FC0808">
            <w:pPr>
              <w:spacing w:after="200" w:line="276" w:lineRule="auto"/>
              <w:rPr>
                <w:rFonts w:eastAsia="Calibri" w:cs="Tahoma"/>
                <w:szCs w:val="18"/>
              </w:rPr>
            </w:pPr>
            <w:r w:rsidRPr="0058047D">
              <w:rPr>
                <w:b/>
                <w:color w:val="000000"/>
              </w:rPr>
              <w:t>Concessione di Licenza</w:t>
            </w:r>
          </w:p>
        </w:tc>
      </w:tr>
      <w:tr w:rsidR="00C066B5" w:rsidRPr="0058047D" w14:paraId="55163B37"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334E802" w14:textId="77777777" w:rsidR="00C066B5" w:rsidRPr="0058047D" w:rsidRDefault="00C066B5" w:rsidP="00FC0808">
            <w:pPr>
              <w:spacing w:line="276" w:lineRule="auto"/>
              <w:rPr>
                <w:rFonts w:eastAsia="Calibri" w:cs="Tahoma"/>
                <w:szCs w:val="18"/>
              </w:rPr>
            </w:pPr>
            <w:r w:rsidRPr="0058047D">
              <w:rPr>
                <w:rFonts w:eastAsia="Calibri" w:cs="Tahoma"/>
                <w:szCs w:val="18"/>
              </w:rPr>
              <w:t>SBS 2011 Standard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FB56293" w14:textId="77777777" w:rsidR="00C066B5" w:rsidRPr="0058047D" w:rsidRDefault="00C066B5" w:rsidP="00FC0808">
            <w:pPr>
              <w:spacing w:line="276" w:lineRule="auto"/>
            </w:pPr>
            <w:r w:rsidRPr="0058047D">
              <w:rPr>
                <w:rFonts w:eastAsia="Calibri" w:cs="Tahoma"/>
                <w:szCs w:val="18"/>
              </w:rPr>
              <w:t>Due licenze per Windows Server 2008 R2 con Software Assurance</w:t>
            </w:r>
          </w:p>
          <w:p w14:paraId="4C93970A" w14:textId="77777777" w:rsidR="00C066B5" w:rsidRPr="0058047D" w:rsidRDefault="00C066B5" w:rsidP="00FC0808">
            <w:pPr>
              <w:spacing w:line="276" w:lineRule="auto"/>
              <w:rPr>
                <w:rFonts w:eastAsia="Calibri" w:cs="Tahoma"/>
                <w:szCs w:val="18"/>
              </w:rPr>
            </w:pPr>
            <w:r w:rsidRPr="0058047D">
              <w:rPr>
                <w:rFonts w:eastAsia="Calibri" w:cs="Tahoma"/>
                <w:szCs w:val="18"/>
              </w:rPr>
              <w:t>Una licenza per Exchange Server 2010 Standard con Software Assurance</w:t>
            </w:r>
          </w:p>
        </w:tc>
      </w:tr>
      <w:tr w:rsidR="00C066B5" w:rsidRPr="0058047D" w14:paraId="7EBD8BB0"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0EA8BFD" w14:textId="77777777" w:rsidR="00C066B5" w:rsidRPr="0058047D" w:rsidRDefault="00C066B5" w:rsidP="00FC0808">
            <w:pPr>
              <w:spacing w:line="276" w:lineRule="auto"/>
              <w:rPr>
                <w:rFonts w:eastAsia="Calibri" w:cs="Tahoma"/>
                <w:szCs w:val="18"/>
              </w:rPr>
            </w:pPr>
            <w:r w:rsidRPr="0058047D">
              <w:rPr>
                <w:rFonts w:eastAsia="Calibri" w:cs="Tahoma"/>
                <w:szCs w:val="18"/>
              </w:rPr>
              <w:t>SBS 2011 Standard con copertura Software Assurance in data 1 agosto 2012 o successiva</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1094F09" w14:textId="77777777" w:rsidR="00C066B5" w:rsidRPr="0058047D" w:rsidRDefault="00C066B5" w:rsidP="00FC0808">
            <w:pPr>
              <w:spacing w:line="276" w:lineRule="auto"/>
            </w:pPr>
            <w:r w:rsidRPr="0058047D">
              <w:rPr>
                <w:rFonts w:eastAsia="Calibri" w:cs="Tahoma"/>
                <w:szCs w:val="18"/>
              </w:rPr>
              <w:t>Due licenze per Windows Server 2012 con Software Assurance</w:t>
            </w:r>
          </w:p>
          <w:p w14:paraId="6D29FC36" w14:textId="77777777" w:rsidR="00C066B5" w:rsidRPr="0058047D" w:rsidRDefault="00C066B5" w:rsidP="00FC0808">
            <w:pPr>
              <w:spacing w:line="276" w:lineRule="auto"/>
              <w:rPr>
                <w:rFonts w:eastAsia="Calibri" w:cs="Tahoma"/>
                <w:szCs w:val="18"/>
              </w:rPr>
            </w:pPr>
            <w:r w:rsidRPr="0058047D">
              <w:rPr>
                <w:rFonts w:eastAsia="Calibri" w:cs="Tahoma"/>
                <w:szCs w:val="18"/>
              </w:rPr>
              <w:t>Una licenza per Exchange Server 2010 Standard con Software Assurance</w:t>
            </w:r>
          </w:p>
        </w:tc>
      </w:tr>
    </w:tbl>
    <w:p w14:paraId="48A4EAAE" w14:textId="77777777" w:rsidR="00C066B5" w:rsidRPr="0058047D" w:rsidRDefault="00C066B5" w:rsidP="00C066B5">
      <w:pPr>
        <w:spacing w:after="100" w:afterAutospacing="1" w:line="276" w:lineRule="auto"/>
        <w:ind w:left="720"/>
        <w:contextualSpacing/>
      </w:pPr>
    </w:p>
    <w:p w14:paraId="79CBE5E8" w14:textId="77777777" w:rsidR="00C066B5" w:rsidRPr="0058047D" w:rsidRDefault="00C066B5" w:rsidP="00C066B5">
      <w:pPr>
        <w:ind w:left="720"/>
      </w:pPr>
      <w:r w:rsidRPr="0058047D">
        <w:rPr>
          <w:rFonts w:eastAsia="Calibri" w:cs="Tahoma"/>
          <w:szCs w:val="18"/>
        </w:rPr>
        <w:t>La copertura Software Assurance inclusa nella suddetta concessione scade alla scadenza della corrispondente copertura per le Licenze Qualificanti. In via eccezionale, le società con copertura Software Assurance attiva per le Licenze Qualificanti hanno la possibilità fino al 31 dicembre 2012 di rinnovare la copertura per le licenze per Windows Server ed Exchange Server ricevute in concessione ai sensi della presente offerta.</w:t>
      </w:r>
    </w:p>
    <w:p w14:paraId="1E3FE72D" w14:textId="77777777" w:rsidR="00C066B5" w:rsidRPr="00FE6686" w:rsidRDefault="00C066B5" w:rsidP="00C066B5">
      <w:pPr>
        <w:pStyle w:val="ListParagraph"/>
        <w:contextualSpacing w:val="0"/>
        <w:rPr>
          <w:rFonts w:ascii="Tahoma" w:hAnsi="Tahoma" w:cs="Tahoma"/>
          <w:sz w:val="18"/>
          <w:szCs w:val="18"/>
        </w:rPr>
      </w:pPr>
    </w:p>
    <w:p w14:paraId="1494606C" w14:textId="77777777" w:rsidR="00C066B5" w:rsidRPr="0058047D" w:rsidRDefault="00C066B5" w:rsidP="00C066B5">
      <w:pPr>
        <w:pStyle w:val="ListParagraph"/>
        <w:contextualSpacing w:val="0"/>
      </w:pPr>
      <w:r w:rsidRPr="0058047D">
        <w:rPr>
          <w:rFonts w:ascii="Tahoma" w:eastAsia="Calibri" w:hAnsi="Tahoma" w:cs="Tahoma"/>
          <w:sz w:val="18"/>
          <w:szCs w:val="18"/>
        </w:rPr>
        <w:t>Nel caso in cui le società abbiano acquistato diritti perpetui per utilizzare software ai sensi di Licenze Qualificanti, le licenze acquistate ai sensi della presente concessione saranno anch</w:t>
      </w:r>
      <w:r w:rsidR="001C4212">
        <w:rPr>
          <w:rFonts w:ascii="Tahoma" w:eastAsia="Calibri" w:hAnsi="Tahoma" w:cs="Tahoma"/>
          <w:sz w:val="18"/>
          <w:szCs w:val="18"/>
        </w:rPr>
        <w:t>’</w:t>
      </w:r>
      <w:r w:rsidRPr="0058047D">
        <w:rPr>
          <w:rFonts w:ascii="Tahoma" w:eastAsia="Calibri" w:hAnsi="Tahoma" w:cs="Tahoma"/>
          <w:sz w:val="18"/>
          <w:szCs w:val="18"/>
        </w:rPr>
        <w:t>esse perpetue; diversamente, le licenze acquistate ai sensi della presente concessione cesseranno alla scadenza delle Licenze Qualificanti sottostanti.</w:t>
      </w:r>
    </w:p>
    <w:p w14:paraId="1B43D61E" w14:textId="77777777" w:rsidR="00C066B5" w:rsidRPr="0058047D" w:rsidRDefault="00C066B5" w:rsidP="00C066B5">
      <w:pPr>
        <w:pStyle w:val="ListParagraph"/>
        <w:contextualSpacing w:val="0"/>
      </w:pPr>
      <w:r w:rsidRPr="0058047D">
        <w:rPr>
          <w:rFonts w:ascii="Tahoma" w:eastAsia="Calibri" w:hAnsi="Tahoma" w:cs="Tahoma"/>
          <w:sz w:val="18"/>
          <w:szCs w:val="18"/>
        </w:rPr>
        <w:t>Per ogni Licenza Qualificante acquistata ai sensi del contratto Open Value Subscription, una società potrà eseguire il buy-out di una licenza per SBS 2011 Standard come indicato o di:</w:t>
      </w:r>
    </w:p>
    <w:p w14:paraId="147A104C" w14:textId="77777777" w:rsidR="00C066B5" w:rsidRPr="00FE6686" w:rsidRDefault="00C066B5" w:rsidP="00C066B5">
      <w:pPr>
        <w:pStyle w:val="ListParagraph"/>
        <w:contextualSpacing w:val="0"/>
        <w:rPr>
          <w:rFonts w:ascii="Tahoma" w:hAnsi="Tahoma" w:cs="Tahoma"/>
          <w:sz w:val="18"/>
          <w:szCs w:val="18"/>
        </w:rPr>
      </w:pPr>
    </w:p>
    <w:p w14:paraId="29CFED75" w14:textId="77777777" w:rsidR="00C066B5" w:rsidRPr="0058047D" w:rsidRDefault="00C066B5" w:rsidP="00C066B5">
      <w:pPr>
        <w:pStyle w:val="ListParagraph"/>
        <w:numPr>
          <w:ilvl w:val="1"/>
          <w:numId w:val="100"/>
        </w:numPr>
        <w:tabs>
          <w:tab w:val="clear" w:pos="1440"/>
        </w:tabs>
        <w:contextualSpacing w:val="0"/>
      </w:pPr>
      <w:r w:rsidRPr="0058047D">
        <w:rPr>
          <w:rFonts w:ascii="Tahoma" w:eastAsia="Calibri" w:hAnsi="Tahoma" w:cs="Tahoma"/>
          <w:sz w:val="18"/>
          <w:szCs w:val="18"/>
        </w:rPr>
        <w:t>Due licenze per Windows Server 2012 Standard e una licenza per Exchange Server 2010 Standard per i contratti in scadenza in data 1 agosto 2012 o successiva oppure</w:t>
      </w:r>
    </w:p>
    <w:p w14:paraId="28D55DAC" w14:textId="77777777" w:rsidR="00C066B5" w:rsidRPr="0058047D" w:rsidRDefault="00C066B5" w:rsidP="00C066B5">
      <w:pPr>
        <w:pStyle w:val="ListParagraph"/>
        <w:numPr>
          <w:ilvl w:val="1"/>
          <w:numId w:val="100"/>
        </w:numPr>
        <w:tabs>
          <w:tab w:val="clear" w:pos="1440"/>
        </w:tabs>
        <w:contextualSpacing w:val="0"/>
      </w:pPr>
      <w:r w:rsidRPr="0058047D">
        <w:rPr>
          <w:rFonts w:ascii="Tahoma" w:eastAsia="Calibri" w:hAnsi="Tahoma" w:cs="Tahoma"/>
          <w:sz w:val="18"/>
          <w:szCs w:val="18"/>
        </w:rPr>
        <w:t>Due licenze per Windows Server 2008 R2 Standard e una licenza per Exchange Server 2010 Standard per i contratti in scadenza in data 1 luglio 2012.</w:t>
      </w:r>
    </w:p>
    <w:p w14:paraId="1C7763DB" w14:textId="77777777" w:rsidR="00C066B5" w:rsidRPr="0058047D" w:rsidRDefault="00C066B5" w:rsidP="00C066B5">
      <w:pPr>
        <w:ind w:left="720"/>
      </w:pPr>
    </w:p>
    <w:p w14:paraId="2B3E9044" w14:textId="77777777" w:rsidR="00C066B5" w:rsidRPr="0058047D" w:rsidRDefault="00C066B5" w:rsidP="00C066B5">
      <w:pPr>
        <w:ind w:left="720"/>
      </w:pPr>
      <w:r w:rsidRPr="0058047D">
        <w:rPr>
          <w:rFonts w:eastAsia="Calibri" w:cs="Tahoma"/>
          <w:szCs w:val="18"/>
        </w:rPr>
        <w:t>Eseguendo l</w:t>
      </w:r>
      <w:r w:rsidR="001C4212">
        <w:rPr>
          <w:rFonts w:eastAsia="Calibri" w:cs="Tahoma"/>
          <w:szCs w:val="18"/>
        </w:rPr>
        <w:t>’</w:t>
      </w:r>
      <w:r w:rsidRPr="0058047D">
        <w:rPr>
          <w:rFonts w:eastAsia="Calibri" w:cs="Tahoma"/>
          <w:szCs w:val="18"/>
        </w:rPr>
        <w:t>aggiornamento a Windows Server Standard ed Exchange Server 2010 Standard ai sensi della presente concessione, le Licenze Qualificanti in essere per SBS Standard non saranno più valide.</w:t>
      </w:r>
    </w:p>
    <w:p w14:paraId="1A315407" w14:textId="77777777" w:rsidR="00C066B5" w:rsidRPr="0058047D" w:rsidRDefault="00C066B5" w:rsidP="00C066B5">
      <w:pPr>
        <w:ind w:left="720"/>
      </w:pPr>
    </w:p>
    <w:p w14:paraId="7171436B" w14:textId="77777777" w:rsidR="00C066B5" w:rsidRPr="0058047D" w:rsidRDefault="00C066B5" w:rsidP="00C066B5">
      <w:pPr>
        <w:ind w:left="720"/>
      </w:pPr>
      <w:r w:rsidRPr="0058047D">
        <w:t xml:space="preserve">Le licenze Standard per </w:t>
      </w:r>
      <w:r w:rsidRPr="0058047D">
        <w:rPr>
          <w:color w:val="000000"/>
        </w:rPr>
        <w:t>SBS 2011</w:t>
      </w:r>
      <w:r w:rsidRPr="0058047D">
        <w:rPr>
          <w:rFonts w:cs="Tahoma"/>
          <w:bCs/>
          <w:color w:val="000000"/>
          <w:szCs w:val="18"/>
        </w:rPr>
        <w:t>, acquistate successivamente nello stesso periodo di validità dell</w:t>
      </w:r>
      <w:r w:rsidR="001C4212">
        <w:rPr>
          <w:rFonts w:cs="Tahoma"/>
          <w:bCs/>
          <w:color w:val="000000"/>
          <w:szCs w:val="18"/>
        </w:rPr>
        <w:t>’</w:t>
      </w:r>
      <w:r w:rsidRPr="0058047D">
        <w:rPr>
          <w:rFonts w:cs="Tahoma"/>
          <w:bCs/>
          <w:color w:val="000000"/>
          <w:szCs w:val="18"/>
        </w:rPr>
        <w:t>iscrizione nell</w:t>
      </w:r>
      <w:r w:rsidR="001C4212">
        <w:rPr>
          <w:rFonts w:cs="Tahoma"/>
          <w:bCs/>
          <w:color w:val="000000"/>
          <w:szCs w:val="18"/>
        </w:rPr>
        <w:t>’</w:t>
      </w:r>
      <w:r w:rsidRPr="0058047D">
        <w:rPr>
          <w:rFonts w:cs="Tahoma"/>
          <w:bCs/>
          <w:color w:val="000000"/>
          <w:szCs w:val="18"/>
        </w:rPr>
        <w:t>ambito di una procedura pianificata di true-up di una società Open Value Subscription o Enrollment for Education Solutions, sono anch</w:t>
      </w:r>
      <w:r w:rsidR="001C4212">
        <w:rPr>
          <w:rFonts w:cs="Tahoma"/>
          <w:bCs/>
          <w:color w:val="000000"/>
          <w:szCs w:val="18"/>
        </w:rPr>
        <w:t>’</w:t>
      </w:r>
      <w:r w:rsidRPr="0058047D">
        <w:rPr>
          <w:rFonts w:cs="Tahoma"/>
          <w:bCs/>
          <w:color w:val="000000"/>
          <w:szCs w:val="18"/>
        </w:rPr>
        <w:t>esse Licenze Qualificanti per gli scopi previsti dalla suddetta concessione.</w:t>
      </w:r>
    </w:p>
    <w:p w14:paraId="21344686" w14:textId="77777777" w:rsidR="00C066B5" w:rsidRPr="0058047D" w:rsidRDefault="00C066B5"/>
    <w:p w14:paraId="6D8256D2" w14:textId="77777777" w:rsidR="00C066B5" w:rsidRPr="0058047D" w:rsidRDefault="00C066B5"/>
    <w:p w14:paraId="3C49B5D1" w14:textId="77777777" w:rsidR="00E06578" w:rsidRPr="0058047D" w:rsidRDefault="00A560B6" w:rsidP="00EF2279">
      <w:pPr>
        <w:pStyle w:val="Heading2"/>
        <w:ind w:left="0"/>
      </w:pPr>
      <w:bookmarkStart w:id="1639" w:name="_122_Windows_Small"/>
      <w:bookmarkStart w:id="1640" w:name="_120_Windows_Small"/>
      <w:bookmarkStart w:id="1641" w:name="_110_Windows_Small"/>
      <w:bookmarkStart w:id="1642" w:name="_116_Windows_Small"/>
      <w:bookmarkStart w:id="1643" w:name="_117_CAL_Suite"/>
      <w:bookmarkStart w:id="1644" w:name="_Toc336338378"/>
      <w:bookmarkStart w:id="1645" w:name="_Toc371663770"/>
      <w:bookmarkEnd w:id="1639"/>
      <w:bookmarkEnd w:id="1640"/>
      <w:bookmarkEnd w:id="1641"/>
      <w:bookmarkEnd w:id="1642"/>
      <w:bookmarkEnd w:id="1643"/>
      <w:r w:rsidRPr="0058047D">
        <w:rPr>
          <w:rFonts w:ascii="Tahoma" w:hAnsi="Tahoma" w:cs="Tahoma"/>
          <w:caps/>
          <w:color w:val="EE6000"/>
          <w:sz w:val="22"/>
          <w:szCs w:val="18"/>
          <w:vertAlign w:val="superscript"/>
        </w:rPr>
        <w:t xml:space="preserve">117 </w:t>
      </w:r>
      <w:r w:rsidRPr="0058047D">
        <w:rPr>
          <w:rFonts w:ascii="Tahoma" w:hAnsi="Tahoma" w:cs="Tahoma"/>
          <w:color w:val="F8701C"/>
          <w:sz w:val="22"/>
          <w:szCs w:val="22"/>
        </w:rPr>
        <w:t>CAL Suite per Windows Small Business Server (SBS) 2011</w:t>
      </w:r>
      <w:bookmarkEnd w:id="1644"/>
      <w:bookmarkEnd w:id="1645"/>
    </w:p>
    <w:p w14:paraId="72D0F2C2" w14:textId="77777777" w:rsidR="00E06578" w:rsidRPr="0058047D" w:rsidRDefault="00E06578" w:rsidP="000F0F4D">
      <w:pPr>
        <w:ind w:left="900"/>
      </w:pPr>
    </w:p>
    <w:p w14:paraId="54FDE287" w14:textId="77777777" w:rsidR="000F0F4D" w:rsidRPr="0058047D" w:rsidRDefault="00836655" w:rsidP="000F0F4D">
      <w:pPr>
        <w:spacing w:after="60"/>
        <w:ind w:left="720"/>
      </w:pPr>
      <w:r w:rsidRPr="0058047D">
        <w:rPr>
          <w:b/>
          <w:color w:val="000000"/>
        </w:rPr>
        <w:t>Concessioni di licenza associate alla fine del ciclo di vita della CAL Suite per SBS 2011</w:t>
      </w:r>
    </w:p>
    <w:p w14:paraId="2AE83E2B" w14:textId="77777777" w:rsidR="00836655" w:rsidRPr="0058047D" w:rsidRDefault="00836655" w:rsidP="000F0F4D">
      <w:pPr>
        <w:ind w:left="720"/>
      </w:pPr>
      <w:r w:rsidRPr="0058047D">
        <w:t xml:space="preserve">Le società con copertura Software Assurance attiva per CAL Suite per SBS 2011 (“Licenze Qualificanti”) sono idonee ad accedere al software Windows Server Standard ed Exchange Server 2010. </w:t>
      </w:r>
      <w:r w:rsidRPr="0058047D">
        <w:rPr>
          <w:rFonts w:eastAsia="Calibri" w:cs="Tahoma"/>
          <w:szCs w:val="18"/>
        </w:rPr>
        <w:t xml:space="preserve">Per agevolare tale utilizzo, per ogni licenza CAL Qualificante in suo possesso, alla società verrà concessa una licenza CAL per Windows Server Standard e una per Exchange Server 2010, come illustrato nella tabella che segue. </w:t>
      </w:r>
    </w:p>
    <w:p w14:paraId="2AA5CB64" w14:textId="77777777" w:rsidR="000F0F4D" w:rsidRPr="0058047D" w:rsidRDefault="000F0F4D" w:rsidP="00155B9B"/>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1"/>
        <w:gridCol w:w="4661"/>
      </w:tblGrid>
      <w:tr w:rsidR="00836655" w:rsidRPr="0058047D" w14:paraId="582B227B"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5789804" w14:textId="77777777" w:rsidR="00836655" w:rsidRPr="0058047D" w:rsidRDefault="00836655" w:rsidP="000A5032">
            <w:pPr>
              <w:spacing w:after="200" w:line="276" w:lineRule="auto"/>
              <w:rPr>
                <w:rFonts w:eastAsia="Calibri" w:cs="Tahoma"/>
                <w:szCs w:val="18"/>
              </w:rPr>
            </w:pPr>
            <w:r w:rsidRPr="0058047D">
              <w:rPr>
                <w:b/>
                <w:color w:val="000000"/>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E6C9F60" w14:textId="77777777" w:rsidR="00836655" w:rsidRPr="0058047D" w:rsidRDefault="00836655" w:rsidP="000A5032">
            <w:pPr>
              <w:spacing w:after="200" w:line="276" w:lineRule="auto"/>
              <w:rPr>
                <w:rFonts w:eastAsia="Calibri" w:cs="Tahoma"/>
                <w:szCs w:val="18"/>
              </w:rPr>
            </w:pPr>
            <w:r w:rsidRPr="0058047D">
              <w:rPr>
                <w:b/>
                <w:color w:val="000000"/>
              </w:rPr>
              <w:t>Concessione di Licenza</w:t>
            </w:r>
          </w:p>
        </w:tc>
      </w:tr>
      <w:tr w:rsidR="00836655" w:rsidRPr="0058047D" w14:paraId="69845F84"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09D6A539" w14:textId="77777777" w:rsidR="00836655" w:rsidRPr="0058047D" w:rsidRDefault="00836655" w:rsidP="00CA14C9">
            <w:pPr>
              <w:spacing w:line="276" w:lineRule="auto"/>
              <w:rPr>
                <w:rFonts w:eastAsia="Calibri" w:cs="Tahoma"/>
                <w:szCs w:val="18"/>
              </w:rPr>
            </w:pPr>
            <w:r w:rsidRPr="0058047D">
              <w:rPr>
                <w:rFonts w:eastAsia="Calibri" w:cs="Tahoma"/>
                <w:szCs w:val="18"/>
              </w:rPr>
              <w:t>CAL Suite per SBS 2011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0A8D3BB3" w14:textId="77777777" w:rsidR="00836655" w:rsidRPr="0058047D" w:rsidRDefault="00836655" w:rsidP="00CA14C9">
            <w:pPr>
              <w:spacing w:line="276" w:lineRule="auto"/>
            </w:pPr>
            <w:r w:rsidRPr="0058047D">
              <w:rPr>
                <w:rFonts w:eastAsia="Calibri" w:cs="Tahoma"/>
                <w:szCs w:val="18"/>
              </w:rPr>
              <w:t>Licenza CAL per Windows Server 2008 R2</w:t>
            </w:r>
          </w:p>
          <w:p w14:paraId="6737FA26" w14:textId="77777777" w:rsidR="00836655" w:rsidRPr="0058047D" w:rsidRDefault="00836655" w:rsidP="00CA14C9">
            <w:pPr>
              <w:spacing w:line="276" w:lineRule="auto"/>
              <w:rPr>
                <w:rFonts w:eastAsia="Calibri" w:cs="Tahoma"/>
                <w:szCs w:val="18"/>
              </w:rPr>
            </w:pPr>
            <w:r w:rsidRPr="0058047D">
              <w:rPr>
                <w:rFonts w:eastAsia="Calibri" w:cs="Tahoma"/>
                <w:szCs w:val="18"/>
              </w:rPr>
              <w:t>Licenza CAL per Exchange Server 2010</w:t>
            </w:r>
          </w:p>
        </w:tc>
      </w:tr>
      <w:tr w:rsidR="00836655" w:rsidRPr="0058047D" w14:paraId="2BE72DA2"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16513162" w14:textId="77777777" w:rsidR="00836655" w:rsidRPr="0058047D" w:rsidRDefault="00836655" w:rsidP="00CA14C9">
            <w:pPr>
              <w:spacing w:line="276" w:lineRule="auto"/>
              <w:rPr>
                <w:rFonts w:eastAsia="Calibri" w:cs="Tahoma"/>
                <w:szCs w:val="18"/>
              </w:rPr>
            </w:pPr>
            <w:r w:rsidRPr="0058047D">
              <w:rPr>
                <w:rFonts w:eastAsia="Calibri" w:cs="Tahoma"/>
                <w:szCs w:val="18"/>
              </w:rPr>
              <w:t>CAL Suite per SBS 2011 con copertura Software Assurance in data 1 agosto 2012 o successiva</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3E03BB1" w14:textId="77777777" w:rsidR="00836655" w:rsidRPr="0058047D" w:rsidRDefault="00836655" w:rsidP="00CA14C9">
            <w:pPr>
              <w:spacing w:line="276" w:lineRule="auto"/>
            </w:pPr>
            <w:r w:rsidRPr="0058047D">
              <w:rPr>
                <w:rFonts w:eastAsia="Calibri" w:cs="Tahoma"/>
                <w:szCs w:val="18"/>
              </w:rPr>
              <w:t>Licenza CAL per Windows Server 2012 con Software Assurance</w:t>
            </w:r>
          </w:p>
          <w:p w14:paraId="0C5ECCE5" w14:textId="77777777" w:rsidR="00836655" w:rsidRPr="0058047D" w:rsidRDefault="00836655" w:rsidP="00CA14C9">
            <w:pPr>
              <w:spacing w:line="276" w:lineRule="auto"/>
              <w:rPr>
                <w:rFonts w:eastAsia="Calibri" w:cs="Tahoma"/>
                <w:szCs w:val="18"/>
              </w:rPr>
            </w:pPr>
            <w:r w:rsidRPr="0058047D">
              <w:rPr>
                <w:rFonts w:eastAsia="Calibri" w:cs="Tahoma"/>
                <w:szCs w:val="18"/>
              </w:rPr>
              <w:t>CAL per Exchange Server 2010 con Software Assurance</w:t>
            </w:r>
          </w:p>
        </w:tc>
      </w:tr>
    </w:tbl>
    <w:p w14:paraId="5ECE5B6B" w14:textId="77777777" w:rsidR="000F0F4D" w:rsidRPr="0058047D" w:rsidRDefault="000F0F4D" w:rsidP="000F0F4D">
      <w:pPr>
        <w:pStyle w:val="ListParagraph"/>
        <w:contextualSpacing w:val="0"/>
      </w:pPr>
    </w:p>
    <w:p w14:paraId="2D960139" w14:textId="77777777" w:rsidR="00836655" w:rsidRPr="0058047D" w:rsidRDefault="00836655" w:rsidP="000F0F4D">
      <w:pPr>
        <w:pStyle w:val="ListParagraph"/>
        <w:contextualSpacing w:val="0"/>
      </w:pPr>
      <w:r w:rsidRPr="0058047D">
        <w:rPr>
          <w:rFonts w:ascii="Tahoma" w:eastAsia="Calibri" w:hAnsi="Tahoma" w:cs="Tahoma"/>
          <w:sz w:val="18"/>
          <w:szCs w:val="18"/>
        </w:rPr>
        <w:t>La copertura Software Assurance inclusa nella suddetta concessione scade alla scadenza della corrispondente copertura per le CAL Qualificanti. In via eccezionale, le società con copertura Software Assurance attiva per le Licenze CAL Qualificanti in scadenza nel mese di agosto 2012 hanno la possibilità fino al 31 dicembre 2012 di rinnovare la copertura per le CAL ricevute in concessione ai sensi della presente offerta. Le società con copertura Software Assurance attiva per le Licenze CAL Qualificanti in scadenza nel mese di luglio 2012 hanno la possibilità fino al 31 dicembre 2012 di acquistare la copertura per le Licenze CAL ricevute in concessione ai sensi della presente offerta.</w:t>
      </w:r>
    </w:p>
    <w:p w14:paraId="6EB9AA04" w14:textId="77777777" w:rsidR="000F0F4D" w:rsidRPr="0058047D" w:rsidRDefault="000F0F4D" w:rsidP="000F0F4D">
      <w:pPr>
        <w:pStyle w:val="ListParagraph"/>
        <w:contextualSpacing w:val="0"/>
      </w:pPr>
    </w:p>
    <w:p w14:paraId="63BC5223" w14:textId="77777777" w:rsidR="00836655" w:rsidRPr="0058047D" w:rsidRDefault="00836655" w:rsidP="000F0F4D">
      <w:pPr>
        <w:pStyle w:val="ListParagraph"/>
        <w:contextualSpacing w:val="0"/>
      </w:pPr>
      <w:r w:rsidRPr="0058047D">
        <w:rPr>
          <w:rFonts w:ascii="Tahoma" w:eastAsia="Calibri" w:hAnsi="Tahoma" w:cs="Tahoma"/>
          <w:sz w:val="18"/>
          <w:szCs w:val="18"/>
        </w:rPr>
        <w:t>Nel caso in cui le società abbiano acquistato diritti perpetui previsti dalle CAL qualificanti, le CAL acquistate ai sensi della presente concessione saranno anch</w:t>
      </w:r>
      <w:r w:rsidR="001C4212">
        <w:rPr>
          <w:rFonts w:ascii="Tahoma" w:eastAsia="Calibri" w:hAnsi="Tahoma" w:cs="Tahoma"/>
          <w:sz w:val="18"/>
          <w:szCs w:val="18"/>
        </w:rPr>
        <w:t>’</w:t>
      </w:r>
      <w:r w:rsidRPr="0058047D">
        <w:rPr>
          <w:rFonts w:ascii="Tahoma" w:eastAsia="Calibri" w:hAnsi="Tahoma" w:cs="Tahoma"/>
          <w:sz w:val="18"/>
          <w:szCs w:val="18"/>
        </w:rPr>
        <w:t>esse perpetue; diversamente, le CAL acquistate ai sensi della presente concessione cesseranno alla scadenza delle CAL Qualificanti sottostanti.</w:t>
      </w:r>
    </w:p>
    <w:p w14:paraId="4AA7FE21" w14:textId="77777777" w:rsidR="000F0F4D" w:rsidRPr="0058047D" w:rsidRDefault="000F0F4D" w:rsidP="000F0F4D">
      <w:pPr>
        <w:pStyle w:val="ListParagraph"/>
        <w:contextualSpacing w:val="0"/>
      </w:pPr>
    </w:p>
    <w:p w14:paraId="29CD03AB" w14:textId="77777777" w:rsidR="00836655" w:rsidRPr="0058047D" w:rsidRDefault="00836655" w:rsidP="000F0F4D">
      <w:pPr>
        <w:pStyle w:val="ListParagraph"/>
        <w:contextualSpacing w:val="0"/>
      </w:pPr>
      <w:r w:rsidRPr="0058047D">
        <w:rPr>
          <w:rFonts w:ascii="Tahoma" w:eastAsia="Calibri" w:hAnsi="Tahoma" w:cs="Tahoma"/>
          <w:sz w:val="18"/>
          <w:szCs w:val="18"/>
        </w:rPr>
        <w:t>Per ogni CAL Qualificante acquistata ai sensi del contratto Open Value Subscription, una società potrà eseguire il buy-out di una CAL Suite per SBS 2011 come indicato o di:</w:t>
      </w:r>
    </w:p>
    <w:p w14:paraId="39127C21" w14:textId="77777777" w:rsidR="000F0F4D" w:rsidRPr="0058047D" w:rsidRDefault="000F0F4D" w:rsidP="000F0F4D">
      <w:pPr>
        <w:pStyle w:val="ListParagraph"/>
        <w:contextualSpacing w:val="0"/>
      </w:pPr>
    </w:p>
    <w:p w14:paraId="1530E2FF" w14:textId="77777777" w:rsidR="00836655" w:rsidRPr="0058047D" w:rsidRDefault="00836655" w:rsidP="00346F4B">
      <w:pPr>
        <w:pStyle w:val="ListParagraph"/>
        <w:numPr>
          <w:ilvl w:val="1"/>
          <w:numId w:val="100"/>
        </w:numPr>
        <w:tabs>
          <w:tab w:val="clear" w:pos="1440"/>
        </w:tabs>
        <w:spacing w:after="60"/>
        <w:ind w:left="1800"/>
        <w:contextualSpacing w:val="0"/>
      </w:pPr>
      <w:r w:rsidRPr="0058047D">
        <w:rPr>
          <w:rFonts w:ascii="Tahoma" w:eastAsia="Calibri" w:hAnsi="Tahoma" w:cs="Tahoma"/>
          <w:sz w:val="18"/>
          <w:szCs w:val="18"/>
        </w:rPr>
        <w:t>Una Licenza CAL per Windows Server 2012 e una per Exchange Server 2010 Standard per i contratti in scadenza in data 1 agosto 2012 o successiva e</w:t>
      </w:r>
    </w:p>
    <w:p w14:paraId="0F80FE6C" w14:textId="77777777" w:rsidR="00836655" w:rsidRPr="0058047D" w:rsidRDefault="00836655" w:rsidP="00346F4B">
      <w:pPr>
        <w:pStyle w:val="ListParagraph"/>
        <w:numPr>
          <w:ilvl w:val="1"/>
          <w:numId w:val="100"/>
        </w:numPr>
        <w:tabs>
          <w:tab w:val="clear" w:pos="1440"/>
        </w:tabs>
        <w:spacing w:after="60"/>
        <w:ind w:left="1800"/>
        <w:contextualSpacing w:val="0"/>
      </w:pPr>
      <w:r w:rsidRPr="0058047D">
        <w:rPr>
          <w:rFonts w:ascii="Tahoma" w:eastAsia="Calibri" w:hAnsi="Tahoma" w:cs="Tahoma"/>
          <w:sz w:val="18"/>
          <w:szCs w:val="18"/>
        </w:rPr>
        <w:t>Una Licenza CAL per Windows Server 2008 e una per Exchange Server 2010 Standard per i contratti in scadenza nel mese di luglio 2012.</w:t>
      </w:r>
    </w:p>
    <w:p w14:paraId="62AD2809" w14:textId="77777777" w:rsidR="00FE6686" w:rsidRPr="0058047D" w:rsidRDefault="00FE6686" w:rsidP="000F0F4D">
      <w:pPr>
        <w:ind w:left="720"/>
      </w:pPr>
    </w:p>
    <w:p w14:paraId="27E5C0F4" w14:textId="77777777" w:rsidR="00836655" w:rsidRPr="0058047D" w:rsidRDefault="00836655" w:rsidP="000F0F4D">
      <w:pPr>
        <w:ind w:left="720"/>
      </w:pPr>
      <w:r w:rsidRPr="0058047D">
        <w:rPr>
          <w:rFonts w:eastAsia="Calibri" w:cs="Tahoma"/>
          <w:szCs w:val="18"/>
        </w:rPr>
        <w:t>Utilizzando la Licenza CAL per Windows Server e la Licenza Standard CAL per Exchange Server 2010 ai sensi della presente concessione, le Licenze CAL Qualificanti delle società per la CAL Suite in essere per SBS 2011 non saranno più valide.</w:t>
      </w:r>
    </w:p>
    <w:p w14:paraId="342828C2" w14:textId="77777777" w:rsidR="000F0F4D" w:rsidRPr="0058047D" w:rsidRDefault="000F0F4D" w:rsidP="000F0F4D">
      <w:pPr>
        <w:ind w:left="720"/>
      </w:pPr>
    </w:p>
    <w:p w14:paraId="03B06555" w14:textId="77777777" w:rsidR="00836655" w:rsidRPr="0058047D" w:rsidRDefault="00836655" w:rsidP="000F0F4D">
      <w:pPr>
        <w:ind w:left="720"/>
      </w:pPr>
      <w:r w:rsidRPr="0058047D">
        <w:t xml:space="preserve">Le </w:t>
      </w:r>
      <w:r w:rsidRPr="0058047D">
        <w:rPr>
          <w:color w:val="000000"/>
        </w:rPr>
        <w:t>Premium Add-on CAL Suite per SBS 2011</w:t>
      </w:r>
      <w:r w:rsidRPr="0058047D">
        <w:rPr>
          <w:rFonts w:cs="Tahoma"/>
          <w:bCs/>
          <w:color w:val="000000"/>
          <w:szCs w:val="18"/>
        </w:rPr>
        <w:t>, acquistate successivamente nello stesso periodo di validità dell</w:t>
      </w:r>
      <w:r w:rsidR="001C4212">
        <w:rPr>
          <w:rFonts w:cs="Tahoma"/>
          <w:bCs/>
          <w:color w:val="000000"/>
          <w:szCs w:val="18"/>
        </w:rPr>
        <w:t>’</w:t>
      </w:r>
      <w:r w:rsidRPr="0058047D">
        <w:rPr>
          <w:rFonts w:cs="Tahoma"/>
          <w:bCs/>
          <w:color w:val="000000"/>
          <w:szCs w:val="18"/>
        </w:rPr>
        <w:t>iscrizione nell</w:t>
      </w:r>
      <w:r w:rsidR="001C4212">
        <w:rPr>
          <w:rFonts w:cs="Tahoma"/>
          <w:bCs/>
          <w:color w:val="000000"/>
          <w:szCs w:val="18"/>
        </w:rPr>
        <w:t>’</w:t>
      </w:r>
      <w:r w:rsidRPr="0058047D">
        <w:rPr>
          <w:rFonts w:cs="Tahoma"/>
          <w:bCs/>
          <w:color w:val="000000"/>
          <w:szCs w:val="18"/>
        </w:rPr>
        <w:t>ambito di una procedura pianificata di true-up di una società Open Value Subscription o Enrollment for Education Solutions, sono anch</w:t>
      </w:r>
      <w:r w:rsidR="001C4212">
        <w:rPr>
          <w:rFonts w:cs="Tahoma"/>
          <w:bCs/>
          <w:color w:val="000000"/>
          <w:szCs w:val="18"/>
        </w:rPr>
        <w:t>’</w:t>
      </w:r>
      <w:r w:rsidRPr="0058047D">
        <w:rPr>
          <w:rFonts w:cs="Tahoma"/>
          <w:bCs/>
          <w:color w:val="000000"/>
          <w:szCs w:val="18"/>
        </w:rPr>
        <w:t>esse Licenze CAL Qualificanti per gli scopi previsti dalla suddetta concessione.</w:t>
      </w:r>
      <w:r w:rsidRPr="0058047D">
        <w:rPr>
          <w:rFonts w:eastAsia="Calibri" w:cs="Tahoma"/>
          <w:szCs w:val="18"/>
        </w:rPr>
        <w:t xml:space="preserve"> </w:t>
      </w:r>
    </w:p>
    <w:p w14:paraId="212C32F7" w14:textId="77777777" w:rsidR="009B1D83" w:rsidRDefault="009B1D83" w:rsidP="000F0F4D">
      <w:pPr>
        <w:ind w:left="900"/>
      </w:pPr>
    </w:p>
    <w:p w14:paraId="37ABF357" w14:textId="77777777" w:rsidR="002D0340" w:rsidRDefault="002D0340" w:rsidP="000F0F4D">
      <w:pPr>
        <w:ind w:left="900"/>
      </w:pPr>
    </w:p>
    <w:p w14:paraId="5AA320A1" w14:textId="77777777" w:rsidR="002D0340" w:rsidRPr="0058047D" w:rsidRDefault="002D0340" w:rsidP="000F0F4D">
      <w:pPr>
        <w:ind w:left="900"/>
      </w:pPr>
    </w:p>
    <w:p w14:paraId="3F279A07" w14:textId="77777777" w:rsidR="00C066B5" w:rsidRPr="0058047D" w:rsidRDefault="00C066B5" w:rsidP="000F0F4D">
      <w:pPr>
        <w:ind w:left="900"/>
      </w:pPr>
    </w:p>
    <w:p w14:paraId="6D4CDAB4" w14:textId="77777777" w:rsidR="00C066B5" w:rsidRPr="0058047D" w:rsidRDefault="00C066B5" w:rsidP="00C066B5">
      <w:pPr>
        <w:pStyle w:val="Heading2"/>
        <w:ind w:hanging="720"/>
      </w:pPr>
      <w:bookmarkStart w:id="1646" w:name="_118_Premium_Add-on"/>
      <w:bookmarkStart w:id="1647" w:name="Srv_122WinSmallBizSVR2011Addon"/>
      <w:bookmarkStart w:id="1648" w:name="_Toc336338379"/>
      <w:bookmarkStart w:id="1649" w:name="_Toc357669627"/>
      <w:bookmarkStart w:id="1650" w:name="_Toc371663771"/>
      <w:bookmarkStart w:id="1651" w:name="Srv_112WinSmallBizSVR2011Addon"/>
      <w:bookmarkStart w:id="1652" w:name="Srv_118WinSmallBizSVR2011Addon"/>
      <w:bookmarkEnd w:id="1646"/>
      <w:r w:rsidRPr="0058047D">
        <w:rPr>
          <w:rFonts w:ascii="Tahoma" w:hAnsi="Tahoma" w:cs="Tahoma"/>
          <w:caps/>
          <w:color w:val="EE6000"/>
          <w:sz w:val="22"/>
          <w:szCs w:val="18"/>
          <w:vertAlign w:val="superscript"/>
        </w:rPr>
        <w:t xml:space="preserve">118 </w:t>
      </w:r>
      <w:r w:rsidRPr="0058047D">
        <w:rPr>
          <w:rFonts w:ascii="Tahoma" w:hAnsi="Tahoma" w:cs="Tahoma"/>
          <w:color w:val="EE6000"/>
          <w:sz w:val="22"/>
          <w:szCs w:val="18"/>
        </w:rPr>
        <w:t>Premium Add-on per Windows Small Business Server (SBS) 2011</w:t>
      </w:r>
      <w:bookmarkEnd w:id="1647"/>
      <w:bookmarkEnd w:id="1648"/>
      <w:bookmarkEnd w:id="1649"/>
      <w:bookmarkEnd w:id="1650"/>
    </w:p>
    <w:bookmarkEnd w:id="1651"/>
    <w:bookmarkEnd w:id="1652"/>
    <w:p w14:paraId="386F1544" w14:textId="77777777" w:rsidR="00C066B5" w:rsidRPr="0058047D" w:rsidRDefault="00C066B5" w:rsidP="00C066B5">
      <w:pPr>
        <w:ind w:left="900"/>
      </w:pPr>
    </w:p>
    <w:p w14:paraId="188F9E82" w14:textId="77777777" w:rsidR="00C066B5" w:rsidRPr="0058047D" w:rsidRDefault="00C066B5" w:rsidP="00C066B5">
      <w:pPr>
        <w:spacing w:after="60"/>
        <w:ind w:left="720"/>
      </w:pPr>
      <w:r w:rsidRPr="0058047D">
        <w:rPr>
          <w:b/>
          <w:color w:val="000000"/>
        </w:rPr>
        <w:t>Concessioni di licenza associate alla fine del ciclo di vita di SBS 2011 Premium Add-on</w:t>
      </w:r>
    </w:p>
    <w:p w14:paraId="58C09BAB" w14:textId="77777777" w:rsidR="00C066B5" w:rsidRPr="0058047D" w:rsidRDefault="00C066B5" w:rsidP="00C066B5">
      <w:pPr>
        <w:ind w:left="720"/>
      </w:pPr>
      <w:r w:rsidRPr="0058047D">
        <w:rPr>
          <w:color w:val="000000"/>
        </w:rPr>
        <w:t>SBS 2011 Premium Add-on sarà l</w:t>
      </w:r>
      <w:r w:rsidR="001C4212">
        <w:rPr>
          <w:color w:val="000000"/>
        </w:rPr>
        <w:t>’</w:t>
      </w:r>
      <w:r w:rsidRPr="0058047D">
        <w:rPr>
          <w:color w:val="000000"/>
        </w:rPr>
        <w:t>ultima versione di SBS Premium Add-on. Alle società titolari di contratti multilicenza con copertura Software Assurance per le licenze SBS 2011 Premium Add-on (“Licenze Qualificanti”) sarà consentito effettuare l</w:t>
      </w:r>
      <w:r w:rsidR="001C4212">
        <w:rPr>
          <w:color w:val="000000"/>
        </w:rPr>
        <w:t>’</w:t>
      </w:r>
      <w:r w:rsidRPr="0058047D">
        <w:rPr>
          <w:color w:val="000000"/>
        </w:rPr>
        <w:t xml:space="preserve">aggiornamento ai prodotti software Windows Server Standard e SQL Server 2012 Standard e </w:t>
      </w:r>
      <w:r w:rsidRPr="0058047D">
        <w:rPr>
          <w:rFonts w:eastAsia="Calibri" w:cs="Tahoma"/>
          <w:szCs w:val="18"/>
        </w:rPr>
        <w:t xml:space="preserve">utilizzarli al posto di SBS 2011 Premium. Per agevolare tale utilizzo, per ogni licenza Qualificante in suo possesso, alla società verrà concessa una licenza per Windows Server e una per SQL Server 2012 (secondo il modello Server/CAL), come illustrato nella tabella che segue. </w:t>
      </w:r>
    </w:p>
    <w:p w14:paraId="7020E308" w14:textId="77777777" w:rsidR="00C066B5" w:rsidRPr="0058047D" w:rsidRDefault="00C066B5" w:rsidP="00C066B5">
      <w:pPr>
        <w:ind w:left="720"/>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58047D" w14:paraId="4A561EB5"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8B2AA09" w14:textId="77777777" w:rsidR="00C066B5" w:rsidRPr="0058047D" w:rsidRDefault="00C066B5" w:rsidP="00FC0808">
            <w:pPr>
              <w:keepNext/>
              <w:spacing w:after="200" w:line="276" w:lineRule="auto"/>
              <w:rPr>
                <w:rFonts w:eastAsia="Calibri" w:cs="Tahoma"/>
                <w:szCs w:val="18"/>
              </w:rPr>
            </w:pPr>
            <w:r w:rsidRPr="0058047D">
              <w:rPr>
                <w:b/>
                <w:color w:val="000000"/>
              </w:rPr>
              <w:t>Licenze Qualificanti</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931E620" w14:textId="77777777" w:rsidR="00C066B5" w:rsidRPr="0058047D" w:rsidRDefault="00C066B5" w:rsidP="00FC0808">
            <w:pPr>
              <w:keepNext/>
              <w:spacing w:after="200" w:line="276" w:lineRule="auto"/>
              <w:rPr>
                <w:rFonts w:eastAsia="Calibri" w:cs="Tahoma"/>
                <w:szCs w:val="18"/>
              </w:rPr>
            </w:pPr>
            <w:r w:rsidRPr="0058047D">
              <w:rPr>
                <w:b/>
                <w:color w:val="000000"/>
              </w:rPr>
              <w:t>Concessione di Licenza</w:t>
            </w:r>
          </w:p>
        </w:tc>
      </w:tr>
      <w:tr w:rsidR="00C066B5" w:rsidRPr="0058047D" w14:paraId="25C02AA4"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64E4F1B9" w14:textId="77777777" w:rsidR="00C066B5" w:rsidRPr="0058047D" w:rsidRDefault="00C066B5" w:rsidP="00FC0808">
            <w:pPr>
              <w:keepNext/>
              <w:spacing w:line="276" w:lineRule="auto"/>
              <w:rPr>
                <w:rFonts w:eastAsia="Calibri" w:cs="Tahoma"/>
                <w:szCs w:val="18"/>
              </w:rPr>
            </w:pPr>
            <w:r w:rsidRPr="0058047D">
              <w:rPr>
                <w:rFonts w:eastAsia="Calibri" w:cs="Tahoma"/>
                <w:szCs w:val="18"/>
              </w:rPr>
              <w:t>SBS 2011 Premium Add-on con copertura Software Assurance fino al 31 luglio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3E1A3C98" w14:textId="77777777" w:rsidR="00C066B5" w:rsidRPr="0058047D" w:rsidRDefault="00C066B5" w:rsidP="00FC0808">
            <w:pPr>
              <w:keepNext/>
              <w:spacing w:line="276" w:lineRule="auto"/>
            </w:pPr>
            <w:r w:rsidRPr="0058047D">
              <w:rPr>
                <w:rFonts w:eastAsia="Calibri" w:cs="Tahoma"/>
                <w:szCs w:val="18"/>
              </w:rPr>
              <w:t xml:space="preserve">Windows Server 2008 R2 </w:t>
            </w:r>
          </w:p>
          <w:p w14:paraId="0F936CC3" w14:textId="77777777" w:rsidR="00C066B5" w:rsidRPr="0058047D" w:rsidRDefault="00C066B5" w:rsidP="00FC0808">
            <w:pPr>
              <w:keepNext/>
              <w:spacing w:line="276" w:lineRule="auto"/>
              <w:rPr>
                <w:rFonts w:eastAsia="Calibri" w:cs="Tahoma"/>
                <w:szCs w:val="18"/>
              </w:rPr>
            </w:pPr>
            <w:r w:rsidRPr="0058047D">
              <w:rPr>
                <w:rFonts w:eastAsia="Calibri" w:cs="Tahoma"/>
                <w:szCs w:val="18"/>
              </w:rPr>
              <w:t xml:space="preserve">SQL Server 2012 </w:t>
            </w:r>
          </w:p>
        </w:tc>
      </w:tr>
      <w:tr w:rsidR="00C066B5" w:rsidRPr="0058047D" w14:paraId="5A87E444"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58309916" w14:textId="77777777" w:rsidR="00C066B5" w:rsidRPr="0058047D" w:rsidRDefault="00C066B5" w:rsidP="00FC0808">
            <w:pPr>
              <w:keepNext/>
              <w:spacing w:line="276" w:lineRule="auto"/>
              <w:rPr>
                <w:rFonts w:eastAsia="Calibri" w:cs="Tahoma"/>
                <w:szCs w:val="18"/>
              </w:rPr>
            </w:pPr>
            <w:r w:rsidRPr="0058047D">
              <w:rPr>
                <w:rFonts w:eastAsia="Calibri" w:cs="Tahoma"/>
                <w:szCs w:val="18"/>
              </w:rPr>
              <w:t>SBS 2011 Premium Add-on con copertura Software Assurance in data 1 agosto 2012 o successiva</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5B6DD415" w14:textId="77777777" w:rsidR="00C066B5" w:rsidRPr="0058047D" w:rsidRDefault="00C066B5" w:rsidP="00FC0808">
            <w:pPr>
              <w:keepNext/>
              <w:spacing w:line="276" w:lineRule="auto"/>
            </w:pPr>
            <w:r w:rsidRPr="0058047D">
              <w:rPr>
                <w:rFonts w:eastAsia="Calibri" w:cs="Tahoma"/>
                <w:szCs w:val="18"/>
              </w:rPr>
              <w:t>Windows Server 2012 con Software Assurance</w:t>
            </w:r>
          </w:p>
          <w:p w14:paraId="1F6E0378" w14:textId="77777777" w:rsidR="00C066B5" w:rsidRPr="0058047D" w:rsidRDefault="00C066B5" w:rsidP="00FC0808">
            <w:pPr>
              <w:keepNext/>
              <w:spacing w:line="276" w:lineRule="auto"/>
              <w:rPr>
                <w:rFonts w:eastAsia="Calibri" w:cs="Tahoma"/>
                <w:szCs w:val="18"/>
              </w:rPr>
            </w:pPr>
            <w:r w:rsidRPr="0058047D">
              <w:rPr>
                <w:rFonts w:eastAsia="Calibri" w:cs="Tahoma"/>
                <w:szCs w:val="18"/>
              </w:rPr>
              <w:t>SQL Server 2012 con Software Assurance</w:t>
            </w:r>
          </w:p>
        </w:tc>
      </w:tr>
    </w:tbl>
    <w:p w14:paraId="2A4CDE18" w14:textId="77777777" w:rsidR="00C066B5" w:rsidRPr="0058047D" w:rsidRDefault="00C066B5" w:rsidP="00C066B5">
      <w:pPr>
        <w:pStyle w:val="ListParagraph"/>
        <w:spacing w:after="100" w:afterAutospacing="1"/>
      </w:pPr>
    </w:p>
    <w:p w14:paraId="61F10CF1" w14:textId="77777777" w:rsidR="00C066B5" w:rsidRPr="0058047D" w:rsidRDefault="00C066B5" w:rsidP="00C066B5">
      <w:pPr>
        <w:pStyle w:val="ListParagraph"/>
        <w:contextualSpacing w:val="0"/>
      </w:pPr>
      <w:r w:rsidRPr="0058047D">
        <w:rPr>
          <w:rFonts w:ascii="Tahoma" w:eastAsia="Calibri" w:hAnsi="Tahoma" w:cs="Tahoma"/>
          <w:sz w:val="18"/>
          <w:szCs w:val="18"/>
        </w:rPr>
        <w:t xml:space="preserve">La copertura Software Assurance inclusa nella suddetta concessione scade alla scadenza della corrispondente copertura per le Licenze Qualificanti. In via eccezionale, le società con copertura Software Assurance attiva per le Licenze Qualificanti in scadenza nel mese di </w:t>
      </w:r>
      <w:r w:rsidRPr="0058047D">
        <w:rPr>
          <w:rStyle w:val="CommentReference"/>
          <w:rFonts w:ascii="Tahoma" w:hAnsi="Tahoma"/>
          <w:sz w:val="18"/>
          <w:szCs w:val="18"/>
        </w:rPr>
        <w:t>agosto</w:t>
      </w:r>
      <w:r w:rsidRPr="0058047D">
        <w:rPr>
          <w:rFonts w:ascii="Tahoma" w:eastAsia="Calibri" w:hAnsi="Tahoma" w:cs="Tahoma"/>
          <w:sz w:val="18"/>
          <w:szCs w:val="18"/>
        </w:rPr>
        <w:t xml:space="preserve"> 2012 hanno la possibilità fino al 31 dicembre 2012 di rinnovare la copertura per le licenze ottenute ai sensi della presente offerta.</w:t>
      </w:r>
    </w:p>
    <w:p w14:paraId="778A6BAA" w14:textId="77777777" w:rsidR="00C066B5" w:rsidRPr="0058047D" w:rsidRDefault="00C066B5" w:rsidP="00C066B5">
      <w:pPr>
        <w:pStyle w:val="ListParagraph"/>
        <w:contextualSpacing w:val="0"/>
      </w:pPr>
    </w:p>
    <w:p w14:paraId="14514B1A" w14:textId="77777777" w:rsidR="00C066B5" w:rsidRPr="0058047D" w:rsidRDefault="00C066B5" w:rsidP="00C066B5">
      <w:pPr>
        <w:spacing w:line="276" w:lineRule="auto"/>
        <w:ind w:left="720"/>
      </w:pPr>
      <w:r w:rsidRPr="0058047D">
        <w:rPr>
          <w:color w:val="000000"/>
        </w:rPr>
        <w:t xml:space="preserve">Le società con copertura Software Assurance attiva per le Licenze Qualificanti in scadenza nel mese di luglio 2012 hanno la possibilità </w:t>
      </w:r>
      <w:r w:rsidRPr="0058047D">
        <w:rPr>
          <w:rFonts w:eastAsia="Calibri" w:cs="Tahoma"/>
          <w:szCs w:val="18"/>
        </w:rPr>
        <w:t>fino al 31 dicembre 2012 di acquistare la copertura per le licenze ricevute in concessione ai sensi della presente offerta.</w:t>
      </w:r>
    </w:p>
    <w:p w14:paraId="0DBADF1E" w14:textId="77777777" w:rsidR="00C066B5" w:rsidRPr="0058047D" w:rsidRDefault="00C066B5" w:rsidP="00C066B5">
      <w:pPr>
        <w:spacing w:line="276" w:lineRule="auto"/>
        <w:ind w:left="720"/>
      </w:pPr>
    </w:p>
    <w:p w14:paraId="550E3DFD" w14:textId="77777777" w:rsidR="00C066B5" w:rsidRPr="0058047D" w:rsidRDefault="00C066B5" w:rsidP="00C066B5">
      <w:pPr>
        <w:pStyle w:val="ListParagraph"/>
        <w:contextualSpacing w:val="0"/>
      </w:pPr>
      <w:r w:rsidRPr="0058047D">
        <w:rPr>
          <w:rFonts w:ascii="Tahoma" w:eastAsia="Calibri" w:hAnsi="Tahoma" w:cs="Tahoma"/>
          <w:sz w:val="18"/>
          <w:szCs w:val="18"/>
        </w:rPr>
        <w:t>Nel caso in cui le società abbiano acquistato diritti perpetui per utilizzare software ai sensi di Licenze Qualificanti, le licenze acquistate ai sensi della presente concessione saranno anch</w:t>
      </w:r>
      <w:r w:rsidR="001C4212">
        <w:rPr>
          <w:rFonts w:ascii="Tahoma" w:eastAsia="Calibri" w:hAnsi="Tahoma" w:cs="Tahoma"/>
          <w:sz w:val="18"/>
          <w:szCs w:val="18"/>
        </w:rPr>
        <w:t>’</w:t>
      </w:r>
      <w:r w:rsidRPr="0058047D">
        <w:rPr>
          <w:rFonts w:ascii="Tahoma" w:eastAsia="Calibri" w:hAnsi="Tahoma" w:cs="Tahoma"/>
          <w:sz w:val="18"/>
          <w:szCs w:val="18"/>
        </w:rPr>
        <w:t>esse perpetue; diversamente, le licenze acquistate ai sensi della presente concessione cesseranno alla scadenza delle Licenze Qualificanti sottostanti.</w:t>
      </w:r>
    </w:p>
    <w:p w14:paraId="1E6D06AD" w14:textId="77777777" w:rsidR="00C066B5" w:rsidRPr="0058047D" w:rsidRDefault="00C066B5" w:rsidP="00C066B5">
      <w:pPr>
        <w:pStyle w:val="ListParagraph"/>
        <w:contextualSpacing w:val="0"/>
      </w:pPr>
    </w:p>
    <w:p w14:paraId="57A5E6AD" w14:textId="77777777" w:rsidR="00C066B5" w:rsidRPr="0058047D" w:rsidRDefault="00C066B5" w:rsidP="00C066B5">
      <w:pPr>
        <w:pStyle w:val="ListParagraph"/>
        <w:contextualSpacing w:val="0"/>
      </w:pPr>
      <w:r w:rsidRPr="0058047D">
        <w:rPr>
          <w:rFonts w:ascii="Tahoma" w:eastAsia="Calibri" w:hAnsi="Tahoma" w:cs="Tahoma"/>
          <w:sz w:val="18"/>
          <w:szCs w:val="18"/>
        </w:rPr>
        <w:t>Per ogni Licenza Qualificante acquistata ai sensi del contratto Open Value Subscription, una società potrà eseguire il buy-out di una licenza per SBS 2011 Premium Add-on come indicato o di:</w:t>
      </w:r>
    </w:p>
    <w:p w14:paraId="128F4DCC" w14:textId="77777777" w:rsidR="00C066B5" w:rsidRPr="0058047D" w:rsidRDefault="00C066B5" w:rsidP="00C066B5">
      <w:pPr>
        <w:pStyle w:val="ListParagraph"/>
        <w:contextualSpacing w:val="0"/>
      </w:pPr>
    </w:p>
    <w:p w14:paraId="1EA84182" w14:textId="77777777" w:rsidR="00C066B5" w:rsidRPr="0058047D" w:rsidRDefault="00C066B5" w:rsidP="00C066B5">
      <w:pPr>
        <w:pStyle w:val="ListParagraph"/>
        <w:numPr>
          <w:ilvl w:val="1"/>
          <w:numId w:val="100"/>
        </w:numPr>
        <w:tabs>
          <w:tab w:val="clear" w:pos="1440"/>
        </w:tabs>
        <w:spacing w:after="60"/>
        <w:contextualSpacing w:val="0"/>
      </w:pPr>
      <w:r w:rsidRPr="0058047D">
        <w:rPr>
          <w:rFonts w:ascii="Tahoma" w:eastAsia="Calibri" w:hAnsi="Tahoma" w:cs="Tahoma"/>
          <w:sz w:val="18"/>
          <w:szCs w:val="18"/>
        </w:rPr>
        <w:t>Una licenza per Windows Server 2012 Standard e una per SQL Server 2012 Standard (ricevute in</w:t>
      </w:r>
      <w:r w:rsidR="006B4FA4">
        <w:rPr>
          <w:rFonts w:ascii="Tahoma" w:eastAsia="Calibri" w:hAnsi="Tahoma" w:cs="Tahoma"/>
          <w:sz w:val="18"/>
          <w:szCs w:val="18"/>
        </w:rPr>
        <w:t> </w:t>
      </w:r>
      <w:r w:rsidRPr="0058047D">
        <w:rPr>
          <w:rFonts w:ascii="Tahoma" w:eastAsia="Calibri" w:hAnsi="Tahoma" w:cs="Tahoma"/>
          <w:sz w:val="18"/>
          <w:szCs w:val="18"/>
        </w:rPr>
        <w:t>licenza secondo il modello Server/CAL) per i contratti in scadenza in data 1 agosto 2012 o successiva oppure</w:t>
      </w:r>
    </w:p>
    <w:p w14:paraId="37E5ED1F" w14:textId="77777777" w:rsidR="00C066B5" w:rsidRPr="0058047D" w:rsidRDefault="00C066B5" w:rsidP="00C066B5">
      <w:pPr>
        <w:pStyle w:val="ListParagraph"/>
        <w:numPr>
          <w:ilvl w:val="1"/>
          <w:numId w:val="100"/>
        </w:numPr>
        <w:tabs>
          <w:tab w:val="clear" w:pos="1440"/>
        </w:tabs>
        <w:spacing w:after="60"/>
        <w:contextualSpacing w:val="0"/>
      </w:pPr>
      <w:r w:rsidRPr="0058047D">
        <w:rPr>
          <w:rFonts w:ascii="Tahoma" w:eastAsia="Calibri" w:hAnsi="Tahoma" w:cs="Tahoma"/>
          <w:sz w:val="18"/>
          <w:szCs w:val="18"/>
        </w:rPr>
        <w:t>Una licenza per Windows Server 2008 R2 Standard e una per SQL Server 2012 Standard (ricevute in licenza secondo il modello Server/CAL) per i contratti in scadenza nel mese di luglio 2012.</w:t>
      </w:r>
    </w:p>
    <w:p w14:paraId="0AC69063" w14:textId="77777777" w:rsidR="00FE6686" w:rsidRPr="0058047D" w:rsidRDefault="00FE6686" w:rsidP="00C066B5">
      <w:pPr>
        <w:spacing w:line="276" w:lineRule="auto"/>
        <w:ind w:left="720"/>
      </w:pPr>
    </w:p>
    <w:p w14:paraId="7E9DDC6F" w14:textId="77777777" w:rsidR="00C066B5" w:rsidRPr="0058047D" w:rsidRDefault="00C066B5" w:rsidP="00C066B5">
      <w:pPr>
        <w:spacing w:line="276" w:lineRule="auto"/>
        <w:ind w:left="720"/>
      </w:pPr>
      <w:r w:rsidRPr="0058047D">
        <w:rPr>
          <w:rFonts w:eastAsia="Calibri" w:cs="Tahoma"/>
          <w:szCs w:val="18"/>
        </w:rPr>
        <w:t>Eseguendo l</w:t>
      </w:r>
      <w:r w:rsidR="001C4212">
        <w:rPr>
          <w:rFonts w:eastAsia="Calibri" w:cs="Tahoma"/>
          <w:szCs w:val="18"/>
        </w:rPr>
        <w:t>’</w:t>
      </w:r>
      <w:r w:rsidRPr="0058047D">
        <w:rPr>
          <w:rFonts w:eastAsia="Calibri" w:cs="Tahoma"/>
          <w:szCs w:val="18"/>
        </w:rPr>
        <w:t>aggiornamento a Windows Server Standard e a SQL Server 2012 Standard ai sensi della presente concessione, le Licenze Qualificanti in essere per SBS Premium Add-on non saranno più valide.</w:t>
      </w:r>
    </w:p>
    <w:p w14:paraId="091E908E" w14:textId="77777777" w:rsidR="00C066B5" w:rsidRPr="0058047D" w:rsidRDefault="00C066B5" w:rsidP="00C066B5">
      <w:pPr>
        <w:spacing w:line="276" w:lineRule="auto"/>
        <w:ind w:left="720"/>
      </w:pPr>
    </w:p>
    <w:p w14:paraId="749C3F5F" w14:textId="77777777" w:rsidR="00C066B5" w:rsidRPr="0058047D" w:rsidRDefault="00C066B5" w:rsidP="00C066B5">
      <w:pPr>
        <w:spacing w:line="276" w:lineRule="auto"/>
        <w:ind w:left="720"/>
      </w:pPr>
      <w:r w:rsidRPr="0058047D">
        <w:rPr>
          <w:rFonts w:eastAsia="Calibri" w:cs="Tahoma"/>
          <w:szCs w:val="18"/>
        </w:rPr>
        <w:t>Le licenze Premium Add-on per SBS 2011, acquistate successivamente nello stesso periodo di validità dell</w:t>
      </w:r>
      <w:r w:rsidR="001C4212">
        <w:rPr>
          <w:rFonts w:eastAsia="Calibri" w:cs="Tahoma"/>
          <w:szCs w:val="18"/>
        </w:rPr>
        <w:t>’</w:t>
      </w:r>
      <w:r w:rsidRPr="0058047D">
        <w:rPr>
          <w:rFonts w:eastAsia="Calibri" w:cs="Tahoma"/>
          <w:szCs w:val="18"/>
        </w:rPr>
        <w:t>iscrizione nell</w:t>
      </w:r>
      <w:r w:rsidR="001C4212">
        <w:rPr>
          <w:rFonts w:eastAsia="Calibri" w:cs="Tahoma"/>
          <w:szCs w:val="18"/>
        </w:rPr>
        <w:t>’</w:t>
      </w:r>
      <w:r w:rsidRPr="0058047D">
        <w:rPr>
          <w:rFonts w:eastAsia="Calibri" w:cs="Tahoma"/>
          <w:szCs w:val="18"/>
        </w:rPr>
        <w:t>ambito di una procedura pianificata di true-up di una società Open Value Subscription o Enrollment for Education Solutions, sono anch</w:t>
      </w:r>
      <w:r w:rsidR="001C4212">
        <w:rPr>
          <w:rFonts w:eastAsia="Calibri" w:cs="Tahoma"/>
          <w:szCs w:val="18"/>
        </w:rPr>
        <w:t>’</w:t>
      </w:r>
      <w:r w:rsidRPr="0058047D">
        <w:rPr>
          <w:rFonts w:eastAsia="Calibri" w:cs="Tahoma"/>
          <w:szCs w:val="18"/>
        </w:rPr>
        <w:t>esse Licenze Qualificanti per gli scopi previsti dalla suddetta concessione.</w:t>
      </w:r>
    </w:p>
    <w:p w14:paraId="29380AA9" w14:textId="77777777" w:rsidR="00C066B5" w:rsidRDefault="00C066B5" w:rsidP="000F0F4D">
      <w:pPr>
        <w:ind w:left="900"/>
      </w:pPr>
    </w:p>
    <w:p w14:paraId="65FDC5A4" w14:textId="77777777" w:rsidR="002D0340" w:rsidRDefault="002D0340" w:rsidP="000F0F4D">
      <w:pPr>
        <w:ind w:left="900"/>
      </w:pPr>
    </w:p>
    <w:p w14:paraId="53941306" w14:textId="77777777" w:rsidR="002D0340" w:rsidRDefault="002D0340" w:rsidP="000F0F4D">
      <w:pPr>
        <w:ind w:left="900"/>
      </w:pPr>
    </w:p>
    <w:p w14:paraId="72AA9CFA" w14:textId="77777777" w:rsidR="002D0340" w:rsidRDefault="002D0340" w:rsidP="000F0F4D">
      <w:pPr>
        <w:ind w:left="900"/>
      </w:pPr>
    </w:p>
    <w:p w14:paraId="16550DD2" w14:textId="77777777" w:rsidR="002D0340" w:rsidRDefault="002D0340" w:rsidP="000F0F4D">
      <w:pPr>
        <w:ind w:left="900"/>
      </w:pPr>
    </w:p>
    <w:p w14:paraId="57FFF373" w14:textId="77777777" w:rsidR="002D0340" w:rsidRPr="0058047D" w:rsidRDefault="002D0340" w:rsidP="000F0F4D">
      <w:pPr>
        <w:ind w:left="900"/>
      </w:pPr>
    </w:p>
    <w:p w14:paraId="112B6B88" w14:textId="77777777" w:rsidR="00C066B5" w:rsidRPr="0058047D" w:rsidRDefault="00C066B5" w:rsidP="000F0F4D">
      <w:pPr>
        <w:ind w:left="900"/>
      </w:pPr>
    </w:p>
    <w:p w14:paraId="49C8F156" w14:textId="77777777" w:rsidR="00E06578" w:rsidRPr="0058047D" w:rsidRDefault="00A560B6" w:rsidP="00EF2279">
      <w:pPr>
        <w:pStyle w:val="Heading2"/>
        <w:ind w:left="0"/>
      </w:pPr>
      <w:bookmarkStart w:id="1653" w:name="_124_Windows_Small"/>
      <w:bookmarkStart w:id="1654" w:name="_112_Windows_Small"/>
      <w:bookmarkStart w:id="1655" w:name="_117_Windows_Small"/>
      <w:bookmarkStart w:id="1656" w:name="_119_CAL_Suite"/>
      <w:bookmarkStart w:id="1657" w:name="_Toc336338380"/>
      <w:bookmarkStart w:id="1658" w:name="_Toc371663772"/>
      <w:bookmarkEnd w:id="1653"/>
      <w:bookmarkEnd w:id="1654"/>
      <w:bookmarkEnd w:id="1655"/>
      <w:bookmarkEnd w:id="1656"/>
      <w:r w:rsidRPr="0058047D">
        <w:rPr>
          <w:rFonts w:ascii="Tahoma" w:hAnsi="Tahoma" w:cs="Tahoma"/>
          <w:caps/>
          <w:color w:val="EE6000"/>
          <w:sz w:val="22"/>
          <w:szCs w:val="18"/>
          <w:vertAlign w:val="superscript"/>
        </w:rPr>
        <w:t>119</w:t>
      </w:r>
      <w:r w:rsidRPr="0058047D">
        <w:rPr>
          <w:rFonts w:ascii="Tahoma" w:hAnsi="Tahoma" w:cs="Tahoma"/>
          <w:color w:val="EE6000"/>
          <w:sz w:val="22"/>
          <w:szCs w:val="18"/>
        </w:rPr>
        <w:t xml:space="preserve"> </w:t>
      </w:r>
      <w:r w:rsidRPr="0058047D">
        <w:rPr>
          <w:rFonts w:ascii="Tahoma" w:hAnsi="Tahoma" w:cs="Tahoma"/>
          <w:color w:val="F8701C"/>
          <w:sz w:val="22"/>
          <w:szCs w:val="22"/>
        </w:rPr>
        <w:t>CAL Suite per Windows Small Business Server (SBS) 2011 Premium Add-on</w:t>
      </w:r>
      <w:bookmarkEnd w:id="1657"/>
      <w:bookmarkEnd w:id="1658"/>
    </w:p>
    <w:p w14:paraId="3CDF3B2C" w14:textId="77777777" w:rsidR="00E06578" w:rsidRPr="0058047D" w:rsidRDefault="00E06578" w:rsidP="00910113">
      <w:pPr>
        <w:ind w:left="720"/>
      </w:pPr>
    </w:p>
    <w:p w14:paraId="5AEDD309" w14:textId="77777777" w:rsidR="00910113" w:rsidRPr="0058047D" w:rsidRDefault="00836655" w:rsidP="00910113">
      <w:pPr>
        <w:spacing w:after="60"/>
        <w:ind w:left="720"/>
      </w:pPr>
      <w:r w:rsidRPr="0058047D">
        <w:rPr>
          <w:b/>
          <w:color w:val="000000"/>
        </w:rPr>
        <w:t>Concessioni di licenza associate alla fine del ciclo di vita della Premium Add-on CAL Suite per SBS 2011</w:t>
      </w:r>
    </w:p>
    <w:p w14:paraId="70C5E81E" w14:textId="77777777" w:rsidR="002512D3" w:rsidRPr="0058047D" w:rsidRDefault="00836655" w:rsidP="002D0340">
      <w:pPr>
        <w:ind w:left="720"/>
      </w:pPr>
      <w:r w:rsidRPr="0058047D">
        <w:t xml:space="preserve">Le società con copertura Software Assurance attiva per la Premium Add-on CAL Suite per SBS 2011 (“Licenze CAL Qualificanti”) sono idonee ad accedere al software Windows Server Standard e SQL Server 2012 Standard. Per ogni Premium Add-on CAL Suite per SBS 2011 qualificante in suo possesso in data 1 agosto 2012, alla società verrà concessa una licenza CAL per Windows Server 2012 e una licenza CAL per SQL Server 2012 con copertura Software Assurance. </w:t>
      </w:r>
      <w:r w:rsidRPr="0058047D">
        <w:rPr>
          <w:rFonts w:eastAsia="Calibri" w:cs="Tahoma"/>
          <w:szCs w:val="18"/>
        </w:rPr>
        <w:t>Per agevolare tale utilizzo, per ogni Licenza Qualificante in suo possesso, alla società verrà concessa una licenza CAL per Windows Server e una per SQL</w:t>
      </w:r>
      <w:r w:rsidR="002D0340">
        <w:rPr>
          <w:rFonts w:eastAsia="Calibri" w:cs="Tahoma"/>
          <w:szCs w:val="18"/>
        </w:rPr>
        <w:t> </w:t>
      </w:r>
      <w:r w:rsidRPr="0058047D">
        <w:rPr>
          <w:rFonts w:eastAsia="Calibri" w:cs="Tahoma"/>
          <w:szCs w:val="18"/>
        </w:rPr>
        <w:t xml:space="preserve">Server 2012 (secondo il modello Server/SQL), come illustrato nella tabella che segue. </w:t>
      </w:r>
    </w:p>
    <w:p w14:paraId="7366BDA8" w14:textId="77777777" w:rsidR="00836655" w:rsidRPr="0058047D" w:rsidRDefault="00836655" w:rsidP="00910113">
      <w:pPr>
        <w:ind w:left="720"/>
      </w:pPr>
    </w:p>
    <w:p w14:paraId="4786D27D" w14:textId="77777777" w:rsidR="00910113" w:rsidRPr="0058047D" w:rsidRDefault="00910113" w:rsidP="00910113">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1"/>
        <w:gridCol w:w="4661"/>
      </w:tblGrid>
      <w:tr w:rsidR="00836655" w:rsidRPr="0058047D" w14:paraId="40010A86"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A45D403" w14:textId="77777777" w:rsidR="00836655" w:rsidRPr="0058047D" w:rsidRDefault="00836655" w:rsidP="000A5032">
            <w:pPr>
              <w:spacing w:after="200" w:line="276" w:lineRule="auto"/>
              <w:rPr>
                <w:rFonts w:eastAsia="Calibri" w:cs="Tahoma"/>
                <w:szCs w:val="18"/>
              </w:rPr>
            </w:pPr>
            <w:r w:rsidRPr="0058047D">
              <w:rPr>
                <w:b/>
                <w:color w:val="000000"/>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3E33F53" w14:textId="77777777" w:rsidR="00836655" w:rsidRPr="0058047D" w:rsidRDefault="00836655" w:rsidP="000A5032">
            <w:pPr>
              <w:spacing w:after="200" w:line="276" w:lineRule="auto"/>
              <w:rPr>
                <w:rFonts w:eastAsia="Calibri" w:cs="Tahoma"/>
                <w:szCs w:val="18"/>
              </w:rPr>
            </w:pPr>
            <w:r w:rsidRPr="0058047D">
              <w:rPr>
                <w:b/>
                <w:color w:val="000000"/>
              </w:rPr>
              <w:t>Concessione di Licenza</w:t>
            </w:r>
          </w:p>
        </w:tc>
      </w:tr>
      <w:tr w:rsidR="00836655" w:rsidRPr="0058047D" w14:paraId="60215554"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02FD9970" w14:textId="77777777" w:rsidR="00836655" w:rsidRPr="0058047D" w:rsidRDefault="00836655" w:rsidP="00CA14C9">
            <w:pPr>
              <w:spacing w:line="276" w:lineRule="auto"/>
              <w:rPr>
                <w:rFonts w:eastAsia="Calibri" w:cs="Tahoma"/>
                <w:szCs w:val="18"/>
              </w:rPr>
            </w:pPr>
            <w:r w:rsidRPr="0058047D">
              <w:rPr>
                <w:rFonts w:eastAsia="Calibri" w:cs="Tahoma"/>
                <w:szCs w:val="18"/>
              </w:rPr>
              <w:t>CAL Suite per SBS 2011 Premium Add-on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5F42099" w14:textId="77777777" w:rsidR="00836655" w:rsidRPr="0058047D" w:rsidRDefault="00836655" w:rsidP="00CA14C9">
            <w:pPr>
              <w:spacing w:line="276" w:lineRule="auto"/>
            </w:pPr>
            <w:r w:rsidRPr="0058047D">
              <w:rPr>
                <w:rFonts w:eastAsia="Calibri" w:cs="Tahoma"/>
                <w:szCs w:val="18"/>
              </w:rPr>
              <w:t>Licenza CAL per Windows Server 2008 R2</w:t>
            </w:r>
          </w:p>
          <w:p w14:paraId="11936F4B" w14:textId="77777777" w:rsidR="00836655" w:rsidRPr="0058047D" w:rsidRDefault="00836655" w:rsidP="00CA14C9">
            <w:pPr>
              <w:spacing w:line="276" w:lineRule="auto"/>
              <w:rPr>
                <w:rFonts w:eastAsia="Calibri" w:cs="Tahoma"/>
                <w:szCs w:val="18"/>
              </w:rPr>
            </w:pPr>
            <w:r w:rsidRPr="0058047D">
              <w:rPr>
                <w:rFonts w:eastAsia="Calibri" w:cs="Tahoma"/>
                <w:szCs w:val="18"/>
              </w:rPr>
              <w:t>Licenza CAL per SQL Server 2012</w:t>
            </w:r>
          </w:p>
        </w:tc>
      </w:tr>
      <w:tr w:rsidR="00836655" w:rsidRPr="0058047D" w14:paraId="3F01BB73"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79D3637C" w14:textId="77777777" w:rsidR="00836655" w:rsidRPr="0058047D" w:rsidRDefault="00836655" w:rsidP="00CA14C9">
            <w:pPr>
              <w:spacing w:line="276" w:lineRule="auto"/>
              <w:rPr>
                <w:rFonts w:eastAsia="Calibri" w:cs="Tahoma"/>
                <w:szCs w:val="18"/>
              </w:rPr>
            </w:pPr>
            <w:r w:rsidRPr="0058047D">
              <w:rPr>
                <w:rFonts w:eastAsia="Calibri" w:cs="Tahoma"/>
                <w:szCs w:val="18"/>
              </w:rPr>
              <w:t>CAL Suite per SBS 2011 Premium Add-on con copertura Software Assurance in data 1 agosto 2012 o successiva</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3D9C826F" w14:textId="77777777" w:rsidR="00836655" w:rsidRPr="0058047D" w:rsidRDefault="00836655" w:rsidP="00CA14C9">
            <w:pPr>
              <w:spacing w:line="276" w:lineRule="auto"/>
            </w:pPr>
            <w:r w:rsidRPr="0058047D">
              <w:rPr>
                <w:rFonts w:eastAsia="Calibri" w:cs="Tahoma"/>
                <w:szCs w:val="18"/>
              </w:rPr>
              <w:t>Licenza CAL per Windows Server 2012 con Software Assurance</w:t>
            </w:r>
          </w:p>
          <w:p w14:paraId="3844B5DD" w14:textId="77777777" w:rsidR="00836655" w:rsidRPr="0058047D" w:rsidRDefault="00836655" w:rsidP="00CA14C9">
            <w:pPr>
              <w:spacing w:line="276" w:lineRule="auto"/>
              <w:rPr>
                <w:rFonts w:eastAsia="Calibri" w:cs="Tahoma"/>
                <w:szCs w:val="18"/>
              </w:rPr>
            </w:pPr>
            <w:r w:rsidRPr="0058047D">
              <w:rPr>
                <w:rFonts w:eastAsia="Calibri" w:cs="Tahoma"/>
                <w:szCs w:val="18"/>
              </w:rPr>
              <w:t>Licenza CAL per SQL Server 2012 con Software Assurance</w:t>
            </w:r>
          </w:p>
        </w:tc>
      </w:tr>
    </w:tbl>
    <w:p w14:paraId="4080EE4A" w14:textId="77777777" w:rsidR="00836655" w:rsidRPr="0058047D" w:rsidRDefault="00836655" w:rsidP="00910113">
      <w:r w:rsidRPr="0058047D">
        <w:rPr>
          <w:rFonts w:eastAsia="Calibri" w:cs="Tahoma"/>
          <w:szCs w:val="18"/>
        </w:rPr>
        <w:t xml:space="preserve"> </w:t>
      </w:r>
    </w:p>
    <w:p w14:paraId="2D42599C" w14:textId="77777777" w:rsidR="00836655" w:rsidRPr="0058047D" w:rsidRDefault="00836655" w:rsidP="00910113">
      <w:pPr>
        <w:pStyle w:val="ListParagraph"/>
        <w:contextualSpacing w:val="0"/>
      </w:pPr>
      <w:r w:rsidRPr="0058047D">
        <w:rPr>
          <w:rFonts w:ascii="Tahoma" w:eastAsia="Calibri" w:hAnsi="Tahoma" w:cs="Tahoma"/>
          <w:sz w:val="18"/>
          <w:szCs w:val="18"/>
        </w:rPr>
        <w:t>La copertura Software Assurance inclusa nella suddetta concessione scade alla scadenza della corrispondente copertura per le CAL Qualificanti. In via eccezionale, le società con copertura Software Assurance attiva per le CAL Qualificanti in scadenza nel mese di agosto 2012 hanno la possibilità fino al 31 dicembre 2012 di rinnovare la copertura per le CAL ricevute in concessione ai sensi della presente offerta.</w:t>
      </w:r>
      <w:r w:rsidR="00E34ED3" w:rsidRPr="0058047D">
        <w:rPr>
          <w:rFonts w:ascii="Tahoma" w:eastAsia="Calibri" w:hAnsi="Tahoma" w:cs="Tahoma"/>
          <w:sz w:val="18"/>
          <w:szCs w:val="18"/>
        </w:rPr>
        <w:t xml:space="preserve"> </w:t>
      </w:r>
      <w:r w:rsidRPr="0058047D">
        <w:rPr>
          <w:rFonts w:ascii="Tahoma" w:eastAsia="Calibri" w:hAnsi="Tahoma" w:cs="Tahoma"/>
          <w:sz w:val="18"/>
          <w:szCs w:val="18"/>
        </w:rPr>
        <w:t>Le società con copertura Software Assurance attiva per le Licenze CAL Qualificanti in scadenza nel mese di luglio 2012 hanno la possibilità fino al 31 dicembre 2012 di acquistare la copertura per le Licenze CAL ricevute in concessione ai sensi della presente offerta.</w:t>
      </w:r>
    </w:p>
    <w:p w14:paraId="65748F82" w14:textId="77777777" w:rsidR="00910113" w:rsidRPr="00FE6686" w:rsidRDefault="00910113" w:rsidP="00910113">
      <w:pPr>
        <w:pStyle w:val="ListParagraph"/>
        <w:contextualSpacing w:val="0"/>
        <w:rPr>
          <w:rFonts w:ascii="Tahoma" w:hAnsi="Tahoma" w:cs="Tahoma"/>
          <w:sz w:val="18"/>
          <w:szCs w:val="18"/>
        </w:rPr>
      </w:pPr>
    </w:p>
    <w:p w14:paraId="43B26643" w14:textId="77777777" w:rsidR="00836655" w:rsidRPr="0058047D" w:rsidRDefault="00836655" w:rsidP="00910113">
      <w:pPr>
        <w:pStyle w:val="ListParagraph"/>
        <w:contextualSpacing w:val="0"/>
      </w:pPr>
      <w:r w:rsidRPr="0058047D">
        <w:rPr>
          <w:rFonts w:ascii="Tahoma" w:eastAsia="Calibri" w:hAnsi="Tahoma" w:cs="Tahoma"/>
          <w:sz w:val="18"/>
          <w:szCs w:val="18"/>
        </w:rPr>
        <w:t>Nel caso in cui le società abbiano acquistato diritti perpetui previsti dalle CAL qualificanti, le CAL acquistate ai sensi della presente concessione saranno anch</w:t>
      </w:r>
      <w:r w:rsidR="001C4212">
        <w:rPr>
          <w:rFonts w:ascii="Tahoma" w:eastAsia="Calibri" w:hAnsi="Tahoma" w:cs="Tahoma"/>
          <w:sz w:val="18"/>
          <w:szCs w:val="18"/>
        </w:rPr>
        <w:t>’</w:t>
      </w:r>
      <w:r w:rsidRPr="0058047D">
        <w:rPr>
          <w:rFonts w:ascii="Tahoma" w:eastAsia="Calibri" w:hAnsi="Tahoma" w:cs="Tahoma"/>
          <w:sz w:val="18"/>
          <w:szCs w:val="18"/>
        </w:rPr>
        <w:t>esse perpetue; diversamente, le CAL acquistate ai sensi della presente concessione cesseranno alla scadenza delle CAL Qualificanti sottostanti.</w:t>
      </w:r>
    </w:p>
    <w:p w14:paraId="2E09F1BB" w14:textId="77777777" w:rsidR="00910113" w:rsidRPr="0058047D" w:rsidRDefault="00910113" w:rsidP="00910113">
      <w:pPr>
        <w:pStyle w:val="ListParagraph"/>
        <w:contextualSpacing w:val="0"/>
      </w:pPr>
    </w:p>
    <w:p w14:paraId="4E8B6128" w14:textId="77777777" w:rsidR="00836655" w:rsidRPr="0058047D" w:rsidRDefault="00836655" w:rsidP="00910113">
      <w:pPr>
        <w:pStyle w:val="ListParagraph"/>
        <w:contextualSpacing w:val="0"/>
      </w:pPr>
      <w:r w:rsidRPr="0058047D">
        <w:rPr>
          <w:rFonts w:ascii="Tahoma" w:eastAsia="Calibri" w:hAnsi="Tahoma" w:cs="Tahoma"/>
          <w:sz w:val="18"/>
          <w:szCs w:val="18"/>
        </w:rPr>
        <w:t>Per ogni CAL Qualificante acquistata ai sensi del contratto Open Value Subscription, una società potrà eseguire il buy-out di una CAL Suite per SBS 2011 Premium Add-on come indicato o di:</w:t>
      </w:r>
    </w:p>
    <w:p w14:paraId="541B2DA5" w14:textId="77777777" w:rsidR="00910113" w:rsidRPr="00FE6686" w:rsidRDefault="00910113" w:rsidP="00910113">
      <w:pPr>
        <w:pStyle w:val="ListParagraph"/>
        <w:contextualSpacing w:val="0"/>
        <w:rPr>
          <w:rFonts w:ascii="Tahoma" w:hAnsi="Tahoma" w:cs="Tahoma"/>
          <w:sz w:val="18"/>
          <w:szCs w:val="18"/>
        </w:rPr>
      </w:pPr>
    </w:p>
    <w:p w14:paraId="31B30548" w14:textId="77777777" w:rsidR="00836655" w:rsidRPr="0058047D" w:rsidRDefault="00836655" w:rsidP="00346F4B">
      <w:pPr>
        <w:pStyle w:val="ListParagraph"/>
        <w:numPr>
          <w:ilvl w:val="1"/>
          <w:numId w:val="100"/>
        </w:numPr>
        <w:tabs>
          <w:tab w:val="clear" w:pos="1440"/>
        </w:tabs>
        <w:spacing w:after="60"/>
        <w:ind w:hanging="274"/>
        <w:contextualSpacing w:val="0"/>
      </w:pPr>
      <w:r w:rsidRPr="0058047D">
        <w:rPr>
          <w:rFonts w:ascii="Tahoma" w:eastAsia="Calibri" w:hAnsi="Tahoma" w:cs="Tahoma"/>
          <w:sz w:val="18"/>
          <w:szCs w:val="18"/>
        </w:rPr>
        <w:t>Una Licenza CAL per Windows Server 2012 e una per SQL Server 2012 per i contratti in scadenza in data 1 agosto 2012 o successiva oppure</w:t>
      </w:r>
    </w:p>
    <w:p w14:paraId="3BDE7C0A" w14:textId="77777777" w:rsidR="00836655" w:rsidRPr="0058047D" w:rsidRDefault="00836655" w:rsidP="00346F4B">
      <w:pPr>
        <w:pStyle w:val="ListParagraph"/>
        <w:numPr>
          <w:ilvl w:val="1"/>
          <w:numId w:val="100"/>
        </w:numPr>
        <w:tabs>
          <w:tab w:val="clear" w:pos="1440"/>
        </w:tabs>
        <w:spacing w:after="60"/>
        <w:ind w:hanging="274"/>
        <w:contextualSpacing w:val="0"/>
      </w:pPr>
      <w:r w:rsidRPr="0058047D">
        <w:rPr>
          <w:rFonts w:ascii="Tahoma" w:eastAsia="Calibri" w:hAnsi="Tahoma" w:cs="Tahoma"/>
          <w:sz w:val="18"/>
          <w:szCs w:val="18"/>
        </w:rPr>
        <w:t>Una Licenza CAL per Windows Server 2008 e una per SQL Server 2012 per i contratti in scadenza nel mese di luglio 2012.</w:t>
      </w:r>
    </w:p>
    <w:p w14:paraId="61496026" w14:textId="77777777" w:rsidR="00910113" w:rsidRDefault="00910113" w:rsidP="00910113">
      <w:pPr>
        <w:pStyle w:val="ListParagraph"/>
        <w:ind w:left="1800"/>
        <w:contextualSpacing w:val="0"/>
        <w:rPr>
          <w:rFonts w:ascii="Tahoma" w:hAnsi="Tahoma" w:cs="Tahoma"/>
          <w:sz w:val="18"/>
          <w:szCs w:val="18"/>
        </w:rPr>
      </w:pPr>
    </w:p>
    <w:p w14:paraId="56FA8DCF" w14:textId="77777777" w:rsidR="00836655" w:rsidRPr="0058047D" w:rsidRDefault="00836655" w:rsidP="00910113">
      <w:pPr>
        <w:ind w:left="720"/>
      </w:pPr>
      <w:r w:rsidRPr="0058047D">
        <w:rPr>
          <w:rFonts w:eastAsia="Calibri" w:cs="Tahoma"/>
          <w:szCs w:val="18"/>
        </w:rPr>
        <w:t>Utilizzando le Licenze CAL per Windows Server 2012 e le Licenze CAL per SQL Server 2012 ai sensi della presente concessione, le Premium Add-on CAL Suite Qualificanti per SBS delle società in essere non saranno più valide.</w:t>
      </w:r>
    </w:p>
    <w:p w14:paraId="651F2FA4" w14:textId="77777777" w:rsidR="00910113" w:rsidRPr="0058047D" w:rsidRDefault="00910113" w:rsidP="00910113">
      <w:pPr>
        <w:ind w:left="720"/>
      </w:pPr>
    </w:p>
    <w:p w14:paraId="78738090" w14:textId="77777777" w:rsidR="00836655" w:rsidRPr="0058047D" w:rsidRDefault="00836655" w:rsidP="00910113">
      <w:pPr>
        <w:ind w:left="720"/>
      </w:pPr>
      <w:r w:rsidRPr="0058047D">
        <w:t xml:space="preserve">Le licenze </w:t>
      </w:r>
      <w:r w:rsidRPr="0058047D">
        <w:rPr>
          <w:color w:val="000000"/>
        </w:rPr>
        <w:t>Premium Add-on CAL Suite per SBS 2011</w:t>
      </w:r>
      <w:r w:rsidRPr="0058047D">
        <w:rPr>
          <w:rFonts w:cs="Tahoma"/>
          <w:bCs/>
          <w:color w:val="000000"/>
          <w:szCs w:val="18"/>
        </w:rPr>
        <w:t>, acquistate successivamente nello stesso periodo di validità dell</w:t>
      </w:r>
      <w:r w:rsidR="001C4212">
        <w:rPr>
          <w:rFonts w:cs="Tahoma"/>
          <w:bCs/>
          <w:color w:val="000000"/>
          <w:szCs w:val="18"/>
        </w:rPr>
        <w:t>’</w:t>
      </w:r>
      <w:r w:rsidRPr="0058047D">
        <w:rPr>
          <w:rFonts w:cs="Tahoma"/>
          <w:bCs/>
          <w:color w:val="000000"/>
          <w:szCs w:val="18"/>
        </w:rPr>
        <w:t>iscrizione nell</w:t>
      </w:r>
      <w:r w:rsidR="001C4212">
        <w:rPr>
          <w:rFonts w:cs="Tahoma"/>
          <w:bCs/>
          <w:color w:val="000000"/>
          <w:szCs w:val="18"/>
        </w:rPr>
        <w:t>’</w:t>
      </w:r>
      <w:r w:rsidRPr="0058047D">
        <w:rPr>
          <w:rFonts w:cs="Tahoma"/>
          <w:bCs/>
          <w:color w:val="000000"/>
          <w:szCs w:val="18"/>
        </w:rPr>
        <w:t>ambito di una procedura pianificata di true-up di una società Open Value Subscription o Enrollment for Education Solutions, sono anch</w:t>
      </w:r>
      <w:r w:rsidR="001C4212">
        <w:rPr>
          <w:rFonts w:cs="Tahoma"/>
          <w:bCs/>
          <w:color w:val="000000"/>
          <w:szCs w:val="18"/>
        </w:rPr>
        <w:t>’</w:t>
      </w:r>
      <w:r w:rsidRPr="0058047D">
        <w:rPr>
          <w:rFonts w:cs="Tahoma"/>
          <w:bCs/>
          <w:color w:val="000000"/>
          <w:szCs w:val="18"/>
        </w:rPr>
        <w:t>esse Licenze CAL Qualificanti per gli scopi previsti dalla suddetta concessione.</w:t>
      </w:r>
      <w:r w:rsidRPr="0058047D">
        <w:rPr>
          <w:rFonts w:eastAsia="Calibri" w:cs="Tahoma"/>
          <w:szCs w:val="18"/>
        </w:rPr>
        <w:t xml:space="preserve"> </w:t>
      </w:r>
    </w:p>
    <w:p w14:paraId="02181A4A" w14:textId="77777777" w:rsidR="00836655" w:rsidRPr="0058047D" w:rsidRDefault="00836655" w:rsidP="00910113"/>
    <w:p w14:paraId="71B533AA" w14:textId="77777777" w:rsidR="00836655" w:rsidRPr="0058047D" w:rsidRDefault="00836655" w:rsidP="00910113">
      <w:pPr>
        <w:widowControl w:val="0"/>
        <w:jc w:val="both"/>
      </w:pPr>
      <w:bookmarkStart w:id="1659" w:name="_123_Windows_Azure"/>
      <w:bookmarkEnd w:id="1659"/>
    </w:p>
    <w:p w14:paraId="4F8BF619" w14:textId="77777777" w:rsidR="00836655" w:rsidRPr="0058047D" w:rsidRDefault="00A560B6" w:rsidP="007B35CE">
      <w:pPr>
        <w:pStyle w:val="Heading2"/>
        <w:keepNext/>
        <w:ind w:left="0"/>
      </w:pPr>
      <w:bookmarkStart w:id="1660" w:name="_124_Windows_Small_1"/>
      <w:bookmarkStart w:id="1661" w:name="_114_Windows_Small"/>
      <w:bookmarkStart w:id="1662" w:name="_118_Windows_Small"/>
      <w:bookmarkStart w:id="1663" w:name="_Toc336338381"/>
      <w:bookmarkStart w:id="1664" w:name="_Toc371663773"/>
      <w:bookmarkEnd w:id="1660"/>
      <w:bookmarkEnd w:id="1661"/>
      <w:bookmarkEnd w:id="1662"/>
      <w:r w:rsidRPr="0058047D">
        <w:rPr>
          <w:rFonts w:ascii="Tahoma" w:hAnsi="Tahoma" w:cs="Tahoma"/>
          <w:color w:val="F8701C"/>
          <w:sz w:val="22"/>
          <w:szCs w:val="22"/>
          <w:vertAlign w:val="superscript"/>
        </w:rPr>
        <w:t xml:space="preserve">120 </w:t>
      </w:r>
      <w:r w:rsidRPr="0058047D">
        <w:rPr>
          <w:rFonts w:ascii="Tahoma" w:hAnsi="Tahoma" w:cs="Tahoma"/>
          <w:color w:val="F8701C"/>
          <w:sz w:val="22"/>
          <w:szCs w:val="22"/>
        </w:rPr>
        <w:t>Windows Small Business Server 2011 Essentials</w:t>
      </w:r>
      <w:bookmarkEnd w:id="1663"/>
      <w:bookmarkEnd w:id="1664"/>
    </w:p>
    <w:p w14:paraId="476CF8DE" w14:textId="77777777" w:rsidR="003C1BA8" w:rsidRPr="0058047D" w:rsidRDefault="003C1BA8" w:rsidP="007B35CE">
      <w:pPr>
        <w:keepNext/>
      </w:pPr>
    </w:p>
    <w:p w14:paraId="3A944A0B" w14:textId="77777777" w:rsidR="00910113" w:rsidRPr="0058047D" w:rsidRDefault="00836655" w:rsidP="00910113">
      <w:pPr>
        <w:spacing w:after="60"/>
        <w:ind w:left="720"/>
      </w:pPr>
      <w:r w:rsidRPr="0058047D">
        <w:rPr>
          <w:b/>
          <w:bCs/>
          <w:color w:val="000000"/>
        </w:rPr>
        <w:t>Concessioni di Licenza associate alla fine del ciclo di vita di Windows Small Business Server (SBS) 2011 Essentials</w:t>
      </w:r>
      <w:r w:rsidRPr="0058047D">
        <w:rPr>
          <w:color w:val="000000"/>
        </w:rPr>
        <w:t xml:space="preserve"> </w:t>
      </w:r>
    </w:p>
    <w:p w14:paraId="65E96953" w14:textId="77777777" w:rsidR="00836655" w:rsidRPr="0058047D" w:rsidRDefault="00836655" w:rsidP="00910113">
      <w:pPr>
        <w:ind w:left="720"/>
      </w:pPr>
      <w:r w:rsidRPr="0058047D">
        <w:t>Windows SBS 2011 Essentials sarà l</w:t>
      </w:r>
      <w:r w:rsidR="001C4212">
        <w:t>’</w:t>
      </w:r>
      <w:r w:rsidRPr="0058047D">
        <w:t xml:space="preserve">ultima versione di Windows SBS Essentials. Le società titolari di Contratti Multilicenza con copertura Software Assurance attiva per le licenze per Windows SBS 2011 Essentials in data 1 novembre 2012 o in occasione della prima disponibilità di Windows Server 2012 Essentials per il download dal sito Web Volume Licensing Service Center, a seconda di quale evento si verificherà per primo, (“Licenze Qualificanti”) saranno autorizzate a </w:t>
      </w:r>
      <w:r w:rsidRPr="0058047D">
        <w:rPr>
          <w:u w:val="single"/>
        </w:rPr>
        <w:t>effettuare l</w:t>
      </w:r>
      <w:r w:rsidR="001C4212">
        <w:rPr>
          <w:u w:val="single"/>
        </w:rPr>
        <w:t>’</w:t>
      </w:r>
      <w:r w:rsidRPr="0058047D">
        <w:rPr>
          <w:u w:val="single"/>
        </w:rPr>
        <w:t>aggiornamento al software Windows Server 2012 Essentials e a</w:t>
      </w:r>
      <w:r w:rsidRPr="0058047D">
        <w:t xml:space="preserve"> utilizzarlo </w:t>
      </w:r>
      <w:r w:rsidRPr="0058047D">
        <w:rPr>
          <w:u w:val="single"/>
        </w:rPr>
        <w:t>al posto di SBS Essentials</w:t>
      </w:r>
      <w:r w:rsidRPr="0058047D">
        <w:t>. Per agevolare tale utilizzo, per ogni Licenza Qualificante in suo possesso, alla società verrà concessa una licenza per Windows Server 2012 Essentials in base alla disponibilità di Windows Server 2012 Essentials. L</w:t>
      </w:r>
      <w:r w:rsidR="001C4212">
        <w:t>’</w:t>
      </w:r>
      <w:r w:rsidRPr="0058047D">
        <w:t>utilizzo di Windows Server 2012 Essentials sarà disciplinato ai sensi delle condizioni di licenza per tale prodotto contenute nei Diritti di Utilizzo del Prodotto e alle condizioni dei Contratti Multilicenza della società.</w:t>
      </w:r>
    </w:p>
    <w:p w14:paraId="467A937B" w14:textId="77777777" w:rsidR="00836655" w:rsidRPr="0058047D" w:rsidRDefault="00836655" w:rsidP="00910113">
      <w:pPr>
        <w:ind w:left="720"/>
      </w:pPr>
    </w:p>
    <w:p w14:paraId="6778B8F6" w14:textId="77777777" w:rsidR="00836655" w:rsidRPr="0058047D" w:rsidRDefault="00836655" w:rsidP="00910113">
      <w:pPr>
        <w:ind w:left="720"/>
      </w:pPr>
      <w:r w:rsidRPr="0058047D">
        <w:t>Nel caso in cui le società abbiano acquistato diritti perpetui per utilizzare software ai sensi di Licenze Qualificanti, le licenze acquistate ai sensi della presente concessione saranno anch</w:t>
      </w:r>
      <w:r w:rsidR="001C4212">
        <w:t>’</w:t>
      </w:r>
      <w:r w:rsidRPr="0058047D">
        <w:t>esse perpetue; diversamente, le licenze acquistate ai sensi della presente concessione cesseranno alla scadenza delle Licenze Qualificanti sottostanti.</w:t>
      </w:r>
    </w:p>
    <w:p w14:paraId="1D5CA90F" w14:textId="77777777" w:rsidR="00836655" w:rsidRPr="0058047D" w:rsidRDefault="00836655" w:rsidP="00910113">
      <w:pPr>
        <w:ind w:left="720"/>
      </w:pPr>
    </w:p>
    <w:p w14:paraId="06CE6950" w14:textId="77777777" w:rsidR="00836655" w:rsidRPr="0058047D" w:rsidRDefault="00836655" w:rsidP="00910113">
      <w:pPr>
        <w:ind w:left="720"/>
      </w:pPr>
      <w:r w:rsidRPr="0058047D">
        <w:t>Eseguendo l</w:t>
      </w:r>
      <w:r w:rsidR="001C4212">
        <w:t>’</w:t>
      </w:r>
      <w:r w:rsidRPr="0058047D">
        <w:t>aggiornamento a Windows Server 2012 Essentials ai sensi della presente concessione, le Licenze Qualificanti delle società in essere per SBS Essentials non saranno più valide.</w:t>
      </w:r>
    </w:p>
    <w:p w14:paraId="37AAD2C4" w14:textId="77777777" w:rsidR="00836655" w:rsidRPr="0058047D" w:rsidRDefault="00836655" w:rsidP="00910113">
      <w:pPr>
        <w:ind w:left="720"/>
      </w:pPr>
    </w:p>
    <w:p w14:paraId="2F648597" w14:textId="77777777" w:rsidR="00836655" w:rsidRPr="0058047D" w:rsidRDefault="00836655" w:rsidP="00D16723">
      <w:pPr>
        <w:ind w:left="720"/>
      </w:pPr>
      <w:r w:rsidRPr="0058047D">
        <w:t>Le licenze Essentials per SBS, acquistate successivamente nello stesso periodo di validità dell</w:t>
      </w:r>
      <w:r w:rsidR="001C4212">
        <w:t>’</w:t>
      </w:r>
      <w:r w:rsidRPr="0058047D">
        <w:t>iscrizione nell</w:t>
      </w:r>
      <w:r w:rsidR="001C4212">
        <w:t>’</w:t>
      </w:r>
      <w:r w:rsidRPr="0058047D">
        <w:t>ambito di una procedura pianificata di true-up di una società Open Value Subscription o Enrollment for Education Solutions, sono anch</w:t>
      </w:r>
      <w:r w:rsidR="001C4212">
        <w:t>’</w:t>
      </w:r>
      <w:r w:rsidRPr="0058047D">
        <w:t>esse Licenze Qualificanti per gli scopi previsti dalla suddetta concessione.</w:t>
      </w:r>
    </w:p>
    <w:p w14:paraId="3E65CA45" w14:textId="77777777" w:rsidR="00C066B5" w:rsidRPr="0058047D" w:rsidRDefault="00C066B5" w:rsidP="00D16723">
      <w:pPr>
        <w:ind w:left="720"/>
      </w:pPr>
    </w:p>
    <w:p w14:paraId="620D9FCB" w14:textId="77777777" w:rsidR="00C066B5" w:rsidRPr="0058047D" w:rsidRDefault="00C066B5" w:rsidP="00D16723">
      <w:pPr>
        <w:ind w:left="720"/>
      </w:pPr>
    </w:p>
    <w:p w14:paraId="3FB809B6" w14:textId="77777777" w:rsidR="00C066B5" w:rsidRPr="0058047D" w:rsidRDefault="00C066B5" w:rsidP="00C066B5">
      <w:pPr>
        <w:pStyle w:val="Heading3"/>
      </w:pPr>
      <w:bookmarkStart w:id="1665" w:name="_121_Windows_Web"/>
      <w:bookmarkStart w:id="1666" w:name="_Toc371663774"/>
      <w:bookmarkEnd w:id="1665"/>
      <w:r w:rsidRPr="0058047D">
        <w:rPr>
          <w:rFonts w:ascii="Tahoma" w:hAnsi="Tahoma" w:cs="Tahoma"/>
          <w:caps/>
          <w:color w:val="EE6000"/>
          <w:sz w:val="22"/>
          <w:szCs w:val="18"/>
          <w:vertAlign w:val="superscript"/>
        </w:rPr>
        <w:t>121</w:t>
      </w:r>
      <w:r w:rsidRPr="0058047D">
        <w:rPr>
          <w:rFonts w:ascii="Tahoma" w:hAnsi="Tahoma" w:cs="Tahoma"/>
          <w:color w:val="EE6000"/>
          <w:sz w:val="22"/>
          <w:szCs w:val="18"/>
        </w:rPr>
        <w:t xml:space="preserve"> </w:t>
      </w:r>
      <w:r w:rsidRPr="0058047D">
        <w:rPr>
          <w:rFonts w:ascii="Tahoma" w:hAnsi="Tahoma"/>
          <w:color w:val="F66400"/>
          <w:sz w:val="22"/>
        </w:rPr>
        <w:t>Windows Web Server</w:t>
      </w:r>
      <w:r w:rsidR="00E53A46" w:rsidRPr="0058047D">
        <w:rPr>
          <w:rFonts w:ascii="Tahoma" w:hAnsi="Tahoma"/>
          <w:color w:val="F66400"/>
          <w:sz w:val="22"/>
          <w:vertAlign w:val="superscript"/>
        </w:rPr>
        <w:t>®</w:t>
      </w:r>
      <w:r w:rsidRPr="0058047D">
        <w:rPr>
          <w:rFonts w:ascii="Tahoma" w:hAnsi="Tahoma"/>
          <w:color w:val="F66400"/>
          <w:sz w:val="22"/>
        </w:rPr>
        <w:t xml:space="preserve"> 2008 R2</w:t>
      </w:r>
      <w:bookmarkEnd w:id="1666"/>
    </w:p>
    <w:p w14:paraId="1259523A" w14:textId="77777777" w:rsidR="00C066B5" w:rsidRPr="0058047D" w:rsidRDefault="00C066B5" w:rsidP="00C066B5"/>
    <w:p w14:paraId="07B43D03" w14:textId="77777777" w:rsidR="00C066B5" w:rsidRPr="0058047D" w:rsidRDefault="00C066B5" w:rsidP="00C066B5">
      <w:pPr>
        <w:tabs>
          <w:tab w:val="left" w:pos="720"/>
        </w:tabs>
        <w:spacing w:after="60"/>
        <w:ind w:left="720"/>
      </w:pPr>
      <w:r w:rsidRPr="0058047D">
        <w:rPr>
          <w:b/>
          <w:color w:val="000000"/>
        </w:rPr>
        <w:t>Concessioni di licenza associate alla fine del ciclo di vita di Windows Web Server</w:t>
      </w:r>
    </w:p>
    <w:p w14:paraId="28954993" w14:textId="77777777" w:rsidR="00C066B5" w:rsidRPr="0058047D" w:rsidRDefault="00C066B5" w:rsidP="00C066B5">
      <w:pPr>
        <w:tabs>
          <w:tab w:val="left" w:pos="720"/>
        </w:tabs>
        <w:ind w:left="720"/>
      </w:pPr>
      <w:r w:rsidRPr="0058047D">
        <w:rPr>
          <w:color w:val="000000"/>
        </w:rPr>
        <w:t>Windows Server 2008 R2 sarà l</w:t>
      </w:r>
      <w:r w:rsidR="001C4212">
        <w:rPr>
          <w:color w:val="000000"/>
        </w:rPr>
        <w:t>’</w:t>
      </w:r>
      <w:r w:rsidRPr="0058047D">
        <w:rPr>
          <w:color w:val="000000"/>
        </w:rPr>
        <w:t xml:space="preserve">ultima versione di Windows Web Server. Le società titolari di Contratti Multilicenza con copertura Software Assurance attiva per le licenze per Windows Web Server 2008 R2 in data 1 settembre 2012 o in occasione della prima disponibilità di Windows Server 2012 per il download dal sito Web Volume Licensing Service Center, a seconda di quale evento si verificherà per primo, (“Licenze Qualificanti”) saranno autorizzate a </w:t>
      </w:r>
      <w:r w:rsidRPr="0058047D">
        <w:rPr>
          <w:rFonts w:eastAsia="Calibri" w:cs="Tahoma"/>
          <w:szCs w:val="18"/>
        </w:rPr>
        <w:t xml:space="preserve">utilizzare il software Windows Server 2012 Standard. Per agevolare tale utilizzo, per ogni due Licenze Qualificanti in suo possesso, alla società verrà concessa una licenza per processore per Windows Server 2012 Standard in base alla disponibilità di Windows Server 2012. </w:t>
      </w:r>
    </w:p>
    <w:p w14:paraId="023449B3" w14:textId="77777777" w:rsidR="00C066B5" w:rsidRPr="0058047D" w:rsidRDefault="00C066B5" w:rsidP="00C066B5">
      <w:pPr>
        <w:tabs>
          <w:tab w:val="left" w:pos="720"/>
        </w:tabs>
        <w:ind w:left="720"/>
      </w:pPr>
    </w:p>
    <w:p w14:paraId="2AFBFB78" w14:textId="77777777" w:rsidR="00C066B5" w:rsidRPr="0058047D" w:rsidRDefault="00C066B5" w:rsidP="00C066B5">
      <w:pPr>
        <w:numPr>
          <w:ilvl w:val="0"/>
          <w:numId w:val="56"/>
        </w:numPr>
        <w:tabs>
          <w:tab w:val="clear" w:pos="360"/>
          <w:tab w:val="num" w:pos="1440"/>
        </w:tabs>
        <w:spacing w:after="60"/>
        <w:ind w:left="1440"/>
      </w:pPr>
      <w:r w:rsidRPr="0058047D">
        <w:rPr>
          <w:color w:val="000000"/>
        </w:rPr>
        <w:t>Qualora una società disponga di un numero dispari di licenze per Web Server, dovrà arrotondarle al successivo numero pari per determinare la quantità concessa.</w:t>
      </w:r>
      <w:r w:rsidR="00E34ED3" w:rsidRPr="0058047D">
        <w:rPr>
          <w:color w:val="000000"/>
        </w:rPr>
        <w:t xml:space="preserve"> </w:t>
      </w:r>
      <w:r w:rsidRPr="0058047D">
        <w:rPr>
          <w:color w:val="000000"/>
        </w:rPr>
        <w:t>Ad esempio, una società titolare di tre licenze per Web Server riceverà in totale due licenze per Windows Server 2012 Standard.</w:t>
      </w:r>
    </w:p>
    <w:p w14:paraId="1FEB0137" w14:textId="77777777" w:rsidR="00C066B5" w:rsidRPr="0058047D" w:rsidRDefault="00C066B5" w:rsidP="00C066B5">
      <w:pPr>
        <w:numPr>
          <w:ilvl w:val="0"/>
          <w:numId w:val="56"/>
        </w:numPr>
        <w:tabs>
          <w:tab w:val="clear" w:pos="360"/>
          <w:tab w:val="num" w:pos="1440"/>
        </w:tabs>
        <w:spacing w:after="60"/>
        <w:ind w:left="1440"/>
      </w:pPr>
      <w:r w:rsidRPr="0058047D">
        <w:rPr>
          <w:rFonts w:eastAsia="Calibri" w:cs="Tahoma"/>
          <w:szCs w:val="18"/>
        </w:rPr>
        <w:t>Eseguendo l</w:t>
      </w:r>
      <w:r w:rsidR="001C4212">
        <w:rPr>
          <w:rFonts w:eastAsia="Calibri" w:cs="Tahoma"/>
          <w:szCs w:val="18"/>
        </w:rPr>
        <w:t>’</w:t>
      </w:r>
      <w:r w:rsidRPr="0058047D">
        <w:rPr>
          <w:rFonts w:eastAsia="Calibri" w:cs="Tahoma"/>
          <w:szCs w:val="18"/>
        </w:rPr>
        <w:t>aggiornamento a Windows Server 2012 Standard ai sensi della presente concessione, le licenze in essere per Windows Web Server 2008 R2 rimangono valide.</w:t>
      </w:r>
    </w:p>
    <w:p w14:paraId="159A6490" w14:textId="77777777" w:rsidR="00C066B5" w:rsidRPr="0058047D" w:rsidRDefault="00C066B5" w:rsidP="00C066B5">
      <w:pPr>
        <w:pStyle w:val="ListParagraph"/>
        <w:numPr>
          <w:ilvl w:val="0"/>
          <w:numId w:val="56"/>
        </w:numPr>
        <w:tabs>
          <w:tab w:val="clear" w:pos="360"/>
          <w:tab w:val="num" w:pos="1440"/>
        </w:tabs>
        <w:spacing w:after="60"/>
        <w:ind w:left="1440"/>
        <w:contextualSpacing w:val="0"/>
      </w:pPr>
      <w:r w:rsidRPr="0058047D">
        <w:rPr>
          <w:rFonts w:ascii="Tahoma" w:eastAsia="Calibri" w:hAnsi="Tahoma" w:cs="Tahoma"/>
          <w:sz w:val="18"/>
          <w:szCs w:val="18"/>
        </w:rPr>
        <w:t>Le licenze acquistate ai sensi della presente concessione includono la copertura Software Assurance.</w:t>
      </w:r>
      <w:r w:rsidR="00E34ED3" w:rsidRPr="0058047D">
        <w:rPr>
          <w:rFonts w:ascii="Tahoma" w:eastAsia="Calibri" w:hAnsi="Tahoma" w:cs="Tahoma"/>
          <w:sz w:val="18"/>
          <w:szCs w:val="18"/>
        </w:rPr>
        <w:t xml:space="preserve"> </w:t>
      </w:r>
      <w:r w:rsidRPr="0058047D">
        <w:rPr>
          <w:rFonts w:ascii="Tahoma" w:eastAsia="Calibri" w:hAnsi="Tahoma" w:cs="Tahoma"/>
          <w:sz w:val="18"/>
          <w:szCs w:val="18"/>
        </w:rPr>
        <w:t>Tale copertura cessa alla scadenza della corrispondente copertura per le Licenze Qualificanti.</w:t>
      </w:r>
    </w:p>
    <w:p w14:paraId="5F10AA06" w14:textId="77777777" w:rsidR="00C066B5" w:rsidRPr="0058047D" w:rsidRDefault="00C066B5" w:rsidP="00C066B5">
      <w:pPr>
        <w:pStyle w:val="ListParagraph"/>
        <w:numPr>
          <w:ilvl w:val="0"/>
          <w:numId w:val="56"/>
        </w:numPr>
        <w:tabs>
          <w:tab w:val="clear" w:pos="360"/>
          <w:tab w:val="num" w:pos="1440"/>
        </w:tabs>
        <w:spacing w:after="60"/>
        <w:ind w:left="1440"/>
        <w:contextualSpacing w:val="0"/>
      </w:pPr>
      <w:r w:rsidRPr="0058047D">
        <w:rPr>
          <w:rFonts w:ascii="Tahoma" w:eastAsia="Calibri" w:hAnsi="Tahoma" w:cs="Tahoma"/>
          <w:sz w:val="18"/>
          <w:szCs w:val="18"/>
        </w:rPr>
        <w:t>Nel caso in cui le società abbiano acquistato diritti perpetui per utilizzare software ai sensi di Licenze Qualificanti, le licenze acquistate ai sensi della presente concessione saranno anch</w:t>
      </w:r>
      <w:r w:rsidR="001C4212">
        <w:rPr>
          <w:rFonts w:ascii="Tahoma" w:eastAsia="Calibri" w:hAnsi="Tahoma" w:cs="Tahoma"/>
          <w:sz w:val="18"/>
          <w:szCs w:val="18"/>
        </w:rPr>
        <w:t>’</w:t>
      </w:r>
      <w:r w:rsidRPr="0058047D">
        <w:rPr>
          <w:rFonts w:ascii="Tahoma" w:eastAsia="Calibri" w:hAnsi="Tahoma" w:cs="Tahoma"/>
          <w:sz w:val="18"/>
          <w:szCs w:val="18"/>
        </w:rPr>
        <w:t>esse perpetue; diversamente, le licenze acquistate ai sensi della presente concessione cesseranno alla scadenza delle Licenze Qualificanti sottostanti.</w:t>
      </w:r>
    </w:p>
    <w:p w14:paraId="1D578D7C" w14:textId="77777777" w:rsidR="00C066B5" w:rsidRPr="0058047D" w:rsidRDefault="00C066B5" w:rsidP="00C066B5">
      <w:pPr>
        <w:numPr>
          <w:ilvl w:val="0"/>
          <w:numId w:val="56"/>
        </w:numPr>
        <w:tabs>
          <w:tab w:val="clear" w:pos="360"/>
          <w:tab w:val="num" w:pos="1440"/>
        </w:tabs>
        <w:spacing w:after="60"/>
        <w:ind w:left="1440"/>
      </w:pPr>
      <w:r w:rsidRPr="0058047D">
        <w:t xml:space="preserve">Le licenze per </w:t>
      </w:r>
      <w:r w:rsidRPr="0058047D">
        <w:rPr>
          <w:color w:val="000000"/>
        </w:rPr>
        <w:t>Windows Web Server 2008 R2</w:t>
      </w:r>
      <w:r w:rsidRPr="0058047D">
        <w:rPr>
          <w:rFonts w:cs="Tahoma"/>
          <w:bCs/>
          <w:color w:val="000000"/>
          <w:szCs w:val="18"/>
        </w:rPr>
        <w:t>, acquistate successivamente nello stesso periodo di validità dell</w:t>
      </w:r>
      <w:r w:rsidR="001C4212">
        <w:rPr>
          <w:rFonts w:cs="Tahoma"/>
          <w:bCs/>
          <w:color w:val="000000"/>
          <w:szCs w:val="18"/>
        </w:rPr>
        <w:t>’</w:t>
      </w:r>
      <w:r w:rsidRPr="0058047D">
        <w:rPr>
          <w:rFonts w:cs="Tahoma"/>
          <w:bCs/>
          <w:color w:val="000000"/>
          <w:szCs w:val="18"/>
        </w:rPr>
        <w:t>iscrizione nell</w:t>
      </w:r>
      <w:r w:rsidR="001C4212">
        <w:rPr>
          <w:rFonts w:cs="Tahoma"/>
          <w:bCs/>
          <w:color w:val="000000"/>
          <w:szCs w:val="18"/>
        </w:rPr>
        <w:t>’</w:t>
      </w:r>
      <w:r w:rsidRPr="0058047D">
        <w:rPr>
          <w:rFonts w:cs="Tahoma"/>
          <w:bCs/>
          <w:color w:val="000000"/>
          <w:szCs w:val="18"/>
        </w:rPr>
        <w:t>ambito di una procedura pianificata di true-up di una società con contratto Enterprise, Enterprise Subscription, Open Value Subscription o Enrollment for Education Solutions, sono anch</w:t>
      </w:r>
      <w:r w:rsidR="001C4212">
        <w:rPr>
          <w:rFonts w:cs="Tahoma"/>
          <w:bCs/>
          <w:color w:val="000000"/>
          <w:szCs w:val="18"/>
        </w:rPr>
        <w:t>’</w:t>
      </w:r>
      <w:r w:rsidRPr="0058047D">
        <w:rPr>
          <w:rFonts w:cs="Tahoma"/>
          <w:bCs/>
          <w:color w:val="000000"/>
          <w:szCs w:val="18"/>
        </w:rPr>
        <w:t xml:space="preserve">esse Licenze Qualificanti per gli scopi previsti dalla suddetta concessione. </w:t>
      </w:r>
    </w:p>
    <w:p w14:paraId="42DB97B4" w14:textId="77777777" w:rsidR="00C066B5" w:rsidRPr="0058047D" w:rsidRDefault="00C066B5" w:rsidP="00C066B5">
      <w:pPr>
        <w:numPr>
          <w:ilvl w:val="0"/>
          <w:numId w:val="56"/>
        </w:numPr>
        <w:tabs>
          <w:tab w:val="clear" w:pos="360"/>
          <w:tab w:val="num" w:pos="1440"/>
        </w:tabs>
        <w:spacing w:after="60"/>
        <w:ind w:left="1440"/>
      </w:pPr>
      <w:r w:rsidRPr="0058047D">
        <w:rPr>
          <w:rFonts w:cs="Tahoma"/>
          <w:bCs/>
          <w:color w:val="000000"/>
          <w:szCs w:val="18"/>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7D579D11" w14:textId="77777777" w:rsidR="00C066B5" w:rsidRPr="0058047D" w:rsidRDefault="00C066B5" w:rsidP="00C066B5">
      <w:pPr>
        <w:ind w:left="1440"/>
      </w:pPr>
    </w:p>
    <w:p w14:paraId="25319CB9" w14:textId="77777777" w:rsidR="00C066B5" w:rsidRPr="0058047D" w:rsidRDefault="00C066B5" w:rsidP="00C066B5">
      <w:pPr>
        <w:spacing w:after="60"/>
        <w:ind w:left="720"/>
      </w:pPr>
      <w:r w:rsidRPr="0058047D">
        <w:rPr>
          <w:rFonts w:eastAsia="Calibri" w:cs="Tahoma"/>
          <w:b/>
          <w:szCs w:val="18"/>
        </w:rPr>
        <w:t>Informazioni aggiuntive sull</w:t>
      </w:r>
      <w:r w:rsidR="001C4212">
        <w:rPr>
          <w:rFonts w:eastAsia="Calibri" w:cs="Tahoma"/>
          <w:b/>
          <w:szCs w:val="18"/>
        </w:rPr>
        <w:t>’</w:t>
      </w:r>
      <w:r w:rsidRPr="0058047D">
        <w:rPr>
          <w:rFonts w:eastAsia="Calibri" w:cs="Tahoma"/>
          <w:b/>
          <w:szCs w:val="18"/>
        </w:rPr>
        <w:t>utilizzo di Windows Server 2012 o Windows Server 2012 R2 come Server Web</w:t>
      </w:r>
    </w:p>
    <w:p w14:paraId="7B562F4F" w14:textId="77777777" w:rsidR="00C066B5" w:rsidRPr="0058047D" w:rsidRDefault="00C066B5" w:rsidP="00C066B5">
      <w:pPr>
        <w:ind w:left="720"/>
      </w:pPr>
      <w:r w:rsidRPr="0058047D">
        <w:rPr>
          <w:rFonts w:eastAsia="Calibri" w:cs="Tahoma"/>
          <w:szCs w:val="18"/>
        </w:rPr>
        <w:t xml:space="preserve">Quando Windows Server 2012 Standard o Datacenter oppure Windows Server 2012 R2 Standard o Datacenter viene utilizzato come Server Web, non servono licenze CAL per accedere al software. Un </w:t>
      </w:r>
      <w:r w:rsidRPr="0058047D">
        <w:t>“Carico di Lavoro Web” indica un carico di lavoro nel quale</w:t>
      </w:r>
      <w:r w:rsidRPr="0058047D">
        <w:rPr>
          <w:bCs/>
        </w:rPr>
        <w:t xml:space="preserve"> </w:t>
      </w:r>
      <w:r w:rsidRPr="0058047D">
        <w:t>il software viene utilizzato come server Web front-end per lo sviluppo e la distribuzione di pagine Web accessibili su Internet, siti Web, applicazioni Web e servizi Web e nel quale il servizio di posta POP3 e l</w:t>
      </w:r>
      <w:r w:rsidR="001C4212">
        <w:t>’</w:t>
      </w:r>
      <w:r w:rsidRPr="0058047D">
        <w:t>accesso a contenuti, informazioni e applicazioni servite dal software non</w:t>
      </w:r>
      <w:r w:rsidRPr="0058047D">
        <w:rPr>
          <w:u w:val="single"/>
        </w:rPr>
        <w:t xml:space="preserve"> </w:t>
      </w:r>
      <w:r w:rsidRPr="0058047D">
        <w:t>sono limitati ai dipendenti.</w:t>
      </w:r>
      <w:r w:rsidR="00E34ED3" w:rsidRPr="0058047D">
        <w:t xml:space="preserve"> </w:t>
      </w:r>
      <w:r w:rsidRPr="0058047D">
        <w:rPr>
          <w:rFonts w:eastAsia="Calibri" w:cs="Tahoma"/>
          <w:szCs w:val="18"/>
        </w:rPr>
        <w:t>Ulteriori dettagli sono disponibili nei Diritti di Utilizzo del Prodotto.</w:t>
      </w:r>
      <w:r w:rsidR="00E34ED3" w:rsidRPr="0058047D">
        <w:rPr>
          <w:rFonts w:eastAsia="Calibri" w:cs="Tahoma"/>
          <w:szCs w:val="18"/>
        </w:rPr>
        <w:t xml:space="preserve"> </w:t>
      </w:r>
    </w:p>
    <w:sectPr w:rsidR="00C066B5" w:rsidRPr="0058047D" w:rsidSect="00B40674">
      <w:footerReference w:type="default" r:id="rId51"/>
      <w:headerReference w:type="first" r:id="rId52"/>
      <w:footerReference w:type="first" r:id="rId53"/>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3F07EF" w14:textId="77777777" w:rsidR="00C86F50" w:rsidRDefault="00C86F50">
      <w:r>
        <w:separator/>
      </w:r>
    </w:p>
  </w:endnote>
  <w:endnote w:type="continuationSeparator" w:id="0">
    <w:p w14:paraId="6595BC05" w14:textId="77777777" w:rsidR="00C86F50" w:rsidRDefault="00C86F50">
      <w:r>
        <w:continuationSeparator/>
      </w:r>
    </w:p>
  </w:endnote>
  <w:endnote w:type="continuationNotice" w:id="1">
    <w:p w14:paraId="0925CD4E" w14:textId="77777777" w:rsidR="00C86F50" w:rsidRDefault="00C86F5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Segoe UI Symbol">
    <w:panose1 w:val="020B0502040204020203"/>
    <w:charset w:val="00"/>
    <w:family w:val="swiss"/>
    <w:pitch w:val="variable"/>
    <w:sig w:usb0="800001E3" w:usb1="1200FFEF" w:usb2="0064C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239EBC" w14:textId="77777777" w:rsidR="00C86F50" w:rsidRDefault="00C86F50">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xml:space="preserve">© 2009 Microsoft Corporation. Tutti i diritti riservati. Pagina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di </w:t>
    </w:r>
    <w:fldSimple w:instr=" NUMPAGES ">
      <w:r>
        <w:rPr>
          <w:noProof/>
        </w:rPr>
        <w:t>201</w:t>
      </w:r>
    </w:fldSimple>
    <w:r>
      <w:t xml:space="preserve"> Pubblicato ad aprile 2009</w:t>
    </w:r>
  </w:p>
  <w:p w14:paraId="148D89CF" w14:textId="77777777" w:rsidR="00C86F50" w:rsidRDefault="00C86F50">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è un marchio registrato di Microsoft Corporation negli Stati Uniti e/o negli altri paesi.</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BFF6D9" w14:textId="77777777" w:rsidR="00C86F50" w:rsidRDefault="00C86F50"/>
  <w:p w14:paraId="6C6DDD30" w14:textId="77777777" w:rsidR="00C86F50" w:rsidRPr="00DE17D5" w:rsidRDefault="00C86F50" w:rsidP="00DE17D5">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DE17D5">
      <w:rPr>
        <w:rFonts w:ascii="Trebuchet MS" w:hAnsi="Trebuchet MS"/>
        <w:color w:val="808080"/>
        <w:sz w:val="14"/>
        <w:lang w:val="it-IT"/>
      </w:rPr>
      <w:t>© 2013 Microsoft Corporation. Tutti i diritti riservati.</w:t>
    </w:r>
    <w:r>
      <w:rPr>
        <w:rFonts w:ascii="Trebuchet MS" w:hAnsi="Trebuchet MS"/>
        <w:color w:val="808080"/>
        <w:sz w:val="14"/>
        <w:lang w:val="it-IT"/>
      </w:rPr>
      <w:tab/>
    </w:r>
    <w:r w:rsidRPr="00DE17D5">
      <w:rPr>
        <w:rFonts w:ascii="Trebuchet MS" w:hAnsi="Trebuchet MS"/>
        <w:color w:val="808080"/>
        <w:sz w:val="14"/>
        <w:lang w:val="it-IT"/>
      </w:rPr>
      <w:t xml:space="preserve">Pagina </w:t>
    </w:r>
    <w:r w:rsidRPr="00DE17D5">
      <w:rPr>
        <w:noProof/>
        <w:szCs w:val="18"/>
        <w:lang w:val="it-IT"/>
      </w:rPr>
      <w:fldChar w:fldCharType="begin"/>
    </w:r>
    <w:r w:rsidRPr="00DE17D5">
      <w:rPr>
        <w:noProof/>
        <w:szCs w:val="18"/>
        <w:lang w:val="it-IT"/>
      </w:rPr>
      <w:instrText xml:space="preserve"> PAGE </w:instrText>
    </w:r>
    <w:r w:rsidRPr="00DE17D5">
      <w:rPr>
        <w:noProof/>
        <w:szCs w:val="18"/>
        <w:lang w:val="it-IT"/>
      </w:rPr>
      <w:fldChar w:fldCharType="separate"/>
    </w:r>
    <w:r w:rsidR="00C96D37">
      <w:rPr>
        <w:noProof/>
        <w:szCs w:val="18"/>
        <w:lang w:val="it-IT"/>
      </w:rPr>
      <w:t>1</w:t>
    </w:r>
    <w:r w:rsidRPr="00DE17D5">
      <w:rPr>
        <w:noProof/>
        <w:szCs w:val="18"/>
        <w:lang w:val="it-IT"/>
      </w:rPr>
      <w:fldChar w:fldCharType="end"/>
    </w:r>
    <w:r w:rsidRPr="00DE17D5">
      <w:rPr>
        <w:rFonts w:ascii="Trebuchet MS" w:hAnsi="Trebuchet MS"/>
        <w:color w:val="808080"/>
        <w:sz w:val="14"/>
        <w:lang w:val="it-IT"/>
      </w:rPr>
      <w:t xml:space="preserve"> di </w:t>
    </w:r>
    <w:r w:rsidRPr="00DE17D5">
      <w:rPr>
        <w:noProof/>
        <w:szCs w:val="18"/>
        <w:lang w:val="it-IT"/>
      </w:rPr>
      <w:fldChar w:fldCharType="begin"/>
    </w:r>
    <w:r w:rsidRPr="00DE17D5">
      <w:rPr>
        <w:noProof/>
        <w:szCs w:val="18"/>
        <w:lang w:val="it-IT"/>
      </w:rPr>
      <w:instrText xml:space="preserve"> NUMPAGES </w:instrText>
    </w:r>
    <w:r w:rsidRPr="00DE17D5">
      <w:rPr>
        <w:noProof/>
        <w:szCs w:val="18"/>
        <w:lang w:val="it-IT"/>
      </w:rPr>
      <w:fldChar w:fldCharType="separate"/>
    </w:r>
    <w:r w:rsidR="00C96D37">
      <w:rPr>
        <w:noProof/>
        <w:szCs w:val="18"/>
        <w:lang w:val="it-IT"/>
      </w:rPr>
      <w:t>200</w:t>
    </w:r>
    <w:r w:rsidRPr="00DE17D5">
      <w:rPr>
        <w:noProof/>
        <w:szCs w:val="18"/>
        <w:lang w:val="it-IT"/>
      </w:rPr>
      <w:fldChar w:fldCharType="end"/>
    </w:r>
    <w:r w:rsidRPr="00DE17D5">
      <w:rPr>
        <w:rFonts w:ascii="Trebuchet MS" w:hAnsi="Trebuchet MS"/>
        <w:color w:val="808080"/>
        <w:sz w:val="14"/>
        <w:lang w:val="it-IT"/>
      </w:rPr>
      <w:t xml:space="preserve"> Pubblicato nel Dicembre 2013</w:t>
    </w:r>
  </w:p>
  <w:p w14:paraId="4DCB6C1A" w14:textId="77777777" w:rsidR="00C86F50" w:rsidRPr="00DE17D5" w:rsidRDefault="00C86F50">
    <w:pPr>
      <w:pStyle w:val="Footer"/>
      <w:rPr>
        <w:rFonts w:ascii="Trebuchet MS" w:hAnsi="Trebuchet MS"/>
        <w:color w:val="808080"/>
        <w:sz w:val="14"/>
      </w:rPr>
    </w:pPr>
    <w:r>
      <w:rPr>
        <w:rFonts w:ascii="Trebuchet MS" w:hAnsi="Trebuchet MS"/>
        <w:color w:val="808080"/>
        <w:sz w:val="14"/>
      </w:rPr>
      <w:t>Microsoft è un marchio registrato di Microsoft Corporation negli Stati Uniti e/o negli altri paesi.</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258CB9" w14:textId="77777777" w:rsidR="00C86F50" w:rsidRDefault="00C86F50" w:rsidP="00DE17D5"/>
  <w:p w14:paraId="0694635C" w14:textId="77777777" w:rsidR="00C86F50" w:rsidRPr="00DE17D5" w:rsidRDefault="00C86F50" w:rsidP="00DE17D5">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DE17D5">
      <w:rPr>
        <w:rFonts w:ascii="Trebuchet MS" w:hAnsi="Trebuchet MS"/>
        <w:color w:val="808080"/>
        <w:sz w:val="14"/>
        <w:lang w:val="it-IT"/>
      </w:rPr>
      <w:t>© 2013 Microsoft Corporation. Tutti i diritti riservati.</w:t>
    </w:r>
    <w:r>
      <w:rPr>
        <w:rFonts w:ascii="Trebuchet MS" w:hAnsi="Trebuchet MS"/>
        <w:color w:val="808080"/>
        <w:sz w:val="14"/>
        <w:lang w:val="it-IT"/>
      </w:rPr>
      <w:tab/>
    </w:r>
    <w:r w:rsidRPr="00DE17D5">
      <w:rPr>
        <w:rFonts w:ascii="Trebuchet MS" w:hAnsi="Trebuchet MS"/>
        <w:color w:val="808080"/>
        <w:sz w:val="14"/>
        <w:lang w:val="it-IT"/>
      </w:rPr>
      <w:t xml:space="preserve">Pagina </w:t>
    </w:r>
    <w:r w:rsidRPr="00DE17D5">
      <w:rPr>
        <w:noProof/>
        <w:szCs w:val="18"/>
        <w:lang w:val="it-IT"/>
      </w:rPr>
      <w:fldChar w:fldCharType="begin"/>
    </w:r>
    <w:r w:rsidRPr="00DE17D5">
      <w:rPr>
        <w:noProof/>
        <w:szCs w:val="18"/>
        <w:lang w:val="it-IT"/>
      </w:rPr>
      <w:instrText xml:space="preserve"> PAGE </w:instrText>
    </w:r>
    <w:r w:rsidRPr="00DE17D5">
      <w:rPr>
        <w:noProof/>
        <w:szCs w:val="18"/>
        <w:lang w:val="it-IT"/>
      </w:rPr>
      <w:fldChar w:fldCharType="separate"/>
    </w:r>
    <w:r w:rsidR="00C96D37">
      <w:rPr>
        <w:noProof/>
        <w:szCs w:val="18"/>
        <w:lang w:val="it-IT"/>
      </w:rPr>
      <w:t>164</w:t>
    </w:r>
    <w:r w:rsidRPr="00DE17D5">
      <w:rPr>
        <w:noProof/>
        <w:szCs w:val="18"/>
        <w:lang w:val="it-IT"/>
      </w:rPr>
      <w:fldChar w:fldCharType="end"/>
    </w:r>
    <w:r w:rsidRPr="00DE17D5">
      <w:rPr>
        <w:rFonts w:ascii="Trebuchet MS" w:hAnsi="Trebuchet MS"/>
        <w:color w:val="808080"/>
        <w:sz w:val="14"/>
        <w:lang w:val="it-IT"/>
      </w:rPr>
      <w:t xml:space="preserve"> di </w:t>
    </w:r>
    <w:r w:rsidRPr="00DE17D5">
      <w:rPr>
        <w:noProof/>
        <w:szCs w:val="18"/>
        <w:lang w:val="it-IT"/>
      </w:rPr>
      <w:fldChar w:fldCharType="begin"/>
    </w:r>
    <w:r w:rsidRPr="00DE17D5">
      <w:rPr>
        <w:noProof/>
        <w:szCs w:val="18"/>
        <w:lang w:val="it-IT"/>
      </w:rPr>
      <w:instrText xml:space="preserve"> NUMPAGES </w:instrText>
    </w:r>
    <w:r w:rsidRPr="00DE17D5">
      <w:rPr>
        <w:noProof/>
        <w:szCs w:val="18"/>
        <w:lang w:val="it-IT"/>
      </w:rPr>
      <w:fldChar w:fldCharType="separate"/>
    </w:r>
    <w:r w:rsidR="00C96D37">
      <w:rPr>
        <w:noProof/>
        <w:szCs w:val="18"/>
        <w:lang w:val="it-IT"/>
      </w:rPr>
      <w:t>200</w:t>
    </w:r>
    <w:r w:rsidRPr="00DE17D5">
      <w:rPr>
        <w:noProof/>
        <w:szCs w:val="18"/>
        <w:lang w:val="it-IT"/>
      </w:rPr>
      <w:fldChar w:fldCharType="end"/>
    </w:r>
    <w:r w:rsidRPr="00DE17D5">
      <w:rPr>
        <w:rFonts w:ascii="Trebuchet MS" w:hAnsi="Trebuchet MS"/>
        <w:color w:val="808080"/>
        <w:sz w:val="14"/>
        <w:lang w:val="it-IT"/>
      </w:rPr>
      <w:t xml:space="preserve"> Pubblicato nel Dicembre 2013</w:t>
    </w:r>
  </w:p>
  <w:p w14:paraId="05B48536" w14:textId="77777777" w:rsidR="00C86F50" w:rsidRPr="00DE17D5" w:rsidRDefault="00C86F50" w:rsidP="00DE17D5">
    <w:pPr>
      <w:pStyle w:val="Footer"/>
      <w:rPr>
        <w:rFonts w:ascii="Trebuchet MS" w:hAnsi="Trebuchet MS"/>
        <w:color w:val="808080"/>
        <w:sz w:val="14"/>
      </w:rPr>
    </w:pPr>
    <w:r>
      <w:rPr>
        <w:rFonts w:ascii="Trebuchet MS" w:hAnsi="Trebuchet MS"/>
        <w:color w:val="808080"/>
        <w:sz w:val="14"/>
      </w:rPr>
      <w:t>Microsoft è un marchio registrato di Microsoft Corporation negli Stati Uniti e/o negli altri paesi.</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229F54" w14:textId="77777777" w:rsidR="00C86F50" w:rsidRDefault="00C86F50"/>
  <w:p w14:paraId="6A4715AE" w14:textId="77777777" w:rsidR="00C86F50" w:rsidRDefault="00C86F50">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xml:space="preserve">© 2009 Microsoft Corporation. Tutti i diritti riservati. Pagina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di </w:t>
    </w:r>
    <w:fldSimple w:instr=" NUMPAGES ">
      <w:r>
        <w:rPr>
          <w:noProof/>
        </w:rPr>
        <w:t>201</w:t>
      </w:r>
    </w:fldSimple>
    <w:r>
      <w:t xml:space="preserve"> Pubblicato a maggio 2009</w:t>
    </w:r>
  </w:p>
  <w:p w14:paraId="4417AEF2" w14:textId="77777777" w:rsidR="00C86F50" w:rsidRDefault="00C86F50">
    <w:pPr>
      <w:pStyle w:val="Footer"/>
      <w:rPr>
        <w:rFonts w:ascii="Verdana" w:hAnsi="Verdana"/>
        <w:color w:val="808080"/>
        <w:sz w:val="16"/>
      </w:rPr>
    </w:pPr>
    <w:r>
      <w:rPr>
        <w:rFonts w:ascii="Trebuchet MS" w:hAnsi="Trebuchet MS"/>
        <w:color w:val="808080"/>
        <w:sz w:val="14"/>
      </w:rPr>
      <w:t>Microsoft è un marchio registrato di Microsoft Corporation negli Stati Uniti e/o negli altri paesi.</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4EAFB56" w14:textId="77777777" w:rsidR="00C86F50" w:rsidRDefault="00C86F50">
      <w:r>
        <w:separator/>
      </w:r>
    </w:p>
  </w:footnote>
  <w:footnote w:type="continuationSeparator" w:id="0">
    <w:p w14:paraId="315FBDA6" w14:textId="77777777" w:rsidR="00C86F50" w:rsidRDefault="00C86F50">
      <w:r>
        <w:continuationSeparator/>
      </w:r>
    </w:p>
  </w:footnote>
  <w:footnote w:type="continuationNotice" w:id="1">
    <w:p w14:paraId="04B02FCB" w14:textId="77777777" w:rsidR="00C86F50" w:rsidRDefault="00C86F5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224DD2" w14:textId="77777777" w:rsidR="00C86F50" w:rsidRDefault="00C86F50">
    <w:pPr>
      <w:pStyle w:val="Header"/>
      <w:tabs>
        <w:tab w:val="clear" w:pos="3240"/>
        <w:tab w:val="left" w:pos="2970"/>
      </w:tabs>
      <w:ind w:firstLine="2160"/>
    </w:pPr>
    <w:r>
      <w:rPr>
        <w:noProof/>
      </w:rPr>
      <mc:AlternateContent>
        <mc:Choice Requires="wps">
          <w:drawing>
            <wp:anchor distT="0" distB="0" distL="114300" distR="114300" simplePos="0" relativeHeight="251658240" behindDoc="0" locked="0" layoutInCell="0" allowOverlap="1" wp14:anchorId="6A31B2DE" wp14:editId="0FA7D54E">
              <wp:simplePos x="0" y="0"/>
              <wp:positionH relativeFrom="column">
                <wp:posOffset>-314325</wp:posOffset>
              </wp:positionH>
              <wp:positionV relativeFrom="paragraph">
                <wp:posOffset>-139700</wp:posOffset>
              </wp:positionV>
              <wp:extent cx="2228850" cy="574675"/>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7A68D8" w14:textId="77777777" w:rsidR="00C86F50" w:rsidRDefault="00C86F50">
                          <w:r>
                            <w:rPr>
                              <w:noProof/>
                            </w:rPr>
                            <w:drawing>
                              <wp:inline distT="0" distB="0" distL="0" distR="0" wp14:anchorId="3F33F9F4" wp14:editId="4808DC42">
                                <wp:extent cx="1952625" cy="495300"/>
                                <wp:effectExtent l="0" t="0" r="9525" b="0"/>
                                <wp:docPr id="117" name="Picture 24" descr="Description: logo(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logo(IT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625" cy="4953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A31B2D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X2K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R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DbbX2KtAIAALkF&#10;AAAOAAAAAAAAAAAAAAAAAC4CAABkcnMvZTJvRG9jLnhtbFBLAQItABQABgAIAAAAIQCFKH3C3wAA&#10;AAoBAAAPAAAAAAAAAAAAAAAAAA4FAABkcnMvZG93bnJldi54bWxQSwUGAAAAAAQABADzAAAAGgYA&#10;AAAA&#10;" o:allowincell="f" filled="f" stroked="f">
              <v:textbox>
                <w:txbxContent>
                  <w:p w14:paraId="2C7A68D8" w14:textId="77777777" w:rsidR="00C86F50" w:rsidRDefault="00C86F50">
                    <w:r>
                      <w:rPr>
                        <w:noProof/>
                      </w:rPr>
                      <w:drawing>
                        <wp:inline distT="0" distB="0" distL="0" distR="0" wp14:anchorId="3F33F9F4" wp14:editId="4808DC42">
                          <wp:extent cx="1952625" cy="495300"/>
                          <wp:effectExtent l="0" t="0" r="9525" b="0"/>
                          <wp:docPr id="117" name="Picture 24" descr="Description: logo(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logo(IT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625" cy="495300"/>
                                  </a:xfrm>
                                  <a:prstGeom prst="rect">
                                    <a:avLst/>
                                  </a:prstGeom>
                                  <a:noFill/>
                                  <a:ln>
                                    <a:noFill/>
                                  </a:ln>
                                </pic:spPr>
                              </pic:pic>
                            </a:graphicData>
                          </a:graphic>
                        </wp:inline>
                      </w:drawing>
                    </w:r>
                  </w:p>
                </w:txbxContent>
              </v:textbox>
            </v:shape>
          </w:pict>
        </mc:Fallback>
      </mc:AlternateContent>
    </w:r>
  </w:p>
  <w:p w14:paraId="25102D02" w14:textId="77777777" w:rsidR="00C86F50" w:rsidRDefault="00C86F50">
    <w:r>
      <w:rPr>
        <w:noProof/>
      </w:rPr>
      <mc:AlternateContent>
        <mc:Choice Requires="wps">
          <w:drawing>
            <wp:anchor distT="4294967295" distB="4294967295" distL="114300" distR="114300" simplePos="0" relativeHeight="251658241" behindDoc="0" locked="0" layoutInCell="0" allowOverlap="1" wp14:anchorId="34AEBEF8" wp14:editId="2EE0FB53">
              <wp:simplePos x="0" y="0"/>
              <wp:positionH relativeFrom="column">
                <wp:posOffset>-23495</wp:posOffset>
              </wp:positionH>
              <wp:positionV relativeFrom="paragraph">
                <wp:posOffset>70484</wp:posOffset>
              </wp:positionV>
              <wp:extent cx="6931025" cy="0"/>
              <wp:effectExtent l="0" t="0" r="22225" b="1905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69D55F" id="Line 5"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BFF7ED" w14:textId="77777777" w:rsidR="00C86F50" w:rsidRDefault="00C86F50" w:rsidP="00290FC1">
    <w:pPr>
      <w:ind w:rightChars="185" w:right="333"/>
    </w:pPr>
  </w:p>
  <w:p w14:paraId="06972A79" w14:textId="77777777" w:rsidR="00C86F50" w:rsidRDefault="00C86F50" w:rsidP="00290FC1">
    <w:pPr>
      <w:ind w:rightChars="185" w:right="333"/>
    </w:pPr>
  </w:p>
  <w:p w14:paraId="70452298" w14:textId="77777777" w:rsidR="00C86F50" w:rsidRDefault="00C86F50" w:rsidP="00290FC1">
    <w:pPr>
      <w:ind w:rightChars="185" w:right="333"/>
    </w:pPr>
    <w:r>
      <w:rPr>
        <w:noProof/>
      </w:rPr>
      <w:drawing>
        <wp:anchor distT="0" distB="0" distL="114300" distR="114300" simplePos="0" relativeHeight="251658242" behindDoc="0" locked="0" layoutInCell="1" allowOverlap="1" wp14:anchorId="081660B8" wp14:editId="5D8923D8">
          <wp:simplePos x="0" y="0"/>
          <wp:positionH relativeFrom="margin">
            <wp:align>center</wp:align>
          </wp:positionH>
          <wp:positionV relativeFrom="paragraph">
            <wp:posOffset>15240</wp:posOffset>
          </wp:positionV>
          <wp:extent cx="5734050" cy="561975"/>
          <wp:effectExtent l="0" t="0" r="0" b="9525"/>
          <wp:wrapNone/>
          <wp:docPr id="116"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274D1BBA" w14:textId="77777777" w:rsidR="00C86F50" w:rsidRDefault="00C86F50">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37E735" w14:textId="77777777" w:rsidR="00C86F50" w:rsidRDefault="00C86F50" w:rsidP="00F8080D">
    <w:pPr>
      <w:ind w:rightChars="185" w:right="333"/>
    </w:pPr>
  </w:p>
  <w:p w14:paraId="35AD8DEF" w14:textId="77777777" w:rsidR="00C86F50" w:rsidRDefault="00C86F50">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5F4C4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00A7244"/>
    <w:multiLevelType w:val="hybridMultilevel"/>
    <w:tmpl w:val="F2B81F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8BFE2B08"/>
    <w:lvl w:ilvl="0" w:tplc="3C20F718">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3">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5">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8">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9">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0">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3">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8">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4">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5">
    <w:nsid w:val="46EF72CA"/>
    <w:multiLevelType w:val="hybridMultilevel"/>
    <w:tmpl w:val="CC46245E"/>
    <w:lvl w:ilvl="0" w:tplc="6C06895C">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6">
    <w:nsid w:val="479D0982"/>
    <w:multiLevelType w:val="hybridMultilevel"/>
    <w:tmpl w:val="4E72E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8">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4A5D2601"/>
    <w:multiLevelType w:val="hybridMultilevel"/>
    <w:tmpl w:val="718A5F60"/>
    <w:lvl w:ilvl="0" w:tplc="04090017">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1">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2">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4">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6">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7">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9">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0">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2">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4">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5">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6">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7">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5BB27E92"/>
    <w:multiLevelType w:val="hybridMultilevel"/>
    <w:tmpl w:val="0DE08DBC"/>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D5E09928">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9">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1">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2">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4">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5">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6">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7">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0">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1">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2">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3">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4">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5">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B2C4D22"/>
    <w:multiLevelType w:val="hybridMultilevel"/>
    <w:tmpl w:val="3830DCEC"/>
    <w:lvl w:ilvl="0" w:tplc="D902DDBC">
      <w:start w:val="1"/>
      <w:numFmt w:val="bullet"/>
      <w:lvlText w:val=""/>
      <w:lvlJc w:val="left"/>
      <w:pPr>
        <w:ind w:left="720" w:hanging="360"/>
      </w:pPr>
      <w:rPr>
        <w:rFonts w:ascii="Webdings" w:hAnsi="Webdings" w:hint="default"/>
        <w:b w:val="0"/>
        <w:i w:val="0"/>
        <w:color w:val="FF6600"/>
        <w:sz w:val="24"/>
      </w:rPr>
    </w:lvl>
    <w:lvl w:ilvl="1" w:tplc="F8C08120">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1">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3">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4">
    <w:nsid w:val="732A64D7"/>
    <w:multiLevelType w:val="hybridMultilevel"/>
    <w:tmpl w:val="A096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6">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7">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8">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1">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2">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4">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5">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6">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8">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1">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4"/>
  </w:num>
  <w:num w:numId="2">
    <w:abstractNumId w:val="37"/>
  </w:num>
  <w:num w:numId="3">
    <w:abstractNumId w:val="123"/>
  </w:num>
  <w:num w:numId="4">
    <w:abstractNumId w:val="1"/>
  </w:num>
  <w:num w:numId="5">
    <w:abstractNumId w:val="12"/>
  </w:num>
  <w:num w:numId="6">
    <w:abstractNumId w:val="134"/>
  </w:num>
  <w:num w:numId="7">
    <w:abstractNumId w:val="0"/>
  </w:num>
  <w:num w:numId="8">
    <w:abstractNumId w:val="127"/>
  </w:num>
  <w:num w:numId="9">
    <w:abstractNumId w:val="65"/>
  </w:num>
  <w:num w:numId="10">
    <w:abstractNumId w:val="141"/>
  </w:num>
  <w:num w:numId="11">
    <w:abstractNumId w:val="132"/>
  </w:num>
  <w:num w:numId="12">
    <w:abstractNumId w:val="112"/>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5"/>
  </w:num>
  <w:num w:numId="14">
    <w:abstractNumId w:val="77"/>
  </w:num>
  <w:num w:numId="15">
    <w:abstractNumId w:val="22"/>
  </w:num>
  <w:num w:numId="16">
    <w:abstractNumId w:val="29"/>
  </w:num>
  <w:num w:numId="17">
    <w:abstractNumId w:val="125"/>
  </w:num>
  <w:num w:numId="18">
    <w:abstractNumId w:val="1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2"/>
  </w:num>
  <w:num w:numId="20">
    <w:abstractNumId w:val="48"/>
  </w:num>
  <w:num w:numId="21">
    <w:abstractNumId w:val="78"/>
  </w:num>
  <w:num w:numId="22">
    <w:abstractNumId w:val="107"/>
  </w:num>
  <w:num w:numId="23">
    <w:abstractNumId w:val="44"/>
  </w:num>
  <w:num w:numId="24">
    <w:abstractNumId w:val="59"/>
  </w:num>
  <w:num w:numId="25">
    <w:abstractNumId w:val="57"/>
  </w:num>
  <w:num w:numId="26">
    <w:abstractNumId w:val="40"/>
  </w:num>
  <w:num w:numId="27">
    <w:abstractNumId w:val="8"/>
  </w:num>
  <w:num w:numId="28">
    <w:abstractNumId w:val="112"/>
  </w:num>
  <w:num w:numId="29">
    <w:abstractNumId w:val="110"/>
  </w:num>
  <w:num w:numId="30">
    <w:abstractNumId w:val="88"/>
  </w:num>
  <w:num w:numId="31">
    <w:abstractNumId w:val="45"/>
  </w:num>
  <w:num w:numId="32">
    <w:abstractNumId w:val="137"/>
  </w:num>
  <w:num w:numId="33">
    <w:abstractNumId w:val="130"/>
  </w:num>
  <w:num w:numId="34">
    <w:abstractNumId w:val="120"/>
  </w:num>
  <w:num w:numId="35">
    <w:abstractNumId w:val="7"/>
  </w:num>
  <w:num w:numId="36">
    <w:abstractNumId w:val="105"/>
  </w:num>
  <w:num w:numId="37">
    <w:abstractNumId w:val="16"/>
  </w:num>
  <w:num w:numId="38">
    <w:abstractNumId w:val="38"/>
  </w:num>
  <w:num w:numId="39">
    <w:abstractNumId w:val="47"/>
  </w:num>
  <w:num w:numId="40">
    <w:abstractNumId w:val="25"/>
  </w:num>
  <w:num w:numId="41">
    <w:abstractNumId w:val="34"/>
  </w:num>
  <w:num w:numId="42">
    <w:abstractNumId w:val="87"/>
  </w:num>
  <w:num w:numId="43">
    <w:abstractNumId w:val="32"/>
  </w:num>
  <w:num w:numId="44">
    <w:abstractNumId w:val="84"/>
  </w:num>
  <w:num w:numId="45">
    <w:abstractNumId w:val="129"/>
  </w:num>
  <w:num w:numId="46">
    <w:abstractNumId w:val="119"/>
  </w:num>
  <w:num w:numId="47">
    <w:abstractNumId w:val="111"/>
  </w:num>
  <w:num w:numId="48">
    <w:abstractNumId w:val="43"/>
  </w:num>
  <w:num w:numId="49">
    <w:abstractNumId w:val="90"/>
  </w:num>
  <w:num w:numId="50">
    <w:abstractNumId w:val="35"/>
  </w:num>
  <w:num w:numId="51">
    <w:abstractNumId w:val="18"/>
  </w:num>
  <w:num w:numId="52">
    <w:abstractNumId w:val="63"/>
  </w:num>
  <w:num w:numId="53">
    <w:abstractNumId w:val="33"/>
  </w:num>
  <w:num w:numId="54">
    <w:abstractNumId w:val="98"/>
  </w:num>
  <w:num w:numId="55">
    <w:abstractNumId w:val="2"/>
  </w:num>
  <w:num w:numId="56">
    <w:abstractNumId w:val="10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7"/>
  </w:num>
  <w:num w:numId="58">
    <w:abstractNumId w:val="42"/>
  </w:num>
  <w:num w:numId="59">
    <w:abstractNumId w:val="58"/>
  </w:num>
  <w:num w:numId="60">
    <w:abstractNumId w:val="114"/>
  </w:num>
  <w:num w:numId="61">
    <w:abstractNumId w:val="27"/>
  </w:num>
  <w:num w:numId="62">
    <w:abstractNumId w:val="9"/>
  </w:num>
  <w:num w:numId="63">
    <w:abstractNumId w:val="21"/>
  </w:num>
  <w:num w:numId="64">
    <w:abstractNumId w:val="138"/>
  </w:num>
  <w:num w:numId="65">
    <w:abstractNumId w:val="75"/>
  </w:num>
  <w:num w:numId="66">
    <w:abstractNumId w:val="118"/>
  </w:num>
  <w:num w:numId="67">
    <w:abstractNumId w:val="69"/>
  </w:num>
  <w:num w:numId="68">
    <w:abstractNumId w:val="54"/>
  </w:num>
  <w:num w:numId="69">
    <w:abstractNumId w:val="103"/>
  </w:num>
  <w:num w:numId="70">
    <w:abstractNumId w:val="100"/>
  </w:num>
  <w:num w:numId="71">
    <w:abstractNumId w:val="10"/>
  </w:num>
  <w:num w:numId="72">
    <w:abstractNumId w:val="96"/>
  </w:num>
  <w:num w:numId="73">
    <w:abstractNumId w:val="113"/>
  </w:num>
  <w:num w:numId="74">
    <w:abstractNumId w:val="117"/>
  </w:num>
  <w:num w:numId="75">
    <w:abstractNumId w:val="85"/>
  </w:num>
  <w:num w:numId="76">
    <w:abstractNumId w:val="106"/>
  </w:num>
  <w:num w:numId="77">
    <w:abstractNumId w:val="81"/>
  </w:num>
  <w:num w:numId="78">
    <w:abstractNumId w:val="136"/>
  </w:num>
  <w:num w:numId="79">
    <w:abstractNumId w:val="71"/>
  </w:num>
  <w:num w:numId="80">
    <w:abstractNumId w:val="82"/>
  </w:num>
  <w:num w:numId="81">
    <w:abstractNumId w:val="17"/>
  </w:num>
  <w:num w:numId="82">
    <w:abstractNumId w:val="60"/>
  </w:num>
  <w:num w:numId="83">
    <w:abstractNumId w:val="15"/>
  </w:num>
  <w:num w:numId="84">
    <w:abstractNumId w:val="41"/>
  </w:num>
  <w:num w:numId="85">
    <w:abstractNumId w:val="131"/>
  </w:num>
  <w:num w:numId="86">
    <w:abstractNumId w:val="70"/>
  </w:num>
  <w:num w:numId="87">
    <w:abstractNumId w:val="36"/>
  </w:num>
  <w:num w:numId="88">
    <w:abstractNumId w:val="89"/>
  </w:num>
  <w:num w:numId="89">
    <w:abstractNumId w:val="51"/>
  </w:num>
  <w:num w:numId="90">
    <w:abstractNumId w:val="19"/>
  </w:num>
  <w:num w:numId="91">
    <w:abstractNumId w:val="56"/>
  </w:num>
  <w:num w:numId="92">
    <w:abstractNumId w:val="140"/>
  </w:num>
  <w:num w:numId="93">
    <w:abstractNumId w:val="139"/>
  </w:num>
  <w:num w:numId="94">
    <w:abstractNumId w:val="62"/>
  </w:num>
  <w:num w:numId="95">
    <w:abstractNumId w:val="73"/>
  </w:num>
  <w:num w:numId="96">
    <w:abstractNumId w:val="3"/>
  </w:num>
  <w:num w:numId="97">
    <w:abstractNumId w:val="99"/>
  </w:num>
  <w:num w:numId="98">
    <w:abstractNumId w:val="31"/>
  </w:num>
  <w:num w:numId="99">
    <w:abstractNumId w:val="128"/>
  </w:num>
  <w:num w:numId="100">
    <w:abstractNumId w:val="109"/>
  </w:num>
  <w:num w:numId="101">
    <w:abstractNumId w:val="5"/>
  </w:num>
  <w:num w:numId="102">
    <w:abstractNumId w:val="137"/>
  </w:num>
  <w:num w:numId="103">
    <w:abstractNumId w:val="93"/>
  </w:num>
  <w:num w:numId="104">
    <w:abstractNumId w:val="68"/>
  </w:num>
  <w:num w:numId="105">
    <w:abstractNumId w:val="4"/>
  </w:num>
  <w:num w:numId="106">
    <w:abstractNumId w:val="55"/>
  </w:num>
  <w:num w:numId="107">
    <w:abstractNumId w:val="72"/>
  </w:num>
  <w:num w:numId="108">
    <w:abstractNumId w:val="92"/>
  </w:num>
  <w:num w:numId="109">
    <w:abstractNumId w:val="115"/>
  </w:num>
  <w:num w:numId="110">
    <w:abstractNumId w:val="20"/>
  </w:num>
  <w:num w:numId="111">
    <w:abstractNumId w:val="108"/>
  </w:num>
  <w:num w:numId="112">
    <w:abstractNumId w:val="121"/>
  </w:num>
  <w:num w:numId="113">
    <w:abstractNumId w:val="14"/>
  </w:num>
  <w:num w:numId="114">
    <w:abstractNumId w:val="116"/>
  </w:num>
  <w:num w:numId="115">
    <w:abstractNumId w:val="39"/>
  </w:num>
  <w:num w:numId="116">
    <w:abstractNumId w:val="133"/>
  </w:num>
  <w:num w:numId="117">
    <w:abstractNumId w:val="95"/>
  </w:num>
  <w:num w:numId="118">
    <w:abstractNumId w:val="6"/>
  </w:num>
  <w:num w:numId="119">
    <w:abstractNumId w:val="13"/>
  </w:num>
  <w:num w:numId="120">
    <w:abstractNumId w:val="104"/>
  </w:num>
  <w:num w:numId="121">
    <w:abstractNumId w:val="24"/>
  </w:num>
  <w:num w:numId="122">
    <w:abstractNumId w:val="83"/>
  </w:num>
  <w:num w:numId="123">
    <w:abstractNumId w:val="61"/>
  </w:num>
  <w:num w:numId="1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5"/>
    <w:lvlOverride w:ilvl="0"/>
    <w:lvlOverride w:ilvl="1">
      <w:startOverride w:val="1"/>
    </w:lvlOverride>
    <w:lvlOverride w:ilvl="2"/>
    <w:lvlOverride w:ilvl="3"/>
    <w:lvlOverride w:ilvl="4"/>
    <w:lvlOverride w:ilvl="5"/>
    <w:lvlOverride w:ilvl="6"/>
    <w:lvlOverride w:ilvl="7"/>
    <w:lvlOverride w:ilvl="8"/>
  </w:num>
  <w:num w:numId="127">
    <w:abstractNumId w:val="79"/>
  </w:num>
  <w:num w:numId="128">
    <w:abstractNumId w:val="52"/>
  </w:num>
  <w:num w:numId="129">
    <w:abstractNumId w:val="91"/>
  </w:num>
  <w:num w:numId="130">
    <w:abstractNumId w:val="126"/>
  </w:num>
  <w:num w:numId="131">
    <w:abstractNumId w:val="67"/>
  </w:num>
  <w:num w:numId="132">
    <w:abstractNumId w:val="26"/>
  </w:num>
  <w:num w:numId="133">
    <w:abstractNumId w:val="102"/>
  </w:num>
  <w:num w:numId="134">
    <w:abstractNumId w:val="101"/>
  </w:num>
  <w:num w:numId="135">
    <w:abstractNumId w:val="66"/>
  </w:num>
  <w:num w:numId="136">
    <w:abstractNumId w:val="86"/>
  </w:num>
  <w:num w:numId="137">
    <w:abstractNumId w:val="53"/>
  </w:num>
  <w:num w:numId="138">
    <w:abstractNumId w:val="49"/>
  </w:num>
  <w:num w:numId="139">
    <w:abstractNumId w:val="50"/>
  </w:num>
  <w:num w:numId="140">
    <w:abstractNumId w:val="30"/>
  </w:num>
  <w:num w:numId="141">
    <w:abstractNumId w:val="94"/>
  </w:num>
  <w:num w:numId="142">
    <w:abstractNumId w:val="74"/>
  </w:num>
  <w:num w:numId="143">
    <w:abstractNumId w:val="124"/>
  </w:num>
  <w:num w:numId="144">
    <w:abstractNumId w:val="23"/>
  </w:num>
  <w:num w:numId="145">
    <w:abstractNumId w:val="76"/>
  </w:num>
  <w:num w:numId="146">
    <w:abstractNumId w:val="11"/>
  </w:num>
  <w:num w:numId="147">
    <w:abstractNumId w:val="80"/>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documentProtection w:edit="readOnly" w:formatting="1" w:enforcement="1" w:cryptProviderType="rsaAES" w:cryptAlgorithmClass="hash" w:cryptAlgorithmType="typeAny" w:cryptAlgorithmSid="14" w:cryptSpinCount="100000" w:hash="SS3Lktmg5GbwiRFlO/8tF3L1ohvIi7UhkKbASQYzad/X4JK6H5fz7O2WUBivY/98UV+i4FD9lu2Ra0iPBFaWmw==" w:salt="Xeha8RwyNUq8QqT9dhGijg=="/>
  <w:defaultTabStop w:val="720"/>
  <w:drawingGridHorizontalSpacing w:val="110"/>
  <w:displayHorizontalDrawingGridEvery w:val="2"/>
  <w:characterSpacingControl w:val="doNotCompress"/>
  <w:hdrShapeDefaults>
    <o:shapedefaults v:ext="edit" spidmax="4097">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078"/>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47DA"/>
    <w:rsid w:val="000354B6"/>
    <w:rsid w:val="00035663"/>
    <w:rsid w:val="00036150"/>
    <w:rsid w:val="000365B0"/>
    <w:rsid w:val="00036A4A"/>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047"/>
    <w:rsid w:val="00060238"/>
    <w:rsid w:val="00060959"/>
    <w:rsid w:val="00061A45"/>
    <w:rsid w:val="00061A6E"/>
    <w:rsid w:val="000626C8"/>
    <w:rsid w:val="0006338A"/>
    <w:rsid w:val="00063577"/>
    <w:rsid w:val="000658AA"/>
    <w:rsid w:val="00066528"/>
    <w:rsid w:val="00067AB1"/>
    <w:rsid w:val="00070945"/>
    <w:rsid w:val="0007160C"/>
    <w:rsid w:val="00071922"/>
    <w:rsid w:val="0007218F"/>
    <w:rsid w:val="000731D9"/>
    <w:rsid w:val="0007323C"/>
    <w:rsid w:val="00073E15"/>
    <w:rsid w:val="0007499D"/>
    <w:rsid w:val="00074BB0"/>
    <w:rsid w:val="00074E4E"/>
    <w:rsid w:val="0007557E"/>
    <w:rsid w:val="000756F1"/>
    <w:rsid w:val="00075CCA"/>
    <w:rsid w:val="0007693E"/>
    <w:rsid w:val="00076947"/>
    <w:rsid w:val="00076CB4"/>
    <w:rsid w:val="000773D2"/>
    <w:rsid w:val="00077BAC"/>
    <w:rsid w:val="00077CE5"/>
    <w:rsid w:val="0008036A"/>
    <w:rsid w:val="00080982"/>
    <w:rsid w:val="00080B33"/>
    <w:rsid w:val="00081064"/>
    <w:rsid w:val="00081AEC"/>
    <w:rsid w:val="00081C19"/>
    <w:rsid w:val="00082458"/>
    <w:rsid w:val="00082CBC"/>
    <w:rsid w:val="0008414D"/>
    <w:rsid w:val="000841C9"/>
    <w:rsid w:val="0008452D"/>
    <w:rsid w:val="00084B9E"/>
    <w:rsid w:val="00085002"/>
    <w:rsid w:val="00085C3C"/>
    <w:rsid w:val="00087380"/>
    <w:rsid w:val="000907C7"/>
    <w:rsid w:val="000908B0"/>
    <w:rsid w:val="00090A32"/>
    <w:rsid w:val="0009153E"/>
    <w:rsid w:val="00091558"/>
    <w:rsid w:val="000916C1"/>
    <w:rsid w:val="000916C5"/>
    <w:rsid w:val="00092855"/>
    <w:rsid w:val="00092E9E"/>
    <w:rsid w:val="00092F30"/>
    <w:rsid w:val="000937BB"/>
    <w:rsid w:val="00094035"/>
    <w:rsid w:val="000945E1"/>
    <w:rsid w:val="000956ED"/>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2B8"/>
    <w:rsid w:val="000B0696"/>
    <w:rsid w:val="000B0A08"/>
    <w:rsid w:val="000B0A66"/>
    <w:rsid w:val="000B0B0D"/>
    <w:rsid w:val="000B0C6D"/>
    <w:rsid w:val="000B2451"/>
    <w:rsid w:val="000B2DFF"/>
    <w:rsid w:val="000B326B"/>
    <w:rsid w:val="000B3EED"/>
    <w:rsid w:val="000B4C49"/>
    <w:rsid w:val="000B4E0C"/>
    <w:rsid w:val="000B536E"/>
    <w:rsid w:val="000B5A31"/>
    <w:rsid w:val="000B5EFD"/>
    <w:rsid w:val="000B668F"/>
    <w:rsid w:val="000B6DE0"/>
    <w:rsid w:val="000B7662"/>
    <w:rsid w:val="000B780A"/>
    <w:rsid w:val="000C03F3"/>
    <w:rsid w:val="000C0FBE"/>
    <w:rsid w:val="000C1619"/>
    <w:rsid w:val="000C185F"/>
    <w:rsid w:val="000C2842"/>
    <w:rsid w:val="000C2964"/>
    <w:rsid w:val="000C32C3"/>
    <w:rsid w:val="000C3CB1"/>
    <w:rsid w:val="000C4911"/>
    <w:rsid w:val="000C61CE"/>
    <w:rsid w:val="000C622E"/>
    <w:rsid w:val="000C676D"/>
    <w:rsid w:val="000C6865"/>
    <w:rsid w:val="000C6A47"/>
    <w:rsid w:val="000C6C07"/>
    <w:rsid w:val="000C6D9B"/>
    <w:rsid w:val="000C6DBC"/>
    <w:rsid w:val="000C72FC"/>
    <w:rsid w:val="000C79A2"/>
    <w:rsid w:val="000C7C7E"/>
    <w:rsid w:val="000D158E"/>
    <w:rsid w:val="000D17D6"/>
    <w:rsid w:val="000D2804"/>
    <w:rsid w:val="000D2E35"/>
    <w:rsid w:val="000D399F"/>
    <w:rsid w:val="000D4008"/>
    <w:rsid w:val="000D454E"/>
    <w:rsid w:val="000D4ECA"/>
    <w:rsid w:val="000D5E2F"/>
    <w:rsid w:val="000D5F24"/>
    <w:rsid w:val="000D747C"/>
    <w:rsid w:val="000D76F0"/>
    <w:rsid w:val="000D77DE"/>
    <w:rsid w:val="000E04C0"/>
    <w:rsid w:val="000E05B0"/>
    <w:rsid w:val="000E0C44"/>
    <w:rsid w:val="000E1409"/>
    <w:rsid w:val="000E1C1F"/>
    <w:rsid w:val="000E260B"/>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4095"/>
    <w:rsid w:val="000F4E3B"/>
    <w:rsid w:val="000F51BC"/>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07AFE"/>
    <w:rsid w:val="001106F5"/>
    <w:rsid w:val="00110AFB"/>
    <w:rsid w:val="00110E1D"/>
    <w:rsid w:val="001123CB"/>
    <w:rsid w:val="00112425"/>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46AF"/>
    <w:rsid w:val="00145507"/>
    <w:rsid w:val="00145E67"/>
    <w:rsid w:val="00145EAD"/>
    <w:rsid w:val="0014632E"/>
    <w:rsid w:val="00146FC7"/>
    <w:rsid w:val="001472CD"/>
    <w:rsid w:val="001475EA"/>
    <w:rsid w:val="00147698"/>
    <w:rsid w:val="00151496"/>
    <w:rsid w:val="00152361"/>
    <w:rsid w:val="00152E1B"/>
    <w:rsid w:val="00152FCC"/>
    <w:rsid w:val="001538D0"/>
    <w:rsid w:val="00154676"/>
    <w:rsid w:val="00155B9B"/>
    <w:rsid w:val="00155ECD"/>
    <w:rsid w:val="00156AE7"/>
    <w:rsid w:val="00156B3C"/>
    <w:rsid w:val="0016067A"/>
    <w:rsid w:val="00160C27"/>
    <w:rsid w:val="00162A93"/>
    <w:rsid w:val="00162ADA"/>
    <w:rsid w:val="00163658"/>
    <w:rsid w:val="00163848"/>
    <w:rsid w:val="00164103"/>
    <w:rsid w:val="001641EC"/>
    <w:rsid w:val="00164CEB"/>
    <w:rsid w:val="0016502C"/>
    <w:rsid w:val="001652F4"/>
    <w:rsid w:val="00165736"/>
    <w:rsid w:val="001665D9"/>
    <w:rsid w:val="00166F21"/>
    <w:rsid w:val="00167B61"/>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80075"/>
    <w:rsid w:val="00180358"/>
    <w:rsid w:val="00180424"/>
    <w:rsid w:val="0018059D"/>
    <w:rsid w:val="00180E25"/>
    <w:rsid w:val="00180F86"/>
    <w:rsid w:val="001812AF"/>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5D12"/>
    <w:rsid w:val="001A5DFA"/>
    <w:rsid w:val="001A63C6"/>
    <w:rsid w:val="001A7C63"/>
    <w:rsid w:val="001B035A"/>
    <w:rsid w:val="001B0B76"/>
    <w:rsid w:val="001B15A5"/>
    <w:rsid w:val="001B1DB9"/>
    <w:rsid w:val="001B1F6A"/>
    <w:rsid w:val="001B3397"/>
    <w:rsid w:val="001B413E"/>
    <w:rsid w:val="001B4E4D"/>
    <w:rsid w:val="001B4F17"/>
    <w:rsid w:val="001B5647"/>
    <w:rsid w:val="001B6FC8"/>
    <w:rsid w:val="001B7453"/>
    <w:rsid w:val="001B7889"/>
    <w:rsid w:val="001B7CC3"/>
    <w:rsid w:val="001B7E60"/>
    <w:rsid w:val="001C032E"/>
    <w:rsid w:val="001C076E"/>
    <w:rsid w:val="001C0B01"/>
    <w:rsid w:val="001C123D"/>
    <w:rsid w:val="001C1727"/>
    <w:rsid w:val="001C17FF"/>
    <w:rsid w:val="001C1CB1"/>
    <w:rsid w:val="001C20C9"/>
    <w:rsid w:val="001C310B"/>
    <w:rsid w:val="001C369B"/>
    <w:rsid w:val="001C38D4"/>
    <w:rsid w:val="001C3A4A"/>
    <w:rsid w:val="001C4212"/>
    <w:rsid w:val="001C451E"/>
    <w:rsid w:val="001C4AC1"/>
    <w:rsid w:val="001C5084"/>
    <w:rsid w:val="001C55B1"/>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9EE"/>
    <w:rsid w:val="001F3114"/>
    <w:rsid w:val="001F45C4"/>
    <w:rsid w:val="001F52D2"/>
    <w:rsid w:val="001F5E7D"/>
    <w:rsid w:val="001F63D6"/>
    <w:rsid w:val="001F67F9"/>
    <w:rsid w:val="001F71F2"/>
    <w:rsid w:val="001F7D7B"/>
    <w:rsid w:val="0020051A"/>
    <w:rsid w:val="00200E1A"/>
    <w:rsid w:val="00201361"/>
    <w:rsid w:val="002015BC"/>
    <w:rsid w:val="00202A44"/>
    <w:rsid w:val="002030E1"/>
    <w:rsid w:val="00204A8E"/>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0B5"/>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CF6"/>
    <w:rsid w:val="00226DE5"/>
    <w:rsid w:val="00226E5F"/>
    <w:rsid w:val="002278A3"/>
    <w:rsid w:val="00230134"/>
    <w:rsid w:val="002302BA"/>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37C63"/>
    <w:rsid w:val="00240D99"/>
    <w:rsid w:val="00241434"/>
    <w:rsid w:val="00241602"/>
    <w:rsid w:val="00241674"/>
    <w:rsid w:val="00241885"/>
    <w:rsid w:val="00242218"/>
    <w:rsid w:val="002425DA"/>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E73"/>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2672"/>
    <w:rsid w:val="00263B62"/>
    <w:rsid w:val="00264630"/>
    <w:rsid w:val="002653EB"/>
    <w:rsid w:val="0026584E"/>
    <w:rsid w:val="00265AC3"/>
    <w:rsid w:val="0026606F"/>
    <w:rsid w:val="00266AF5"/>
    <w:rsid w:val="00266F0E"/>
    <w:rsid w:val="0026723A"/>
    <w:rsid w:val="002677F5"/>
    <w:rsid w:val="0027028A"/>
    <w:rsid w:val="00270612"/>
    <w:rsid w:val="00270641"/>
    <w:rsid w:val="00270850"/>
    <w:rsid w:val="00270EBE"/>
    <w:rsid w:val="00270F92"/>
    <w:rsid w:val="00271E9A"/>
    <w:rsid w:val="00272869"/>
    <w:rsid w:val="00272E63"/>
    <w:rsid w:val="00273685"/>
    <w:rsid w:val="00273C3F"/>
    <w:rsid w:val="00273EB9"/>
    <w:rsid w:val="00274069"/>
    <w:rsid w:val="002751F6"/>
    <w:rsid w:val="00276586"/>
    <w:rsid w:val="002765CF"/>
    <w:rsid w:val="00276C4D"/>
    <w:rsid w:val="00277145"/>
    <w:rsid w:val="0028033C"/>
    <w:rsid w:val="00280A25"/>
    <w:rsid w:val="00281082"/>
    <w:rsid w:val="00281B6E"/>
    <w:rsid w:val="00282165"/>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2088"/>
    <w:rsid w:val="0029223A"/>
    <w:rsid w:val="0029286E"/>
    <w:rsid w:val="00292C42"/>
    <w:rsid w:val="00292C57"/>
    <w:rsid w:val="00292E78"/>
    <w:rsid w:val="002932AB"/>
    <w:rsid w:val="00293B24"/>
    <w:rsid w:val="002956DE"/>
    <w:rsid w:val="00295AED"/>
    <w:rsid w:val="00296925"/>
    <w:rsid w:val="00296B89"/>
    <w:rsid w:val="00297035"/>
    <w:rsid w:val="00297F37"/>
    <w:rsid w:val="00297FA5"/>
    <w:rsid w:val="002A01C2"/>
    <w:rsid w:val="002A0D4F"/>
    <w:rsid w:val="002A1564"/>
    <w:rsid w:val="002A1F73"/>
    <w:rsid w:val="002A3022"/>
    <w:rsid w:val="002A3AE6"/>
    <w:rsid w:val="002A4105"/>
    <w:rsid w:val="002A4AA5"/>
    <w:rsid w:val="002A4C2F"/>
    <w:rsid w:val="002A4C9D"/>
    <w:rsid w:val="002A5CC2"/>
    <w:rsid w:val="002A6416"/>
    <w:rsid w:val="002A6E97"/>
    <w:rsid w:val="002A7214"/>
    <w:rsid w:val="002A732F"/>
    <w:rsid w:val="002A760F"/>
    <w:rsid w:val="002A77B9"/>
    <w:rsid w:val="002B131B"/>
    <w:rsid w:val="002B1778"/>
    <w:rsid w:val="002B1F45"/>
    <w:rsid w:val="002B202E"/>
    <w:rsid w:val="002B2A1D"/>
    <w:rsid w:val="002B2F57"/>
    <w:rsid w:val="002B327C"/>
    <w:rsid w:val="002B4A9E"/>
    <w:rsid w:val="002B4E2B"/>
    <w:rsid w:val="002B4E5D"/>
    <w:rsid w:val="002B547C"/>
    <w:rsid w:val="002B5C31"/>
    <w:rsid w:val="002B60CA"/>
    <w:rsid w:val="002B7094"/>
    <w:rsid w:val="002B75CB"/>
    <w:rsid w:val="002C0225"/>
    <w:rsid w:val="002C0CE1"/>
    <w:rsid w:val="002C1048"/>
    <w:rsid w:val="002C1899"/>
    <w:rsid w:val="002C1A50"/>
    <w:rsid w:val="002C23E5"/>
    <w:rsid w:val="002C3AB1"/>
    <w:rsid w:val="002C3D8E"/>
    <w:rsid w:val="002C4982"/>
    <w:rsid w:val="002C4BA9"/>
    <w:rsid w:val="002C509B"/>
    <w:rsid w:val="002C5316"/>
    <w:rsid w:val="002C5924"/>
    <w:rsid w:val="002C6D27"/>
    <w:rsid w:val="002C74CF"/>
    <w:rsid w:val="002C7622"/>
    <w:rsid w:val="002C7FD6"/>
    <w:rsid w:val="002D0218"/>
    <w:rsid w:val="002D02B9"/>
    <w:rsid w:val="002D0340"/>
    <w:rsid w:val="002D03E6"/>
    <w:rsid w:val="002D0D89"/>
    <w:rsid w:val="002D0DC4"/>
    <w:rsid w:val="002D0FAC"/>
    <w:rsid w:val="002D1020"/>
    <w:rsid w:val="002D1186"/>
    <w:rsid w:val="002D1594"/>
    <w:rsid w:val="002D19B7"/>
    <w:rsid w:val="002D1A9C"/>
    <w:rsid w:val="002D1E18"/>
    <w:rsid w:val="002D1E42"/>
    <w:rsid w:val="002D1E71"/>
    <w:rsid w:val="002D25C8"/>
    <w:rsid w:val="002D2868"/>
    <w:rsid w:val="002D29C7"/>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102"/>
    <w:rsid w:val="002F2267"/>
    <w:rsid w:val="002F2346"/>
    <w:rsid w:val="002F3152"/>
    <w:rsid w:val="002F357B"/>
    <w:rsid w:val="002F3836"/>
    <w:rsid w:val="002F39A5"/>
    <w:rsid w:val="002F4C73"/>
    <w:rsid w:val="002F4C7C"/>
    <w:rsid w:val="002F529F"/>
    <w:rsid w:val="002F549B"/>
    <w:rsid w:val="002F5899"/>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2D72"/>
    <w:rsid w:val="0031394C"/>
    <w:rsid w:val="00313B0C"/>
    <w:rsid w:val="003148BC"/>
    <w:rsid w:val="003151E6"/>
    <w:rsid w:val="00315993"/>
    <w:rsid w:val="00315E11"/>
    <w:rsid w:val="003165D1"/>
    <w:rsid w:val="003165D6"/>
    <w:rsid w:val="003166AD"/>
    <w:rsid w:val="00316AE2"/>
    <w:rsid w:val="00316E24"/>
    <w:rsid w:val="003171B3"/>
    <w:rsid w:val="00317523"/>
    <w:rsid w:val="00320142"/>
    <w:rsid w:val="003205B6"/>
    <w:rsid w:val="00320613"/>
    <w:rsid w:val="0032113C"/>
    <w:rsid w:val="003219D2"/>
    <w:rsid w:val="00322128"/>
    <w:rsid w:val="00322275"/>
    <w:rsid w:val="003225E4"/>
    <w:rsid w:val="003234A7"/>
    <w:rsid w:val="00324479"/>
    <w:rsid w:val="0032469E"/>
    <w:rsid w:val="00325BA0"/>
    <w:rsid w:val="00325E60"/>
    <w:rsid w:val="00326833"/>
    <w:rsid w:val="00326BBD"/>
    <w:rsid w:val="00326C6A"/>
    <w:rsid w:val="00326EF7"/>
    <w:rsid w:val="00326F85"/>
    <w:rsid w:val="00330CD4"/>
    <w:rsid w:val="00331198"/>
    <w:rsid w:val="0033167A"/>
    <w:rsid w:val="00333A0E"/>
    <w:rsid w:val="00333F5B"/>
    <w:rsid w:val="003347D9"/>
    <w:rsid w:val="00334E27"/>
    <w:rsid w:val="00335046"/>
    <w:rsid w:val="0033513B"/>
    <w:rsid w:val="00335DFB"/>
    <w:rsid w:val="00336BCA"/>
    <w:rsid w:val="0033725C"/>
    <w:rsid w:val="0034016E"/>
    <w:rsid w:val="00340532"/>
    <w:rsid w:val="00341566"/>
    <w:rsid w:val="003418C5"/>
    <w:rsid w:val="0034219A"/>
    <w:rsid w:val="00342491"/>
    <w:rsid w:val="00342DA2"/>
    <w:rsid w:val="0034327C"/>
    <w:rsid w:val="003434E6"/>
    <w:rsid w:val="00343704"/>
    <w:rsid w:val="00343766"/>
    <w:rsid w:val="00343942"/>
    <w:rsid w:val="00343FB1"/>
    <w:rsid w:val="003440F5"/>
    <w:rsid w:val="003444EE"/>
    <w:rsid w:val="00345408"/>
    <w:rsid w:val="003459B2"/>
    <w:rsid w:val="0034661A"/>
    <w:rsid w:val="00346961"/>
    <w:rsid w:val="00346E96"/>
    <w:rsid w:val="00346F4B"/>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0F2A"/>
    <w:rsid w:val="00361638"/>
    <w:rsid w:val="00361D7F"/>
    <w:rsid w:val="003623C3"/>
    <w:rsid w:val="00362445"/>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969"/>
    <w:rsid w:val="00371BBA"/>
    <w:rsid w:val="00371D64"/>
    <w:rsid w:val="0037219A"/>
    <w:rsid w:val="003721D1"/>
    <w:rsid w:val="00372812"/>
    <w:rsid w:val="00372AA7"/>
    <w:rsid w:val="00372F16"/>
    <w:rsid w:val="0037362E"/>
    <w:rsid w:val="00373800"/>
    <w:rsid w:val="003740EC"/>
    <w:rsid w:val="00374924"/>
    <w:rsid w:val="00374A12"/>
    <w:rsid w:val="003750F8"/>
    <w:rsid w:val="00376971"/>
    <w:rsid w:val="00376D4B"/>
    <w:rsid w:val="003778C4"/>
    <w:rsid w:val="00380363"/>
    <w:rsid w:val="00380B94"/>
    <w:rsid w:val="0038120B"/>
    <w:rsid w:val="00381B33"/>
    <w:rsid w:val="00381F2E"/>
    <w:rsid w:val="0038336A"/>
    <w:rsid w:val="00383917"/>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2AA4"/>
    <w:rsid w:val="003A31B1"/>
    <w:rsid w:val="003A3231"/>
    <w:rsid w:val="003A458C"/>
    <w:rsid w:val="003A49DB"/>
    <w:rsid w:val="003A49FF"/>
    <w:rsid w:val="003A5169"/>
    <w:rsid w:val="003A51E7"/>
    <w:rsid w:val="003A5ABA"/>
    <w:rsid w:val="003A5C76"/>
    <w:rsid w:val="003A6F89"/>
    <w:rsid w:val="003A70F2"/>
    <w:rsid w:val="003B0C77"/>
    <w:rsid w:val="003B0EE7"/>
    <w:rsid w:val="003B2A44"/>
    <w:rsid w:val="003B31D9"/>
    <w:rsid w:val="003B51F2"/>
    <w:rsid w:val="003B5406"/>
    <w:rsid w:val="003B662E"/>
    <w:rsid w:val="003B6B28"/>
    <w:rsid w:val="003B700F"/>
    <w:rsid w:val="003B7853"/>
    <w:rsid w:val="003B7B3B"/>
    <w:rsid w:val="003C0179"/>
    <w:rsid w:val="003C0F0E"/>
    <w:rsid w:val="003C1510"/>
    <w:rsid w:val="003C1BA8"/>
    <w:rsid w:val="003C206D"/>
    <w:rsid w:val="003C207C"/>
    <w:rsid w:val="003C23A4"/>
    <w:rsid w:val="003C2D30"/>
    <w:rsid w:val="003C30E5"/>
    <w:rsid w:val="003C3A72"/>
    <w:rsid w:val="003C494C"/>
    <w:rsid w:val="003C56F1"/>
    <w:rsid w:val="003C5AFC"/>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4F46"/>
    <w:rsid w:val="003D5C46"/>
    <w:rsid w:val="003D6FBE"/>
    <w:rsid w:val="003D78E6"/>
    <w:rsid w:val="003E03F4"/>
    <w:rsid w:val="003E12EE"/>
    <w:rsid w:val="003E2151"/>
    <w:rsid w:val="003E2317"/>
    <w:rsid w:val="003E3FAF"/>
    <w:rsid w:val="003E450D"/>
    <w:rsid w:val="003E4B2F"/>
    <w:rsid w:val="003E55B1"/>
    <w:rsid w:val="003E5902"/>
    <w:rsid w:val="003E59A4"/>
    <w:rsid w:val="003E606C"/>
    <w:rsid w:val="003F1A34"/>
    <w:rsid w:val="003F1CB9"/>
    <w:rsid w:val="003F2CC6"/>
    <w:rsid w:val="003F3395"/>
    <w:rsid w:val="003F4204"/>
    <w:rsid w:val="003F46E2"/>
    <w:rsid w:val="003F471F"/>
    <w:rsid w:val="003F47CB"/>
    <w:rsid w:val="003F518F"/>
    <w:rsid w:val="003F5594"/>
    <w:rsid w:val="003F704E"/>
    <w:rsid w:val="003F74CA"/>
    <w:rsid w:val="003F775B"/>
    <w:rsid w:val="004000C7"/>
    <w:rsid w:val="004001C8"/>
    <w:rsid w:val="00402C7A"/>
    <w:rsid w:val="00403042"/>
    <w:rsid w:val="004030D1"/>
    <w:rsid w:val="004031C2"/>
    <w:rsid w:val="00403CD3"/>
    <w:rsid w:val="0040483A"/>
    <w:rsid w:val="00404F05"/>
    <w:rsid w:val="004055B8"/>
    <w:rsid w:val="00405AFC"/>
    <w:rsid w:val="0040633A"/>
    <w:rsid w:val="0040640C"/>
    <w:rsid w:val="004069A4"/>
    <w:rsid w:val="00406C4D"/>
    <w:rsid w:val="00406CB0"/>
    <w:rsid w:val="0040728D"/>
    <w:rsid w:val="0040741A"/>
    <w:rsid w:val="0041078A"/>
    <w:rsid w:val="0041209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2BCE"/>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3E57"/>
    <w:rsid w:val="00454646"/>
    <w:rsid w:val="0045507F"/>
    <w:rsid w:val="0045538F"/>
    <w:rsid w:val="0045566F"/>
    <w:rsid w:val="00455914"/>
    <w:rsid w:val="00455EBA"/>
    <w:rsid w:val="00456002"/>
    <w:rsid w:val="004562D0"/>
    <w:rsid w:val="0045693C"/>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4A"/>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643"/>
    <w:rsid w:val="004839BE"/>
    <w:rsid w:val="00483B3D"/>
    <w:rsid w:val="00485AE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2F81"/>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85C"/>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3C5"/>
    <w:rsid w:val="004B54F7"/>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2E0"/>
    <w:rsid w:val="004D199A"/>
    <w:rsid w:val="004D2744"/>
    <w:rsid w:val="004D2B62"/>
    <w:rsid w:val="004D2DE9"/>
    <w:rsid w:val="004D35C8"/>
    <w:rsid w:val="004D4D43"/>
    <w:rsid w:val="004D5959"/>
    <w:rsid w:val="004D6031"/>
    <w:rsid w:val="004D6068"/>
    <w:rsid w:val="004D6777"/>
    <w:rsid w:val="004D6A4B"/>
    <w:rsid w:val="004D700D"/>
    <w:rsid w:val="004D7614"/>
    <w:rsid w:val="004D7623"/>
    <w:rsid w:val="004D776B"/>
    <w:rsid w:val="004D7976"/>
    <w:rsid w:val="004E0773"/>
    <w:rsid w:val="004E0852"/>
    <w:rsid w:val="004E12B8"/>
    <w:rsid w:val="004E1FF6"/>
    <w:rsid w:val="004E203F"/>
    <w:rsid w:val="004E292A"/>
    <w:rsid w:val="004E3869"/>
    <w:rsid w:val="004E39EB"/>
    <w:rsid w:val="004E47C0"/>
    <w:rsid w:val="004E500E"/>
    <w:rsid w:val="004E51E2"/>
    <w:rsid w:val="004E53C5"/>
    <w:rsid w:val="004E5CA1"/>
    <w:rsid w:val="004E5F2F"/>
    <w:rsid w:val="004E6530"/>
    <w:rsid w:val="004E68DB"/>
    <w:rsid w:val="004E6EA8"/>
    <w:rsid w:val="004E71FA"/>
    <w:rsid w:val="004F0CAE"/>
    <w:rsid w:val="004F0EC1"/>
    <w:rsid w:val="004F2028"/>
    <w:rsid w:val="004F235C"/>
    <w:rsid w:val="004F2699"/>
    <w:rsid w:val="004F2A4E"/>
    <w:rsid w:val="004F2A57"/>
    <w:rsid w:val="004F2AF3"/>
    <w:rsid w:val="004F3ACA"/>
    <w:rsid w:val="004F4191"/>
    <w:rsid w:val="004F477D"/>
    <w:rsid w:val="004F4C82"/>
    <w:rsid w:val="004F4E1C"/>
    <w:rsid w:val="004F4E3E"/>
    <w:rsid w:val="004F4F12"/>
    <w:rsid w:val="004F5490"/>
    <w:rsid w:val="004F5F68"/>
    <w:rsid w:val="004F614B"/>
    <w:rsid w:val="004F64BC"/>
    <w:rsid w:val="004F685B"/>
    <w:rsid w:val="004F6DBA"/>
    <w:rsid w:val="004F746C"/>
    <w:rsid w:val="00500078"/>
    <w:rsid w:val="005005BD"/>
    <w:rsid w:val="00500991"/>
    <w:rsid w:val="00500C5B"/>
    <w:rsid w:val="00500CD4"/>
    <w:rsid w:val="00500F34"/>
    <w:rsid w:val="0050116B"/>
    <w:rsid w:val="00501264"/>
    <w:rsid w:val="00501629"/>
    <w:rsid w:val="00502827"/>
    <w:rsid w:val="00502B35"/>
    <w:rsid w:val="00505148"/>
    <w:rsid w:val="00505713"/>
    <w:rsid w:val="00506100"/>
    <w:rsid w:val="0050647F"/>
    <w:rsid w:val="00506D17"/>
    <w:rsid w:val="00506F04"/>
    <w:rsid w:val="005072B0"/>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84C"/>
    <w:rsid w:val="00516E09"/>
    <w:rsid w:val="005170F6"/>
    <w:rsid w:val="00517228"/>
    <w:rsid w:val="00517602"/>
    <w:rsid w:val="00517645"/>
    <w:rsid w:val="0051768A"/>
    <w:rsid w:val="00517CA2"/>
    <w:rsid w:val="00520AA4"/>
    <w:rsid w:val="0052392B"/>
    <w:rsid w:val="0052396A"/>
    <w:rsid w:val="00523BAF"/>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37B64"/>
    <w:rsid w:val="005403C8"/>
    <w:rsid w:val="00540A41"/>
    <w:rsid w:val="00540AE3"/>
    <w:rsid w:val="00540BCE"/>
    <w:rsid w:val="00541611"/>
    <w:rsid w:val="00541898"/>
    <w:rsid w:val="00541ED5"/>
    <w:rsid w:val="005427B6"/>
    <w:rsid w:val="0054317D"/>
    <w:rsid w:val="00543542"/>
    <w:rsid w:val="00543693"/>
    <w:rsid w:val="00543AD9"/>
    <w:rsid w:val="005447B0"/>
    <w:rsid w:val="00544D50"/>
    <w:rsid w:val="0054507B"/>
    <w:rsid w:val="00545EC6"/>
    <w:rsid w:val="0054609D"/>
    <w:rsid w:val="00546475"/>
    <w:rsid w:val="00546749"/>
    <w:rsid w:val="005470F4"/>
    <w:rsid w:val="00547FE0"/>
    <w:rsid w:val="005500D9"/>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3853"/>
    <w:rsid w:val="00564246"/>
    <w:rsid w:val="005648A8"/>
    <w:rsid w:val="00565005"/>
    <w:rsid w:val="005658ED"/>
    <w:rsid w:val="0056594B"/>
    <w:rsid w:val="0057005F"/>
    <w:rsid w:val="005708F0"/>
    <w:rsid w:val="0057135E"/>
    <w:rsid w:val="0057194A"/>
    <w:rsid w:val="005720DF"/>
    <w:rsid w:val="00572128"/>
    <w:rsid w:val="005735B6"/>
    <w:rsid w:val="00573A2D"/>
    <w:rsid w:val="00573BA8"/>
    <w:rsid w:val="00573F9E"/>
    <w:rsid w:val="0057497D"/>
    <w:rsid w:val="0057503E"/>
    <w:rsid w:val="00575BBE"/>
    <w:rsid w:val="005763B4"/>
    <w:rsid w:val="00576B12"/>
    <w:rsid w:val="00577519"/>
    <w:rsid w:val="0058047D"/>
    <w:rsid w:val="0058158C"/>
    <w:rsid w:val="00582176"/>
    <w:rsid w:val="00582313"/>
    <w:rsid w:val="0058242F"/>
    <w:rsid w:val="00582D5A"/>
    <w:rsid w:val="00582F72"/>
    <w:rsid w:val="0058377E"/>
    <w:rsid w:val="005837D7"/>
    <w:rsid w:val="00583DEA"/>
    <w:rsid w:val="00585151"/>
    <w:rsid w:val="0058566A"/>
    <w:rsid w:val="00585899"/>
    <w:rsid w:val="0058590A"/>
    <w:rsid w:val="00586333"/>
    <w:rsid w:val="00586385"/>
    <w:rsid w:val="00586FCE"/>
    <w:rsid w:val="005873E5"/>
    <w:rsid w:val="00587D23"/>
    <w:rsid w:val="00587ECB"/>
    <w:rsid w:val="005910E9"/>
    <w:rsid w:val="00591CC6"/>
    <w:rsid w:val="00591D02"/>
    <w:rsid w:val="00591E3E"/>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69"/>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1E56"/>
    <w:rsid w:val="005B297B"/>
    <w:rsid w:val="005B31F0"/>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399C"/>
    <w:rsid w:val="005D41CC"/>
    <w:rsid w:val="005D46BA"/>
    <w:rsid w:val="005D484B"/>
    <w:rsid w:val="005D4DAB"/>
    <w:rsid w:val="005D4F1F"/>
    <w:rsid w:val="005D54B5"/>
    <w:rsid w:val="005D5C95"/>
    <w:rsid w:val="005D6039"/>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706E"/>
    <w:rsid w:val="005E70EF"/>
    <w:rsid w:val="005E7F0D"/>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68C9"/>
    <w:rsid w:val="00607FE8"/>
    <w:rsid w:val="00610160"/>
    <w:rsid w:val="006104D7"/>
    <w:rsid w:val="00610A43"/>
    <w:rsid w:val="00611058"/>
    <w:rsid w:val="0061116C"/>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BCB"/>
    <w:rsid w:val="006305F8"/>
    <w:rsid w:val="0063063A"/>
    <w:rsid w:val="006307AC"/>
    <w:rsid w:val="00630ED6"/>
    <w:rsid w:val="00630FC8"/>
    <w:rsid w:val="0063120C"/>
    <w:rsid w:val="00631C23"/>
    <w:rsid w:val="00631D01"/>
    <w:rsid w:val="006325D8"/>
    <w:rsid w:val="00632973"/>
    <w:rsid w:val="00633357"/>
    <w:rsid w:val="006342D5"/>
    <w:rsid w:val="0063466C"/>
    <w:rsid w:val="00634905"/>
    <w:rsid w:val="00634E16"/>
    <w:rsid w:val="006352C4"/>
    <w:rsid w:val="00635A31"/>
    <w:rsid w:val="00635D8F"/>
    <w:rsid w:val="00635F6C"/>
    <w:rsid w:val="006362B0"/>
    <w:rsid w:val="00637914"/>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19A"/>
    <w:rsid w:val="00651709"/>
    <w:rsid w:val="0065196E"/>
    <w:rsid w:val="00652053"/>
    <w:rsid w:val="00652366"/>
    <w:rsid w:val="0065274B"/>
    <w:rsid w:val="006529B0"/>
    <w:rsid w:val="00652B0A"/>
    <w:rsid w:val="00652B91"/>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1EA9"/>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8A4"/>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63D7"/>
    <w:rsid w:val="006A6EB4"/>
    <w:rsid w:val="006A73A3"/>
    <w:rsid w:val="006A7E67"/>
    <w:rsid w:val="006B0EC3"/>
    <w:rsid w:val="006B1423"/>
    <w:rsid w:val="006B19E5"/>
    <w:rsid w:val="006B1A76"/>
    <w:rsid w:val="006B1B97"/>
    <w:rsid w:val="006B1BAF"/>
    <w:rsid w:val="006B1F3F"/>
    <w:rsid w:val="006B2556"/>
    <w:rsid w:val="006B263A"/>
    <w:rsid w:val="006B28B3"/>
    <w:rsid w:val="006B2B51"/>
    <w:rsid w:val="006B2B6C"/>
    <w:rsid w:val="006B304B"/>
    <w:rsid w:val="006B37C0"/>
    <w:rsid w:val="006B3EEA"/>
    <w:rsid w:val="006B4EC3"/>
    <w:rsid w:val="006B4FA4"/>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12F"/>
    <w:rsid w:val="006C295D"/>
    <w:rsid w:val="006C2A69"/>
    <w:rsid w:val="006C2B58"/>
    <w:rsid w:val="006C3A1B"/>
    <w:rsid w:val="006C4578"/>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5B9E"/>
    <w:rsid w:val="006D6A83"/>
    <w:rsid w:val="006D6BED"/>
    <w:rsid w:val="006E088D"/>
    <w:rsid w:val="006E1BCB"/>
    <w:rsid w:val="006E1CD2"/>
    <w:rsid w:val="006E28CC"/>
    <w:rsid w:val="006E4875"/>
    <w:rsid w:val="006E5645"/>
    <w:rsid w:val="006E5A58"/>
    <w:rsid w:val="006E62DA"/>
    <w:rsid w:val="006E7054"/>
    <w:rsid w:val="006E7166"/>
    <w:rsid w:val="006E7674"/>
    <w:rsid w:val="006E76E8"/>
    <w:rsid w:val="006E7D7A"/>
    <w:rsid w:val="006F0E0F"/>
    <w:rsid w:val="006F0EF5"/>
    <w:rsid w:val="006F19B0"/>
    <w:rsid w:val="006F201C"/>
    <w:rsid w:val="006F2217"/>
    <w:rsid w:val="006F2411"/>
    <w:rsid w:val="006F2B51"/>
    <w:rsid w:val="006F34D0"/>
    <w:rsid w:val="006F4670"/>
    <w:rsid w:val="006F4D54"/>
    <w:rsid w:val="006F50DD"/>
    <w:rsid w:val="006F59C1"/>
    <w:rsid w:val="006F5C81"/>
    <w:rsid w:val="006F60D9"/>
    <w:rsid w:val="006F693F"/>
    <w:rsid w:val="006F741C"/>
    <w:rsid w:val="006F7961"/>
    <w:rsid w:val="006F79E4"/>
    <w:rsid w:val="007002E0"/>
    <w:rsid w:val="00700477"/>
    <w:rsid w:val="00700A3E"/>
    <w:rsid w:val="00700C31"/>
    <w:rsid w:val="00700CF2"/>
    <w:rsid w:val="00700F2D"/>
    <w:rsid w:val="007015CC"/>
    <w:rsid w:val="00701735"/>
    <w:rsid w:val="007022C1"/>
    <w:rsid w:val="00702642"/>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258F"/>
    <w:rsid w:val="00713260"/>
    <w:rsid w:val="00713A6C"/>
    <w:rsid w:val="00714962"/>
    <w:rsid w:val="00714F49"/>
    <w:rsid w:val="007153B4"/>
    <w:rsid w:val="007171EA"/>
    <w:rsid w:val="007177A5"/>
    <w:rsid w:val="00717B8D"/>
    <w:rsid w:val="0072020C"/>
    <w:rsid w:val="007208A6"/>
    <w:rsid w:val="007223F4"/>
    <w:rsid w:val="00722472"/>
    <w:rsid w:val="007224CE"/>
    <w:rsid w:val="00722522"/>
    <w:rsid w:val="00723101"/>
    <w:rsid w:val="00723599"/>
    <w:rsid w:val="00723859"/>
    <w:rsid w:val="007240FE"/>
    <w:rsid w:val="00724CEB"/>
    <w:rsid w:val="007250E6"/>
    <w:rsid w:val="00725DE7"/>
    <w:rsid w:val="007268B8"/>
    <w:rsid w:val="007269E6"/>
    <w:rsid w:val="00727BF7"/>
    <w:rsid w:val="007304D7"/>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6C73"/>
    <w:rsid w:val="00737018"/>
    <w:rsid w:val="00737427"/>
    <w:rsid w:val="00737831"/>
    <w:rsid w:val="00737AED"/>
    <w:rsid w:val="00737CFC"/>
    <w:rsid w:val="007403BA"/>
    <w:rsid w:val="00740A66"/>
    <w:rsid w:val="00740B19"/>
    <w:rsid w:val="00741B73"/>
    <w:rsid w:val="0074329C"/>
    <w:rsid w:val="00744F0F"/>
    <w:rsid w:val="00745179"/>
    <w:rsid w:val="007466F6"/>
    <w:rsid w:val="00746F8A"/>
    <w:rsid w:val="00747265"/>
    <w:rsid w:val="00747474"/>
    <w:rsid w:val="0075068E"/>
    <w:rsid w:val="00751573"/>
    <w:rsid w:val="007515DF"/>
    <w:rsid w:val="007516AC"/>
    <w:rsid w:val="00751F50"/>
    <w:rsid w:val="00752DFD"/>
    <w:rsid w:val="00752E78"/>
    <w:rsid w:val="00752EB2"/>
    <w:rsid w:val="0075377C"/>
    <w:rsid w:val="0075467E"/>
    <w:rsid w:val="00754E40"/>
    <w:rsid w:val="007555A9"/>
    <w:rsid w:val="00755633"/>
    <w:rsid w:val="007560E0"/>
    <w:rsid w:val="007564D3"/>
    <w:rsid w:val="00756566"/>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2EDB"/>
    <w:rsid w:val="0078325A"/>
    <w:rsid w:val="0078331B"/>
    <w:rsid w:val="00783E17"/>
    <w:rsid w:val="0078519A"/>
    <w:rsid w:val="007853A8"/>
    <w:rsid w:val="007854A8"/>
    <w:rsid w:val="007876AC"/>
    <w:rsid w:val="00787978"/>
    <w:rsid w:val="00790519"/>
    <w:rsid w:val="00790E97"/>
    <w:rsid w:val="0079143A"/>
    <w:rsid w:val="00791D18"/>
    <w:rsid w:val="00792371"/>
    <w:rsid w:val="00792825"/>
    <w:rsid w:val="00792D1E"/>
    <w:rsid w:val="00793532"/>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14B"/>
    <w:rsid w:val="007A7316"/>
    <w:rsid w:val="007A73DF"/>
    <w:rsid w:val="007B0714"/>
    <w:rsid w:val="007B087F"/>
    <w:rsid w:val="007B0DDA"/>
    <w:rsid w:val="007B157C"/>
    <w:rsid w:val="007B1706"/>
    <w:rsid w:val="007B1734"/>
    <w:rsid w:val="007B1947"/>
    <w:rsid w:val="007B19D3"/>
    <w:rsid w:val="007B1AC7"/>
    <w:rsid w:val="007B2C93"/>
    <w:rsid w:val="007B2EDE"/>
    <w:rsid w:val="007B301B"/>
    <w:rsid w:val="007B35CE"/>
    <w:rsid w:val="007B35CF"/>
    <w:rsid w:val="007B39DA"/>
    <w:rsid w:val="007B3BE9"/>
    <w:rsid w:val="007B3C86"/>
    <w:rsid w:val="007B3F15"/>
    <w:rsid w:val="007B4641"/>
    <w:rsid w:val="007B48BC"/>
    <w:rsid w:val="007B4CDB"/>
    <w:rsid w:val="007B553A"/>
    <w:rsid w:val="007B5549"/>
    <w:rsid w:val="007B5652"/>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597D"/>
    <w:rsid w:val="007C6582"/>
    <w:rsid w:val="007C6ABA"/>
    <w:rsid w:val="007C7643"/>
    <w:rsid w:val="007C7687"/>
    <w:rsid w:val="007C76EC"/>
    <w:rsid w:val="007C799F"/>
    <w:rsid w:val="007C7DB8"/>
    <w:rsid w:val="007D0AD4"/>
    <w:rsid w:val="007D181A"/>
    <w:rsid w:val="007D1966"/>
    <w:rsid w:val="007D1AEF"/>
    <w:rsid w:val="007D2714"/>
    <w:rsid w:val="007D281B"/>
    <w:rsid w:val="007D2EB5"/>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56A"/>
    <w:rsid w:val="007E36C8"/>
    <w:rsid w:val="007E3EED"/>
    <w:rsid w:val="007E4138"/>
    <w:rsid w:val="007E42BC"/>
    <w:rsid w:val="007E430D"/>
    <w:rsid w:val="007E4515"/>
    <w:rsid w:val="007E466C"/>
    <w:rsid w:val="007E6665"/>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48"/>
    <w:rsid w:val="007F6692"/>
    <w:rsid w:val="007F6E1F"/>
    <w:rsid w:val="007F769C"/>
    <w:rsid w:val="00803203"/>
    <w:rsid w:val="0080323A"/>
    <w:rsid w:val="0080380B"/>
    <w:rsid w:val="008045B0"/>
    <w:rsid w:val="0080462B"/>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12AA"/>
    <w:rsid w:val="00811920"/>
    <w:rsid w:val="00812672"/>
    <w:rsid w:val="00813519"/>
    <w:rsid w:val="00813D10"/>
    <w:rsid w:val="00813E1F"/>
    <w:rsid w:val="008140D8"/>
    <w:rsid w:val="00814664"/>
    <w:rsid w:val="00814DAA"/>
    <w:rsid w:val="0081523F"/>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AC5"/>
    <w:rsid w:val="00834C8F"/>
    <w:rsid w:val="008357AC"/>
    <w:rsid w:val="008358AA"/>
    <w:rsid w:val="00836655"/>
    <w:rsid w:val="008368B4"/>
    <w:rsid w:val="00836988"/>
    <w:rsid w:val="00836D9F"/>
    <w:rsid w:val="0083748D"/>
    <w:rsid w:val="00837AE2"/>
    <w:rsid w:val="0084072C"/>
    <w:rsid w:val="00840B13"/>
    <w:rsid w:val="00842F32"/>
    <w:rsid w:val="008432A1"/>
    <w:rsid w:val="008432CC"/>
    <w:rsid w:val="008434B8"/>
    <w:rsid w:val="00843C48"/>
    <w:rsid w:val="008446D1"/>
    <w:rsid w:val="00844A11"/>
    <w:rsid w:val="00844BAF"/>
    <w:rsid w:val="00845771"/>
    <w:rsid w:val="00846611"/>
    <w:rsid w:val="008477AF"/>
    <w:rsid w:val="0085061F"/>
    <w:rsid w:val="00850837"/>
    <w:rsid w:val="00851B29"/>
    <w:rsid w:val="00851DBA"/>
    <w:rsid w:val="00853BB6"/>
    <w:rsid w:val="00853E11"/>
    <w:rsid w:val="00853FEC"/>
    <w:rsid w:val="00854170"/>
    <w:rsid w:val="00854A28"/>
    <w:rsid w:val="00854CC2"/>
    <w:rsid w:val="008558DC"/>
    <w:rsid w:val="00855B26"/>
    <w:rsid w:val="00855BA5"/>
    <w:rsid w:val="00856696"/>
    <w:rsid w:val="00856858"/>
    <w:rsid w:val="00856ABB"/>
    <w:rsid w:val="00856C12"/>
    <w:rsid w:val="008570F4"/>
    <w:rsid w:val="008571B7"/>
    <w:rsid w:val="00857382"/>
    <w:rsid w:val="0085774C"/>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308"/>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A1D"/>
    <w:rsid w:val="00892D47"/>
    <w:rsid w:val="008937F1"/>
    <w:rsid w:val="0089387B"/>
    <w:rsid w:val="00893DE9"/>
    <w:rsid w:val="00894479"/>
    <w:rsid w:val="00894563"/>
    <w:rsid w:val="0089552C"/>
    <w:rsid w:val="008959FD"/>
    <w:rsid w:val="00895F2D"/>
    <w:rsid w:val="008969EA"/>
    <w:rsid w:val="00897CAE"/>
    <w:rsid w:val="00897EF1"/>
    <w:rsid w:val="008A0671"/>
    <w:rsid w:val="008A085B"/>
    <w:rsid w:val="008A0F85"/>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B78C7"/>
    <w:rsid w:val="008C0608"/>
    <w:rsid w:val="008C0AAD"/>
    <w:rsid w:val="008C0C2B"/>
    <w:rsid w:val="008C2C92"/>
    <w:rsid w:val="008C2FF8"/>
    <w:rsid w:val="008C3088"/>
    <w:rsid w:val="008C35F6"/>
    <w:rsid w:val="008C3BDD"/>
    <w:rsid w:val="008C3DFD"/>
    <w:rsid w:val="008C4052"/>
    <w:rsid w:val="008C441A"/>
    <w:rsid w:val="008C725D"/>
    <w:rsid w:val="008C782E"/>
    <w:rsid w:val="008D0051"/>
    <w:rsid w:val="008D15D0"/>
    <w:rsid w:val="008D1962"/>
    <w:rsid w:val="008D1E2D"/>
    <w:rsid w:val="008D2C42"/>
    <w:rsid w:val="008D4398"/>
    <w:rsid w:val="008D5290"/>
    <w:rsid w:val="008D5507"/>
    <w:rsid w:val="008E0ECA"/>
    <w:rsid w:val="008E10CD"/>
    <w:rsid w:val="008E1303"/>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752"/>
    <w:rsid w:val="00905AE0"/>
    <w:rsid w:val="00905D4E"/>
    <w:rsid w:val="0090699E"/>
    <w:rsid w:val="00907139"/>
    <w:rsid w:val="009075F6"/>
    <w:rsid w:val="00910113"/>
    <w:rsid w:val="0091016D"/>
    <w:rsid w:val="009103C7"/>
    <w:rsid w:val="009107CB"/>
    <w:rsid w:val="00910A3F"/>
    <w:rsid w:val="009114A1"/>
    <w:rsid w:val="009115D6"/>
    <w:rsid w:val="0091160C"/>
    <w:rsid w:val="0091195E"/>
    <w:rsid w:val="00912205"/>
    <w:rsid w:val="009124DC"/>
    <w:rsid w:val="00912C18"/>
    <w:rsid w:val="00913588"/>
    <w:rsid w:val="00913A0A"/>
    <w:rsid w:val="00913B84"/>
    <w:rsid w:val="00913F3F"/>
    <w:rsid w:val="009141A3"/>
    <w:rsid w:val="009144B6"/>
    <w:rsid w:val="00914B25"/>
    <w:rsid w:val="00916499"/>
    <w:rsid w:val="00916E81"/>
    <w:rsid w:val="0091793D"/>
    <w:rsid w:val="00917E69"/>
    <w:rsid w:val="00920340"/>
    <w:rsid w:val="00920402"/>
    <w:rsid w:val="00920499"/>
    <w:rsid w:val="0092069E"/>
    <w:rsid w:val="009207CD"/>
    <w:rsid w:val="00920939"/>
    <w:rsid w:val="009210DE"/>
    <w:rsid w:val="00922683"/>
    <w:rsid w:val="009233CA"/>
    <w:rsid w:val="00924690"/>
    <w:rsid w:val="00924D0F"/>
    <w:rsid w:val="009252D9"/>
    <w:rsid w:val="0092546A"/>
    <w:rsid w:val="00925DBB"/>
    <w:rsid w:val="0092602C"/>
    <w:rsid w:val="00926069"/>
    <w:rsid w:val="00926DCD"/>
    <w:rsid w:val="0092732E"/>
    <w:rsid w:val="00927331"/>
    <w:rsid w:val="009275A3"/>
    <w:rsid w:val="00927BFF"/>
    <w:rsid w:val="00927C5F"/>
    <w:rsid w:val="00930055"/>
    <w:rsid w:val="0093046D"/>
    <w:rsid w:val="00931C0A"/>
    <w:rsid w:val="009323A0"/>
    <w:rsid w:val="009329C1"/>
    <w:rsid w:val="00932DD0"/>
    <w:rsid w:val="0093301B"/>
    <w:rsid w:val="00933244"/>
    <w:rsid w:val="00933492"/>
    <w:rsid w:val="00933674"/>
    <w:rsid w:val="00933B31"/>
    <w:rsid w:val="00934640"/>
    <w:rsid w:val="009346B3"/>
    <w:rsid w:val="00934C9A"/>
    <w:rsid w:val="00936C19"/>
    <w:rsid w:val="009374D2"/>
    <w:rsid w:val="009407FE"/>
    <w:rsid w:val="0094112A"/>
    <w:rsid w:val="00942C57"/>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238"/>
    <w:rsid w:val="009635AC"/>
    <w:rsid w:val="00965679"/>
    <w:rsid w:val="0096634F"/>
    <w:rsid w:val="00966401"/>
    <w:rsid w:val="009673FE"/>
    <w:rsid w:val="0096780A"/>
    <w:rsid w:val="00967B57"/>
    <w:rsid w:val="00967DC7"/>
    <w:rsid w:val="0097015A"/>
    <w:rsid w:val="00970586"/>
    <w:rsid w:val="0097063B"/>
    <w:rsid w:val="00970F6F"/>
    <w:rsid w:val="009714BB"/>
    <w:rsid w:val="00973712"/>
    <w:rsid w:val="00973A93"/>
    <w:rsid w:val="00974188"/>
    <w:rsid w:val="00974969"/>
    <w:rsid w:val="009763F8"/>
    <w:rsid w:val="00980240"/>
    <w:rsid w:val="0098068F"/>
    <w:rsid w:val="00981B58"/>
    <w:rsid w:val="00982A40"/>
    <w:rsid w:val="009832D3"/>
    <w:rsid w:val="0098395B"/>
    <w:rsid w:val="0098415A"/>
    <w:rsid w:val="009843D2"/>
    <w:rsid w:val="00984919"/>
    <w:rsid w:val="009870CB"/>
    <w:rsid w:val="009876E3"/>
    <w:rsid w:val="00987D07"/>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5D6F"/>
    <w:rsid w:val="009A63EF"/>
    <w:rsid w:val="009A65DC"/>
    <w:rsid w:val="009A727E"/>
    <w:rsid w:val="009B0A8C"/>
    <w:rsid w:val="009B0C96"/>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5477"/>
    <w:rsid w:val="009C5495"/>
    <w:rsid w:val="009C5AA8"/>
    <w:rsid w:val="009C5D30"/>
    <w:rsid w:val="009C6D1C"/>
    <w:rsid w:val="009C7505"/>
    <w:rsid w:val="009C779A"/>
    <w:rsid w:val="009C7B23"/>
    <w:rsid w:val="009D184D"/>
    <w:rsid w:val="009D1C99"/>
    <w:rsid w:val="009D20A2"/>
    <w:rsid w:val="009D2697"/>
    <w:rsid w:val="009D26EE"/>
    <w:rsid w:val="009D2F88"/>
    <w:rsid w:val="009D3013"/>
    <w:rsid w:val="009D3144"/>
    <w:rsid w:val="009D367F"/>
    <w:rsid w:val="009D3F77"/>
    <w:rsid w:val="009D3FB6"/>
    <w:rsid w:val="009D43FB"/>
    <w:rsid w:val="009D4F59"/>
    <w:rsid w:val="009D5C93"/>
    <w:rsid w:val="009D6548"/>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3FD7"/>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CA8"/>
    <w:rsid w:val="009F5AA6"/>
    <w:rsid w:val="009F5CDD"/>
    <w:rsid w:val="009F5F37"/>
    <w:rsid w:val="009F629E"/>
    <w:rsid w:val="009F670F"/>
    <w:rsid w:val="00A00733"/>
    <w:rsid w:val="00A00D42"/>
    <w:rsid w:val="00A01320"/>
    <w:rsid w:val="00A01B66"/>
    <w:rsid w:val="00A0353B"/>
    <w:rsid w:val="00A03823"/>
    <w:rsid w:val="00A043FC"/>
    <w:rsid w:val="00A04495"/>
    <w:rsid w:val="00A0550D"/>
    <w:rsid w:val="00A0581B"/>
    <w:rsid w:val="00A05A1C"/>
    <w:rsid w:val="00A0765A"/>
    <w:rsid w:val="00A0794D"/>
    <w:rsid w:val="00A10280"/>
    <w:rsid w:val="00A114EE"/>
    <w:rsid w:val="00A12176"/>
    <w:rsid w:val="00A13300"/>
    <w:rsid w:val="00A13BC3"/>
    <w:rsid w:val="00A13C98"/>
    <w:rsid w:val="00A13D1D"/>
    <w:rsid w:val="00A13E82"/>
    <w:rsid w:val="00A14025"/>
    <w:rsid w:val="00A14426"/>
    <w:rsid w:val="00A15092"/>
    <w:rsid w:val="00A15CF5"/>
    <w:rsid w:val="00A15E2F"/>
    <w:rsid w:val="00A16C45"/>
    <w:rsid w:val="00A1729A"/>
    <w:rsid w:val="00A17E03"/>
    <w:rsid w:val="00A2058E"/>
    <w:rsid w:val="00A206C8"/>
    <w:rsid w:val="00A2083B"/>
    <w:rsid w:val="00A20FA1"/>
    <w:rsid w:val="00A226F0"/>
    <w:rsid w:val="00A22C66"/>
    <w:rsid w:val="00A22E83"/>
    <w:rsid w:val="00A2524E"/>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59"/>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2B7"/>
    <w:rsid w:val="00A745BC"/>
    <w:rsid w:val="00A75AEC"/>
    <w:rsid w:val="00A76038"/>
    <w:rsid w:val="00A768BD"/>
    <w:rsid w:val="00A76A85"/>
    <w:rsid w:val="00A76BC6"/>
    <w:rsid w:val="00A77957"/>
    <w:rsid w:val="00A8084C"/>
    <w:rsid w:val="00A81894"/>
    <w:rsid w:val="00A81E83"/>
    <w:rsid w:val="00A83600"/>
    <w:rsid w:val="00A83A52"/>
    <w:rsid w:val="00A83EBB"/>
    <w:rsid w:val="00A84DF7"/>
    <w:rsid w:val="00A8592B"/>
    <w:rsid w:val="00A8613A"/>
    <w:rsid w:val="00A86267"/>
    <w:rsid w:val="00A8629B"/>
    <w:rsid w:val="00A862BA"/>
    <w:rsid w:val="00A86677"/>
    <w:rsid w:val="00A867BC"/>
    <w:rsid w:val="00A86BEB"/>
    <w:rsid w:val="00A86C8F"/>
    <w:rsid w:val="00A9013C"/>
    <w:rsid w:val="00A9099B"/>
    <w:rsid w:val="00A90B0F"/>
    <w:rsid w:val="00A9151E"/>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24BD"/>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5C3"/>
    <w:rsid w:val="00B02ADE"/>
    <w:rsid w:val="00B03653"/>
    <w:rsid w:val="00B03E8D"/>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4A3"/>
    <w:rsid w:val="00B116F5"/>
    <w:rsid w:val="00B11997"/>
    <w:rsid w:val="00B1205D"/>
    <w:rsid w:val="00B12557"/>
    <w:rsid w:val="00B12996"/>
    <w:rsid w:val="00B13C35"/>
    <w:rsid w:val="00B13D5F"/>
    <w:rsid w:val="00B1475C"/>
    <w:rsid w:val="00B147AB"/>
    <w:rsid w:val="00B14C46"/>
    <w:rsid w:val="00B14DEC"/>
    <w:rsid w:val="00B1513C"/>
    <w:rsid w:val="00B16FF7"/>
    <w:rsid w:val="00B1779F"/>
    <w:rsid w:val="00B17BCD"/>
    <w:rsid w:val="00B17EFB"/>
    <w:rsid w:val="00B201E8"/>
    <w:rsid w:val="00B20EAC"/>
    <w:rsid w:val="00B20F02"/>
    <w:rsid w:val="00B215EA"/>
    <w:rsid w:val="00B21811"/>
    <w:rsid w:val="00B2182D"/>
    <w:rsid w:val="00B21C58"/>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1CF"/>
    <w:rsid w:val="00B42A20"/>
    <w:rsid w:val="00B43362"/>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4C21"/>
    <w:rsid w:val="00B552C5"/>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4FA2"/>
    <w:rsid w:val="00B75269"/>
    <w:rsid w:val="00B754AD"/>
    <w:rsid w:val="00B75885"/>
    <w:rsid w:val="00B75DEA"/>
    <w:rsid w:val="00B76713"/>
    <w:rsid w:val="00B76943"/>
    <w:rsid w:val="00B76EEE"/>
    <w:rsid w:val="00B81259"/>
    <w:rsid w:val="00B82A66"/>
    <w:rsid w:val="00B82E11"/>
    <w:rsid w:val="00B83AEE"/>
    <w:rsid w:val="00B842EC"/>
    <w:rsid w:val="00B844A4"/>
    <w:rsid w:val="00B850B6"/>
    <w:rsid w:val="00B85D3C"/>
    <w:rsid w:val="00B86DF9"/>
    <w:rsid w:val="00B871D7"/>
    <w:rsid w:val="00B8786B"/>
    <w:rsid w:val="00B87B49"/>
    <w:rsid w:val="00B87CA3"/>
    <w:rsid w:val="00B902F6"/>
    <w:rsid w:val="00B909F2"/>
    <w:rsid w:val="00B90A64"/>
    <w:rsid w:val="00B91AB4"/>
    <w:rsid w:val="00B91CA3"/>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5266"/>
    <w:rsid w:val="00BA68A6"/>
    <w:rsid w:val="00BA741C"/>
    <w:rsid w:val="00BA756F"/>
    <w:rsid w:val="00BA794E"/>
    <w:rsid w:val="00BA79B0"/>
    <w:rsid w:val="00BA7A56"/>
    <w:rsid w:val="00BB0250"/>
    <w:rsid w:val="00BB0C2F"/>
    <w:rsid w:val="00BB0E5C"/>
    <w:rsid w:val="00BB13BC"/>
    <w:rsid w:val="00BB205E"/>
    <w:rsid w:val="00BB2304"/>
    <w:rsid w:val="00BB2DDD"/>
    <w:rsid w:val="00BB31B0"/>
    <w:rsid w:val="00BB3BDF"/>
    <w:rsid w:val="00BB45D6"/>
    <w:rsid w:val="00BB4720"/>
    <w:rsid w:val="00BB4A94"/>
    <w:rsid w:val="00BB4AC1"/>
    <w:rsid w:val="00BB4AE8"/>
    <w:rsid w:val="00BB4D73"/>
    <w:rsid w:val="00BB516F"/>
    <w:rsid w:val="00BB54E8"/>
    <w:rsid w:val="00BB6A1F"/>
    <w:rsid w:val="00BB70B7"/>
    <w:rsid w:val="00BB756B"/>
    <w:rsid w:val="00BB76DE"/>
    <w:rsid w:val="00BB7769"/>
    <w:rsid w:val="00BB79CD"/>
    <w:rsid w:val="00BB7D5F"/>
    <w:rsid w:val="00BC00C1"/>
    <w:rsid w:val="00BC10BD"/>
    <w:rsid w:val="00BC10CD"/>
    <w:rsid w:val="00BC1157"/>
    <w:rsid w:val="00BC286E"/>
    <w:rsid w:val="00BC3A25"/>
    <w:rsid w:val="00BC485C"/>
    <w:rsid w:val="00BC4B23"/>
    <w:rsid w:val="00BC555D"/>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376A"/>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A7F"/>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2FFA"/>
    <w:rsid w:val="00BF3086"/>
    <w:rsid w:val="00BF3612"/>
    <w:rsid w:val="00BF4B1C"/>
    <w:rsid w:val="00BF5C56"/>
    <w:rsid w:val="00BF5FC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4F1"/>
    <w:rsid w:val="00C14E34"/>
    <w:rsid w:val="00C151FB"/>
    <w:rsid w:val="00C15789"/>
    <w:rsid w:val="00C1697E"/>
    <w:rsid w:val="00C175DE"/>
    <w:rsid w:val="00C177EF"/>
    <w:rsid w:val="00C205D1"/>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11E"/>
    <w:rsid w:val="00C27278"/>
    <w:rsid w:val="00C3058D"/>
    <w:rsid w:val="00C31598"/>
    <w:rsid w:val="00C31C3A"/>
    <w:rsid w:val="00C321B6"/>
    <w:rsid w:val="00C32EB9"/>
    <w:rsid w:val="00C32FD1"/>
    <w:rsid w:val="00C349AE"/>
    <w:rsid w:val="00C34B2E"/>
    <w:rsid w:val="00C353DE"/>
    <w:rsid w:val="00C358B7"/>
    <w:rsid w:val="00C3613B"/>
    <w:rsid w:val="00C3711E"/>
    <w:rsid w:val="00C37D62"/>
    <w:rsid w:val="00C37E9D"/>
    <w:rsid w:val="00C40168"/>
    <w:rsid w:val="00C40AEE"/>
    <w:rsid w:val="00C41189"/>
    <w:rsid w:val="00C4126C"/>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72"/>
    <w:rsid w:val="00C535B1"/>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1A7F"/>
    <w:rsid w:val="00C726E3"/>
    <w:rsid w:val="00C730A6"/>
    <w:rsid w:val="00C737B6"/>
    <w:rsid w:val="00C744BC"/>
    <w:rsid w:val="00C750AC"/>
    <w:rsid w:val="00C7634A"/>
    <w:rsid w:val="00C7675B"/>
    <w:rsid w:val="00C76773"/>
    <w:rsid w:val="00C778DB"/>
    <w:rsid w:val="00C77A88"/>
    <w:rsid w:val="00C80194"/>
    <w:rsid w:val="00C801C3"/>
    <w:rsid w:val="00C805A4"/>
    <w:rsid w:val="00C807CF"/>
    <w:rsid w:val="00C80AB8"/>
    <w:rsid w:val="00C81507"/>
    <w:rsid w:val="00C82136"/>
    <w:rsid w:val="00C831EC"/>
    <w:rsid w:val="00C834BB"/>
    <w:rsid w:val="00C845CA"/>
    <w:rsid w:val="00C8471C"/>
    <w:rsid w:val="00C85BA5"/>
    <w:rsid w:val="00C85BE8"/>
    <w:rsid w:val="00C85F7C"/>
    <w:rsid w:val="00C86F50"/>
    <w:rsid w:val="00C8706B"/>
    <w:rsid w:val="00C870E0"/>
    <w:rsid w:val="00C87808"/>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6D37"/>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17AF"/>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4E4B"/>
    <w:rsid w:val="00CF7343"/>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D18"/>
    <w:rsid w:val="00D33D44"/>
    <w:rsid w:val="00D343C8"/>
    <w:rsid w:val="00D353E6"/>
    <w:rsid w:val="00D35AC9"/>
    <w:rsid w:val="00D363C8"/>
    <w:rsid w:val="00D36B97"/>
    <w:rsid w:val="00D409E4"/>
    <w:rsid w:val="00D40DF3"/>
    <w:rsid w:val="00D4177D"/>
    <w:rsid w:val="00D41ACE"/>
    <w:rsid w:val="00D41BCF"/>
    <w:rsid w:val="00D41D75"/>
    <w:rsid w:val="00D41E38"/>
    <w:rsid w:val="00D41F45"/>
    <w:rsid w:val="00D433AC"/>
    <w:rsid w:val="00D4456A"/>
    <w:rsid w:val="00D44FEE"/>
    <w:rsid w:val="00D45F18"/>
    <w:rsid w:val="00D47417"/>
    <w:rsid w:val="00D47CAA"/>
    <w:rsid w:val="00D511CC"/>
    <w:rsid w:val="00D513A8"/>
    <w:rsid w:val="00D52A7B"/>
    <w:rsid w:val="00D53652"/>
    <w:rsid w:val="00D54384"/>
    <w:rsid w:val="00D543E9"/>
    <w:rsid w:val="00D5491B"/>
    <w:rsid w:val="00D55040"/>
    <w:rsid w:val="00D55AB9"/>
    <w:rsid w:val="00D568ED"/>
    <w:rsid w:val="00D57009"/>
    <w:rsid w:val="00D572D6"/>
    <w:rsid w:val="00D574E8"/>
    <w:rsid w:val="00D578B9"/>
    <w:rsid w:val="00D57D2B"/>
    <w:rsid w:val="00D6156A"/>
    <w:rsid w:val="00D624B9"/>
    <w:rsid w:val="00D62592"/>
    <w:rsid w:val="00D62681"/>
    <w:rsid w:val="00D62701"/>
    <w:rsid w:val="00D629A3"/>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AF"/>
    <w:rsid w:val="00D824E9"/>
    <w:rsid w:val="00D82FA6"/>
    <w:rsid w:val="00D8428A"/>
    <w:rsid w:val="00D849C1"/>
    <w:rsid w:val="00D84F2C"/>
    <w:rsid w:val="00D8521B"/>
    <w:rsid w:val="00D85FDD"/>
    <w:rsid w:val="00D87E94"/>
    <w:rsid w:val="00D905EA"/>
    <w:rsid w:val="00D90B00"/>
    <w:rsid w:val="00D912E8"/>
    <w:rsid w:val="00D91350"/>
    <w:rsid w:val="00D9188C"/>
    <w:rsid w:val="00D9212F"/>
    <w:rsid w:val="00D922C3"/>
    <w:rsid w:val="00D93080"/>
    <w:rsid w:val="00D93CA3"/>
    <w:rsid w:val="00D94745"/>
    <w:rsid w:val="00D948A7"/>
    <w:rsid w:val="00D94BF5"/>
    <w:rsid w:val="00D95BF4"/>
    <w:rsid w:val="00DA0170"/>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CD3"/>
    <w:rsid w:val="00DB2D1E"/>
    <w:rsid w:val="00DB2F89"/>
    <w:rsid w:val="00DB3794"/>
    <w:rsid w:val="00DB3AB1"/>
    <w:rsid w:val="00DB3ECB"/>
    <w:rsid w:val="00DB3FEA"/>
    <w:rsid w:val="00DB42FA"/>
    <w:rsid w:val="00DB46B9"/>
    <w:rsid w:val="00DB4827"/>
    <w:rsid w:val="00DB5A77"/>
    <w:rsid w:val="00DB6279"/>
    <w:rsid w:val="00DB6980"/>
    <w:rsid w:val="00DB7520"/>
    <w:rsid w:val="00DB7BD1"/>
    <w:rsid w:val="00DC00BC"/>
    <w:rsid w:val="00DC0853"/>
    <w:rsid w:val="00DC10DF"/>
    <w:rsid w:val="00DC1B1B"/>
    <w:rsid w:val="00DC2291"/>
    <w:rsid w:val="00DC3D78"/>
    <w:rsid w:val="00DC3E36"/>
    <w:rsid w:val="00DC414A"/>
    <w:rsid w:val="00DC4FA0"/>
    <w:rsid w:val="00DC4FEC"/>
    <w:rsid w:val="00DC5AE8"/>
    <w:rsid w:val="00DC6938"/>
    <w:rsid w:val="00DC712B"/>
    <w:rsid w:val="00DC7894"/>
    <w:rsid w:val="00DD0F58"/>
    <w:rsid w:val="00DD1054"/>
    <w:rsid w:val="00DD14E6"/>
    <w:rsid w:val="00DD290C"/>
    <w:rsid w:val="00DD367D"/>
    <w:rsid w:val="00DD39C7"/>
    <w:rsid w:val="00DD4360"/>
    <w:rsid w:val="00DD4C58"/>
    <w:rsid w:val="00DD6311"/>
    <w:rsid w:val="00DD7A56"/>
    <w:rsid w:val="00DD7F8E"/>
    <w:rsid w:val="00DE051B"/>
    <w:rsid w:val="00DE0D10"/>
    <w:rsid w:val="00DE0DD8"/>
    <w:rsid w:val="00DE10A5"/>
    <w:rsid w:val="00DE17D5"/>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310E"/>
    <w:rsid w:val="00E031A2"/>
    <w:rsid w:val="00E035D3"/>
    <w:rsid w:val="00E03856"/>
    <w:rsid w:val="00E03D87"/>
    <w:rsid w:val="00E03E2C"/>
    <w:rsid w:val="00E0507D"/>
    <w:rsid w:val="00E053A0"/>
    <w:rsid w:val="00E06050"/>
    <w:rsid w:val="00E06578"/>
    <w:rsid w:val="00E06FE8"/>
    <w:rsid w:val="00E0729E"/>
    <w:rsid w:val="00E072E8"/>
    <w:rsid w:val="00E07532"/>
    <w:rsid w:val="00E077BC"/>
    <w:rsid w:val="00E07BB2"/>
    <w:rsid w:val="00E106AF"/>
    <w:rsid w:val="00E10A4B"/>
    <w:rsid w:val="00E10FED"/>
    <w:rsid w:val="00E134AB"/>
    <w:rsid w:val="00E13599"/>
    <w:rsid w:val="00E14562"/>
    <w:rsid w:val="00E14FF2"/>
    <w:rsid w:val="00E154DF"/>
    <w:rsid w:val="00E156E8"/>
    <w:rsid w:val="00E161AF"/>
    <w:rsid w:val="00E16F91"/>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4ED3"/>
    <w:rsid w:val="00E357D3"/>
    <w:rsid w:val="00E35CB6"/>
    <w:rsid w:val="00E35CF5"/>
    <w:rsid w:val="00E35E95"/>
    <w:rsid w:val="00E37171"/>
    <w:rsid w:val="00E4006A"/>
    <w:rsid w:val="00E41068"/>
    <w:rsid w:val="00E41167"/>
    <w:rsid w:val="00E41259"/>
    <w:rsid w:val="00E42F02"/>
    <w:rsid w:val="00E431D1"/>
    <w:rsid w:val="00E43B83"/>
    <w:rsid w:val="00E44BAA"/>
    <w:rsid w:val="00E46F60"/>
    <w:rsid w:val="00E472E9"/>
    <w:rsid w:val="00E5029B"/>
    <w:rsid w:val="00E50460"/>
    <w:rsid w:val="00E508C1"/>
    <w:rsid w:val="00E52A26"/>
    <w:rsid w:val="00E52E72"/>
    <w:rsid w:val="00E5334D"/>
    <w:rsid w:val="00E534E4"/>
    <w:rsid w:val="00E53A46"/>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1BD3"/>
    <w:rsid w:val="00E92222"/>
    <w:rsid w:val="00E9231A"/>
    <w:rsid w:val="00E92A4A"/>
    <w:rsid w:val="00E9323B"/>
    <w:rsid w:val="00E93598"/>
    <w:rsid w:val="00E93A30"/>
    <w:rsid w:val="00E9432A"/>
    <w:rsid w:val="00E947A1"/>
    <w:rsid w:val="00E952D9"/>
    <w:rsid w:val="00E95AFA"/>
    <w:rsid w:val="00E973EB"/>
    <w:rsid w:val="00E97819"/>
    <w:rsid w:val="00EA0170"/>
    <w:rsid w:val="00EA0C12"/>
    <w:rsid w:val="00EA0C6C"/>
    <w:rsid w:val="00EA0F2B"/>
    <w:rsid w:val="00EA10D6"/>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A5F"/>
    <w:rsid w:val="00EB3E62"/>
    <w:rsid w:val="00EB4202"/>
    <w:rsid w:val="00EB42F3"/>
    <w:rsid w:val="00EB4DA8"/>
    <w:rsid w:val="00EB5877"/>
    <w:rsid w:val="00EB5B79"/>
    <w:rsid w:val="00EB5FFE"/>
    <w:rsid w:val="00EB6203"/>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C71FB"/>
    <w:rsid w:val="00ED0F02"/>
    <w:rsid w:val="00ED12C0"/>
    <w:rsid w:val="00ED13E7"/>
    <w:rsid w:val="00ED1D0C"/>
    <w:rsid w:val="00ED1DE2"/>
    <w:rsid w:val="00ED1E1D"/>
    <w:rsid w:val="00ED2410"/>
    <w:rsid w:val="00ED3095"/>
    <w:rsid w:val="00ED3854"/>
    <w:rsid w:val="00ED3FD8"/>
    <w:rsid w:val="00ED40BF"/>
    <w:rsid w:val="00ED5504"/>
    <w:rsid w:val="00ED589D"/>
    <w:rsid w:val="00ED67C0"/>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F4"/>
    <w:rsid w:val="00F003C2"/>
    <w:rsid w:val="00F0154C"/>
    <w:rsid w:val="00F0182C"/>
    <w:rsid w:val="00F0242E"/>
    <w:rsid w:val="00F02E9F"/>
    <w:rsid w:val="00F039AC"/>
    <w:rsid w:val="00F043EA"/>
    <w:rsid w:val="00F04412"/>
    <w:rsid w:val="00F05845"/>
    <w:rsid w:val="00F0652C"/>
    <w:rsid w:val="00F06EC5"/>
    <w:rsid w:val="00F07323"/>
    <w:rsid w:val="00F079FA"/>
    <w:rsid w:val="00F07ACA"/>
    <w:rsid w:val="00F1020A"/>
    <w:rsid w:val="00F10B26"/>
    <w:rsid w:val="00F11BEC"/>
    <w:rsid w:val="00F1314F"/>
    <w:rsid w:val="00F135DC"/>
    <w:rsid w:val="00F14B59"/>
    <w:rsid w:val="00F14DE9"/>
    <w:rsid w:val="00F15585"/>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3098"/>
    <w:rsid w:val="00F33969"/>
    <w:rsid w:val="00F34056"/>
    <w:rsid w:val="00F34253"/>
    <w:rsid w:val="00F3503A"/>
    <w:rsid w:val="00F3616A"/>
    <w:rsid w:val="00F36BF4"/>
    <w:rsid w:val="00F37A95"/>
    <w:rsid w:val="00F40104"/>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191"/>
    <w:rsid w:val="00F6226C"/>
    <w:rsid w:val="00F6243F"/>
    <w:rsid w:val="00F62841"/>
    <w:rsid w:val="00F62B9E"/>
    <w:rsid w:val="00F62BB2"/>
    <w:rsid w:val="00F62BED"/>
    <w:rsid w:val="00F63129"/>
    <w:rsid w:val="00F6352F"/>
    <w:rsid w:val="00F643B6"/>
    <w:rsid w:val="00F645DA"/>
    <w:rsid w:val="00F64A35"/>
    <w:rsid w:val="00F64A8C"/>
    <w:rsid w:val="00F64C27"/>
    <w:rsid w:val="00F64DEA"/>
    <w:rsid w:val="00F6565C"/>
    <w:rsid w:val="00F65CCC"/>
    <w:rsid w:val="00F65D05"/>
    <w:rsid w:val="00F65D43"/>
    <w:rsid w:val="00F66FB0"/>
    <w:rsid w:val="00F67139"/>
    <w:rsid w:val="00F7005D"/>
    <w:rsid w:val="00F7027D"/>
    <w:rsid w:val="00F70479"/>
    <w:rsid w:val="00F705F6"/>
    <w:rsid w:val="00F710D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6F4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1E38"/>
    <w:rsid w:val="00FB2068"/>
    <w:rsid w:val="00FB28DC"/>
    <w:rsid w:val="00FB3ABC"/>
    <w:rsid w:val="00FB3CBC"/>
    <w:rsid w:val="00FB3DC2"/>
    <w:rsid w:val="00FB45A4"/>
    <w:rsid w:val="00FB57A5"/>
    <w:rsid w:val="00FB5B40"/>
    <w:rsid w:val="00FC0808"/>
    <w:rsid w:val="00FC0957"/>
    <w:rsid w:val="00FC114C"/>
    <w:rsid w:val="00FC31B7"/>
    <w:rsid w:val="00FC36C8"/>
    <w:rsid w:val="00FC42ED"/>
    <w:rsid w:val="00FC4741"/>
    <w:rsid w:val="00FC5200"/>
    <w:rsid w:val="00FC52FF"/>
    <w:rsid w:val="00FC5ED5"/>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686"/>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4FB0287C"/>
  <w15:docId w15:val="{4DE014C5-CCFF-4A91-B7D8-14737BA1A9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5647"/>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07323C"/>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07323C"/>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licensing" TargetMode="External"/><Relationship Id="rId34" Type="http://schemas.openxmlformats.org/officeDocument/2006/relationships/hyperlink" Target="https://www.microsoft.com/licensing/servicecenter/default.aspx" TargetMode="External"/><Relationship Id="rId42" Type="http://schemas.openxmlformats.org/officeDocument/2006/relationships/hyperlink" Target="http://www.microsoft.com/licensing" TargetMode="External"/><Relationship Id="rId47" Type="http://schemas.openxmlformats.org/officeDocument/2006/relationships/hyperlink" Target="http://www.microsoft.com/online/faq.aspx" TargetMode="External"/><Relationship Id="rId50" Type="http://schemas.openxmlformats.org/officeDocument/2006/relationships/image" Target="media/image6.png"/><Relationship Id="rId55" Type="http://schemas.openxmlformats.org/officeDocument/2006/relationships/theme" Target="theme/theme1.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resources/sharedsource/Licensing/Enterprise.mspx" TargetMode="External"/><Relationship Id="rId33" Type="http://schemas.openxmlformats.org/officeDocument/2006/relationships/hyperlink" Target="http://www.microsoft.com/products/exporting/basics.htm"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online/faq.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file:///C:\Users\justinke\AppData\Local\Temp\Temp1_ITA.zip\Subscription" TargetMode="External"/><Relationship Id="rId29" Type="http://schemas.openxmlformats.org/officeDocument/2006/relationships/hyperlink" Target="http://www.microsoft.com/technet/subscription" TargetMode="External"/><Relationship Id="rId41" Type="http://schemas.openxmlformats.org/officeDocument/2006/relationships/hyperlink" Target="http://www.microsoft.com/education/pil/partnersinlearning.aspx"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spd" TargetMode="External"/><Relationship Id="rId32" Type="http://schemas.openxmlformats.org/officeDocument/2006/relationships/hyperlink" Target="http://www.windowsazure.com" TargetMode="External"/><Relationship Id="rId37" Type="http://schemas.openxmlformats.org/officeDocument/2006/relationships/hyperlink" Target="https://www.microsoft.com/licensing/servicecenter"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sqlserver/en/us/get-sql-server/how-to-buy.aspx" TargetMode="External"/><Relationship Id="rId53" Type="http://schemas.openxmlformats.org/officeDocument/2006/relationships/footer" Target="footer4.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licensing" TargetMode="External"/><Relationship Id="rId28" Type="http://schemas.openxmlformats.org/officeDocument/2006/relationships/hyperlink" Target="http://support.microsoft.com/lifecycle" TargetMode="External"/><Relationship Id="rId36" Type="http://schemas.openxmlformats.org/officeDocument/2006/relationships/hyperlink" Target="http://www.microsoft.com/licensing/resources/vol/volumelicensekey/default.mspx" TargetMode="External"/><Relationship Id="rId49" Type="http://schemas.openxmlformats.org/officeDocument/2006/relationships/image" Target="media/image5.png"/><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en-us/support/plans/" TargetMode="External"/><Relationship Id="rId44" Type="http://schemas.openxmlformats.org/officeDocument/2006/relationships/hyperlink" Target="https://www.bingmapsportal.com/" TargetMode="External"/><Relationship Id="rId52"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online/faq.aspx" TargetMode="External"/><Relationship Id="rId27" Type="http://schemas.openxmlformats.org/officeDocument/2006/relationships/hyperlink" Target="http://support.microsoft.com/common/international.aspx?rdpath=dm;en-us;lifecycle" TargetMode="External"/><Relationship Id="rId30" Type="http://schemas.openxmlformats.org/officeDocument/2006/relationships/hyperlink" Target="http://www.microsoft.com/licensing" TargetMode="External"/><Relationship Id="rId35" Type="http://schemas.openxmlformats.org/officeDocument/2006/relationships/hyperlink" Target="http://www.microsoft.com/licensing/resources/vol/numbers.mspx" TargetMode="External"/><Relationship Id="rId43" Type="http://schemas.openxmlformats.org/officeDocument/2006/relationships/hyperlink" Target="http://www.microsoft.com/maps/support/" TargetMode="External"/><Relationship Id="rId48" Type="http://schemas.openxmlformats.org/officeDocument/2006/relationships/hyperlink" Target="http://www.microsoft.com/en-us/dynamics/erp-buy-ax-software.aspx" TargetMode="External"/><Relationship Id="rId8" Type="http://schemas.openxmlformats.org/officeDocument/2006/relationships/numbering" Target="numbering.xml"/><Relationship Id="rId51" Type="http://schemas.openxmlformats.org/officeDocument/2006/relationships/footer" Target="footer3.xm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023d5c7da5f17b857c07447a674438f7">
  <xsd:schema xmlns:xsd="http://www.w3.org/2001/XMLSchema" xmlns:xs="http://www.w3.org/2001/XMLSchema" xmlns:p="http://schemas.microsoft.com/office/2006/metadata/properties" targetNamespace="http://schemas.microsoft.com/office/2006/metadata/properties" ma:root="true" ma:fieldsID="b8f73b833fdeb5148db534c91d40b6b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48E69A-2E61-46BD-A659-CAC196273742}"/>
</file>

<file path=customXml/itemProps2.xml><?xml version="1.0" encoding="utf-8"?>
<ds:datastoreItem xmlns:ds="http://schemas.openxmlformats.org/officeDocument/2006/customXml" ds:itemID="{8C9C8873-43C9-4F46-8093-3F116F53B690}"/>
</file>

<file path=customXml/itemProps3.xml><?xml version="1.0" encoding="utf-8"?>
<ds:datastoreItem xmlns:ds="http://schemas.openxmlformats.org/officeDocument/2006/customXml" ds:itemID="{CBCD8E0F-845F-439D-896F-F1F762AB6E9A}"/>
</file>

<file path=customXml/itemProps4.xml><?xml version="1.0" encoding="utf-8"?>
<ds:datastoreItem xmlns:ds="http://schemas.openxmlformats.org/officeDocument/2006/customXml" ds:itemID="{F08753B1-A850-4DA1-A78C-602D9ED3D030}"/>
</file>

<file path=customXml/itemProps5.xml><?xml version="1.0" encoding="utf-8"?>
<ds:datastoreItem xmlns:ds="http://schemas.openxmlformats.org/officeDocument/2006/customXml" ds:itemID="{EA77EAF3-9771-4A05-8785-E221277D91A9}"/>
</file>

<file path=customXml/itemProps6.xml><?xml version="1.0" encoding="utf-8"?>
<ds:datastoreItem xmlns:ds="http://schemas.openxmlformats.org/officeDocument/2006/customXml" ds:itemID="{9721F89C-4635-4DA3-8E0A-9EC60B6DCBC1}"/>
</file>

<file path=customXml/itemProps7.xml><?xml version="1.0" encoding="utf-8"?>
<ds:datastoreItem xmlns:ds="http://schemas.openxmlformats.org/officeDocument/2006/customXml" ds:itemID="{5E76059E-06D2-4B19-BF67-8909DB702D3D}"/>
</file>

<file path=docProps/app.xml><?xml version="1.0" encoding="utf-8"?>
<Properties xmlns="http://schemas.openxmlformats.org/officeDocument/2006/extended-properties" xmlns:vt="http://schemas.openxmlformats.org/officeDocument/2006/docPropsVTypes">
  <Template>Normal</Template>
  <TotalTime>0</TotalTime>
  <Pages>200</Pages>
  <Words>99852</Words>
  <Characters>569158</Characters>
  <Application>Microsoft Office Word</Application>
  <DocSecurity>8</DocSecurity>
  <Lines>4742</Lines>
  <Paragraphs>1335</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667675</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Justin Kellogg</cp:lastModifiedBy>
  <cp:revision>2</cp:revision>
  <cp:lastPrinted>2098-11-11T07:04:00Z</cp:lastPrinted>
  <dcterms:created xsi:type="dcterms:W3CDTF">2013-11-26T23:41:00Z</dcterms:created>
  <dcterms:modified xsi:type="dcterms:W3CDTF">2013-11-26T23:41:00Z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